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FA1307" w14:textId="44171F1E" w:rsidR="003823E3" w:rsidRPr="000D3DC1" w:rsidRDefault="003823E3" w:rsidP="002146B4">
      <w:pPr>
        <w:jc w:val="center"/>
        <w:rPr>
          <w:rFonts w:cstheme="minorHAnsi"/>
        </w:rPr>
      </w:pPr>
    </w:p>
    <w:p w14:paraId="1ABB8A33" w14:textId="77777777" w:rsidR="003823E3" w:rsidRPr="000D3DC1" w:rsidRDefault="003823E3" w:rsidP="002146B4">
      <w:pPr>
        <w:jc w:val="center"/>
        <w:rPr>
          <w:rFonts w:cstheme="minorHAnsi"/>
        </w:rPr>
      </w:pPr>
    </w:p>
    <w:p w14:paraId="60CA3134" w14:textId="2CA5B901" w:rsidR="003823E3" w:rsidRPr="00A54361" w:rsidRDefault="003823E3" w:rsidP="002146B4">
      <w:pPr>
        <w:jc w:val="center"/>
        <w:rPr>
          <w:rFonts w:cstheme="minorHAnsi"/>
        </w:rPr>
      </w:pPr>
      <w:r w:rsidRPr="00A54361">
        <w:rPr>
          <w:rFonts w:cstheme="minorHAnsi"/>
          <w:noProof/>
          <w:lang w:val="en-GB" w:eastAsia="en-GB"/>
        </w:rPr>
        <w:drawing>
          <wp:inline distT="0" distB="0" distL="0" distR="0" wp14:anchorId="4190D75D" wp14:editId="78B0FFDA">
            <wp:extent cx="2959252" cy="958899"/>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959252" cy="958899"/>
                    </a:xfrm>
                    <a:prstGeom prst="rect">
                      <a:avLst/>
                    </a:prstGeom>
                  </pic:spPr>
                </pic:pic>
              </a:graphicData>
            </a:graphic>
          </wp:inline>
        </w:drawing>
      </w:r>
    </w:p>
    <w:p w14:paraId="5AD4A380" w14:textId="55672FCC" w:rsidR="003823E3" w:rsidRPr="00A54361" w:rsidRDefault="003823E3" w:rsidP="002146B4">
      <w:pPr>
        <w:jc w:val="center"/>
        <w:rPr>
          <w:rFonts w:cstheme="minorHAnsi"/>
          <w:b/>
          <w:bCs/>
          <w:sz w:val="36"/>
          <w:szCs w:val="36"/>
        </w:rPr>
      </w:pPr>
      <w:r w:rsidRPr="00A54361">
        <w:rPr>
          <w:rFonts w:cstheme="minorHAnsi"/>
          <w:b/>
          <w:bCs/>
          <w:sz w:val="36"/>
          <w:szCs w:val="36"/>
        </w:rPr>
        <w:t>Central Bank of India</w:t>
      </w:r>
    </w:p>
    <w:p w14:paraId="72A1901B" w14:textId="77777777" w:rsidR="003823E3" w:rsidRPr="00A54361" w:rsidRDefault="003823E3" w:rsidP="002146B4">
      <w:pPr>
        <w:jc w:val="center"/>
        <w:rPr>
          <w:rFonts w:cstheme="minorHAnsi"/>
          <w:b/>
          <w:bCs/>
          <w:sz w:val="36"/>
          <w:szCs w:val="36"/>
        </w:rPr>
      </w:pPr>
    </w:p>
    <w:p w14:paraId="2453FA75" w14:textId="18AA2173" w:rsidR="003823E3" w:rsidRPr="00A54361" w:rsidRDefault="003823E3" w:rsidP="002146B4">
      <w:pPr>
        <w:jc w:val="center"/>
        <w:rPr>
          <w:rFonts w:cstheme="minorHAnsi"/>
          <w:b/>
          <w:bCs/>
          <w:i/>
          <w:iCs/>
          <w:sz w:val="36"/>
          <w:szCs w:val="36"/>
        </w:rPr>
      </w:pPr>
      <w:r w:rsidRPr="00A54361">
        <w:rPr>
          <w:rFonts w:cstheme="minorHAnsi"/>
          <w:b/>
          <w:bCs/>
          <w:i/>
          <w:iCs/>
          <w:sz w:val="36"/>
          <w:szCs w:val="36"/>
        </w:rPr>
        <w:t>Department of Information Technology</w:t>
      </w:r>
    </w:p>
    <w:p w14:paraId="66DDA1D9" w14:textId="77777777" w:rsidR="00497D28" w:rsidRPr="00A54361" w:rsidRDefault="00497D28" w:rsidP="002146B4">
      <w:pPr>
        <w:jc w:val="center"/>
        <w:rPr>
          <w:rFonts w:cstheme="minorHAnsi"/>
          <w:sz w:val="36"/>
          <w:szCs w:val="36"/>
        </w:rPr>
      </w:pPr>
    </w:p>
    <w:p w14:paraId="21EA0DB4" w14:textId="3DF6CB5A" w:rsidR="003823E3" w:rsidRPr="006542DA" w:rsidRDefault="00726E1B" w:rsidP="002146B4">
      <w:pPr>
        <w:jc w:val="center"/>
        <w:rPr>
          <w:rFonts w:cstheme="minorHAnsi"/>
          <w:b/>
          <w:sz w:val="36"/>
          <w:szCs w:val="36"/>
        </w:rPr>
      </w:pPr>
      <w:r w:rsidRPr="00E73613">
        <w:rPr>
          <w:rFonts w:cstheme="minorHAnsi"/>
          <w:b/>
          <w:sz w:val="36"/>
          <w:szCs w:val="36"/>
        </w:rPr>
        <w:t>Tender No. GEM/2024/</w:t>
      </w:r>
      <w:r w:rsidR="006542DA" w:rsidRPr="006542DA">
        <w:rPr>
          <w:rFonts w:cstheme="minorHAnsi"/>
          <w:b/>
          <w:sz w:val="36"/>
          <w:szCs w:val="36"/>
        </w:rPr>
        <w:t>5595196</w:t>
      </w:r>
    </w:p>
    <w:p w14:paraId="02D9ECB7" w14:textId="77777777" w:rsidR="00C004F8" w:rsidRPr="00A54361" w:rsidRDefault="00C004F8" w:rsidP="002146B4">
      <w:pPr>
        <w:jc w:val="center"/>
        <w:rPr>
          <w:rFonts w:cstheme="minorHAnsi"/>
          <w:sz w:val="36"/>
          <w:szCs w:val="36"/>
        </w:rPr>
      </w:pPr>
    </w:p>
    <w:p w14:paraId="4551F97A" w14:textId="12518398" w:rsidR="003823E3" w:rsidRPr="00A54361" w:rsidRDefault="003823E3" w:rsidP="002146B4">
      <w:pPr>
        <w:jc w:val="center"/>
        <w:rPr>
          <w:rFonts w:cstheme="minorHAnsi"/>
          <w:b/>
          <w:bCs/>
          <w:sz w:val="36"/>
          <w:szCs w:val="36"/>
        </w:rPr>
      </w:pPr>
      <w:r w:rsidRPr="00A54361">
        <w:rPr>
          <w:rFonts w:cstheme="minorHAnsi"/>
          <w:b/>
          <w:bCs/>
          <w:sz w:val="36"/>
          <w:szCs w:val="36"/>
        </w:rPr>
        <w:t>Request for Proposal (Bid) Document</w:t>
      </w:r>
    </w:p>
    <w:p w14:paraId="4CCDFB02" w14:textId="069F3879" w:rsidR="003823E3" w:rsidRPr="00A54361" w:rsidRDefault="003823E3" w:rsidP="002146B4">
      <w:pPr>
        <w:jc w:val="center"/>
        <w:rPr>
          <w:rFonts w:cstheme="minorHAnsi"/>
          <w:b/>
          <w:bCs/>
          <w:sz w:val="36"/>
          <w:szCs w:val="36"/>
        </w:rPr>
      </w:pPr>
      <w:r w:rsidRPr="00A54361">
        <w:rPr>
          <w:rFonts w:cstheme="minorHAnsi"/>
          <w:b/>
          <w:bCs/>
          <w:sz w:val="36"/>
          <w:szCs w:val="36"/>
        </w:rPr>
        <w:t>For</w:t>
      </w:r>
    </w:p>
    <w:p w14:paraId="7E72B9EF" w14:textId="633A020A" w:rsidR="00D60438" w:rsidRPr="00A54361" w:rsidRDefault="0017233F" w:rsidP="002146B4">
      <w:pPr>
        <w:jc w:val="center"/>
        <w:rPr>
          <w:rFonts w:cstheme="minorHAnsi"/>
          <w:b/>
          <w:bCs/>
          <w:sz w:val="36"/>
          <w:szCs w:val="36"/>
        </w:rPr>
      </w:pPr>
      <w:r w:rsidRPr="00A54361">
        <w:rPr>
          <w:rFonts w:cstheme="minorHAnsi"/>
          <w:b/>
          <w:bCs/>
          <w:sz w:val="36"/>
          <w:szCs w:val="36"/>
        </w:rPr>
        <w:t xml:space="preserve">Supply, </w:t>
      </w:r>
      <w:r w:rsidR="00F10AAF" w:rsidRPr="00A54361">
        <w:rPr>
          <w:rFonts w:cstheme="minorHAnsi"/>
          <w:b/>
          <w:bCs/>
          <w:sz w:val="36"/>
          <w:szCs w:val="36"/>
        </w:rPr>
        <w:t>Installation</w:t>
      </w:r>
      <w:r w:rsidRPr="00A54361">
        <w:rPr>
          <w:rFonts w:cstheme="minorHAnsi"/>
          <w:b/>
          <w:bCs/>
          <w:sz w:val="36"/>
          <w:szCs w:val="36"/>
        </w:rPr>
        <w:t xml:space="preserve"> and Maintenance of </w:t>
      </w:r>
      <w:r w:rsidR="00BC1F49" w:rsidRPr="00A54361">
        <w:rPr>
          <w:rFonts w:cstheme="minorHAnsi"/>
          <w:b/>
          <w:bCs/>
          <w:sz w:val="36"/>
          <w:szCs w:val="36"/>
        </w:rPr>
        <w:t xml:space="preserve">Cybersecurity Solutions </w:t>
      </w:r>
      <w:r w:rsidR="008C5C69" w:rsidRPr="00A54361">
        <w:rPr>
          <w:rFonts w:cstheme="minorHAnsi"/>
          <w:b/>
          <w:bCs/>
          <w:sz w:val="36"/>
          <w:szCs w:val="36"/>
        </w:rPr>
        <w:t xml:space="preserve">and Associated Hardware </w:t>
      </w:r>
      <w:r w:rsidR="00306C12" w:rsidRPr="00A54361">
        <w:rPr>
          <w:rFonts w:cstheme="minorHAnsi"/>
          <w:b/>
          <w:bCs/>
          <w:sz w:val="36"/>
          <w:szCs w:val="36"/>
        </w:rPr>
        <w:t>at</w:t>
      </w:r>
      <w:r w:rsidR="00DE1E39" w:rsidRPr="00A54361">
        <w:rPr>
          <w:rFonts w:cstheme="minorHAnsi"/>
          <w:b/>
          <w:bCs/>
          <w:sz w:val="36"/>
          <w:szCs w:val="36"/>
        </w:rPr>
        <w:t xml:space="preserve"> </w:t>
      </w:r>
      <w:r w:rsidR="009417AB" w:rsidRPr="00A54361">
        <w:rPr>
          <w:rFonts w:cstheme="minorHAnsi"/>
          <w:b/>
          <w:bCs/>
          <w:sz w:val="36"/>
          <w:szCs w:val="36"/>
        </w:rPr>
        <w:t>the Bank</w:t>
      </w:r>
    </w:p>
    <w:p w14:paraId="6EA834DE" w14:textId="77777777" w:rsidR="00554AFA" w:rsidRPr="00A54361" w:rsidRDefault="00554AFA" w:rsidP="00A54361">
      <w:pPr>
        <w:jc w:val="both"/>
        <w:rPr>
          <w:rFonts w:cstheme="minorHAnsi"/>
          <w:b/>
          <w:bCs/>
        </w:rPr>
      </w:pPr>
    </w:p>
    <w:p w14:paraId="3261495C" w14:textId="77777777" w:rsidR="00554AFA" w:rsidRPr="00A54361" w:rsidRDefault="00554AFA" w:rsidP="00A54361">
      <w:pPr>
        <w:jc w:val="both"/>
        <w:rPr>
          <w:rFonts w:cstheme="minorHAnsi"/>
          <w:b/>
          <w:bCs/>
        </w:rPr>
      </w:pPr>
      <w:r w:rsidRPr="00A54361">
        <w:rPr>
          <w:rFonts w:cstheme="minorHAnsi"/>
          <w:b/>
          <w:bCs/>
        </w:rPr>
        <w:br w:type="page"/>
      </w:r>
    </w:p>
    <w:p w14:paraId="3D9422AA" w14:textId="77777777" w:rsidR="00554AFA" w:rsidRPr="00A54361" w:rsidRDefault="00554AFA" w:rsidP="00A54361">
      <w:pPr>
        <w:jc w:val="both"/>
        <w:rPr>
          <w:rFonts w:cstheme="minorHAnsi"/>
          <w:b/>
          <w:bCs/>
        </w:rPr>
      </w:pPr>
    </w:p>
    <w:sdt>
      <w:sdtPr>
        <w:rPr>
          <w:rFonts w:asciiTheme="minorHAnsi" w:eastAsiaTheme="minorHAnsi" w:hAnsiTheme="minorHAnsi" w:cstheme="minorHAnsi"/>
          <w:b/>
          <w:bCs/>
          <w:color w:val="auto"/>
          <w:sz w:val="22"/>
          <w:szCs w:val="22"/>
          <w:lang w:val="en-IN"/>
        </w:rPr>
        <w:id w:val="-305779793"/>
        <w:docPartObj>
          <w:docPartGallery w:val="Table of Contents"/>
          <w:docPartUnique/>
        </w:docPartObj>
      </w:sdtPr>
      <w:sdtEndPr>
        <w:rPr>
          <w:noProof/>
        </w:rPr>
      </w:sdtEndPr>
      <w:sdtContent>
        <w:p w14:paraId="16DFBEF6" w14:textId="7B1F328F" w:rsidR="00554AFA" w:rsidRPr="00A54361" w:rsidRDefault="00554AFA" w:rsidP="00A54361">
          <w:pPr>
            <w:pStyle w:val="TOCHeading"/>
            <w:jc w:val="both"/>
            <w:rPr>
              <w:rFonts w:asciiTheme="minorHAnsi" w:hAnsiTheme="minorHAnsi" w:cstheme="minorHAnsi"/>
              <w:b/>
              <w:bCs/>
              <w:color w:val="auto"/>
            </w:rPr>
          </w:pPr>
          <w:r w:rsidRPr="00A54361">
            <w:rPr>
              <w:rFonts w:asciiTheme="minorHAnsi" w:hAnsiTheme="minorHAnsi" w:cstheme="minorHAnsi"/>
              <w:b/>
              <w:bCs/>
              <w:color w:val="auto"/>
            </w:rPr>
            <w:t>Table of Contents</w:t>
          </w:r>
        </w:p>
        <w:p w14:paraId="3B12B304" w14:textId="77777777" w:rsidR="005D16B3" w:rsidRDefault="00554AFA">
          <w:pPr>
            <w:pStyle w:val="TOC1"/>
            <w:rPr>
              <w:rFonts w:eastAsiaTheme="minorEastAsia"/>
              <w:b w:val="0"/>
              <w:bCs w:val="0"/>
              <w:lang w:val="en-GB" w:eastAsia="en-GB"/>
            </w:rPr>
          </w:pPr>
          <w:r w:rsidRPr="00A54361">
            <w:rPr>
              <w:rFonts w:cstheme="minorHAnsi"/>
            </w:rPr>
            <w:fldChar w:fldCharType="begin"/>
          </w:r>
          <w:r w:rsidRPr="00A54361">
            <w:rPr>
              <w:rFonts w:cstheme="minorHAnsi"/>
            </w:rPr>
            <w:instrText xml:space="preserve"> TOC \o "1-3" \h \z \u </w:instrText>
          </w:r>
          <w:r w:rsidRPr="00A54361">
            <w:rPr>
              <w:rFonts w:cstheme="minorHAnsi"/>
            </w:rPr>
            <w:fldChar w:fldCharType="separate"/>
          </w:r>
          <w:hyperlink w:anchor="_Toc182233326" w:history="1">
            <w:r w:rsidR="005D16B3" w:rsidRPr="00D84F39">
              <w:rPr>
                <w:rStyle w:val="Hyperlink"/>
              </w:rPr>
              <w:t>1.</w:t>
            </w:r>
            <w:r w:rsidR="005D16B3">
              <w:rPr>
                <w:rFonts w:eastAsiaTheme="minorEastAsia"/>
                <w:b w:val="0"/>
                <w:bCs w:val="0"/>
                <w:lang w:val="en-GB" w:eastAsia="en-GB"/>
              </w:rPr>
              <w:tab/>
            </w:r>
            <w:r w:rsidR="005D16B3" w:rsidRPr="00D84F39">
              <w:rPr>
                <w:rStyle w:val="Hyperlink"/>
                <w:rFonts w:cstheme="minorHAnsi"/>
              </w:rPr>
              <w:t>Invitation for Tender Offers</w:t>
            </w:r>
            <w:r w:rsidR="005D16B3">
              <w:rPr>
                <w:webHidden/>
              </w:rPr>
              <w:tab/>
            </w:r>
            <w:r w:rsidR="005D16B3">
              <w:rPr>
                <w:webHidden/>
              </w:rPr>
              <w:fldChar w:fldCharType="begin"/>
            </w:r>
            <w:r w:rsidR="005D16B3">
              <w:rPr>
                <w:webHidden/>
              </w:rPr>
              <w:instrText xml:space="preserve"> PAGEREF _Toc182233326 \h </w:instrText>
            </w:r>
            <w:r w:rsidR="005D16B3">
              <w:rPr>
                <w:webHidden/>
              </w:rPr>
            </w:r>
            <w:r w:rsidR="005D16B3">
              <w:rPr>
                <w:webHidden/>
              </w:rPr>
              <w:fldChar w:fldCharType="separate"/>
            </w:r>
            <w:r w:rsidR="005D16B3">
              <w:rPr>
                <w:webHidden/>
              </w:rPr>
              <w:t>8</w:t>
            </w:r>
            <w:r w:rsidR="005D16B3">
              <w:rPr>
                <w:webHidden/>
              </w:rPr>
              <w:fldChar w:fldCharType="end"/>
            </w:r>
          </w:hyperlink>
        </w:p>
        <w:p w14:paraId="576A660F" w14:textId="77777777" w:rsidR="005D16B3" w:rsidRDefault="00000000">
          <w:pPr>
            <w:pStyle w:val="TOC1"/>
            <w:rPr>
              <w:rFonts w:eastAsiaTheme="minorEastAsia"/>
              <w:b w:val="0"/>
              <w:bCs w:val="0"/>
              <w:lang w:val="en-GB" w:eastAsia="en-GB"/>
            </w:rPr>
          </w:pPr>
          <w:hyperlink w:anchor="_Toc182233327" w:history="1">
            <w:r w:rsidR="005D16B3" w:rsidRPr="00D84F39">
              <w:rPr>
                <w:rStyle w:val="Hyperlink"/>
                <w:rFonts w:cstheme="minorHAnsi"/>
              </w:rPr>
              <w:t>2.</w:t>
            </w:r>
            <w:r w:rsidR="005D16B3">
              <w:rPr>
                <w:rFonts w:eastAsiaTheme="minorEastAsia"/>
                <w:b w:val="0"/>
                <w:bCs w:val="0"/>
                <w:lang w:val="en-GB" w:eastAsia="en-GB"/>
              </w:rPr>
              <w:tab/>
            </w:r>
            <w:r w:rsidR="005D16B3" w:rsidRPr="00D84F39">
              <w:rPr>
                <w:rStyle w:val="Hyperlink"/>
                <w:rFonts w:cstheme="minorHAnsi"/>
              </w:rPr>
              <w:t>Eligibility Criteria</w:t>
            </w:r>
            <w:r w:rsidR="005D16B3">
              <w:rPr>
                <w:webHidden/>
              </w:rPr>
              <w:tab/>
            </w:r>
            <w:r w:rsidR="005D16B3">
              <w:rPr>
                <w:webHidden/>
              </w:rPr>
              <w:fldChar w:fldCharType="begin"/>
            </w:r>
            <w:r w:rsidR="005D16B3">
              <w:rPr>
                <w:webHidden/>
              </w:rPr>
              <w:instrText xml:space="preserve"> PAGEREF _Toc182233327 \h </w:instrText>
            </w:r>
            <w:r w:rsidR="005D16B3">
              <w:rPr>
                <w:webHidden/>
              </w:rPr>
            </w:r>
            <w:r w:rsidR="005D16B3">
              <w:rPr>
                <w:webHidden/>
              </w:rPr>
              <w:fldChar w:fldCharType="separate"/>
            </w:r>
            <w:r w:rsidR="005D16B3">
              <w:rPr>
                <w:webHidden/>
              </w:rPr>
              <w:t>11</w:t>
            </w:r>
            <w:r w:rsidR="005D16B3">
              <w:rPr>
                <w:webHidden/>
              </w:rPr>
              <w:fldChar w:fldCharType="end"/>
            </w:r>
          </w:hyperlink>
        </w:p>
        <w:p w14:paraId="27DA43D6" w14:textId="77777777" w:rsidR="005D16B3" w:rsidRDefault="00000000">
          <w:pPr>
            <w:pStyle w:val="TOC1"/>
            <w:rPr>
              <w:rFonts w:eastAsiaTheme="minorEastAsia"/>
              <w:b w:val="0"/>
              <w:bCs w:val="0"/>
              <w:lang w:val="en-GB" w:eastAsia="en-GB"/>
            </w:rPr>
          </w:pPr>
          <w:hyperlink w:anchor="_Toc182233328" w:history="1">
            <w:r w:rsidR="005D16B3" w:rsidRPr="00D84F39">
              <w:rPr>
                <w:rStyle w:val="Hyperlink"/>
                <w:rFonts w:cstheme="minorHAnsi"/>
              </w:rPr>
              <w:t>3.</w:t>
            </w:r>
            <w:r w:rsidR="005D16B3">
              <w:rPr>
                <w:rFonts w:eastAsiaTheme="minorEastAsia"/>
                <w:b w:val="0"/>
                <w:bCs w:val="0"/>
                <w:lang w:val="en-GB" w:eastAsia="en-GB"/>
              </w:rPr>
              <w:tab/>
            </w:r>
            <w:r w:rsidR="005D16B3" w:rsidRPr="00D84F39">
              <w:rPr>
                <w:rStyle w:val="Hyperlink"/>
                <w:rFonts w:cstheme="minorHAnsi"/>
              </w:rPr>
              <w:t>EMD / Bid Security</w:t>
            </w:r>
            <w:r w:rsidR="005D16B3">
              <w:rPr>
                <w:webHidden/>
              </w:rPr>
              <w:tab/>
            </w:r>
            <w:r w:rsidR="005D16B3">
              <w:rPr>
                <w:webHidden/>
              </w:rPr>
              <w:fldChar w:fldCharType="begin"/>
            </w:r>
            <w:r w:rsidR="005D16B3">
              <w:rPr>
                <w:webHidden/>
              </w:rPr>
              <w:instrText xml:space="preserve"> PAGEREF _Toc182233328 \h </w:instrText>
            </w:r>
            <w:r w:rsidR="005D16B3">
              <w:rPr>
                <w:webHidden/>
              </w:rPr>
            </w:r>
            <w:r w:rsidR="005D16B3">
              <w:rPr>
                <w:webHidden/>
              </w:rPr>
              <w:fldChar w:fldCharType="separate"/>
            </w:r>
            <w:r w:rsidR="005D16B3">
              <w:rPr>
                <w:webHidden/>
              </w:rPr>
              <w:t>14</w:t>
            </w:r>
            <w:r w:rsidR="005D16B3">
              <w:rPr>
                <w:webHidden/>
              </w:rPr>
              <w:fldChar w:fldCharType="end"/>
            </w:r>
          </w:hyperlink>
        </w:p>
        <w:p w14:paraId="7B694247" w14:textId="77777777" w:rsidR="005D16B3" w:rsidRDefault="00000000">
          <w:pPr>
            <w:pStyle w:val="TOC1"/>
            <w:rPr>
              <w:rFonts w:eastAsiaTheme="minorEastAsia"/>
              <w:b w:val="0"/>
              <w:bCs w:val="0"/>
              <w:lang w:val="en-GB" w:eastAsia="en-GB"/>
            </w:rPr>
          </w:pPr>
          <w:hyperlink w:anchor="_Toc182233329" w:history="1">
            <w:r w:rsidR="005D16B3" w:rsidRPr="00D84F39">
              <w:rPr>
                <w:rStyle w:val="Hyperlink"/>
                <w:rFonts w:cstheme="minorHAnsi"/>
              </w:rPr>
              <w:t>4.</w:t>
            </w:r>
            <w:r w:rsidR="005D16B3">
              <w:rPr>
                <w:rFonts w:eastAsiaTheme="minorEastAsia"/>
                <w:b w:val="0"/>
                <w:bCs w:val="0"/>
                <w:lang w:val="en-GB" w:eastAsia="en-GB"/>
              </w:rPr>
              <w:tab/>
            </w:r>
            <w:r w:rsidR="005D16B3" w:rsidRPr="00D84F39">
              <w:rPr>
                <w:rStyle w:val="Hyperlink"/>
                <w:rFonts w:cstheme="minorHAnsi"/>
              </w:rPr>
              <w:t>Performance Bank Guarantee</w:t>
            </w:r>
            <w:r w:rsidR="005D16B3">
              <w:rPr>
                <w:webHidden/>
              </w:rPr>
              <w:tab/>
            </w:r>
            <w:r w:rsidR="005D16B3">
              <w:rPr>
                <w:webHidden/>
              </w:rPr>
              <w:fldChar w:fldCharType="begin"/>
            </w:r>
            <w:r w:rsidR="005D16B3">
              <w:rPr>
                <w:webHidden/>
              </w:rPr>
              <w:instrText xml:space="preserve"> PAGEREF _Toc182233329 \h </w:instrText>
            </w:r>
            <w:r w:rsidR="005D16B3">
              <w:rPr>
                <w:webHidden/>
              </w:rPr>
            </w:r>
            <w:r w:rsidR="005D16B3">
              <w:rPr>
                <w:webHidden/>
              </w:rPr>
              <w:fldChar w:fldCharType="separate"/>
            </w:r>
            <w:r w:rsidR="005D16B3">
              <w:rPr>
                <w:webHidden/>
              </w:rPr>
              <w:t>14</w:t>
            </w:r>
            <w:r w:rsidR="005D16B3">
              <w:rPr>
                <w:webHidden/>
              </w:rPr>
              <w:fldChar w:fldCharType="end"/>
            </w:r>
          </w:hyperlink>
        </w:p>
        <w:p w14:paraId="1020A052" w14:textId="77777777" w:rsidR="005D16B3" w:rsidRDefault="00000000">
          <w:pPr>
            <w:pStyle w:val="TOC1"/>
            <w:rPr>
              <w:rFonts w:eastAsiaTheme="minorEastAsia"/>
              <w:b w:val="0"/>
              <w:bCs w:val="0"/>
              <w:lang w:val="en-GB" w:eastAsia="en-GB"/>
            </w:rPr>
          </w:pPr>
          <w:hyperlink w:anchor="_Toc182233330" w:history="1">
            <w:r w:rsidR="005D16B3" w:rsidRPr="00D84F39">
              <w:rPr>
                <w:rStyle w:val="Hyperlink"/>
                <w:rFonts w:cstheme="minorHAnsi"/>
              </w:rPr>
              <w:t>5.</w:t>
            </w:r>
            <w:r w:rsidR="005D16B3">
              <w:rPr>
                <w:rFonts w:eastAsiaTheme="minorEastAsia"/>
                <w:b w:val="0"/>
                <w:bCs w:val="0"/>
                <w:lang w:val="en-GB" w:eastAsia="en-GB"/>
              </w:rPr>
              <w:tab/>
            </w:r>
            <w:r w:rsidR="005D16B3" w:rsidRPr="00D84F39">
              <w:rPr>
                <w:rStyle w:val="Hyperlink"/>
                <w:rFonts w:cstheme="minorHAnsi"/>
              </w:rPr>
              <w:t>Cost of Bidding</w:t>
            </w:r>
            <w:r w:rsidR="005D16B3">
              <w:rPr>
                <w:webHidden/>
              </w:rPr>
              <w:tab/>
            </w:r>
            <w:r w:rsidR="005D16B3">
              <w:rPr>
                <w:webHidden/>
              </w:rPr>
              <w:fldChar w:fldCharType="begin"/>
            </w:r>
            <w:r w:rsidR="005D16B3">
              <w:rPr>
                <w:webHidden/>
              </w:rPr>
              <w:instrText xml:space="preserve"> PAGEREF _Toc182233330 \h </w:instrText>
            </w:r>
            <w:r w:rsidR="005D16B3">
              <w:rPr>
                <w:webHidden/>
              </w:rPr>
            </w:r>
            <w:r w:rsidR="005D16B3">
              <w:rPr>
                <w:webHidden/>
              </w:rPr>
              <w:fldChar w:fldCharType="separate"/>
            </w:r>
            <w:r w:rsidR="005D16B3">
              <w:rPr>
                <w:webHidden/>
              </w:rPr>
              <w:t>15</w:t>
            </w:r>
            <w:r w:rsidR="005D16B3">
              <w:rPr>
                <w:webHidden/>
              </w:rPr>
              <w:fldChar w:fldCharType="end"/>
            </w:r>
          </w:hyperlink>
        </w:p>
        <w:p w14:paraId="4EB32D73" w14:textId="77777777" w:rsidR="005D16B3" w:rsidRDefault="00000000">
          <w:pPr>
            <w:pStyle w:val="TOC1"/>
            <w:rPr>
              <w:rFonts w:eastAsiaTheme="minorEastAsia"/>
              <w:b w:val="0"/>
              <w:bCs w:val="0"/>
              <w:lang w:val="en-GB" w:eastAsia="en-GB"/>
            </w:rPr>
          </w:pPr>
          <w:hyperlink w:anchor="_Toc182233331" w:history="1">
            <w:r w:rsidR="005D16B3" w:rsidRPr="00D84F39">
              <w:rPr>
                <w:rStyle w:val="Hyperlink"/>
                <w:rFonts w:cstheme="minorHAnsi"/>
              </w:rPr>
              <w:t>6.</w:t>
            </w:r>
            <w:r w:rsidR="005D16B3">
              <w:rPr>
                <w:rFonts w:eastAsiaTheme="minorEastAsia"/>
                <w:b w:val="0"/>
                <w:bCs w:val="0"/>
                <w:lang w:val="en-GB" w:eastAsia="en-GB"/>
              </w:rPr>
              <w:tab/>
            </w:r>
            <w:r w:rsidR="005D16B3" w:rsidRPr="00D84F39">
              <w:rPr>
                <w:rStyle w:val="Hyperlink"/>
                <w:rFonts w:cstheme="minorHAnsi"/>
              </w:rPr>
              <w:t>Manufacturer’s Authorization Form</w:t>
            </w:r>
            <w:r w:rsidR="005D16B3">
              <w:rPr>
                <w:webHidden/>
              </w:rPr>
              <w:tab/>
            </w:r>
            <w:r w:rsidR="005D16B3">
              <w:rPr>
                <w:webHidden/>
              </w:rPr>
              <w:fldChar w:fldCharType="begin"/>
            </w:r>
            <w:r w:rsidR="005D16B3">
              <w:rPr>
                <w:webHidden/>
              </w:rPr>
              <w:instrText xml:space="preserve"> PAGEREF _Toc182233331 \h </w:instrText>
            </w:r>
            <w:r w:rsidR="005D16B3">
              <w:rPr>
                <w:webHidden/>
              </w:rPr>
            </w:r>
            <w:r w:rsidR="005D16B3">
              <w:rPr>
                <w:webHidden/>
              </w:rPr>
              <w:fldChar w:fldCharType="separate"/>
            </w:r>
            <w:r w:rsidR="005D16B3">
              <w:rPr>
                <w:webHidden/>
              </w:rPr>
              <w:t>15</w:t>
            </w:r>
            <w:r w:rsidR="005D16B3">
              <w:rPr>
                <w:webHidden/>
              </w:rPr>
              <w:fldChar w:fldCharType="end"/>
            </w:r>
          </w:hyperlink>
        </w:p>
        <w:p w14:paraId="4AE36F71" w14:textId="77777777" w:rsidR="005D16B3" w:rsidRDefault="00000000">
          <w:pPr>
            <w:pStyle w:val="TOC1"/>
            <w:rPr>
              <w:rFonts w:eastAsiaTheme="minorEastAsia"/>
              <w:b w:val="0"/>
              <w:bCs w:val="0"/>
              <w:lang w:val="en-GB" w:eastAsia="en-GB"/>
            </w:rPr>
          </w:pPr>
          <w:hyperlink w:anchor="_Toc182233332" w:history="1">
            <w:r w:rsidR="005D16B3" w:rsidRPr="00D84F39">
              <w:rPr>
                <w:rStyle w:val="Hyperlink"/>
                <w:rFonts w:cstheme="minorHAnsi"/>
              </w:rPr>
              <w:t>7.</w:t>
            </w:r>
            <w:r w:rsidR="005D16B3">
              <w:rPr>
                <w:rFonts w:eastAsiaTheme="minorEastAsia"/>
                <w:b w:val="0"/>
                <w:bCs w:val="0"/>
                <w:lang w:val="en-GB" w:eastAsia="en-GB"/>
              </w:rPr>
              <w:tab/>
            </w:r>
            <w:r w:rsidR="005D16B3" w:rsidRPr="00D84F39">
              <w:rPr>
                <w:rStyle w:val="Hyperlink"/>
                <w:rFonts w:cstheme="minorHAnsi"/>
              </w:rPr>
              <w:t>Scope of Work</w:t>
            </w:r>
            <w:r w:rsidR="005D16B3">
              <w:rPr>
                <w:webHidden/>
              </w:rPr>
              <w:tab/>
            </w:r>
            <w:r w:rsidR="005D16B3">
              <w:rPr>
                <w:webHidden/>
              </w:rPr>
              <w:fldChar w:fldCharType="begin"/>
            </w:r>
            <w:r w:rsidR="005D16B3">
              <w:rPr>
                <w:webHidden/>
              </w:rPr>
              <w:instrText xml:space="preserve"> PAGEREF _Toc182233332 \h </w:instrText>
            </w:r>
            <w:r w:rsidR="005D16B3">
              <w:rPr>
                <w:webHidden/>
              </w:rPr>
            </w:r>
            <w:r w:rsidR="005D16B3">
              <w:rPr>
                <w:webHidden/>
              </w:rPr>
              <w:fldChar w:fldCharType="separate"/>
            </w:r>
            <w:r w:rsidR="005D16B3">
              <w:rPr>
                <w:webHidden/>
              </w:rPr>
              <w:t>16</w:t>
            </w:r>
            <w:r w:rsidR="005D16B3">
              <w:rPr>
                <w:webHidden/>
              </w:rPr>
              <w:fldChar w:fldCharType="end"/>
            </w:r>
          </w:hyperlink>
        </w:p>
        <w:p w14:paraId="123713A7" w14:textId="77777777" w:rsidR="005D16B3" w:rsidRDefault="00000000">
          <w:pPr>
            <w:pStyle w:val="TOC2"/>
            <w:tabs>
              <w:tab w:val="right" w:leader="dot" w:pos="9016"/>
            </w:tabs>
            <w:rPr>
              <w:rFonts w:eastAsiaTheme="minorEastAsia"/>
              <w:noProof/>
              <w:lang w:val="en-GB" w:eastAsia="en-GB"/>
            </w:rPr>
          </w:pPr>
          <w:hyperlink w:anchor="_Toc182233333" w:history="1">
            <w:r w:rsidR="005D16B3" w:rsidRPr="00D84F39">
              <w:rPr>
                <w:rStyle w:val="Hyperlink"/>
                <w:b/>
                <w:bCs/>
                <w:noProof/>
              </w:rPr>
              <w:t>7.1 Detailed Scope of Work</w:t>
            </w:r>
            <w:r w:rsidR="005D16B3">
              <w:rPr>
                <w:noProof/>
                <w:webHidden/>
              </w:rPr>
              <w:tab/>
            </w:r>
            <w:r w:rsidR="005D16B3">
              <w:rPr>
                <w:noProof/>
                <w:webHidden/>
              </w:rPr>
              <w:fldChar w:fldCharType="begin"/>
            </w:r>
            <w:r w:rsidR="005D16B3">
              <w:rPr>
                <w:noProof/>
                <w:webHidden/>
              </w:rPr>
              <w:instrText xml:space="preserve"> PAGEREF _Toc182233333 \h </w:instrText>
            </w:r>
            <w:r w:rsidR="005D16B3">
              <w:rPr>
                <w:noProof/>
                <w:webHidden/>
              </w:rPr>
            </w:r>
            <w:r w:rsidR="005D16B3">
              <w:rPr>
                <w:noProof/>
                <w:webHidden/>
              </w:rPr>
              <w:fldChar w:fldCharType="separate"/>
            </w:r>
            <w:r w:rsidR="005D16B3">
              <w:rPr>
                <w:noProof/>
                <w:webHidden/>
              </w:rPr>
              <w:t>20</w:t>
            </w:r>
            <w:r w:rsidR="005D16B3">
              <w:rPr>
                <w:noProof/>
                <w:webHidden/>
              </w:rPr>
              <w:fldChar w:fldCharType="end"/>
            </w:r>
          </w:hyperlink>
        </w:p>
        <w:p w14:paraId="65F999B9" w14:textId="77777777" w:rsidR="005D16B3" w:rsidRDefault="00000000">
          <w:pPr>
            <w:pStyle w:val="TOC3"/>
            <w:tabs>
              <w:tab w:val="left" w:pos="1320"/>
              <w:tab w:val="right" w:leader="dot" w:pos="9016"/>
            </w:tabs>
            <w:rPr>
              <w:rFonts w:eastAsiaTheme="minorEastAsia"/>
              <w:noProof/>
              <w:lang w:val="en-GB" w:eastAsia="en-GB"/>
            </w:rPr>
          </w:pPr>
          <w:hyperlink w:anchor="_Toc182233334" w:history="1">
            <w:r w:rsidR="005D16B3" w:rsidRPr="00D84F39">
              <w:rPr>
                <w:rStyle w:val="Hyperlink"/>
                <w:noProof/>
              </w:rPr>
              <w:t>7.1.1</w:t>
            </w:r>
            <w:r w:rsidR="005D16B3">
              <w:rPr>
                <w:rFonts w:eastAsiaTheme="minorEastAsia"/>
                <w:noProof/>
                <w:lang w:val="en-GB" w:eastAsia="en-GB"/>
              </w:rPr>
              <w:tab/>
            </w:r>
            <w:r w:rsidR="005D16B3" w:rsidRPr="00D84F39">
              <w:rPr>
                <w:rStyle w:val="Hyperlink"/>
                <w:noProof/>
              </w:rPr>
              <w:t>Data Discovery &amp; Classification</w:t>
            </w:r>
            <w:r w:rsidR="005D16B3">
              <w:rPr>
                <w:noProof/>
                <w:webHidden/>
              </w:rPr>
              <w:tab/>
            </w:r>
            <w:r w:rsidR="005D16B3">
              <w:rPr>
                <w:noProof/>
                <w:webHidden/>
              </w:rPr>
              <w:fldChar w:fldCharType="begin"/>
            </w:r>
            <w:r w:rsidR="005D16B3">
              <w:rPr>
                <w:noProof/>
                <w:webHidden/>
              </w:rPr>
              <w:instrText xml:space="preserve"> PAGEREF _Toc182233334 \h </w:instrText>
            </w:r>
            <w:r w:rsidR="005D16B3">
              <w:rPr>
                <w:noProof/>
                <w:webHidden/>
              </w:rPr>
            </w:r>
            <w:r w:rsidR="005D16B3">
              <w:rPr>
                <w:noProof/>
                <w:webHidden/>
              </w:rPr>
              <w:fldChar w:fldCharType="separate"/>
            </w:r>
            <w:r w:rsidR="005D16B3">
              <w:rPr>
                <w:noProof/>
                <w:webHidden/>
              </w:rPr>
              <w:t>20</w:t>
            </w:r>
            <w:r w:rsidR="005D16B3">
              <w:rPr>
                <w:noProof/>
                <w:webHidden/>
              </w:rPr>
              <w:fldChar w:fldCharType="end"/>
            </w:r>
          </w:hyperlink>
        </w:p>
        <w:p w14:paraId="338B46EB" w14:textId="77777777" w:rsidR="005D16B3" w:rsidRDefault="00000000">
          <w:pPr>
            <w:pStyle w:val="TOC3"/>
            <w:tabs>
              <w:tab w:val="left" w:pos="1320"/>
              <w:tab w:val="right" w:leader="dot" w:pos="9016"/>
            </w:tabs>
            <w:rPr>
              <w:rFonts w:eastAsiaTheme="minorEastAsia"/>
              <w:noProof/>
              <w:lang w:val="en-GB" w:eastAsia="en-GB"/>
            </w:rPr>
          </w:pPr>
          <w:hyperlink w:anchor="_Toc182233335" w:history="1">
            <w:r w:rsidR="005D16B3" w:rsidRPr="00D84F39">
              <w:rPr>
                <w:rStyle w:val="Hyperlink"/>
                <w:noProof/>
              </w:rPr>
              <w:t>7.1.2</w:t>
            </w:r>
            <w:r w:rsidR="005D16B3">
              <w:rPr>
                <w:rFonts w:eastAsiaTheme="minorEastAsia"/>
                <w:noProof/>
                <w:lang w:val="en-GB" w:eastAsia="en-GB"/>
              </w:rPr>
              <w:tab/>
            </w:r>
            <w:r w:rsidR="005D16B3" w:rsidRPr="00D84F39">
              <w:rPr>
                <w:rStyle w:val="Hyperlink"/>
                <w:noProof/>
              </w:rPr>
              <w:t>File Upload Security</w:t>
            </w:r>
            <w:r w:rsidR="005D16B3">
              <w:rPr>
                <w:noProof/>
                <w:webHidden/>
              </w:rPr>
              <w:tab/>
            </w:r>
            <w:r w:rsidR="005D16B3">
              <w:rPr>
                <w:noProof/>
                <w:webHidden/>
              </w:rPr>
              <w:fldChar w:fldCharType="begin"/>
            </w:r>
            <w:r w:rsidR="005D16B3">
              <w:rPr>
                <w:noProof/>
                <w:webHidden/>
              </w:rPr>
              <w:instrText xml:space="preserve"> PAGEREF _Toc182233335 \h </w:instrText>
            </w:r>
            <w:r w:rsidR="005D16B3">
              <w:rPr>
                <w:noProof/>
                <w:webHidden/>
              </w:rPr>
            </w:r>
            <w:r w:rsidR="005D16B3">
              <w:rPr>
                <w:noProof/>
                <w:webHidden/>
              </w:rPr>
              <w:fldChar w:fldCharType="separate"/>
            </w:r>
            <w:r w:rsidR="005D16B3">
              <w:rPr>
                <w:noProof/>
                <w:webHidden/>
              </w:rPr>
              <w:t>22</w:t>
            </w:r>
            <w:r w:rsidR="005D16B3">
              <w:rPr>
                <w:noProof/>
                <w:webHidden/>
              </w:rPr>
              <w:fldChar w:fldCharType="end"/>
            </w:r>
          </w:hyperlink>
        </w:p>
        <w:p w14:paraId="012C70C1" w14:textId="77777777" w:rsidR="005D16B3" w:rsidRDefault="00000000">
          <w:pPr>
            <w:pStyle w:val="TOC3"/>
            <w:tabs>
              <w:tab w:val="left" w:pos="1320"/>
              <w:tab w:val="right" w:leader="dot" w:pos="9016"/>
            </w:tabs>
            <w:rPr>
              <w:rFonts w:eastAsiaTheme="minorEastAsia"/>
              <w:noProof/>
              <w:lang w:val="en-GB" w:eastAsia="en-GB"/>
            </w:rPr>
          </w:pPr>
          <w:hyperlink w:anchor="_Toc182233336" w:history="1">
            <w:r w:rsidR="005D16B3" w:rsidRPr="00D84F39">
              <w:rPr>
                <w:rStyle w:val="Hyperlink"/>
                <w:noProof/>
              </w:rPr>
              <w:t>7.1.3</w:t>
            </w:r>
            <w:r w:rsidR="005D16B3">
              <w:rPr>
                <w:rFonts w:eastAsiaTheme="minorEastAsia"/>
                <w:noProof/>
                <w:lang w:val="en-GB" w:eastAsia="en-GB"/>
              </w:rPr>
              <w:tab/>
            </w:r>
            <w:r w:rsidR="005D16B3" w:rsidRPr="00D84F39">
              <w:rPr>
                <w:rStyle w:val="Hyperlink"/>
                <w:noProof/>
              </w:rPr>
              <w:t>Attack Surface Management (ASM)</w:t>
            </w:r>
            <w:r w:rsidR="005D16B3">
              <w:rPr>
                <w:noProof/>
                <w:webHidden/>
              </w:rPr>
              <w:tab/>
            </w:r>
            <w:r w:rsidR="005D16B3">
              <w:rPr>
                <w:noProof/>
                <w:webHidden/>
              </w:rPr>
              <w:fldChar w:fldCharType="begin"/>
            </w:r>
            <w:r w:rsidR="005D16B3">
              <w:rPr>
                <w:noProof/>
                <w:webHidden/>
              </w:rPr>
              <w:instrText xml:space="preserve"> PAGEREF _Toc182233336 \h </w:instrText>
            </w:r>
            <w:r w:rsidR="005D16B3">
              <w:rPr>
                <w:noProof/>
                <w:webHidden/>
              </w:rPr>
            </w:r>
            <w:r w:rsidR="005D16B3">
              <w:rPr>
                <w:noProof/>
                <w:webHidden/>
              </w:rPr>
              <w:fldChar w:fldCharType="separate"/>
            </w:r>
            <w:r w:rsidR="005D16B3">
              <w:rPr>
                <w:noProof/>
                <w:webHidden/>
              </w:rPr>
              <w:t>22</w:t>
            </w:r>
            <w:r w:rsidR="005D16B3">
              <w:rPr>
                <w:noProof/>
                <w:webHidden/>
              </w:rPr>
              <w:fldChar w:fldCharType="end"/>
            </w:r>
          </w:hyperlink>
        </w:p>
        <w:p w14:paraId="20EE4540" w14:textId="77777777" w:rsidR="005D16B3" w:rsidRDefault="00000000">
          <w:pPr>
            <w:pStyle w:val="TOC3"/>
            <w:tabs>
              <w:tab w:val="left" w:pos="1320"/>
              <w:tab w:val="right" w:leader="dot" w:pos="9016"/>
            </w:tabs>
            <w:rPr>
              <w:rFonts w:eastAsiaTheme="minorEastAsia"/>
              <w:noProof/>
              <w:lang w:val="en-GB" w:eastAsia="en-GB"/>
            </w:rPr>
          </w:pPr>
          <w:hyperlink w:anchor="_Toc182233337" w:history="1">
            <w:r w:rsidR="005D16B3" w:rsidRPr="00D84F39">
              <w:rPr>
                <w:rStyle w:val="Hyperlink"/>
                <w:noProof/>
              </w:rPr>
              <w:t>7.1.4</w:t>
            </w:r>
            <w:r w:rsidR="005D16B3">
              <w:rPr>
                <w:rFonts w:eastAsiaTheme="minorEastAsia"/>
                <w:noProof/>
                <w:lang w:val="en-GB" w:eastAsia="en-GB"/>
              </w:rPr>
              <w:tab/>
            </w:r>
            <w:r w:rsidR="005D16B3" w:rsidRPr="00D84F39">
              <w:rPr>
                <w:rStyle w:val="Hyperlink"/>
                <w:noProof/>
              </w:rPr>
              <w:t>Breach and Attack Simulation (BAS) with Red team solution</w:t>
            </w:r>
            <w:r w:rsidR="005D16B3">
              <w:rPr>
                <w:noProof/>
                <w:webHidden/>
              </w:rPr>
              <w:tab/>
            </w:r>
            <w:r w:rsidR="005D16B3">
              <w:rPr>
                <w:noProof/>
                <w:webHidden/>
              </w:rPr>
              <w:fldChar w:fldCharType="begin"/>
            </w:r>
            <w:r w:rsidR="005D16B3">
              <w:rPr>
                <w:noProof/>
                <w:webHidden/>
              </w:rPr>
              <w:instrText xml:space="preserve"> PAGEREF _Toc182233337 \h </w:instrText>
            </w:r>
            <w:r w:rsidR="005D16B3">
              <w:rPr>
                <w:noProof/>
                <w:webHidden/>
              </w:rPr>
            </w:r>
            <w:r w:rsidR="005D16B3">
              <w:rPr>
                <w:noProof/>
                <w:webHidden/>
              </w:rPr>
              <w:fldChar w:fldCharType="separate"/>
            </w:r>
            <w:r w:rsidR="005D16B3">
              <w:rPr>
                <w:noProof/>
                <w:webHidden/>
              </w:rPr>
              <w:t>23</w:t>
            </w:r>
            <w:r w:rsidR="005D16B3">
              <w:rPr>
                <w:noProof/>
                <w:webHidden/>
              </w:rPr>
              <w:fldChar w:fldCharType="end"/>
            </w:r>
          </w:hyperlink>
        </w:p>
        <w:p w14:paraId="6FE3775F" w14:textId="77777777" w:rsidR="005D16B3" w:rsidRDefault="00000000">
          <w:pPr>
            <w:pStyle w:val="TOC3"/>
            <w:tabs>
              <w:tab w:val="left" w:pos="1320"/>
              <w:tab w:val="right" w:leader="dot" w:pos="9016"/>
            </w:tabs>
            <w:rPr>
              <w:rFonts w:eastAsiaTheme="minorEastAsia"/>
              <w:noProof/>
              <w:lang w:val="en-GB" w:eastAsia="en-GB"/>
            </w:rPr>
          </w:pPr>
          <w:hyperlink w:anchor="_Toc182233338" w:history="1">
            <w:r w:rsidR="005D16B3" w:rsidRPr="00D84F39">
              <w:rPr>
                <w:rStyle w:val="Hyperlink"/>
                <w:noProof/>
              </w:rPr>
              <w:t>7.1.5</w:t>
            </w:r>
            <w:r w:rsidR="005D16B3">
              <w:rPr>
                <w:rFonts w:eastAsiaTheme="minorEastAsia"/>
                <w:noProof/>
                <w:lang w:val="en-GB" w:eastAsia="en-GB"/>
              </w:rPr>
              <w:tab/>
            </w:r>
            <w:r w:rsidR="005D16B3" w:rsidRPr="00D84F39">
              <w:rPr>
                <w:rStyle w:val="Hyperlink"/>
                <w:noProof/>
              </w:rPr>
              <w:t>Phishing Simulation</w:t>
            </w:r>
            <w:r w:rsidR="005D16B3">
              <w:rPr>
                <w:noProof/>
                <w:webHidden/>
              </w:rPr>
              <w:tab/>
            </w:r>
            <w:r w:rsidR="005D16B3">
              <w:rPr>
                <w:noProof/>
                <w:webHidden/>
              </w:rPr>
              <w:fldChar w:fldCharType="begin"/>
            </w:r>
            <w:r w:rsidR="005D16B3">
              <w:rPr>
                <w:noProof/>
                <w:webHidden/>
              </w:rPr>
              <w:instrText xml:space="preserve"> PAGEREF _Toc182233338 \h </w:instrText>
            </w:r>
            <w:r w:rsidR="005D16B3">
              <w:rPr>
                <w:noProof/>
                <w:webHidden/>
              </w:rPr>
            </w:r>
            <w:r w:rsidR="005D16B3">
              <w:rPr>
                <w:noProof/>
                <w:webHidden/>
              </w:rPr>
              <w:fldChar w:fldCharType="separate"/>
            </w:r>
            <w:r w:rsidR="005D16B3">
              <w:rPr>
                <w:noProof/>
                <w:webHidden/>
              </w:rPr>
              <w:t>25</w:t>
            </w:r>
            <w:r w:rsidR="005D16B3">
              <w:rPr>
                <w:noProof/>
                <w:webHidden/>
              </w:rPr>
              <w:fldChar w:fldCharType="end"/>
            </w:r>
          </w:hyperlink>
        </w:p>
        <w:p w14:paraId="04677C07" w14:textId="77777777" w:rsidR="005D16B3" w:rsidRDefault="00000000">
          <w:pPr>
            <w:pStyle w:val="TOC3"/>
            <w:tabs>
              <w:tab w:val="left" w:pos="1320"/>
              <w:tab w:val="right" w:leader="dot" w:pos="9016"/>
            </w:tabs>
            <w:rPr>
              <w:rFonts w:eastAsiaTheme="minorEastAsia"/>
              <w:noProof/>
              <w:lang w:val="en-GB" w:eastAsia="en-GB"/>
            </w:rPr>
          </w:pPr>
          <w:hyperlink w:anchor="_Toc182233339" w:history="1">
            <w:r w:rsidR="005D16B3" w:rsidRPr="00D84F39">
              <w:rPr>
                <w:rStyle w:val="Hyperlink"/>
                <w:noProof/>
              </w:rPr>
              <w:t>7.1.6</w:t>
            </w:r>
            <w:r w:rsidR="005D16B3">
              <w:rPr>
                <w:rFonts w:eastAsiaTheme="minorEastAsia"/>
                <w:noProof/>
                <w:lang w:val="en-GB" w:eastAsia="en-GB"/>
              </w:rPr>
              <w:tab/>
            </w:r>
            <w:r w:rsidR="005D16B3" w:rsidRPr="00D84F39">
              <w:rPr>
                <w:rStyle w:val="Hyperlink"/>
                <w:noProof/>
              </w:rPr>
              <w:t>AD Security</w:t>
            </w:r>
            <w:r w:rsidR="005D16B3">
              <w:rPr>
                <w:noProof/>
                <w:webHidden/>
              </w:rPr>
              <w:tab/>
            </w:r>
            <w:r w:rsidR="005D16B3">
              <w:rPr>
                <w:noProof/>
                <w:webHidden/>
              </w:rPr>
              <w:fldChar w:fldCharType="begin"/>
            </w:r>
            <w:r w:rsidR="005D16B3">
              <w:rPr>
                <w:noProof/>
                <w:webHidden/>
              </w:rPr>
              <w:instrText xml:space="preserve"> PAGEREF _Toc182233339 \h </w:instrText>
            </w:r>
            <w:r w:rsidR="005D16B3">
              <w:rPr>
                <w:noProof/>
                <w:webHidden/>
              </w:rPr>
            </w:r>
            <w:r w:rsidR="005D16B3">
              <w:rPr>
                <w:noProof/>
                <w:webHidden/>
              </w:rPr>
              <w:fldChar w:fldCharType="separate"/>
            </w:r>
            <w:r w:rsidR="005D16B3">
              <w:rPr>
                <w:noProof/>
                <w:webHidden/>
              </w:rPr>
              <w:t>26</w:t>
            </w:r>
            <w:r w:rsidR="005D16B3">
              <w:rPr>
                <w:noProof/>
                <w:webHidden/>
              </w:rPr>
              <w:fldChar w:fldCharType="end"/>
            </w:r>
          </w:hyperlink>
        </w:p>
        <w:p w14:paraId="110DC1D5" w14:textId="77777777" w:rsidR="005D16B3" w:rsidRDefault="00000000">
          <w:pPr>
            <w:pStyle w:val="TOC3"/>
            <w:tabs>
              <w:tab w:val="left" w:pos="1320"/>
              <w:tab w:val="right" w:leader="dot" w:pos="9016"/>
            </w:tabs>
            <w:rPr>
              <w:rFonts w:eastAsiaTheme="minorEastAsia"/>
              <w:noProof/>
              <w:lang w:val="en-GB" w:eastAsia="en-GB"/>
            </w:rPr>
          </w:pPr>
          <w:hyperlink w:anchor="_Toc182233340" w:history="1">
            <w:r w:rsidR="005D16B3" w:rsidRPr="00D84F39">
              <w:rPr>
                <w:rStyle w:val="Hyperlink"/>
                <w:noProof/>
              </w:rPr>
              <w:t>7.1.7</w:t>
            </w:r>
            <w:r w:rsidR="005D16B3">
              <w:rPr>
                <w:rFonts w:eastAsiaTheme="minorEastAsia"/>
                <w:noProof/>
                <w:lang w:val="en-GB" w:eastAsia="en-GB"/>
              </w:rPr>
              <w:tab/>
            </w:r>
            <w:r w:rsidR="005D16B3" w:rsidRPr="00D84F39">
              <w:rPr>
                <w:rStyle w:val="Hyperlink"/>
                <w:noProof/>
              </w:rPr>
              <w:t>IT Governance, Risk and Compliance (GRC)</w:t>
            </w:r>
            <w:r w:rsidR="005D16B3">
              <w:rPr>
                <w:noProof/>
                <w:webHidden/>
              </w:rPr>
              <w:tab/>
            </w:r>
            <w:r w:rsidR="005D16B3">
              <w:rPr>
                <w:noProof/>
                <w:webHidden/>
              </w:rPr>
              <w:fldChar w:fldCharType="begin"/>
            </w:r>
            <w:r w:rsidR="005D16B3">
              <w:rPr>
                <w:noProof/>
                <w:webHidden/>
              </w:rPr>
              <w:instrText xml:space="preserve"> PAGEREF _Toc182233340 \h </w:instrText>
            </w:r>
            <w:r w:rsidR="005D16B3">
              <w:rPr>
                <w:noProof/>
                <w:webHidden/>
              </w:rPr>
            </w:r>
            <w:r w:rsidR="005D16B3">
              <w:rPr>
                <w:noProof/>
                <w:webHidden/>
              </w:rPr>
              <w:fldChar w:fldCharType="separate"/>
            </w:r>
            <w:r w:rsidR="005D16B3">
              <w:rPr>
                <w:noProof/>
                <w:webHidden/>
              </w:rPr>
              <w:t>27</w:t>
            </w:r>
            <w:r w:rsidR="005D16B3">
              <w:rPr>
                <w:noProof/>
                <w:webHidden/>
              </w:rPr>
              <w:fldChar w:fldCharType="end"/>
            </w:r>
          </w:hyperlink>
        </w:p>
        <w:p w14:paraId="57D1BF13" w14:textId="77777777" w:rsidR="005D16B3" w:rsidRDefault="00000000">
          <w:pPr>
            <w:pStyle w:val="TOC3"/>
            <w:tabs>
              <w:tab w:val="left" w:pos="1320"/>
              <w:tab w:val="right" w:leader="dot" w:pos="9016"/>
            </w:tabs>
            <w:rPr>
              <w:rFonts w:eastAsiaTheme="minorEastAsia"/>
              <w:noProof/>
              <w:lang w:val="en-GB" w:eastAsia="en-GB"/>
            </w:rPr>
          </w:pPr>
          <w:hyperlink w:anchor="_Toc182233341" w:history="1">
            <w:r w:rsidR="005D16B3" w:rsidRPr="00D84F39">
              <w:rPr>
                <w:rStyle w:val="Hyperlink"/>
                <w:noProof/>
              </w:rPr>
              <w:t>7.1.8</w:t>
            </w:r>
            <w:r w:rsidR="005D16B3">
              <w:rPr>
                <w:rFonts w:eastAsiaTheme="minorEastAsia"/>
                <w:noProof/>
                <w:lang w:val="en-GB" w:eastAsia="en-GB"/>
              </w:rPr>
              <w:tab/>
            </w:r>
            <w:r w:rsidR="005D16B3" w:rsidRPr="00D84F39">
              <w:rPr>
                <w:rStyle w:val="Hyperlink"/>
                <w:noProof/>
              </w:rPr>
              <w:t>Decoy (Honeypot)</w:t>
            </w:r>
            <w:r w:rsidR="005D16B3">
              <w:rPr>
                <w:noProof/>
                <w:webHidden/>
              </w:rPr>
              <w:tab/>
            </w:r>
            <w:r w:rsidR="005D16B3">
              <w:rPr>
                <w:noProof/>
                <w:webHidden/>
              </w:rPr>
              <w:fldChar w:fldCharType="begin"/>
            </w:r>
            <w:r w:rsidR="005D16B3">
              <w:rPr>
                <w:noProof/>
                <w:webHidden/>
              </w:rPr>
              <w:instrText xml:space="preserve"> PAGEREF _Toc182233341 \h </w:instrText>
            </w:r>
            <w:r w:rsidR="005D16B3">
              <w:rPr>
                <w:noProof/>
                <w:webHidden/>
              </w:rPr>
            </w:r>
            <w:r w:rsidR="005D16B3">
              <w:rPr>
                <w:noProof/>
                <w:webHidden/>
              </w:rPr>
              <w:fldChar w:fldCharType="separate"/>
            </w:r>
            <w:r w:rsidR="005D16B3">
              <w:rPr>
                <w:noProof/>
                <w:webHidden/>
              </w:rPr>
              <w:t>28</w:t>
            </w:r>
            <w:r w:rsidR="005D16B3">
              <w:rPr>
                <w:noProof/>
                <w:webHidden/>
              </w:rPr>
              <w:fldChar w:fldCharType="end"/>
            </w:r>
          </w:hyperlink>
        </w:p>
        <w:p w14:paraId="249C2CAC" w14:textId="77777777" w:rsidR="005D16B3" w:rsidRDefault="00000000">
          <w:pPr>
            <w:pStyle w:val="TOC3"/>
            <w:tabs>
              <w:tab w:val="left" w:pos="1320"/>
              <w:tab w:val="right" w:leader="dot" w:pos="9016"/>
            </w:tabs>
            <w:rPr>
              <w:rFonts w:eastAsiaTheme="minorEastAsia"/>
              <w:noProof/>
              <w:lang w:val="en-GB" w:eastAsia="en-GB"/>
            </w:rPr>
          </w:pPr>
          <w:hyperlink w:anchor="_Toc182233342" w:history="1">
            <w:r w:rsidR="005D16B3" w:rsidRPr="00D84F39">
              <w:rPr>
                <w:rStyle w:val="Hyperlink"/>
                <w:noProof/>
              </w:rPr>
              <w:t>7.1.9</w:t>
            </w:r>
            <w:r w:rsidR="005D16B3">
              <w:rPr>
                <w:rFonts w:eastAsiaTheme="minorEastAsia"/>
                <w:noProof/>
                <w:lang w:val="en-GB" w:eastAsia="en-GB"/>
              </w:rPr>
              <w:tab/>
            </w:r>
            <w:r w:rsidR="005D16B3" w:rsidRPr="00D84F39">
              <w:rPr>
                <w:rStyle w:val="Hyperlink"/>
                <w:noProof/>
              </w:rPr>
              <w:t>Mobile Device Management (MDM)</w:t>
            </w:r>
            <w:r w:rsidR="005D16B3">
              <w:rPr>
                <w:noProof/>
                <w:webHidden/>
              </w:rPr>
              <w:tab/>
            </w:r>
            <w:r w:rsidR="005D16B3">
              <w:rPr>
                <w:noProof/>
                <w:webHidden/>
              </w:rPr>
              <w:fldChar w:fldCharType="begin"/>
            </w:r>
            <w:r w:rsidR="005D16B3">
              <w:rPr>
                <w:noProof/>
                <w:webHidden/>
              </w:rPr>
              <w:instrText xml:space="preserve"> PAGEREF _Toc182233342 \h </w:instrText>
            </w:r>
            <w:r w:rsidR="005D16B3">
              <w:rPr>
                <w:noProof/>
                <w:webHidden/>
              </w:rPr>
            </w:r>
            <w:r w:rsidR="005D16B3">
              <w:rPr>
                <w:noProof/>
                <w:webHidden/>
              </w:rPr>
              <w:fldChar w:fldCharType="separate"/>
            </w:r>
            <w:r w:rsidR="005D16B3">
              <w:rPr>
                <w:noProof/>
                <w:webHidden/>
              </w:rPr>
              <w:t>29</w:t>
            </w:r>
            <w:r w:rsidR="005D16B3">
              <w:rPr>
                <w:noProof/>
                <w:webHidden/>
              </w:rPr>
              <w:fldChar w:fldCharType="end"/>
            </w:r>
          </w:hyperlink>
        </w:p>
        <w:p w14:paraId="166A8420" w14:textId="77777777" w:rsidR="005D16B3" w:rsidRDefault="00000000">
          <w:pPr>
            <w:pStyle w:val="TOC3"/>
            <w:tabs>
              <w:tab w:val="left" w:pos="1320"/>
              <w:tab w:val="right" w:leader="dot" w:pos="9016"/>
            </w:tabs>
            <w:rPr>
              <w:rFonts w:eastAsiaTheme="minorEastAsia"/>
              <w:noProof/>
              <w:lang w:val="en-GB" w:eastAsia="en-GB"/>
            </w:rPr>
          </w:pPr>
          <w:hyperlink w:anchor="_Toc182233343" w:history="1">
            <w:r w:rsidR="005D16B3" w:rsidRPr="00D84F39">
              <w:rPr>
                <w:rStyle w:val="Hyperlink"/>
                <w:noProof/>
              </w:rPr>
              <w:t>7.1.10</w:t>
            </w:r>
            <w:r w:rsidR="005D16B3">
              <w:rPr>
                <w:rFonts w:eastAsiaTheme="minorEastAsia"/>
                <w:noProof/>
                <w:lang w:val="en-GB" w:eastAsia="en-GB"/>
              </w:rPr>
              <w:tab/>
            </w:r>
            <w:r w:rsidR="005D16B3" w:rsidRPr="00D84F39">
              <w:rPr>
                <w:rStyle w:val="Hyperlink"/>
                <w:noProof/>
              </w:rPr>
              <w:t>Secure Data Backup and Recovery (Ransomware Protection)</w:t>
            </w:r>
            <w:r w:rsidR="005D16B3">
              <w:rPr>
                <w:noProof/>
                <w:webHidden/>
              </w:rPr>
              <w:tab/>
            </w:r>
            <w:r w:rsidR="005D16B3">
              <w:rPr>
                <w:noProof/>
                <w:webHidden/>
              </w:rPr>
              <w:fldChar w:fldCharType="begin"/>
            </w:r>
            <w:r w:rsidR="005D16B3">
              <w:rPr>
                <w:noProof/>
                <w:webHidden/>
              </w:rPr>
              <w:instrText xml:space="preserve"> PAGEREF _Toc182233343 \h </w:instrText>
            </w:r>
            <w:r w:rsidR="005D16B3">
              <w:rPr>
                <w:noProof/>
                <w:webHidden/>
              </w:rPr>
            </w:r>
            <w:r w:rsidR="005D16B3">
              <w:rPr>
                <w:noProof/>
                <w:webHidden/>
              </w:rPr>
              <w:fldChar w:fldCharType="separate"/>
            </w:r>
            <w:r w:rsidR="005D16B3">
              <w:rPr>
                <w:noProof/>
                <w:webHidden/>
              </w:rPr>
              <w:t>30</w:t>
            </w:r>
            <w:r w:rsidR="005D16B3">
              <w:rPr>
                <w:noProof/>
                <w:webHidden/>
              </w:rPr>
              <w:fldChar w:fldCharType="end"/>
            </w:r>
          </w:hyperlink>
        </w:p>
        <w:p w14:paraId="0F5B779A" w14:textId="77777777" w:rsidR="005D16B3" w:rsidRDefault="00000000">
          <w:pPr>
            <w:pStyle w:val="TOC3"/>
            <w:tabs>
              <w:tab w:val="left" w:pos="1320"/>
              <w:tab w:val="right" w:leader="dot" w:pos="9016"/>
            </w:tabs>
            <w:rPr>
              <w:rFonts w:eastAsiaTheme="minorEastAsia"/>
              <w:noProof/>
              <w:lang w:val="en-GB" w:eastAsia="en-GB"/>
            </w:rPr>
          </w:pPr>
          <w:hyperlink w:anchor="_Toc182233344" w:history="1">
            <w:r w:rsidR="005D16B3" w:rsidRPr="00D84F39">
              <w:rPr>
                <w:rStyle w:val="Hyperlink"/>
                <w:noProof/>
              </w:rPr>
              <w:t>7.1.11</w:t>
            </w:r>
            <w:r w:rsidR="005D16B3">
              <w:rPr>
                <w:rFonts w:eastAsiaTheme="minorEastAsia"/>
                <w:noProof/>
                <w:lang w:val="en-GB" w:eastAsia="en-GB"/>
              </w:rPr>
              <w:tab/>
            </w:r>
            <w:r w:rsidR="005D16B3" w:rsidRPr="00D84F39">
              <w:rPr>
                <w:rStyle w:val="Hyperlink"/>
                <w:noProof/>
              </w:rPr>
              <w:t>Network Access Control (NAC)</w:t>
            </w:r>
            <w:r w:rsidR="005D16B3">
              <w:rPr>
                <w:noProof/>
                <w:webHidden/>
              </w:rPr>
              <w:tab/>
            </w:r>
            <w:r w:rsidR="005D16B3">
              <w:rPr>
                <w:noProof/>
                <w:webHidden/>
              </w:rPr>
              <w:fldChar w:fldCharType="begin"/>
            </w:r>
            <w:r w:rsidR="005D16B3">
              <w:rPr>
                <w:noProof/>
                <w:webHidden/>
              </w:rPr>
              <w:instrText xml:space="preserve"> PAGEREF _Toc182233344 \h </w:instrText>
            </w:r>
            <w:r w:rsidR="005D16B3">
              <w:rPr>
                <w:noProof/>
                <w:webHidden/>
              </w:rPr>
            </w:r>
            <w:r w:rsidR="005D16B3">
              <w:rPr>
                <w:noProof/>
                <w:webHidden/>
              </w:rPr>
              <w:fldChar w:fldCharType="separate"/>
            </w:r>
            <w:r w:rsidR="005D16B3">
              <w:rPr>
                <w:noProof/>
                <w:webHidden/>
              </w:rPr>
              <w:t>31</w:t>
            </w:r>
            <w:r w:rsidR="005D16B3">
              <w:rPr>
                <w:noProof/>
                <w:webHidden/>
              </w:rPr>
              <w:fldChar w:fldCharType="end"/>
            </w:r>
          </w:hyperlink>
        </w:p>
        <w:p w14:paraId="4307F65C" w14:textId="77777777" w:rsidR="005D16B3" w:rsidRDefault="00000000">
          <w:pPr>
            <w:pStyle w:val="TOC2"/>
            <w:tabs>
              <w:tab w:val="left" w:pos="880"/>
              <w:tab w:val="right" w:leader="dot" w:pos="9016"/>
            </w:tabs>
            <w:rPr>
              <w:rFonts w:eastAsiaTheme="minorEastAsia"/>
              <w:noProof/>
              <w:lang w:val="en-GB" w:eastAsia="en-GB"/>
            </w:rPr>
          </w:pPr>
          <w:hyperlink w:anchor="_Toc182233345" w:history="1">
            <w:r w:rsidR="005D16B3" w:rsidRPr="00D84F39">
              <w:rPr>
                <w:rStyle w:val="Hyperlink"/>
                <w:b/>
                <w:bCs/>
                <w:noProof/>
              </w:rPr>
              <w:t>7.2</w:t>
            </w:r>
            <w:r w:rsidR="005D16B3">
              <w:rPr>
                <w:rFonts w:eastAsiaTheme="minorEastAsia"/>
                <w:noProof/>
                <w:lang w:val="en-GB" w:eastAsia="en-GB"/>
              </w:rPr>
              <w:tab/>
            </w:r>
            <w:r w:rsidR="005D16B3" w:rsidRPr="00D84F39">
              <w:rPr>
                <w:rStyle w:val="Hyperlink"/>
                <w:b/>
                <w:bCs/>
                <w:noProof/>
              </w:rPr>
              <w:t>Detailed Scope of work for Facility Management Services</w:t>
            </w:r>
            <w:r w:rsidR="005D16B3">
              <w:rPr>
                <w:noProof/>
                <w:webHidden/>
              </w:rPr>
              <w:tab/>
            </w:r>
            <w:r w:rsidR="005D16B3">
              <w:rPr>
                <w:noProof/>
                <w:webHidden/>
              </w:rPr>
              <w:fldChar w:fldCharType="begin"/>
            </w:r>
            <w:r w:rsidR="005D16B3">
              <w:rPr>
                <w:noProof/>
                <w:webHidden/>
              </w:rPr>
              <w:instrText xml:space="preserve"> PAGEREF _Toc182233345 \h </w:instrText>
            </w:r>
            <w:r w:rsidR="005D16B3">
              <w:rPr>
                <w:noProof/>
                <w:webHidden/>
              </w:rPr>
            </w:r>
            <w:r w:rsidR="005D16B3">
              <w:rPr>
                <w:noProof/>
                <w:webHidden/>
              </w:rPr>
              <w:fldChar w:fldCharType="separate"/>
            </w:r>
            <w:r w:rsidR="005D16B3">
              <w:rPr>
                <w:noProof/>
                <w:webHidden/>
              </w:rPr>
              <w:t>33</w:t>
            </w:r>
            <w:r w:rsidR="005D16B3">
              <w:rPr>
                <w:noProof/>
                <w:webHidden/>
              </w:rPr>
              <w:fldChar w:fldCharType="end"/>
            </w:r>
          </w:hyperlink>
        </w:p>
        <w:p w14:paraId="2382EFBB" w14:textId="77777777" w:rsidR="005D16B3" w:rsidRDefault="00000000">
          <w:pPr>
            <w:pStyle w:val="TOC1"/>
            <w:rPr>
              <w:rFonts w:eastAsiaTheme="minorEastAsia"/>
              <w:b w:val="0"/>
              <w:bCs w:val="0"/>
              <w:lang w:val="en-GB" w:eastAsia="en-GB"/>
            </w:rPr>
          </w:pPr>
          <w:hyperlink w:anchor="_Toc182233346" w:history="1">
            <w:r w:rsidR="005D16B3" w:rsidRPr="00D84F39">
              <w:rPr>
                <w:rStyle w:val="Hyperlink"/>
                <w:rFonts w:cstheme="minorHAnsi"/>
              </w:rPr>
              <w:t>8.</w:t>
            </w:r>
            <w:r w:rsidR="005D16B3">
              <w:rPr>
                <w:rFonts w:eastAsiaTheme="minorEastAsia"/>
                <w:b w:val="0"/>
                <w:bCs w:val="0"/>
                <w:lang w:val="en-GB" w:eastAsia="en-GB"/>
              </w:rPr>
              <w:tab/>
            </w:r>
            <w:r w:rsidR="005D16B3" w:rsidRPr="00D84F39">
              <w:rPr>
                <w:rStyle w:val="Hyperlink"/>
                <w:rFonts w:cstheme="minorHAnsi"/>
              </w:rPr>
              <w:t>General Responsibility of the Bidder</w:t>
            </w:r>
            <w:r w:rsidR="005D16B3">
              <w:rPr>
                <w:webHidden/>
              </w:rPr>
              <w:tab/>
            </w:r>
            <w:r w:rsidR="005D16B3">
              <w:rPr>
                <w:webHidden/>
              </w:rPr>
              <w:fldChar w:fldCharType="begin"/>
            </w:r>
            <w:r w:rsidR="005D16B3">
              <w:rPr>
                <w:webHidden/>
              </w:rPr>
              <w:instrText xml:space="preserve"> PAGEREF _Toc182233346 \h </w:instrText>
            </w:r>
            <w:r w:rsidR="005D16B3">
              <w:rPr>
                <w:webHidden/>
              </w:rPr>
            </w:r>
            <w:r w:rsidR="005D16B3">
              <w:rPr>
                <w:webHidden/>
              </w:rPr>
              <w:fldChar w:fldCharType="separate"/>
            </w:r>
            <w:r w:rsidR="005D16B3">
              <w:rPr>
                <w:webHidden/>
              </w:rPr>
              <w:t>34</w:t>
            </w:r>
            <w:r w:rsidR="005D16B3">
              <w:rPr>
                <w:webHidden/>
              </w:rPr>
              <w:fldChar w:fldCharType="end"/>
            </w:r>
          </w:hyperlink>
        </w:p>
        <w:p w14:paraId="71339745" w14:textId="77777777" w:rsidR="005D16B3" w:rsidRDefault="00000000">
          <w:pPr>
            <w:pStyle w:val="TOC1"/>
            <w:rPr>
              <w:rFonts w:eastAsiaTheme="minorEastAsia"/>
              <w:b w:val="0"/>
              <w:bCs w:val="0"/>
              <w:lang w:val="en-GB" w:eastAsia="en-GB"/>
            </w:rPr>
          </w:pPr>
          <w:hyperlink w:anchor="_Toc182233347" w:history="1">
            <w:r w:rsidR="005D16B3" w:rsidRPr="00D84F39">
              <w:rPr>
                <w:rStyle w:val="Hyperlink"/>
                <w:rFonts w:cstheme="minorHAnsi"/>
              </w:rPr>
              <w:t>9.</w:t>
            </w:r>
            <w:r w:rsidR="005D16B3">
              <w:rPr>
                <w:rFonts w:eastAsiaTheme="minorEastAsia"/>
                <w:b w:val="0"/>
                <w:bCs w:val="0"/>
                <w:lang w:val="en-GB" w:eastAsia="en-GB"/>
              </w:rPr>
              <w:tab/>
            </w:r>
            <w:r w:rsidR="005D16B3" w:rsidRPr="00D84F39">
              <w:rPr>
                <w:rStyle w:val="Hyperlink"/>
                <w:rFonts w:cstheme="minorHAnsi"/>
              </w:rPr>
              <w:t>Project Timelines</w:t>
            </w:r>
            <w:r w:rsidR="005D16B3">
              <w:rPr>
                <w:webHidden/>
              </w:rPr>
              <w:tab/>
            </w:r>
            <w:r w:rsidR="005D16B3">
              <w:rPr>
                <w:webHidden/>
              </w:rPr>
              <w:fldChar w:fldCharType="begin"/>
            </w:r>
            <w:r w:rsidR="005D16B3">
              <w:rPr>
                <w:webHidden/>
              </w:rPr>
              <w:instrText xml:space="preserve"> PAGEREF _Toc182233347 \h </w:instrText>
            </w:r>
            <w:r w:rsidR="005D16B3">
              <w:rPr>
                <w:webHidden/>
              </w:rPr>
            </w:r>
            <w:r w:rsidR="005D16B3">
              <w:rPr>
                <w:webHidden/>
              </w:rPr>
              <w:fldChar w:fldCharType="separate"/>
            </w:r>
            <w:r w:rsidR="005D16B3">
              <w:rPr>
                <w:webHidden/>
              </w:rPr>
              <w:t>36</w:t>
            </w:r>
            <w:r w:rsidR="005D16B3">
              <w:rPr>
                <w:webHidden/>
              </w:rPr>
              <w:fldChar w:fldCharType="end"/>
            </w:r>
          </w:hyperlink>
        </w:p>
        <w:p w14:paraId="633F3710" w14:textId="77777777" w:rsidR="005D16B3" w:rsidRDefault="00000000">
          <w:pPr>
            <w:pStyle w:val="TOC1"/>
            <w:rPr>
              <w:rFonts w:eastAsiaTheme="minorEastAsia"/>
              <w:b w:val="0"/>
              <w:bCs w:val="0"/>
              <w:lang w:val="en-GB" w:eastAsia="en-GB"/>
            </w:rPr>
          </w:pPr>
          <w:hyperlink w:anchor="_Toc182233348" w:history="1">
            <w:r w:rsidR="005D16B3" w:rsidRPr="00D84F39">
              <w:rPr>
                <w:rStyle w:val="Hyperlink"/>
                <w:rFonts w:cstheme="minorHAnsi"/>
              </w:rPr>
              <w:t>10.</w:t>
            </w:r>
            <w:r w:rsidR="005D16B3">
              <w:rPr>
                <w:rFonts w:eastAsiaTheme="minorEastAsia"/>
                <w:b w:val="0"/>
                <w:bCs w:val="0"/>
                <w:lang w:val="en-GB" w:eastAsia="en-GB"/>
              </w:rPr>
              <w:tab/>
            </w:r>
            <w:r w:rsidR="005D16B3" w:rsidRPr="00D84F39">
              <w:rPr>
                <w:rStyle w:val="Hyperlink"/>
                <w:rFonts w:cstheme="minorHAnsi"/>
              </w:rPr>
              <w:t>Staggered delivery of the equipment’s.</w:t>
            </w:r>
            <w:r w:rsidR="005D16B3">
              <w:rPr>
                <w:webHidden/>
              </w:rPr>
              <w:tab/>
            </w:r>
            <w:r w:rsidR="005D16B3">
              <w:rPr>
                <w:webHidden/>
              </w:rPr>
              <w:fldChar w:fldCharType="begin"/>
            </w:r>
            <w:r w:rsidR="005D16B3">
              <w:rPr>
                <w:webHidden/>
              </w:rPr>
              <w:instrText xml:space="preserve"> PAGEREF _Toc182233348 \h </w:instrText>
            </w:r>
            <w:r w:rsidR="005D16B3">
              <w:rPr>
                <w:webHidden/>
              </w:rPr>
            </w:r>
            <w:r w:rsidR="005D16B3">
              <w:rPr>
                <w:webHidden/>
              </w:rPr>
              <w:fldChar w:fldCharType="separate"/>
            </w:r>
            <w:r w:rsidR="005D16B3">
              <w:rPr>
                <w:webHidden/>
              </w:rPr>
              <w:t>36</w:t>
            </w:r>
            <w:r w:rsidR="005D16B3">
              <w:rPr>
                <w:webHidden/>
              </w:rPr>
              <w:fldChar w:fldCharType="end"/>
            </w:r>
          </w:hyperlink>
        </w:p>
        <w:p w14:paraId="0B304A8A" w14:textId="77777777" w:rsidR="005D16B3" w:rsidRDefault="00000000">
          <w:pPr>
            <w:pStyle w:val="TOC1"/>
            <w:rPr>
              <w:rFonts w:eastAsiaTheme="minorEastAsia"/>
              <w:b w:val="0"/>
              <w:bCs w:val="0"/>
              <w:lang w:val="en-GB" w:eastAsia="en-GB"/>
            </w:rPr>
          </w:pPr>
          <w:hyperlink w:anchor="_Toc182233349" w:history="1">
            <w:r w:rsidR="005D16B3" w:rsidRPr="00D84F39">
              <w:rPr>
                <w:rStyle w:val="Hyperlink"/>
                <w:rFonts w:cstheme="minorHAnsi"/>
              </w:rPr>
              <w:t>11.</w:t>
            </w:r>
            <w:r w:rsidR="005D16B3">
              <w:rPr>
                <w:rFonts w:eastAsiaTheme="minorEastAsia"/>
                <w:b w:val="0"/>
                <w:bCs w:val="0"/>
                <w:lang w:val="en-GB" w:eastAsia="en-GB"/>
              </w:rPr>
              <w:tab/>
            </w:r>
            <w:r w:rsidR="005D16B3" w:rsidRPr="00D84F39">
              <w:rPr>
                <w:rStyle w:val="Hyperlink"/>
                <w:rFonts w:cstheme="minorHAnsi"/>
              </w:rPr>
              <w:t>Repeat Order (Right to Alter Quantities)</w:t>
            </w:r>
            <w:r w:rsidR="005D16B3">
              <w:rPr>
                <w:webHidden/>
              </w:rPr>
              <w:tab/>
            </w:r>
            <w:r w:rsidR="005D16B3">
              <w:rPr>
                <w:webHidden/>
              </w:rPr>
              <w:fldChar w:fldCharType="begin"/>
            </w:r>
            <w:r w:rsidR="005D16B3">
              <w:rPr>
                <w:webHidden/>
              </w:rPr>
              <w:instrText xml:space="preserve"> PAGEREF _Toc182233349 \h </w:instrText>
            </w:r>
            <w:r w:rsidR="005D16B3">
              <w:rPr>
                <w:webHidden/>
              </w:rPr>
            </w:r>
            <w:r w:rsidR="005D16B3">
              <w:rPr>
                <w:webHidden/>
              </w:rPr>
              <w:fldChar w:fldCharType="separate"/>
            </w:r>
            <w:r w:rsidR="005D16B3">
              <w:rPr>
                <w:webHidden/>
              </w:rPr>
              <w:t>36</w:t>
            </w:r>
            <w:r w:rsidR="005D16B3">
              <w:rPr>
                <w:webHidden/>
              </w:rPr>
              <w:fldChar w:fldCharType="end"/>
            </w:r>
          </w:hyperlink>
        </w:p>
        <w:p w14:paraId="56A84EEC" w14:textId="77777777" w:rsidR="005D16B3" w:rsidRDefault="00000000">
          <w:pPr>
            <w:pStyle w:val="TOC1"/>
            <w:rPr>
              <w:rFonts w:eastAsiaTheme="minorEastAsia"/>
              <w:b w:val="0"/>
              <w:bCs w:val="0"/>
              <w:lang w:val="en-GB" w:eastAsia="en-GB"/>
            </w:rPr>
          </w:pPr>
          <w:hyperlink w:anchor="_Toc182233350" w:history="1">
            <w:r w:rsidR="005D16B3" w:rsidRPr="00D84F39">
              <w:rPr>
                <w:rStyle w:val="Hyperlink"/>
                <w:rFonts w:cstheme="minorHAnsi"/>
              </w:rPr>
              <w:t>12.</w:t>
            </w:r>
            <w:r w:rsidR="005D16B3">
              <w:rPr>
                <w:rFonts w:eastAsiaTheme="minorEastAsia"/>
                <w:b w:val="0"/>
                <w:bCs w:val="0"/>
                <w:lang w:val="en-GB" w:eastAsia="en-GB"/>
              </w:rPr>
              <w:tab/>
            </w:r>
            <w:r w:rsidR="005D16B3" w:rsidRPr="00D84F39">
              <w:rPr>
                <w:rStyle w:val="Hyperlink"/>
                <w:rFonts w:cstheme="minorHAnsi"/>
              </w:rPr>
              <w:t>Contract Renewal</w:t>
            </w:r>
            <w:r w:rsidR="005D16B3">
              <w:rPr>
                <w:webHidden/>
              </w:rPr>
              <w:tab/>
            </w:r>
            <w:r w:rsidR="005D16B3">
              <w:rPr>
                <w:webHidden/>
              </w:rPr>
              <w:fldChar w:fldCharType="begin"/>
            </w:r>
            <w:r w:rsidR="005D16B3">
              <w:rPr>
                <w:webHidden/>
              </w:rPr>
              <w:instrText xml:space="preserve"> PAGEREF _Toc182233350 \h </w:instrText>
            </w:r>
            <w:r w:rsidR="005D16B3">
              <w:rPr>
                <w:webHidden/>
              </w:rPr>
            </w:r>
            <w:r w:rsidR="005D16B3">
              <w:rPr>
                <w:webHidden/>
              </w:rPr>
              <w:fldChar w:fldCharType="separate"/>
            </w:r>
            <w:r w:rsidR="005D16B3">
              <w:rPr>
                <w:webHidden/>
              </w:rPr>
              <w:t>36</w:t>
            </w:r>
            <w:r w:rsidR="005D16B3">
              <w:rPr>
                <w:webHidden/>
              </w:rPr>
              <w:fldChar w:fldCharType="end"/>
            </w:r>
          </w:hyperlink>
        </w:p>
        <w:p w14:paraId="11E895D2" w14:textId="77777777" w:rsidR="005D16B3" w:rsidRDefault="00000000">
          <w:pPr>
            <w:pStyle w:val="TOC1"/>
            <w:rPr>
              <w:rFonts w:eastAsiaTheme="minorEastAsia"/>
              <w:b w:val="0"/>
              <w:bCs w:val="0"/>
              <w:lang w:val="en-GB" w:eastAsia="en-GB"/>
            </w:rPr>
          </w:pPr>
          <w:hyperlink w:anchor="_Toc182233351" w:history="1">
            <w:r w:rsidR="005D16B3" w:rsidRPr="00D84F39">
              <w:rPr>
                <w:rStyle w:val="Hyperlink"/>
                <w:rFonts w:cstheme="minorHAnsi"/>
              </w:rPr>
              <w:t>13.</w:t>
            </w:r>
            <w:r w:rsidR="005D16B3">
              <w:rPr>
                <w:rFonts w:eastAsiaTheme="minorEastAsia"/>
                <w:b w:val="0"/>
                <w:bCs w:val="0"/>
                <w:lang w:val="en-GB" w:eastAsia="en-GB"/>
              </w:rPr>
              <w:tab/>
            </w:r>
            <w:r w:rsidR="005D16B3" w:rsidRPr="00D84F39">
              <w:rPr>
                <w:rStyle w:val="Hyperlink"/>
                <w:rFonts w:cstheme="minorHAnsi"/>
              </w:rPr>
              <w:t>SLA compliance</w:t>
            </w:r>
            <w:r w:rsidR="005D16B3">
              <w:rPr>
                <w:webHidden/>
              </w:rPr>
              <w:tab/>
            </w:r>
            <w:r w:rsidR="005D16B3">
              <w:rPr>
                <w:webHidden/>
              </w:rPr>
              <w:fldChar w:fldCharType="begin"/>
            </w:r>
            <w:r w:rsidR="005D16B3">
              <w:rPr>
                <w:webHidden/>
              </w:rPr>
              <w:instrText xml:space="preserve"> PAGEREF _Toc182233351 \h </w:instrText>
            </w:r>
            <w:r w:rsidR="005D16B3">
              <w:rPr>
                <w:webHidden/>
              </w:rPr>
            </w:r>
            <w:r w:rsidR="005D16B3">
              <w:rPr>
                <w:webHidden/>
              </w:rPr>
              <w:fldChar w:fldCharType="separate"/>
            </w:r>
            <w:r w:rsidR="005D16B3">
              <w:rPr>
                <w:webHidden/>
              </w:rPr>
              <w:t>36</w:t>
            </w:r>
            <w:r w:rsidR="005D16B3">
              <w:rPr>
                <w:webHidden/>
              </w:rPr>
              <w:fldChar w:fldCharType="end"/>
            </w:r>
          </w:hyperlink>
        </w:p>
        <w:p w14:paraId="22C843DA" w14:textId="77777777" w:rsidR="005D16B3" w:rsidRDefault="00000000">
          <w:pPr>
            <w:pStyle w:val="TOC1"/>
            <w:rPr>
              <w:rFonts w:eastAsiaTheme="minorEastAsia"/>
              <w:b w:val="0"/>
              <w:bCs w:val="0"/>
              <w:lang w:val="en-GB" w:eastAsia="en-GB"/>
            </w:rPr>
          </w:pPr>
          <w:hyperlink w:anchor="_Toc182233359" w:history="1">
            <w:r w:rsidR="005D16B3" w:rsidRPr="00D84F39">
              <w:rPr>
                <w:rStyle w:val="Hyperlink"/>
                <w:rFonts w:cstheme="minorHAnsi"/>
              </w:rPr>
              <w:t>14.</w:t>
            </w:r>
            <w:r w:rsidR="005D16B3">
              <w:rPr>
                <w:rFonts w:eastAsiaTheme="minorEastAsia"/>
                <w:b w:val="0"/>
                <w:bCs w:val="0"/>
                <w:lang w:val="en-GB" w:eastAsia="en-GB"/>
              </w:rPr>
              <w:tab/>
            </w:r>
            <w:r w:rsidR="005D16B3" w:rsidRPr="00D84F39">
              <w:rPr>
                <w:rStyle w:val="Hyperlink"/>
                <w:rFonts w:cstheme="minorHAnsi"/>
              </w:rPr>
              <w:t>Liquidated damage</w:t>
            </w:r>
            <w:r w:rsidR="005D16B3">
              <w:rPr>
                <w:webHidden/>
              </w:rPr>
              <w:tab/>
            </w:r>
            <w:r w:rsidR="005D16B3">
              <w:rPr>
                <w:webHidden/>
              </w:rPr>
              <w:fldChar w:fldCharType="begin"/>
            </w:r>
            <w:r w:rsidR="005D16B3">
              <w:rPr>
                <w:webHidden/>
              </w:rPr>
              <w:instrText xml:space="preserve"> PAGEREF _Toc182233359 \h </w:instrText>
            </w:r>
            <w:r w:rsidR="005D16B3">
              <w:rPr>
                <w:webHidden/>
              </w:rPr>
            </w:r>
            <w:r w:rsidR="005D16B3">
              <w:rPr>
                <w:webHidden/>
              </w:rPr>
              <w:fldChar w:fldCharType="separate"/>
            </w:r>
            <w:r w:rsidR="005D16B3">
              <w:rPr>
                <w:webHidden/>
              </w:rPr>
              <w:t>44</w:t>
            </w:r>
            <w:r w:rsidR="005D16B3">
              <w:rPr>
                <w:webHidden/>
              </w:rPr>
              <w:fldChar w:fldCharType="end"/>
            </w:r>
          </w:hyperlink>
        </w:p>
        <w:p w14:paraId="77DFBC43" w14:textId="77777777" w:rsidR="005D16B3" w:rsidRDefault="00000000">
          <w:pPr>
            <w:pStyle w:val="TOC1"/>
            <w:rPr>
              <w:rFonts w:eastAsiaTheme="minorEastAsia"/>
              <w:b w:val="0"/>
              <w:bCs w:val="0"/>
              <w:lang w:val="en-GB" w:eastAsia="en-GB"/>
            </w:rPr>
          </w:pPr>
          <w:hyperlink w:anchor="_Toc182233360" w:history="1">
            <w:r w:rsidR="005D16B3" w:rsidRPr="00D84F39">
              <w:rPr>
                <w:rStyle w:val="Hyperlink"/>
                <w:rFonts w:cstheme="minorHAnsi"/>
              </w:rPr>
              <w:t>15.</w:t>
            </w:r>
            <w:r w:rsidR="005D16B3">
              <w:rPr>
                <w:rFonts w:eastAsiaTheme="minorEastAsia"/>
                <w:b w:val="0"/>
                <w:bCs w:val="0"/>
                <w:lang w:val="en-GB" w:eastAsia="en-GB"/>
              </w:rPr>
              <w:tab/>
            </w:r>
            <w:r w:rsidR="005D16B3" w:rsidRPr="00D84F39">
              <w:rPr>
                <w:rStyle w:val="Hyperlink"/>
                <w:rFonts w:cstheme="minorHAnsi"/>
              </w:rPr>
              <w:t>Land Border Sharing Clause</w:t>
            </w:r>
            <w:r w:rsidR="005D16B3">
              <w:rPr>
                <w:webHidden/>
              </w:rPr>
              <w:tab/>
            </w:r>
            <w:r w:rsidR="005D16B3">
              <w:rPr>
                <w:webHidden/>
              </w:rPr>
              <w:fldChar w:fldCharType="begin"/>
            </w:r>
            <w:r w:rsidR="005D16B3">
              <w:rPr>
                <w:webHidden/>
              </w:rPr>
              <w:instrText xml:space="preserve"> PAGEREF _Toc182233360 \h </w:instrText>
            </w:r>
            <w:r w:rsidR="005D16B3">
              <w:rPr>
                <w:webHidden/>
              </w:rPr>
            </w:r>
            <w:r w:rsidR="005D16B3">
              <w:rPr>
                <w:webHidden/>
              </w:rPr>
              <w:fldChar w:fldCharType="separate"/>
            </w:r>
            <w:r w:rsidR="005D16B3">
              <w:rPr>
                <w:webHidden/>
              </w:rPr>
              <w:t>44</w:t>
            </w:r>
            <w:r w:rsidR="005D16B3">
              <w:rPr>
                <w:webHidden/>
              </w:rPr>
              <w:fldChar w:fldCharType="end"/>
            </w:r>
          </w:hyperlink>
        </w:p>
        <w:p w14:paraId="5D464DC6" w14:textId="77777777" w:rsidR="005D16B3" w:rsidRDefault="00000000">
          <w:pPr>
            <w:pStyle w:val="TOC1"/>
            <w:rPr>
              <w:rFonts w:eastAsiaTheme="minorEastAsia"/>
              <w:b w:val="0"/>
              <w:bCs w:val="0"/>
              <w:lang w:val="en-GB" w:eastAsia="en-GB"/>
            </w:rPr>
          </w:pPr>
          <w:hyperlink w:anchor="_Toc182233361" w:history="1">
            <w:r w:rsidR="005D16B3" w:rsidRPr="00D84F39">
              <w:rPr>
                <w:rStyle w:val="Hyperlink"/>
                <w:rFonts w:cstheme="minorHAnsi"/>
              </w:rPr>
              <w:t>16.</w:t>
            </w:r>
            <w:r w:rsidR="005D16B3">
              <w:rPr>
                <w:rFonts w:eastAsiaTheme="minorEastAsia"/>
                <w:b w:val="0"/>
                <w:bCs w:val="0"/>
                <w:lang w:val="en-GB" w:eastAsia="en-GB"/>
              </w:rPr>
              <w:tab/>
            </w:r>
            <w:r w:rsidR="005D16B3" w:rsidRPr="00D84F39">
              <w:rPr>
                <w:rStyle w:val="Hyperlink"/>
                <w:rFonts w:cstheme="minorHAnsi"/>
              </w:rPr>
              <w:t>Monitoring &amp; Audit</w:t>
            </w:r>
            <w:r w:rsidR="005D16B3">
              <w:rPr>
                <w:webHidden/>
              </w:rPr>
              <w:tab/>
            </w:r>
            <w:r w:rsidR="005D16B3">
              <w:rPr>
                <w:webHidden/>
              </w:rPr>
              <w:fldChar w:fldCharType="begin"/>
            </w:r>
            <w:r w:rsidR="005D16B3">
              <w:rPr>
                <w:webHidden/>
              </w:rPr>
              <w:instrText xml:space="preserve"> PAGEREF _Toc182233361 \h </w:instrText>
            </w:r>
            <w:r w:rsidR="005D16B3">
              <w:rPr>
                <w:webHidden/>
              </w:rPr>
            </w:r>
            <w:r w:rsidR="005D16B3">
              <w:rPr>
                <w:webHidden/>
              </w:rPr>
              <w:fldChar w:fldCharType="separate"/>
            </w:r>
            <w:r w:rsidR="005D16B3">
              <w:rPr>
                <w:webHidden/>
              </w:rPr>
              <w:t>46</w:t>
            </w:r>
            <w:r w:rsidR="005D16B3">
              <w:rPr>
                <w:webHidden/>
              </w:rPr>
              <w:fldChar w:fldCharType="end"/>
            </w:r>
          </w:hyperlink>
        </w:p>
        <w:p w14:paraId="6D229372" w14:textId="77777777" w:rsidR="005D16B3" w:rsidRDefault="00000000">
          <w:pPr>
            <w:pStyle w:val="TOC1"/>
            <w:rPr>
              <w:rFonts w:eastAsiaTheme="minorEastAsia"/>
              <w:b w:val="0"/>
              <w:bCs w:val="0"/>
              <w:lang w:val="en-GB" w:eastAsia="en-GB"/>
            </w:rPr>
          </w:pPr>
          <w:hyperlink w:anchor="_Toc182233362" w:history="1">
            <w:r w:rsidR="005D16B3" w:rsidRPr="00D84F39">
              <w:rPr>
                <w:rStyle w:val="Hyperlink"/>
                <w:rFonts w:cstheme="minorHAnsi"/>
              </w:rPr>
              <w:t>17.</w:t>
            </w:r>
            <w:r w:rsidR="005D16B3">
              <w:rPr>
                <w:rFonts w:eastAsiaTheme="minorEastAsia"/>
                <w:b w:val="0"/>
                <w:bCs w:val="0"/>
                <w:lang w:val="en-GB" w:eastAsia="en-GB"/>
              </w:rPr>
              <w:tab/>
            </w:r>
            <w:r w:rsidR="005D16B3" w:rsidRPr="00D84F39">
              <w:rPr>
                <w:rStyle w:val="Hyperlink"/>
                <w:rFonts w:cstheme="minorHAnsi"/>
              </w:rPr>
              <w:t>Bid Submission</w:t>
            </w:r>
            <w:r w:rsidR="005D16B3">
              <w:rPr>
                <w:webHidden/>
              </w:rPr>
              <w:tab/>
            </w:r>
            <w:r w:rsidR="005D16B3">
              <w:rPr>
                <w:webHidden/>
              </w:rPr>
              <w:fldChar w:fldCharType="begin"/>
            </w:r>
            <w:r w:rsidR="005D16B3">
              <w:rPr>
                <w:webHidden/>
              </w:rPr>
              <w:instrText xml:space="preserve"> PAGEREF _Toc182233362 \h </w:instrText>
            </w:r>
            <w:r w:rsidR="005D16B3">
              <w:rPr>
                <w:webHidden/>
              </w:rPr>
            </w:r>
            <w:r w:rsidR="005D16B3">
              <w:rPr>
                <w:webHidden/>
              </w:rPr>
              <w:fldChar w:fldCharType="separate"/>
            </w:r>
            <w:r w:rsidR="005D16B3">
              <w:rPr>
                <w:webHidden/>
              </w:rPr>
              <w:t>46</w:t>
            </w:r>
            <w:r w:rsidR="005D16B3">
              <w:rPr>
                <w:webHidden/>
              </w:rPr>
              <w:fldChar w:fldCharType="end"/>
            </w:r>
          </w:hyperlink>
        </w:p>
        <w:p w14:paraId="627F798B" w14:textId="77777777" w:rsidR="005D16B3" w:rsidRDefault="00000000">
          <w:pPr>
            <w:pStyle w:val="TOC1"/>
            <w:rPr>
              <w:rFonts w:eastAsiaTheme="minorEastAsia"/>
              <w:b w:val="0"/>
              <w:bCs w:val="0"/>
              <w:lang w:val="en-GB" w:eastAsia="en-GB"/>
            </w:rPr>
          </w:pPr>
          <w:hyperlink w:anchor="_Toc182233363" w:history="1">
            <w:r w:rsidR="005D16B3" w:rsidRPr="00D84F39">
              <w:rPr>
                <w:rStyle w:val="Hyperlink"/>
                <w:rFonts w:cstheme="minorHAnsi"/>
              </w:rPr>
              <w:t>18.</w:t>
            </w:r>
            <w:r w:rsidR="005D16B3">
              <w:rPr>
                <w:rFonts w:eastAsiaTheme="minorEastAsia"/>
                <w:b w:val="0"/>
                <w:bCs w:val="0"/>
                <w:lang w:val="en-GB" w:eastAsia="en-GB"/>
              </w:rPr>
              <w:tab/>
            </w:r>
            <w:r w:rsidR="005D16B3" w:rsidRPr="00D84F39">
              <w:rPr>
                <w:rStyle w:val="Hyperlink"/>
                <w:rFonts w:cstheme="minorHAnsi"/>
              </w:rPr>
              <w:t>Integrity Pact</w:t>
            </w:r>
            <w:r w:rsidR="005D16B3">
              <w:rPr>
                <w:webHidden/>
              </w:rPr>
              <w:tab/>
            </w:r>
            <w:r w:rsidR="005D16B3">
              <w:rPr>
                <w:webHidden/>
              </w:rPr>
              <w:fldChar w:fldCharType="begin"/>
            </w:r>
            <w:r w:rsidR="005D16B3">
              <w:rPr>
                <w:webHidden/>
              </w:rPr>
              <w:instrText xml:space="preserve"> PAGEREF _Toc182233363 \h </w:instrText>
            </w:r>
            <w:r w:rsidR="005D16B3">
              <w:rPr>
                <w:webHidden/>
              </w:rPr>
            </w:r>
            <w:r w:rsidR="005D16B3">
              <w:rPr>
                <w:webHidden/>
              </w:rPr>
              <w:fldChar w:fldCharType="separate"/>
            </w:r>
            <w:r w:rsidR="005D16B3">
              <w:rPr>
                <w:webHidden/>
              </w:rPr>
              <w:t>48</w:t>
            </w:r>
            <w:r w:rsidR="005D16B3">
              <w:rPr>
                <w:webHidden/>
              </w:rPr>
              <w:fldChar w:fldCharType="end"/>
            </w:r>
          </w:hyperlink>
        </w:p>
        <w:p w14:paraId="4F66B086" w14:textId="77777777" w:rsidR="005D16B3" w:rsidRDefault="00000000">
          <w:pPr>
            <w:pStyle w:val="TOC1"/>
            <w:rPr>
              <w:rFonts w:eastAsiaTheme="minorEastAsia"/>
              <w:b w:val="0"/>
              <w:bCs w:val="0"/>
              <w:lang w:val="en-GB" w:eastAsia="en-GB"/>
            </w:rPr>
          </w:pPr>
          <w:hyperlink w:anchor="_Toc182233364" w:history="1">
            <w:r w:rsidR="005D16B3" w:rsidRPr="00D84F39">
              <w:rPr>
                <w:rStyle w:val="Hyperlink"/>
                <w:rFonts w:cstheme="minorHAnsi"/>
              </w:rPr>
              <w:t>19.</w:t>
            </w:r>
            <w:r w:rsidR="005D16B3">
              <w:rPr>
                <w:rFonts w:eastAsiaTheme="minorEastAsia"/>
                <w:b w:val="0"/>
                <w:bCs w:val="0"/>
                <w:lang w:val="en-GB" w:eastAsia="en-GB"/>
              </w:rPr>
              <w:tab/>
            </w:r>
            <w:r w:rsidR="005D16B3" w:rsidRPr="00D84F39">
              <w:rPr>
                <w:rStyle w:val="Hyperlink"/>
                <w:rFonts w:cstheme="minorHAnsi"/>
              </w:rPr>
              <w:t>Commercial Offers</w:t>
            </w:r>
            <w:r w:rsidR="005D16B3">
              <w:rPr>
                <w:webHidden/>
              </w:rPr>
              <w:tab/>
            </w:r>
            <w:r w:rsidR="005D16B3">
              <w:rPr>
                <w:webHidden/>
              </w:rPr>
              <w:fldChar w:fldCharType="begin"/>
            </w:r>
            <w:r w:rsidR="005D16B3">
              <w:rPr>
                <w:webHidden/>
              </w:rPr>
              <w:instrText xml:space="preserve"> PAGEREF _Toc182233364 \h </w:instrText>
            </w:r>
            <w:r w:rsidR="005D16B3">
              <w:rPr>
                <w:webHidden/>
              </w:rPr>
            </w:r>
            <w:r w:rsidR="005D16B3">
              <w:rPr>
                <w:webHidden/>
              </w:rPr>
              <w:fldChar w:fldCharType="separate"/>
            </w:r>
            <w:r w:rsidR="005D16B3">
              <w:rPr>
                <w:webHidden/>
              </w:rPr>
              <w:t>48</w:t>
            </w:r>
            <w:r w:rsidR="005D16B3">
              <w:rPr>
                <w:webHidden/>
              </w:rPr>
              <w:fldChar w:fldCharType="end"/>
            </w:r>
          </w:hyperlink>
        </w:p>
        <w:p w14:paraId="318ED527" w14:textId="77777777" w:rsidR="005D16B3" w:rsidRDefault="00000000">
          <w:pPr>
            <w:pStyle w:val="TOC1"/>
            <w:rPr>
              <w:rFonts w:eastAsiaTheme="minorEastAsia"/>
              <w:b w:val="0"/>
              <w:bCs w:val="0"/>
              <w:lang w:val="en-GB" w:eastAsia="en-GB"/>
            </w:rPr>
          </w:pPr>
          <w:hyperlink w:anchor="_Toc182233365" w:history="1">
            <w:r w:rsidR="005D16B3" w:rsidRPr="00D84F39">
              <w:rPr>
                <w:rStyle w:val="Hyperlink"/>
                <w:rFonts w:cstheme="minorHAnsi"/>
              </w:rPr>
              <w:t>20.</w:t>
            </w:r>
            <w:r w:rsidR="005D16B3">
              <w:rPr>
                <w:rFonts w:eastAsiaTheme="minorEastAsia"/>
                <w:b w:val="0"/>
                <w:bCs w:val="0"/>
                <w:lang w:val="en-GB" w:eastAsia="en-GB"/>
              </w:rPr>
              <w:tab/>
            </w:r>
            <w:r w:rsidR="005D16B3" w:rsidRPr="00D84F39">
              <w:rPr>
                <w:rStyle w:val="Hyperlink"/>
                <w:rFonts w:cstheme="minorHAnsi"/>
              </w:rPr>
              <w:t>Evaluation &amp; Acceptance</w:t>
            </w:r>
            <w:r w:rsidR="005D16B3">
              <w:rPr>
                <w:webHidden/>
              </w:rPr>
              <w:tab/>
            </w:r>
            <w:r w:rsidR="005D16B3">
              <w:rPr>
                <w:webHidden/>
              </w:rPr>
              <w:fldChar w:fldCharType="begin"/>
            </w:r>
            <w:r w:rsidR="005D16B3">
              <w:rPr>
                <w:webHidden/>
              </w:rPr>
              <w:instrText xml:space="preserve"> PAGEREF _Toc182233365 \h </w:instrText>
            </w:r>
            <w:r w:rsidR="005D16B3">
              <w:rPr>
                <w:webHidden/>
              </w:rPr>
            </w:r>
            <w:r w:rsidR="005D16B3">
              <w:rPr>
                <w:webHidden/>
              </w:rPr>
              <w:fldChar w:fldCharType="separate"/>
            </w:r>
            <w:r w:rsidR="005D16B3">
              <w:rPr>
                <w:webHidden/>
              </w:rPr>
              <w:t>49</w:t>
            </w:r>
            <w:r w:rsidR="005D16B3">
              <w:rPr>
                <w:webHidden/>
              </w:rPr>
              <w:fldChar w:fldCharType="end"/>
            </w:r>
          </w:hyperlink>
        </w:p>
        <w:p w14:paraId="4F941627" w14:textId="77777777" w:rsidR="005D16B3" w:rsidRDefault="00000000">
          <w:pPr>
            <w:pStyle w:val="TOC1"/>
            <w:rPr>
              <w:rFonts w:eastAsiaTheme="minorEastAsia"/>
              <w:b w:val="0"/>
              <w:bCs w:val="0"/>
              <w:lang w:val="en-GB" w:eastAsia="en-GB"/>
            </w:rPr>
          </w:pPr>
          <w:hyperlink w:anchor="_Toc182233366" w:history="1">
            <w:r w:rsidR="005D16B3" w:rsidRPr="00D84F39">
              <w:rPr>
                <w:rStyle w:val="Hyperlink"/>
                <w:rFonts w:cstheme="minorHAnsi"/>
              </w:rPr>
              <w:t>21.</w:t>
            </w:r>
            <w:r w:rsidR="005D16B3">
              <w:rPr>
                <w:rFonts w:eastAsiaTheme="minorEastAsia"/>
                <w:b w:val="0"/>
                <w:bCs w:val="0"/>
                <w:lang w:val="en-GB" w:eastAsia="en-GB"/>
              </w:rPr>
              <w:tab/>
            </w:r>
            <w:r w:rsidR="005D16B3" w:rsidRPr="00D84F39">
              <w:rPr>
                <w:rStyle w:val="Hyperlink"/>
                <w:rFonts w:cstheme="minorHAnsi"/>
              </w:rPr>
              <w:t>Evaluation Process</w:t>
            </w:r>
            <w:r w:rsidR="005D16B3">
              <w:rPr>
                <w:webHidden/>
              </w:rPr>
              <w:tab/>
            </w:r>
            <w:r w:rsidR="005D16B3">
              <w:rPr>
                <w:webHidden/>
              </w:rPr>
              <w:fldChar w:fldCharType="begin"/>
            </w:r>
            <w:r w:rsidR="005D16B3">
              <w:rPr>
                <w:webHidden/>
              </w:rPr>
              <w:instrText xml:space="preserve"> PAGEREF _Toc182233366 \h </w:instrText>
            </w:r>
            <w:r w:rsidR="005D16B3">
              <w:rPr>
                <w:webHidden/>
              </w:rPr>
            </w:r>
            <w:r w:rsidR="005D16B3">
              <w:rPr>
                <w:webHidden/>
              </w:rPr>
              <w:fldChar w:fldCharType="separate"/>
            </w:r>
            <w:r w:rsidR="005D16B3">
              <w:rPr>
                <w:webHidden/>
              </w:rPr>
              <w:t>49</w:t>
            </w:r>
            <w:r w:rsidR="005D16B3">
              <w:rPr>
                <w:webHidden/>
              </w:rPr>
              <w:fldChar w:fldCharType="end"/>
            </w:r>
          </w:hyperlink>
        </w:p>
        <w:p w14:paraId="7F22BFF7" w14:textId="77777777" w:rsidR="005D16B3" w:rsidRDefault="00000000">
          <w:pPr>
            <w:pStyle w:val="TOC1"/>
            <w:rPr>
              <w:rFonts w:eastAsiaTheme="minorEastAsia"/>
              <w:b w:val="0"/>
              <w:bCs w:val="0"/>
              <w:lang w:val="en-GB" w:eastAsia="en-GB"/>
            </w:rPr>
          </w:pPr>
          <w:hyperlink w:anchor="_Toc182233369" w:history="1">
            <w:r w:rsidR="005D16B3" w:rsidRPr="00D84F39">
              <w:rPr>
                <w:rStyle w:val="Hyperlink"/>
                <w:rFonts w:cstheme="minorHAnsi"/>
              </w:rPr>
              <w:t>21.1</w:t>
            </w:r>
            <w:r w:rsidR="005D16B3">
              <w:rPr>
                <w:rFonts w:eastAsiaTheme="minorEastAsia"/>
                <w:b w:val="0"/>
                <w:bCs w:val="0"/>
                <w:lang w:val="en-GB" w:eastAsia="en-GB"/>
              </w:rPr>
              <w:tab/>
            </w:r>
            <w:r w:rsidR="005D16B3" w:rsidRPr="00D84F39">
              <w:rPr>
                <w:rStyle w:val="Hyperlink"/>
                <w:rFonts w:cstheme="minorHAnsi"/>
              </w:rPr>
              <w:t>Eligibility Criteria Evaluation</w:t>
            </w:r>
            <w:r w:rsidR="005D16B3">
              <w:rPr>
                <w:webHidden/>
              </w:rPr>
              <w:tab/>
            </w:r>
            <w:r w:rsidR="005D16B3">
              <w:rPr>
                <w:webHidden/>
              </w:rPr>
              <w:fldChar w:fldCharType="begin"/>
            </w:r>
            <w:r w:rsidR="005D16B3">
              <w:rPr>
                <w:webHidden/>
              </w:rPr>
              <w:instrText xml:space="preserve"> PAGEREF _Toc182233369 \h </w:instrText>
            </w:r>
            <w:r w:rsidR="005D16B3">
              <w:rPr>
                <w:webHidden/>
              </w:rPr>
            </w:r>
            <w:r w:rsidR="005D16B3">
              <w:rPr>
                <w:webHidden/>
              </w:rPr>
              <w:fldChar w:fldCharType="separate"/>
            </w:r>
            <w:r w:rsidR="005D16B3">
              <w:rPr>
                <w:webHidden/>
              </w:rPr>
              <w:t>49</w:t>
            </w:r>
            <w:r w:rsidR="005D16B3">
              <w:rPr>
                <w:webHidden/>
              </w:rPr>
              <w:fldChar w:fldCharType="end"/>
            </w:r>
          </w:hyperlink>
        </w:p>
        <w:p w14:paraId="732B52D9" w14:textId="77777777" w:rsidR="005D16B3" w:rsidRDefault="00000000">
          <w:pPr>
            <w:pStyle w:val="TOC1"/>
            <w:rPr>
              <w:rFonts w:eastAsiaTheme="minorEastAsia"/>
              <w:b w:val="0"/>
              <w:bCs w:val="0"/>
              <w:lang w:val="en-GB" w:eastAsia="en-GB"/>
            </w:rPr>
          </w:pPr>
          <w:hyperlink w:anchor="_Toc182233370" w:history="1">
            <w:r w:rsidR="005D16B3" w:rsidRPr="00D84F39">
              <w:rPr>
                <w:rStyle w:val="Hyperlink"/>
                <w:rFonts w:cstheme="minorHAnsi"/>
              </w:rPr>
              <w:t>21.2</w:t>
            </w:r>
            <w:r w:rsidR="005D16B3">
              <w:rPr>
                <w:rFonts w:eastAsiaTheme="minorEastAsia"/>
                <w:b w:val="0"/>
                <w:bCs w:val="0"/>
                <w:lang w:val="en-GB" w:eastAsia="en-GB"/>
              </w:rPr>
              <w:tab/>
            </w:r>
            <w:r w:rsidR="005D16B3" w:rsidRPr="00D84F39">
              <w:rPr>
                <w:rStyle w:val="Hyperlink"/>
                <w:rFonts w:cstheme="minorHAnsi"/>
              </w:rPr>
              <w:t>Technical Evaluation Criteria</w:t>
            </w:r>
            <w:r w:rsidR="005D16B3">
              <w:rPr>
                <w:webHidden/>
              </w:rPr>
              <w:tab/>
            </w:r>
            <w:r w:rsidR="005D16B3">
              <w:rPr>
                <w:webHidden/>
              </w:rPr>
              <w:fldChar w:fldCharType="begin"/>
            </w:r>
            <w:r w:rsidR="005D16B3">
              <w:rPr>
                <w:webHidden/>
              </w:rPr>
              <w:instrText xml:space="preserve"> PAGEREF _Toc182233370 \h </w:instrText>
            </w:r>
            <w:r w:rsidR="005D16B3">
              <w:rPr>
                <w:webHidden/>
              </w:rPr>
            </w:r>
            <w:r w:rsidR="005D16B3">
              <w:rPr>
                <w:webHidden/>
              </w:rPr>
              <w:fldChar w:fldCharType="separate"/>
            </w:r>
            <w:r w:rsidR="005D16B3">
              <w:rPr>
                <w:webHidden/>
              </w:rPr>
              <w:t>50</w:t>
            </w:r>
            <w:r w:rsidR="005D16B3">
              <w:rPr>
                <w:webHidden/>
              </w:rPr>
              <w:fldChar w:fldCharType="end"/>
            </w:r>
          </w:hyperlink>
        </w:p>
        <w:p w14:paraId="6016533B" w14:textId="77777777" w:rsidR="005D16B3" w:rsidRDefault="00000000">
          <w:pPr>
            <w:pStyle w:val="TOC1"/>
            <w:rPr>
              <w:rFonts w:eastAsiaTheme="minorEastAsia"/>
              <w:b w:val="0"/>
              <w:bCs w:val="0"/>
              <w:lang w:val="en-GB" w:eastAsia="en-GB"/>
            </w:rPr>
          </w:pPr>
          <w:hyperlink w:anchor="_Toc182233371" w:history="1">
            <w:r w:rsidR="005D16B3" w:rsidRPr="00D84F39">
              <w:rPr>
                <w:rStyle w:val="Hyperlink"/>
                <w:rFonts w:cstheme="minorHAnsi"/>
              </w:rPr>
              <w:t>21.3</w:t>
            </w:r>
            <w:r w:rsidR="005D16B3">
              <w:rPr>
                <w:rFonts w:eastAsiaTheme="minorEastAsia"/>
                <w:b w:val="0"/>
                <w:bCs w:val="0"/>
                <w:lang w:val="en-GB" w:eastAsia="en-GB"/>
              </w:rPr>
              <w:tab/>
            </w:r>
            <w:r w:rsidR="005D16B3" w:rsidRPr="00D84F39">
              <w:rPr>
                <w:rStyle w:val="Hyperlink"/>
                <w:rFonts w:cstheme="minorHAnsi"/>
              </w:rPr>
              <w:t>Commercial Evaluation Criteria</w:t>
            </w:r>
            <w:r w:rsidR="005D16B3">
              <w:rPr>
                <w:webHidden/>
              </w:rPr>
              <w:tab/>
            </w:r>
            <w:r w:rsidR="005D16B3">
              <w:rPr>
                <w:webHidden/>
              </w:rPr>
              <w:fldChar w:fldCharType="begin"/>
            </w:r>
            <w:r w:rsidR="005D16B3">
              <w:rPr>
                <w:webHidden/>
              </w:rPr>
              <w:instrText xml:space="preserve"> PAGEREF _Toc182233371 \h </w:instrText>
            </w:r>
            <w:r w:rsidR="005D16B3">
              <w:rPr>
                <w:webHidden/>
              </w:rPr>
            </w:r>
            <w:r w:rsidR="005D16B3">
              <w:rPr>
                <w:webHidden/>
              </w:rPr>
              <w:fldChar w:fldCharType="separate"/>
            </w:r>
            <w:r w:rsidR="005D16B3">
              <w:rPr>
                <w:webHidden/>
              </w:rPr>
              <w:t>51</w:t>
            </w:r>
            <w:r w:rsidR="005D16B3">
              <w:rPr>
                <w:webHidden/>
              </w:rPr>
              <w:fldChar w:fldCharType="end"/>
            </w:r>
          </w:hyperlink>
        </w:p>
        <w:p w14:paraId="5383D6C6" w14:textId="77777777" w:rsidR="005D16B3" w:rsidRDefault="00000000">
          <w:pPr>
            <w:pStyle w:val="TOC1"/>
            <w:rPr>
              <w:rFonts w:eastAsiaTheme="minorEastAsia"/>
              <w:b w:val="0"/>
              <w:bCs w:val="0"/>
              <w:lang w:val="en-GB" w:eastAsia="en-GB"/>
            </w:rPr>
          </w:pPr>
          <w:hyperlink w:anchor="_Toc182233372" w:history="1">
            <w:r w:rsidR="005D16B3" w:rsidRPr="00D84F39">
              <w:rPr>
                <w:rStyle w:val="Hyperlink"/>
                <w:rFonts w:cstheme="minorHAnsi"/>
              </w:rPr>
              <w:t>22.</w:t>
            </w:r>
            <w:r w:rsidR="005D16B3">
              <w:rPr>
                <w:rFonts w:eastAsiaTheme="minorEastAsia"/>
                <w:b w:val="0"/>
                <w:bCs w:val="0"/>
                <w:lang w:val="en-GB" w:eastAsia="en-GB"/>
              </w:rPr>
              <w:tab/>
            </w:r>
            <w:r w:rsidR="005D16B3" w:rsidRPr="00D84F39">
              <w:rPr>
                <w:rStyle w:val="Hyperlink"/>
                <w:rFonts w:cstheme="minorHAnsi"/>
              </w:rPr>
              <w:t>Payment Terms</w:t>
            </w:r>
            <w:r w:rsidR="005D16B3">
              <w:rPr>
                <w:webHidden/>
              </w:rPr>
              <w:tab/>
            </w:r>
            <w:r w:rsidR="005D16B3">
              <w:rPr>
                <w:webHidden/>
              </w:rPr>
              <w:fldChar w:fldCharType="begin"/>
            </w:r>
            <w:r w:rsidR="005D16B3">
              <w:rPr>
                <w:webHidden/>
              </w:rPr>
              <w:instrText xml:space="preserve"> PAGEREF _Toc182233372 \h </w:instrText>
            </w:r>
            <w:r w:rsidR="005D16B3">
              <w:rPr>
                <w:webHidden/>
              </w:rPr>
            </w:r>
            <w:r w:rsidR="005D16B3">
              <w:rPr>
                <w:webHidden/>
              </w:rPr>
              <w:fldChar w:fldCharType="separate"/>
            </w:r>
            <w:r w:rsidR="005D16B3">
              <w:rPr>
                <w:webHidden/>
              </w:rPr>
              <w:t>53</w:t>
            </w:r>
            <w:r w:rsidR="005D16B3">
              <w:rPr>
                <w:webHidden/>
              </w:rPr>
              <w:fldChar w:fldCharType="end"/>
            </w:r>
          </w:hyperlink>
        </w:p>
        <w:p w14:paraId="03D349B1" w14:textId="77777777" w:rsidR="005D16B3" w:rsidRDefault="00000000">
          <w:pPr>
            <w:pStyle w:val="TOC1"/>
            <w:rPr>
              <w:rFonts w:eastAsiaTheme="minorEastAsia"/>
              <w:b w:val="0"/>
              <w:bCs w:val="0"/>
              <w:lang w:val="en-GB" w:eastAsia="en-GB"/>
            </w:rPr>
          </w:pPr>
          <w:hyperlink w:anchor="_Toc182233374" w:history="1">
            <w:r w:rsidR="005D16B3" w:rsidRPr="00D84F39">
              <w:rPr>
                <w:rStyle w:val="Hyperlink"/>
                <w:rFonts w:cstheme="minorHAnsi"/>
              </w:rPr>
              <w:t>22.1</w:t>
            </w:r>
            <w:r w:rsidR="005D16B3">
              <w:rPr>
                <w:rFonts w:eastAsiaTheme="minorEastAsia"/>
                <w:b w:val="0"/>
                <w:bCs w:val="0"/>
                <w:lang w:val="en-GB" w:eastAsia="en-GB"/>
              </w:rPr>
              <w:tab/>
            </w:r>
            <w:r w:rsidR="005D16B3" w:rsidRPr="00D84F39">
              <w:rPr>
                <w:rStyle w:val="Hyperlink"/>
                <w:rFonts w:cstheme="minorHAnsi"/>
              </w:rPr>
              <w:t>Procedure for Claiming Payments</w:t>
            </w:r>
            <w:r w:rsidR="005D16B3">
              <w:rPr>
                <w:webHidden/>
              </w:rPr>
              <w:tab/>
            </w:r>
            <w:r w:rsidR="005D16B3">
              <w:rPr>
                <w:webHidden/>
              </w:rPr>
              <w:fldChar w:fldCharType="begin"/>
            </w:r>
            <w:r w:rsidR="005D16B3">
              <w:rPr>
                <w:webHidden/>
              </w:rPr>
              <w:instrText xml:space="preserve"> PAGEREF _Toc182233374 \h </w:instrText>
            </w:r>
            <w:r w:rsidR="005D16B3">
              <w:rPr>
                <w:webHidden/>
              </w:rPr>
            </w:r>
            <w:r w:rsidR="005D16B3">
              <w:rPr>
                <w:webHidden/>
              </w:rPr>
              <w:fldChar w:fldCharType="separate"/>
            </w:r>
            <w:r w:rsidR="005D16B3">
              <w:rPr>
                <w:webHidden/>
              </w:rPr>
              <w:t>53</w:t>
            </w:r>
            <w:r w:rsidR="005D16B3">
              <w:rPr>
                <w:webHidden/>
              </w:rPr>
              <w:fldChar w:fldCharType="end"/>
            </w:r>
          </w:hyperlink>
        </w:p>
        <w:p w14:paraId="5BBEC405" w14:textId="77777777" w:rsidR="005D16B3" w:rsidRDefault="00000000">
          <w:pPr>
            <w:pStyle w:val="TOC1"/>
            <w:rPr>
              <w:rFonts w:eastAsiaTheme="minorEastAsia"/>
              <w:b w:val="0"/>
              <w:bCs w:val="0"/>
              <w:lang w:val="en-GB" w:eastAsia="en-GB"/>
            </w:rPr>
          </w:pPr>
          <w:hyperlink w:anchor="_Toc182233375" w:history="1">
            <w:r w:rsidR="005D16B3" w:rsidRPr="00D84F39">
              <w:rPr>
                <w:rStyle w:val="Hyperlink"/>
              </w:rPr>
              <w:t>22.2</w:t>
            </w:r>
            <w:r w:rsidR="005D16B3">
              <w:rPr>
                <w:rFonts w:eastAsiaTheme="minorEastAsia"/>
                <w:b w:val="0"/>
                <w:bCs w:val="0"/>
                <w:lang w:val="en-GB" w:eastAsia="en-GB"/>
              </w:rPr>
              <w:tab/>
            </w:r>
            <w:r w:rsidR="005D16B3" w:rsidRPr="00D84F39">
              <w:rPr>
                <w:rStyle w:val="Hyperlink"/>
              </w:rPr>
              <w:t>AMC/ATS Payment Terms</w:t>
            </w:r>
            <w:r w:rsidR="005D16B3">
              <w:rPr>
                <w:webHidden/>
              </w:rPr>
              <w:tab/>
            </w:r>
            <w:r w:rsidR="005D16B3">
              <w:rPr>
                <w:webHidden/>
              </w:rPr>
              <w:fldChar w:fldCharType="begin"/>
            </w:r>
            <w:r w:rsidR="005D16B3">
              <w:rPr>
                <w:webHidden/>
              </w:rPr>
              <w:instrText xml:space="preserve"> PAGEREF _Toc182233375 \h </w:instrText>
            </w:r>
            <w:r w:rsidR="005D16B3">
              <w:rPr>
                <w:webHidden/>
              </w:rPr>
            </w:r>
            <w:r w:rsidR="005D16B3">
              <w:rPr>
                <w:webHidden/>
              </w:rPr>
              <w:fldChar w:fldCharType="separate"/>
            </w:r>
            <w:r w:rsidR="005D16B3">
              <w:rPr>
                <w:webHidden/>
              </w:rPr>
              <w:t>54</w:t>
            </w:r>
            <w:r w:rsidR="005D16B3">
              <w:rPr>
                <w:webHidden/>
              </w:rPr>
              <w:fldChar w:fldCharType="end"/>
            </w:r>
          </w:hyperlink>
        </w:p>
        <w:p w14:paraId="4072E0EA" w14:textId="77777777" w:rsidR="005D16B3" w:rsidRDefault="00000000">
          <w:pPr>
            <w:pStyle w:val="TOC1"/>
            <w:rPr>
              <w:rFonts w:eastAsiaTheme="minorEastAsia"/>
              <w:b w:val="0"/>
              <w:bCs w:val="0"/>
              <w:lang w:val="en-GB" w:eastAsia="en-GB"/>
            </w:rPr>
          </w:pPr>
          <w:hyperlink w:anchor="_Toc182233376" w:history="1">
            <w:r w:rsidR="005D16B3" w:rsidRPr="00D84F39">
              <w:rPr>
                <w:rStyle w:val="Hyperlink"/>
                <w:rFonts w:cstheme="minorHAnsi"/>
              </w:rPr>
              <w:t>23.</w:t>
            </w:r>
            <w:r w:rsidR="005D16B3">
              <w:rPr>
                <w:rFonts w:eastAsiaTheme="minorEastAsia"/>
                <w:b w:val="0"/>
                <w:bCs w:val="0"/>
                <w:lang w:val="en-GB" w:eastAsia="en-GB"/>
              </w:rPr>
              <w:tab/>
            </w:r>
            <w:r w:rsidR="005D16B3" w:rsidRPr="00D84F39">
              <w:rPr>
                <w:rStyle w:val="Hyperlink"/>
                <w:rFonts w:cstheme="minorHAnsi"/>
              </w:rPr>
              <w:t>AMC &amp; ATS and Warranty Costs</w:t>
            </w:r>
            <w:r w:rsidR="005D16B3">
              <w:rPr>
                <w:webHidden/>
              </w:rPr>
              <w:tab/>
            </w:r>
            <w:r w:rsidR="005D16B3">
              <w:rPr>
                <w:webHidden/>
              </w:rPr>
              <w:fldChar w:fldCharType="begin"/>
            </w:r>
            <w:r w:rsidR="005D16B3">
              <w:rPr>
                <w:webHidden/>
              </w:rPr>
              <w:instrText xml:space="preserve"> PAGEREF _Toc182233376 \h </w:instrText>
            </w:r>
            <w:r w:rsidR="005D16B3">
              <w:rPr>
                <w:webHidden/>
              </w:rPr>
            </w:r>
            <w:r w:rsidR="005D16B3">
              <w:rPr>
                <w:webHidden/>
              </w:rPr>
              <w:fldChar w:fldCharType="separate"/>
            </w:r>
            <w:r w:rsidR="005D16B3">
              <w:rPr>
                <w:webHidden/>
              </w:rPr>
              <w:t>54</w:t>
            </w:r>
            <w:r w:rsidR="005D16B3">
              <w:rPr>
                <w:webHidden/>
              </w:rPr>
              <w:fldChar w:fldCharType="end"/>
            </w:r>
          </w:hyperlink>
        </w:p>
        <w:p w14:paraId="122B3678" w14:textId="77777777" w:rsidR="005D16B3" w:rsidRDefault="00000000">
          <w:pPr>
            <w:pStyle w:val="TOC1"/>
            <w:rPr>
              <w:rFonts w:eastAsiaTheme="minorEastAsia"/>
              <w:b w:val="0"/>
              <w:bCs w:val="0"/>
              <w:lang w:val="en-GB" w:eastAsia="en-GB"/>
            </w:rPr>
          </w:pPr>
          <w:hyperlink w:anchor="_Toc182233377" w:history="1">
            <w:r w:rsidR="005D16B3" w:rsidRPr="00D84F39">
              <w:rPr>
                <w:rStyle w:val="Hyperlink"/>
                <w:rFonts w:cstheme="minorHAnsi"/>
              </w:rPr>
              <w:t>24.</w:t>
            </w:r>
            <w:r w:rsidR="005D16B3">
              <w:rPr>
                <w:rFonts w:eastAsiaTheme="minorEastAsia"/>
                <w:b w:val="0"/>
                <w:bCs w:val="0"/>
                <w:lang w:val="en-GB" w:eastAsia="en-GB"/>
              </w:rPr>
              <w:tab/>
            </w:r>
            <w:r w:rsidR="005D16B3" w:rsidRPr="00D84F39">
              <w:rPr>
                <w:rStyle w:val="Hyperlink"/>
                <w:rFonts w:cstheme="minorHAnsi"/>
              </w:rPr>
              <w:t>Order Cancellation</w:t>
            </w:r>
            <w:r w:rsidR="005D16B3">
              <w:rPr>
                <w:webHidden/>
              </w:rPr>
              <w:tab/>
            </w:r>
            <w:r w:rsidR="005D16B3">
              <w:rPr>
                <w:webHidden/>
              </w:rPr>
              <w:fldChar w:fldCharType="begin"/>
            </w:r>
            <w:r w:rsidR="005D16B3">
              <w:rPr>
                <w:webHidden/>
              </w:rPr>
              <w:instrText xml:space="preserve"> PAGEREF _Toc182233377 \h </w:instrText>
            </w:r>
            <w:r w:rsidR="005D16B3">
              <w:rPr>
                <w:webHidden/>
              </w:rPr>
            </w:r>
            <w:r w:rsidR="005D16B3">
              <w:rPr>
                <w:webHidden/>
              </w:rPr>
              <w:fldChar w:fldCharType="separate"/>
            </w:r>
            <w:r w:rsidR="005D16B3">
              <w:rPr>
                <w:webHidden/>
              </w:rPr>
              <w:t>57</w:t>
            </w:r>
            <w:r w:rsidR="005D16B3">
              <w:rPr>
                <w:webHidden/>
              </w:rPr>
              <w:fldChar w:fldCharType="end"/>
            </w:r>
          </w:hyperlink>
        </w:p>
        <w:p w14:paraId="1ED55BAF" w14:textId="77777777" w:rsidR="005D16B3" w:rsidRDefault="00000000">
          <w:pPr>
            <w:pStyle w:val="TOC1"/>
            <w:rPr>
              <w:rFonts w:eastAsiaTheme="minorEastAsia"/>
              <w:b w:val="0"/>
              <w:bCs w:val="0"/>
              <w:lang w:val="en-GB" w:eastAsia="en-GB"/>
            </w:rPr>
          </w:pPr>
          <w:hyperlink w:anchor="_Toc182233378" w:history="1">
            <w:r w:rsidR="005D16B3" w:rsidRPr="00D84F39">
              <w:rPr>
                <w:rStyle w:val="Hyperlink"/>
                <w:rFonts w:cstheme="minorHAnsi"/>
              </w:rPr>
              <w:t>25.</w:t>
            </w:r>
            <w:r w:rsidR="005D16B3">
              <w:rPr>
                <w:rFonts w:eastAsiaTheme="minorEastAsia"/>
                <w:b w:val="0"/>
                <w:bCs w:val="0"/>
                <w:lang w:val="en-GB" w:eastAsia="en-GB"/>
              </w:rPr>
              <w:tab/>
            </w:r>
            <w:r w:rsidR="005D16B3" w:rsidRPr="00D84F39">
              <w:rPr>
                <w:rStyle w:val="Hyperlink"/>
                <w:rFonts w:cstheme="minorHAnsi"/>
              </w:rPr>
              <w:t>Indemnity</w:t>
            </w:r>
            <w:r w:rsidR="005D16B3">
              <w:rPr>
                <w:webHidden/>
              </w:rPr>
              <w:tab/>
            </w:r>
            <w:r w:rsidR="005D16B3">
              <w:rPr>
                <w:webHidden/>
              </w:rPr>
              <w:fldChar w:fldCharType="begin"/>
            </w:r>
            <w:r w:rsidR="005D16B3">
              <w:rPr>
                <w:webHidden/>
              </w:rPr>
              <w:instrText xml:space="preserve"> PAGEREF _Toc182233378 \h </w:instrText>
            </w:r>
            <w:r w:rsidR="005D16B3">
              <w:rPr>
                <w:webHidden/>
              </w:rPr>
            </w:r>
            <w:r w:rsidR="005D16B3">
              <w:rPr>
                <w:webHidden/>
              </w:rPr>
              <w:fldChar w:fldCharType="separate"/>
            </w:r>
            <w:r w:rsidR="005D16B3">
              <w:rPr>
                <w:webHidden/>
              </w:rPr>
              <w:t>57</w:t>
            </w:r>
            <w:r w:rsidR="005D16B3">
              <w:rPr>
                <w:webHidden/>
              </w:rPr>
              <w:fldChar w:fldCharType="end"/>
            </w:r>
          </w:hyperlink>
        </w:p>
        <w:p w14:paraId="7A2B03FD" w14:textId="77777777" w:rsidR="005D16B3" w:rsidRDefault="00000000">
          <w:pPr>
            <w:pStyle w:val="TOC1"/>
            <w:rPr>
              <w:rFonts w:eastAsiaTheme="minorEastAsia"/>
              <w:b w:val="0"/>
              <w:bCs w:val="0"/>
              <w:lang w:val="en-GB" w:eastAsia="en-GB"/>
            </w:rPr>
          </w:pPr>
          <w:hyperlink w:anchor="_Toc182233379" w:history="1">
            <w:r w:rsidR="005D16B3" w:rsidRPr="00D84F39">
              <w:rPr>
                <w:rStyle w:val="Hyperlink"/>
                <w:rFonts w:cstheme="minorHAnsi"/>
              </w:rPr>
              <w:t>26.</w:t>
            </w:r>
            <w:r w:rsidR="005D16B3">
              <w:rPr>
                <w:rFonts w:eastAsiaTheme="minorEastAsia"/>
                <w:b w:val="0"/>
                <w:bCs w:val="0"/>
                <w:lang w:val="en-GB" w:eastAsia="en-GB"/>
              </w:rPr>
              <w:tab/>
            </w:r>
            <w:r w:rsidR="005D16B3" w:rsidRPr="00D84F39">
              <w:rPr>
                <w:rStyle w:val="Hyperlink"/>
                <w:rFonts w:cstheme="minorHAnsi"/>
              </w:rPr>
              <w:t>Confidentiality &amp; Non-Disclosure</w:t>
            </w:r>
            <w:r w:rsidR="005D16B3">
              <w:rPr>
                <w:webHidden/>
              </w:rPr>
              <w:tab/>
            </w:r>
            <w:r w:rsidR="005D16B3">
              <w:rPr>
                <w:webHidden/>
              </w:rPr>
              <w:fldChar w:fldCharType="begin"/>
            </w:r>
            <w:r w:rsidR="005D16B3">
              <w:rPr>
                <w:webHidden/>
              </w:rPr>
              <w:instrText xml:space="preserve"> PAGEREF _Toc182233379 \h </w:instrText>
            </w:r>
            <w:r w:rsidR="005D16B3">
              <w:rPr>
                <w:webHidden/>
              </w:rPr>
            </w:r>
            <w:r w:rsidR="005D16B3">
              <w:rPr>
                <w:webHidden/>
              </w:rPr>
              <w:fldChar w:fldCharType="separate"/>
            </w:r>
            <w:r w:rsidR="005D16B3">
              <w:rPr>
                <w:webHidden/>
              </w:rPr>
              <w:t>59</w:t>
            </w:r>
            <w:r w:rsidR="005D16B3">
              <w:rPr>
                <w:webHidden/>
              </w:rPr>
              <w:fldChar w:fldCharType="end"/>
            </w:r>
          </w:hyperlink>
        </w:p>
        <w:p w14:paraId="5F4502AF" w14:textId="77777777" w:rsidR="005D16B3" w:rsidRDefault="00000000">
          <w:pPr>
            <w:pStyle w:val="TOC1"/>
            <w:rPr>
              <w:rFonts w:eastAsiaTheme="minorEastAsia"/>
              <w:b w:val="0"/>
              <w:bCs w:val="0"/>
              <w:lang w:val="en-GB" w:eastAsia="en-GB"/>
            </w:rPr>
          </w:pPr>
          <w:hyperlink w:anchor="_Toc182233380" w:history="1">
            <w:r w:rsidR="005D16B3" w:rsidRPr="00D84F39">
              <w:rPr>
                <w:rStyle w:val="Hyperlink"/>
                <w:rFonts w:cstheme="minorHAnsi"/>
              </w:rPr>
              <w:t>27.</w:t>
            </w:r>
            <w:r w:rsidR="005D16B3">
              <w:rPr>
                <w:rFonts w:eastAsiaTheme="minorEastAsia"/>
                <w:b w:val="0"/>
                <w:bCs w:val="0"/>
                <w:lang w:val="en-GB" w:eastAsia="en-GB"/>
              </w:rPr>
              <w:tab/>
            </w:r>
            <w:r w:rsidR="005D16B3" w:rsidRPr="00D84F39">
              <w:rPr>
                <w:rStyle w:val="Hyperlink"/>
                <w:rFonts w:cstheme="minorHAnsi"/>
              </w:rPr>
              <w:t>Force Majeure</w:t>
            </w:r>
            <w:r w:rsidR="005D16B3">
              <w:rPr>
                <w:webHidden/>
              </w:rPr>
              <w:tab/>
            </w:r>
            <w:r w:rsidR="005D16B3">
              <w:rPr>
                <w:webHidden/>
              </w:rPr>
              <w:fldChar w:fldCharType="begin"/>
            </w:r>
            <w:r w:rsidR="005D16B3">
              <w:rPr>
                <w:webHidden/>
              </w:rPr>
              <w:instrText xml:space="preserve"> PAGEREF _Toc182233380 \h </w:instrText>
            </w:r>
            <w:r w:rsidR="005D16B3">
              <w:rPr>
                <w:webHidden/>
              </w:rPr>
            </w:r>
            <w:r w:rsidR="005D16B3">
              <w:rPr>
                <w:webHidden/>
              </w:rPr>
              <w:fldChar w:fldCharType="separate"/>
            </w:r>
            <w:r w:rsidR="005D16B3">
              <w:rPr>
                <w:webHidden/>
              </w:rPr>
              <w:t>60</w:t>
            </w:r>
            <w:r w:rsidR="005D16B3">
              <w:rPr>
                <w:webHidden/>
              </w:rPr>
              <w:fldChar w:fldCharType="end"/>
            </w:r>
          </w:hyperlink>
        </w:p>
        <w:p w14:paraId="7584E47D" w14:textId="77777777" w:rsidR="005D16B3" w:rsidRDefault="00000000">
          <w:pPr>
            <w:pStyle w:val="TOC1"/>
            <w:rPr>
              <w:rFonts w:eastAsiaTheme="minorEastAsia"/>
              <w:b w:val="0"/>
              <w:bCs w:val="0"/>
              <w:lang w:val="en-GB" w:eastAsia="en-GB"/>
            </w:rPr>
          </w:pPr>
          <w:hyperlink w:anchor="_Toc182233381" w:history="1">
            <w:r w:rsidR="005D16B3" w:rsidRPr="00D84F39">
              <w:rPr>
                <w:rStyle w:val="Hyperlink"/>
                <w:rFonts w:cstheme="minorHAnsi"/>
              </w:rPr>
              <w:t>28.</w:t>
            </w:r>
            <w:r w:rsidR="005D16B3">
              <w:rPr>
                <w:rFonts w:eastAsiaTheme="minorEastAsia"/>
                <w:b w:val="0"/>
                <w:bCs w:val="0"/>
                <w:lang w:val="en-GB" w:eastAsia="en-GB"/>
              </w:rPr>
              <w:tab/>
            </w:r>
            <w:r w:rsidR="005D16B3" w:rsidRPr="00D84F39">
              <w:rPr>
                <w:rStyle w:val="Hyperlink"/>
                <w:rFonts w:cstheme="minorHAnsi"/>
              </w:rPr>
              <w:t>Resolution of Disputes</w:t>
            </w:r>
            <w:r w:rsidR="005D16B3">
              <w:rPr>
                <w:webHidden/>
              </w:rPr>
              <w:tab/>
            </w:r>
            <w:r w:rsidR="005D16B3">
              <w:rPr>
                <w:webHidden/>
              </w:rPr>
              <w:fldChar w:fldCharType="begin"/>
            </w:r>
            <w:r w:rsidR="005D16B3">
              <w:rPr>
                <w:webHidden/>
              </w:rPr>
              <w:instrText xml:space="preserve"> PAGEREF _Toc182233381 \h </w:instrText>
            </w:r>
            <w:r w:rsidR="005D16B3">
              <w:rPr>
                <w:webHidden/>
              </w:rPr>
            </w:r>
            <w:r w:rsidR="005D16B3">
              <w:rPr>
                <w:webHidden/>
              </w:rPr>
              <w:fldChar w:fldCharType="separate"/>
            </w:r>
            <w:r w:rsidR="005D16B3">
              <w:rPr>
                <w:webHidden/>
              </w:rPr>
              <w:t>60</w:t>
            </w:r>
            <w:r w:rsidR="005D16B3">
              <w:rPr>
                <w:webHidden/>
              </w:rPr>
              <w:fldChar w:fldCharType="end"/>
            </w:r>
          </w:hyperlink>
        </w:p>
        <w:p w14:paraId="063E855A" w14:textId="77777777" w:rsidR="005D16B3" w:rsidRDefault="00000000">
          <w:pPr>
            <w:pStyle w:val="TOC1"/>
            <w:rPr>
              <w:rFonts w:eastAsiaTheme="minorEastAsia"/>
              <w:b w:val="0"/>
              <w:bCs w:val="0"/>
              <w:lang w:val="en-GB" w:eastAsia="en-GB"/>
            </w:rPr>
          </w:pPr>
          <w:hyperlink w:anchor="_Toc182233382" w:history="1">
            <w:r w:rsidR="005D16B3" w:rsidRPr="00D84F39">
              <w:rPr>
                <w:rStyle w:val="Hyperlink"/>
                <w:rFonts w:cstheme="minorHAnsi"/>
              </w:rPr>
              <w:t>29.</w:t>
            </w:r>
            <w:r w:rsidR="005D16B3">
              <w:rPr>
                <w:rFonts w:eastAsiaTheme="minorEastAsia"/>
                <w:b w:val="0"/>
                <w:bCs w:val="0"/>
                <w:lang w:val="en-GB" w:eastAsia="en-GB"/>
              </w:rPr>
              <w:tab/>
            </w:r>
            <w:r w:rsidR="005D16B3" w:rsidRPr="00D84F39">
              <w:rPr>
                <w:rStyle w:val="Hyperlink"/>
                <w:rFonts w:cstheme="minorHAnsi"/>
              </w:rPr>
              <w:t>Independent Contractor</w:t>
            </w:r>
            <w:r w:rsidR="005D16B3">
              <w:rPr>
                <w:webHidden/>
              </w:rPr>
              <w:tab/>
            </w:r>
            <w:r w:rsidR="005D16B3">
              <w:rPr>
                <w:webHidden/>
              </w:rPr>
              <w:fldChar w:fldCharType="begin"/>
            </w:r>
            <w:r w:rsidR="005D16B3">
              <w:rPr>
                <w:webHidden/>
              </w:rPr>
              <w:instrText xml:space="preserve"> PAGEREF _Toc182233382 \h </w:instrText>
            </w:r>
            <w:r w:rsidR="005D16B3">
              <w:rPr>
                <w:webHidden/>
              </w:rPr>
            </w:r>
            <w:r w:rsidR="005D16B3">
              <w:rPr>
                <w:webHidden/>
              </w:rPr>
              <w:fldChar w:fldCharType="separate"/>
            </w:r>
            <w:r w:rsidR="005D16B3">
              <w:rPr>
                <w:webHidden/>
              </w:rPr>
              <w:t>61</w:t>
            </w:r>
            <w:r w:rsidR="005D16B3">
              <w:rPr>
                <w:webHidden/>
              </w:rPr>
              <w:fldChar w:fldCharType="end"/>
            </w:r>
          </w:hyperlink>
        </w:p>
        <w:p w14:paraId="278E7D94" w14:textId="77777777" w:rsidR="005D16B3" w:rsidRDefault="00000000">
          <w:pPr>
            <w:pStyle w:val="TOC1"/>
            <w:rPr>
              <w:rFonts w:eastAsiaTheme="minorEastAsia"/>
              <w:b w:val="0"/>
              <w:bCs w:val="0"/>
              <w:lang w:val="en-GB" w:eastAsia="en-GB"/>
            </w:rPr>
          </w:pPr>
          <w:hyperlink w:anchor="_Toc182233383" w:history="1">
            <w:r w:rsidR="005D16B3" w:rsidRPr="00D84F39">
              <w:rPr>
                <w:rStyle w:val="Hyperlink"/>
                <w:rFonts w:cstheme="minorHAnsi"/>
              </w:rPr>
              <w:t>30.</w:t>
            </w:r>
            <w:r w:rsidR="005D16B3">
              <w:rPr>
                <w:rFonts w:eastAsiaTheme="minorEastAsia"/>
                <w:b w:val="0"/>
                <w:bCs w:val="0"/>
                <w:lang w:val="en-GB" w:eastAsia="en-GB"/>
              </w:rPr>
              <w:tab/>
            </w:r>
            <w:r w:rsidR="005D16B3" w:rsidRPr="00D84F39">
              <w:rPr>
                <w:rStyle w:val="Hyperlink"/>
                <w:rFonts w:cstheme="minorHAnsi"/>
              </w:rPr>
              <w:t>Assignment</w:t>
            </w:r>
            <w:r w:rsidR="005D16B3">
              <w:rPr>
                <w:webHidden/>
              </w:rPr>
              <w:tab/>
            </w:r>
            <w:r w:rsidR="005D16B3">
              <w:rPr>
                <w:webHidden/>
              </w:rPr>
              <w:fldChar w:fldCharType="begin"/>
            </w:r>
            <w:r w:rsidR="005D16B3">
              <w:rPr>
                <w:webHidden/>
              </w:rPr>
              <w:instrText xml:space="preserve"> PAGEREF _Toc182233383 \h </w:instrText>
            </w:r>
            <w:r w:rsidR="005D16B3">
              <w:rPr>
                <w:webHidden/>
              </w:rPr>
            </w:r>
            <w:r w:rsidR="005D16B3">
              <w:rPr>
                <w:webHidden/>
              </w:rPr>
              <w:fldChar w:fldCharType="separate"/>
            </w:r>
            <w:r w:rsidR="005D16B3">
              <w:rPr>
                <w:webHidden/>
              </w:rPr>
              <w:t>62</w:t>
            </w:r>
            <w:r w:rsidR="005D16B3">
              <w:rPr>
                <w:webHidden/>
              </w:rPr>
              <w:fldChar w:fldCharType="end"/>
            </w:r>
          </w:hyperlink>
        </w:p>
        <w:p w14:paraId="20744CDE" w14:textId="77777777" w:rsidR="005D16B3" w:rsidRDefault="00000000">
          <w:pPr>
            <w:pStyle w:val="TOC1"/>
            <w:rPr>
              <w:rFonts w:eastAsiaTheme="minorEastAsia"/>
              <w:b w:val="0"/>
              <w:bCs w:val="0"/>
              <w:lang w:val="en-GB" w:eastAsia="en-GB"/>
            </w:rPr>
          </w:pPr>
          <w:hyperlink w:anchor="_Toc182233384" w:history="1">
            <w:r w:rsidR="005D16B3" w:rsidRPr="00D84F39">
              <w:rPr>
                <w:rStyle w:val="Hyperlink"/>
                <w:rFonts w:cstheme="minorHAnsi"/>
              </w:rPr>
              <w:t>31.</w:t>
            </w:r>
            <w:r w:rsidR="005D16B3">
              <w:rPr>
                <w:rFonts w:eastAsiaTheme="minorEastAsia"/>
                <w:b w:val="0"/>
                <w:bCs w:val="0"/>
                <w:lang w:val="en-GB" w:eastAsia="en-GB"/>
              </w:rPr>
              <w:tab/>
            </w:r>
            <w:r w:rsidR="005D16B3" w:rsidRPr="00D84F39">
              <w:rPr>
                <w:rStyle w:val="Hyperlink"/>
                <w:rFonts w:cstheme="minorHAnsi"/>
              </w:rPr>
              <w:t>Execution of Contract, SLA &amp; NDA</w:t>
            </w:r>
            <w:r w:rsidR="005D16B3">
              <w:rPr>
                <w:webHidden/>
              </w:rPr>
              <w:tab/>
            </w:r>
            <w:r w:rsidR="005D16B3">
              <w:rPr>
                <w:webHidden/>
              </w:rPr>
              <w:fldChar w:fldCharType="begin"/>
            </w:r>
            <w:r w:rsidR="005D16B3">
              <w:rPr>
                <w:webHidden/>
              </w:rPr>
              <w:instrText xml:space="preserve"> PAGEREF _Toc182233384 \h </w:instrText>
            </w:r>
            <w:r w:rsidR="005D16B3">
              <w:rPr>
                <w:webHidden/>
              </w:rPr>
            </w:r>
            <w:r w:rsidR="005D16B3">
              <w:rPr>
                <w:webHidden/>
              </w:rPr>
              <w:fldChar w:fldCharType="separate"/>
            </w:r>
            <w:r w:rsidR="005D16B3">
              <w:rPr>
                <w:webHidden/>
              </w:rPr>
              <w:t>62</w:t>
            </w:r>
            <w:r w:rsidR="005D16B3">
              <w:rPr>
                <w:webHidden/>
              </w:rPr>
              <w:fldChar w:fldCharType="end"/>
            </w:r>
          </w:hyperlink>
        </w:p>
        <w:p w14:paraId="28B599AC" w14:textId="77777777" w:rsidR="005D16B3" w:rsidRDefault="00000000">
          <w:pPr>
            <w:pStyle w:val="TOC1"/>
            <w:rPr>
              <w:rFonts w:eastAsiaTheme="minorEastAsia"/>
              <w:b w:val="0"/>
              <w:bCs w:val="0"/>
              <w:lang w:val="en-GB" w:eastAsia="en-GB"/>
            </w:rPr>
          </w:pPr>
          <w:hyperlink w:anchor="_Toc182233385" w:history="1">
            <w:r w:rsidR="005D16B3" w:rsidRPr="00D84F39">
              <w:rPr>
                <w:rStyle w:val="Hyperlink"/>
                <w:rFonts w:cstheme="minorHAnsi"/>
              </w:rPr>
              <w:t>32.</w:t>
            </w:r>
            <w:r w:rsidR="005D16B3">
              <w:rPr>
                <w:rFonts w:eastAsiaTheme="minorEastAsia"/>
                <w:b w:val="0"/>
                <w:bCs w:val="0"/>
                <w:lang w:val="en-GB" w:eastAsia="en-GB"/>
              </w:rPr>
              <w:tab/>
            </w:r>
            <w:r w:rsidR="005D16B3" w:rsidRPr="00D84F39">
              <w:rPr>
                <w:rStyle w:val="Hyperlink"/>
                <w:rFonts w:cstheme="minorHAnsi"/>
              </w:rPr>
              <w:t>Vendor’s Liability</w:t>
            </w:r>
            <w:r w:rsidR="005D16B3">
              <w:rPr>
                <w:webHidden/>
              </w:rPr>
              <w:tab/>
            </w:r>
            <w:r w:rsidR="005D16B3">
              <w:rPr>
                <w:webHidden/>
              </w:rPr>
              <w:fldChar w:fldCharType="begin"/>
            </w:r>
            <w:r w:rsidR="005D16B3">
              <w:rPr>
                <w:webHidden/>
              </w:rPr>
              <w:instrText xml:space="preserve"> PAGEREF _Toc182233385 \h </w:instrText>
            </w:r>
            <w:r w:rsidR="005D16B3">
              <w:rPr>
                <w:webHidden/>
              </w:rPr>
            </w:r>
            <w:r w:rsidR="005D16B3">
              <w:rPr>
                <w:webHidden/>
              </w:rPr>
              <w:fldChar w:fldCharType="separate"/>
            </w:r>
            <w:r w:rsidR="005D16B3">
              <w:rPr>
                <w:webHidden/>
              </w:rPr>
              <w:t>62</w:t>
            </w:r>
            <w:r w:rsidR="005D16B3">
              <w:rPr>
                <w:webHidden/>
              </w:rPr>
              <w:fldChar w:fldCharType="end"/>
            </w:r>
          </w:hyperlink>
        </w:p>
        <w:p w14:paraId="59D517BA" w14:textId="77777777" w:rsidR="005D16B3" w:rsidRDefault="00000000">
          <w:pPr>
            <w:pStyle w:val="TOC1"/>
            <w:rPr>
              <w:rFonts w:eastAsiaTheme="minorEastAsia"/>
              <w:b w:val="0"/>
              <w:bCs w:val="0"/>
              <w:lang w:val="en-GB" w:eastAsia="en-GB"/>
            </w:rPr>
          </w:pPr>
          <w:hyperlink w:anchor="_Toc182233386" w:history="1">
            <w:r w:rsidR="005D16B3" w:rsidRPr="00D84F39">
              <w:rPr>
                <w:rStyle w:val="Hyperlink"/>
                <w:rFonts w:cstheme="minorHAnsi"/>
              </w:rPr>
              <w:t>33.</w:t>
            </w:r>
            <w:r w:rsidR="005D16B3">
              <w:rPr>
                <w:rFonts w:eastAsiaTheme="minorEastAsia"/>
                <w:b w:val="0"/>
                <w:bCs w:val="0"/>
                <w:lang w:val="en-GB" w:eastAsia="en-GB"/>
              </w:rPr>
              <w:tab/>
            </w:r>
            <w:r w:rsidR="005D16B3" w:rsidRPr="00D84F39">
              <w:rPr>
                <w:rStyle w:val="Hyperlink"/>
                <w:rFonts w:cstheme="minorHAnsi"/>
              </w:rPr>
              <w:t>Information Ownership</w:t>
            </w:r>
            <w:r w:rsidR="005D16B3">
              <w:rPr>
                <w:webHidden/>
              </w:rPr>
              <w:tab/>
            </w:r>
            <w:r w:rsidR="005D16B3">
              <w:rPr>
                <w:webHidden/>
              </w:rPr>
              <w:fldChar w:fldCharType="begin"/>
            </w:r>
            <w:r w:rsidR="005D16B3">
              <w:rPr>
                <w:webHidden/>
              </w:rPr>
              <w:instrText xml:space="preserve"> PAGEREF _Toc182233386 \h </w:instrText>
            </w:r>
            <w:r w:rsidR="005D16B3">
              <w:rPr>
                <w:webHidden/>
              </w:rPr>
            </w:r>
            <w:r w:rsidR="005D16B3">
              <w:rPr>
                <w:webHidden/>
              </w:rPr>
              <w:fldChar w:fldCharType="separate"/>
            </w:r>
            <w:r w:rsidR="005D16B3">
              <w:rPr>
                <w:webHidden/>
              </w:rPr>
              <w:t>62</w:t>
            </w:r>
            <w:r w:rsidR="005D16B3">
              <w:rPr>
                <w:webHidden/>
              </w:rPr>
              <w:fldChar w:fldCharType="end"/>
            </w:r>
          </w:hyperlink>
        </w:p>
        <w:p w14:paraId="5EFC15E8" w14:textId="77777777" w:rsidR="005D16B3" w:rsidRDefault="00000000">
          <w:pPr>
            <w:pStyle w:val="TOC1"/>
            <w:rPr>
              <w:rFonts w:eastAsiaTheme="minorEastAsia"/>
              <w:b w:val="0"/>
              <w:bCs w:val="0"/>
              <w:lang w:val="en-GB" w:eastAsia="en-GB"/>
            </w:rPr>
          </w:pPr>
          <w:hyperlink w:anchor="_Toc182233387" w:history="1">
            <w:r w:rsidR="005D16B3" w:rsidRPr="00D84F39">
              <w:rPr>
                <w:rStyle w:val="Hyperlink"/>
                <w:rFonts w:cstheme="minorHAnsi"/>
              </w:rPr>
              <w:t>34.</w:t>
            </w:r>
            <w:r w:rsidR="005D16B3">
              <w:rPr>
                <w:rFonts w:eastAsiaTheme="minorEastAsia"/>
                <w:b w:val="0"/>
                <w:bCs w:val="0"/>
                <w:lang w:val="en-GB" w:eastAsia="en-GB"/>
              </w:rPr>
              <w:tab/>
            </w:r>
            <w:r w:rsidR="005D16B3" w:rsidRPr="00D84F39">
              <w:rPr>
                <w:rStyle w:val="Hyperlink"/>
                <w:rFonts w:cstheme="minorHAnsi"/>
              </w:rPr>
              <w:t>Inspection, Audit, Review, Monitoring &amp; Visitations</w:t>
            </w:r>
            <w:r w:rsidR="005D16B3">
              <w:rPr>
                <w:webHidden/>
              </w:rPr>
              <w:tab/>
            </w:r>
            <w:r w:rsidR="005D16B3">
              <w:rPr>
                <w:webHidden/>
              </w:rPr>
              <w:fldChar w:fldCharType="begin"/>
            </w:r>
            <w:r w:rsidR="005D16B3">
              <w:rPr>
                <w:webHidden/>
              </w:rPr>
              <w:instrText xml:space="preserve"> PAGEREF _Toc182233387 \h </w:instrText>
            </w:r>
            <w:r w:rsidR="005D16B3">
              <w:rPr>
                <w:webHidden/>
              </w:rPr>
            </w:r>
            <w:r w:rsidR="005D16B3">
              <w:rPr>
                <w:webHidden/>
              </w:rPr>
              <w:fldChar w:fldCharType="separate"/>
            </w:r>
            <w:r w:rsidR="005D16B3">
              <w:rPr>
                <w:webHidden/>
              </w:rPr>
              <w:t>63</w:t>
            </w:r>
            <w:r w:rsidR="005D16B3">
              <w:rPr>
                <w:webHidden/>
              </w:rPr>
              <w:fldChar w:fldCharType="end"/>
            </w:r>
          </w:hyperlink>
        </w:p>
        <w:p w14:paraId="07E14F3C" w14:textId="77777777" w:rsidR="005D16B3" w:rsidRDefault="00000000">
          <w:pPr>
            <w:pStyle w:val="TOC1"/>
            <w:rPr>
              <w:rFonts w:eastAsiaTheme="minorEastAsia"/>
              <w:b w:val="0"/>
              <w:bCs w:val="0"/>
              <w:lang w:val="en-GB" w:eastAsia="en-GB"/>
            </w:rPr>
          </w:pPr>
          <w:hyperlink w:anchor="_Toc182233388" w:history="1">
            <w:r w:rsidR="005D16B3" w:rsidRPr="00D84F39">
              <w:rPr>
                <w:rStyle w:val="Hyperlink"/>
                <w:rFonts w:cstheme="minorHAnsi"/>
              </w:rPr>
              <w:t>35.</w:t>
            </w:r>
            <w:r w:rsidR="005D16B3">
              <w:rPr>
                <w:rFonts w:eastAsiaTheme="minorEastAsia"/>
                <w:b w:val="0"/>
                <w:bCs w:val="0"/>
                <w:lang w:val="en-GB" w:eastAsia="en-GB"/>
              </w:rPr>
              <w:tab/>
            </w:r>
            <w:r w:rsidR="005D16B3" w:rsidRPr="00D84F39">
              <w:rPr>
                <w:rStyle w:val="Hyperlink"/>
                <w:rFonts w:cstheme="minorHAnsi"/>
              </w:rPr>
              <w:t>Information Security</w:t>
            </w:r>
            <w:r w:rsidR="005D16B3">
              <w:rPr>
                <w:webHidden/>
              </w:rPr>
              <w:tab/>
            </w:r>
            <w:r w:rsidR="005D16B3">
              <w:rPr>
                <w:webHidden/>
              </w:rPr>
              <w:fldChar w:fldCharType="begin"/>
            </w:r>
            <w:r w:rsidR="005D16B3">
              <w:rPr>
                <w:webHidden/>
              </w:rPr>
              <w:instrText xml:space="preserve"> PAGEREF _Toc182233388 \h </w:instrText>
            </w:r>
            <w:r w:rsidR="005D16B3">
              <w:rPr>
                <w:webHidden/>
              </w:rPr>
            </w:r>
            <w:r w:rsidR="005D16B3">
              <w:rPr>
                <w:webHidden/>
              </w:rPr>
              <w:fldChar w:fldCharType="separate"/>
            </w:r>
            <w:r w:rsidR="005D16B3">
              <w:rPr>
                <w:webHidden/>
              </w:rPr>
              <w:t>64</w:t>
            </w:r>
            <w:r w:rsidR="005D16B3">
              <w:rPr>
                <w:webHidden/>
              </w:rPr>
              <w:fldChar w:fldCharType="end"/>
            </w:r>
          </w:hyperlink>
        </w:p>
        <w:p w14:paraId="69A95E20" w14:textId="77777777" w:rsidR="005D16B3" w:rsidRDefault="00000000">
          <w:pPr>
            <w:pStyle w:val="TOC1"/>
            <w:rPr>
              <w:rFonts w:eastAsiaTheme="minorEastAsia"/>
              <w:b w:val="0"/>
              <w:bCs w:val="0"/>
              <w:lang w:val="en-GB" w:eastAsia="en-GB"/>
            </w:rPr>
          </w:pPr>
          <w:hyperlink w:anchor="_Toc182233389" w:history="1">
            <w:r w:rsidR="005D16B3" w:rsidRPr="00D84F39">
              <w:rPr>
                <w:rStyle w:val="Hyperlink"/>
                <w:rFonts w:cstheme="minorHAnsi"/>
              </w:rPr>
              <w:t>36.</w:t>
            </w:r>
            <w:r w:rsidR="005D16B3">
              <w:rPr>
                <w:rFonts w:eastAsiaTheme="minorEastAsia"/>
                <w:b w:val="0"/>
                <w:bCs w:val="0"/>
                <w:lang w:val="en-GB" w:eastAsia="en-GB"/>
              </w:rPr>
              <w:tab/>
            </w:r>
            <w:r w:rsidR="005D16B3" w:rsidRPr="00D84F39">
              <w:rPr>
                <w:rStyle w:val="Hyperlink"/>
                <w:rFonts w:cstheme="minorHAnsi"/>
              </w:rPr>
              <w:t>Intellectual Property Rights</w:t>
            </w:r>
            <w:r w:rsidR="005D16B3">
              <w:rPr>
                <w:webHidden/>
              </w:rPr>
              <w:tab/>
            </w:r>
            <w:r w:rsidR="005D16B3">
              <w:rPr>
                <w:webHidden/>
              </w:rPr>
              <w:fldChar w:fldCharType="begin"/>
            </w:r>
            <w:r w:rsidR="005D16B3">
              <w:rPr>
                <w:webHidden/>
              </w:rPr>
              <w:instrText xml:space="preserve"> PAGEREF _Toc182233389 \h </w:instrText>
            </w:r>
            <w:r w:rsidR="005D16B3">
              <w:rPr>
                <w:webHidden/>
              </w:rPr>
            </w:r>
            <w:r w:rsidR="005D16B3">
              <w:rPr>
                <w:webHidden/>
              </w:rPr>
              <w:fldChar w:fldCharType="separate"/>
            </w:r>
            <w:r w:rsidR="005D16B3">
              <w:rPr>
                <w:webHidden/>
              </w:rPr>
              <w:t>64</w:t>
            </w:r>
            <w:r w:rsidR="005D16B3">
              <w:rPr>
                <w:webHidden/>
              </w:rPr>
              <w:fldChar w:fldCharType="end"/>
            </w:r>
          </w:hyperlink>
        </w:p>
        <w:p w14:paraId="218CEDB5" w14:textId="77777777" w:rsidR="005D16B3" w:rsidRDefault="00000000">
          <w:pPr>
            <w:pStyle w:val="TOC1"/>
            <w:rPr>
              <w:rFonts w:eastAsiaTheme="minorEastAsia"/>
              <w:b w:val="0"/>
              <w:bCs w:val="0"/>
              <w:lang w:val="en-GB" w:eastAsia="en-GB"/>
            </w:rPr>
          </w:pPr>
          <w:hyperlink w:anchor="_Toc182233390" w:history="1">
            <w:r w:rsidR="005D16B3" w:rsidRPr="00D84F39">
              <w:rPr>
                <w:rStyle w:val="Hyperlink"/>
                <w:rFonts w:cstheme="minorHAnsi"/>
              </w:rPr>
              <w:t>37.</w:t>
            </w:r>
            <w:r w:rsidR="005D16B3">
              <w:rPr>
                <w:rFonts w:eastAsiaTheme="minorEastAsia"/>
                <w:b w:val="0"/>
                <w:bCs w:val="0"/>
                <w:lang w:val="en-GB" w:eastAsia="en-GB"/>
              </w:rPr>
              <w:tab/>
            </w:r>
            <w:r w:rsidR="005D16B3" w:rsidRPr="00D84F39">
              <w:rPr>
                <w:rStyle w:val="Hyperlink"/>
                <w:rFonts w:cstheme="minorHAnsi"/>
              </w:rPr>
              <w:t>Termination</w:t>
            </w:r>
            <w:r w:rsidR="005D16B3">
              <w:rPr>
                <w:webHidden/>
              </w:rPr>
              <w:tab/>
            </w:r>
            <w:r w:rsidR="005D16B3">
              <w:rPr>
                <w:webHidden/>
              </w:rPr>
              <w:fldChar w:fldCharType="begin"/>
            </w:r>
            <w:r w:rsidR="005D16B3">
              <w:rPr>
                <w:webHidden/>
              </w:rPr>
              <w:instrText xml:space="preserve"> PAGEREF _Toc182233390 \h </w:instrText>
            </w:r>
            <w:r w:rsidR="005D16B3">
              <w:rPr>
                <w:webHidden/>
              </w:rPr>
            </w:r>
            <w:r w:rsidR="005D16B3">
              <w:rPr>
                <w:webHidden/>
              </w:rPr>
              <w:fldChar w:fldCharType="separate"/>
            </w:r>
            <w:r w:rsidR="005D16B3">
              <w:rPr>
                <w:webHidden/>
              </w:rPr>
              <w:t>66</w:t>
            </w:r>
            <w:r w:rsidR="005D16B3">
              <w:rPr>
                <w:webHidden/>
              </w:rPr>
              <w:fldChar w:fldCharType="end"/>
            </w:r>
          </w:hyperlink>
        </w:p>
        <w:p w14:paraId="36880ACD" w14:textId="77777777" w:rsidR="005D16B3" w:rsidRDefault="00000000">
          <w:pPr>
            <w:pStyle w:val="TOC1"/>
            <w:rPr>
              <w:rFonts w:eastAsiaTheme="minorEastAsia"/>
              <w:b w:val="0"/>
              <w:bCs w:val="0"/>
              <w:lang w:val="en-GB" w:eastAsia="en-GB"/>
            </w:rPr>
          </w:pPr>
          <w:hyperlink w:anchor="_Toc182233391" w:history="1">
            <w:r w:rsidR="005D16B3" w:rsidRPr="00D84F39">
              <w:rPr>
                <w:rStyle w:val="Hyperlink"/>
                <w:rFonts w:cstheme="minorHAnsi"/>
              </w:rPr>
              <w:t>38.</w:t>
            </w:r>
            <w:r w:rsidR="005D16B3">
              <w:rPr>
                <w:rFonts w:eastAsiaTheme="minorEastAsia"/>
                <w:b w:val="0"/>
                <w:bCs w:val="0"/>
                <w:lang w:val="en-GB" w:eastAsia="en-GB"/>
              </w:rPr>
              <w:tab/>
            </w:r>
            <w:r w:rsidR="005D16B3" w:rsidRPr="00D84F39">
              <w:rPr>
                <w:rStyle w:val="Hyperlink"/>
                <w:rFonts w:cstheme="minorHAnsi"/>
              </w:rPr>
              <w:t>Privacy &amp; Security Safeguards</w:t>
            </w:r>
            <w:r w:rsidR="005D16B3">
              <w:rPr>
                <w:webHidden/>
              </w:rPr>
              <w:tab/>
            </w:r>
            <w:r w:rsidR="005D16B3">
              <w:rPr>
                <w:webHidden/>
              </w:rPr>
              <w:fldChar w:fldCharType="begin"/>
            </w:r>
            <w:r w:rsidR="005D16B3">
              <w:rPr>
                <w:webHidden/>
              </w:rPr>
              <w:instrText xml:space="preserve"> PAGEREF _Toc182233391 \h </w:instrText>
            </w:r>
            <w:r w:rsidR="005D16B3">
              <w:rPr>
                <w:webHidden/>
              </w:rPr>
            </w:r>
            <w:r w:rsidR="005D16B3">
              <w:rPr>
                <w:webHidden/>
              </w:rPr>
              <w:fldChar w:fldCharType="separate"/>
            </w:r>
            <w:r w:rsidR="005D16B3">
              <w:rPr>
                <w:webHidden/>
              </w:rPr>
              <w:t>67</w:t>
            </w:r>
            <w:r w:rsidR="005D16B3">
              <w:rPr>
                <w:webHidden/>
              </w:rPr>
              <w:fldChar w:fldCharType="end"/>
            </w:r>
          </w:hyperlink>
        </w:p>
        <w:p w14:paraId="1C133058" w14:textId="77777777" w:rsidR="005D16B3" w:rsidRDefault="00000000">
          <w:pPr>
            <w:pStyle w:val="TOC1"/>
            <w:rPr>
              <w:rFonts w:eastAsiaTheme="minorEastAsia"/>
              <w:b w:val="0"/>
              <w:bCs w:val="0"/>
              <w:lang w:val="en-GB" w:eastAsia="en-GB"/>
            </w:rPr>
          </w:pPr>
          <w:hyperlink w:anchor="_Toc182233392" w:history="1">
            <w:r w:rsidR="005D16B3" w:rsidRPr="00D84F39">
              <w:rPr>
                <w:rStyle w:val="Hyperlink"/>
                <w:rFonts w:cstheme="minorHAnsi"/>
              </w:rPr>
              <w:t>39.</w:t>
            </w:r>
            <w:r w:rsidR="005D16B3">
              <w:rPr>
                <w:rFonts w:eastAsiaTheme="minorEastAsia"/>
                <w:b w:val="0"/>
                <w:bCs w:val="0"/>
                <w:lang w:val="en-GB" w:eastAsia="en-GB"/>
              </w:rPr>
              <w:tab/>
            </w:r>
            <w:r w:rsidR="005D16B3" w:rsidRPr="00D84F39">
              <w:rPr>
                <w:rStyle w:val="Hyperlink"/>
                <w:rFonts w:cstheme="minorHAnsi"/>
              </w:rPr>
              <w:t>Governing Law and Jurisdiction</w:t>
            </w:r>
            <w:r w:rsidR="005D16B3">
              <w:rPr>
                <w:webHidden/>
              </w:rPr>
              <w:tab/>
            </w:r>
            <w:r w:rsidR="005D16B3">
              <w:rPr>
                <w:webHidden/>
              </w:rPr>
              <w:fldChar w:fldCharType="begin"/>
            </w:r>
            <w:r w:rsidR="005D16B3">
              <w:rPr>
                <w:webHidden/>
              </w:rPr>
              <w:instrText xml:space="preserve"> PAGEREF _Toc182233392 \h </w:instrText>
            </w:r>
            <w:r w:rsidR="005D16B3">
              <w:rPr>
                <w:webHidden/>
              </w:rPr>
            </w:r>
            <w:r w:rsidR="005D16B3">
              <w:rPr>
                <w:webHidden/>
              </w:rPr>
              <w:fldChar w:fldCharType="separate"/>
            </w:r>
            <w:r w:rsidR="005D16B3">
              <w:rPr>
                <w:webHidden/>
              </w:rPr>
              <w:t>68</w:t>
            </w:r>
            <w:r w:rsidR="005D16B3">
              <w:rPr>
                <w:webHidden/>
              </w:rPr>
              <w:fldChar w:fldCharType="end"/>
            </w:r>
          </w:hyperlink>
        </w:p>
        <w:p w14:paraId="27325997" w14:textId="77777777" w:rsidR="005D16B3" w:rsidRDefault="00000000">
          <w:pPr>
            <w:pStyle w:val="TOC1"/>
            <w:rPr>
              <w:rFonts w:eastAsiaTheme="minorEastAsia"/>
              <w:b w:val="0"/>
              <w:bCs w:val="0"/>
              <w:lang w:val="en-GB" w:eastAsia="en-GB"/>
            </w:rPr>
          </w:pPr>
          <w:hyperlink w:anchor="_Toc182233393" w:history="1">
            <w:r w:rsidR="005D16B3" w:rsidRPr="00D84F39">
              <w:rPr>
                <w:rStyle w:val="Hyperlink"/>
                <w:rFonts w:cstheme="minorHAnsi"/>
              </w:rPr>
              <w:t>40.</w:t>
            </w:r>
            <w:r w:rsidR="005D16B3">
              <w:rPr>
                <w:rFonts w:eastAsiaTheme="minorEastAsia"/>
                <w:b w:val="0"/>
                <w:bCs w:val="0"/>
                <w:lang w:val="en-GB" w:eastAsia="en-GB"/>
              </w:rPr>
              <w:tab/>
            </w:r>
            <w:r w:rsidR="005D16B3" w:rsidRPr="00D84F39">
              <w:rPr>
                <w:rStyle w:val="Hyperlink"/>
                <w:rFonts w:cstheme="minorHAnsi"/>
              </w:rPr>
              <w:t>Compliance with Laws</w:t>
            </w:r>
            <w:r w:rsidR="005D16B3">
              <w:rPr>
                <w:webHidden/>
              </w:rPr>
              <w:tab/>
            </w:r>
            <w:r w:rsidR="005D16B3">
              <w:rPr>
                <w:webHidden/>
              </w:rPr>
              <w:fldChar w:fldCharType="begin"/>
            </w:r>
            <w:r w:rsidR="005D16B3">
              <w:rPr>
                <w:webHidden/>
              </w:rPr>
              <w:instrText xml:space="preserve"> PAGEREF _Toc182233393 \h </w:instrText>
            </w:r>
            <w:r w:rsidR="005D16B3">
              <w:rPr>
                <w:webHidden/>
              </w:rPr>
            </w:r>
            <w:r w:rsidR="005D16B3">
              <w:rPr>
                <w:webHidden/>
              </w:rPr>
              <w:fldChar w:fldCharType="separate"/>
            </w:r>
            <w:r w:rsidR="005D16B3">
              <w:rPr>
                <w:webHidden/>
              </w:rPr>
              <w:t>68</w:t>
            </w:r>
            <w:r w:rsidR="005D16B3">
              <w:rPr>
                <w:webHidden/>
              </w:rPr>
              <w:fldChar w:fldCharType="end"/>
            </w:r>
          </w:hyperlink>
        </w:p>
        <w:p w14:paraId="51A3C37B" w14:textId="77777777" w:rsidR="005D16B3" w:rsidRDefault="00000000">
          <w:pPr>
            <w:pStyle w:val="TOC1"/>
            <w:rPr>
              <w:rFonts w:eastAsiaTheme="minorEastAsia"/>
              <w:b w:val="0"/>
              <w:bCs w:val="0"/>
              <w:lang w:val="en-GB" w:eastAsia="en-GB"/>
            </w:rPr>
          </w:pPr>
          <w:hyperlink w:anchor="_Toc182233394" w:history="1">
            <w:r w:rsidR="005D16B3" w:rsidRPr="00D84F39">
              <w:rPr>
                <w:rStyle w:val="Hyperlink"/>
                <w:rFonts w:cstheme="minorHAnsi"/>
              </w:rPr>
              <w:t>41.</w:t>
            </w:r>
            <w:r w:rsidR="005D16B3">
              <w:rPr>
                <w:rFonts w:eastAsiaTheme="minorEastAsia"/>
                <w:b w:val="0"/>
                <w:bCs w:val="0"/>
                <w:lang w:val="en-GB" w:eastAsia="en-GB"/>
              </w:rPr>
              <w:tab/>
            </w:r>
            <w:r w:rsidR="005D16B3" w:rsidRPr="00D84F39">
              <w:rPr>
                <w:rStyle w:val="Hyperlink"/>
                <w:rFonts w:cstheme="minorHAnsi"/>
              </w:rPr>
              <w:t>Violation of Terms</w:t>
            </w:r>
            <w:r w:rsidR="005D16B3">
              <w:rPr>
                <w:webHidden/>
              </w:rPr>
              <w:tab/>
            </w:r>
            <w:r w:rsidR="005D16B3">
              <w:rPr>
                <w:webHidden/>
              </w:rPr>
              <w:fldChar w:fldCharType="begin"/>
            </w:r>
            <w:r w:rsidR="005D16B3">
              <w:rPr>
                <w:webHidden/>
              </w:rPr>
              <w:instrText xml:space="preserve"> PAGEREF _Toc182233394 \h </w:instrText>
            </w:r>
            <w:r w:rsidR="005D16B3">
              <w:rPr>
                <w:webHidden/>
              </w:rPr>
            </w:r>
            <w:r w:rsidR="005D16B3">
              <w:rPr>
                <w:webHidden/>
              </w:rPr>
              <w:fldChar w:fldCharType="separate"/>
            </w:r>
            <w:r w:rsidR="005D16B3">
              <w:rPr>
                <w:webHidden/>
              </w:rPr>
              <w:t>68</w:t>
            </w:r>
            <w:r w:rsidR="005D16B3">
              <w:rPr>
                <w:webHidden/>
              </w:rPr>
              <w:fldChar w:fldCharType="end"/>
            </w:r>
          </w:hyperlink>
        </w:p>
        <w:p w14:paraId="128F266B" w14:textId="77777777" w:rsidR="005D16B3" w:rsidRDefault="00000000">
          <w:pPr>
            <w:pStyle w:val="TOC1"/>
            <w:rPr>
              <w:rFonts w:eastAsiaTheme="minorEastAsia"/>
              <w:b w:val="0"/>
              <w:bCs w:val="0"/>
              <w:lang w:val="en-GB" w:eastAsia="en-GB"/>
            </w:rPr>
          </w:pPr>
          <w:hyperlink w:anchor="_Toc182233395" w:history="1">
            <w:r w:rsidR="005D16B3" w:rsidRPr="00D84F39">
              <w:rPr>
                <w:rStyle w:val="Hyperlink"/>
                <w:rFonts w:cstheme="minorHAnsi"/>
              </w:rPr>
              <w:t>42.</w:t>
            </w:r>
            <w:r w:rsidR="005D16B3">
              <w:rPr>
                <w:rFonts w:eastAsiaTheme="minorEastAsia"/>
                <w:b w:val="0"/>
                <w:bCs w:val="0"/>
                <w:lang w:val="en-GB" w:eastAsia="en-GB"/>
              </w:rPr>
              <w:tab/>
            </w:r>
            <w:r w:rsidR="005D16B3" w:rsidRPr="00D84F39">
              <w:rPr>
                <w:rStyle w:val="Hyperlink"/>
                <w:rFonts w:cstheme="minorHAnsi"/>
              </w:rPr>
              <w:t>Corrupt &amp; Fraudulent Practices</w:t>
            </w:r>
            <w:r w:rsidR="005D16B3">
              <w:rPr>
                <w:webHidden/>
              </w:rPr>
              <w:tab/>
            </w:r>
            <w:r w:rsidR="005D16B3">
              <w:rPr>
                <w:webHidden/>
              </w:rPr>
              <w:fldChar w:fldCharType="begin"/>
            </w:r>
            <w:r w:rsidR="005D16B3">
              <w:rPr>
                <w:webHidden/>
              </w:rPr>
              <w:instrText xml:space="preserve"> PAGEREF _Toc182233395 \h </w:instrText>
            </w:r>
            <w:r w:rsidR="005D16B3">
              <w:rPr>
                <w:webHidden/>
              </w:rPr>
            </w:r>
            <w:r w:rsidR="005D16B3">
              <w:rPr>
                <w:webHidden/>
              </w:rPr>
              <w:fldChar w:fldCharType="separate"/>
            </w:r>
            <w:r w:rsidR="005D16B3">
              <w:rPr>
                <w:webHidden/>
              </w:rPr>
              <w:t>69</w:t>
            </w:r>
            <w:r w:rsidR="005D16B3">
              <w:rPr>
                <w:webHidden/>
              </w:rPr>
              <w:fldChar w:fldCharType="end"/>
            </w:r>
          </w:hyperlink>
        </w:p>
        <w:p w14:paraId="18C19D75" w14:textId="77777777" w:rsidR="005D16B3" w:rsidRDefault="00000000">
          <w:pPr>
            <w:pStyle w:val="TOC1"/>
            <w:rPr>
              <w:rFonts w:eastAsiaTheme="minorEastAsia"/>
              <w:b w:val="0"/>
              <w:bCs w:val="0"/>
              <w:lang w:val="en-GB" w:eastAsia="en-GB"/>
            </w:rPr>
          </w:pPr>
          <w:hyperlink w:anchor="_Toc182233396" w:history="1">
            <w:r w:rsidR="005D16B3" w:rsidRPr="00D84F39">
              <w:rPr>
                <w:rStyle w:val="Hyperlink"/>
                <w:rFonts w:cstheme="minorHAnsi"/>
              </w:rPr>
              <w:t>43.</w:t>
            </w:r>
            <w:r w:rsidR="005D16B3">
              <w:rPr>
                <w:rFonts w:eastAsiaTheme="minorEastAsia"/>
                <w:b w:val="0"/>
                <w:bCs w:val="0"/>
                <w:lang w:val="en-GB" w:eastAsia="en-GB"/>
              </w:rPr>
              <w:tab/>
            </w:r>
            <w:r w:rsidR="005D16B3" w:rsidRPr="00D84F39">
              <w:rPr>
                <w:rStyle w:val="Hyperlink"/>
                <w:rFonts w:cstheme="minorHAnsi"/>
              </w:rPr>
              <w:t>Publicity</w:t>
            </w:r>
            <w:r w:rsidR="005D16B3">
              <w:rPr>
                <w:webHidden/>
              </w:rPr>
              <w:tab/>
            </w:r>
            <w:r w:rsidR="005D16B3">
              <w:rPr>
                <w:webHidden/>
              </w:rPr>
              <w:fldChar w:fldCharType="begin"/>
            </w:r>
            <w:r w:rsidR="005D16B3">
              <w:rPr>
                <w:webHidden/>
              </w:rPr>
              <w:instrText xml:space="preserve"> PAGEREF _Toc182233396 \h </w:instrText>
            </w:r>
            <w:r w:rsidR="005D16B3">
              <w:rPr>
                <w:webHidden/>
              </w:rPr>
            </w:r>
            <w:r w:rsidR="005D16B3">
              <w:rPr>
                <w:webHidden/>
              </w:rPr>
              <w:fldChar w:fldCharType="separate"/>
            </w:r>
            <w:r w:rsidR="005D16B3">
              <w:rPr>
                <w:webHidden/>
              </w:rPr>
              <w:t>69</w:t>
            </w:r>
            <w:r w:rsidR="005D16B3">
              <w:rPr>
                <w:webHidden/>
              </w:rPr>
              <w:fldChar w:fldCharType="end"/>
            </w:r>
          </w:hyperlink>
        </w:p>
        <w:p w14:paraId="56C24906" w14:textId="77777777" w:rsidR="005D16B3" w:rsidRDefault="00000000">
          <w:pPr>
            <w:pStyle w:val="TOC1"/>
            <w:rPr>
              <w:rFonts w:eastAsiaTheme="minorEastAsia"/>
              <w:b w:val="0"/>
              <w:bCs w:val="0"/>
              <w:lang w:val="en-GB" w:eastAsia="en-GB"/>
            </w:rPr>
          </w:pPr>
          <w:hyperlink w:anchor="_Toc182233397" w:history="1">
            <w:r w:rsidR="005D16B3" w:rsidRPr="00D84F39">
              <w:rPr>
                <w:rStyle w:val="Hyperlink"/>
                <w:rFonts w:cstheme="minorHAnsi"/>
              </w:rPr>
              <w:t>44.</w:t>
            </w:r>
            <w:r w:rsidR="005D16B3">
              <w:rPr>
                <w:rFonts w:eastAsiaTheme="minorEastAsia"/>
                <w:b w:val="0"/>
                <w:bCs w:val="0"/>
                <w:lang w:val="en-GB" w:eastAsia="en-GB"/>
              </w:rPr>
              <w:tab/>
            </w:r>
            <w:r w:rsidR="005D16B3" w:rsidRPr="00D84F39">
              <w:rPr>
                <w:rStyle w:val="Hyperlink"/>
                <w:rFonts w:cstheme="minorHAnsi"/>
              </w:rPr>
              <w:t>Entire Agreement; Amendments</w:t>
            </w:r>
            <w:r w:rsidR="005D16B3">
              <w:rPr>
                <w:webHidden/>
              </w:rPr>
              <w:tab/>
            </w:r>
            <w:r w:rsidR="005D16B3">
              <w:rPr>
                <w:webHidden/>
              </w:rPr>
              <w:fldChar w:fldCharType="begin"/>
            </w:r>
            <w:r w:rsidR="005D16B3">
              <w:rPr>
                <w:webHidden/>
              </w:rPr>
              <w:instrText xml:space="preserve"> PAGEREF _Toc182233397 \h </w:instrText>
            </w:r>
            <w:r w:rsidR="005D16B3">
              <w:rPr>
                <w:webHidden/>
              </w:rPr>
            </w:r>
            <w:r w:rsidR="005D16B3">
              <w:rPr>
                <w:webHidden/>
              </w:rPr>
              <w:fldChar w:fldCharType="separate"/>
            </w:r>
            <w:r w:rsidR="005D16B3">
              <w:rPr>
                <w:webHidden/>
              </w:rPr>
              <w:t>69</w:t>
            </w:r>
            <w:r w:rsidR="005D16B3">
              <w:rPr>
                <w:webHidden/>
              </w:rPr>
              <w:fldChar w:fldCharType="end"/>
            </w:r>
          </w:hyperlink>
        </w:p>
        <w:p w14:paraId="76785BDE" w14:textId="77777777" w:rsidR="005D16B3" w:rsidRDefault="00000000">
          <w:pPr>
            <w:pStyle w:val="TOC1"/>
            <w:rPr>
              <w:rFonts w:eastAsiaTheme="minorEastAsia"/>
              <w:b w:val="0"/>
              <w:bCs w:val="0"/>
              <w:lang w:val="en-GB" w:eastAsia="en-GB"/>
            </w:rPr>
          </w:pPr>
          <w:hyperlink w:anchor="_Toc182233398" w:history="1">
            <w:r w:rsidR="005D16B3" w:rsidRPr="00D84F39">
              <w:rPr>
                <w:rStyle w:val="Hyperlink"/>
                <w:rFonts w:cstheme="minorHAnsi"/>
              </w:rPr>
              <w:t>45.</w:t>
            </w:r>
            <w:r w:rsidR="005D16B3">
              <w:rPr>
                <w:rFonts w:eastAsiaTheme="minorEastAsia"/>
                <w:b w:val="0"/>
                <w:bCs w:val="0"/>
                <w:lang w:val="en-GB" w:eastAsia="en-GB"/>
              </w:rPr>
              <w:tab/>
            </w:r>
            <w:r w:rsidR="005D16B3" w:rsidRPr="00D84F39">
              <w:rPr>
                <w:rStyle w:val="Hyperlink"/>
                <w:rFonts w:cstheme="minorHAnsi"/>
              </w:rPr>
              <w:t>Survival and Severability</w:t>
            </w:r>
            <w:r w:rsidR="005D16B3">
              <w:rPr>
                <w:webHidden/>
              </w:rPr>
              <w:tab/>
            </w:r>
            <w:r w:rsidR="005D16B3">
              <w:rPr>
                <w:webHidden/>
              </w:rPr>
              <w:fldChar w:fldCharType="begin"/>
            </w:r>
            <w:r w:rsidR="005D16B3">
              <w:rPr>
                <w:webHidden/>
              </w:rPr>
              <w:instrText xml:space="preserve"> PAGEREF _Toc182233398 \h </w:instrText>
            </w:r>
            <w:r w:rsidR="005D16B3">
              <w:rPr>
                <w:webHidden/>
              </w:rPr>
            </w:r>
            <w:r w:rsidR="005D16B3">
              <w:rPr>
                <w:webHidden/>
              </w:rPr>
              <w:fldChar w:fldCharType="separate"/>
            </w:r>
            <w:r w:rsidR="005D16B3">
              <w:rPr>
                <w:webHidden/>
              </w:rPr>
              <w:t>69</w:t>
            </w:r>
            <w:r w:rsidR="005D16B3">
              <w:rPr>
                <w:webHidden/>
              </w:rPr>
              <w:fldChar w:fldCharType="end"/>
            </w:r>
          </w:hyperlink>
        </w:p>
        <w:p w14:paraId="02695B0C" w14:textId="77777777" w:rsidR="005D16B3" w:rsidRDefault="00000000">
          <w:pPr>
            <w:pStyle w:val="TOC1"/>
            <w:rPr>
              <w:rFonts w:eastAsiaTheme="minorEastAsia"/>
              <w:b w:val="0"/>
              <w:bCs w:val="0"/>
              <w:lang w:val="en-GB" w:eastAsia="en-GB"/>
            </w:rPr>
          </w:pPr>
          <w:hyperlink w:anchor="_Toc182233399" w:history="1">
            <w:r w:rsidR="005D16B3" w:rsidRPr="00D84F39">
              <w:rPr>
                <w:rStyle w:val="Hyperlink"/>
                <w:rFonts w:cstheme="minorHAnsi"/>
              </w:rPr>
              <w:t>46.</w:t>
            </w:r>
            <w:r w:rsidR="005D16B3">
              <w:rPr>
                <w:rFonts w:eastAsiaTheme="minorEastAsia"/>
                <w:b w:val="0"/>
                <w:bCs w:val="0"/>
                <w:lang w:val="en-GB" w:eastAsia="en-GB"/>
              </w:rPr>
              <w:tab/>
            </w:r>
            <w:r w:rsidR="005D16B3" w:rsidRPr="00D84F39">
              <w:rPr>
                <w:rStyle w:val="Hyperlink"/>
                <w:rFonts w:cstheme="minorHAnsi"/>
              </w:rPr>
              <w:t>Amendments to Bidding Documents</w:t>
            </w:r>
            <w:r w:rsidR="005D16B3">
              <w:rPr>
                <w:webHidden/>
              </w:rPr>
              <w:tab/>
            </w:r>
            <w:r w:rsidR="005D16B3">
              <w:rPr>
                <w:webHidden/>
              </w:rPr>
              <w:fldChar w:fldCharType="begin"/>
            </w:r>
            <w:r w:rsidR="005D16B3">
              <w:rPr>
                <w:webHidden/>
              </w:rPr>
              <w:instrText xml:space="preserve"> PAGEREF _Toc182233399 \h </w:instrText>
            </w:r>
            <w:r w:rsidR="005D16B3">
              <w:rPr>
                <w:webHidden/>
              </w:rPr>
            </w:r>
            <w:r w:rsidR="005D16B3">
              <w:rPr>
                <w:webHidden/>
              </w:rPr>
              <w:fldChar w:fldCharType="separate"/>
            </w:r>
            <w:r w:rsidR="005D16B3">
              <w:rPr>
                <w:webHidden/>
              </w:rPr>
              <w:t>70</w:t>
            </w:r>
            <w:r w:rsidR="005D16B3">
              <w:rPr>
                <w:webHidden/>
              </w:rPr>
              <w:fldChar w:fldCharType="end"/>
            </w:r>
          </w:hyperlink>
        </w:p>
        <w:p w14:paraId="1ED69787" w14:textId="77777777" w:rsidR="005D16B3" w:rsidRDefault="00000000">
          <w:pPr>
            <w:pStyle w:val="TOC1"/>
            <w:rPr>
              <w:rFonts w:eastAsiaTheme="minorEastAsia"/>
              <w:b w:val="0"/>
              <w:bCs w:val="0"/>
              <w:lang w:val="en-GB" w:eastAsia="en-GB"/>
            </w:rPr>
          </w:pPr>
          <w:hyperlink w:anchor="_Toc182233400" w:history="1">
            <w:r w:rsidR="005D16B3" w:rsidRPr="00D84F39">
              <w:rPr>
                <w:rStyle w:val="Hyperlink"/>
                <w:rFonts w:cstheme="minorHAnsi"/>
              </w:rPr>
              <w:t>47.</w:t>
            </w:r>
            <w:r w:rsidR="005D16B3">
              <w:rPr>
                <w:rFonts w:eastAsiaTheme="minorEastAsia"/>
                <w:b w:val="0"/>
                <w:bCs w:val="0"/>
                <w:lang w:val="en-GB" w:eastAsia="en-GB"/>
              </w:rPr>
              <w:tab/>
            </w:r>
            <w:r w:rsidR="005D16B3" w:rsidRPr="00D84F39">
              <w:rPr>
                <w:rStyle w:val="Hyperlink"/>
                <w:rFonts w:cstheme="minorHAnsi"/>
              </w:rPr>
              <w:t>Period of Validity</w:t>
            </w:r>
            <w:r w:rsidR="005D16B3">
              <w:rPr>
                <w:webHidden/>
              </w:rPr>
              <w:tab/>
            </w:r>
            <w:r w:rsidR="005D16B3">
              <w:rPr>
                <w:webHidden/>
              </w:rPr>
              <w:fldChar w:fldCharType="begin"/>
            </w:r>
            <w:r w:rsidR="005D16B3">
              <w:rPr>
                <w:webHidden/>
              </w:rPr>
              <w:instrText xml:space="preserve"> PAGEREF _Toc182233400 \h </w:instrText>
            </w:r>
            <w:r w:rsidR="005D16B3">
              <w:rPr>
                <w:webHidden/>
              </w:rPr>
            </w:r>
            <w:r w:rsidR="005D16B3">
              <w:rPr>
                <w:webHidden/>
              </w:rPr>
              <w:fldChar w:fldCharType="separate"/>
            </w:r>
            <w:r w:rsidR="005D16B3">
              <w:rPr>
                <w:webHidden/>
              </w:rPr>
              <w:t>70</w:t>
            </w:r>
            <w:r w:rsidR="005D16B3">
              <w:rPr>
                <w:webHidden/>
              </w:rPr>
              <w:fldChar w:fldCharType="end"/>
            </w:r>
          </w:hyperlink>
        </w:p>
        <w:p w14:paraId="297FEA6B" w14:textId="77777777" w:rsidR="005D16B3" w:rsidRDefault="00000000">
          <w:pPr>
            <w:pStyle w:val="TOC1"/>
            <w:rPr>
              <w:rFonts w:eastAsiaTheme="minorEastAsia"/>
              <w:b w:val="0"/>
              <w:bCs w:val="0"/>
              <w:lang w:val="en-GB" w:eastAsia="en-GB"/>
            </w:rPr>
          </w:pPr>
          <w:hyperlink w:anchor="_Toc182233401" w:history="1">
            <w:r w:rsidR="005D16B3" w:rsidRPr="00D84F39">
              <w:rPr>
                <w:rStyle w:val="Hyperlink"/>
                <w:rFonts w:cstheme="minorHAnsi"/>
              </w:rPr>
              <w:t>48.</w:t>
            </w:r>
            <w:r w:rsidR="005D16B3">
              <w:rPr>
                <w:rFonts w:eastAsiaTheme="minorEastAsia"/>
                <w:b w:val="0"/>
                <w:bCs w:val="0"/>
                <w:lang w:val="en-GB" w:eastAsia="en-GB"/>
              </w:rPr>
              <w:tab/>
            </w:r>
            <w:r w:rsidR="005D16B3" w:rsidRPr="00D84F39">
              <w:rPr>
                <w:rStyle w:val="Hyperlink"/>
                <w:rFonts w:cstheme="minorHAnsi"/>
              </w:rPr>
              <w:t>Ownership, Grant and Delivery</w:t>
            </w:r>
            <w:r w:rsidR="005D16B3">
              <w:rPr>
                <w:webHidden/>
              </w:rPr>
              <w:tab/>
            </w:r>
            <w:r w:rsidR="005D16B3">
              <w:rPr>
                <w:webHidden/>
              </w:rPr>
              <w:fldChar w:fldCharType="begin"/>
            </w:r>
            <w:r w:rsidR="005D16B3">
              <w:rPr>
                <w:webHidden/>
              </w:rPr>
              <w:instrText xml:space="preserve"> PAGEREF _Toc182233401 \h </w:instrText>
            </w:r>
            <w:r w:rsidR="005D16B3">
              <w:rPr>
                <w:webHidden/>
              </w:rPr>
            </w:r>
            <w:r w:rsidR="005D16B3">
              <w:rPr>
                <w:webHidden/>
              </w:rPr>
              <w:fldChar w:fldCharType="separate"/>
            </w:r>
            <w:r w:rsidR="005D16B3">
              <w:rPr>
                <w:webHidden/>
              </w:rPr>
              <w:t>70</w:t>
            </w:r>
            <w:r w:rsidR="005D16B3">
              <w:rPr>
                <w:webHidden/>
              </w:rPr>
              <w:fldChar w:fldCharType="end"/>
            </w:r>
          </w:hyperlink>
        </w:p>
        <w:p w14:paraId="2B50C338" w14:textId="77777777" w:rsidR="005D16B3" w:rsidRDefault="00000000">
          <w:pPr>
            <w:pStyle w:val="TOC1"/>
            <w:rPr>
              <w:rFonts w:eastAsiaTheme="minorEastAsia"/>
              <w:b w:val="0"/>
              <w:bCs w:val="0"/>
              <w:lang w:val="en-GB" w:eastAsia="en-GB"/>
            </w:rPr>
          </w:pPr>
          <w:hyperlink w:anchor="_Toc182233402" w:history="1">
            <w:r w:rsidR="005D16B3" w:rsidRPr="00D84F39">
              <w:rPr>
                <w:rStyle w:val="Hyperlink"/>
                <w:rFonts w:cstheme="minorHAnsi"/>
              </w:rPr>
              <w:t>49.</w:t>
            </w:r>
            <w:r w:rsidR="005D16B3">
              <w:rPr>
                <w:rFonts w:eastAsiaTheme="minorEastAsia"/>
                <w:b w:val="0"/>
                <w:bCs w:val="0"/>
                <w:lang w:val="en-GB" w:eastAsia="en-GB"/>
              </w:rPr>
              <w:tab/>
            </w:r>
            <w:r w:rsidR="005D16B3" w:rsidRPr="00D84F39">
              <w:rPr>
                <w:rStyle w:val="Hyperlink"/>
                <w:rFonts w:cstheme="minorHAnsi"/>
              </w:rPr>
              <w:t>Last Date and Time for Submission of Bids</w:t>
            </w:r>
            <w:r w:rsidR="005D16B3">
              <w:rPr>
                <w:webHidden/>
              </w:rPr>
              <w:tab/>
            </w:r>
            <w:r w:rsidR="005D16B3">
              <w:rPr>
                <w:webHidden/>
              </w:rPr>
              <w:fldChar w:fldCharType="begin"/>
            </w:r>
            <w:r w:rsidR="005D16B3">
              <w:rPr>
                <w:webHidden/>
              </w:rPr>
              <w:instrText xml:space="preserve"> PAGEREF _Toc182233402 \h </w:instrText>
            </w:r>
            <w:r w:rsidR="005D16B3">
              <w:rPr>
                <w:webHidden/>
              </w:rPr>
            </w:r>
            <w:r w:rsidR="005D16B3">
              <w:rPr>
                <w:webHidden/>
              </w:rPr>
              <w:fldChar w:fldCharType="separate"/>
            </w:r>
            <w:r w:rsidR="005D16B3">
              <w:rPr>
                <w:webHidden/>
              </w:rPr>
              <w:t>70</w:t>
            </w:r>
            <w:r w:rsidR="005D16B3">
              <w:rPr>
                <w:webHidden/>
              </w:rPr>
              <w:fldChar w:fldCharType="end"/>
            </w:r>
          </w:hyperlink>
        </w:p>
        <w:p w14:paraId="545E0599" w14:textId="77777777" w:rsidR="005D16B3" w:rsidRDefault="00000000">
          <w:pPr>
            <w:pStyle w:val="TOC1"/>
            <w:rPr>
              <w:rFonts w:eastAsiaTheme="minorEastAsia"/>
              <w:b w:val="0"/>
              <w:bCs w:val="0"/>
              <w:lang w:val="en-GB" w:eastAsia="en-GB"/>
            </w:rPr>
          </w:pPr>
          <w:hyperlink w:anchor="_Toc182233403" w:history="1">
            <w:r w:rsidR="005D16B3" w:rsidRPr="00D84F39">
              <w:rPr>
                <w:rStyle w:val="Hyperlink"/>
                <w:rFonts w:cstheme="minorHAnsi"/>
              </w:rPr>
              <w:t>50.</w:t>
            </w:r>
            <w:r w:rsidR="005D16B3">
              <w:rPr>
                <w:rFonts w:eastAsiaTheme="minorEastAsia"/>
                <w:b w:val="0"/>
                <w:bCs w:val="0"/>
                <w:lang w:val="en-GB" w:eastAsia="en-GB"/>
              </w:rPr>
              <w:tab/>
            </w:r>
            <w:r w:rsidR="005D16B3" w:rsidRPr="00D84F39">
              <w:rPr>
                <w:rStyle w:val="Hyperlink"/>
                <w:rFonts w:cstheme="minorHAnsi"/>
              </w:rPr>
              <w:t>Late Bids</w:t>
            </w:r>
            <w:r w:rsidR="005D16B3">
              <w:rPr>
                <w:webHidden/>
              </w:rPr>
              <w:tab/>
            </w:r>
            <w:r w:rsidR="005D16B3">
              <w:rPr>
                <w:webHidden/>
              </w:rPr>
              <w:fldChar w:fldCharType="begin"/>
            </w:r>
            <w:r w:rsidR="005D16B3">
              <w:rPr>
                <w:webHidden/>
              </w:rPr>
              <w:instrText xml:space="preserve"> PAGEREF _Toc182233403 \h </w:instrText>
            </w:r>
            <w:r w:rsidR="005D16B3">
              <w:rPr>
                <w:webHidden/>
              </w:rPr>
            </w:r>
            <w:r w:rsidR="005D16B3">
              <w:rPr>
                <w:webHidden/>
              </w:rPr>
              <w:fldChar w:fldCharType="separate"/>
            </w:r>
            <w:r w:rsidR="005D16B3">
              <w:rPr>
                <w:webHidden/>
              </w:rPr>
              <w:t>70</w:t>
            </w:r>
            <w:r w:rsidR="005D16B3">
              <w:rPr>
                <w:webHidden/>
              </w:rPr>
              <w:fldChar w:fldCharType="end"/>
            </w:r>
          </w:hyperlink>
        </w:p>
        <w:p w14:paraId="360998A6" w14:textId="77777777" w:rsidR="005D16B3" w:rsidRDefault="00000000">
          <w:pPr>
            <w:pStyle w:val="TOC1"/>
            <w:rPr>
              <w:rFonts w:eastAsiaTheme="minorEastAsia"/>
              <w:b w:val="0"/>
              <w:bCs w:val="0"/>
              <w:lang w:val="en-GB" w:eastAsia="en-GB"/>
            </w:rPr>
          </w:pPr>
          <w:hyperlink w:anchor="_Toc182233404" w:history="1">
            <w:r w:rsidR="005D16B3" w:rsidRPr="00D84F39">
              <w:rPr>
                <w:rStyle w:val="Hyperlink"/>
                <w:rFonts w:cstheme="minorHAnsi"/>
              </w:rPr>
              <w:t>51.</w:t>
            </w:r>
            <w:r w:rsidR="005D16B3">
              <w:rPr>
                <w:rFonts w:eastAsiaTheme="minorEastAsia"/>
                <w:b w:val="0"/>
                <w:bCs w:val="0"/>
                <w:lang w:val="en-GB" w:eastAsia="en-GB"/>
              </w:rPr>
              <w:tab/>
            </w:r>
            <w:r w:rsidR="005D16B3" w:rsidRPr="00D84F39">
              <w:rPr>
                <w:rStyle w:val="Hyperlink"/>
                <w:rFonts w:cstheme="minorHAnsi"/>
              </w:rPr>
              <w:t>Modifications and/or Withdrawal of Bids</w:t>
            </w:r>
            <w:r w:rsidR="005D16B3">
              <w:rPr>
                <w:webHidden/>
              </w:rPr>
              <w:tab/>
            </w:r>
            <w:r w:rsidR="005D16B3">
              <w:rPr>
                <w:webHidden/>
              </w:rPr>
              <w:fldChar w:fldCharType="begin"/>
            </w:r>
            <w:r w:rsidR="005D16B3">
              <w:rPr>
                <w:webHidden/>
              </w:rPr>
              <w:instrText xml:space="preserve"> PAGEREF _Toc182233404 \h </w:instrText>
            </w:r>
            <w:r w:rsidR="005D16B3">
              <w:rPr>
                <w:webHidden/>
              </w:rPr>
            </w:r>
            <w:r w:rsidR="005D16B3">
              <w:rPr>
                <w:webHidden/>
              </w:rPr>
              <w:fldChar w:fldCharType="separate"/>
            </w:r>
            <w:r w:rsidR="005D16B3">
              <w:rPr>
                <w:webHidden/>
              </w:rPr>
              <w:t>70</w:t>
            </w:r>
            <w:r w:rsidR="005D16B3">
              <w:rPr>
                <w:webHidden/>
              </w:rPr>
              <w:fldChar w:fldCharType="end"/>
            </w:r>
          </w:hyperlink>
        </w:p>
        <w:p w14:paraId="2931D885" w14:textId="77777777" w:rsidR="005D16B3" w:rsidRDefault="00000000">
          <w:pPr>
            <w:pStyle w:val="TOC1"/>
            <w:rPr>
              <w:rFonts w:eastAsiaTheme="minorEastAsia"/>
              <w:b w:val="0"/>
              <w:bCs w:val="0"/>
              <w:lang w:val="en-GB" w:eastAsia="en-GB"/>
            </w:rPr>
          </w:pPr>
          <w:hyperlink w:anchor="_Toc182233405" w:history="1">
            <w:r w:rsidR="005D16B3" w:rsidRPr="00D84F39">
              <w:rPr>
                <w:rStyle w:val="Hyperlink"/>
                <w:rFonts w:cstheme="minorHAnsi"/>
              </w:rPr>
              <w:t>52.</w:t>
            </w:r>
            <w:r w:rsidR="005D16B3">
              <w:rPr>
                <w:rFonts w:eastAsiaTheme="minorEastAsia"/>
                <w:b w:val="0"/>
                <w:bCs w:val="0"/>
                <w:lang w:val="en-GB" w:eastAsia="en-GB"/>
              </w:rPr>
              <w:tab/>
            </w:r>
            <w:r w:rsidR="005D16B3" w:rsidRPr="00D84F39">
              <w:rPr>
                <w:rStyle w:val="Hyperlink"/>
                <w:rFonts w:cstheme="minorHAnsi"/>
              </w:rPr>
              <w:t>Signing of Contract</w:t>
            </w:r>
            <w:r w:rsidR="005D16B3">
              <w:rPr>
                <w:webHidden/>
              </w:rPr>
              <w:tab/>
            </w:r>
            <w:r w:rsidR="005D16B3">
              <w:rPr>
                <w:webHidden/>
              </w:rPr>
              <w:fldChar w:fldCharType="begin"/>
            </w:r>
            <w:r w:rsidR="005D16B3">
              <w:rPr>
                <w:webHidden/>
              </w:rPr>
              <w:instrText xml:space="preserve"> PAGEREF _Toc182233405 \h </w:instrText>
            </w:r>
            <w:r w:rsidR="005D16B3">
              <w:rPr>
                <w:webHidden/>
              </w:rPr>
            </w:r>
            <w:r w:rsidR="005D16B3">
              <w:rPr>
                <w:webHidden/>
              </w:rPr>
              <w:fldChar w:fldCharType="separate"/>
            </w:r>
            <w:r w:rsidR="005D16B3">
              <w:rPr>
                <w:webHidden/>
              </w:rPr>
              <w:t>71</w:t>
            </w:r>
            <w:r w:rsidR="005D16B3">
              <w:rPr>
                <w:webHidden/>
              </w:rPr>
              <w:fldChar w:fldCharType="end"/>
            </w:r>
          </w:hyperlink>
        </w:p>
        <w:p w14:paraId="784C3357" w14:textId="77777777" w:rsidR="005D16B3" w:rsidRDefault="00000000">
          <w:pPr>
            <w:pStyle w:val="TOC1"/>
            <w:rPr>
              <w:rFonts w:eastAsiaTheme="minorEastAsia"/>
              <w:b w:val="0"/>
              <w:bCs w:val="0"/>
              <w:lang w:val="en-GB" w:eastAsia="en-GB"/>
            </w:rPr>
          </w:pPr>
          <w:hyperlink w:anchor="_Toc182233406" w:history="1">
            <w:r w:rsidR="005D16B3" w:rsidRPr="00D84F39">
              <w:rPr>
                <w:rStyle w:val="Hyperlink"/>
                <w:rFonts w:cstheme="minorHAnsi"/>
              </w:rPr>
              <w:t>53.</w:t>
            </w:r>
            <w:r w:rsidR="005D16B3">
              <w:rPr>
                <w:rFonts w:eastAsiaTheme="minorEastAsia"/>
                <w:b w:val="0"/>
                <w:bCs w:val="0"/>
                <w:lang w:val="en-GB" w:eastAsia="en-GB"/>
              </w:rPr>
              <w:tab/>
            </w:r>
            <w:r w:rsidR="005D16B3" w:rsidRPr="00D84F39">
              <w:rPr>
                <w:rStyle w:val="Hyperlink"/>
                <w:rFonts w:cstheme="minorHAnsi"/>
              </w:rPr>
              <w:t>Checklist for Submission</w:t>
            </w:r>
            <w:r w:rsidR="005D16B3">
              <w:rPr>
                <w:webHidden/>
              </w:rPr>
              <w:tab/>
            </w:r>
            <w:r w:rsidR="005D16B3">
              <w:rPr>
                <w:webHidden/>
              </w:rPr>
              <w:fldChar w:fldCharType="begin"/>
            </w:r>
            <w:r w:rsidR="005D16B3">
              <w:rPr>
                <w:webHidden/>
              </w:rPr>
              <w:instrText xml:space="preserve"> PAGEREF _Toc182233406 \h </w:instrText>
            </w:r>
            <w:r w:rsidR="005D16B3">
              <w:rPr>
                <w:webHidden/>
              </w:rPr>
            </w:r>
            <w:r w:rsidR="005D16B3">
              <w:rPr>
                <w:webHidden/>
              </w:rPr>
              <w:fldChar w:fldCharType="separate"/>
            </w:r>
            <w:r w:rsidR="005D16B3">
              <w:rPr>
                <w:webHidden/>
              </w:rPr>
              <w:t>72</w:t>
            </w:r>
            <w:r w:rsidR="005D16B3">
              <w:rPr>
                <w:webHidden/>
              </w:rPr>
              <w:fldChar w:fldCharType="end"/>
            </w:r>
          </w:hyperlink>
        </w:p>
        <w:p w14:paraId="1E5A8652" w14:textId="77777777" w:rsidR="005D16B3" w:rsidRDefault="00000000">
          <w:pPr>
            <w:pStyle w:val="TOC1"/>
            <w:rPr>
              <w:rFonts w:eastAsiaTheme="minorEastAsia"/>
              <w:b w:val="0"/>
              <w:bCs w:val="0"/>
              <w:lang w:val="en-GB" w:eastAsia="en-GB"/>
            </w:rPr>
          </w:pPr>
          <w:hyperlink w:anchor="_Toc182233407" w:history="1">
            <w:r w:rsidR="005D16B3" w:rsidRPr="00D84F39">
              <w:rPr>
                <w:rStyle w:val="Hyperlink"/>
                <w:rFonts w:cstheme="minorHAnsi"/>
              </w:rPr>
              <w:t>54.</w:t>
            </w:r>
            <w:r w:rsidR="005D16B3">
              <w:rPr>
                <w:rFonts w:eastAsiaTheme="minorEastAsia"/>
                <w:b w:val="0"/>
                <w:bCs w:val="0"/>
                <w:lang w:val="en-GB" w:eastAsia="en-GB"/>
              </w:rPr>
              <w:tab/>
            </w:r>
            <w:r w:rsidR="005D16B3" w:rsidRPr="00D84F39">
              <w:rPr>
                <w:rStyle w:val="Hyperlink"/>
                <w:rFonts w:cstheme="minorHAnsi"/>
              </w:rPr>
              <w:t>Annexure 1: Bill of Material</w:t>
            </w:r>
            <w:r w:rsidR="005D16B3">
              <w:rPr>
                <w:webHidden/>
              </w:rPr>
              <w:tab/>
            </w:r>
            <w:r w:rsidR="005D16B3">
              <w:rPr>
                <w:webHidden/>
              </w:rPr>
              <w:fldChar w:fldCharType="begin"/>
            </w:r>
            <w:r w:rsidR="005D16B3">
              <w:rPr>
                <w:webHidden/>
              </w:rPr>
              <w:instrText xml:space="preserve"> PAGEREF _Toc182233407 \h </w:instrText>
            </w:r>
            <w:r w:rsidR="005D16B3">
              <w:rPr>
                <w:webHidden/>
              </w:rPr>
            </w:r>
            <w:r w:rsidR="005D16B3">
              <w:rPr>
                <w:webHidden/>
              </w:rPr>
              <w:fldChar w:fldCharType="separate"/>
            </w:r>
            <w:r w:rsidR="005D16B3">
              <w:rPr>
                <w:webHidden/>
              </w:rPr>
              <w:t>74</w:t>
            </w:r>
            <w:r w:rsidR="005D16B3">
              <w:rPr>
                <w:webHidden/>
              </w:rPr>
              <w:fldChar w:fldCharType="end"/>
            </w:r>
          </w:hyperlink>
        </w:p>
        <w:p w14:paraId="11DFB90E" w14:textId="77777777" w:rsidR="005D16B3" w:rsidRDefault="00000000">
          <w:pPr>
            <w:pStyle w:val="TOC1"/>
            <w:rPr>
              <w:rFonts w:eastAsiaTheme="minorEastAsia"/>
              <w:b w:val="0"/>
              <w:bCs w:val="0"/>
              <w:lang w:val="en-GB" w:eastAsia="en-GB"/>
            </w:rPr>
          </w:pPr>
          <w:hyperlink w:anchor="_Toc182233408" w:history="1">
            <w:r w:rsidR="005D16B3" w:rsidRPr="00D84F39">
              <w:rPr>
                <w:rStyle w:val="Hyperlink"/>
                <w:rFonts w:cstheme="minorHAnsi"/>
              </w:rPr>
              <w:t>55.</w:t>
            </w:r>
            <w:r w:rsidR="005D16B3">
              <w:rPr>
                <w:rFonts w:eastAsiaTheme="minorEastAsia"/>
                <w:b w:val="0"/>
                <w:bCs w:val="0"/>
                <w:lang w:val="en-GB" w:eastAsia="en-GB"/>
              </w:rPr>
              <w:tab/>
            </w:r>
            <w:r w:rsidR="005D16B3" w:rsidRPr="00D84F39">
              <w:rPr>
                <w:rStyle w:val="Hyperlink"/>
                <w:rFonts w:cstheme="minorHAnsi"/>
              </w:rPr>
              <w:t>Annexure 2: Minimum Technical Specifications</w:t>
            </w:r>
            <w:r w:rsidR="005D16B3">
              <w:rPr>
                <w:webHidden/>
              </w:rPr>
              <w:tab/>
            </w:r>
            <w:r w:rsidR="005D16B3">
              <w:rPr>
                <w:webHidden/>
              </w:rPr>
              <w:fldChar w:fldCharType="begin"/>
            </w:r>
            <w:r w:rsidR="005D16B3">
              <w:rPr>
                <w:webHidden/>
              </w:rPr>
              <w:instrText xml:space="preserve"> PAGEREF _Toc182233408 \h </w:instrText>
            </w:r>
            <w:r w:rsidR="005D16B3">
              <w:rPr>
                <w:webHidden/>
              </w:rPr>
            </w:r>
            <w:r w:rsidR="005D16B3">
              <w:rPr>
                <w:webHidden/>
              </w:rPr>
              <w:fldChar w:fldCharType="separate"/>
            </w:r>
            <w:r w:rsidR="005D16B3">
              <w:rPr>
                <w:webHidden/>
              </w:rPr>
              <w:t>102</w:t>
            </w:r>
            <w:r w:rsidR="005D16B3">
              <w:rPr>
                <w:webHidden/>
              </w:rPr>
              <w:fldChar w:fldCharType="end"/>
            </w:r>
          </w:hyperlink>
        </w:p>
        <w:p w14:paraId="4ECB0994" w14:textId="77777777" w:rsidR="005D16B3" w:rsidRDefault="00000000">
          <w:pPr>
            <w:pStyle w:val="TOC1"/>
            <w:rPr>
              <w:rFonts w:eastAsiaTheme="minorEastAsia"/>
              <w:b w:val="0"/>
              <w:bCs w:val="0"/>
              <w:lang w:val="en-GB" w:eastAsia="en-GB"/>
            </w:rPr>
          </w:pPr>
          <w:hyperlink w:anchor="_Toc182233409" w:history="1">
            <w:r w:rsidR="005D16B3" w:rsidRPr="00D84F39">
              <w:rPr>
                <w:rStyle w:val="Hyperlink"/>
                <w:rFonts w:cstheme="minorHAnsi"/>
              </w:rPr>
              <w:t>56.</w:t>
            </w:r>
            <w:r w:rsidR="005D16B3">
              <w:rPr>
                <w:rFonts w:eastAsiaTheme="minorEastAsia"/>
                <w:b w:val="0"/>
                <w:bCs w:val="0"/>
                <w:lang w:val="en-GB" w:eastAsia="en-GB"/>
              </w:rPr>
              <w:tab/>
            </w:r>
            <w:r w:rsidR="005D16B3" w:rsidRPr="00D84F39">
              <w:rPr>
                <w:rStyle w:val="Hyperlink"/>
                <w:rFonts w:cstheme="minorHAnsi"/>
              </w:rPr>
              <w:t>Annexure 3: Conformity Letter</w:t>
            </w:r>
            <w:r w:rsidR="005D16B3">
              <w:rPr>
                <w:webHidden/>
              </w:rPr>
              <w:tab/>
            </w:r>
            <w:r w:rsidR="005D16B3">
              <w:rPr>
                <w:webHidden/>
              </w:rPr>
              <w:fldChar w:fldCharType="begin"/>
            </w:r>
            <w:r w:rsidR="005D16B3">
              <w:rPr>
                <w:webHidden/>
              </w:rPr>
              <w:instrText xml:space="preserve"> PAGEREF _Toc182233409 \h </w:instrText>
            </w:r>
            <w:r w:rsidR="005D16B3">
              <w:rPr>
                <w:webHidden/>
              </w:rPr>
            </w:r>
            <w:r w:rsidR="005D16B3">
              <w:rPr>
                <w:webHidden/>
              </w:rPr>
              <w:fldChar w:fldCharType="separate"/>
            </w:r>
            <w:r w:rsidR="005D16B3">
              <w:rPr>
                <w:webHidden/>
              </w:rPr>
              <w:t>181</w:t>
            </w:r>
            <w:r w:rsidR="005D16B3">
              <w:rPr>
                <w:webHidden/>
              </w:rPr>
              <w:fldChar w:fldCharType="end"/>
            </w:r>
          </w:hyperlink>
        </w:p>
        <w:p w14:paraId="5E3B5525" w14:textId="77777777" w:rsidR="005D16B3" w:rsidRDefault="00000000">
          <w:pPr>
            <w:pStyle w:val="TOC1"/>
            <w:rPr>
              <w:rFonts w:eastAsiaTheme="minorEastAsia"/>
              <w:b w:val="0"/>
              <w:bCs w:val="0"/>
              <w:lang w:val="en-GB" w:eastAsia="en-GB"/>
            </w:rPr>
          </w:pPr>
          <w:hyperlink w:anchor="_Toc182233410" w:history="1">
            <w:r w:rsidR="005D16B3" w:rsidRPr="00D84F39">
              <w:rPr>
                <w:rStyle w:val="Hyperlink"/>
                <w:rFonts w:cstheme="minorHAnsi"/>
              </w:rPr>
              <w:t>57.</w:t>
            </w:r>
            <w:r w:rsidR="005D16B3">
              <w:rPr>
                <w:rFonts w:eastAsiaTheme="minorEastAsia"/>
                <w:b w:val="0"/>
                <w:bCs w:val="0"/>
                <w:lang w:val="en-GB" w:eastAsia="en-GB"/>
              </w:rPr>
              <w:tab/>
            </w:r>
            <w:r w:rsidR="005D16B3" w:rsidRPr="00D84F39">
              <w:rPr>
                <w:rStyle w:val="Hyperlink"/>
                <w:rFonts w:cstheme="minorHAnsi"/>
              </w:rPr>
              <w:t>Annexure 4: Masked Commercial Bill of Material</w:t>
            </w:r>
            <w:r w:rsidR="005D16B3">
              <w:rPr>
                <w:webHidden/>
              </w:rPr>
              <w:tab/>
            </w:r>
            <w:r w:rsidR="005D16B3">
              <w:rPr>
                <w:webHidden/>
              </w:rPr>
              <w:fldChar w:fldCharType="begin"/>
            </w:r>
            <w:r w:rsidR="005D16B3">
              <w:rPr>
                <w:webHidden/>
              </w:rPr>
              <w:instrText xml:space="preserve"> PAGEREF _Toc182233410 \h </w:instrText>
            </w:r>
            <w:r w:rsidR="005D16B3">
              <w:rPr>
                <w:webHidden/>
              </w:rPr>
            </w:r>
            <w:r w:rsidR="005D16B3">
              <w:rPr>
                <w:webHidden/>
              </w:rPr>
              <w:fldChar w:fldCharType="separate"/>
            </w:r>
            <w:r w:rsidR="005D16B3">
              <w:rPr>
                <w:webHidden/>
              </w:rPr>
              <w:t>182</w:t>
            </w:r>
            <w:r w:rsidR="005D16B3">
              <w:rPr>
                <w:webHidden/>
              </w:rPr>
              <w:fldChar w:fldCharType="end"/>
            </w:r>
          </w:hyperlink>
        </w:p>
        <w:p w14:paraId="253E593D" w14:textId="77777777" w:rsidR="005D16B3" w:rsidRDefault="00000000">
          <w:pPr>
            <w:pStyle w:val="TOC1"/>
            <w:rPr>
              <w:rFonts w:eastAsiaTheme="minorEastAsia"/>
              <w:b w:val="0"/>
              <w:bCs w:val="0"/>
              <w:lang w:val="en-GB" w:eastAsia="en-GB"/>
            </w:rPr>
          </w:pPr>
          <w:hyperlink w:anchor="_Toc182233411" w:history="1">
            <w:r w:rsidR="005D16B3" w:rsidRPr="00D84F39">
              <w:rPr>
                <w:rStyle w:val="Hyperlink"/>
                <w:rFonts w:cstheme="minorHAnsi"/>
              </w:rPr>
              <w:t>58.</w:t>
            </w:r>
            <w:r w:rsidR="005D16B3">
              <w:rPr>
                <w:rFonts w:eastAsiaTheme="minorEastAsia"/>
                <w:b w:val="0"/>
                <w:bCs w:val="0"/>
                <w:lang w:val="en-GB" w:eastAsia="en-GB"/>
              </w:rPr>
              <w:tab/>
            </w:r>
            <w:r w:rsidR="005D16B3" w:rsidRPr="00D84F39">
              <w:rPr>
                <w:rStyle w:val="Hyperlink"/>
                <w:rFonts w:cstheme="minorHAnsi"/>
              </w:rPr>
              <w:t>Annexure 5: Bidder’s Information</w:t>
            </w:r>
            <w:r w:rsidR="005D16B3">
              <w:rPr>
                <w:webHidden/>
              </w:rPr>
              <w:tab/>
            </w:r>
            <w:r w:rsidR="005D16B3">
              <w:rPr>
                <w:webHidden/>
              </w:rPr>
              <w:fldChar w:fldCharType="begin"/>
            </w:r>
            <w:r w:rsidR="005D16B3">
              <w:rPr>
                <w:webHidden/>
              </w:rPr>
              <w:instrText xml:space="preserve"> PAGEREF _Toc182233411 \h </w:instrText>
            </w:r>
            <w:r w:rsidR="005D16B3">
              <w:rPr>
                <w:webHidden/>
              </w:rPr>
            </w:r>
            <w:r w:rsidR="005D16B3">
              <w:rPr>
                <w:webHidden/>
              </w:rPr>
              <w:fldChar w:fldCharType="separate"/>
            </w:r>
            <w:r w:rsidR="005D16B3">
              <w:rPr>
                <w:webHidden/>
              </w:rPr>
              <w:t>183</w:t>
            </w:r>
            <w:r w:rsidR="005D16B3">
              <w:rPr>
                <w:webHidden/>
              </w:rPr>
              <w:fldChar w:fldCharType="end"/>
            </w:r>
          </w:hyperlink>
        </w:p>
        <w:p w14:paraId="63F2491B" w14:textId="77777777" w:rsidR="005D16B3" w:rsidRDefault="00000000">
          <w:pPr>
            <w:pStyle w:val="TOC1"/>
            <w:rPr>
              <w:rFonts w:eastAsiaTheme="minorEastAsia"/>
              <w:b w:val="0"/>
              <w:bCs w:val="0"/>
              <w:lang w:val="en-GB" w:eastAsia="en-GB"/>
            </w:rPr>
          </w:pPr>
          <w:hyperlink w:anchor="_Toc182233412" w:history="1">
            <w:r w:rsidR="005D16B3" w:rsidRPr="00D84F39">
              <w:rPr>
                <w:rStyle w:val="Hyperlink"/>
                <w:rFonts w:cstheme="minorHAnsi"/>
              </w:rPr>
              <w:t>59.</w:t>
            </w:r>
            <w:r w:rsidR="005D16B3">
              <w:rPr>
                <w:rFonts w:eastAsiaTheme="minorEastAsia"/>
                <w:b w:val="0"/>
                <w:bCs w:val="0"/>
                <w:lang w:val="en-GB" w:eastAsia="en-GB"/>
              </w:rPr>
              <w:tab/>
            </w:r>
            <w:r w:rsidR="005D16B3" w:rsidRPr="00D84F39">
              <w:rPr>
                <w:rStyle w:val="Hyperlink"/>
                <w:rFonts w:cstheme="minorHAnsi"/>
              </w:rPr>
              <w:t>Annexure 6: Letter for Conformity of Product as per RFP</w:t>
            </w:r>
            <w:r w:rsidR="005D16B3">
              <w:rPr>
                <w:webHidden/>
              </w:rPr>
              <w:tab/>
            </w:r>
            <w:r w:rsidR="005D16B3">
              <w:rPr>
                <w:webHidden/>
              </w:rPr>
              <w:fldChar w:fldCharType="begin"/>
            </w:r>
            <w:r w:rsidR="005D16B3">
              <w:rPr>
                <w:webHidden/>
              </w:rPr>
              <w:instrText xml:space="preserve"> PAGEREF _Toc182233412 \h </w:instrText>
            </w:r>
            <w:r w:rsidR="005D16B3">
              <w:rPr>
                <w:webHidden/>
              </w:rPr>
            </w:r>
            <w:r w:rsidR="005D16B3">
              <w:rPr>
                <w:webHidden/>
              </w:rPr>
              <w:fldChar w:fldCharType="separate"/>
            </w:r>
            <w:r w:rsidR="005D16B3">
              <w:rPr>
                <w:webHidden/>
              </w:rPr>
              <w:t>185</w:t>
            </w:r>
            <w:r w:rsidR="005D16B3">
              <w:rPr>
                <w:webHidden/>
              </w:rPr>
              <w:fldChar w:fldCharType="end"/>
            </w:r>
          </w:hyperlink>
        </w:p>
        <w:p w14:paraId="60EB89BE" w14:textId="77777777" w:rsidR="005D16B3" w:rsidRDefault="00000000">
          <w:pPr>
            <w:pStyle w:val="TOC1"/>
            <w:rPr>
              <w:rFonts w:eastAsiaTheme="minorEastAsia"/>
              <w:b w:val="0"/>
              <w:bCs w:val="0"/>
              <w:lang w:val="en-GB" w:eastAsia="en-GB"/>
            </w:rPr>
          </w:pPr>
          <w:hyperlink w:anchor="_Toc182233413" w:history="1">
            <w:r w:rsidR="005D16B3" w:rsidRPr="00D84F39">
              <w:rPr>
                <w:rStyle w:val="Hyperlink"/>
                <w:rFonts w:cstheme="minorHAnsi"/>
              </w:rPr>
              <w:t>60.</w:t>
            </w:r>
            <w:r w:rsidR="005D16B3">
              <w:rPr>
                <w:rFonts w:eastAsiaTheme="minorEastAsia"/>
                <w:b w:val="0"/>
                <w:bCs w:val="0"/>
                <w:lang w:val="en-GB" w:eastAsia="en-GB"/>
              </w:rPr>
              <w:tab/>
            </w:r>
            <w:r w:rsidR="005D16B3" w:rsidRPr="00D84F39">
              <w:rPr>
                <w:rStyle w:val="Hyperlink"/>
                <w:rFonts w:cstheme="minorHAnsi"/>
              </w:rPr>
              <w:t>Annexure 7: Undertaking for Acceptance of Terms of RFP</w:t>
            </w:r>
            <w:r w:rsidR="005D16B3">
              <w:rPr>
                <w:webHidden/>
              </w:rPr>
              <w:tab/>
            </w:r>
            <w:r w:rsidR="005D16B3">
              <w:rPr>
                <w:webHidden/>
              </w:rPr>
              <w:fldChar w:fldCharType="begin"/>
            </w:r>
            <w:r w:rsidR="005D16B3">
              <w:rPr>
                <w:webHidden/>
              </w:rPr>
              <w:instrText xml:space="preserve"> PAGEREF _Toc182233413 \h </w:instrText>
            </w:r>
            <w:r w:rsidR="005D16B3">
              <w:rPr>
                <w:webHidden/>
              </w:rPr>
            </w:r>
            <w:r w:rsidR="005D16B3">
              <w:rPr>
                <w:webHidden/>
              </w:rPr>
              <w:fldChar w:fldCharType="separate"/>
            </w:r>
            <w:r w:rsidR="005D16B3">
              <w:rPr>
                <w:webHidden/>
              </w:rPr>
              <w:t>186</w:t>
            </w:r>
            <w:r w:rsidR="005D16B3">
              <w:rPr>
                <w:webHidden/>
              </w:rPr>
              <w:fldChar w:fldCharType="end"/>
            </w:r>
          </w:hyperlink>
        </w:p>
        <w:p w14:paraId="47101E4E" w14:textId="77777777" w:rsidR="005D16B3" w:rsidRDefault="00000000">
          <w:pPr>
            <w:pStyle w:val="TOC1"/>
            <w:rPr>
              <w:rFonts w:eastAsiaTheme="minorEastAsia"/>
              <w:b w:val="0"/>
              <w:bCs w:val="0"/>
              <w:lang w:val="en-GB" w:eastAsia="en-GB"/>
            </w:rPr>
          </w:pPr>
          <w:hyperlink w:anchor="_Toc182233414" w:history="1">
            <w:r w:rsidR="005D16B3" w:rsidRPr="00D84F39">
              <w:rPr>
                <w:rStyle w:val="Hyperlink"/>
                <w:rFonts w:cstheme="minorHAnsi"/>
              </w:rPr>
              <w:t>61.</w:t>
            </w:r>
            <w:r w:rsidR="005D16B3">
              <w:rPr>
                <w:rFonts w:eastAsiaTheme="minorEastAsia"/>
                <w:b w:val="0"/>
                <w:bCs w:val="0"/>
                <w:lang w:val="en-GB" w:eastAsia="en-GB"/>
              </w:rPr>
              <w:tab/>
            </w:r>
            <w:r w:rsidR="005D16B3" w:rsidRPr="00D84F39">
              <w:rPr>
                <w:rStyle w:val="Hyperlink"/>
                <w:rFonts w:cstheme="minorHAnsi"/>
              </w:rPr>
              <w:t>Annexure 8: Manufacturer’s Authorization Form</w:t>
            </w:r>
            <w:r w:rsidR="005D16B3">
              <w:rPr>
                <w:webHidden/>
              </w:rPr>
              <w:tab/>
            </w:r>
            <w:r w:rsidR="005D16B3">
              <w:rPr>
                <w:webHidden/>
              </w:rPr>
              <w:fldChar w:fldCharType="begin"/>
            </w:r>
            <w:r w:rsidR="005D16B3">
              <w:rPr>
                <w:webHidden/>
              </w:rPr>
              <w:instrText xml:space="preserve"> PAGEREF _Toc182233414 \h </w:instrText>
            </w:r>
            <w:r w:rsidR="005D16B3">
              <w:rPr>
                <w:webHidden/>
              </w:rPr>
            </w:r>
            <w:r w:rsidR="005D16B3">
              <w:rPr>
                <w:webHidden/>
              </w:rPr>
              <w:fldChar w:fldCharType="separate"/>
            </w:r>
            <w:r w:rsidR="005D16B3">
              <w:rPr>
                <w:webHidden/>
              </w:rPr>
              <w:t>187</w:t>
            </w:r>
            <w:r w:rsidR="005D16B3">
              <w:rPr>
                <w:webHidden/>
              </w:rPr>
              <w:fldChar w:fldCharType="end"/>
            </w:r>
          </w:hyperlink>
        </w:p>
        <w:p w14:paraId="50677FD6" w14:textId="77777777" w:rsidR="005D16B3" w:rsidRDefault="00000000">
          <w:pPr>
            <w:pStyle w:val="TOC1"/>
            <w:rPr>
              <w:rFonts w:eastAsiaTheme="minorEastAsia"/>
              <w:b w:val="0"/>
              <w:bCs w:val="0"/>
              <w:lang w:val="en-GB" w:eastAsia="en-GB"/>
            </w:rPr>
          </w:pPr>
          <w:hyperlink w:anchor="_Toc182233415" w:history="1">
            <w:r w:rsidR="005D16B3" w:rsidRPr="00D84F39">
              <w:rPr>
                <w:rStyle w:val="Hyperlink"/>
                <w:rFonts w:cstheme="minorHAnsi"/>
              </w:rPr>
              <w:t>62.</w:t>
            </w:r>
            <w:r w:rsidR="005D16B3">
              <w:rPr>
                <w:rFonts w:eastAsiaTheme="minorEastAsia"/>
                <w:b w:val="0"/>
                <w:bCs w:val="0"/>
                <w:lang w:val="en-GB" w:eastAsia="en-GB"/>
              </w:rPr>
              <w:tab/>
            </w:r>
            <w:r w:rsidR="005D16B3" w:rsidRPr="00D84F39">
              <w:rPr>
                <w:rStyle w:val="Hyperlink"/>
                <w:rFonts w:cstheme="minorHAnsi"/>
              </w:rPr>
              <w:t>Annexure 9: Integrity Pact</w:t>
            </w:r>
            <w:r w:rsidR="005D16B3">
              <w:rPr>
                <w:webHidden/>
              </w:rPr>
              <w:tab/>
            </w:r>
            <w:r w:rsidR="005D16B3">
              <w:rPr>
                <w:webHidden/>
              </w:rPr>
              <w:fldChar w:fldCharType="begin"/>
            </w:r>
            <w:r w:rsidR="005D16B3">
              <w:rPr>
                <w:webHidden/>
              </w:rPr>
              <w:instrText xml:space="preserve"> PAGEREF _Toc182233415 \h </w:instrText>
            </w:r>
            <w:r w:rsidR="005D16B3">
              <w:rPr>
                <w:webHidden/>
              </w:rPr>
            </w:r>
            <w:r w:rsidR="005D16B3">
              <w:rPr>
                <w:webHidden/>
              </w:rPr>
              <w:fldChar w:fldCharType="separate"/>
            </w:r>
            <w:r w:rsidR="005D16B3">
              <w:rPr>
                <w:webHidden/>
              </w:rPr>
              <w:t>188</w:t>
            </w:r>
            <w:r w:rsidR="005D16B3">
              <w:rPr>
                <w:webHidden/>
              </w:rPr>
              <w:fldChar w:fldCharType="end"/>
            </w:r>
          </w:hyperlink>
        </w:p>
        <w:p w14:paraId="2DA004FE" w14:textId="77777777" w:rsidR="005D16B3" w:rsidRDefault="00000000">
          <w:pPr>
            <w:pStyle w:val="TOC1"/>
            <w:rPr>
              <w:rFonts w:eastAsiaTheme="minorEastAsia"/>
              <w:b w:val="0"/>
              <w:bCs w:val="0"/>
              <w:lang w:val="en-GB" w:eastAsia="en-GB"/>
            </w:rPr>
          </w:pPr>
          <w:hyperlink w:anchor="_Toc182233416" w:history="1">
            <w:r w:rsidR="005D16B3" w:rsidRPr="00D84F39">
              <w:rPr>
                <w:rStyle w:val="Hyperlink"/>
                <w:rFonts w:cstheme="minorHAnsi"/>
              </w:rPr>
              <w:t>63.</w:t>
            </w:r>
            <w:r w:rsidR="005D16B3">
              <w:rPr>
                <w:rFonts w:eastAsiaTheme="minorEastAsia"/>
                <w:b w:val="0"/>
                <w:bCs w:val="0"/>
                <w:lang w:val="en-GB" w:eastAsia="en-GB"/>
              </w:rPr>
              <w:tab/>
            </w:r>
            <w:r w:rsidR="005D16B3" w:rsidRPr="00D84F39">
              <w:rPr>
                <w:rStyle w:val="Hyperlink"/>
                <w:rFonts w:cstheme="minorHAnsi"/>
              </w:rPr>
              <w:t>Annexure 10: Non-Disclosure Agreement</w:t>
            </w:r>
            <w:r w:rsidR="005D16B3">
              <w:rPr>
                <w:webHidden/>
              </w:rPr>
              <w:tab/>
            </w:r>
            <w:r w:rsidR="005D16B3">
              <w:rPr>
                <w:webHidden/>
              </w:rPr>
              <w:fldChar w:fldCharType="begin"/>
            </w:r>
            <w:r w:rsidR="005D16B3">
              <w:rPr>
                <w:webHidden/>
              </w:rPr>
              <w:instrText xml:space="preserve"> PAGEREF _Toc182233416 \h </w:instrText>
            </w:r>
            <w:r w:rsidR="005D16B3">
              <w:rPr>
                <w:webHidden/>
              </w:rPr>
            </w:r>
            <w:r w:rsidR="005D16B3">
              <w:rPr>
                <w:webHidden/>
              </w:rPr>
              <w:fldChar w:fldCharType="separate"/>
            </w:r>
            <w:r w:rsidR="005D16B3">
              <w:rPr>
                <w:webHidden/>
              </w:rPr>
              <w:t>193</w:t>
            </w:r>
            <w:r w:rsidR="005D16B3">
              <w:rPr>
                <w:webHidden/>
              </w:rPr>
              <w:fldChar w:fldCharType="end"/>
            </w:r>
          </w:hyperlink>
        </w:p>
        <w:p w14:paraId="6EEC4C5A" w14:textId="77777777" w:rsidR="005D16B3" w:rsidRDefault="00000000">
          <w:pPr>
            <w:pStyle w:val="TOC1"/>
            <w:rPr>
              <w:rFonts w:eastAsiaTheme="minorEastAsia"/>
              <w:b w:val="0"/>
              <w:bCs w:val="0"/>
              <w:lang w:val="en-GB" w:eastAsia="en-GB"/>
            </w:rPr>
          </w:pPr>
          <w:hyperlink w:anchor="_Toc182233417" w:history="1">
            <w:r w:rsidR="005D16B3" w:rsidRPr="00D84F39">
              <w:rPr>
                <w:rStyle w:val="Hyperlink"/>
                <w:rFonts w:cstheme="minorHAnsi"/>
              </w:rPr>
              <w:t>64.</w:t>
            </w:r>
            <w:r w:rsidR="005D16B3">
              <w:rPr>
                <w:rFonts w:eastAsiaTheme="minorEastAsia"/>
                <w:b w:val="0"/>
                <w:bCs w:val="0"/>
                <w:lang w:val="en-GB" w:eastAsia="en-GB"/>
              </w:rPr>
              <w:tab/>
            </w:r>
            <w:r w:rsidR="005D16B3" w:rsidRPr="00D84F39">
              <w:rPr>
                <w:rStyle w:val="Hyperlink"/>
                <w:rFonts w:cstheme="minorHAnsi"/>
              </w:rPr>
              <w:t>Annexure 11: Performance Bank Guarantee</w:t>
            </w:r>
            <w:r w:rsidR="005D16B3">
              <w:rPr>
                <w:webHidden/>
              </w:rPr>
              <w:tab/>
            </w:r>
            <w:r w:rsidR="005D16B3">
              <w:rPr>
                <w:webHidden/>
              </w:rPr>
              <w:fldChar w:fldCharType="begin"/>
            </w:r>
            <w:r w:rsidR="005D16B3">
              <w:rPr>
                <w:webHidden/>
              </w:rPr>
              <w:instrText xml:space="preserve"> PAGEREF _Toc182233417 \h </w:instrText>
            </w:r>
            <w:r w:rsidR="005D16B3">
              <w:rPr>
                <w:webHidden/>
              </w:rPr>
            </w:r>
            <w:r w:rsidR="005D16B3">
              <w:rPr>
                <w:webHidden/>
              </w:rPr>
              <w:fldChar w:fldCharType="separate"/>
            </w:r>
            <w:r w:rsidR="005D16B3">
              <w:rPr>
                <w:webHidden/>
              </w:rPr>
              <w:t>197</w:t>
            </w:r>
            <w:r w:rsidR="005D16B3">
              <w:rPr>
                <w:webHidden/>
              </w:rPr>
              <w:fldChar w:fldCharType="end"/>
            </w:r>
          </w:hyperlink>
        </w:p>
        <w:p w14:paraId="7A3A0EDB" w14:textId="77777777" w:rsidR="005D16B3" w:rsidRDefault="00000000">
          <w:pPr>
            <w:pStyle w:val="TOC1"/>
            <w:rPr>
              <w:rFonts w:eastAsiaTheme="minorEastAsia"/>
              <w:b w:val="0"/>
              <w:bCs w:val="0"/>
              <w:lang w:val="en-GB" w:eastAsia="en-GB"/>
            </w:rPr>
          </w:pPr>
          <w:hyperlink w:anchor="_Toc182233418" w:history="1">
            <w:r w:rsidR="005D16B3" w:rsidRPr="00D84F39">
              <w:rPr>
                <w:rStyle w:val="Hyperlink"/>
                <w:rFonts w:cstheme="minorHAnsi"/>
              </w:rPr>
              <w:t>65.</w:t>
            </w:r>
            <w:r w:rsidR="005D16B3">
              <w:rPr>
                <w:rFonts w:eastAsiaTheme="minorEastAsia"/>
                <w:b w:val="0"/>
                <w:bCs w:val="0"/>
                <w:lang w:val="en-GB" w:eastAsia="en-GB"/>
              </w:rPr>
              <w:tab/>
            </w:r>
            <w:r w:rsidR="005D16B3" w:rsidRPr="00D84F39">
              <w:rPr>
                <w:rStyle w:val="Hyperlink"/>
                <w:rFonts w:cstheme="minorHAnsi"/>
              </w:rPr>
              <w:t>Annexure 12: Bid Security (Earnest Money Deposit)</w:t>
            </w:r>
            <w:r w:rsidR="005D16B3">
              <w:rPr>
                <w:webHidden/>
              </w:rPr>
              <w:tab/>
            </w:r>
            <w:r w:rsidR="005D16B3">
              <w:rPr>
                <w:webHidden/>
              </w:rPr>
              <w:fldChar w:fldCharType="begin"/>
            </w:r>
            <w:r w:rsidR="005D16B3">
              <w:rPr>
                <w:webHidden/>
              </w:rPr>
              <w:instrText xml:space="preserve"> PAGEREF _Toc182233418 \h </w:instrText>
            </w:r>
            <w:r w:rsidR="005D16B3">
              <w:rPr>
                <w:webHidden/>
              </w:rPr>
            </w:r>
            <w:r w:rsidR="005D16B3">
              <w:rPr>
                <w:webHidden/>
              </w:rPr>
              <w:fldChar w:fldCharType="separate"/>
            </w:r>
            <w:r w:rsidR="005D16B3">
              <w:rPr>
                <w:webHidden/>
              </w:rPr>
              <w:t>199</w:t>
            </w:r>
            <w:r w:rsidR="005D16B3">
              <w:rPr>
                <w:webHidden/>
              </w:rPr>
              <w:fldChar w:fldCharType="end"/>
            </w:r>
          </w:hyperlink>
        </w:p>
        <w:p w14:paraId="2058D2A2" w14:textId="77777777" w:rsidR="005D16B3" w:rsidRDefault="00000000">
          <w:pPr>
            <w:pStyle w:val="TOC1"/>
            <w:rPr>
              <w:rFonts w:eastAsiaTheme="minorEastAsia"/>
              <w:b w:val="0"/>
              <w:bCs w:val="0"/>
              <w:lang w:val="en-GB" w:eastAsia="en-GB"/>
            </w:rPr>
          </w:pPr>
          <w:hyperlink w:anchor="_Toc182233419" w:history="1">
            <w:r w:rsidR="005D16B3" w:rsidRPr="00D84F39">
              <w:rPr>
                <w:rStyle w:val="Hyperlink"/>
                <w:rFonts w:cstheme="minorHAnsi"/>
              </w:rPr>
              <w:t>66.</w:t>
            </w:r>
            <w:r w:rsidR="005D16B3">
              <w:rPr>
                <w:rFonts w:eastAsiaTheme="minorEastAsia"/>
                <w:b w:val="0"/>
                <w:bCs w:val="0"/>
                <w:lang w:val="en-GB" w:eastAsia="en-GB"/>
              </w:rPr>
              <w:tab/>
            </w:r>
            <w:r w:rsidR="005D16B3" w:rsidRPr="00D84F39">
              <w:rPr>
                <w:rStyle w:val="Hyperlink"/>
                <w:rFonts w:cstheme="minorHAnsi"/>
              </w:rPr>
              <w:t>Annexure 13: Bidder’s Particulars</w:t>
            </w:r>
            <w:r w:rsidR="005D16B3">
              <w:rPr>
                <w:webHidden/>
              </w:rPr>
              <w:tab/>
            </w:r>
            <w:r w:rsidR="005D16B3">
              <w:rPr>
                <w:webHidden/>
              </w:rPr>
              <w:fldChar w:fldCharType="begin"/>
            </w:r>
            <w:r w:rsidR="005D16B3">
              <w:rPr>
                <w:webHidden/>
              </w:rPr>
              <w:instrText xml:space="preserve"> PAGEREF _Toc182233419 \h </w:instrText>
            </w:r>
            <w:r w:rsidR="005D16B3">
              <w:rPr>
                <w:webHidden/>
              </w:rPr>
            </w:r>
            <w:r w:rsidR="005D16B3">
              <w:rPr>
                <w:webHidden/>
              </w:rPr>
              <w:fldChar w:fldCharType="separate"/>
            </w:r>
            <w:r w:rsidR="005D16B3">
              <w:rPr>
                <w:webHidden/>
              </w:rPr>
              <w:t>201</w:t>
            </w:r>
            <w:r w:rsidR="005D16B3">
              <w:rPr>
                <w:webHidden/>
              </w:rPr>
              <w:fldChar w:fldCharType="end"/>
            </w:r>
          </w:hyperlink>
        </w:p>
        <w:p w14:paraId="0A955A0F" w14:textId="77777777" w:rsidR="005D16B3" w:rsidRDefault="00000000">
          <w:pPr>
            <w:pStyle w:val="TOC1"/>
            <w:rPr>
              <w:rFonts w:eastAsiaTheme="minorEastAsia"/>
              <w:b w:val="0"/>
              <w:bCs w:val="0"/>
              <w:lang w:val="en-GB" w:eastAsia="en-GB"/>
            </w:rPr>
          </w:pPr>
          <w:hyperlink w:anchor="_Toc182233420" w:history="1">
            <w:r w:rsidR="005D16B3" w:rsidRPr="00D84F39">
              <w:rPr>
                <w:rStyle w:val="Hyperlink"/>
                <w:rFonts w:cstheme="minorHAnsi"/>
              </w:rPr>
              <w:t>67.</w:t>
            </w:r>
            <w:r w:rsidR="005D16B3">
              <w:rPr>
                <w:rFonts w:eastAsiaTheme="minorEastAsia"/>
                <w:b w:val="0"/>
                <w:bCs w:val="0"/>
                <w:lang w:val="en-GB" w:eastAsia="en-GB"/>
              </w:rPr>
              <w:tab/>
            </w:r>
            <w:r w:rsidR="005D16B3" w:rsidRPr="00D84F39">
              <w:rPr>
                <w:rStyle w:val="Hyperlink"/>
                <w:rFonts w:cstheme="minorHAnsi"/>
              </w:rPr>
              <w:t>Annexure 14: NPA Undertaking</w:t>
            </w:r>
            <w:r w:rsidR="005D16B3">
              <w:rPr>
                <w:webHidden/>
              </w:rPr>
              <w:tab/>
            </w:r>
            <w:r w:rsidR="005D16B3">
              <w:rPr>
                <w:webHidden/>
              </w:rPr>
              <w:fldChar w:fldCharType="begin"/>
            </w:r>
            <w:r w:rsidR="005D16B3">
              <w:rPr>
                <w:webHidden/>
              </w:rPr>
              <w:instrText xml:space="preserve"> PAGEREF _Toc182233420 \h </w:instrText>
            </w:r>
            <w:r w:rsidR="005D16B3">
              <w:rPr>
                <w:webHidden/>
              </w:rPr>
            </w:r>
            <w:r w:rsidR="005D16B3">
              <w:rPr>
                <w:webHidden/>
              </w:rPr>
              <w:fldChar w:fldCharType="separate"/>
            </w:r>
            <w:r w:rsidR="005D16B3">
              <w:rPr>
                <w:webHidden/>
              </w:rPr>
              <w:t>202</w:t>
            </w:r>
            <w:r w:rsidR="005D16B3">
              <w:rPr>
                <w:webHidden/>
              </w:rPr>
              <w:fldChar w:fldCharType="end"/>
            </w:r>
          </w:hyperlink>
        </w:p>
        <w:p w14:paraId="1EACB6AF" w14:textId="77777777" w:rsidR="005D16B3" w:rsidRDefault="00000000">
          <w:pPr>
            <w:pStyle w:val="TOC1"/>
            <w:rPr>
              <w:rFonts w:eastAsiaTheme="minorEastAsia"/>
              <w:b w:val="0"/>
              <w:bCs w:val="0"/>
              <w:lang w:val="en-GB" w:eastAsia="en-GB"/>
            </w:rPr>
          </w:pPr>
          <w:hyperlink w:anchor="_Toc182233421" w:history="1">
            <w:r w:rsidR="005D16B3" w:rsidRPr="00D84F39">
              <w:rPr>
                <w:rStyle w:val="Hyperlink"/>
                <w:rFonts w:cstheme="minorHAnsi"/>
              </w:rPr>
              <w:t>68.</w:t>
            </w:r>
            <w:r w:rsidR="005D16B3">
              <w:rPr>
                <w:rFonts w:eastAsiaTheme="minorEastAsia"/>
                <w:b w:val="0"/>
                <w:bCs w:val="0"/>
                <w:lang w:val="en-GB" w:eastAsia="en-GB"/>
              </w:rPr>
              <w:tab/>
            </w:r>
            <w:r w:rsidR="005D16B3" w:rsidRPr="00D84F39">
              <w:rPr>
                <w:rStyle w:val="Hyperlink"/>
                <w:rFonts w:cstheme="minorHAnsi"/>
              </w:rPr>
              <w:t>Annexure 15: Undertaking letter (Land Border Sharing)</w:t>
            </w:r>
            <w:r w:rsidR="005D16B3">
              <w:rPr>
                <w:webHidden/>
              </w:rPr>
              <w:tab/>
            </w:r>
            <w:r w:rsidR="005D16B3">
              <w:rPr>
                <w:webHidden/>
              </w:rPr>
              <w:fldChar w:fldCharType="begin"/>
            </w:r>
            <w:r w:rsidR="005D16B3">
              <w:rPr>
                <w:webHidden/>
              </w:rPr>
              <w:instrText xml:space="preserve"> PAGEREF _Toc182233421 \h </w:instrText>
            </w:r>
            <w:r w:rsidR="005D16B3">
              <w:rPr>
                <w:webHidden/>
              </w:rPr>
            </w:r>
            <w:r w:rsidR="005D16B3">
              <w:rPr>
                <w:webHidden/>
              </w:rPr>
              <w:fldChar w:fldCharType="separate"/>
            </w:r>
            <w:r w:rsidR="005D16B3">
              <w:rPr>
                <w:webHidden/>
              </w:rPr>
              <w:t>204</w:t>
            </w:r>
            <w:r w:rsidR="005D16B3">
              <w:rPr>
                <w:webHidden/>
              </w:rPr>
              <w:fldChar w:fldCharType="end"/>
            </w:r>
          </w:hyperlink>
        </w:p>
        <w:p w14:paraId="62E92B1E" w14:textId="77777777" w:rsidR="005D16B3" w:rsidRDefault="00000000">
          <w:pPr>
            <w:pStyle w:val="TOC1"/>
            <w:rPr>
              <w:rFonts w:eastAsiaTheme="minorEastAsia"/>
              <w:b w:val="0"/>
              <w:bCs w:val="0"/>
              <w:lang w:val="en-GB" w:eastAsia="en-GB"/>
            </w:rPr>
          </w:pPr>
          <w:hyperlink w:anchor="_Toc182233422" w:history="1">
            <w:r w:rsidR="005D16B3" w:rsidRPr="00D84F39">
              <w:rPr>
                <w:rStyle w:val="Hyperlink"/>
                <w:rFonts w:cstheme="minorHAnsi"/>
              </w:rPr>
              <w:t>69.</w:t>
            </w:r>
            <w:r w:rsidR="005D16B3">
              <w:rPr>
                <w:rFonts w:eastAsiaTheme="minorEastAsia"/>
                <w:b w:val="0"/>
                <w:bCs w:val="0"/>
                <w:lang w:val="en-GB" w:eastAsia="en-GB"/>
              </w:rPr>
              <w:tab/>
            </w:r>
            <w:r w:rsidR="005D16B3" w:rsidRPr="00D84F39">
              <w:rPr>
                <w:rStyle w:val="Hyperlink"/>
                <w:rFonts w:cstheme="minorHAnsi"/>
              </w:rPr>
              <w:t>Annexure 16: Cover Letter</w:t>
            </w:r>
            <w:r w:rsidR="005D16B3">
              <w:rPr>
                <w:webHidden/>
              </w:rPr>
              <w:tab/>
            </w:r>
            <w:r w:rsidR="005D16B3">
              <w:rPr>
                <w:webHidden/>
              </w:rPr>
              <w:fldChar w:fldCharType="begin"/>
            </w:r>
            <w:r w:rsidR="005D16B3">
              <w:rPr>
                <w:webHidden/>
              </w:rPr>
              <w:instrText xml:space="preserve"> PAGEREF _Toc182233422 \h </w:instrText>
            </w:r>
            <w:r w:rsidR="005D16B3">
              <w:rPr>
                <w:webHidden/>
              </w:rPr>
            </w:r>
            <w:r w:rsidR="005D16B3">
              <w:rPr>
                <w:webHidden/>
              </w:rPr>
              <w:fldChar w:fldCharType="separate"/>
            </w:r>
            <w:r w:rsidR="005D16B3">
              <w:rPr>
                <w:webHidden/>
              </w:rPr>
              <w:t>207</w:t>
            </w:r>
            <w:r w:rsidR="005D16B3">
              <w:rPr>
                <w:webHidden/>
              </w:rPr>
              <w:fldChar w:fldCharType="end"/>
            </w:r>
          </w:hyperlink>
        </w:p>
        <w:p w14:paraId="26280C0C" w14:textId="77777777" w:rsidR="005D16B3" w:rsidRDefault="00000000">
          <w:pPr>
            <w:pStyle w:val="TOC1"/>
            <w:rPr>
              <w:rFonts w:eastAsiaTheme="minorEastAsia"/>
              <w:b w:val="0"/>
              <w:bCs w:val="0"/>
              <w:lang w:val="en-GB" w:eastAsia="en-GB"/>
            </w:rPr>
          </w:pPr>
          <w:hyperlink w:anchor="_Toc182233423" w:history="1">
            <w:r w:rsidR="005D16B3" w:rsidRPr="00D84F39">
              <w:rPr>
                <w:rStyle w:val="Hyperlink"/>
                <w:rFonts w:cstheme="minorHAnsi"/>
              </w:rPr>
              <w:t>70.</w:t>
            </w:r>
            <w:r w:rsidR="005D16B3">
              <w:rPr>
                <w:rFonts w:eastAsiaTheme="minorEastAsia"/>
                <w:b w:val="0"/>
                <w:bCs w:val="0"/>
                <w:lang w:val="en-GB" w:eastAsia="en-GB"/>
              </w:rPr>
              <w:tab/>
            </w:r>
            <w:r w:rsidR="005D16B3" w:rsidRPr="00D84F39">
              <w:rPr>
                <w:rStyle w:val="Hyperlink"/>
                <w:rFonts w:cstheme="minorHAnsi"/>
              </w:rPr>
              <w:t>Annexure 17: Pre-bid Query Format</w:t>
            </w:r>
            <w:r w:rsidR="005D16B3">
              <w:rPr>
                <w:webHidden/>
              </w:rPr>
              <w:tab/>
            </w:r>
            <w:r w:rsidR="005D16B3">
              <w:rPr>
                <w:webHidden/>
              </w:rPr>
              <w:fldChar w:fldCharType="begin"/>
            </w:r>
            <w:r w:rsidR="005D16B3">
              <w:rPr>
                <w:webHidden/>
              </w:rPr>
              <w:instrText xml:space="preserve"> PAGEREF _Toc182233423 \h </w:instrText>
            </w:r>
            <w:r w:rsidR="005D16B3">
              <w:rPr>
                <w:webHidden/>
              </w:rPr>
            </w:r>
            <w:r w:rsidR="005D16B3">
              <w:rPr>
                <w:webHidden/>
              </w:rPr>
              <w:fldChar w:fldCharType="separate"/>
            </w:r>
            <w:r w:rsidR="005D16B3">
              <w:rPr>
                <w:webHidden/>
              </w:rPr>
              <w:t>208</w:t>
            </w:r>
            <w:r w:rsidR="005D16B3">
              <w:rPr>
                <w:webHidden/>
              </w:rPr>
              <w:fldChar w:fldCharType="end"/>
            </w:r>
          </w:hyperlink>
        </w:p>
        <w:p w14:paraId="6962DC48" w14:textId="77777777" w:rsidR="005D16B3" w:rsidRDefault="00000000">
          <w:pPr>
            <w:pStyle w:val="TOC1"/>
            <w:rPr>
              <w:rFonts w:eastAsiaTheme="minorEastAsia"/>
              <w:b w:val="0"/>
              <w:bCs w:val="0"/>
              <w:lang w:val="en-GB" w:eastAsia="en-GB"/>
            </w:rPr>
          </w:pPr>
          <w:hyperlink w:anchor="_Toc182233424" w:history="1">
            <w:r w:rsidR="005D16B3" w:rsidRPr="00D84F39">
              <w:rPr>
                <w:rStyle w:val="Hyperlink"/>
                <w:rFonts w:cstheme="minorHAnsi"/>
              </w:rPr>
              <w:t>71.</w:t>
            </w:r>
            <w:r w:rsidR="005D16B3">
              <w:rPr>
                <w:rFonts w:eastAsiaTheme="minorEastAsia"/>
                <w:b w:val="0"/>
                <w:bCs w:val="0"/>
                <w:lang w:val="en-GB" w:eastAsia="en-GB"/>
              </w:rPr>
              <w:tab/>
            </w:r>
            <w:r w:rsidR="005D16B3" w:rsidRPr="00D84F39">
              <w:rPr>
                <w:rStyle w:val="Hyperlink"/>
                <w:rFonts w:cstheme="minorHAnsi"/>
              </w:rPr>
              <w:t>Annexure 18: Eligibility Criteria Compliance</w:t>
            </w:r>
            <w:r w:rsidR="005D16B3">
              <w:rPr>
                <w:webHidden/>
              </w:rPr>
              <w:tab/>
            </w:r>
            <w:r w:rsidR="005D16B3">
              <w:rPr>
                <w:webHidden/>
              </w:rPr>
              <w:fldChar w:fldCharType="begin"/>
            </w:r>
            <w:r w:rsidR="005D16B3">
              <w:rPr>
                <w:webHidden/>
              </w:rPr>
              <w:instrText xml:space="preserve"> PAGEREF _Toc182233424 \h </w:instrText>
            </w:r>
            <w:r w:rsidR="005D16B3">
              <w:rPr>
                <w:webHidden/>
              </w:rPr>
            </w:r>
            <w:r w:rsidR="005D16B3">
              <w:rPr>
                <w:webHidden/>
              </w:rPr>
              <w:fldChar w:fldCharType="separate"/>
            </w:r>
            <w:r w:rsidR="005D16B3">
              <w:rPr>
                <w:webHidden/>
              </w:rPr>
              <w:t>209</w:t>
            </w:r>
            <w:r w:rsidR="005D16B3">
              <w:rPr>
                <w:webHidden/>
              </w:rPr>
              <w:fldChar w:fldCharType="end"/>
            </w:r>
          </w:hyperlink>
        </w:p>
        <w:p w14:paraId="10A9B1A4" w14:textId="77777777" w:rsidR="005D16B3" w:rsidRDefault="00000000">
          <w:pPr>
            <w:pStyle w:val="TOC1"/>
            <w:rPr>
              <w:rFonts w:eastAsiaTheme="minorEastAsia"/>
              <w:b w:val="0"/>
              <w:bCs w:val="0"/>
              <w:lang w:val="en-GB" w:eastAsia="en-GB"/>
            </w:rPr>
          </w:pPr>
          <w:hyperlink w:anchor="_Toc182233425" w:history="1">
            <w:r w:rsidR="005D16B3" w:rsidRPr="00D84F39">
              <w:rPr>
                <w:rStyle w:val="Hyperlink"/>
                <w:rFonts w:cstheme="minorHAnsi"/>
              </w:rPr>
              <w:t>72.</w:t>
            </w:r>
            <w:r w:rsidR="005D16B3">
              <w:rPr>
                <w:rFonts w:eastAsiaTheme="minorEastAsia"/>
                <w:b w:val="0"/>
                <w:bCs w:val="0"/>
                <w:lang w:val="en-GB" w:eastAsia="en-GB"/>
              </w:rPr>
              <w:tab/>
            </w:r>
            <w:r w:rsidR="005D16B3" w:rsidRPr="00D84F39">
              <w:rPr>
                <w:rStyle w:val="Hyperlink"/>
                <w:rFonts w:eastAsia="Times New Roman" w:cstheme="minorHAnsi"/>
              </w:rPr>
              <w:t xml:space="preserve">Annexure 19: </w:t>
            </w:r>
            <w:r w:rsidR="005D16B3" w:rsidRPr="00D84F39">
              <w:rPr>
                <w:rStyle w:val="Hyperlink"/>
                <w:rFonts w:cstheme="minorHAnsi"/>
              </w:rPr>
              <w:t>G</w:t>
            </w:r>
            <w:r w:rsidR="005D16B3" w:rsidRPr="00D84F39">
              <w:rPr>
                <w:rStyle w:val="Hyperlink"/>
                <w:rFonts w:cstheme="minorHAnsi"/>
                <w:spacing w:val="-3"/>
              </w:rPr>
              <w:t>u</w:t>
            </w:r>
            <w:r w:rsidR="005D16B3" w:rsidRPr="00D84F39">
              <w:rPr>
                <w:rStyle w:val="Hyperlink"/>
                <w:rFonts w:cstheme="minorHAnsi"/>
                <w:spacing w:val="1"/>
              </w:rPr>
              <w:t>i</w:t>
            </w:r>
            <w:r w:rsidR="005D16B3" w:rsidRPr="00D84F39">
              <w:rPr>
                <w:rStyle w:val="Hyperlink"/>
                <w:rFonts w:cstheme="minorHAnsi"/>
              </w:rPr>
              <w:t>d</w:t>
            </w:r>
            <w:r w:rsidR="005D16B3" w:rsidRPr="00D84F39">
              <w:rPr>
                <w:rStyle w:val="Hyperlink"/>
                <w:rFonts w:cstheme="minorHAnsi"/>
                <w:spacing w:val="-3"/>
              </w:rPr>
              <w:t>e</w:t>
            </w:r>
            <w:r w:rsidR="005D16B3" w:rsidRPr="00D84F39">
              <w:rPr>
                <w:rStyle w:val="Hyperlink"/>
                <w:rFonts w:cstheme="minorHAnsi"/>
                <w:spacing w:val="-1"/>
              </w:rPr>
              <w:t>l</w:t>
            </w:r>
            <w:r w:rsidR="005D16B3" w:rsidRPr="00D84F39">
              <w:rPr>
                <w:rStyle w:val="Hyperlink"/>
                <w:rFonts w:cstheme="minorHAnsi"/>
                <w:spacing w:val="1"/>
              </w:rPr>
              <w:t>i</w:t>
            </w:r>
            <w:r w:rsidR="005D16B3" w:rsidRPr="00D84F39">
              <w:rPr>
                <w:rStyle w:val="Hyperlink"/>
                <w:rFonts w:cstheme="minorHAnsi"/>
              </w:rPr>
              <w:t>n</w:t>
            </w:r>
            <w:r w:rsidR="005D16B3" w:rsidRPr="00D84F39">
              <w:rPr>
                <w:rStyle w:val="Hyperlink"/>
                <w:rFonts w:cstheme="minorHAnsi"/>
                <w:spacing w:val="-3"/>
              </w:rPr>
              <w:t>e</w:t>
            </w:r>
            <w:r w:rsidR="005D16B3" w:rsidRPr="00D84F39">
              <w:rPr>
                <w:rStyle w:val="Hyperlink"/>
                <w:rFonts w:cstheme="minorHAnsi"/>
              </w:rPr>
              <w:t>s</w:t>
            </w:r>
            <w:r w:rsidR="005D16B3" w:rsidRPr="00D84F39">
              <w:rPr>
                <w:rStyle w:val="Hyperlink"/>
                <w:rFonts w:eastAsia="Times New Roman" w:cstheme="minorHAnsi"/>
                <w:spacing w:val="1"/>
              </w:rPr>
              <w:t xml:space="preserve"> </w:t>
            </w:r>
            <w:r w:rsidR="005D16B3" w:rsidRPr="00D84F39">
              <w:rPr>
                <w:rStyle w:val="Hyperlink"/>
                <w:rFonts w:eastAsia="Times New Roman" w:cstheme="minorHAnsi"/>
              </w:rPr>
              <w:t xml:space="preserve">on </w:t>
            </w:r>
            <w:r w:rsidR="005D16B3" w:rsidRPr="00D84F39">
              <w:rPr>
                <w:rStyle w:val="Hyperlink"/>
                <w:rFonts w:eastAsia="Times New Roman" w:cstheme="minorHAnsi"/>
                <w:spacing w:val="-3"/>
              </w:rPr>
              <w:t>b</w:t>
            </w:r>
            <w:r w:rsidR="005D16B3" w:rsidRPr="00D84F39">
              <w:rPr>
                <w:rStyle w:val="Hyperlink"/>
                <w:rFonts w:eastAsia="Times New Roman" w:cstheme="minorHAnsi"/>
                <w:spacing w:val="1"/>
              </w:rPr>
              <w:t>a</w:t>
            </w:r>
            <w:r w:rsidR="005D16B3" w:rsidRPr="00D84F39">
              <w:rPr>
                <w:rStyle w:val="Hyperlink"/>
                <w:rFonts w:eastAsia="Times New Roman" w:cstheme="minorHAnsi"/>
              </w:rPr>
              <w:t>n</w:t>
            </w:r>
            <w:r w:rsidR="005D16B3" w:rsidRPr="00D84F39">
              <w:rPr>
                <w:rStyle w:val="Hyperlink"/>
                <w:rFonts w:eastAsia="Times New Roman" w:cstheme="minorHAnsi"/>
                <w:spacing w:val="-3"/>
              </w:rPr>
              <w:t>n</w:t>
            </w:r>
            <w:r w:rsidR="005D16B3" w:rsidRPr="00D84F39">
              <w:rPr>
                <w:rStyle w:val="Hyperlink"/>
                <w:rFonts w:eastAsia="Times New Roman" w:cstheme="minorHAnsi"/>
                <w:spacing w:val="1"/>
              </w:rPr>
              <w:t>i</w:t>
            </w:r>
            <w:r w:rsidR="005D16B3" w:rsidRPr="00D84F39">
              <w:rPr>
                <w:rStyle w:val="Hyperlink"/>
                <w:rFonts w:eastAsia="Times New Roman" w:cstheme="minorHAnsi"/>
              </w:rPr>
              <w:t>ng</w:t>
            </w:r>
            <w:r w:rsidR="005D16B3" w:rsidRPr="00D84F39">
              <w:rPr>
                <w:rStyle w:val="Hyperlink"/>
                <w:rFonts w:eastAsia="Times New Roman" w:cstheme="minorHAnsi"/>
                <w:spacing w:val="-2"/>
              </w:rPr>
              <w:t xml:space="preserve"> </w:t>
            </w:r>
            <w:r w:rsidR="005D16B3" w:rsidRPr="00D84F39">
              <w:rPr>
                <w:rStyle w:val="Hyperlink"/>
                <w:rFonts w:eastAsia="Times New Roman" w:cstheme="minorHAnsi"/>
                <w:spacing w:val="1"/>
              </w:rPr>
              <w:t>o</w:t>
            </w:r>
            <w:r w:rsidR="005D16B3" w:rsidRPr="00D84F39">
              <w:rPr>
                <w:rStyle w:val="Hyperlink"/>
                <w:rFonts w:eastAsia="Times New Roman" w:cstheme="minorHAnsi"/>
              </w:rPr>
              <w:t xml:space="preserve">f </w:t>
            </w:r>
            <w:r w:rsidR="005D16B3" w:rsidRPr="00D84F39">
              <w:rPr>
                <w:rStyle w:val="Hyperlink"/>
                <w:rFonts w:eastAsia="Times New Roman" w:cstheme="minorHAnsi"/>
                <w:spacing w:val="-3"/>
              </w:rPr>
              <w:t>b</w:t>
            </w:r>
            <w:r w:rsidR="005D16B3" w:rsidRPr="00D84F39">
              <w:rPr>
                <w:rStyle w:val="Hyperlink"/>
                <w:rFonts w:eastAsia="Times New Roman" w:cstheme="minorHAnsi"/>
              </w:rPr>
              <w:t>u</w:t>
            </w:r>
            <w:r w:rsidR="005D16B3" w:rsidRPr="00D84F39">
              <w:rPr>
                <w:rStyle w:val="Hyperlink"/>
                <w:rFonts w:eastAsia="Times New Roman" w:cstheme="minorHAnsi"/>
                <w:spacing w:val="1"/>
              </w:rPr>
              <w:t>si</w:t>
            </w:r>
            <w:r w:rsidR="005D16B3" w:rsidRPr="00D84F39">
              <w:rPr>
                <w:rStyle w:val="Hyperlink"/>
                <w:rFonts w:eastAsia="Times New Roman" w:cstheme="minorHAnsi"/>
                <w:spacing w:val="-3"/>
              </w:rPr>
              <w:t>n</w:t>
            </w:r>
            <w:r w:rsidR="005D16B3" w:rsidRPr="00D84F39">
              <w:rPr>
                <w:rStyle w:val="Hyperlink"/>
                <w:rFonts w:eastAsia="Times New Roman" w:cstheme="minorHAnsi"/>
              </w:rPr>
              <w:t>e</w:t>
            </w:r>
            <w:r w:rsidR="005D16B3" w:rsidRPr="00D84F39">
              <w:rPr>
                <w:rStyle w:val="Hyperlink"/>
                <w:rFonts w:eastAsia="Times New Roman" w:cstheme="minorHAnsi"/>
                <w:spacing w:val="-1"/>
              </w:rPr>
              <w:t>s</w:t>
            </w:r>
            <w:r w:rsidR="005D16B3" w:rsidRPr="00D84F39">
              <w:rPr>
                <w:rStyle w:val="Hyperlink"/>
                <w:rFonts w:eastAsia="Times New Roman" w:cstheme="minorHAnsi"/>
              </w:rPr>
              <w:t>s</w:t>
            </w:r>
            <w:r w:rsidR="005D16B3" w:rsidRPr="00D84F39">
              <w:rPr>
                <w:rStyle w:val="Hyperlink"/>
                <w:rFonts w:eastAsia="Times New Roman" w:cstheme="minorHAnsi"/>
                <w:spacing w:val="1"/>
              </w:rPr>
              <w:t xml:space="preserve"> </w:t>
            </w:r>
            <w:r w:rsidR="005D16B3" w:rsidRPr="00D84F39">
              <w:rPr>
                <w:rStyle w:val="Hyperlink"/>
                <w:rFonts w:eastAsia="Times New Roman" w:cstheme="minorHAnsi"/>
              </w:rPr>
              <w:t>d</w:t>
            </w:r>
            <w:r w:rsidR="005D16B3" w:rsidRPr="00D84F39">
              <w:rPr>
                <w:rStyle w:val="Hyperlink"/>
                <w:rFonts w:eastAsia="Times New Roman" w:cstheme="minorHAnsi"/>
                <w:spacing w:val="-3"/>
              </w:rPr>
              <w:t>e</w:t>
            </w:r>
            <w:r w:rsidR="005D16B3" w:rsidRPr="00D84F39">
              <w:rPr>
                <w:rStyle w:val="Hyperlink"/>
                <w:rFonts w:eastAsia="Times New Roman" w:cstheme="minorHAnsi"/>
                <w:spacing w:val="1"/>
              </w:rPr>
              <w:t>a</w:t>
            </w:r>
            <w:r w:rsidR="005D16B3" w:rsidRPr="00D84F39">
              <w:rPr>
                <w:rStyle w:val="Hyperlink"/>
                <w:rFonts w:eastAsia="Times New Roman" w:cstheme="minorHAnsi"/>
                <w:spacing w:val="-1"/>
              </w:rPr>
              <w:t>l</w:t>
            </w:r>
            <w:r w:rsidR="005D16B3" w:rsidRPr="00D84F39">
              <w:rPr>
                <w:rStyle w:val="Hyperlink"/>
                <w:rFonts w:eastAsia="Times New Roman" w:cstheme="minorHAnsi"/>
                <w:spacing w:val="1"/>
              </w:rPr>
              <w:t>i</w:t>
            </w:r>
            <w:r w:rsidR="005D16B3" w:rsidRPr="00D84F39">
              <w:rPr>
                <w:rStyle w:val="Hyperlink"/>
                <w:rFonts w:eastAsia="Times New Roman" w:cstheme="minorHAnsi"/>
                <w:spacing w:val="-3"/>
              </w:rPr>
              <w:t>n</w:t>
            </w:r>
            <w:r w:rsidR="005D16B3" w:rsidRPr="00D84F39">
              <w:rPr>
                <w:rStyle w:val="Hyperlink"/>
                <w:rFonts w:eastAsia="Times New Roman" w:cstheme="minorHAnsi"/>
              </w:rPr>
              <w:t>g</w:t>
            </w:r>
            <w:r w:rsidR="005D16B3">
              <w:rPr>
                <w:webHidden/>
              </w:rPr>
              <w:tab/>
            </w:r>
            <w:r w:rsidR="005D16B3">
              <w:rPr>
                <w:webHidden/>
              </w:rPr>
              <w:fldChar w:fldCharType="begin"/>
            </w:r>
            <w:r w:rsidR="005D16B3">
              <w:rPr>
                <w:webHidden/>
              </w:rPr>
              <w:instrText xml:space="preserve"> PAGEREF _Toc182233425 \h </w:instrText>
            </w:r>
            <w:r w:rsidR="005D16B3">
              <w:rPr>
                <w:webHidden/>
              </w:rPr>
            </w:r>
            <w:r w:rsidR="005D16B3">
              <w:rPr>
                <w:webHidden/>
              </w:rPr>
              <w:fldChar w:fldCharType="separate"/>
            </w:r>
            <w:r w:rsidR="005D16B3">
              <w:rPr>
                <w:webHidden/>
              </w:rPr>
              <w:t>212</w:t>
            </w:r>
            <w:r w:rsidR="005D16B3">
              <w:rPr>
                <w:webHidden/>
              </w:rPr>
              <w:fldChar w:fldCharType="end"/>
            </w:r>
          </w:hyperlink>
        </w:p>
        <w:p w14:paraId="5910A13D" w14:textId="77777777" w:rsidR="005D16B3" w:rsidRDefault="00000000">
          <w:pPr>
            <w:pStyle w:val="TOC1"/>
            <w:rPr>
              <w:rFonts w:eastAsiaTheme="minorEastAsia"/>
              <w:b w:val="0"/>
              <w:bCs w:val="0"/>
              <w:lang w:val="en-GB" w:eastAsia="en-GB"/>
            </w:rPr>
          </w:pPr>
          <w:hyperlink w:anchor="_Toc182233426" w:history="1">
            <w:r w:rsidR="005D16B3" w:rsidRPr="00D84F39">
              <w:rPr>
                <w:rStyle w:val="Hyperlink"/>
              </w:rPr>
              <w:t>73.</w:t>
            </w:r>
            <w:r w:rsidR="005D16B3">
              <w:rPr>
                <w:rFonts w:eastAsiaTheme="minorEastAsia"/>
                <w:b w:val="0"/>
                <w:bCs w:val="0"/>
                <w:lang w:val="en-GB" w:eastAsia="en-GB"/>
              </w:rPr>
              <w:tab/>
            </w:r>
            <w:r w:rsidR="005D16B3" w:rsidRPr="00D84F39">
              <w:rPr>
                <w:rStyle w:val="Hyperlink"/>
              </w:rPr>
              <w:t>Annexure 20: Compliance Certificate with respect to RBI’s “Master Direction on Outsourcing of Information Technology Services”</w:t>
            </w:r>
            <w:r w:rsidR="005D16B3">
              <w:rPr>
                <w:webHidden/>
              </w:rPr>
              <w:tab/>
            </w:r>
            <w:r w:rsidR="005D16B3">
              <w:rPr>
                <w:webHidden/>
              </w:rPr>
              <w:fldChar w:fldCharType="begin"/>
            </w:r>
            <w:r w:rsidR="005D16B3">
              <w:rPr>
                <w:webHidden/>
              </w:rPr>
              <w:instrText xml:space="preserve"> PAGEREF _Toc182233426 \h </w:instrText>
            </w:r>
            <w:r w:rsidR="005D16B3">
              <w:rPr>
                <w:webHidden/>
              </w:rPr>
            </w:r>
            <w:r w:rsidR="005D16B3">
              <w:rPr>
                <w:webHidden/>
              </w:rPr>
              <w:fldChar w:fldCharType="separate"/>
            </w:r>
            <w:r w:rsidR="005D16B3">
              <w:rPr>
                <w:webHidden/>
              </w:rPr>
              <w:t>221</w:t>
            </w:r>
            <w:r w:rsidR="005D16B3">
              <w:rPr>
                <w:webHidden/>
              </w:rPr>
              <w:fldChar w:fldCharType="end"/>
            </w:r>
          </w:hyperlink>
        </w:p>
        <w:p w14:paraId="20ADA3BC" w14:textId="683E009A" w:rsidR="00554AFA" w:rsidRPr="00A54361" w:rsidRDefault="00554AFA" w:rsidP="00A54361">
          <w:pPr>
            <w:jc w:val="both"/>
            <w:rPr>
              <w:rFonts w:cstheme="minorHAnsi"/>
            </w:rPr>
          </w:pPr>
          <w:r w:rsidRPr="00A54361">
            <w:rPr>
              <w:rFonts w:cstheme="minorHAnsi"/>
              <w:b/>
              <w:bCs/>
              <w:noProof/>
            </w:rPr>
            <w:fldChar w:fldCharType="end"/>
          </w:r>
        </w:p>
      </w:sdtContent>
    </w:sdt>
    <w:p w14:paraId="399D1CDB" w14:textId="77777777" w:rsidR="00554AFA" w:rsidRPr="00A54361" w:rsidRDefault="00554AFA" w:rsidP="00A54361">
      <w:pPr>
        <w:jc w:val="both"/>
        <w:rPr>
          <w:rFonts w:cstheme="minorHAnsi"/>
          <w:b/>
          <w:bCs/>
        </w:rPr>
      </w:pPr>
      <w:r w:rsidRPr="00A54361">
        <w:rPr>
          <w:rFonts w:cstheme="minorHAnsi"/>
          <w:b/>
          <w:bCs/>
        </w:rPr>
        <w:br w:type="page"/>
      </w:r>
    </w:p>
    <w:p w14:paraId="2DC56CA2" w14:textId="77777777" w:rsidR="00312696" w:rsidRPr="00A54361" w:rsidRDefault="00312696" w:rsidP="00A54361">
      <w:pPr>
        <w:jc w:val="both"/>
        <w:rPr>
          <w:rStyle w:val="Strong"/>
          <w:rFonts w:cstheme="minorHAnsi"/>
        </w:rPr>
      </w:pPr>
      <w:r w:rsidRPr="00A54361">
        <w:rPr>
          <w:rStyle w:val="Strong"/>
          <w:rFonts w:cstheme="minorHAnsi"/>
        </w:rPr>
        <w:lastRenderedPageBreak/>
        <w:t>Definitions and Acronyms</w:t>
      </w:r>
    </w:p>
    <w:p w14:paraId="09E54E15" w14:textId="77777777" w:rsidR="00312696" w:rsidRPr="00A54361" w:rsidRDefault="00312696" w:rsidP="00A54361">
      <w:pPr>
        <w:jc w:val="both"/>
        <w:rPr>
          <w:rFonts w:cstheme="minorHAnsi"/>
          <w:sz w:val="24"/>
          <w:szCs w:val="24"/>
        </w:rPr>
      </w:pPr>
      <w:r w:rsidRPr="00A54361">
        <w:rPr>
          <w:rFonts w:cstheme="minorHAnsi"/>
          <w:sz w:val="24"/>
          <w:szCs w:val="24"/>
        </w:rPr>
        <w:t>Following terms are used in the document interchangeably to mean: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065"/>
      </w:tblGrid>
      <w:tr w:rsidR="000D3DC1" w:rsidRPr="00A54361" w14:paraId="6C1D1A84" w14:textId="77777777" w:rsidTr="00F80ECC">
        <w:tc>
          <w:tcPr>
            <w:tcW w:w="1951" w:type="dxa"/>
            <w:shd w:val="clear" w:color="auto" w:fill="2F5496" w:themeFill="accent1" w:themeFillShade="BF"/>
          </w:tcPr>
          <w:p w14:paraId="7967BC6A" w14:textId="77777777" w:rsidR="00000504" w:rsidRPr="00A54361" w:rsidRDefault="00000504" w:rsidP="00A54361">
            <w:pPr>
              <w:jc w:val="both"/>
              <w:rPr>
                <w:rFonts w:cstheme="minorHAnsi"/>
                <w:b/>
                <w:bCs/>
                <w:sz w:val="24"/>
                <w:szCs w:val="24"/>
              </w:rPr>
            </w:pPr>
            <w:r w:rsidRPr="00A54361">
              <w:rPr>
                <w:rFonts w:cstheme="minorHAnsi"/>
                <w:b/>
                <w:bCs/>
                <w:sz w:val="24"/>
                <w:szCs w:val="24"/>
              </w:rPr>
              <w:t>Acronym</w:t>
            </w:r>
          </w:p>
        </w:tc>
        <w:tc>
          <w:tcPr>
            <w:tcW w:w="7065" w:type="dxa"/>
            <w:shd w:val="clear" w:color="auto" w:fill="2F5496" w:themeFill="accent1" w:themeFillShade="BF"/>
          </w:tcPr>
          <w:p w14:paraId="1BB439E1" w14:textId="77777777" w:rsidR="00000504" w:rsidRPr="00A54361" w:rsidRDefault="00000504" w:rsidP="00A54361">
            <w:pPr>
              <w:jc w:val="both"/>
              <w:rPr>
                <w:rFonts w:cstheme="minorHAnsi"/>
                <w:b/>
                <w:bCs/>
                <w:sz w:val="24"/>
                <w:szCs w:val="24"/>
              </w:rPr>
            </w:pPr>
            <w:r w:rsidRPr="00A54361">
              <w:rPr>
                <w:rFonts w:cstheme="minorHAnsi"/>
                <w:b/>
                <w:bCs/>
                <w:sz w:val="24"/>
                <w:szCs w:val="24"/>
              </w:rPr>
              <w:t>Definition</w:t>
            </w:r>
          </w:p>
        </w:tc>
      </w:tr>
      <w:tr w:rsidR="000D3DC1" w:rsidRPr="00A54361" w14:paraId="5A9CC501" w14:textId="77777777" w:rsidTr="00F80ECC">
        <w:tc>
          <w:tcPr>
            <w:tcW w:w="1951" w:type="dxa"/>
          </w:tcPr>
          <w:p w14:paraId="338F397B" w14:textId="77777777" w:rsidR="00000504" w:rsidRPr="00A54361" w:rsidRDefault="00000504" w:rsidP="00A54361">
            <w:pPr>
              <w:jc w:val="both"/>
              <w:rPr>
                <w:rFonts w:cstheme="minorHAnsi"/>
                <w:sz w:val="24"/>
                <w:szCs w:val="24"/>
              </w:rPr>
            </w:pPr>
            <w:r w:rsidRPr="00A54361">
              <w:rPr>
                <w:rFonts w:cstheme="minorHAnsi"/>
                <w:sz w:val="24"/>
                <w:szCs w:val="24"/>
              </w:rPr>
              <w:t>AAA</w:t>
            </w:r>
          </w:p>
        </w:tc>
        <w:tc>
          <w:tcPr>
            <w:tcW w:w="7065" w:type="dxa"/>
          </w:tcPr>
          <w:p w14:paraId="189D0385" w14:textId="77777777" w:rsidR="00000504" w:rsidRPr="00A54361" w:rsidRDefault="00000504" w:rsidP="00A54361">
            <w:pPr>
              <w:jc w:val="both"/>
              <w:rPr>
                <w:rFonts w:cstheme="minorHAnsi"/>
                <w:sz w:val="24"/>
                <w:szCs w:val="24"/>
              </w:rPr>
            </w:pPr>
            <w:r w:rsidRPr="00A54361">
              <w:rPr>
                <w:rFonts w:cstheme="minorHAnsi"/>
                <w:sz w:val="24"/>
                <w:szCs w:val="24"/>
              </w:rPr>
              <w:t>Authentication, Authorization and Accounting framework in Networking</w:t>
            </w:r>
          </w:p>
        </w:tc>
      </w:tr>
      <w:tr w:rsidR="000D3DC1" w:rsidRPr="00A54361" w14:paraId="32D2C032" w14:textId="77777777" w:rsidTr="00F80ECC">
        <w:tc>
          <w:tcPr>
            <w:tcW w:w="1951" w:type="dxa"/>
          </w:tcPr>
          <w:p w14:paraId="4AE6B2F2" w14:textId="327535AC" w:rsidR="007B56BE" w:rsidRPr="00A54361" w:rsidRDefault="007B56BE" w:rsidP="00A54361">
            <w:pPr>
              <w:jc w:val="both"/>
              <w:rPr>
                <w:rFonts w:cstheme="minorHAnsi"/>
                <w:sz w:val="24"/>
                <w:szCs w:val="24"/>
              </w:rPr>
            </w:pPr>
            <w:r w:rsidRPr="00A54361">
              <w:rPr>
                <w:rFonts w:cstheme="minorHAnsi"/>
                <w:sz w:val="24"/>
                <w:szCs w:val="24"/>
              </w:rPr>
              <w:t>AD</w:t>
            </w:r>
          </w:p>
        </w:tc>
        <w:tc>
          <w:tcPr>
            <w:tcW w:w="7065" w:type="dxa"/>
          </w:tcPr>
          <w:p w14:paraId="0F6BBA32" w14:textId="685B7FC8" w:rsidR="007B56BE" w:rsidRPr="00A54361" w:rsidRDefault="007B56BE" w:rsidP="00A54361">
            <w:pPr>
              <w:jc w:val="both"/>
              <w:rPr>
                <w:rFonts w:cstheme="minorHAnsi"/>
                <w:sz w:val="24"/>
                <w:szCs w:val="24"/>
              </w:rPr>
            </w:pPr>
            <w:r w:rsidRPr="00A54361">
              <w:rPr>
                <w:rFonts w:cstheme="minorHAnsi"/>
                <w:sz w:val="24"/>
                <w:szCs w:val="24"/>
              </w:rPr>
              <w:t>Active Directory</w:t>
            </w:r>
          </w:p>
        </w:tc>
      </w:tr>
      <w:tr w:rsidR="000D3DC1" w:rsidRPr="00A54361" w14:paraId="7EF91CFC" w14:textId="77777777" w:rsidTr="00F80ECC">
        <w:tc>
          <w:tcPr>
            <w:tcW w:w="1951" w:type="dxa"/>
          </w:tcPr>
          <w:p w14:paraId="67E9FA93" w14:textId="77777777" w:rsidR="00000504" w:rsidRPr="00A54361" w:rsidRDefault="00000504" w:rsidP="00A54361">
            <w:pPr>
              <w:jc w:val="both"/>
              <w:rPr>
                <w:rFonts w:cstheme="minorHAnsi"/>
                <w:sz w:val="24"/>
                <w:szCs w:val="24"/>
              </w:rPr>
            </w:pPr>
            <w:r w:rsidRPr="00A54361">
              <w:rPr>
                <w:rFonts w:cstheme="minorHAnsi"/>
                <w:sz w:val="24"/>
                <w:szCs w:val="24"/>
              </w:rPr>
              <w:t>AMC</w:t>
            </w:r>
          </w:p>
        </w:tc>
        <w:tc>
          <w:tcPr>
            <w:tcW w:w="7065" w:type="dxa"/>
          </w:tcPr>
          <w:p w14:paraId="163EB6D7" w14:textId="77777777" w:rsidR="00000504" w:rsidRPr="00A54361" w:rsidRDefault="00000504" w:rsidP="00A54361">
            <w:pPr>
              <w:jc w:val="both"/>
              <w:rPr>
                <w:rFonts w:cstheme="minorHAnsi"/>
                <w:sz w:val="24"/>
                <w:szCs w:val="24"/>
              </w:rPr>
            </w:pPr>
            <w:r w:rsidRPr="00A54361">
              <w:rPr>
                <w:rFonts w:cstheme="minorHAnsi"/>
                <w:sz w:val="24"/>
                <w:szCs w:val="24"/>
              </w:rPr>
              <w:t>Annual Maintenance Contract</w:t>
            </w:r>
          </w:p>
        </w:tc>
      </w:tr>
      <w:tr w:rsidR="000D3DC1" w:rsidRPr="00A54361" w14:paraId="23456F2D" w14:textId="77777777" w:rsidTr="00F80ECC">
        <w:tc>
          <w:tcPr>
            <w:tcW w:w="1951" w:type="dxa"/>
          </w:tcPr>
          <w:p w14:paraId="4A4C2FFC" w14:textId="4E8C075D" w:rsidR="007B56BE" w:rsidRPr="00A54361" w:rsidRDefault="007B56BE" w:rsidP="00A54361">
            <w:pPr>
              <w:jc w:val="both"/>
              <w:rPr>
                <w:rFonts w:cstheme="minorHAnsi"/>
                <w:sz w:val="24"/>
                <w:szCs w:val="24"/>
              </w:rPr>
            </w:pPr>
            <w:r w:rsidRPr="00A54361">
              <w:rPr>
                <w:rFonts w:cstheme="minorHAnsi"/>
                <w:sz w:val="24"/>
                <w:szCs w:val="24"/>
              </w:rPr>
              <w:t>API</w:t>
            </w:r>
          </w:p>
        </w:tc>
        <w:tc>
          <w:tcPr>
            <w:tcW w:w="7065" w:type="dxa"/>
          </w:tcPr>
          <w:p w14:paraId="67D9A2BF" w14:textId="76C35CDA" w:rsidR="007B56BE" w:rsidRPr="00A54361" w:rsidRDefault="00773D44" w:rsidP="00A54361">
            <w:pPr>
              <w:jc w:val="both"/>
              <w:rPr>
                <w:rFonts w:cstheme="minorHAnsi"/>
                <w:sz w:val="24"/>
                <w:szCs w:val="24"/>
              </w:rPr>
            </w:pPr>
            <w:r w:rsidRPr="00A54361">
              <w:rPr>
                <w:rFonts w:cstheme="minorHAnsi"/>
                <w:sz w:val="24"/>
                <w:szCs w:val="24"/>
              </w:rPr>
              <w:t>Application Programming Interface</w:t>
            </w:r>
          </w:p>
        </w:tc>
      </w:tr>
      <w:tr w:rsidR="000D3DC1" w:rsidRPr="00A54361" w14:paraId="7FD80FB9" w14:textId="77777777" w:rsidTr="00F80ECC">
        <w:tc>
          <w:tcPr>
            <w:tcW w:w="1951" w:type="dxa"/>
          </w:tcPr>
          <w:p w14:paraId="2A50614D" w14:textId="5F39BA7C" w:rsidR="00C8575A" w:rsidRPr="00A54361" w:rsidRDefault="00C8575A" w:rsidP="00A54361">
            <w:pPr>
              <w:jc w:val="both"/>
              <w:rPr>
                <w:rFonts w:cstheme="minorHAnsi"/>
                <w:sz w:val="24"/>
                <w:szCs w:val="24"/>
              </w:rPr>
            </w:pPr>
            <w:r w:rsidRPr="00A54361">
              <w:rPr>
                <w:rFonts w:cstheme="minorHAnsi"/>
                <w:sz w:val="24"/>
                <w:szCs w:val="24"/>
              </w:rPr>
              <w:t>ASM</w:t>
            </w:r>
          </w:p>
        </w:tc>
        <w:tc>
          <w:tcPr>
            <w:tcW w:w="7065" w:type="dxa"/>
          </w:tcPr>
          <w:p w14:paraId="68B19618" w14:textId="41F4722D" w:rsidR="00C8575A" w:rsidRPr="00A54361" w:rsidRDefault="00C8575A" w:rsidP="00A54361">
            <w:pPr>
              <w:jc w:val="both"/>
              <w:rPr>
                <w:rFonts w:cstheme="minorHAnsi"/>
                <w:sz w:val="24"/>
                <w:szCs w:val="24"/>
              </w:rPr>
            </w:pPr>
            <w:r w:rsidRPr="00A54361">
              <w:rPr>
                <w:rFonts w:cstheme="minorHAnsi"/>
                <w:sz w:val="24"/>
                <w:szCs w:val="24"/>
              </w:rPr>
              <w:t>Attack Surface Management</w:t>
            </w:r>
          </w:p>
        </w:tc>
      </w:tr>
      <w:tr w:rsidR="000D3DC1" w:rsidRPr="00A54361" w14:paraId="188DD7E6" w14:textId="77777777" w:rsidTr="00F80ECC">
        <w:tc>
          <w:tcPr>
            <w:tcW w:w="1951" w:type="dxa"/>
          </w:tcPr>
          <w:p w14:paraId="35D9E94E" w14:textId="77777777" w:rsidR="00000504" w:rsidRPr="00A54361" w:rsidRDefault="00000504" w:rsidP="00A54361">
            <w:pPr>
              <w:jc w:val="both"/>
              <w:rPr>
                <w:rFonts w:cstheme="minorHAnsi"/>
                <w:sz w:val="24"/>
                <w:szCs w:val="24"/>
              </w:rPr>
            </w:pPr>
            <w:r w:rsidRPr="00A54361">
              <w:rPr>
                <w:rFonts w:cstheme="minorHAnsi"/>
                <w:sz w:val="24"/>
                <w:szCs w:val="24"/>
              </w:rPr>
              <w:t>ATS</w:t>
            </w:r>
          </w:p>
        </w:tc>
        <w:tc>
          <w:tcPr>
            <w:tcW w:w="7065" w:type="dxa"/>
          </w:tcPr>
          <w:p w14:paraId="03D8359F" w14:textId="77777777" w:rsidR="00000504" w:rsidRPr="00A54361" w:rsidRDefault="00000504" w:rsidP="00A54361">
            <w:pPr>
              <w:jc w:val="both"/>
              <w:rPr>
                <w:rFonts w:cstheme="minorHAnsi"/>
                <w:sz w:val="24"/>
                <w:szCs w:val="24"/>
              </w:rPr>
            </w:pPr>
            <w:r w:rsidRPr="00A54361">
              <w:rPr>
                <w:rFonts w:cstheme="minorHAnsi"/>
                <w:sz w:val="24"/>
                <w:szCs w:val="24"/>
              </w:rPr>
              <w:t>Annual Technical Support</w:t>
            </w:r>
          </w:p>
        </w:tc>
      </w:tr>
      <w:tr w:rsidR="000D3DC1" w:rsidRPr="00A54361" w14:paraId="2CF6472C" w14:textId="77777777" w:rsidTr="00F80ECC">
        <w:tc>
          <w:tcPr>
            <w:tcW w:w="1951" w:type="dxa"/>
          </w:tcPr>
          <w:p w14:paraId="14A062CE" w14:textId="4833802C" w:rsidR="00000504" w:rsidRPr="00A54361" w:rsidRDefault="00CA2454" w:rsidP="00A54361">
            <w:pPr>
              <w:jc w:val="both"/>
              <w:rPr>
                <w:rFonts w:cstheme="minorHAnsi"/>
                <w:sz w:val="24"/>
                <w:szCs w:val="24"/>
              </w:rPr>
            </w:pPr>
            <w:r w:rsidRPr="00A54361">
              <w:rPr>
                <w:rFonts w:cstheme="minorHAnsi"/>
                <w:sz w:val="24"/>
                <w:szCs w:val="24"/>
              </w:rPr>
              <w:t>Bank/</w:t>
            </w:r>
            <w:r w:rsidR="00000504" w:rsidRPr="00A54361">
              <w:rPr>
                <w:rFonts w:cstheme="minorHAnsi"/>
                <w:sz w:val="24"/>
                <w:szCs w:val="24"/>
              </w:rPr>
              <w:t>CBoI</w:t>
            </w:r>
          </w:p>
        </w:tc>
        <w:tc>
          <w:tcPr>
            <w:tcW w:w="7065" w:type="dxa"/>
          </w:tcPr>
          <w:p w14:paraId="67FB40EA" w14:textId="645ED854" w:rsidR="00000504" w:rsidRPr="00A54361" w:rsidRDefault="00000504" w:rsidP="00A54361">
            <w:pPr>
              <w:jc w:val="both"/>
              <w:rPr>
                <w:rFonts w:cstheme="minorHAnsi"/>
                <w:sz w:val="24"/>
                <w:szCs w:val="24"/>
              </w:rPr>
            </w:pPr>
            <w:r w:rsidRPr="00A54361">
              <w:rPr>
                <w:rFonts w:cstheme="minorHAnsi"/>
                <w:sz w:val="24"/>
                <w:szCs w:val="24"/>
              </w:rPr>
              <w:t>Central Bank of India</w:t>
            </w:r>
          </w:p>
        </w:tc>
      </w:tr>
      <w:tr w:rsidR="000D3DC1" w:rsidRPr="00A54361" w14:paraId="482C03DB" w14:textId="77777777" w:rsidTr="00F80ECC">
        <w:tc>
          <w:tcPr>
            <w:tcW w:w="1951" w:type="dxa"/>
          </w:tcPr>
          <w:p w14:paraId="74DB529F" w14:textId="2F26C8A1" w:rsidR="00C8575A" w:rsidRPr="00A54361" w:rsidRDefault="00C8575A" w:rsidP="00A54361">
            <w:pPr>
              <w:jc w:val="both"/>
              <w:rPr>
                <w:rFonts w:cstheme="minorHAnsi"/>
                <w:sz w:val="24"/>
                <w:szCs w:val="24"/>
              </w:rPr>
            </w:pPr>
            <w:r w:rsidRPr="00A54361">
              <w:rPr>
                <w:rFonts w:cstheme="minorHAnsi"/>
                <w:sz w:val="24"/>
                <w:szCs w:val="24"/>
              </w:rPr>
              <w:t>BAS</w:t>
            </w:r>
          </w:p>
        </w:tc>
        <w:tc>
          <w:tcPr>
            <w:tcW w:w="7065" w:type="dxa"/>
          </w:tcPr>
          <w:p w14:paraId="1CFD9AE5" w14:textId="52510423" w:rsidR="00C8575A" w:rsidRPr="00A54361" w:rsidRDefault="00C8575A" w:rsidP="00A54361">
            <w:pPr>
              <w:jc w:val="both"/>
              <w:rPr>
                <w:rFonts w:cstheme="minorHAnsi"/>
                <w:sz w:val="24"/>
                <w:szCs w:val="24"/>
              </w:rPr>
            </w:pPr>
            <w:r w:rsidRPr="00A54361">
              <w:rPr>
                <w:rFonts w:cstheme="minorHAnsi"/>
                <w:sz w:val="24"/>
                <w:szCs w:val="24"/>
              </w:rPr>
              <w:t>Breach and Attack Simulation</w:t>
            </w:r>
          </w:p>
        </w:tc>
      </w:tr>
      <w:tr w:rsidR="000D3DC1" w:rsidRPr="00A54361" w14:paraId="63FF068F" w14:textId="77777777" w:rsidTr="00F80ECC">
        <w:tc>
          <w:tcPr>
            <w:tcW w:w="1951" w:type="dxa"/>
          </w:tcPr>
          <w:p w14:paraId="7F15279D" w14:textId="77777777" w:rsidR="00000504" w:rsidRPr="00A54361" w:rsidRDefault="00000504" w:rsidP="00A54361">
            <w:pPr>
              <w:jc w:val="both"/>
              <w:rPr>
                <w:rFonts w:cstheme="minorHAnsi"/>
                <w:sz w:val="24"/>
                <w:szCs w:val="24"/>
              </w:rPr>
            </w:pPr>
            <w:r w:rsidRPr="00A54361">
              <w:rPr>
                <w:rFonts w:cstheme="minorHAnsi"/>
                <w:sz w:val="24"/>
                <w:szCs w:val="24"/>
              </w:rPr>
              <w:t>“Bidder”</w:t>
            </w:r>
          </w:p>
        </w:tc>
        <w:tc>
          <w:tcPr>
            <w:tcW w:w="7065" w:type="dxa"/>
          </w:tcPr>
          <w:p w14:paraId="699DC0EC" w14:textId="77777777" w:rsidR="00000504" w:rsidRPr="00A54361" w:rsidRDefault="00000504" w:rsidP="00A54361">
            <w:pPr>
              <w:jc w:val="both"/>
              <w:rPr>
                <w:rFonts w:cstheme="minorHAnsi"/>
                <w:sz w:val="24"/>
                <w:szCs w:val="24"/>
              </w:rPr>
            </w:pPr>
            <w:r w:rsidRPr="00A54361">
              <w:rPr>
                <w:rFonts w:cstheme="minorHAnsi"/>
                <w:sz w:val="24"/>
                <w:szCs w:val="24"/>
              </w:rPr>
              <w:t>Single point of contact appointed by the Bank for procurement and supply of the equipment based on the Bill of Materials shared by the Bank.</w:t>
            </w:r>
          </w:p>
        </w:tc>
      </w:tr>
      <w:tr w:rsidR="000D3DC1" w:rsidRPr="00A54361" w14:paraId="015A9207" w14:textId="77777777" w:rsidTr="00F80ECC">
        <w:tc>
          <w:tcPr>
            <w:tcW w:w="1951" w:type="dxa"/>
          </w:tcPr>
          <w:p w14:paraId="49AB7A35" w14:textId="77777777" w:rsidR="00000504" w:rsidRPr="00A54361" w:rsidRDefault="00000504" w:rsidP="00A54361">
            <w:pPr>
              <w:jc w:val="both"/>
              <w:rPr>
                <w:rFonts w:cstheme="minorHAnsi"/>
                <w:sz w:val="24"/>
                <w:szCs w:val="24"/>
              </w:rPr>
            </w:pPr>
            <w:r w:rsidRPr="00A54361">
              <w:rPr>
                <w:rFonts w:cstheme="minorHAnsi"/>
                <w:sz w:val="24"/>
                <w:szCs w:val="24"/>
              </w:rPr>
              <w:t>“CBS”</w:t>
            </w:r>
          </w:p>
        </w:tc>
        <w:tc>
          <w:tcPr>
            <w:tcW w:w="7065" w:type="dxa"/>
          </w:tcPr>
          <w:p w14:paraId="527C306C" w14:textId="77777777" w:rsidR="00000504" w:rsidRPr="00A54361" w:rsidRDefault="00000504" w:rsidP="00A54361">
            <w:pPr>
              <w:jc w:val="both"/>
              <w:rPr>
                <w:rFonts w:cstheme="minorHAnsi"/>
                <w:sz w:val="24"/>
                <w:szCs w:val="24"/>
              </w:rPr>
            </w:pPr>
            <w:r w:rsidRPr="00A54361">
              <w:rPr>
                <w:rFonts w:cstheme="minorHAnsi"/>
                <w:sz w:val="24"/>
                <w:szCs w:val="24"/>
              </w:rPr>
              <w:t>Core Banking Solution</w:t>
            </w:r>
          </w:p>
        </w:tc>
      </w:tr>
      <w:tr w:rsidR="000D3DC1" w:rsidRPr="00A54361" w14:paraId="0475CFFF" w14:textId="77777777" w:rsidTr="00F80ECC">
        <w:tc>
          <w:tcPr>
            <w:tcW w:w="1951" w:type="dxa"/>
          </w:tcPr>
          <w:p w14:paraId="0AA0D483" w14:textId="77777777" w:rsidR="00000504" w:rsidRPr="00A54361" w:rsidRDefault="00000504" w:rsidP="00A54361">
            <w:pPr>
              <w:jc w:val="both"/>
              <w:rPr>
                <w:rFonts w:cstheme="minorHAnsi"/>
                <w:sz w:val="24"/>
                <w:szCs w:val="24"/>
              </w:rPr>
            </w:pPr>
            <w:r w:rsidRPr="00A54361">
              <w:rPr>
                <w:rFonts w:cstheme="minorHAnsi"/>
                <w:sz w:val="24"/>
                <w:szCs w:val="24"/>
              </w:rPr>
              <w:t>“CO”</w:t>
            </w:r>
          </w:p>
        </w:tc>
        <w:tc>
          <w:tcPr>
            <w:tcW w:w="7065" w:type="dxa"/>
          </w:tcPr>
          <w:p w14:paraId="57056162" w14:textId="77777777" w:rsidR="00000504" w:rsidRPr="00A54361" w:rsidRDefault="00000504" w:rsidP="00A54361">
            <w:pPr>
              <w:jc w:val="both"/>
              <w:rPr>
                <w:rFonts w:cstheme="minorHAnsi"/>
                <w:sz w:val="24"/>
                <w:szCs w:val="24"/>
              </w:rPr>
            </w:pPr>
            <w:r w:rsidRPr="00A54361">
              <w:rPr>
                <w:rFonts w:cstheme="minorHAnsi"/>
                <w:sz w:val="24"/>
                <w:szCs w:val="24"/>
              </w:rPr>
              <w:t>Central Office</w:t>
            </w:r>
          </w:p>
        </w:tc>
      </w:tr>
      <w:tr w:rsidR="000D3DC1" w:rsidRPr="00A54361" w14:paraId="3ED9E235" w14:textId="77777777" w:rsidTr="00F80ECC">
        <w:tc>
          <w:tcPr>
            <w:tcW w:w="1951" w:type="dxa"/>
          </w:tcPr>
          <w:p w14:paraId="54B433C0" w14:textId="77777777" w:rsidR="00000504" w:rsidRPr="00A54361" w:rsidRDefault="00000504" w:rsidP="00A54361">
            <w:pPr>
              <w:jc w:val="both"/>
              <w:rPr>
                <w:rFonts w:cstheme="minorHAnsi"/>
                <w:sz w:val="24"/>
                <w:szCs w:val="24"/>
              </w:rPr>
            </w:pPr>
            <w:r w:rsidRPr="00A54361">
              <w:rPr>
                <w:rFonts w:cstheme="minorHAnsi"/>
                <w:sz w:val="24"/>
                <w:szCs w:val="24"/>
              </w:rPr>
              <w:t>CVC</w:t>
            </w:r>
          </w:p>
        </w:tc>
        <w:tc>
          <w:tcPr>
            <w:tcW w:w="7065" w:type="dxa"/>
          </w:tcPr>
          <w:p w14:paraId="2032259E" w14:textId="77777777" w:rsidR="00000504" w:rsidRPr="00A54361" w:rsidRDefault="00000504" w:rsidP="00A54361">
            <w:pPr>
              <w:jc w:val="both"/>
              <w:rPr>
                <w:rFonts w:cstheme="minorHAnsi"/>
                <w:sz w:val="24"/>
                <w:szCs w:val="24"/>
              </w:rPr>
            </w:pPr>
            <w:r w:rsidRPr="00A54361">
              <w:rPr>
                <w:rFonts w:cstheme="minorHAnsi"/>
                <w:sz w:val="24"/>
                <w:szCs w:val="24"/>
              </w:rPr>
              <w:t>Central Vigilance Commission</w:t>
            </w:r>
          </w:p>
        </w:tc>
      </w:tr>
      <w:tr w:rsidR="000D3DC1" w:rsidRPr="00A54361" w14:paraId="117C49EB" w14:textId="77777777" w:rsidTr="00F80ECC">
        <w:tc>
          <w:tcPr>
            <w:tcW w:w="1951" w:type="dxa"/>
          </w:tcPr>
          <w:p w14:paraId="76668F0F" w14:textId="6D955ED6" w:rsidR="00B23DB0" w:rsidRPr="00A54361" w:rsidRDefault="00B23DB0" w:rsidP="00A54361">
            <w:pPr>
              <w:jc w:val="both"/>
              <w:rPr>
                <w:rFonts w:cstheme="minorHAnsi"/>
                <w:sz w:val="24"/>
                <w:szCs w:val="24"/>
              </w:rPr>
            </w:pPr>
            <w:r w:rsidRPr="00A54361">
              <w:rPr>
                <w:rFonts w:cstheme="minorHAnsi"/>
                <w:sz w:val="24"/>
                <w:szCs w:val="24"/>
              </w:rPr>
              <w:t>DAM</w:t>
            </w:r>
          </w:p>
        </w:tc>
        <w:tc>
          <w:tcPr>
            <w:tcW w:w="7065" w:type="dxa"/>
          </w:tcPr>
          <w:p w14:paraId="578B2E4E" w14:textId="3446FE9D" w:rsidR="00B23DB0" w:rsidRPr="00A54361" w:rsidRDefault="00B23DB0" w:rsidP="00A54361">
            <w:pPr>
              <w:jc w:val="both"/>
              <w:rPr>
                <w:rFonts w:cstheme="minorHAnsi"/>
                <w:sz w:val="24"/>
                <w:szCs w:val="24"/>
              </w:rPr>
            </w:pPr>
            <w:r w:rsidRPr="00A54361">
              <w:rPr>
                <w:rFonts w:cstheme="minorHAnsi"/>
                <w:sz w:val="24"/>
                <w:szCs w:val="24"/>
              </w:rPr>
              <w:t>Database Activity Monitoring</w:t>
            </w:r>
          </w:p>
        </w:tc>
      </w:tr>
      <w:tr w:rsidR="000D3DC1" w:rsidRPr="00A54361" w14:paraId="0701A12F" w14:textId="77777777" w:rsidTr="00F80ECC">
        <w:tc>
          <w:tcPr>
            <w:tcW w:w="1951" w:type="dxa"/>
          </w:tcPr>
          <w:p w14:paraId="47C7F3DB" w14:textId="77777777" w:rsidR="00000504" w:rsidRPr="00A54361" w:rsidRDefault="00000504" w:rsidP="00A54361">
            <w:pPr>
              <w:jc w:val="both"/>
              <w:rPr>
                <w:rFonts w:cstheme="minorHAnsi"/>
                <w:sz w:val="24"/>
                <w:szCs w:val="24"/>
              </w:rPr>
            </w:pPr>
            <w:r w:rsidRPr="00A54361">
              <w:rPr>
                <w:rFonts w:cstheme="minorHAnsi"/>
                <w:sz w:val="24"/>
                <w:szCs w:val="24"/>
              </w:rPr>
              <w:t>DC</w:t>
            </w:r>
          </w:p>
        </w:tc>
        <w:tc>
          <w:tcPr>
            <w:tcW w:w="7065" w:type="dxa"/>
          </w:tcPr>
          <w:p w14:paraId="5CE2E1E9" w14:textId="77777777" w:rsidR="00000504" w:rsidRPr="00A54361" w:rsidRDefault="00000504" w:rsidP="00A54361">
            <w:pPr>
              <w:jc w:val="both"/>
              <w:rPr>
                <w:rFonts w:cstheme="minorHAnsi"/>
                <w:sz w:val="24"/>
                <w:szCs w:val="24"/>
              </w:rPr>
            </w:pPr>
            <w:r w:rsidRPr="00A54361">
              <w:rPr>
                <w:rFonts w:cstheme="minorHAnsi"/>
                <w:sz w:val="24"/>
                <w:szCs w:val="24"/>
              </w:rPr>
              <w:t>Data Centre of the Bank which is located at Central Office, Belapur, Mumbai</w:t>
            </w:r>
          </w:p>
        </w:tc>
      </w:tr>
      <w:tr w:rsidR="000D3DC1" w:rsidRPr="00A54361" w14:paraId="22AA28CB" w14:textId="77777777" w:rsidTr="00F80ECC">
        <w:tc>
          <w:tcPr>
            <w:tcW w:w="1951" w:type="dxa"/>
          </w:tcPr>
          <w:p w14:paraId="64912D03" w14:textId="77777777" w:rsidR="00000504" w:rsidRPr="00A54361" w:rsidRDefault="00000504" w:rsidP="00A54361">
            <w:pPr>
              <w:jc w:val="both"/>
              <w:rPr>
                <w:rFonts w:cstheme="minorHAnsi"/>
                <w:sz w:val="24"/>
                <w:szCs w:val="24"/>
              </w:rPr>
            </w:pPr>
            <w:r w:rsidRPr="00A54361">
              <w:rPr>
                <w:rFonts w:cstheme="minorHAnsi"/>
                <w:sz w:val="24"/>
                <w:szCs w:val="24"/>
              </w:rPr>
              <w:t>DMZ</w:t>
            </w:r>
          </w:p>
        </w:tc>
        <w:tc>
          <w:tcPr>
            <w:tcW w:w="7065" w:type="dxa"/>
          </w:tcPr>
          <w:p w14:paraId="3078BAFC" w14:textId="77777777" w:rsidR="00000504" w:rsidRPr="00A54361" w:rsidRDefault="00000504" w:rsidP="00A54361">
            <w:pPr>
              <w:jc w:val="both"/>
              <w:rPr>
                <w:rFonts w:cstheme="minorHAnsi"/>
                <w:sz w:val="24"/>
                <w:szCs w:val="24"/>
              </w:rPr>
            </w:pPr>
            <w:r w:rsidRPr="00A54361">
              <w:rPr>
                <w:rFonts w:cstheme="minorHAnsi"/>
                <w:sz w:val="24"/>
                <w:szCs w:val="24"/>
              </w:rPr>
              <w:t>Demilitarized Zone</w:t>
            </w:r>
          </w:p>
        </w:tc>
      </w:tr>
      <w:tr w:rsidR="000D3DC1" w:rsidRPr="00A54361" w14:paraId="08E2EEC5" w14:textId="77777777" w:rsidTr="00F80ECC">
        <w:tc>
          <w:tcPr>
            <w:tcW w:w="1951" w:type="dxa"/>
          </w:tcPr>
          <w:p w14:paraId="74EBC604" w14:textId="77777777" w:rsidR="00000504" w:rsidRPr="00A54361" w:rsidRDefault="00000504" w:rsidP="00A54361">
            <w:pPr>
              <w:jc w:val="both"/>
              <w:rPr>
                <w:rFonts w:cstheme="minorHAnsi"/>
                <w:sz w:val="24"/>
                <w:szCs w:val="24"/>
              </w:rPr>
            </w:pPr>
            <w:r w:rsidRPr="00A54361">
              <w:rPr>
                <w:rFonts w:cstheme="minorHAnsi"/>
                <w:sz w:val="24"/>
                <w:szCs w:val="24"/>
              </w:rPr>
              <w:t>DNS</w:t>
            </w:r>
          </w:p>
        </w:tc>
        <w:tc>
          <w:tcPr>
            <w:tcW w:w="7065" w:type="dxa"/>
          </w:tcPr>
          <w:p w14:paraId="1418723B" w14:textId="77777777" w:rsidR="00000504" w:rsidRPr="00A54361" w:rsidRDefault="00000504" w:rsidP="00A54361">
            <w:pPr>
              <w:jc w:val="both"/>
              <w:rPr>
                <w:rFonts w:cstheme="minorHAnsi"/>
                <w:sz w:val="24"/>
                <w:szCs w:val="24"/>
              </w:rPr>
            </w:pPr>
            <w:r w:rsidRPr="00A54361">
              <w:rPr>
                <w:rFonts w:cstheme="minorHAnsi"/>
                <w:sz w:val="24"/>
                <w:szCs w:val="24"/>
              </w:rPr>
              <w:t>Domain Name Server</w:t>
            </w:r>
          </w:p>
        </w:tc>
      </w:tr>
      <w:tr w:rsidR="000D3DC1" w:rsidRPr="00A54361" w14:paraId="0B8B5B87" w14:textId="77777777" w:rsidTr="00F80ECC">
        <w:tc>
          <w:tcPr>
            <w:tcW w:w="1951" w:type="dxa"/>
          </w:tcPr>
          <w:p w14:paraId="04EEAAED" w14:textId="77777777" w:rsidR="00000504" w:rsidRPr="00A54361" w:rsidRDefault="00000504" w:rsidP="00A54361">
            <w:pPr>
              <w:jc w:val="both"/>
              <w:rPr>
                <w:rFonts w:cstheme="minorHAnsi"/>
                <w:sz w:val="24"/>
                <w:szCs w:val="24"/>
              </w:rPr>
            </w:pPr>
            <w:r w:rsidRPr="00A54361">
              <w:rPr>
                <w:rFonts w:cstheme="minorHAnsi"/>
                <w:sz w:val="24"/>
                <w:szCs w:val="24"/>
              </w:rPr>
              <w:t>DRC</w:t>
            </w:r>
          </w:p>
        </w:tc>
        <w:tc>
          <w:tcPr>
            <w:tcW w:w="7065" w:type="dxa"/>
          </w:tcPr>
          <w:p w14:paraId="531FF1C8" w14:textId="77777777" w:rsidR="00000504" w:rsidRPr="00A54361" w:rsidRDefault="00000504" w:rsidP="00A54361">
            <w:pPr>
              <w:jc w:val="both"/>
              <w:rPr>
                <w:rFonts w:cstheme="minorHAnsi"/>
                <w:sz w:val="24"/>
                <w:szCs w:val="24"/>
              </w:rPr>
            </w:pPr>
            <w:r w:rsidRPr="00A54361">
              <w:rPr>
                <w:rFonts w:cstheme="minorHAnsi"/>
                <w:sz w:val="24"/>
                <w:szCs w:val="24"/>
              </w:rPr>
              <w:t>Disaster Recovery Centre which is located in Hyderabad</w:t>
            </w:r>
          </w:p>
        </w:tc>
      </w:tr>
      <w:tr w:rsidR="000D3DC1" w:rsidRPr="00A54361" w14:paraId="6D61B655" w14:textId="77777777" w:rsidTr="00F80ECC">
        <w:tc>
          <w:tcPr>
            <w:tcW w:w="1951" w:type="dxa"/>
          </w:tcPr>
          <w:p w14:paraId="7C4303A9" w14:textId="77777777" w:rsidR="00000504" w:rsidRPr="00A54361" w:rsidRDefault="00000504" w:rsidP="00A54361">
            <w:pPr>
              <w:jc w:val="both"/>
              <w:rPr>
                <w:rFonts w:cstheme="minorHAnsi"/>
                <w:sz w:val="24"/>
                <w:szCs w:val="24"/>
              </w:rPr>
            </w:pPr>
            <w:r w:rsidRPr="00A54361">
              <w:rPr>
                <w:rFonts w:cstheme="minorHAnsi"/>
                <w:sz w:val="24"/>
                <w:szCs w:val="24"/>
              </w:rPr>
              <w:t>EMD</w:t>
            </w:r>
          </w:p>
        </w:tc>
        <w:tc>
          <w:tcPr>
            <w:tcW w:w="7065" w:type="dxa"/>
          </w:tcPr>
          <w:p w14:paraId="31F05E62" w14:textId="77777777" w:rsidR="00000504" w:rsidRPr="00A54361" w:rsidRDefault="00000504" w:rsidP="00A54361">
            <w:pPr>
              <w:jc w:val="both"/>
              <w:rPr>
                <w:rFonts w:cstheme="minorHAnsi"/>
                <w:sz w:val="24"/>
                <w:szCs w:val="24"/>
              </w:rPr>
            </w:pPr>
            <w:r w:rsidRPr="00A54361">
              <w:rPr>
                <w:rFonts w:cstheme="minorHAnsi"/>
                <w:sz w:val="24"/>
                <w:szCs w:val="24"/>
              </w:rPr>
              <w:t>Earnest Money Deposit</w:t>
            </w:r>
          </w:p>
        </w:tc>
      </w:tr>
      <w:tr w:rsidR="000D3DC1" w:rsidRPr="00A54361" w14:paraId="5FBB8334" w14:textId="77777777" w:rsidTr="00F80ECC">
        <w:tc>
          <w:tcPr>
            <w:tcW w:w="1951" w:type="dxa"/>
          </w:tcPr>
          <w:p w14:paraId="589CC7D3" w14:textId="77777777" w:rsidR="00000504" w:rsidRPr="00A54361" w:rsidRDefault="00000504" w:rsidP="00A54361">
            <w:pPr>
              <w:jc w:val="both"/>
              <w:rPr>
                <w:rFonts w:cstheme="minorHAnsi"/>
                <w:sz w:val="24"/>
                <w:szCs w:val="24"/>
              </w:rPr>
            </w:pPr>
            <w:r w:rsidRPr="00A54361">
              <w:rPr>
                <w:rFonts w:cstheme="minorHAnsi"/>
                <w:sz w:val="24"/>
                <w:szCs w:val="24"/>
              </w:rPr>
              <w:t>EMS</w:t>
            </w:r>
          </w:p>
        </w:tc>
        <w:tc>
          <w:tcPr>
            <w:tcW w:w="7065" w:type="dxa"/>
          </w:tcPr>
          <w:p w14:paraId="11AAC7B1" w14:textId="77777777" w:rsidR="00000504" w:rsidRPr="00A54361" w:rsidRDefault="00000504" w:rsidP="00A54361">
            <w:pPr>
              <w:jc w:val="both"/>
              <w:rPr>
                <w:rFonts w:cstheme="minorHAnsi"/>
                <w:sz w:val="24"/>
                <w:szCs w:val="24"/>
              </w:rPr>
            </w:pPr>
            <w:r w:rsidRPr="00A54361">
              <w:rPr>
                <w:rFonts w:cstheme="minorHAnsi"/>
                <w:sz w:val="24"/>
                <w:szCs w:val="24"/>
              </w:rPr>
              <w:t>Enterprise Management System</w:t>
            </w:r>
          </w:p>
        </w:tc>
      </w:tr>
      <w:tr w:rsidR="000D3DC1" w:rsidRPr="00A54361" w14:paraId="1E79092B" w14:textId="77777777" w:rsidTr="00F80ECC">
        <w:tc>
          <w:tcPr>
            <w:tcW w:w="1951" w:type="dxa"/>
          </w:tcPr>
          <w:p w14:paraId="21D577C1" w14:textId="31F75821" w:rsidR="00081465" w:rsidRPr="00A54361" w:rsidRDefault="00C965D8" w:rsidP="00A54361">
            <w:pPr>
              <w:jc w:val="both"/>
              <w:rPr>
                <w:rFonts w:cstheme="minorHAnsi"/>
                <w:sz w:val="24"/>
                <w:szCs w:val="24"/>
              </w:rPr>
            </w:pPr>
            <w:r w:rsidRPr="00A54361">
              <w:rPr>
                <w:rFonts w:cstheme="minorHAnsi"/>
                <w:sz w:val="24"/>
                <w:szCs w:val="24"/>
              </w:rPr>
              <w:t>FPS</w:t>
            </w:r>
          </w:p>
        </w:tc>
        <w:tc>
          <w:tcPr>
            <w:tcW w:w="7065" w:type="dxa"/>
          </w:tcPr>
          <w:p w14:paraId="155FFCFC" w14:textId="6FEDF878" w:rsidR="00081465" w:rsidRPr="00A54361" w:rsidRDefault="00C965D8" w:rsidP="00A54361">
            <w:pPr>
              <w:jc w:val="both"/>
              <w:rPr>
                <w:rFonts w:cstheme="minorHAnsi"/>
                <w:sz w:val="24"/>
                <w:szCs w:val="24"/>
              </w:rPr>
            </w:pPr>
            <w:r w:rsidRPr="00A54361">
              <w:rPr>
                <w:rFonts w:cstheme="minorHAnsi"/>
                <w:sz w:val="24"/>
                <w:szCs w:val="24"/>
              </w:rPr>
              <w:t>Flows Per Second</w:t>
            </w:r>
          </w:p>
        </w:tc>
      </w:tr>
      <w:tr w:rsidR="000D3DC1" w:rsidRPr="00A54361" w14:paraId="3354B73B" w14:textId="77777777" w:rsidTr="00F80ECC">
        <w:tc>
          <w:tcPr>
            <w:tcW w:w="1951" w:type="dxa"/>
          </w:tcPr>
          <w:p w14:paraId="37A53AAE" w14:textId="77777777" w:rsidR="00000504" w:rsidRPr="00A54361" w:rsidRDefault="00000504" w:rsidP="00A54361">
            <w:pPr>
              <w:jc w:val="both"/>
              <w:rPr>
                <w:rFonts w:cstheme="minorHAnsi"/>
                <w:sz w:val="24"/>
                <w:szCs w:val="24"/>
              </w:rPr>
            </w:pPr>
            <w:r w:rsidRPr="00A54361">
              <w:rPr>
                <w:rFonts w:cstheme="minorHAnsi"/>
                <w:sz w:val="24"/>
                <w:szCs w:val="24"/>
              </w:rPr>
              <w:t>GbE/GigE/Gbps</w:t>
            </w:r>
          </w:p>
        </w:tc>
        <w:tc>
          <w:tcPr>
            <w:tcW w:w="7065" w:type="dxa"/>
          </w:tcPr>
          <w:p w14:paraId="58C9086A" w14:textId="77777777" w:rsidR="00000504" w:rsidRPr="00A54361" w:rsidRDefault="00000504" w:rsidP="00A54361">
            <w:pPr>
              <w:jc w:val="both"/>
              <w:rPr>
                <w:rFonts w:cstheme="minorHAnsi"/>
                <w:sz w:val="24"/>
                <w:szCs w:val="24"/>
              </w:rPr>
            </w:pPr>
            <w:r w:rsidRPr="00A54361">
              <w:rPr>
                <w:rFonts w:cstheme="minorHAnsi"/>
                <w:sz w:val="24"/>
                <w:szCs w:val="24"/>
              </w:rPr>
              <w:t xml:space="preserve">Gigabit Per Second  </w:t>
            </w:r>
          </w:p>
        </w:tc>
      </w:tr>
      <w:tr w:rsidR="000D3DC1" w:rsidRPr="00A54361" w14:paraId="57B3EC6F" w14:textId="77777777" w:rsidTr="00F80ECC">
        <w:tc>
          <w:tcPr>
            <w:tcW w:w="1951" w:type="dxa"/>
          </w:tcPr>
          <w:p w14:paraId="54061B6A" w14:textId="77777777" w:rsidR="00000504" w:rsidRPr="00A54361" w:rsidRDefault="00000504" w:rsidP="00A54361">
            <w:pPr>
              <w:jc w:val="both"/>
              <w:rPr>
                <w:rFonts w:cstheme="minorHAnsi"/>
                <w:sz w:val="24"/>
                <w:szCs w:val="24"/>
              </w:rPr>
            </w:pPr>
            <w:r w:rsidRPr="00A54361">
              <w:rPr>
                <w:rFonts w:cstheme="minorHAnsi"/>
                <w:sz w:val="24"/>
                <w:szCs w:val="24"/>
              </w:rPr>
              <w:t>GoI</w:t>
            </w:r>
          </w:p>
        </w:tc>
        <w:tc>
          <w:tcPr>
            <w:tcW w:w="7065" w:type="dxa"/>
          </w:tcPr>
          <w:p w14:paraId="09568834" w14:textId="77777777" w:rsidR="00000504" w:rsidRPr="00A54361" w:rsidRDefault="00000504" w:rsidP="00A54361">
            <w:pPr>
              <w:jc w:val="both"/>
              <w:rPr>
                <w:rFonts w:cstheme="minorHAnsi"/>
                <w:sz w:val="24"/>
                <w:szCs w:val="24"/>
              </w:rPr>
            </w:pPr>
            <w:r w:rsidRPr="00A54361">
              <w:rPr>
                <w:rFonts w:cstheme="minorHAnsi"/>
                <w:sz w:val="24"/>
                <w:szCs w:val="24"/>
              </w:rPr>
              <w:t>Government of India</w:t>
            </w:r>
          </w:p>
        </w:tc>
      </w:tr>
      <w:tr w:rsidR="000D3DC1" w:rsidRPr="00A54361" w14:paraId="6B498BDC" w14:textId="77777777" w:rsidTr="00F80ECC">
        <w:tc>
          <w:tcPr>
            <w:tcW w:w="1951" w:type="dxa"/>
          </w:tcPr>
          <w:p w14:paraId="2C824B59" w14:textId="77777777" w:rsidR="00000504" w:rsidRPr="00A54361" w:rsidRDefault="00000504" w:rsidP="00A54361">
            <w:pPr>
              <w:jc w:val="both"/>
              <w:rPr>
                <w:rFonts w:cstheme="minorHAnsi"/>
                <w:sz w:val="24"/>
                <w:szCs w:val="24"/>
              </w:rPr>
            </w:pPr>
            <w:r w:rsidRPr="00A54361">
              <w:rPr>
                <w:rFonts w:cstheme="minorHAnsi"/>
                <w:sz w:val="24"/>
                <w:szCs w:val="24"/>
              </w:rPr>
              <w:lastRenderedPageBreak/>
              <w:t>HA</w:t>
            </w:r>
          </w:p>
        </w:tc>
        <w:tc>
          <w:tcPr>
            <w:tcW w:w="7065" w:type="dxa"/>
          </w:tcPr>
          <w:p w14:paraId="1D9153D3" w14:textId="77777777" w:rsidR="00000504" w:rsidRPr="00A54361" w:rsidRDefault="00000504" w:rsidP="00A54361">
            <w:pPr>
              <w:jc w:val="both"/>
              <w:rPr>
                <w:rFonts w:cstheme="minorHAnsi"/>
                <w:sz w:val="24"/>
                <w:szCs w:val="24"/>
              </w:rPr>
            </w:pPr>
            <w:r w:rsidRPr="00A54361">
              <w:rPr>
                <w:rFonts w:cstheme="minorHAnsi"/>
                <w:sz w:val="24"/>
                <w:szCs w:val="24"/>
              </w:rPr>
              <w:t xml:space="preserve">High Availability  </w:t>
            </w:r>
          </w:p>
        </w:tc>
      </w:tr>
      <w:tr w:rsidR="000D3DC1" w:rsidRPr="00A54361" w14:paraId="6FF7B402" w14:textId="77777777" w:rsidTr="00F80ECC">
        <w:tc>
          <w:tcPr>
            <w:tcW w:w="1951" w:type="dxa"/>
          </w:tcPr>
          <w:p w14:paraId="7F875853" w14:textId="77777777" w:rsidR="00000504" w:rsidRPr="00A54361" w:rsidRDefault="00000504" w:rsidP="00A54361">
            <w:pPr>
              <w:jc w:val="both"/>
              <w:rPr>
                <w:rFonts w:cstheme="minorHAnsi"/>
                <w:sz w:val="24"/>
                <w:szCs w:val="24"/>
              </w:rPr>
            </w:pPr>
            <w:r w:rsidRPr="00A54361">
              <w:rPr>
                <w:rFonts w:cstheme="minorHAnsi"/>
                <w:sz w:val="24"/>
                <w:szCs w:val="24"/>
              </w:rPr>
              <w:t>HDD</w:t>
            </w:r>
          </w:p>
        </w:tc>
        <w:tc>
          <w:tcPr>
            <w:tcW w:w="7065" w:type="dxa"/>
          </w:tcPr>
          <w:p w14:paraId="06546D74" w14:textId="77777777" w:rsidR="00000504" w:rsidRPr="00A54361" w:rsidRDefault="00000504" w:rsidP="00A54361">
            <w:pPr>
              <w:jc w:val="both"/>
              <w:rPr>
                <w:rFonts w:cstheme="minorHAnsi"/>
                <w:sz w:val="24"/>
                <w:szCs w:val="24"/>
              </w:rPr>
            </w:pPr>
            <w:r w:rsidRPr="00A54361">
              <w:rPr>
                <w:rFonts w:cstheme="minorHAnsi"/>
                <w:sz w:val="24"/>
                <w:szCs w:val="24"/>
              </w:rPr>
              <w:t>Hard Disk Drive</w:t>
            </w:r>
          </w:p>
        </w:tc>
      </w:tr>
      <w:tr w:rsidR="000D3DC1" w:rsidRPr="00A54361" w14:paraId="48256307" w14:textId="77777777" w:rsidTr="00F80ECC">
        <w:tc>
          <w:tcPr>
            <w:tcW w:w="1951" w:type="dxa"/>
          </w:tcPr>
          <w:p w14:paraId="0CC1ABC3" w14:textId="77777777" w:rsidR="00000504" w:rsidRPr="00A54361" w:rsidRDefault="00000504" w:rsidP="00A54361">
            <w:pPr>
              <w:jc w:val="both"/>
              <w:rPr>
                <w:rFonts w:cstheme="minorHAnsi"/>
                <w:sz w:val="24"/>
                <w:szCs w:val="24"/>
              </w:rPr>
            </w:pPr>
            <w:r w:rsidRPr="00A54361">
              <w:rPr>
                <w:rFonts w:cstheme="minorHAnsi"/>
                <w:sz w:val="24"/>
                <w:szCs w:val="24"/>
              </w:rPr>
              <w:t>HO</w:t>
            </w:r>
          </w:p>
        </w:tc>
        <w:tc>
          <w:tcPr>
            <w:tcW w:w="7065" w:type="dxa"/>
          </w:tcPr>
          <w:p w14:paraId="7CE71534" w14:textId="77777777" w:rsidR="00000504" w:rsidRPr="00A54361" w:rsidRDefault="00000504" w:rsidP="00A54361">
            <w:pPr>
              <w:jc w:val="both"/>
              <w:rPr>
                <w:rFonts w:cstheme="minorHAnsi"/>
                <w:sz w:val="24"/>
                <w:szCs w:val="24"/>
              </w:rPr>
            </w:pPr>
            <w:r w:rsidRPr="00A54361">
              <w:rPr>
                <w:rFonts w:cstheme="minorHAnsi"/>
                <w:sz w:val="24"/>
                <w:szCs w:val="24"/>
              </w:rPr>
              <w:t>Head Office</w:t>
            </w:r>
          </w:p>
        </w:tc>
      </w:tr>
      <w:tr w:rsidR="000D3DC1" w:rsidRPr="00A54361" w14:paraId="009E0352" w14:textId="77777777" w:rsidTr="00F80ECC">
        <w:tc>
          <w:tcPr>
            <w:tcW w:w="1951" w:type="dxa"/>
          </w:tcPr>
          <w:p w14:paraId="5D54D630" w14:textId="77777777" w:rsidR="00000504" w:rsidRPr="00A54361" w:rsidRDefault="00000504" w:rsidP="00A54361">
            <w:pPr>
              <w:jc w:val="both"/>
              <w:rPr>
                <w:rFonts w:cstheme="minorHAnsi"/>
                <w:sz w:val="24"/>
                <w:szCs w:val="24"/>
              </w:rPr>
            </w:pPr>
            <w:r w:rsidRPr="00A54361">
              <w:rPr>
                <w:rFonts w:cstheme="minorHAnsi"/>
                <w:sz w:val="24"/>
                <w:szCs w:val="24"/>
              </w:rPr>
              <w:t>INR</w:t>
            </w:r>
          </w:p>
        </w:tc>
        <w:tc>
          <w:tcPr>
            <w:tcW w:w="7065" w:type="dxa"/>
          </w:tcPr>
          <w:p w14:paraId="1AA9D6B1" w14:textId="77777777" w:rsidR="00000504" w:rsidRPr="00A54361" w:rsidRDefault="00000504" w:rsidP="00A54361">
            <w:pPr>
              <w:jc w:val="both"/>
              <w:rPr>
                <w:rFonts w:cstheme="minorHAnsi"/>
                <w:sz w:val="24"/>
                <w:szCs w:val="24"/>
              </w:rPr>
            </w:pPr>
            <w:r w:rsidRPr="00A54361">
              <w:rPr>
                <w:rFonts w:cstheme="minorHAnsi"/>
                <w:sz w:val="24"/>
                <w:szCs w:val="24"/>
              </w:rPr>
              <w:t>Indian National Rupee</w:t>
            </w:r>
          </w:p>
        </w:tc>
      </w:tr>
      <w:tr w:rsidR="000D3DC1" w:rsidRPr="00A54361" w14:paraId="4BC3D52D" w14:textId="77777777" w:rsidTr="00F80ECC">
        <w:tc>
          <w:tcPr>
            <w:tcW w:w="1951" w:type="dxa"/>
          </w:tcPr>
          <w:p w14:paraId="48F20B0C" w14:textId="77777777" w:rsidR="00000504" w:rsidRPr="00A54361" w:rsidRDefault="00000504" w:rsidP="00A54361">
            <w:pPr>
              <w:jc w:val="both"/>
              <w:rPr>
                <w:rFonts w:cstheme="minorHAnsi"/>
                <w:sz w:val="24"/>
                <w:szCs w:val="24"/>
              </w:rPr>
            </w:pPr>
            <w:r w:rsidRPr="00A54361">
              <w:rPr>
                <w:rFonts w:cstheme="minorHAnsi"/>
                <w:sz w:val="24"/>
                <w:szCs w:val="24"/>
              </w:rPr>
              <w:t>IP</w:t>
            </w:r>
          </w:p>
        </w:tc>
        <w:tc>
          <w:tcPr>
            <w:tcW w:w="7065" w:type="dxa"/>
          </w:tcPr>
          <w:p w14:paraId="089EB649" w14:textId="77777777" w:rsidR="00000504" w:rsidRPr="00A54361" w:rsidRDefault="00000504" w:rsidP="00A54361">
            <w:pPr>
              <w:jc w:val="both"/>
              <w:rPr>
                <w:rFonts w:cstheme="minorHAnsi"/>
                <w:sz w:val="24"/>
                <w:szCs w:val="24"/>
              </w:rPr>
            </w:pPr>
            <w:r w:rsidRPr="00A54361">
              <w:rPr>
                <w:rFonts w:cstheme="minorHAnsi"/>
                <w:sz w:val="24"/>
                <w:szCs w:val="24"/>
              </w:rPr>
              <w:t>Internet Protocol</w:t>
            </w:r>
          </w:p>
        </w:tc>
      </w:tr>
      <w:tr w:rsidR="000D3DC1" w:rsidRPr="00A54361" w14:paraId="660C717D" w14:textId="77777777" w:rsidTr="00F80ECC">
        <w:tc>
          <w:tcPr>
            <w:tcW w:w="1951" w:type="dxa"/>
          </w:tcPr>
          <w:p w14:paraId="32D60434" w14:textId="77777777" w:rsidR="00000504" w:rsidRPr="00A54361" w:rsidRDefault="00000504" w:rsidP="00A54361">
            <w:pPr>
              <w:jc w:val="both"/>
              <w:rPr>
                <w:rFonts w:cstheme="minorHAnsi"/>
                <w:sz w:val="24"/>
                <w:szCs w:val="24"/>
              </w:rPr>
            </w:pPr>
            <w:r w:rsidRPr="00A54361">
              <w:rPr>
                <w:rFonts w:cstheme="minorHAnsi"/>
                <w:sz w:val="24"/>
                <w:szCs w:val="24"/>
              </w:rPr>
              <w:t>IPS</w:t>
            </w:r>
          </w:p>
        </w:tc>
        <w:tc>
          <w:tcPr>
            <w:tcW w:w="7065" w:type="dxa"/>
          </w:tcPr>
          <w:p w14:paraId="576C0519" w14:textId="77777777" w:rsidR="00000504" w:rsidRPr="00A54361" w:rsidRDefault="00000504" w:rsidP="00A54361">
            <w:pPr>
              <w:jc w:val="both"/>
              <w:rPr>
                <w:rFonts w:cstheme="minorHAnsi"/>
                <w:sz w:val="24"/>
                <w:szCs w:val="24"/>
              </w:rPr>
            </w:pPr>
            <w:r w:rsidRPr="00A54361">
              <w:rPr>
                <w:rFonts w:cstheme="minorHAnsi"/>
                <w:sz w:val="24"/>
                <w:szCs w:val="24"/>
              </w:rPr>
              <w:t>Intrusion Prevention System</w:t>
            </w:r>
          </w:p>
        </w:tc>
      </w:tr>
      <w:tr w:rsidR="000D3DC1" w:rsidRPr="00A54361" w14:paraId="31CB51B1" w14:textId="77777777" w:rsidTr="00F80ECC">
        <w:tc>
          <w:tcPr>
            <w:tcW w:w="1951" w:type="dxa"/>
          </w:tcPr>
          <w:p w14:paraId="066AA759" w14:textId="77777777" w:rsidR="00000504" w:rsidRPr="00A54361" w:rsidRDefault="00000504" w:rsidP="00A54361">
            <w:pPr>
              <w:jc w:val="both"/>
              <w:rPr>
                <w:rFonts w:cstheme="minorHAnsi"/>
                <w:sz w:val="24"/>
                <w:szCs w:val="24"/>
              </w:rPr>
            </w:pPr>
            <w:r w:rsidRPr="00A54361">
              <w:rPr>
                <w:rFonts w:cstheme="minorHAnsi"/>
                <w:sz w:val="24"/>
                <w:szCs w:val="24"/>
              </w:rPr>
              <w:t>IT</w:t>
            </w:r>
          </w:p>
        </w:tc>
        <w:tc>
          <w:tcPr>
            <w:tcW w:w="7065" w:type="dxa"/>
          </w:tcPr>
          <w:p w14:paraId="44A2BA21" w14:textId="77777777" w:rsidR="00000504" w:rsidRPr="00A54361" w:rsidRDefault="00000504" w:rsidP="00A54361">
            <w:pPr>
              <w:jc w:val="both"/>
              <w:rPr>
                <w:rFonts w:cstheme="minorHAnsi"/>
                <w:sz w:val="24"/>
                <w:szCs w:val="24"/>
              </w:rPr>
            </w:pPr>
            <w:r w:rsidRPr="00A54361">
              <w:rPr>
                <w:rFonts w:cstheme="minorHAnsi"/>
                <w:sz w:val="24"/>
                <w:szCs w:val="24"/>
              </w:rPr>
              <w:t>Information Technology</w:t>
            </w:r>
          </w:p>
        </w:tc>
      </w:tr>
      <w:tr w:rsidR="000D3DC1" w:rsidRPr="00A54361" w14:paraId="5FE4EFE4" w14:textId="77777777" w:rsidTr="00F80ECC">
        <w:tc>
          <w:tcPr>
            <w:tcW w:w="1951" w:type="dxa"/>
          </w:tcPr>
          <w:p w14:paraId="6009B4A3" w14:textId="77777777" w:rsidR="00000504" w:rsidRPr="00A54361" w:rsidRDefault="00000504" w:rsidP="00A54361">
            <w:pPr>
              <w:jc w:val="both"/>
              <w:rPr>
                <w:rFonts w:cstheme="minorHAnsi"/>
                <w:sz w:val="24"/>
                <w:szCs w:val="24"/>
              </w:rPr>
            </w:pPr>
            <w:r w:rsidRPr="00A54361">
              <w:rPr>
                <w:rFonts w:cstheme="minorHAnsi"/>
                <w:sz w:val="24"/>
                <w:szCs w:val="24"/>
              </w:rPr>
              <w:t>LAN</w:t>
            </w:r>
          </w:p>
        </w:tc>
        <w:tc>
          <w:tcPr>
            <w:tcW w:w="7065" w:type="dxa"/>
          </w:tcPr>
          <w:p w14:paraId="6F63BA09" w14:textId="77777777" w:rsidR="00000504" w:rsidRPr="00A54361" w:rsidRDefault="00000504" w:rsidP="00A54361">
            <w:pPr>
              <w:jc w:val="both"/>
              <w:rPr>
                <w:rFonts w:cstheme="minorHAnsi"/>
                <w:sz w:val="24"/>
                <w:szCs w:val="24"/>
              </w:rPr>
            </w:pPr>
            <w:r w:rsidRPr="00A54361">
              <w:rPr>
                <w:rFonts w:cstheme="minorHAnsi"/>
                <w:sz w:val="24"/>
                <w:szCs w:val="24"/>
              </w:rPr>
              <w:t>Local Area Network</w:t>
            </w:r>
          </w:p>
        </w:tc>
      </w:tr>
      <w:tr w:rsidR="000D3DC1" w:rsidRPr="00A54361" w14:paraId="6D7AACDB" w14:textId="77777777" w:rsidTr="00F80ECC">
        <w:tc>
          <w:tcPr>
            <w:tcW w:w="1951" w:type="dxa"/>
          </w:tcPr>
          <w:p w14:paraId="6CD3EB25" w14:textId="77777777" w:rsidR="00000504" w:rsidRPr="00A54361" w:rsidRDefault="00000504" w:rsidP="00A54361">
            <w:pPr>
              <w:jc w:val="both"/>
              <w:rPr>
                <w:rFonts w:cstheme="minorHAnsi"/>
                <w:sz w:val="24"/>
                <w:szCs w:val="24"/>
              </w:rPr>
            </w:pPr>
            <w:r w:rsidRPr="00A54361">
              <w:rPr>
                <w:rFonts w:cstheme="minorHAnsi"/>
                <w:sz w:val="24"/>
                <w:szCs w:val="24"/>
              </w:rPr>
              <w:t>Mbps</w:t>
            </w:r>
          </w:p>
        </w:tc>
        <w:tc>
          <w:tcPr>
            <w:tcW w:w="7065" w:type="dxa"/>
          </w:tcPr>
          <w:p w14:paraId="18F0EB2C" w14:textId="2F25A1C5" w:rsidR="00000504" w:rsidRPr="00A54361" w:rsidRDefault="00FA2A11" w:rsidP="00A54361">
            <w:pPr>
              <w:jc w:val="both"/>
              <w:rPr>
                <w:rFonts w:cstheme="minorHAnsi"/>
                <w:sz w:val="24"/>
                <w:szCs w:val="24"/>
              </w:rPr>
            </w:pPr>
            <w:r w:rsidRPr="00A54361">
              <w:rPr>
                <w:rFonts w:cstheme="minorHAnsi"/>
                <w:sz w:val="24"/>
                <w:szCs w:val="24"/>
              </w:rPr>
              <w:t>Mega</w:t>
            </w:r>
            <w:r w:rsidR="00000504" w:rsidRPr="00A54361">
              <w:rPr>
                <w:rFonts w:cstheme="minorHAnsi"/>
                <w:sz w:val="24"/>
                <w:szCs w:val="24"/>
              </w:rPr>
              <w:t>bits Per Second</w:t>
            </w:r>
          </w:p>
        </w:tc>
      </w:tr>
      <w:tr w:rsidR="000D3DC1" w:rsidRPr="00A54361" w14:paraId="3F908623" w14:textId="77777777" w:rsidTr="00F80ECC">
        <w:tc>
          <w:tcPr>
            <w:tcW w:w="1951" w:type="dxa"/>
          </w:tcPr>
          <w:p w14:paraId="16463E67" w14:textId="77777777" w:rsidR="00000504" w:rsidRPr="00A54361" w:rsidRDefault="00000504" w:rsidP="00A54361">
            <w:pPr>
              <w:jc w:val="both"/>
              <w:rPr>
                <w:rFonts w:cstheme="minorHAnsi"/>
                <w:sz w:val="24"/>
                <w:szCs w:val="24"/>
              </w:rPr>
            </w:pPr>
            <w:r w:rsidRPr="00A54361">
              <w:rPr>
                <w:rFonts w:cstheme="minorHAnsi"/>
                <w:sz w:val="24"/>
                <w:szCs w:val="24"/>
              </w:rPr>
              <w:t>MPLS</w:t>
            </w:r>
          </w:p>
        </w:tc>
        <w:tc>
          <w:tcPr>
            <w:tcW w:w="7065" w:type="dxa"/>
          </w:tcPr>
          <w:p w14:paraId="1FD4BE2D" w14:textId="77777777" w:rsidR="00000504" w:rsidRPr="00A54361" w:rsidRDefault="00000504" w:rsidP="00A54361">
            <w:pPr>
              <w:jc w:val="both"/>
              <w:rPr>
                <w:rFonts w:cstheme="minorHAnsi"/>
                <w:sz w:val="24"/>
                <w:szCs w:val="24"/>
              </w:rPr>
            </w:pPr>
            <w:r w:rsidRPr="00A54361">
              <w:rPr>
                <w:rFonts w:cstheme="minorHAnsi"/>
                <w:sz w:val="24"/>
                <w:szCs w:val="24"/>
              </w:rPr>
              <w:t>Multi-Protocol Label Switching</w:t>
            </w:r>
          </w:p>
        </w:tc>
      </w:tr>
      <w:tr w:rsidR="000D3DC1" w:rsidRPr="00A54361" w14:paraId="7B648959" w14:textId="77777777" w:rsidTr="00F80ECC">
        <w:tc>
          <w:tcPr>
            <w:tcW w:w="1951" w:type="dxa"/>
          </w:tcPr>
          <w:p w14:paraId="435CB670" w14:textId="77777777" w:rsidR="00000504" w:rsidRPr="00A54361" w:rsidRDefault="00000504" w:rsidP="00A54361">
            <w:pPr>
              <w:jc w:val="both"/>
              <w:rPr>
                <w:rFonts w:cstheme="minorHAnsi"/>
                <w:sz w:val="24"/>
                <w:szCs w:val="24"/>
              </w:rPr>
            </w:pPr>
            <w:r w:rsidRPr="00A54361">
              <w:rPr>
                <w:rFonts w:cstheme="minorHAnsi"/>
                <w:sz w:val="24"/>
                <w:szCs w:val="24"/>
              </w:rPr>
              <w:t>MTBF</w:t>
            </w:r>
          </w:p>
        </w:tc>
        <w:tc>
          <w:tcPr>
            <w:tcW w:w="7065" w:type="dxa"/>
          </w:tcPr>
          <w:p w14:paraId="56CFC279" w14:textId="77777777" w:rsidR="00000504" w:rsidRPr="00A54361" w:rsidRDefault="00000504" w:rsidP="00A54361">
            <w:pPr>
              <w:jc w:val="both"/>
              <w:rPr>
                <w:rFonts w:cstheme="minorHAnsi"/>
                <w:sz w:val="24"/>
                <w:szCs w:val="24"/>
              </w:rPr>
            </w:pPr>
            <w:r w:rsidRPr="00A54361">
              <w:rPr>
                <w:rFonts w:cstheme="minorHAnsi"/>
                <w:sz w:val="24"/>
                <w:szCs w:val="24"/>
              </w:rPr>
              <w:t>Mean Time before Failure</w:t>
            </w:r>
          </w:p>
        </w:tc>
      </w:tr>
      <w:tr w:rsidR="000D3DC1" w:rsidRPr="00A54361" w14:paraId="3F1F8D61" w14:textId="77777777" w:rsidTr="00F80ECC">
        <w:tc>
          <w:tcPr>
            <w:tcW w:w="1951" w:type="dxa"/>
          </w:tcPr>
          <w:p w14:paraId="5AF62307" w14:textId="77777777" w:rsidR="00000504" w:rsidRPr="00A54361" w:rsidRDefault="00000504" w:rsidP="00A54361">
            <w:pPr>
              <w:jc w:val="both"/>
              <w:rPr>
                <w:rFonts w:cstheme="minorHAnsi"/>
                <w:sz w:val="24"/>
                <w:szCs w:val="24"/>
              </w:rPr>
            </w:pPr>
            <w:r w:rsidRPr="00A54361">
              <w:rPr>
                <w:rFonts w:cstheme="minorHAnsi"/>
                <w:sz w:val="24"/>
                <w:szCs w:val="24"/>
              </w:rPr>
              <w:t>NDA</w:t>
            </w:r>
          </w:p>
        </w:tc>
        <w:tc>
          <w:tcPr>
            <w:tcW w:w="7065" w:type="dxa"/>
          </w:tcPr>
          <w:p w14:paraId="2FAA9B96" w14:textId="7C671E29" w:rsidR="00000504" w:rsidRPr="00A54361" w:rsidRDefault="005D5FA4" w:rsidP="00A54361">
            <w:pPr>
              <w:jc w:val="both"/>
              <w:rPr>
                <w:rFonts w:cstheme="minorHAnsi"/>
                <w:sz w:val="24"/>
                <w:szCs w:val="24"/>
              </w:rPr>
            </w:pPr>
            <w:r w:rsidRPr="00A54361">
              <w:rPr>
                <w:rFonts w:cstheme="minorHAnsi"/>
                <w:sz w:val="24"/>
                <w:szCs w:val="24"/>
              </w:rPr>
              <w:t>Non-Disclosure</w:t>
            </w:r>
            <w:r w:rsidR="00000504" w:rsidRPr="00A54361">
              <w:rPr>
                <w:rFonts w:cstheme="minorHAnsi"/>
                <w:sz w:val="24"/>
                <w:szCs w:val="24"/>
              </w:rPr>
              <w:t xml:space="preserve"> Agreement</w:t>
            </w:r>
          </w:p>
        </w:tc>
      </w:tr>
      <w:tr w:rsidR="000D3DC1" w:rsidRPr="00A54361" w14:paraId="43081E4A" w14:textId="77777777" w:rsidTr="00F80ECC">
        <w:tc>
          <w:tcPr>
            <w:tcW w:w="1951" w:type="dxa"/>
          </w:tcPr>
          <w:p w14:paraId="5AE95AFA" w14:textId="77777777" w:rsidR="00000504" w:rsidRPr="00A54361" w:rsidRDefault="00000504" w:rsidP="00A54361">
            <w:pPr>
              <w:jc w:val="both"/>
              <w:rPr>
                <w:rFonts w:cstheme="minorHAnsi"/>
                <w:sz w:val="24"/>
                <w:szCs w:val="24"/>
              </w:rPr>
            </w:pPr>
            <w:r w:rsidRPr="00A54361">
              <w:rPr>
                <w:rFonts w:cstheme="minorHAnsi"/>
                <w:sz w:val="24"/>
                <w:szCs w:val="24"/>
              </w:rPr>
              <w:t>NOC</w:t>
            </w:r>
          </w:p>
        </w:tc>
        <w:tc>
          <w:tcPr>
            <w:tcW w:w="7065" w:type="dxa"/>
          </w:tcPr>
          <w:p w14:paraId="4554031C" w14:textId="1E1AF7E8" w:rsidR="00000504" w:rsidRPr="00A54361" w:rsidRDefault="00000504" w:rsidP="00A54361">
            <w:pPr>
              <w:jc w:val="both"/>
              <w:rPr>
                <w:rFonts w:cstheme="minorHAnsi"/>
                <w:sz w:val="24"/>
                <w:szCs w:val="24"/>
              </w:rPr>
            </w:pPr>
            <w:r w:rsidRPr="00A54361">
              <w:rPr>
                <w:rFonts w:cstheme="minorHAnsi"/>
                <w:sz w:val="24"/>
                <w:szCs w:val="24"/>
              </w:rPr>
              <w:t>Network Operati</w:t>
            </w:r>
            <w:r w:rsidR="009E6197" w:rsidRPr="00A54361">
              <w:rPr>
                <w:rFonts w:cstheme="minorHAnsi"/>
                <w:sz w:val="24"/>
                <w:szCs w:val="24"/>
              </w:rPr>
              <w:t>ons</w:t>
            </w:r>
            <w:r w:rsidRPr="00A54361">
              <w:rPr>
                <w:rFonts w:cstheme="minorHAnsi"/>
                <w:sz w:val="24"/>
                <w:szCs w:val="24"/>
              </w:rPr>
              <w:t xml:space="preserve"> C</w:t>
            </w:r>
            <w:r w:rsidR="00D4742A" w:rsidRPr="00A54361">
              <w:rPr>
                <w:rFonts w:cstheme="minorHAnsi"/>
                <w:sz w:val="24"/>
                <w:szCs w:val="24"/>
              </w:rPr>
              <w:t>entre</w:t>
            </w:r>
          </w:p>
        </w:tc>
      </w:tr>
      <w:tr w:rsidR="000D3DC1" w:rsidRPr="00A54361" w14:paraId="306185E3" w14:textId="77777777" w:rsidTr="00F80ECC">
        <w:tc>
          <w:tcPr>
            <w:tcW w:w="1951" w:type="dxa"/>
          </w:tcPr>
          <w:p w14:paraId="297EE3E9" w14:textId="77777777" w:rsidR="00000504" w:rsidRPr="00A54361" w:rsidRDefault="00000504" w:rsidP="00A54361">
            <w:pPr>
              <w:jc w:val="both"/>
              <w:rPr>
                <w:rFonts w:cstheme="minorHAnsi"/>
                <w:sz w:val="24"/>
                <w:szCs w:val="24"/>
              </w:rPr>
            </w:pPr>
            <w:r w:rsidRPr="00A54361">
              <w:rPr>
                <w:rFonts w:cstheme="minorHAnsi"/>
                <w:sz w:val="24"/>
                <w:szCs w:val="24"/>
              </w:rPr>
              <w:t>NMS</w:t>
            </w:r>
          </w:p>
        </w:tc>
        <w:tc>
          <w:tcPr>
            <w:tcW w:w="7065" w:type="dxa"/>
          </w:tcPr>
          <w:p w14:paraId="03FA321F" w14:textId="77777777" w:rsidR="00000504" w:rsidRPr="00A54361" w:rsidRDefault="00000504" w:rsidP="00A54361">
            <w:pPr>
              <w:jc w:val="both"/>
              <w:rPr>
                <w:rFonts w:cstheme="minorHAnsi"/>
                <w:sz w:val="24"/>
                <w:szCs w:val="24"/>
              </w:rPr>
            </w:pPr>
            <w:r w:rsidRPr="00A54361">
              <w:rPr>
                <w:rFonts w:cstheme="minorHAnsi"/>
                <w:sz w:val="24"/>
                <w:szCs w:val="24"/>
              </w:rPr>
              <w:t>Network Management System</w:t>
            </w:r>
          </w:p>
        </w:tc>
      </w:tr>
      <w:tr w:rsidR="000D3DC1" w:rsidRPr="00A54361" w14:paraId="1E8499CF" w14:textId="77777777" w:rsidTr="00F80ECC">
        <w:tc>
          <w:tcPr>
            <w:tcW w:w="1951" w:type="dxa"/>
          </w:tcPr>
          <w:p w14:paraId="285A18E7" w14:textId="77777777" w:rsidR="00000504" w:rsidRPr="00A54361" w:rsidRDefault="00000504" w:rsidP="00A54361">
            <w:pPr>
              <w:jc w:val="both"/>
              <w:rPr>
                <w:rFonts w:cstheme="minorHAnsi"/>
                <w:sz w:val="24"/>
                <w:szCs w:val="24"/>
              </w:rPr>
            </w:pPr>
            <w:r w:rsidRPr="00A54361">
              <w:rPr>
                <w:rFonts w:cstheme="minorHAnsi"/>
                <w:sz w:val="24"/>
                <w:szCs w:val="24"/>
              </w:rPr>
              <w:t>OEM</w:t>
            </w:r>
          </w:p>
        </w:tc>
        <w:tc>
          <w:tcPr>
            <w:tcW w:w="7065" w:type="dxa"/>
          </w:tcPr>
          <w:p w14:paraId="237A1BAE" w14:textId="77777777" w:rsidR="00000504" w:rsidRPr="00A54361" w:rsidRDefault="00000504" w:rsidP="00A54361">
            <w:pPr>
              <w:jc w:val="both"/>
              <w:rPr>
                <w:rFonts w:cstheme="minorHAnsi"/>
                <w:sz w:val="24"/>
                <w:szCs w:val="24"/>
              </w:rPr>
            </w:pPr>
            <w:r w:rsidRPr="00A54361">
              <w:rPr>
                <w:rFonts w:cstheme="minorHAnsi"/>
                <w:sz w:val="24"/>
                <w:szCs w:val="24"/>
              </w:rPr>
              <w:t>Original Equipment Manufacturer</w:t>
            </w:r>
          </w:p>
        </w:tc>
      </w:tr>
      <w:tr w:rsidR="000D3DC1" w:rsidRPr="00A54361" w14:paraId="592AE330" w14:textId="77777777" w:rsidTr="00F80ECC">
        <w:tc>
          <w:tcPr>
            <w:tcW w:w="1951" w:type="dxa"/>
          </w:tcPr>
          <w:p w14:paraId="600D6B7F" w14:textId="77777777" w:rsidR="00000504" w:rsidRPr="00A54361" w:rsidRDefault="00000504" w:rsidP="00A54361">
            <w:pPr>
              <w:jc w:val="both"/>
              <w:rPr>
                <w:rFonts w:cstheme="minorHAnsi"/>
                <w:sz w:val="24"/>
                <w:szCs w:val="24"/>
              </w:rPr>
            </w:pPr>
            <w:r w:rsidRPr="00A54361">
              <w:rPr>
                <w:rFonts w:cstheme="minorHAnsi"/>
                <w:sz w:val="24"/>
                <w:szCs w:val="24"/>
              </w:rPr>
              <w:t>PO</w:t>
            </w:r>
          </w:p>
        </w:tc>
        <w:tc>
          <w:tcPr>
            <w:tcW w:w="7065" w:type="dxa"/>
          </w:tcPr>
          <w:p w14:paraId="7DE1C40B" w14:textId="77777777" w:rsidR="00000504" w:rsidRPr="00A54361" w:rsidRDefault="00000504" w:rsidP="00A54361">
            <w:pPr>
              <w:jc w:val="both"/>
              <w:rPr>
                <w:rFonts w:cstheme="minorHAnsi"/>
                <w:sz w:val="24"/>
                <w:szCs w:val="24"/>
              </w:rPr>
            </w:pPr>
            <w:r w:rsidRPr="00A54361">
              <w:rPr>
                <w:rFonts w:cstheme="minorHAnsi"/>
                <w:sz w:val="24"/>
                <w:szCs w:val="24"/>
              </w:rPr>
              <w:t>Purchase Order</w:t>
            </w:r>
          </w:p>
        </w:tc>
      </w:tr>
      <w:tr w:rsidR="000D3DC1" w:rsidRPr="00A54361" w14:paraId="1B318690" w14:textId="77777777" w:rsidTr="00F80ECC">
        <w:tc>
          <w:tcPr>
            <w:tcW w:w="1951" w:type="dxa"/>
          </w:tcPr>
          <w:p w14:paraId="70AC3BE4" w14:textId="77777777" w:rsidR="00000504" w:rsidRPr="00A54361" w:rsidRDefault="00000504" w:rsidP="00A54361">
            <w:pPr>
              <w:jc w:val="both"/>
              <w:rPr>
                <w:rFonts w:cstheme="minorHAnsi"/>
                <w:sz w:val="24"/>
                <w:szCs w:val="24"/>
              </w:rPr>
            </w:pPr>
            <w:r w:rsidRPr="00A54361">
              <w:rPr>
                <w:rFonts w:cstheme="minorHAnsi"/>
                <w:sz w:val="24"/>
                <w:szCs w:val="24"/>
              </w:rPr>
              <w:t>RFP</w:t>
            </w:r>
          </w:p>
        </w:tc>
        <w:tc>
          <w:tcPr>
            <w:tcW w:w="7065" w:type="dxa"/>
          </w:tcPr>
          <w:p w14:paraId="1A827E3C" w14:textId="77777777" w:rsidR="00000504" w:rsidRPr="00A54361" w:rsidRDefault="00000504" w:rsidP="00A54361">
            <w:pPr>
              <w:jc w:val="both"/>
              <w:rPr>
                <w:rFonts w:cstheme="minorHAnsi"/>
                <w:sz w:val="24"/>
                <w:szCs w:val="24"/>
              </w:rPr>
            </w:pPr>
            <w:r w:rsidRPr="00A54361">
              <w:rPr>
                <w:rFonts w:cstheme="minorHAnsi"/>
                <w:sz w:val="24"/>
                <w:szCs w:val="24"/>
              </w:rPr>
              <w:t>Request for Proposal</w:t>
            </w:r>
          </w:p>
        </w:tc>
      </w:tr>
      <w:tr w:rsidR="000D3DC1" w:rsidRPr="00A54361" w14:paraId="3AD52955" w14:textId="77777777" w:rsidTr="00F80ECC">
        <w:tc>
          <w:tcPr>
            <w:tcW w:w="1951" w:type="dxa"/>
          </w:tcPr>
          <w:p w14:paraId="5603EFB8" w14:textId="77777777" w:rsidR="00000504" w:rsidRPr="00A54361" w:rsidRDefault="00000504" w:rsidP="00A54361">
            <w:pPr>
              <w:jc w:val="both"/>
              <w:rPr>
                <w:rFonts w:cstheme="minorHAnsi"/>
                <w:sz w:val="24"/>
                <w:szCs w:val="24"/>
              </w:rPr>
            </w:pPr>
            <w:r w:rsidRPr="00A54361">
              <w:rPr>
                <w:rFonts w:cstheme="minorHAnsi"/>
                <w:sz w:val="24"/>
                <w:szCs w:val="24"/>
              </w:rPr>
              <w:t>RMA</w:t>
            </w:r>
          </w:p>
        </w:tc>
        <w:tc>
          <w:tcPr>
            <w:tcW w:w="7065" w:type="dxa"/>
          </w:tcPr>
          <w:p w14:paraId="70104287" w14:textId="77777777" w:rsidR="00000504" w:rsidRPr="00A54361" w:rsidRDefault="00000504" w:rsidP="00A54361">
            <w:pPr>
              <w:jc w:val="both"/>
              <w:rPr>
                <w:rFonts w:cstheme="minorHAnsi"/>
                <w:sz w:val="24"/>
                <w:szCs w:val="24"/>
              </w:rPr>
            </w:pPr>
            <w:r w:rsidRPr="00A54361">
              <w:rPr>
                <w:rFonts w:cstheme="minorHAnsi"/>
                <w:sz w:val="24"/>
                <w:szCs w:val="24"/>
              </w:rPr>
              <w:t>Return Material Authorization</w:t>
            </w:r>
          </w:p>
        </w:tc>
      </w:tr>
      <w:tr w:rsidR="000D3DC1" w:rsidRPr="00A54361" w14:paraId="5877AD97" w14:textId="77777777" w:rsidTr="00F80ECC">
        <w:tc>
          <w:tcPr>
            <w:tcW w:w="1951" w:type="dxa"/>
          </w:tcPr>
          <w:p w14:paraId="1E9F7820" w14:textId="77777777" w:rsidR="00000504" w:rsidRPr="00A54361" w:rsidRDefault="00000504" w:rsidP="00A54361">
            <w:pPr>
              <w:jc w:val="both"/>
              <w:rPr>
                <w:rFonts w:cstheme="minorHAnsi"/>
                <w:sz w:val="24"/>
                <w:szCs w:val="24"/>
              </w:rPr>
            </w:pPr>
            <w:r w:rsidRPr="00A54361">
              <w:rPr>
                <w:rFonts w:cstheme="minorHAnsi"/>
                <w:sz w:val="24"/>
                <w:szCs w:val="24"/>
              </w:rPr>
              <w:t>RO</w:t>
            </w:r>
          </w:p>
        </w:tc>
        <w:tc>
          <w:tcPr>
            <w:tcW w:w="7065" w:type="dxa"/>
          </w:tcPr>
          <w:p w14:paraId="66D019B9" w14:textId="77777777" w:rsidR="00000504" w:rsidRPr="00A54361" w:rsidRDefault="00000504" w:rsidP="00A54361">
            <w:pPr>
              <w:jc w:val="both"/>
              <w:rPr>
                <w:rFonts w:cstheme="minorHAnsi"/>
                <w:sz w:val="24"/>
                <w:szCs w:val="24"/>
              </w:rPr>
            </w:pPr>
            <w:r w:rsidRPr="00A54361">
              <w:rPr>
                <w:rFonts w:cstheme="minorHAnsi"/>
                <w:sz w:val="24"/>
                <w:szCs w:val="24"/>
              </w:rPr>
              <w:t>Regional Office</w:t>
            </w:r>
          </w:p>
        </w:tc>
      </w:tr>
      <w:tr w:rsidR="000D3DC1" w:rsidRPr="00A54361" w14:paraId="11C012D8" w14:textId="77777777" w:rsidTr="00F80ECC">
        <w:tc>
          <w:tcPr>
            <w:tcW w:w="1951" w:type="dxa"/>
          </w:tcPr>
          <w:p w14:paraId="024B5C77" w14:textId="77777777" w:rsidR="00000504" w:rsidRPr="00A54361" w:rsidRDefault="00000504" w:rsidP="00A54361">
            <w:pPr>
              <w:jc w:val="both"/>
              <w:rPr>
                <w:rFonts w:cstheme="minorHAnsi"/>
                <w:sz w:val="24"/>
                <w:szCs w:val="24"/>
              </w:rPr>
            </w:pPr>
            <w:r w:rsidRPr="00A54361">
              <w:rPr>
                <w:rFonts w:cstheme="minorHAnsi"/>
                <w:sz w:val="24"/>
                <w:szCs w:val="24"/>
              </w:rPr>
              <w:t>RPO</w:t>
            </w:r>
          </w:p>
        </w:tc>
        <w:tc>
          <w:tcPr>
            <w:tcW w:w="7065" w:type="dxa"/>
          </w:tcPr>
          <w:p w14:paraId="2026F635" w14:textId="77777777" w:rsidR="00000504" w:rsidRPr="00A54361" w:rsidRDefault="00000504" w:rsidP="00A54361">
            <w:pPr>
              <w:jc w:val="both"/>
              <w:rPr>
                <w:rFonts w:cstheme="minorHAnsi"/>
                <w:sz w:val="24"/>
                <w:szCs w:val="24"/>
              </w:rPr>
            </w:pPr>
            <w:r w:rsidRPr="00A54361">
              <w:rPr>
                <w:rFonts w:cstheme="minorHAnsi"/>
                <w:sz w:val="24"/>
                <w:szCs w:val="24"/>
              </w:rPr>
              <w:t>Recovery Point Objective</w:t>
            </w:r>
          </w:p>
        </w:tc>
      </w:tr>
      <w:tr w:rsidR="000D3DC1" w:rsidRPr="00A54361" w14:paraId="38B8B948" w14:textId="77777777" w:rsidTr="00F80ECC">
        <w:tc>
          <w:tcPr>
            <w:tcW w:w="1951" w:type="dxa"/>
          </w:tcPr>
          <w:p w14:paraId="109FACCE" w14:textId="77777777" w:rsidR="00000504" w:rsidRPr="00A54361" w:rsidRDefault="00000504" w:rsidP="00A54361">
            <w:pPr>
              <w:jc w:val="both"/>
              <w:rPr>
                <w:rFonts w:cstheme="minorHAnsi"/>
                <w:sz w:val="24"/>
                <w:szCs w:val="24"/>
              </w:rPr>
            </w:pPr>
            <w:r w:rsidRPr="00A54361">
              <w:rPr>
                <w:rFonts w:cstheme="minorHAnsi"/>
                <w:sz w:val="24"/>
                <w:szCs w:val="24"/>
              </w:rPr>
              <w:t>RTO</w:t>
            </w:r>
          </w:p>
        </w:tc>
        <w:tc>
          <w:tcPr>
            <w:tcW w:w="7065" w:type="dxa"/>
          </w:tcPr>
          <w:p w14:paraId="58B5277D" w14:textId="77777777" w:rsidR="00000504" w:rsidRPr="00A54361" w:rsidRDefault="00000504" w:rsidP="00A54361">
            <w:pPr>
              <w:jc w:val="both"/>
              <w:rPr>
                <w:rFonts w:cstheme="minorHAnsi"/>
                <w:sz w:val="24"/>
                <w:szCs w:val="24"/>
              </w:rPr>
            </w:pPr>
            <w:r w:rsidRPr="00A54361">
              <w:rPr>
                <w:rFonts w:cstheme="minorHAnsi"/>
                <w:sz w:val="24"/>
                <w:szCs w:val="24"/>
              </w:rPr>
              <w:t>Recovery Time Objective</w:t>
            </w:r>
          </w:p>
        </w:tc>
      </w:tr>
      <w:tr w:rsidR="000D3DC1" w:rsidRPr="00A54361" w14:paraId="0A01D9FF" w14:textId="77777777" w:rsidTr="00F80ECC">
        <w:tc>
          <w:tcPr>
            <w:tcW w:w="1951" w:type="dxa"/>
          </w:tcPr>
          <w:p w14:paraId="21A8D4F4" w14:textId="77777777" w:rsidR="00000504" w:rsidRPr="00A54361" w:rsidRDefault="00000504" w:rsidP="00A54361">
            <w:pPr>
              <w:jc w:val="both"/>
              <w:rPr>
                <w:rFonts w:cstheme="minorHAnsi"/>
                <w:sz w:val="24"/>
                <w:szCs w:val="24"/>
              </w:rPr>
            </w:pPr>
            <w:r w:rsidRPr="00A54361">
              <w:rPr>
                <w:rFonts w:cstheme="minorHAnsi"/>
                <w:sz w:val="24"/>
                <w:szCs w:val="24"/>
              </w:rPr>
              <w:t>SIEM</w:t>
            </w:r>
          </w:p>
        </w:tc>
        <w:tc>
          <w:tcPr>
            <w:tcW w:w="7065" w:type="dxa"/>
          </w:tcPr>
          <w:p w14:paraId="64FE474A" w14:textId="66678E9D" w:rsidR="00000504" w:rsidRPr="00A54361" w:rsidRDefault="00000504" w:rsidP="00A54361">
            <w:pPr>
              <w:jc w:val="both"/>
              <w:rPr>
                <w:rFonts w:cstheme="minorHAnsi"/>
                <w:sz w:val="24"/>
                <w:szCs w:val="24"/>
              </w:rPr>
            </w:pPr>
            <w:r w:rsidRPr="00A54361">
              <w:rPr>
                <w:rFonts w:cstheme="minorHAnsi"/>
                <w:sz w:val="24"/>
                <w:szCs w:val="24"/>
              </w:rPr>
              <w:t>Security Information</w:t>
            </w:r>
            <w:r w:rsidR="00017023" w:rsidRPr="00A54361">
              <w:rPr>
                <w:rFonts w:cstheme="minorHAnsi"/>
                <w:sz w:val="24"/>
                <w:szCs w:val="24"/>
              </w:rPr>
              <w:t xml:space="preserve"> and event Management</w:t>
            </w:r>
          </w:p>
        </w:tc>
      </w:tr>
      <w:tr w:rsidR="000D3DC1" w:rsidRPr="00A54361" w14:paraId="7CC80021" w14:textId="77777777" w:rsidTr="00F80ECC">
        <w:tc>
          <w:tcPr>
            <w:tcW w:w="1951" w:type="dxa"/>
          </w:tcPr>
          <w:p w14:paraId="0414C5A3" w14:textId="77777777" w:rsidR="00000504" w:rsidRPr="00A54361" w:rsidRDefault="00000504" w:rsidP="00A54361">
            <w:pPr>
              <w:jc w:val="both"/>
              <w:rPr>
                <w:rFonts w:cstheme="minorHAnsi"/>
                <w:sz w:val="24"/>
                <w:szCs w:val="24"/>
              </w:rPr>
            </w:pPr>
            <w:r w:rsidRPr="00A54361">
              <w:rPr>
                <w:rFonts w:cstheme="minorHAnsi"/>
                <w:sz w:val="24"/>
                <w:szCs w:val="24"/>
              </w:rPr>
              <w:t>SSD</w:t>
            </w:r>
          </w:p>
        </w:tc>
        <w:tc>
          <w:tcPr>
            <w:tcW w:w="7065" w:type="dxa"/>
          </w:tcPr>
          <w:p w14:paraId="2BEEA1F5" w14:textId="77777777" w:rsidR="00000504" w:rsidRPr="00A54361" w:rsidRDefault="00000504" w:rsidP="00A54361">
            <w:pPr>
              <w:jc w:val="both"/>
              <w:rPr>
                <w:rFonts w:cstheme="minorHAnsi"/>
                <w:sz w:val="24"/>
                <w:szCs w:val="24"/>
              </w:rPr>
            </w:pPr>
            <w:r w:rsidRPr="00A54361">
              <w:rPr>
                <w:rFonts w:cstheme="minorHAnsi"/>
                <w:sz w:val="24"/>
                <w:szCs w:val="24"/>
              </w:rPr>
              <w:t>Solid State Drive</w:t>
            </w:r>
          </w:p>
        </w:tc>
      </w:tr>
      <w:tr w:rsidR="000D3DC1" w:rsidRPr="00A54361" w14:paraId="3E63CB95" w14:textId="77777777" w:rsidTr="00F80ECC">
        <w:tc>
          <w:tcPr>
            <w:tcW w:w="1951" w:type="dxa"/>
          </w:tcPr>
          <w:p w14:paraId="1FB9E0CF" w14:textId="77777777" w:rsidR="00000504" w:rsidRPr="00A54361" w:rsidRDefault="00000504" w:rsidP="00A54361">
            <w:pPr>
              <w:jc w:val="both"/>
              <w:rPr>
                <w:rFonts w:cstheme="minorHAnsi"/>
                <w:sz w:val="24"/>
                <w:szCs w:val="24"/>
              </w:rPr>
            </w:pPr>
            <w:r w:rsidRPr="00A54361">
              <w:rPr>
                <w:rFonts w:cstheme="minorHAnsi"/>
                <w:sz w:val="24"/>
                <w:szCs w:val="24"/>
              </w:rPr>
              <w:t>SMTP</w:t>
            </w:r>
          </w:p>
        </w:tc>
        <w:tc>
          <w:tcPr>
            <w:tcW w:w="7065" w:type="dxa"/>
          </w:tcPr>
          <w:p w14:paraId="38F2318D" w14:textId="77777777" w:rsidR="00000504" w:rsidRPr="00A54361" w:rsidRDefault="00000504" w:rsidP="00A54361">
            <w:pPr>
              <w:jc w:val="both"/>
              <w:rPr>
                <w:rFonts w:cstheme="minorHAnsi"/>
                <w:sz w:val="24"/>
                <w:szCs w:val="24"/>
              </w:rPr>
            </w:pPr>
            <w:r w:rsidRPr="00A54361">
              <w:rPr>
                <w:rFonts w:cstheme="minorHAnsi"/>
                <w:sz w:val="24"/>
                <w:szCs w:val="24"/>
              </w:rPr>
              <w:t>Simple Mail Transfer Protocol</w:t>
            </w:r>
          </w:p>
        </w:tc>
      </w:tr>
      <w:tr w:rsidR="000D3DC1" w:rsidRPr="00A54361" w14:paraId="429F5D71" w14:textId="77777777" w:rsidTr="00F80ECC">
        <w:tc>
          <w:tcPr>
            <w:tcW w:w="1951" w:type="dxa"/>
          </w:tcPr>
          <w:p w14:paraId="1585F969" w14:textId="77777777" w:rsidR="00000504" w:rsidRPr="00A54361" w:rsidRDefault="00000504" w:rsidP="00A54361">
            <w:pPr>
              <w:jc w:val="both"/>
              <w:rPr>
                <w:rFonts w:cstheme="minorHAnsi"/>
                <w:sz w:val="24"/>
                <w:szCs w:val="24"/>
              </w:rPr>
            </w:pPr>
            <w:r w:rsidRPr="00A54361">
              <w:rPr>
                <w:rFonts w:cstheme="minorHAnsi"/>
                <w:sz w:val="24"/>
                <w:szCs w:val="24"/>
              </w:rPr>
              <w:t>SOAR</w:t>
            </w:r>
          </w:p>
        </w:tc>
        <w:tc>
          <w:tcPr>
            <w:tcW w:w="7065" w:type="dxa"/>
          </w:tcPr>
          <w:p w14:paraId="4FBDE24C" w14:textId="77777777" w:rsidR="00000504" w:rsidRPr="00A54361" w:rsidRDefault="00000504" w:rsidP="00A54361">
            <w:pPr>
              <w:jc w:val="both"/>
              <w:rPr>
                <w:rFonts w:cstheme="minorHAnsi"/>
                <w:sz w:val="24"/>
                <w:szCs w:val="24"/>
              </w:rPr>
            </w:pPr>
            <w:r w:rsidRPr="00A54361">
              <w:rPr>
                <w:rFonts w:cstheme="minorHAnsi"/>
                <w:sz w:val="24"/>
                <w:szCs w:val="24"/>
              </w:rPr>
              <w:t>Security Orchestration Automation and Response</w:t>
            </w:r>
          </w:p>
        </w:tc>
      </w:tr>
      <w:tr w:rsidR="000D3DC1" w:rsidRPr="00A54361" w14:paraId="1F3DD925" w14:textId="77777777" w:rsidTr="00F80ECC">
        <w:tc>
          <w:tcPr>
            <w:tcW w:w="1951" w:type="dxa"/>
          </w:tcPr>
          <w:p w14:paraId="76D09E1A" w14:textId="77777777" w:rsidR="00000504" w:rsidRPr="00A54361" w:rsidRDefault="00000504" w:rsidP="00A54361">
            <w:pPr>
              <w:jc w:val="both"/>
              <w:rPr>
                <w:rFonts w:cstheme="minorHAnsi"/>
                <w:sz w:val="24"/>
                <w:szCs w:val="24"/>
              </w:rPr>
            </w:pPr>
            <w:r w:rsidRPr="00A54361">
              <w:rPr>
                <w:rFonts w:cstheme="minorHAnsi"/>
                <w:sz w:val="24"/>
                <w:szCs w:val="24"/>
              </w:rPr>
              <w:t>SoW</w:t>
            </w:r>
          </w:p>
        </w:tc>
        <w:tc>
          <w:tcPr>
            <w:tcW w:w="7065" w:type="dxa"/>
          </w:tcPr>
          <w:p w14:paraId="3C4E346C" w14:textId="77777777" w:rsidR="00000504" w:rsidRPr="00A54361" w:rsidRDefault="00000504" w:rsidP="00A54361">
            <w:pPr>
              <w:jc w:val="both"/>
              <w:rPr>
                <w:rFonts w:cstheme="minorHAnsi"/>
                <w:sz w:val="24"/>
                <w:szCs w:val="24"/>
              </w:rPr>
            </w:pPr>
            <w:r w:rsidRPr="00A54361">
              <w:rPr>
                <w:rFonts w:cstheme="minorHAnsi"/>
                <w:sz w:val="24"/>
                <w:szCs w:val="24"/>
              </w:rPr>
              <w:t>Scope of Work</w:t>
            </w:r>
          </w:p>
        </w:tc>
      </w:tr>
      <w:tr w:rsidR="000D3DC1" w:rsidRPr="00A54361" w14:paraId="30F75F09" w14:textId="77777777" w:rsidTr="00F80ECC">
        <w:tc>
          <w:tcPr>
            <w:tcW w:w="1951" w:type="dxa"/>
          </w:tcPr>
          <w:p w14:paraId="22C025FA" w14:textId="77777777" w:rsidR="00000504" w:rsidRPr="00A54361" w:rsidRDefault="00000504" w:rsidP="00A54361">
            <w:pPr>
              <w:jc w:val="both"/>
              <w:rPr>
                <w:rFonts w:cstheme="minorHAnsi"/>
                <w:sz w:val="24"/>
                <w:szCs w:val="24"/>
              </w:rPr>
            </w:pPr>
            <w:r w:rsidRPr="00A54361">
              <w:rPr>
                <w:rFonts w:cstheme="minorHAnsi"/>
                <w:sz w:val="24"/>
                <w:szCs w:val="24"/>
              </w:rPr>
              <w:t>SLA</w:t>
            </w:r>
          </w:p>
        </w:tc>
        <w:tc>
          <w:tcPr>
            <w:tcW w:w="7065" w:type="dxa"/>
          </w:tcPr>
          <w:p w14:paraId="407DB0E0" w14:textId="77777777" w:rsidR="00000504" w:rsidRPr="00A54361" w:rsidRDefault="00000504" w:rsidP="00A54361">
            <w:pPr>
              <w:jc w:val="both"/>
              <w:rPr>
                <w:rFonts w:cstheme="minorHAnsi"/>
                <w:sz w:val="24"/>
                <w:szCs w:val="24"/>
              </w:rPr>
            </w:pPr>
            <w:r w:rsidRPr="00A54361">
              <w:rPr>
                <w:rFonts w:cstheme="minorHAnsi"/>
                <w:sz w:val="24"/>
                <w:szCs w:val="24"/>
              </w:rPr>
              <w:t>Service Level Agreement</w:t>
            </w:r>
          </w:p>
        </w:tc>
      </w:tr>
      <w:tr w:rsidR="000D3DC1" w:rsidRPr="00A54361" w14:paraId="74CDF603" w14:textId="77777777" w:rsidTr="00F80ECC">
        <w:tc>
          <w:tcPr>
            <w:tcW w:w="1951" w:type="dxa"/>
          </w:tcPr>
          <w:p w14:paraId="1D05B80F" w14:textId="77777777" w:rsidR="00000504" w:rsidRPr="00A54361" w:rsidRDefault="00000504" w:rsidP="00A54361">
            <w:pPr>
              <w:jc w:val="both"/>
              <w:rPr>
                <w:rFonts w:cstheme="minorHAnsi"/>
                <w:sz w:val="24"/>
                <w:szCs w:val="24"/>
              </w:rPr>
            </w:pPr>
            <w:r w:rsidRPr="00A54361">
              <w:rPr>
                <w:rFonts w:cstheme="minorHAnsi"/>
                <w:sz w:val="24"/>
                <w:szCs w:val="24"/>
              </w:rPr>
              <w:lastRenderedPageBreak/>
              <w:t>SPOC</w:t>
            </w:r>
          </w:p>
        </w:tc>
        <w:tc>
          <w:tcPr>
            <w:tcW w:w="7065" w:type="dxa"/>
          </w:tcPr>
          <w:p w14:paraId="7F72DE7A" w14:textId="77777777" w:rsidR="00000504" w:rsidRPr="00A54361" w:rsidRDefault="00000504" w:rsidP="00A54361">
            <w:pPr>
              <w:jc w:val="both"/>
              <w:rPr>
                <w:rFonts w:cstheme="minorHAnsi"/>
                <w:sz w:val="24"/>
                <w:szCs w:val="24"/>
              </w:rPr>
            </w:pPr>
            <w:r w:rsidRPr="00A54361">
              <w:rPr>
                <w:rFonts w:cstheme="minorHAnsi"/>
                <w:sz w:val="24"/>
                <w:szCs w:val="24"/>
              </w:rPr>
              <w:t>Single Point of Contact</w:t>
            </w:r>
          </w:p>
        </w:tc>
      </w:tr>
      <w:tr w:rsidR="000D3DC1" w:rsidRPr="00A54361" w14:paraId="19163242" w14:textId="77777777" w:rsidTr="00F80ECC">
        <w:tc>
          <w:tcPr>
            <w:tcW w:w="1951" w:type="dxa"/>
          </w:tcPr>
          <w:p w14:paraId="1C63CF7F" w14:textId="77777777" w:rsidR="00000504" w:rsidRPr="00A54361" w:rsidRDefault="00000504" w:rsidP="00A54361">
            <w:pPr>
              <w:jc w:val="both"/>
              <w:rPr>
                <w:rFonts w:cstheme="minorHAnsi"/>
                <w:sz w:val="24"/>
                <w:szCs w:val="24"/>
              </w:rPr>
            </w:pPr>
            <w:r w:rsidRPr="00A54361">
              <w:rPr>
                <w:rFonts w:cstheme="minorHAnsi"/>
                <w:sz w:val="24"/>
                <w:szCs w:val="24"/>
              </w:rPr>
              <w:t>SSL</w:t>
            </w:r>
          </w:p>
        </w:tc>
        <w:tc>
          <w:tcPr>
            <w:tcW w:w="7065" w:type="dxa"/>
          </w:tcPr>
          <w:p w14:paraId="3C1BFF19" w14:textId="77777777" w:rsidR="00000504" w:rsidRPr="00A54361" w:rsidRDefault="00000504" w:rsidP="00A54361">
            <w:pPr>
              <w:jc w:val="both"/>
              <w:rPr>
                <w:rFonts w:cstheme="minorHAnsi"/>
                <w:sz w:val="24"/>
                <w:szCs w:val="24"/>
              </w:rPr>
            </w:pPr>
            <w:r w:rsidRPr="00A54361">
              <w:rPr>
                <w:rFonts w:cstheme="minorHAnsi"/>
                <w:sz w:val="24"/>
                <w:szCs w:val="24"/>
              </w:rPr>
              <w:t>Secure Sockets Layer</w:t>
            </w:r>
          </w:p>
        </w:tc>
      </w:tr>
      <w:tr w:rsidR="000D3DC1" w:rsidRPr="00A54361" w14:paraId="7C7C5D0D" w14:textId="77777777" w:rsidTr="00F80ECC">
        <w:tc>
          <w:tcPr>
            <w:tcW w:w="1951" w:type="dxa"/>
          </w:tcPr>
          <w:p w14:paraId="0392CF18" w14:textId="77777777" w:rsidR="00000504" w:rsidRPr="00A54361" w:rsidRDefault="00000504" w:rsidP="00A54361">
            <w:pPr>
              <w:jc w:val="both"/>
              <w:rPr>
                <w:rFonts w:cstheme="minorHAnsi"/>
                <w:sz w:val="24"/>
                <w:szCs w:val="24"/>
              </w:rPr>
            </w:pPr>
            <w:r w:rsidRPr="00A54361">
              <w:rPr>
                <w:rFonts w:cstheme="minorHAnsi"/>
                <w:sz w:val="24"/>
                <w:szCs w:val="24"/>
              </w:rPr>
              <w:t>T&amp;C</w:t>
            </w:r>
          </w:p>
        </w:tc>
        <w:tc>
          <w:tcPr>
            <w:tcW w:w="7065" w:type="dxa"/>
          </w:tcPr>
          <w:p w14:paraId="321F7947" w14:textId="77777777" w:rsidR="00000504" w:rsidRPr="00A54361" w:rsidRDefault="00000504" w:rsidP="00A54361">
            <w:pPr>
              <w:jc w:val="both"/>
              <w:rPr>
                <w:rFonts w:cstheme="minorHAnsi"/>
                <w:sz w:val="24"/>
                <w:szCs w:val="24"/>
              </w:rPr>
            </w:pPr>
            <w:r w:rsidRPr="00A54361">
              <w:rPr>
                <w:rFonts w:cstheme="minorHAnsi"/>
                <w:sz w:val="24"/>
                <w:szCs w:val="24"/>
              </w:rPr>
              <w:t>Terms &amp; Conditions</w:t>
            </w:r>
          </w:p>
        </w:tc>
      </w:tr>
      <w:tr w:rsidR="000D3DC1" w:rsidRPr="00A54361" w14:paraId="5BDB8E1C" w14:textId="77777777" w:rsidTr="00F80ECC">
        <w:tc>
          <w:tcPr>
            <w:tcW w:w="1951" w:type="dxa"/>
          </w:tcPr>
          <w:p w14:paraId="4A0AA7C5" w14:textId="77777777" w:rsidR="00000504" w:rsidRPr="00A54361" w:rsidRDefault="00000504" w:rsidP="00A54361">
            <w:pPr>
              <w:jc w:val="both"/>
              <w:rPr>
                <w:rFonts w:cstheme="minorHAnsi"/>
                <w:sz w:val="24"/>
                <w:szCs w:val="24"/>
              </w:rPr>
            </w:pPr>
            <w:r w:rsidRPr="00A54361">
              <w:rPr>
                <w:rFonts w:cstheme="minorHAnsi"/>
                <w:sz w:val="24"/>
                <w:szCs w:val="24"/>
              </w:rPr>
              <w:t>Tbps</w:t>
            </w:r>
          </w:p>
        </w:tc>
        <w:tc>
          <w:tcPr>
            <w:tcW w:w="7065" w:type="dxa"/>
          </w:tcPr>
          <w:p w14:paraId="15D307B6" w14:textId="77777777" w:rsidR="00000504" w:rsidRPr="00A54361" w:rsidRDefault="00000504" w:rsidP="00A54361">
            <w:pPr>
              <w:jc w:val="both"/>
              <w:rPr>
                <w:rFonts w:cstheme="minorHAnsi"/>
                <w:sz w:val="24"/>
                <w:szCs w:val="24"/>
              </w:rPr>
            </w:pPr>
            <w:r w:rsidRPr="00A54361">
              <w:rPr>
                <w:rFonts w:cstheme="minorHAnsi"/>
                <w:sz w:val="24"/>
                <w:szCs w:val="24"/>
              </w:rPr>
              <w:t>Terabits per second</w:t>
            </w:r>
          </w:p>
        </w:tc>
      </w:tr>
      <w:tr w:rsidR="000D3DC1" w:rsidRPr="00A54361" w14:paraId="2D315C52" w14:textId="77777777" w:rsidTr="00F80ECC">
        <w:tc>
          <w:tcPr>
            <w:tcW w:w="1951" w:type="dxa"/>
          </w:tcPr>
          <w:p w14:paraId="10E79C78" w14:textId="77777777" w:rsidR="00000504" w:rsidRPr="00A54361" w:rsidRDefault="00000504" w:rsidP="00A54361">
            <w:pPr>
              <w:jc w:val="both"/>
              <w:rPr>
                <w:rFonts w:cstheme="minorHAnsi"/>
                <w:sz w:val="24"/>
                <w:szCs w:val="24"/>
              </w:rPr>
            </w:pPr>
            <w:r w:rsidRPr="00A54361">
              <w:rPr>
                <w:rFonts w:cstheme="minorHAnsi"/>
                <w:sz w:val="24"/>
                <w:szCs w:val="24"/>
              </w:rPr>
              <w:t>TCO</w:t>
            </w:r>
          </w:p>
        </w:tc>
        <w:tc>
          <w:tcPr>
            <w:tcW w:w="7065" w:type="dxa"/>
          </w:tcPr>
          <w:p w14:paraId="206A6856" w14:textId="77777777" w:rsidR="00000504" w:rsidRPr="00A54361" w:rsidRDefault="00000504" w:rsidP="00A54361">
            <w:pPr>
              <w:jc w:val="both"/>
              <w:rPr>
                <w:rFonts w:cstheme="minorHAnsi"/>
                <w:sz w:val="24"/>
                <w:szCs w:val="24"/>
              </w:rPr>
            </w:pPr>
            <w:r w:rsidRPr="00A54361">
              <w:rPr>
                <w:rFonts w:cstheme="minorHAnsi"/>
                <w:sz w:val="24"/>
                <w:szCs w:val="24"/>
              </w:rPr>
              <w:t>Total Cost of Ownership</w:t>
            </w:r>
          </w:p>
        </w:tc>
      </w:tr>
      <w:tr w:rsidR="000D3DC1" w:rsidRPr="00A54361" w14:paraId="1241CEB5" w14:textId="77777777" w:rsidTr="00F80ECC">
        <w:tc>
          <w:tcPr>
            <w:tcW w:w="1951" w:type="dxa"/>
          </w:tcPr>
          <w:p w14:paraId="59AF8EA7" w14:textId="77777777" w:rsidR="00000504" w:rsidRPr="00A54361" w:rsidRDefault="00000504" w:rsidP="00A54361">
            <w:pPr>
              <w:jc w:val="both"/>
              <w:rPr>
                <w:rFonts w:cstheme="minorHAnsi"/>
                <w:sz w:val="24"/>
                <w:szCs w:val="24"/>
              </w:rPr>
            </w:pPr>
            <w:r w:rsidRPr="00A54361">
              <w:rPr>
                <w:rFonts w:cstheme="minorHAnsi"/>
                <w:sz w:val="24"/>
                <w:szCs w:val="24"/>
              </w:rPr>
              <w:t>TCP</w:t>
            </w:r>
          </w:p>
        </w:tc>
        <w:tc>
          <w:tcPr>
            <w:tcW w:w="7065" w:type="dxa"/>
          </w:tcPr>
          <w:p w14:paraId="3F0086D7" w14:textId="77777777" w:rsidR="00000504" w:rsidRPr="00A54361" w:rsidRDefault="00000504" w:rsidP="00A54361">
            <w:pPr>
              <w:jc w:val="both"/>
              <w:rPr>
                <w:rFonts w:cstheme="minorHAnsi"/>
                <w:sz w:val="24"/>
                <w:szCs w:val="24"/>
              </w:rPr>
            </w:pPr>
            <w:r w:rsidRPr="00A54361">
              <w:rPr>
                <w:rFonts w:cstheme="minorHAnsi"/>
                <w:sz w:val="24"/>
                <w:szCs w:val="24"/>
              </w:rPr>
              <w:t>Transmission Control Protocol</w:t>
            </w:r>
          </w:p>
        </w:tc>
      </w:tr>
      <w:tr w:rsidR="000D3DC1" w:rsidRPr="00A54361" w14:paraId="259AC346" w14:textId="77777777" w:rsidTr="00F80ECC">
        <w:tc>
          <w:tcPr>
            <w:tcW w:w="1951" w:type="dxa"/>
          </w:tcPr>
          <w:p w14:paraId="01A3BF1D" w14:textId="77777777" w:rsidR="00000504" w:rsidRPr="00A54361" w:rsidRDefault="00000504" w:rsidP="00A54361">
            <w:pPr>
              <w:jc w:val="both"/>
              <w:rPr>
                <w:rFonts w:cstheme="minorHAnsi"/>
                <w:sz w:val="24"/>
                <w:szCs w:val="24"/>
              </w:rPr>
            </w:pPr>
            <w:r w:rsidRPr="00A54361">
              <w:rPr>
                <w:rFonts w:cstheme="minorHAnsi"/>
                <w:sz w:val="24"/>
                <w:szCs w:val="24"/>
              </w:rPr>
              <w:t>TOR</w:t>
            </w:r>
          </w:p>
        </w:tc>
        <w:tc>
          <w:tcPr>
            <w:tcW w:w="7065" w:type="dxa"/>
          </w:tcPr>
          <w:p w14:paraId="01E76859" w14:textId="77777777" w:rsidR="00000504" w:rsidRPr="00A54361" w:rsidRDefault="00000504" w:rsidP="00A54361">
            <w:pPr>
              <w:jc w:val="both"/>
              <w:rPr>
                <w:rFonts w:cstheme="minorHAnsi"/>
                <w:sz w:val="24"/>
                <w:szCs w:val="24"/>
              </w:rPr>
            </w:pPr>
            <w:r w:rsidRPr="00A54361">
              <w:rPr>
                <w:rFonts w:cstheme="minorHAnsi"/>
                <w:sz w:val="24"/>
                <w:szCs w:val="24"/>
              </w:rPr>
              <w:t>Top of Rack</w:t>
            </w:r>
          </w:p>
        </w:tc>
      </w:tr>
      <w:tr w:rsidR="000D3DC1" w:rsidRPr="00A54361" w14:paraId="43AB4B30" w14:textId="77777777" w:rsidTr="00F80ECC">
        <w:tc>
          <w:tcPr>
            <w:tcW w:w="1951" w:type="dxa"/>
          </w:tcPr>
          <w:p w14:paraId="3D422876" w14:textId="77777777" w:rsidR="00000504" w:rsidRPr="00A54361" w:rsidRDefault="00000504" w:rsidP="00A54361">
            <w:pPr>
              <w:jc w:val="both"/>
              <w:rPr>
                <w:rFonts w:cstheme="minorHAnsi"/>
                <w:sz w:val="24"/>
                <w:szCs w:val="24"/>
              </w:rPr>
            </w:pPr>
            <w:r w:rsidRPr="00A54361">
              <w:rPr>
                <w:rFonts w:cstheme="minorHAnsi"/>
                <w:sz w:val="24"/>
                <w:szCs w:val="24"/>
              </w:rPr>
              <w:t>UAT</w:t>
            </w:r>
          </w:p>
        </w:tc>
        <w:tc>
          <w:tcPr>
            <w:tcW w:w="7065" w:type="dxa"/>
          </w:tcPr>
          <w:p w14:paraId="2E1701C2" w14:textId="77777777" w:rsidR="00000504" w:rsidRPr="00A54361" w:rsidRDefault="00000504" w:rsidP="00A54361">
            <w:pPr>
              <w:jc w:val="both"/>
              <w:rPr>
                <w:rFonts w:cstheme="minorHAnsi"/>
                <w:sz w:val="24"/>
                <w:szCs w:val="24"/>
              </w:rPr>
            </w:pPr>
            <w:r w:rsidRPr="00A54361">
              <w:rPr>
                <w:rFonts w:cstheme="minorHAnsi"/>
                <w:sz w:val="24"/>
                <w:szCs w:val="24"/>
              </w:rPr>
              <w:t>User Acceptance Test</w:t>
            </w:r>
          </w:p>
        </w:tc>
      </w:tr>
      <w:tr w:rsidR="000D3DC1" w:rsidRPr="00A54361" w14:paraId="0603C741" w14:textId="77777777" w:rsidTr="00F80ECC">
        <w:tc>
          <w:tcPr>
            <w:tcW w:w="1951" w:type="dxa"/>
          </w:tcPr>
          <w:p w14:paraId="1D7056DE" w14:textId="77777777" w:rsidR="00000504" w:rsidRPr="00A54361" w:rsidRDefault="00000504" w:rsidP="00A54361">
            <w:pPr>
              <w:jc w:val="both"/>
              <w:rPr>
                <w:rFonts w:cstheme="minorHAnsi"/>
                <w:sz w:val="24"/>
                <w:szCs w:val="24"/>
              </w:rPr>
            </w:pPr>
            <w:r w:rsidRPr="00A54361">
              <w:rPr>
                <w:rFonts w:cstheme="minorHAnsi"/>
                <w:sz w:val="24"/>
                <w:szCs w:val="24"/>
              </w:rPr>
              <w:t>VPN</w:t>
            </w:r>
          </w:p>
        </w:tc>
        <w:tc>
          <w:tcPr>
            <w:tcW w:w="7065" w:type="dxa"/>
          </w:tcPr>
          <w:p w14:paraId="79C141BC" w14:textId="77777777" w:rsidR="00000504" w:rsidRPr="00A54361" w:rsidRDefault="00000504" w:rsidP="00A54361">
            <w:pPr>
              <w:jc w:val="both"/>
              <w:rPr>
                <w:rFonts w:cstheme="minorHAnsi"/>
                <w:sz w:val="24"/>
                <w:szCs w:val="24"/>
              </w:rPr>
            </w:pPr>
            <w:r w:rsidRPr="00A54361">
              <w:rPr>
                <w:rFonts w:cstheme="minorHAnsi"/>
                <w:sz w:val="24"/>
                <w:szCs w:val="24"/>
              </w:rPr>
              <w:t>Virtual Private Network</w:t>
            </w:r>
          </w:p>
        </w:tc>
      </w:tr>
      <w:tr w:rsidR="000D3DC1" w:rsidRPr="00A54361" w14:paraId="61617404" w14:textId="77777777" w:rsidTr="00F80ECC">
        <w:tc>
          <w:tcPr>
            <w:tcW w:w="1951" w:type="dxa"/>
          </w:tcPr>
          <w:p w14:paraId="3BF16355" w14:textId="77777777" w:rsidR="00000504" w:rsidRPr="00A54361" w:rsidRDefault="00000504" w:rsidP="00A54361">
            <w:pPr>
              <w:jc w:val="both"/>
              <w:rPr>
                <w:rFonts w:cstheme="minorHAnsi"/>
                <w:sz w:val="24"/>
                <w:szCs w:val="24"/>
              </w:rPr>
            </w:pPr>
            <w:r w:rsidRPr="00A54361">
              <w:rPr>
                <w:rFonts w:cstheme="minorHAnsi"/>
                <w:sz w:val="24"/>
                <w:szCs w:val="24"/>
              </w:rPr>
              <w:t>WAN</w:t>
            </w:r>
          </w:p>
        </w:tc>
        <w:tc>
          <w:tcPr>
            <w:tcW w:w="7065" w:type="dxa"/>
          </w:tcPr>
          <w:p w14:paraId="367C80AE" w14:textId="77777777" w:rsidR="00000504" w:rsidRPr="00A54361" w:rsidRDefault="00000504" w:rsidP="00A54361">
            <w:pPr>
              <w:jc w:val="both"/>
              <w:rPr>
                <w:rFonts w:cstheme="minorHAnsi"/>
                <w:sz w:val="24"/>
                <w:szCs w:val="24"/>
              </w:rPr>
            </w:pPr>
            <w:r w:rsidRPr="00A54361">
              <w:rPr>
                <w:rFonts w:cstheme="minorHAnsi"/>
                <w:sz w:val="24"/>
                <w:szCs w:val="24"/>
              </w:rPr>
              <w:t>Wide Area Network</w:t>
            </w:r>
          </w:p>
        </w:tc>
      </w:tr>
      <w:tr w:rsidR="000D3DC1" w:rsidRPr="00A54361" w14:paraId="2361E298" w14:textId="77777777" w:rsidTr="00F80ECC">
        <w:tc>
          <w:tcPr>
            <w:tcW w:w="1951" w:type="dxa"/>
          </w:tcPr>
          <w:p w14:paraId="48911C3A" w14:textId="339202AD" w:rsidR="00773D44" w:rsidRPr="00A54361" w:rsidRDefault="00773D44" w:rsidP="00A54361">
            <w:pPr>
              <w:jc w:val="both"/>
              <w:rPr>
                <w:rFonts w:cstheme="minorHAnsi"/>
                <w:sz w:val="24"/>
                <w:szCs w:val="24"/>
              </w:rPr>
            </w:pPr>
            <w:r w:rsidRPr="00A54361">
              <w:rPr>
                <w:rFonts w:cstheme="minorHAnsi"/>
                <w:sz w:val="24"/>
                <w:szCs w:val="24"/>
              </w:rPr>
              <w:t>WAF</w:t>
            </w:r>
          </w:p>
        </w:tc>
        <w:tc>
          <w:tcPr>
            <w:tcW w:w="7065" w:type="dxa"/>
          </w:tcPr>
          <w:p w14:paraId="01F4B21E" w14:textId="6F999709" w:rsidR="00773D44" w:rsidRPr="00A54361" w:rsidRDefault="00773D44" w:rsidP="00A54361">
            <w:pPr>
              <w:jc w:val="both"/>
              <w:rPr>
                <w:rFonts w:cstheme="minorHAnsi"/>
                <w:sz w:val="24"/>
                <w:szCs w:val="24"/>
              </w:rPr>
            </w:pPr>
            <w:r w:rsidRPr="00A54361">
              <w:rPr>
                <w:rFonts w:cstheme="minorHAnsi"/>
                <w:sz w:val="24"/>
                <w:szCs w:val="24"/>
              </w:rPr>
              <w:t>Web Application Firewall</w:t>
            </w:r>
          </w:p>
        </w:tc>
      </w:tr>
      <w:tr w:rsidR="000D3DC1" w:rsidRPr="00A54361" w14:paraId="0AB6A7DD" w14:textId="77777777" w:rsidTr="00F80ECC">
        <w:tc>
          <w:tcPr>
            <w:tcW w:w="1951" w:type="dxa"/>
          </w:tcPr>
          <w:p w14:paraId="72ACB15D" w14:textId="77777777" w:rsidR="00000504" w:rsidRPr="00A54361" w:rsidRDefault="00000504" w:rsidP="00A54361">
            <w:pPr>
              <w:jc w:val="both"/>
              <w:rPr>
                <w:rFonts w:cstheme="minorHAnsi"/>
                <w:sz w:val="24"/>
                <w:szCs w:val="24"/>
              </w:rPr>
            </w:pPr>
            <w:r w:rsidRPr="00A54361">
              <w:rPr>
                <w:rFonts w:cstheme="minorHAnsi"/>
                <w:sz w:val="24"/>
                <w:szCs w:val="24"/>
              </w:rPr>
              <w:t>ZO</w:t>
            </w:r>
          </w:p>
        </w:tc>
        <w:tc>
          <w:tcPr>
            <w:tcW w:w="7065" w:type="dxa"/>
          </w:tcPr>
          <w:p w14:paraId="661D3CE9" w14:textId="77777777" w:rsidR="00000504" w:rsidRPr="00A54361" w:rsidRDefault="00000504" w:rsidP="00A54361">
            <w:pPr>
              <w:jc w:val="both"/>
              <w:rPr>
                <w:rFonts w:cstheme="minorHAnsi"/>
                <w:sz w:val="24"/>
                <w:szCs w:val="24"/>
              </w:rPr>
            </w:pPr>
            <w:r w:rsidRPr="00A54361">
              <w:rPr>
                <w:rFonts w:cstheme="minorHAnsi"/>
                <w:sz w:val="24"/>
                <w:szCs w:val="24"/>
              </w:rPr>
              <w:t>Zonal Office</w:t>
            </w:r>
          </w:p>
        </w:tc>
      </w:tr>
    </w:tbl>
    <w:p w14:paraId="52CE0849" w14:textId="3BA59253" w:rsidR="00EC790D" w:rsidRPr="00A54361" w:rsidRDefault="00EC790D" w:rsidP="00A54361">
      <w:pPr>
        <w:jc w:val="both"/>
        <w:rPr>
          <w:rFonts w:cstheme="minorHAnsi"/>
          <w:b/>
          <w:bCs/>
        </w:rPr>
      </w:pPr>
    </w:p>
    <w:p w14:paraId="63D9F554" w14:textId="5F064E18" w:rsidR="00845DDE" w:rsidRPr="00A54361" w:rsidRDefault="00EC790D" w:rsidP="00A54361">
      <w:pPr>
        <w:jc w:val="both"/>
        <w:rPr>
          <w:rFonts w:cstheme="minorHAnsi"/>
          <w:b/>
          <w:bCs/>
        </w:rPr>
      </w:pPr>
      <w:r w:rsidRPr="00A54361">
        <w:rPr>
          <w:rFonts w:cstheme="minorHAnsi"/>
          <w:b/>
          <w:bCs/>
        </w:rPr>
        <w:br w:type="page"/>
      </w:r>
    </w:p>
    <w:p w14:paraId="30ED0A15" w14:textId="140318A3" w:rsidR="0081645B" w:rsidRPr="00A54361" w:rsidRDefault="003823E3" w:rsidP="00A54361">
      <w:pPr>
        <w:pStyle w:val="Heading1"/>
        <w:numPr>
          <w:ilvl w:val="0"/>
          <w:numId w:val="48"/>
        </w:numPr>
        <w:jc w:val="both"/>
        <w:rPr>
          <w:b/>
          <w:bCs/>
          <w:color w:val="auto"/>
        </w:rPr>
      </w:pPr>
      <w:bookmarkStart w:id="0" w:name="_Toc182233326"/>
      <w:r w:rsidRPr="00A54361">
        <w:rPr>
          <w:rFonts w:asciiTheme="minorHAnsi" w:hAnsiTheme="minorHAnsi" w:cstheme="minorHAnsi"/>
          <w:color w:val="auto"/>
        </w:rPr>
        <w:lastRenderedPageBreak/>
        <w:t>Invitation for Tender Offers</w:t>
      </w:r>
      <w:bookmarkEnd w:id="0"/>
    </w:p>
    <w:p w14:paraId="2791B9BB" w14:textId="0785B1D9" w:rsidR="00F522BB" w:rsidRPr="00A54361" w:rsidRDefault="003823E3" w:rsidP="00A54361">
      <w:pPr>
        <w:spacing w:after="120"/>
        <w:jc w:val="both"/>
        <w:rPr>
          <w:rFonts w:cstheme="minorHAnsi"/>
        </w:rPr>
      </w:pPr>
      <w:r w:rsidRPr="00A54361">
        <w:rPr>
          <w:rFonts w:cstheme="minorHAnsi"/>
        </w:rPr>
        <w:t>Central Bank of India, The Bank, a body corporate constituted under the Banking Companies (Acquisition and Transfer of Undertaking) Act 1970 having its Central Office at Chandermukhi, Nariman Point, Mumbai-400021 hereinafter called "Bank" and having 90 Reg</w:t>
      </w:r>
      <w:r w:rsidR="00CF7C82" w:rsidRPr="00A54361">
        <w:rPr>
          <w:rFonts w:cstheme="minorHAnsi"/>
        </w:rPr>
        <w:t>ional Offices (RO), 12</w:t>
      </w:r>
      <w:r w:rsidRPr="00A54361">
        <w:rPr>
          <w:rFonts w:cstheme="minorHAnsi"/>
        </w:rPr>
        <w:t xml:space="preserve"> Zonal Offices (ZO) and 4617 plus branches spread across India, intends for select a </w:t>
      </w:r>
      <w:r w:rsidR="004742D6" w:rsidRPr="00A54361">
        <w:rPr>
          <w:rFonts w:cstheme="minorHAnsi"/>
        </w:rPr>
        <w:t>bidder</w:t>
      </w:r>
      <w:r w:rsidRPr="00A54361">
        <w:rPr>
          <w:rFonts w:cstheme="minorHAnsi"/>
        </w:rPr>
        <w:t xml:space="preserve"> </w:t>
      </w:r>
      <w:r w:rsidR="00F522BB" w:rsidRPr="00A54361">
        <w:rPr>
          <w:rFonts w:cstheme="minorHAnsi"/>
        </w:rPr>
        <w:t>for</w:t>
      </w:r>
      <w:r w:rsidRPr="00A54361">
        <w:rPr>
          <w:rFonts w:cstheme="minorHAnsi"/>
        </w:rPr>
        <w:t xml:space="preserve"> </w:t>
      </w:r>
      <w:r w:rsidR="00F522BB" w:rsidRPr="00A54361">
        <w:rPr>
          <w:rFonts w:cstheme="minorHAnsi"/>
        </w:rPr>
        <w:t xml:space="preserve">Supply, Installation and Maintenance of </w:t>
      </w:r>
      <w:r w:rsidR="00C5210E" w:rsidRPr="00A54361">
        <w:rPr>
          <w:rFonts w:cstheme="minorHAnsi"/>
        </w:rPr>
        <w:t xml:space="preserve">Cyber Security Solutions </w:t>
      </w:r>
      <w:r w:rsidR="00F522BB" w:rsidRPr="00A54361">
        <w:rPr>
          <w:rFonts w:cstheme="minorHAnsi"/>
        </w:rPr>
        <w:t xml:space="preserve">at </w:t>
      </w:r>
      <w:r w:rsidR="00C5210E" w:rsidRPr="00A54361">
        <w:rPr>
          <w:rFonts w:cstheme="minorHAnsi"/>
        </w:rPr>
        <w:t xml:space="preserve">Bank’s </w:t>
      </w:r>
      <w:r w:rsidR="00F522BB" w:rsidRPr="00A54361">
        <w:rPr>
          <w:rFonts w:cstheme="minorHAnsi"/>
        </w:rPr>
        <w:t>DC, DRC</w:t>
      </w:r>
      <w:r w:rsidR="00C5210E" w:rsidRPr="00A54361">
        <w:rPr>
          <w:rFonts w:cstheme="minorHAnsi"/>
        </w:rPr>
        <w:t>, Branches and other offices</w:t>
      </w:r>
    </w:p>
    <w:p w14:paraId="3DA8A70B" w14:textId="0A1D352E" w:rsidR="00C5210E" w:rsidRPr="00A54361" w:rsidRDefault="003823E3" w:rsidP="00A54361">
      <w:pPr>
        <w:spacing w:after="120"/>
        <w:jc w:val="both"/>
        <w:rPr>
          <w:rFonts w:cstheme="minorHAnsi"/>
        </w:rPr>
      </w:pPr>
      <w:r w:rsidRPr="00A54361">
        <w:rPr>
          <w:rFonts w:cstheme="minorHAnsi"/>
        </w:rPr>
        <w:t>Bank invites online tender offers (Technical offer and Commercial offer) from eligible, reputed manufacturers and/or their authorized dealers</w:t>
      </w:r>
      <w:r w:rsidR="004C4642" w:rsidRPr="00A54361">
        <w:rPr>
          <w:rFonts w:cstheme="minorHAnsi"/>
        </w:rPr>
        <w:t xml:space="preserve"> for </w:t>
      </w:r>
      <w:r w:rsidR="00C5210E" w:rsidRPr="00A54361">
        <w:rPr>
          <w:rFonts w:cstheme="minorHAnsi"/>
        </w:rPr>
        <w:t xml:space="preserve">Supply, Installation and Maintenance of Cyber Security Solutions at Bank’s DC, DRC, Branches and other offices. </w:t>
      </w:r>
    </w:p>
    <w:p w14:paraId="5C5F400F" w14:textId="3D5A7233" w:rsidR="003823E3" w:rsidRPr="00A54361" w:rsidRDefault="003823E3" w:rsidP="00A54361">
      <w:pPr>
        <w:spacing w:after="120"/>
        <w:jc w:val="both"/>
        <w:rPr>
          <w:rFonts w:cstheme="minorHAnsi"/>
        </w:rPr>
      </w:pPr>
      <w:r w:rsidRPr="00A54361">
        <w:rPr>
          <w:rFonts w:cstheme="minorHAnsi"/>
        </w:rPr>
        <w:t>The details are given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0D3DC1" w:rsidRPr="00A54361" w14:paraId="793ECD02" w14:textId="77777777" w:rsidTr="005D16B3">
        <w:trPr>
          <w:trHeight w:val="227"/>
        </w:trPr>
        <w:tc>
          <w:tcPr>
            <w:tcW w:w="4508" w:type="dxa"/>
          </w:tcPr>
          <w:p w14:paraId="648262D7" w14:textId="1FD975A8" w:rsidR="00F25A78" w:rsidRPr="00A54361" w:rsidRDefault="00F25A78" w:rsidP="00A54361">
            <w:pPr>
              <w:jc w:val="both"/>
              <w:rPr>
                <w:rFonts w:cstheme="minorHAnsi"/>
              </w:rPr>
            </w:pPr>
            <w:r w:rsidRPr="00A54361">
              <w:rPr>
                <w:rFonts w:cstheme="minorHAnsi"/>
              </w:rPr>
              <w:t>Date of RFP Issue</w:t>
            </w:r>
          </w:p>
        </w:tc>
        <w:tc>
          <w:tcPr>
            <w:tcW w:w="4508" w:type="dxa"/>
          </w:tcPr>
          <w:p w14:paraId="7916C2DF" w14:textId="0F63C12D" w:rsidR="00F25A78" w:rsidRPr="00A54361" w:rsidRDefault="001A2300" w:rsidP="00A54361">
            <w:pPr>
              <w:jc w:val="both"/>
              <w:rPr>
                <w:rFonts w:cstheme="minorHAnsi"/>
              </w:rPr>
            </w:pPr>
            <w:r>
              <w:rPr>
                <w:rFonts w:cstheme="minorHAnsi"/>
              </w:rPr>
              <w:t>11</w:t>
            </w:r>
            <w:r w:rsidR="004222E7" w:rsidRPr="00A54361">
              <w:rPr>
                <w:rFonts w:cstheme="minorHAnsi"/>
              </w:rPr>
              <w:t>/</w:t>
            </w:r>
            <w:r w:rsidR="001064D8" w:rsidRPr="00A54361">
              <w:rPr>
                <w:rFonts w:cstheme="minorHAnsi"/>
              </w:rPr>
              <w:t>11</w:t>
            </w:r>
            <w:r w:rsidR="004222E7" w:rsidRPr="00A54361">
              <w:rPr>
                <w:rFonts w:cstheme="minorHAnsi"/>
              </w:rPr>
              <w:t>/202</w:t>
            </w:r>
            <w:r w:rsidR="00387E28" w:rsidRPr="00A54361">
              <w:rPr>
                <w:rFonts w:cstheme="minorHAnsi"/>
              </w:rPr>
              <w:t>4</w:t>
            </w:r>
          </w:p>
        </w:tc>
      </w:tr>
      <w:tr w:rsidR="000D3DC1" w:rsidRPr="00A54361" w14:paraId="2E895C21" w14:textId="77777777" w:rsidTr="005D16B3">
        <w:trPr>
          <w:trHeight w:val="227"/>
        </w:trPr>
        <w:tc>
          <w:tcPr>
            <w:tcW w:w="4508" w:type="dxa"/>
          </w:tcPr>
          <w:p w14:paraId="794BCA6C" w14:textId="559F21C7" w:rsidR="00F25A78" w:rsidRPr="00A54361" w:rsidRDefault="00E626AD" w:rsidP="00A54361">
            <w:pPr>
              <w:jc w:val="both"/>
              <w:rPr>
                <w:rFonts w:cstheme="minorHAnsi"/>
              </w:rPr>
            </w:pPr>
            <w:r w:rsidRPr="00A54361">
              <w:rPr>
                <w:rFonts w:cstheme="minorHAnsi"/>
              </w:rPr>
              <w:t>Bid Security (EMD)</w:t>
            </w:r>
          </w:p>
        </w:tc>
        <w:tc>
          <w:tcPr>
            <w:tcW w:w="4508" w:type="dxa"/>
          </w:tcPr>
          <w:p w14:paraId="6BA18572" w14:textId="2F5F099D" w:rsidR="00F25A78" w:rsidRPr="00A54361" w:rsidRDefault="006222B0" w:rsidP="00A54361">
            <w:pPr>
              <w:jc w:val="both"/>
              <w:rPr>
                <w:rFonts w:cstheme="minorHAnsi"/>
              </w:rPr>
            </w:pPr>
            <w:r w:rsidRPr="00A54361">
              <w:rPr>
                <w:rFonts w:cstheme="minorHAnsi"/>
              </w:rPr>
              <w:t>An amount of Rs.</w:t>
            </w:r>
            <w:r w:rsidR="00E31C87" w:rsidRPr="00A54361">
              <w:rPr>
                <w:rFonts w:cstheme="minorHAnsi"/>
              </w:rPr>
              <w:t>,</w:t>
            </w:r>
            <w:r w:rsidR="00DD3F35" w:rsidRPr="00A54361">
              <w:rPr>
                <w:rFonts w:cstheme="minorHAnsi"/>
              </w:rPr>
              <w:t>1,60,00,</w:t>
            </w:r>
            <w:r w:rsidR="00E31C87" w:rsidRPr="00A54361">
              <w:rPr>
                <w:rFonts w:cstheme="minorHAnsi"/>
              </w:rPr>
              <w:t>000</w:t>
            </w:r>
            <w:r w:rsidR="00497D28" w:rsidRPr="00A54361">
              <w:rPr>
                <w:rFonts w:cstheme="minorHAnsi"/>
              </w:rPr>
              <w:t>/- (</w:t>
            </w:r>
            <w:r w:rsidR="00B6250E" w:rsidRPr="00A54361">
              <w:rPr>
                <w:rFonts w:cstheme="minorHAnsi"/>
              </w:rPr>
              <w:t>Rupees</w:t>
            </w:r>
            <w:r w:rsidR="00497D28" w:rsidRPr="00A54361">
              <w:rPr>
                <w:rFonts w:cstheme="minorHAnsi"/>
              </w:rPr>
              <w:t xml:space="preserve"> </w:t>
            </w:r>
            <w:r w:rsidR="00E31C87" w:rsidRPr="00A54361">
              <w:rPr>
                <w:rFonts w:cstheme="minorHAnsi"/>
              </w:rPr>
              <w:t xml:space="preserve"> </w:t>
            </w:r>
            <w:r w:rsidR="00DD3F35" w:rsidRPr="00A54361">
              <w:rPr>
                <w:rFonts w:cstheme="minorHAnsi"/>
              </w:rPr>
              <w:t xml:space="preserve">One Crore Sixty Lacs </w:t>
            </w:r>
            <w:r w:rsidRPr="00A54361">
              <w:rPr>
                <w:rFonts w:cstheme="minorHAnsi"/>
              </w:rPr>
              <w:t xml:space="preserve">Only) </w:t>
            </w:r>
            <w:r w:rsidR="00E626AD" w:rsidRPr="00A54361">
              <w:rPr>
                <w:rFonts w:cstheme="minorHAnsi"/>
              </w:rPr>
              <w:t>in the form of Bank Guarantee issued by a scheduled bank other than Central Bank of India for the entire period of Bid validity plus 3 months or by means of banker’s cheque</w:t>
            </w:r>
            <w:r w:rsidR="00E066D6" w:rsidRPr="00A54361">
              <w:rPr>
                <w:rFonts w:cstheme="minorHAnsi"/>
              </w:rPr>
              <w:t>/</w:t>
            </w:r>
            <w:r w:rsidR="00E066D6" w:rsidRPr="00A54361">
              <w:rPr>
                <w:rFonts w:eastAsia="Calibri" w:cstheme="minorHAnsi"/>
                <w:lang w:val="en-US"/>
              </w:rPr>
              <w:t xml:space="preserve"> Account Payee Demand Draft</w:t>
            </w:r>
            <w:r w:rsidR="00E626AD" w:rsidRPr="00A54361">
              <w:rPr>
                <w:rFonts w:cstheme="minorHAnsi"/>
              </w:rPr>
              <w:t xml:space="preserve"> /RTGS/NEFT in the account no.- 3287810289 of Central Bank of India (IFSC Code – CBIN0283154) with narration </w:t>
            </w:r>
            <w:r w:rsidR="00DD3F35" w:rsidRPr="00A54361">
              <w:rPr>
                <w:rFonts w:cstheme="minorHAnsi"/>
              </w:rPr>
              <w:t xml:space="preserve">of </w:t>
            </w:r>
            <w:r w:rsidR="00E626AD" w:rsidRPr="00A54361">
              <w:rPr>
                <w:rFonts w:cstheme="minorHAnsi"/>
              </w:rPr>
              <w:t xml:space="preserve">Tender ref in </w:t>
            </w:r>
            <w:r w:rsidR="00497D28" w:rsidRPr="00A54361">
              <w:rPr>
                <w:rFonts w:cstheme="minorHAnsi"/>
              </w:rPr>
              <w:t>favour</w:t>
            </w:r>
            <w:r w:rsidR="00E626AD" w:rsidRPr="00A54361">
              <w:rPr>
                <w:rFonts w:cstheme="minorHAnsi"/>
              </w:rPr>
              <w:t xml:space="preserve"> of “Central Bank Of India” and payable at Mumbai/Navi Mumbai.</w:t>
            </w:r>
          </w:p>
        </w:tc>
      </w:tr>
      <w:tr w:rsidR="000D3DC1" w:rsidRPr="00A54361" w14:paraId="33CC3A31" w14:textId="77777777" w:rsidTr="005D16B3">
        <w:trPr>
          <w:trHeight w:val="227"/>
        </w:trPr>
        <w:tc>
          <w:tcPr>
            <w:tcW w:w="4508" w:type="dxa"/>
          </w:tcPr>
          <w:p w14:paraId="66A01F40" w14:textId="47CDCCF4" w:rsidR="00F25A78" w:rsidRPr="00A54361" w:rsidRDefault="00E626AD" w:rsidP="00A54361">
            <w:pPr>
              <w:jc w:val="both"/>
              <w:rPr>
                <w:rFonts w:cstheme="minorHAnsi"/>
              </w:rPr>
            </w:pPr>
            <w:r w:rsidRPr="00A54361">
              <w:rPr>
                <w:rFonts w:cstheme="minorHAnsi"/>
              </w:rPr>
              <w:t>e-mail IDs for sending queries and Last Date for submission of queries</w:t>
            </w:r>
          </w:p>
        </w:tc>
        <w:tc>
          <w:tcPr>
            <w:tcW w:w="4508" w:type="dxa"/>
          </w:tcPr>
          <w:p w14:paraId="27DBBC1C" w14:textId="1C25E6D5" w:rsidR="001C4B91" w:rsidRPr="00A54361" w:rsidRDefault="00DD3F35" w:rsidP="00A54361">
            <w:pPr>
              <w:jc w:val="both"/>
              <w:rPr>
                <w:rFonts w:cstheme="minorHAnsi"/>
              </w:rPr>
            </w:pPr>
            <w:r w:rsidRPr="00A54361">
              <w:rPr>
                <w:rFonts w:cstheme="minorHAnsi"/>
              </w:rPr>
              <w:t>smit2infosec</w:t>
            </w:r>
            <w:r w:rsidR="00EC5CB5" w:rsidRPr="00A54361">
              <w:rPr>
                <w:rFonts w:cstheme="minorHAnsi"/>
              </w:rPr>
              <w:t xml:space="preserve">@centralbank.co.in, </w:t>
            </w:r>
            <w:r w:rsidRPr="00A54361">
              <w:rPr>
                <w:rFonts w:cstheme="minorHAnsi"/>
              </w:rPr>
              <w:t>cminfosec</w:t>
            </w:r>
            <w:r w:rsidR="005B1741" w:rsidRPr="00A54361">
              <w:rPr>
                <w:rFonts w:cstheme="minorHAnsi"/>
              </w:rPr>
              <w:t xml:space="preserve">@centralbank.co.in, </w:t>
            </w:r>
            <w:r w:rsidRPr="00A54361">
              <w:rPr>
                <w:rFonts w:cstheme="minorHAnsi"/>
              </w:rPr>
              <w:t>smitpurchase</w:t>
            </w:r>
            <w:r w:rsidR="00E626AD" w:rsidRPr="00A54361">
              <w:rPr>
                <w:rFonts w:cstheme="minorHAnsi"/>
              </w:rPr>
              <w:t xml:space="preserve">@centralbank.co.in, latest by </w:t>
            </w:r>
            <w:r w:rsidR="001B4203">
              <w:rPr>
                <w:rFonts w:cstheme="minorHAnsi"/>
              </w:rPr>
              <w:t>2</w:t>
            </w:r>
            <w:r w:rsidR="00903453">
              <w:rPr>
                <w:rFonts w:cstheme="minorHAnsi"/>
              </w:rPr>
              <w:t>0</w:t>
            </w:r>
            <w:r w:rsidR="004222E7" w:rsidRPr="00A54361">
              <w:rPr>
                <w:rFonts w:cstheme="minorHAnsi"/>
              </w:rPr>
              <w:t>/</w:t>
            </w:r>
            <w:r w:rsidRPr="00A54361">
              <w:rPr>
                <w:rFonts w:cstheme="minorHAnsi"/>
              </w:rPr>
              <w:t>11</w:t>
            </w:r>
            <w:r w:rsidR="004222E7" w:rsidRPr="00A54361">
              <w:rPr>
                <w:rFonts w:cstheme="minorHAnsi"/>
              </w:rPr>
              <w:t>/</w:t>
            </w:r>
            <w:r w:rsidR="00B63902" w:rsidRPr="00A54361">
              <w:rPr>
                <w:rFonts w:cstheme="minorHAnsi"/>
              </w:rPr>
              <w:t>202</w:t>
            </w:r>
            <w:r w:rsidR="004A2C14" w:rsidRPr="00A54361">
              <w:rPr>
                <w:rFonts w:cstheme="minorHAnsi"/>
              </w:rPr>
              <w:t>4</w:t>
            </w:r>
            <w:r w:rsidR="00E626AD" w:rsidRPr="00A54361">
              <w:rPr>
                <w:rFonts w:cstheme="minorHAnsi"/>
              </w:rPr>
              <w:t xml:space="preserve"> up to 1</w:t>
            </w:r>
            <w:r w:rsidR="004222E7" w:rsidRPr="00A54361">
              <w:rPr>
                <w:rFonts w:cstheme="minorHAnsi"/>
              </w:rPr>
              <w:t>6</w:t>
            </w:r>
            <w:r w:rsidR="00E626AD" w:rsidRPr="00A54361">
              <w:rPr>
                <w:rFonts w:cstheme="minorHAnsi"/>
              </w:rPr>
              <w:t>:00 hrs.</w:t>
            </w:r>
          </w:p>
        </w:tc>
      </w:tr>
      <w:tr w:rsidR="000D3DC1" w:rsidRPr="00A54361" w14:paraId="0BC19AF6" w14:textId="77777777" w:rsidTr="005D16B3">
        <w:trPr>
          <w:trHeight w:val="227"/>
        </w:trPr>
        <w:tc>
          <w:tcPr>
            <w:tcW w:w="4508" w:type="dxa"/>
          </w:tcPr>
          <w:p w14:paraId="3CE1303C" w14:textId="20458F6E" w:rsidR="00F25A78" w:rsidRPr="00A54361" w:rsidRDefault="00E626AD" w:rsidP="00A54361">
            <w:pPr>
              <w:jc w:val="both"/>
              <w:rPr>
                <w:rFonts w:cstheme="minorHAnsi"/>
              </w:rPr>
            </w:pPr>
            <w:r w:rsidRPr="00A54361">
              <w:rPr>
                <w:rFonts w:cstheme="minorHAnsi"/>
              </w:rPr>
              <w:t>Da</w:t>
            </w:r>
            <w:r w:rsidR="001A2300">
              <w:rPr>
                <w:rFonts w:cstheme="minorHAnsi"/>
              </w:rPr>
              <w:t xml:space="preserve">te and time for Pre-Bid Meeting </w:t>
            </w:r>
          </w:p>
        </w:tc>
        <w:tc>
          <w:tcPr>
            <w:tcW w:w="4508" w:type="dxa"/>
          </w:tcPr>
          <w:p w14:paraId="26043DBF" w14:textId="360888B5" w:rsidR="00F25A78" w:rsidRPr="00A54361" w:rsidRDefault="001B4203" w:rsidP="00A54361">
            <w:pPr>
              <w:jc w:val="both"/>
              <w:rPr>
                <w:rFonts w:cstheme="minorHAnsi"/>
              </w:rPr>
            </w:pPr>
            <w:r>
              <w:rPr>
                <w:rFonts w:cstheme="minorHAnsi"/>
              </w:rPr>
              <w:t>22</w:t>
            </w:r>
            <w:r w:rsidR="000278D9" w:rsidRPr="00A54361">
              <w:rPr>
                <w:rFonts w:cstheme="minorHAnsi"/>
              </w:rPr>
              <w:t>/</w:t>
            </w:r>
            <w:r w:rsidR="00DD3F35" w:rsidRPr="00A54361">
              <w:rPr>
                <w:rFonts w:cstheme="minorHAnsi"/>
              </w:rPr>
              <w:t>11</w:t>
            </w:r>
            <w:r w:rsidR="000278D9" w:rsidRPr="00A54361">
              <w:rPr>
                <w:rFonts w:cstheme="minorHAnsi"/>
              </w:rPr>
              <w:t>/202</w:t>
            </w:r>
            <w:r w:rsidR="004A2C14" w:rsidRPr="00A54361">
              <w:rPr>
                <w:rFonts w:cstheme="minorHAnsi"/>
              </w:rPr>
              <w:t>4</w:t>
            </w:r>
            <w:r w:rsidR="00E626AD" w:rsidRPr="00A54361">
              <w:rPr>
                <w:rFonts w:cstheme="minorHAnsi"/>
              </w:rPr>
              <w:t xml:space="preserve"> at</w:t>
            </w:r>
            <w:r w:rsidR="004222E7" w:rsidRPr="00A54361">
              <w:rPr>
                <w:rFonts w:cstheme="minorHAnsi"/>
              </w:rPr>
              <w:t xml:space="preserve"> </w:t>
            </w:r>
            <w:r w:rsidR="00667103" w:rsidRPr="00A54361">
              <w:rPr>
                <w:rFonts w:cstheme="minorHAnsi"/>
              </w:rPr>
              <w:t>1</w:t>
            </w:r>
            <w:r w:rsidR="004222E7" w:rsidRPr="00A54361">
              <w:rPr>
                <w:rFonts w:cstheme="minorHAnsi"/>
              </w:rPr>
              <w:t>5</w:t>
            </w:r>
            <w:r w:rsidR="00E626AD" w:rsidRPr="00A54361">
              <w:rPr>
                <w:rFonts w:cstheme="minorHAnsi"/>
              </w:rPr>
              <w:t>:</w:t>
            </w:r>
            <w:r w:rsidR="004222E7" w:rsidRPr="00A54361">
              <w:rPr>
                <w:rFonts w:cstheme="minorHAnsi"/>
              </w:rPr>
              <w:t>0</w:t>
            </w:r>
            <w:r w:rsidR="00E626AD" w:rsidRPr="00A54361">
              <w:rPr>
                <w:rFonts w:cstheme="minorHAnsi"/>
              </w:rPr>
              <w:t xml:space="preserve">0hrs. </w:t>
            </w:r>
            <w:r w:rsidR="000F0E96">
              <w:rPr>
                <w:rFonts w:cstheme="minorHAnsi"/>
              </w:rPr>
              <w:t>(At Bank’s CBD Belapur Address)</w:t>
            </w:r>
          </w:p>
        </w:tc>
      </w:tr>
      <w:tr w:rsidR="000D3DC1" w:rsidRPr="00A54361" w14:paraId="05965312" w14:textId="77777777" w:rsidTr="005D16B3">
        <w:trPr>
          <w:trHeight w:val="227"/>
        </w:trPr>
        <w:tc>
          <w:tcPr>
            <w:tcW w:w="4508" w:type="dxa"/>
          </w:tcPr>
          <w:p w14:paraId="1D62894A" w14:textId="2C3BBD46" w:rsidR="00F25A78" w:rsidRPr="00A54361" w:rsidRDefault="00E626AD" w:rsidP="00A54361">
            <w:pPr>
              <w:jc w:val="both"/>
              <w:rPr>
                <w:rFonts w:cstheme="minorHAnsi"/>
              </w:rPr>
            </w:pPr>
            <w:r w:rsidRPr="00A54361">
              <w:rPr>
                <w:rFonts w:cstheme="minorHAnsi"/>
              </w:rPr>
              <w:t xml:space="preserve">Last Date and Time submission of Bids Mode of bid submission </w:t>
            </w:r>
          </w:p>
        </w:tc>
        <w:tc>
          <w:tcPr>
            <w:tcW w:w="4508" w:type="dxa"/>
          </w:tcPr>
          <w:p w14:paraId="68399F04" w14:textId="3BA8A913" w:rsidR="00F25A78" w:rsidRPr="00A54361" w:rsidRDefault="00903453" w:rsidP="00A54361">
            <w:pPr>
              <w:jc w:val="both"/>
              <w:rPr>
                <w:rFonts w:cstheme="minorHAnsi"/>
              </w:rPr>
            </w:pPr>
            <w:r>
              <w:rPr>
                <w:rFonts w:cstheme="minorHAnsi"/>
              </w:rPr>
              <w:t>26</w:t>
            </w:r>
            <w:r w:rsidR="00B1012B" w:rsidRPr="00A54361">
              <w:rPr>
                <w:rFonts w:cstheme="minorHAnsi"/>
              </w:rPr>
              <w:t>/</w:t>
            </w:r>
            <w:r w:rsidR="00DD3F35" w:rsidRPr="00A54361">
              <w:rPr>
                <w:rFonts w:cstheme="minorHAnsi"/>
              </w:rPr>
              <w:t>12</w:t>
            </w:r>
            <w:r w:rsidR="00B1012B" w:rsidRPr="00A54361">
              <w:rPr>
                <w:rFonts w:cstheme="minorHAnsi"/>
              </w:rPr>
              <w:t>/2024</w:t>
            </w:r>
            <w:r w:rsidR="00E626AD" w:rsidRPr="00A54361">
              <w:rPr>
                <w:rFonts w:cstheme="minorHAnsi"/>
              </w:rPr>
              <w:t xml:space="preserve"> up to 15:00 hrs. </w:t>
            </w:r>
          </w:p>
        </w:tc>
      </w:tr>
      <w:tr w:rsidR="000D3DC1" w:rsidRPr="00A54361" w14:paraId="02D03102" w14:textId="77777777" w:rsidTr="005D16B3">
        <w:trPr>
          <w:trHeight w:val="227"/>
        </w:trPr>
        <w:tc>
          <w:tcPr>
            <w:tcW w:w="4508" w:type="dxa"/>
          </w:tcPr>
          <w:p w14:paraId="72FD7B41" w14:textId="3BEC4AC6" w:rsidR="00F25A78" w:rsidRPr="00A54361" w:rsidRDefault="00E626AD" w:rsidP="00A54361">
            <w:pPr>
              <w:jc w:val="both"/>
              <w:rPr>
                <w:rFonts w:cstheme="minorHAnsi"/>
              </w:rPr>
            </w:pPr>
            <w:r w:rsidRPr="00A54361">
              <w:rPr>
                <w:rFonts w:cstheme="minorHAnsi"/>
              </w:rPr>
              <w:t>Time &amp; Date of Opening of technical bids</w:t>
            </w:r>
          </w:p>
        </w:tc>
        <w:tc>
          <w:tcPr>
            <w:tcW w:w="4508" w:type="dxa"/>
          </w:tcPr>
          <w:p w14:paraId="016E62C8" w14:textId="4FA1D62E" w:rsidR="00F25A78" w:rsidRPr="00A54361" w:rsidRDefault="00903453" w:rsidP="00A54361">
            <w:pPr>
              <w:jc w:val="both"/>
              <w:rPr>
                <w:rFonts w:cstheme="minorHAnsi"/>
              </w:rPr>
            </w:pPr>
            <w:r>
              <w:rPr>
                <w:rFonts w:cstheme="minorHAnsi"/>
              </w:rPr>
              <w:t>26</w:t>
            </w:r>
            <w:r w:rsidR="00B1012B" w:rsidRPr="00A54361">
              <w:rPr>
                <w:rFonts w:cstheme="minorHAnsi"/>
              </w:rPr>
              <w:t>/</w:t>
            </w:r>
            <w:r w:rsidR="00DD3F35" w:rsidRPr="00A54361">
              <w:rPr>
                <w:rFonts w:cstheme="minorHAnsi"/>
              </w:rPr>
              <w:t>12</w:t>
            </w:r>
            <w:r w:rsidR="00B1012B" w:rsidRPr="00A54361">
              <w:rPr>
                <w:rFonts w:cstheme="minorHAnsi"/>
              </w:rPr>
              <w:t>/2024</w:t>
            </w:r>
            <w:r w:rsidR="000278D9" w:rsidRPr="00A54361">
              <w:rPr>
                <w:rFonts w:cstheme="minorHAnsi"/>
              </w:rPr>
              <w:t xml:space="preserve"> </w:t>
            </w:r>
            <w:r w:rsidR="00E626AD" w:rsidRPr="00A54361">
              <w:rPr>
                <w:rFonts w:cstheme="minorHAnsi"/>
              </w:rPr>
              <w:t xml:space="preserve"> at 15:30 hrs.</w:t>
            </w:r>
          </w:p>
        </w:tc>
      </w:tr>
      <w:tr w:rsidR="000D3DC1" w:rsidRPr="00A54361" w14:paraId="14F5458A" w14:textId="77777777" w:rsidTr="005D16B3">
        <w:trPr>
          <w:trHeight w:val="227"/>
        </w:trPr>
        <w:tc>
          <w:tcPr>
            <w:tcW w:w="4508" w:type="dxa"/>
          </w:tcPr>
          <w:p w14:paraId="30CD7357" w14:textId="3975F934" w:rsidR="0078347D" w:rsidRPr="00A54361" w:rsidRDefault="0078347D" w:rsidP="00A54361">
            <w:pPr>
              <w:jc w:val="both"/>
              <w:rPr>
                <w:rFonts w:cstheme="minorHAnsi"/>
              </w:rPr>
            </w:pPr>
            <w:r w:rsidRPr="00A54361">
              <w:rPr>
                <w:rFonts w:cstheme="minorHAnsi"/>
              </w:rPr>
              <w:t>Mode of Submission</w:t>
            </w:r>
          </w:p>
        </w:tc>
        <w:tc>
          <w:tcPr>
            <w:tcW w:w="4508" w:type="dxa"/>
          </w:tcPr>
          <w:p w14:paraId="54CE99F6" w14:textId="3B8C68CE" w:rsidR="0078347D" w:rsidRPr="00A54361" w:rsidRDefault="005D6E56" w:rsidP="00A54361">
            <w:pPr>
              <w:jc w:val="both"/>
              <w:rPr>
                <w:rFonts w:cstheme="minorHAnsi"/>
              </w:rPr>
            </w:pPr>
            <w:r>
              <w:rPr>
                <w:rFonts w:asciiTheme="majorHAnsi" w:hAnsiTheme="majorHAnsi"/>
                <w:sz w:val="24"/>
                <w:szCs w:val="24"/>
                <w:lang w:eastAsia="en-IN" w:bidi="hi-IN"/>
              </w:rPr>
              <w:t>Government E</w:t>
            </w:r>
            <w:r w:rsidR="0078347D" w:rsidRPr="00A54361">
              <w:rPr>
                <w:rFonts w:asciiTheme="majorHAnsi" w:hAnsiTheme="majorHAnsi"/>
                <w:sz w:val="24"/>
                <w:szCs w:val="24"/>
                <w:lang w:eastAsia="en-IN" w:bidi="hi-IN"/>
              </w:rPr>
              <w:t xml:space="preserve"> Marketplace (GeM)</w:t>
            </w:r>
          </w:p>
        </w:tc>
      </w:tr>
      <w:tr w:rsidR="000D3DC1" w:rsidRPr="00A54361" w14:paraId="47946662" w14:textId="77777777" w:rsidTr="005D16B3">
        <w:trPr>
          <w:trHeight w:val="227"/>
        </w:trPr>
        <w:tc>
          <w:tcPr>
            <w:tcW w:w="4508" w:type="dxa"/>
          </w:tcPr>
          <w:p w14:paraId="011EFFDC" w14:textId="2B9D87FD" w:rsidR="00E626AD" w:rsidRPr="00A54361" w:rsidRDefault="00E626AD" w:rsidP="00A54361">
            <w:pPr>
              <w:jc w:val="both"/>
              <w:rPr>
                <w:rFonts w:cstheme="minorHAnsi"/>
              </w:rPr>
            </w:pPr>
            <w:r w:rsidRPr="00A54361">
              <w:rPr>
                <w:rFonts w:cstheme="minorHAnsi"/>
              </w:rPr>
              <w:t>Response Types</w:t>
            </w:r>
          </w:p>
        </w:tc>
        <w:tc>
          <w:tcPr>
            <w:tcW w:w="4508" w:type="dxa"/>
          </w:tcPr>
          <w:p w14:paraId="0423A7DD" w14:textId="53F5B6EC" w:rsidR="00E626AD" w:rsidRPr="00A54361" w:rsidRDefault="00E626AD" w:rsidP="00A54361">
            <w:pPr>
              <w:jc w:val="both"/>
              <w:rPr>
                <w:rFonts w:cstheme="minorHAnsi"/>
              </w:rPr>
            </w:pPr>
            <w:r w:rsidRPr="00A54361">
              <w:rPr>
                <w:rFonts w:cstheme="minorHAnsi"/>
              </w:rPr>
              <w:t>1.</w:t>
            </w:r>
            <w:r w:rsidR="006908EE" w:rsidRPr="00A54361">
              <w:rPr>
                <w:rFonts w:cstheme="minorHAnsi"/>
              </w:rPr>
              <w:t xml:space="preserve">Techinical Bid plus </w:t>
            </w:r>
            <w:r w:rsidRPr="00A54361">
              <w:rPr>
                <w:rFonts w:cstheme="minorHAnsi"/>
              </w:rPr>
              <w:t xml:space="preserve">Bid Security/EMD </w:t>
            </w:r>
          </w:p>
          <w:p w14:paraId="1D4A5465" w14:textId="0A5D11BD" w:rsidR="00E626AD" w:rsidRPr="00A54361" w:rsidRDefault="00E626AD" w:rsidP="00A54361">
            <w:pPr>
              <w:jc w:val="both"/>
              <w:rPr>
                <w:rFonts w:cstheme="minorHAnsi"/>
              </w:rPr>
            </w:pPr>
            <w:r w:rsidRPr="00A54361">
              <w:rPr>
                <w:rFonts w:cstheme="minorHAnsi"/>
              </w:rPr>
              <w:t>2.Commercial Bid</w:t>
            </w:r>
          </w:p>
        </w:tc>
      </w:tr>
      <w:tr w:rsidR="000D3DC1" w:rsidRPr="00A54361" w14:paraId="1C58E7CF" w14:textId="77777777" w:rsidTr="005D16B3">
        <w:trPr>
          <w:trHeight w:val="227"/>
        </w:trPr>
        <w:tc>
          <w:tcPr>
            <w:tcW w:w="4508" w:type="dxa"/>
          </w:tcPr>
          <w:p w14:paraId="30C695A5" w14:textId="7CD7639C" w:rsidR="00E626AD" w:rsidRPr="00A54361" w:rsidRDefault="00E626AD" w:rsidP="00A54361">
            <w:pPr>
              <w:jc w:val="both"/>
              <w:rPr>
                <w:rFonts w:cstheme="minorHAnsi"/>
              </w:rPr>
            </w:pPr>
            <w:r w:rsidRPr="00A54361">
              <w:rPr>
                <w:rFonts w:cstheme="minorHAnsi"/>
              </w:rPr>
              <w:t>Address for Communication</w:t>
            </w:r>
          </w:p>
        </w:tc>
        <w:tc>
          <w:tcPr>
            <w:tcW w:w="4508" w:type="dxa"/>
          </w:tcPr>
          <w:p w14:paraId="4DD37A18" w14:textId="1775C0C1" w:rsidR="00E626AD" w:rsidRPr="00A54361" w:rsidRDefault="00E626AD" w:rsidP="00A54361">
            <w:pPr>
              <w:jc w:val="both"/>
              <w:rPr>
                <w:rFonts w:cstheme="minorHAnsi"/>
              </w:rPr>
            </w:pPr>
            <w:r w:rsidRPr="00A54361">
              <w:rPr>
                <w:rFonts w:cstheme="minorHAnsi"/>
              </w:rPr>
              <w:t xml:space="preserve">General Manager-IT </w:t>
            </w:r>
          </w:p>
          <w:p w14:paraId="26BF2A1C" w14:textId="77777777" w:rsidR="00E626AD" w:rsidRPr="00A54361" w:rsidRDefault="00E626AD" w:rsidP="00A54361">
            <w:pPr>
              <w:jc w:val="both"/>
              <w:rPr>
                <w:rFonts w:cstheme="minorHAnsi"/>
              </w:rPr>
            </w:pPr>
            <w:r w:rsidRPr="00A54361">
              <w:rPr>
                <w:rFonts w:cstheme="minorHAnsi"/>
              </w:rPr>
              <w:t xml:space="preserve">Central Bank Of India </w:t>
            </w:r>
          </w:p>
          <w:p w14:paraId="59495B7B" w14:textId="77777777" w:rsidR="00E626AD" w:rsidRPr="00A54361" w:rsidRDefault="00E626AD" w:rsidP="00A54361">
            <w:pPr>
              <w:jc w:val="both"/>
              <w:rPr>
                <w:rFonts w:cstheme="minorHAnsi"/>
              </w:rPr>
            </w:pPr>
            <w:r w:rsidRPr="00A54361">
              <w:rPr>
                <w:rFonts w:cstheme="minorHAnsi"/>
              </w:rPr>
              <w:t xml:space="preserve">Department Of IT ( DIT), </w:t>
            </w:r>
          </w:p>
          <w:p w14:paraId="07038D24" w14:textId="77777777" w:rsidR="002D02A2" w:rsidRPr="00A54361" w:rsidRDefault="00E626AD" w:rsidP="00A54361">
            <w:pPr>
              <w:jc w:val="both"/>
              <w:rPr>
                <w:rFonts w:cstheme="minorHAnsi"/>
              </w:rPr>
            </w:pPr>
            <w:r w:rsidRPr="00A54361">
              <w:rPr>
                <w:rFonts w:cstheme="minorHAnsi"/>
              </w:rPr>
              <w:lastRenderedPageBreak/>
              <w:t xml:space="preserve">Plot no-26, Sector-11, </w:t>
            </w:r>
          </w:p>
          <w:p w14:paraId="5E6D4FE6" w14:textId="76946A52" w:rsidR="00E626AD" w:rsidRPr="00A54361" w:rsidRDefault="00E626AD" w:rsidP="00A54361">
            <w:pPr>
              <w:jc w:val="both"/>
              <w:rPr>
                <w:rFonts w:cstheme="minorHAnsi"/>
              </w:rPr>
            </w:pPr>
            <w:r w:rsidRPr="00A54361">
              <w:rPr>
                <w:rFonts w:cstheme="minorHAnsi"/>
              </w:rPr>
              <w:t xml:space="preserve">CBD Belapur, Navi Mumbai- 400614 </w:t>
            </w:r>
          </w:p>
          <w:p w14:paraId="2011E1F5" w14:textId="20E3315C" w:rsidR="00E626AD" w:rsidRPr="00A54361" w:rsidRDefault="00E626AD" w:rsidP="00A54361">
            <w:pPr>
              <w:jc w:val="both"/>
              <w:rPr>
                <w:rStyle w:val="Hyperlink"/>
                <w:rFonts w:cstheme="minorHAnsi"/>
                <w:color w:val="auto"/>
              </w:rPr>
            </w:pPr>
            <w:r w:rsidRPr="00A54361">
              <w:rPr>
                <w:rFonts w:cstheme="minorHAnsi"/>
              </w:rPr>
              <w:t>Mail address: smitpurchase@centralbank.co.in</w:t>
            </w:r>
          </w:p>
          <w:p w14:paraId="1B7068BC" w14:textId="40E6FC67" w:rsidR="00DB5B03" w:rsidRPr="00A54361" w:rsidRDefault="00DB5B03" w:rsidP="00A54361">
            <w:pPr>
              <w:jc w:val="both"/>
              <w:rPr>
                <w:rStyle w:val="Hyperlink"/>
                <w:rFonts w:cstheme="minorHAnsi"/>
                <w:color w:val="auto"/>
                <w:u w:val="none"/>
              </w:rPr>
            </w:pPr>
            <w:r w:rsidRPr="00A54361">
              <w:rPr>
                <w:rStyle w:val="Hyperlink"/>
                <w:rFonts w:cstheme="minorHAnsi"/>
                <w:color w:val="auto"/>
                <w:u w:val="none"/>
              </w:rPr>
              <w:t xml:space="preserve">                        </w:t>
            </w:r>
            <w:r w:rsidR="00DD3F35" w:rsidRPr="00A54361">
              <w:t>smit2infosec</w:t>
            </w:r>
            <w:r w:rsidR="002D02A2" w:rsidRPr="00A54361">
              <w:rPr>
                <w:rFonts w:cstheme="minorHAnsi"/>
              </w:rPr>
              <w:t>@centralbank.co.in</w:t>
            </w:r>
          </w:p>
          <w:p w14:paraId="4D67A605" w14:textId="786DD242" w:rsidR="002D02A2" w:rsidRPr="00A54361" w:rsidRDefault="002D02A2" w:rsidP="00A54361">
            <w:pPr>
              <w:jc w:val="both"/>
              <w:rPr>
                <w:rFonts w:cstheme="minorHAnsi"/>
              </w:rPr>
            </w:pPr>
            <w:r w:rsidRPr="00A54361">
              <w:rPr>
                <w:rStyle w:val="Hyperlink"/>
                <w:rFonts w:cstheme="minorHAnsi"/>
                <w:color w:val="auto"/>
                <w:u w:val="none"/>
              </w:rPr>
              <w:t xml:space="preserve">                          </w:t>
            </w:r>
            <w:hyperlink r:id="rId12" w:history="1">
              <w:r w:rsidR="00DD3F35" w:rsidRPr="00A54361">
                <w:rPr>
                  <w:rStyle w:val="Hyperlink"/>
                  <w:rFonts w:cstheme="minorHAnsi"/>
                </w:rPr>
                <w:t>cminfosec@centralbank.co.in</w:t>
              </w:r>
            </w:hyperlink>
          </w:p>
        </w:tc>
      </w:tr>
      <w:tr w:rsidR="000D3DC1" w:rsidRPr="00A54361" w14:paraId="12C6515A" w14:textId="77777777" w:rsidTr="005D16B3">
        <w:trPr>
          <w:trHeight w:val="227"/>
        </w:trPr>
        <w:tc>
          <w:tcPr>
            <w:tcW w:w="4508" w:type="dxa"/>
          </w:tcPr>
          <w:p w14:paraId="2EF5A24A" w14:textId="3F7DDBA8" w:rsidR="00E626AD" w:rsidRPr="00A54361" w:rsidRDefault="00E626AD" w:rsidP="00A54361">
            <w:pPr>
              <w:jc w:val="both"/>
              <w:rPr>
                <w:rFonts w:cstheme="minorHAnsi"/>
              </w:rPr>
            </w:pPr>
            <w:r w:rsidRPr="00A54361">
              <w:rPr>
                <w:rFonts w:cstheme="minorHAnsi"/>
              </w:rPr>
              <w:lastRenderedPageBreak/>
              <w:t>Contact Telephone Numbers</w:t>
            </w:r>
          </w:p>
        </w:tc>
        <w:tc>
          <w:tcPr>
            <w:tcW w:w="4508" w:type="dxa"/>
          </w:tcPr>
          <w:p w14:paraId="205FB598" w14:textId="049D9569" w:rsidR="00E626AD" w:rsidRPr="00A54361" w:rsidRDefault="00DD3F35" w:rsidP="00A54361">
            <w:pPr>
              <w:jc w:val="both"/>
              <w:rPr>
                <w:rFonts w:cstheme="minorHAnsi"/>
              </w:rPr>
            </w:pPr>
            <w:r w:rsidRPr="00A54361">
              <w:rPr>
                <w:rFonts w:cstheme="minorHAnsi"/>
              </w:rPr>
              <w:t xml:space="preserve">022-67123583, </w:t>
            </w:r>
            <w:r w:rsidR="00E626AD" w:rsidRPr="00A54361">
              <w:rPr>
                <w:rFonts w:cstheme="minorHAnsi"/>
              </w:rPr>
              <w:t xml:space="preserve">022- </w:t>
            </w:r>
            <w:r w:rsidR="00064187" w:rsidRPr="00A54361">
              <w:rPr>
                <w:rFonts w:cstheme="minorHAnsi"/>
              </w:rPr>
              <w:t>67123669</w:t>
            </w:r>
          </w:p>
        </w:tc>
      </w:tr>
    </w:tbl>
    <w:p w14:paraId="64FA41CF" w14:textId="77777777" w:rsidR="00C5210E" w:rsidRPr="00A54361" w:rsidRDefault="00C5210E" w:rsidP="00A54361">
      <w:pPr>
        <w:spacing w:before="120" w:after="120"/>
        <w:jc w:val="both"/>
        <w:rPr>
          <w:rFonts w:cstheme="minorHAnsi"/>
        </w:rPr>
      </w:pPr>
    </w:p>
    <w:p w14:paraId="0F2BED1B" w14:textId="126BF003" w:rsidR="00F25A78" w:rsidRPr="00A54361" w:rsidRDefault="00F25A78" w:rsidP="00A54361">
      <w:pPr>
        <w:spacing w:after="120"/>
        <w:jc w:val="both"/>
        <w:rPr>
          <w:rFonts w:cstheme="minorHAnsi"/>
        </w:rPr>
      </w:pPr>
      <w:r w:rsidRPr="00A54361">
        <w:rPr>
          <w:rFonts w:cstheme="minorHAnsi"/>
        </w:rPr>
        <w:t>For any clarification with respect to this RFP, the bidder may send their queries/suggestions, valuable inputs and proof of remittance of document cost or exemption certificate of MS</w:t>
      </w:r>
      <w:r w:rsidR="00AE7E83" w:rsidRPr="00A54361">
        <w:rPr>
          <w:rFonts w:cstheme="minorHAnsi"/>
        </w:rPr>
        <w:t>E</w:t>
      </w:r>
      <w:r w:rsidRPr="00A54361">
        <w:rPr>
          <w:rFonts w:cstheme="minorHAnsi"/>
        </w:rPr>
        <w:t xml:space="preserve"> by email to the Bank. It may be noted that all queries, clarifications, questions etc., relating to this RFP, technical or otherwise, must be in writing only and should be sent to designated email ID within stipulated time as </w:t>
      </w:r>
      <w:r w:rsidR="00D1376B" w:rsidRPr="00A54361">
        <w:rPr>
          <w:rFonts w:cstheme="minorHAnsi"/>
        </w:rPr>
        <w:t>per Annexure 20.</w:t>
      </w:r>
      <w:r w:rsidR="007711E3">
        <w:rPr>
          <w:rFonts w:cstheme="minorHAnsi"/>
        </w:rPr>
        <w:t xml:space="preserve">  </w:t>
      </w:r>
      <w:r w:rsidR="007711E3" w:rsidRPr="00905B9B">
        <w:rPr>
          <w:rFonts w:ascii="Cambria" w:eastAsia="Times New Roman" w:hAnsi="Cambria" w:cstheme="minorHAnsi"/>
          <w:lang w:eastAsia="ar-SA"/>
        </w:rPr>
        <w:t xml:space="preserve">The Service Level Agreement with the successful bidder will be part and parcel of the RFP document. Therefore please note and ensure that all such queries are to be raised before bidding. Any query/ request for review of any clause of RFP/ SLA after the completion of bidding process shall not be entertained. </w:t>
      </w:r>
    </w:p>
    <w:p w14:paraId="4CFF0C8B" w14:textId="4A120685" w:rsidR="00F25A78" w:rsidRPr="00A54361" w:rsidRDefault="00F25A78" w:rsidP="00A54361">
      <w:pPr>
        <w:spacing w:after="120"/>
        <w:jc w:val="both"/>
        <w:rPr>
          <w:rFonts w:cstheme="minorHAnsi"/>
        </w:rPr>
      </w:pPr>
      <w:r w:rsidRPr="00A54361">
        <w:rPr>
          <w:rFonts w:cstheme="minorHAnsi"/>
        </w:rPr>
        <w:t xml:space="preserve">In accordance with Government of India guidelines, Micro and Small Enterprises are eligible to get tender documents free of cost and also exempted from payment of earnest money deposit upon submission of valid MSE certificate copy. </w:t>
      </w:r>
    </w:p>
    <w:p w14:paraId="302D92A6" w14:textId="0125BEC5" w:rsidR="000F5526" w:rsidRPr="00A54361" w:rsidRDefault="000F5526" w:rsidP="00A54361">
      <w:pPr>
        <w:jc w:val="both"/>
        <w:rPr>
          <w:rFonts w:cstheme="minorHAnsi"/>
        </w:rPr>
      </w:pPr>
      <w:r w:rsidRPr="00A54361">
        <w:rPr>
          <w:rFonts w:cstheme="minorHAnsi"/>
        </w:rPr>
        <w:t>Start-ups (which are not MSEs) are exempted only from Bid security amount.</w:t>
      </w:r>
    </w:p>
    <w:p w14:paraId="78F4E290" w14:textId="4FC429EC" w:rsidR="000C2A9E" w:rsidRPr="00A54361" w:rsidRDefault="000C2A9E" w:rsidP="00A54361">
      <w:pPr>
        <w:spacing w:after="120"/>
        <w:jc w:val="both"/>
        <w:rPr>
          <w:rFonts w:cstheme="minorHAnsi"/>
        </w:rPr>
      </w:pPr>
      <w:r w:rsidRPr="00A54361">
        <w:rPr>
          <w:rFonts w:cstheme="minorHAnsi"/>
        </w:rPr>
        <w:t>Earnest Money Deposit mentioned above must accompany all tender offers (Technical Bid) as specified in this tender document.</w:t>
      </w:r>
    </w:p>
    <w:p w14:paraId="65A49616" w14:textId="77777777" w:rsidR="000C2A9E" w:rsidRPr="00A54361" w:rsidRDefault="000C2A9E" w:rsidP="00A54361">
      <w:pPr>
        <w:pStyle w:val="BodyText"/>
        <w:rPr>
          <w:rFonts w:asciiTheme="minorHAnsi" w:hAnsiTheme="minorHAnsi" w:cstheme="minorHAnsi"/>
          <w:sz w:val="22"/>
          <w:szCs w:val="22"/>
        </w:rPr>
      </w:pPr>
    </w:p>
    <w:p w14:paraId="761EB9DB" w14:textId="3AAF94A3" w:rsidR="000C2A9E" w:rsidRPr="00A54361" w:rsidRDefault="000C2A9E" w:rsidP="00A54361">
      <w:pPr>
        <w:pStyle w:val="BodyText"/>
        <w:widowControl w:val="0"/>
        <w:suppressAutoHyphens w:val="0"/>
        <w:autoSpaceDE w:val="0"/>
        <w:autoSpaceDN w:val="0"/>
        <w:rPr>
          <w:rFonts w:asciiTheme="minorHAnsi" w:hAnsiTheme="minorHAnsi" w:cstheme="minorHAnsi"/>
          <w:sz w:val="22"/>
          <w:szCs w:val="22"/>
        </w:rPr>
      </w:pPr>
      <w:r w:rsidRPr="00A54361">
        <w:rPr>
          <w:rFonts w:asciiTheme="minorHAnsi" w:hAnsiTheme="minorHAnsi" w:cstheme="minorHAnsi"/>
          <w:sz w:val="22"/>
          <w:szCs w:val="22"/>
        </w:rPr>
        <w:t>Tender offers will normally be opened half an hour after the closing time. Any tender received without Earnest Mone</w:t>
      </w:r>
      <w:r w:rsidR="00463CED">
        <w:rPr>
          <w:rFonts w:asciiTheme="minorHAnsi" w:hAnsiTheme="minorHAnsi" w:cstheme="minorHAnsi"/>
          <w:sz w:val="22"/>
          <w:szCs w:val="22"/>
        </w:rPr>
        <w:t xml:space="preserve">y Deposit (EMD) </w:t>
      </w:r>
      <w:r w:rsidRPr="00A54361">
        <w:rPr>
          <w:rFonts w:asciiTheme="minorHAnsi" w:hAnsiTheme="minorHAnsi" w:cstheme="minorHAnsi"/>
          <w:sz w:val="22"/>
          <w:szCs w:val="22"/>
        </w:rPr>
        <w:t>will be disqualified.</w:t>
      </w:r>
    </w:p>
    <w:p w14:paraId="5985B16F" w14:textId="77777777" w:rsidR="000C2A9E" w:rsidRPr="00A54361" w:rsidRDefault="000C2A9E" w:rsidP="00A54361">
      <w:pPr>
        <w:spacing w:after="120"/>
        <w:jc w:val="both"/>
        <w:rPr>
          <w:rFonts w:cstheme="minorHAnsi"/>
        </w:rPr>
      </w:pPr>
    </w:p>
    <w:p w14:paraId="2C385BC7" w14:textId="77777777" w:rsidR="00F25A78" w:rsidRPr="00A54361" w:rsidRDefault="00F25A78" w:rsidP="00A54361">
      <w:pPr>
        <w:spacing w:after="120"/>
        <w:jc w:val="both"/>
        <w:rPr>
          <w:rFonts w:cstheme="minorHAnsi"/>
        </w:rPr>
      </w:pPr>
      <w:r w:rsidRPr="00A54361">
        <w:rPr>
          <w:rFonts w:cstheme="minorHAnsi"/>
        </w:rPr>
        <w:t xml:space="preserve">Technical Specifications, Terms and Conditions and various format and Performa for submitting the tender offer are described in the tender document and its Annexures. </w:t>
      </w:r>
    </w:p>
    <w:p w14:paraId="06E23788" w14:textId="002C610E" w:rsidR="00F25A78" w:rsidRPr="00A54361" w:rsidRDefault="00F25A78" w:rsidP="00A54361">
      <w:pPr>
        <w:spacing w:after="0"/>
        <w:jc w:val="both"/>
        <w:rPr>
          <w:rFonts w:cstheme="minorHAnsi"/>
          <w:b/>
          <w:bCs/>
        </w:rPr>
      </w:pPr>
      <w:r w:rsidRPr="00A54361">
        <w:rPr>
          <w:rFonts w:cstheme="minorHAnsi"/>
          <w:b/>
          <w:bCs/>
        </w:rPr>
        <w:t xml:space="preserve">General Manager-IT </w:t>
      </w:r>
    </w:p>
    <w:p w14:paraId="5FC0264D" w14:textId="77777777" w:rsidR="00F25A78" w:rsidRPr="00A54361" w:rsidRDefault="00F25A78" w:rsidP="00A54361">
      <w:pPr>
        <w:spacing w:after="0"/>
        <w:jc w:val="both"/>
        <w:rPr>
          <w:rFonts w:cstheme="minorHAnsi"/>
          <w:b/>
          <w:bCs/>
        </w:rPr>
      </w:pPr>
      <w:r w:rsidRPr="00A54361">
        <w:rPr>
          <w:rFonts w:cstheme="minorHAnsi"/>
          <w:b/>
          <w:bCs/>
        </w:rPr>
        <w:t xml:space="preserve">Central Bank of India, DIT, </w:t>
      </w:r>
    </w:p>
    <w:p w14:paraId="744F60F7" w14:textId="42A4A1FD" w:rsidR="00F25A78" w:rsidRPr="00A54361" w:rsidRDefault="00F25A78" w:rsidP="00A54361">
      <w:pPr>
        <w:tabs>
          <w:tab w:val="left" w:pos="6855"/>
        </w:tabs>
        <w:spacing w:after="0"/>
        <w:jc w:val="both"/>
        <w:rPr>
          <w:rFonts w:cstheme="minorHAnsi"/>
          <w:b/>
          <w:bCs/>
        </w:rPr>
      </w:pPr>
      <w:r w:rsidRPr="00A54361">
        <w:rPr>
          <w:rFonts w:cstheme="minorHAnsi"/>
          <w:b/>
          <w:bCs/>
        </w:rPr>
        <w:t>CBD Belapur, Navi Mumbai-400614</w:t>
      </w:r>
      <w:r w:rsidR="00DD3F35" w:rsidRPr="00A54361">
        <w:rPr>
          <w:rFonts w:cstheme="minorHAnsi"/>
          <w:b/>
          <w:bCs/>
        </w:rPr>
        <w:tab/>
      </w:r>
    </w:p>
    <w:p w14:paraId="29D40AC5" w14:textId="77777777" w:rsidR="00431A5B" w:rsidRPr="00A54361" w:rsidRDefault="00431A5B" w:rsidP="00A54361">
      <w:pPr>
        <w:spacing w:after="0"/>
        <w:jc w:val="both"/>
        <w:rPr>
          <w:rFonts w:cstheme="minorHAnsi"/>
          <w:b/>
          <w:bCs/>
        </w:rPr>
      </w:pPr>
    </w:p>
    <w:p w14:paraId="660DE015" w14:textId="77777777" w:rsidR="00F25A78" w:rsidRPr="00A54361" w:rsidRDefault="00F25A78" w:rsidP="00A54361">
      <w:pPr>
        <w:spacing w:before="120" w:after="120"/>
        <w:jc w:val="both"/>
        <w:rPr>
          <w:rFonts w:cstheme="minorHAnsi"/>
        </w:rPr>
      </w:pPr>
      <w:r w:rsidRPr="00A54361">
        <w:rPr>
          <w:rFonts w:cstheme="minorHAnsi"/>
          <w:b/>
          <w:bCs/>
        </w:rPr>
        <w:t>DISCLAIMER</w:t>
      </w:r>
      <w:r w:rsidRPr="00A54361">
        <w:rPr>
          <w:rFonts w:cstheme="minorHAnsi"/>
        </w:rPr>
        <w:t xml:space="preserve"> The information contained in this Request for Proposal (RFP) document or information conveyed subsequently to bidder(s) or applicants whether verbally or in documentary form by or on behalf of Central Bank of India (Bank), is provided to the bidder(s) on the terms and conditions set out in this RFP document and all other terms and conditions subject to which such information is provided. </w:t>
      </w:r>
    </w:p>
    <w:p w14:paraId="7926A1E2" w14:textId="19F864CA" w:rsidR="00F25A78" w:rsidRPr="00A54361" w:rsidRDefault="00F25A78" w:rsidP="00A54361">
      <w:pPr>
        <w:spacing w:before="120" w:after="120"/>
        <w:jc w:val="both"/>
        <w:rPr>
          <w:rFonts w:cstheme="minorHAnsi"/>
        </w:rPr>
      </w:pPr>
      <w:r w:rsidRPr="00A54361">
        <w:rPr>
          <w:rFonts w:cstheme="minorHAnsi"/>
        </w:rPr>
        <w:t xml:space="preserve">This RFP is neither an agreement nor an offer and is only an invitation by Bank to the interested parties for submission of </w:t>
      </w:r>
      <w:r w:rsidR="007711E3">
        <w:rPr>
          <w:rFonts w:cstheme="minorHAnsi"/>
        </w:rPr>
        <w:t xml:space="preserve">unconditional </w:t>
      </w:r>
      <w:r w:rsidRPr="00A54361">
        <w:rPr>
          <w:rFonts w:cstheme="minorHAnsi"/>
        </w:rPr>
        <w:t xml:space="preserve">bids. The purpose of this RFP is to provide the bidder(s) with information to assist the formulation of their proposals. This RFP does not claim to contain all the information each bidder may require. Each bidder should conduct its own investigations and analysis </w:t>
      </w:r>
      <w:r w:rsidRPr="00A54361">
        <w:rPr>
          <w:rFonts w:cstheme="minorHAnsi"/>
        </w:rPr>
        <w:lastRenderedPageBreak/>
        <w:t>and should check the accuracy, reliability and completeness of the information in this RFP and where necessary obtain independent advice. Bank makes no representation or warranty and shall incur no liability under any law, statute, rules or regulations as to the accuracy, reliability or completeness of this RFP. Bank may in its absolute discretion, but without being under any obligation to do so, update, amend or supplement the information in this RFP.</w:t>
      </w:r>
    </w:p>
    <w:p w14:paraId="36DDE599" w14:textId="20C9B733" w:rsidR="00A90623" w:rsidRPr="00A54361" w:rsidRDefault="00A90623" w:rsidP="00A54361">
      <w:pPr>
        <w:jc w:val="both"/>
        <w:rPr>
          <w:rFonts w:cstheme="minorHAnsi"/>
        </w:rPr>
      </w:pPr>
      <w:r w:rsidRPr="00A54361">
        <w:rPr>
          <w:rFonts w:cstheme="minorHAnsi"/>
        </w:rPr>
        <w:br w:type="page"/>
      </w:r>
    </w:p>
    <w:p w14:paraId="104F27DF" w14:textId="46E6AA95" w:rsidR="0081645B" w:rsidRPr="00A54361" w:rsidRDefault="00A90623" w:rsidP="00A54361">
      <w:pPr>
        <w:pStyle w:val="Heading1"/>
        <w:numPr>
          <w:ilvl w:val="0"/>
          <w:numId w:val="48"/>
        </w:numPr>
        <w:jc w:val="both"/>
        <w:rPr>
          <w:rFonts w:asciiTheme="minorHAnsi" w:hAnsiTheme="minorHAnsi" w:cstheme="minorHAnsi"/>
          <w:color w:val="auto"/>
        </w:rPr>
      </w:pPr>
      <w:bookmarkStart w:id="1" w:name="_Toc182233327"/>
      <w:r w:rsidRPr="00A54361">
        <w:rPr>
          <w:rFonts w:asciiTheme="minorHAnsi" w:hAnsiTheme="minorHAnsi" w:cstheme="minorHAnsi"/>
          <w:color w:val="auto"/>
        </w:rPr>
        <w:lastRenderedPageBreak/>
        <w:t>Eligibility Criteria</w:t>
      </w:r>
      <w:bookmarkEnd w:id="1"/>
    </w:p>
    <w:p w14:paraId="31459BA6" w14:textId="0CD85C23" w:rsidR="00A90623" w:rsidRPr="00A54361" w:rsidRDefault="00A90623" w:rsidP="00A54361">
      <w:pPr>
        <w:jc w:val="both"/>
        <w:rPr>
          <w:rFonts w:cstheme="minorHAnsi"/>
        </w:rPr>
      </w:pPr>
      <w:r w:rsidRPr="00A54361">
        <w:rPr>
          <w:rFonts w:cstheme="minorHAnsi"/>
        </w:rPr>
        <w:t xml:space="preserve">The Bidder must </w:t>
      </w:r>
      <w:r w:rsidR="006D5617" w:rsidRPr="00A54361">
        <w:rPr>
          <w:rFonts w:cstheme="minorHAnsi"/>
        </w:rPr>
        <w:t>fulfil</w:t>
      </w:r>
      <w:r w:rsidRPr="00A54361">
        <w:rPr>
          <w:rFonts w:cstheme="minorHAnsi"/>
        </w:rPr>
        <w:t xml:space="preserve"> following eligibility criteria: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3924"/>
        <w:gridCol w:w="3264"/>
        <w:gridCol w:w="1286"/>
      </w:tblGrid>
      <w:tr w:rsidR="000D3DC1" w:rsidRPr="00A54361" w14:paraId="30414C7D" w14:textId="77777777" w:rsidTr="005D16B3">
        <w:trPr>
          <w:tblHeader/>
        </w:trPr>
        <w:tc>
          <w:tcPr>
            <w:tcW w:w="301" w:type="pct"/>
            <w:shd w:val="clear" w:color="auto" w:fill="1F3864" w:themeFill="accent1" w:themeFillShade="80"/>
          </w:tcPr>
          <w:p w14:paraId="798C3857" w14:textId="3CC0DFBE" w:rsidR="004C4642" w:rsidRPr="00A54361" w:rsidRDefault="004C4642" w:rsidP="00A54361">
            <w:pPr>
              <w:jc w:val="both"/>
              <w:rPr>
                <w:rFonts w:cstheme="minorHAnsi"/>
                <w:b/>
                <w:bCs/>
                <w:sz w:val="20"/>
                <w:szCs w:val="20"/>
              </w:rPr>
            </w:pPr>
            <w:r w:rsidRPr="00A54361">
              <w:rPr>
                <w:rFonts w:cstheme="minorHAnsi"/>
                <w:b/>
                <w:bCs/>
                <w:sz w:val="20"/>
                <w:szCs w:val="20"/>
              </w:rPr>
              <w:t>#</w:t>
            </w:r>
          </w:p>
        </w:tc>
        <w:tc>
          <w:tcPr>
            <w:tcW w:w="2176" w:type="pct"/>
            <w:shd w:val="clear" w:color="auto" w:fill="1F3864" w:themeFill="accent1" w:themeFillShade="80"/>
          </w:tcPr>
          <w:p w14:paraId="135A6A0E" w14:textId="77777777" w:rsidR="004C4642" w:rsidRPr="00A54361" w:rsidRDefault="004C4642" w:rsidP="00A54361">
            <w:pPr>
              <w:jc w:val="both"/>
              <w:rPr>
                <w:rFonts w:cstheme="minorHAnsi"/>
                <w:b/>
                <w:bCs/>
                <w:sz w:val="20"/>
                <w:szCs w:val="20"/>
              </w:rPr>
            </w:pPr>
            <w:r w:rsidRPr="00A54361">
              <w:rPr>
                <w:rFonts w:cstheme="minorHAnsi"/>
                <w:b/>
                <w:bCs/>
                <w:sz w:val="20"/>
                <w:szCs w:val="20"/>
              </w:rPr>
              <w:t>Eligibility of the Bidder</w:t>
            </w:r>
          </w:p>
        </w:tc>
        <w:tc>
          <w:tcPr>
            <w:tcW w:w="1810" w:type="pct"/>
            <w:shd w:val="clear" w:color="auto" w:fill="1F3864" w:themeFill="accent1" w:themeFillShade="80"/>
          </w:tcPr>
          <w:p w14:paraId="0EA345B9" w14:textId="77777777" w:rsidR="004C4642" w:rsidRPr="00A54361" w:rsidRDefault="004C4642" w:rsidP="00A54361">
            <w:pPr>
              <w:jc w:val="both"/>
              <w:rPr>
                <w:rFonts w:cstheme="minorHAnsi"/>
                <w:b/>
                <w:bCs/>
                <w:sz w:val="20"/>
                <w:szCs w:val="20"/>
              </w:rPr>
            </w:pPr>
            <w:r w:rsidRPr="00A54361">
              <w:rPr>
                <w:rFonts w:cstheme="minorHAnsi"/>
                <w:b/>
                <w:bCs/>
                <w:sz w:val="20"/>
                <w:szCs w:val="20"/>
              </w:rPr>
              <w:t>Documents to be submitted</w:t>
            </w:r>
          </w:p>
        </w:tc>
        <w:tc>
          <w:tcPr>
            <w:tcW w:w="713" w:type="pct"/>
            <w:shd w:val="clear" w:color="auto" w:fill="1F3864" w:themeFill="accent1" w:themeFillShade="80"/>
          </w:tcPr>
          <w:p w14:paraId="28B68B3F" w14:textId="77777777" w:rsidR="004C4642" w:rsidRPr="00A54361" w:rsidRDefault="004C4642" w:rsidP="00A54361">
            <w:pPr>
              <w:jc w:val="both"/>
              <w:rPr>
                <w:rFonts w:cstheme="minorHAnsi"/>
                <w:b/>
                <w:bCs/>
                <w:sz w:val="20"/>
                <w:szCs w:val="20"/>
              </w:rPr>
            </w:pPr>
            <w:r w:rsidRPr="00A54361">
              <w:rPr>
                <w:rFonts w:cstheme="minorHAnsi"/>
                <w:b/>
                <w:bCs/>
                <w:sz w:val="20"/>
                <w:szCs w:val="20"/>
              </w:rPr>
              <w:t>Compliance</w:t>
            </w:r>
          </w:p>
          <w:p w14:paraId="7E08BCD6" w14:textId="77777777" w:rsidR="004C4642" w:rsidRPr="00A54361" w:rsidRDefault="004C4642" w:rsidP="00A54361">
            <w:pPr>
              <w:jc w:val="both"/>
              <w:rPr>
                <w:rFonts w:cstheme="minorHAnsi"/>
                <w:b/>
                <w:bCs/>
                <w:sz w:val="20"/>
                <w:szCs w:val="20"/>
              </w:rPr>
            </w:pPr>
            <w:r w:rsidRPr="00A54361">
              <w:rPr>
                <w:rFonts w:cstheme="minorHAnsi"/>
                <w:b/>
                <w:bCs/>
                <w:sz w:val="20"/>
                <w:szCs w:val="20"/>
              </w:rPr>
              <w:t>(Y/N)</w:t>
            </w:r>
          </w:p>
        </w:tc>
      </w:tr>
      <w:tr w:rsidR="000D3DC1" w:rsidRPr="00A54361" w14:paraId="7F8B4F86" w14:textId="77777777" w:rsidTr="005D16B3">
        <w:tc>
          <w:tcPr>
            <w:tcW w:w="301" w:type="pct"/>
          </w:tcPr>
          <w:p w14:paraId="54201CDE" w14:textId="77777777" w:rsidR="006D7140" w:rsidRPr="00A54361" w:rsidRDefault="006D7140" w:rsidP="00A54361">
            <w:pPr>
              <w:pStyle w:val="ListParagraph"/>
              <w:numPr>
                <w:ilvl w:val="0"/>
                <w:numId w:val="1"/>
              </w:numPr>
              <w:jc w:val="both"/>
              <w:rPr>
                <w:rFonts w:cstheme="minorHAnsi"/>
                <w:sz w:val="20"/>
                <w:szCs w:val="20"/>
              </w:rPr>
            </w:pPr>
          </w:p>
        </w:tc>
        <w:tc>
          <w:tcPr>
            <w:tcW w:w="2176" w:type="pct"/>
          </w:tcPr>
          <w:p w14:paraId="6F005919" w14:textId="796E5533" w:rsidR="006D7140" w:rsidRPr="00A54361" w:rsidRDefault="006D7140" w:rsidP="00A54361">
            <w:pPr>
              <w:jc w:val="both"/>
              <w:rPr>
                <w:rFonts w:cstheme="minorHAnsi"/>
                <w:sz w:val="20"/>
                <w:szCs w:val="20"/>
              </w:rPr>
            </w:pPr>
            <w:r w:rsidRPr="00A54361">
              <w:rPr>
                <w:rFonts w:cstheme="minorHAnsi"/>
                <w:sz w:val="20"/>
                <w:szCs w:val="20"/>
              </w:rPr>
              <w:t xml:space="preserve">Bidder should be a Registered company under Indian Companies Act. 1956/2013 or LLP/Partnership firm and should have been in existence for a minimum period of 5 years in India, as on date of submission of RFP. </w:t>
            </w:r>
          </w:p>
        </w:tc>
        <w:tc>
          <w:tcPr>
            <w:tcW w:w="1810" w:type="pct"/>
          </w:tcPr>
          <w:p w14:paraId="7B66F5DC" w14:textId="18C77CAB" w:rsidR="006D7140" w:rsidRPr="00A54361" w:rsidRDefault="006D7140" w:rsidP="00A54361">
            <w:pPr>
              <w:jc w:val="both"/>
              <w:rPr>
                <w:rFonts w:cstheme="minorHAnsi"/>
                <w:sz w:val="20"/>
                <w:szCs w:val="20"/>
              </w:rPr>
            </w:pPr>
            <w:r w:rsidRPr="00A54361">
              <w:rPr>
                <w:rFonts w:cstheme="minorHAnsi"/>
                <w:sz w:val="20"/>
                <w:szCs w:val="20"/>
              </w:rPr>
              <w:t>Copy of the Certificate of Incorporation issued by Registrar of Companies/Registrar of firms and full address of the registered office of the bidder</w:t>
            </w:r>
          </w:p>
        </w:tc>
        <w:tc>
          <w:tcPr>
            <w:tcW w:w="713" w:type="pct"/>
          </w:tcPr>
          <w:p w14:paraId="37F2FAC6" w14:textId="77777777" w:rsidR="006D7140" w:rsidRPr="00A54361" w:rsidRDefault="006D7140" w:rsidP="00A54361">
            <w:pPr>
              <w:jc w:val="both"/>
              <w:rPr>
                <w:rFonts w:cstheme="minorHAnsi"/>
                <w:sz w:val="20"/>
                <w:szCs w:val="20"/>
              </w:rPr>
            </w:pPr>
          </w:p>
        </w:tc>
      </w:tr>
      <w:tr w:rsidR="000D3DC1" w:rsidRPr="00A54361" w14:paraId="56C622AD" w14:textId="77777777" w:rsidTr="005D16B3">
        <w:tc>
          <w:tcPr>
            <w:tcW w:w="301" w:type="pct"/>
          </w:tcPr>
          <w:p w14:paraId="1E76C077" w14:textId="77777777" w:rsidR="006D7140" w:rsidRPr="00A54361" w:rsidRDefault="006D7140" w:rsidP="00A54361">
            <w:pPr>
              <w:pStyle w:val="ListParagraph"/>
              <w:numPr>
                <w:ilvl w:val="0"/>
                <w:numId w:val="1"/>
              </w:numPr>
              <w:jc w:val="both"/>
              <w:rPr>
                <w:rFonts w:cstheme="minorHAnsi"/>
                <w:sz w:val="20"/>
                <w:szCs w:val="20"/>
              </w:rPr>
            </w:pPr>
          </w:p>
        </w:tc>
        <w:tc>
          <w:tcPr>
            <w:tcW w:w="2176" w:type="pct"/>
          </w:tcPr>
          <w:p w14:paraId="4CC26794" w14:textId="38065868" w:rsidR="006D7140" w:rsidRPr="00A54361" w:rsidRDefault="006D7140" w:rsidP="00A54361">
            <w:pPr>
              <w:jc w:val="both"/>
              <w:rPr>
                <w:rFonts w:cstheme="minorHAnsi"/>
                <w:sz w:val="20"/>
                <w:szCs w:val="20"/>
              </w:rPr>
            </w:pPr>
            <w:r w:rsidRPr="00A54361">
              <w:rPr>
                <w:rFonts w:cstheme="minorHAnsi"/>
                <w:sz w:val="20"/>
                <w:szCs w:val="20"/>
              </w:rPr>
              <w:t>Bidder should be registered under G.S.T and/or tax registration in state where bidder has a registered office</w:t>
            </w:r>
          </w:p>
        </w:tc>
        <w:tc>
          <w:tcPr>
            <w:tcW w:w="1810" w:type="pct"/>
          </w:tcPr>
          <w:p w14:paraId="590C6424" w14:textId="667A4EAB" w:rsidR="006D7140" w:rsidRPr="00A54361" w:rsidRDefault="006D7140" w:rsidP="00A54361">
            <w:pPr>
              <w:jc w:val="both"/>
              <w:rPr>
                <w:rFonts w:cstheme="minorHAnsi"/>
                <w:sz w:val="20"/>
                <w:szCs w:val="20"/>
              </w:rPr>
            </w:pPr>
            <w:r w:rsidRPr="00A54361">
              <w:rPr>
                <w:rFonts w:cstheme="minorHAnsi"/>
                <w:sz w:val="20"/>
                <w:szCs w:val="20"/>
              </w:rPr>
              <w:t>Proof of registration with GSTIN</w:t>
            </w:r>
          </w:p>
        </w:tc>
        <w:tc>
          <w:tcPr>
            <w:tcW w:w="713" w:type="pct"/>
          </w:tcPr>
          <w:p w14:paraId="4B6AAEF1" w14:textId="77777777" w:rsidR="006D7140" w:rsidRPr="00A54361" w:rsidRDefault="006D7140" w:rsidP="00A54361">
            <w:pPr>
              <w:jc w:val="both"/>
              <w:rPr>
                <w:rFonts w:cstheme="minorHAnsi"/>
                <w:sz w:val="20"/>
                <w:szCs w:val="20"/>
              </w:rPr>
            </w:pPr>
          </w:p>
        </w:tc>
      </w:tr>
      <w:tr w:rsidR="000D3DC1" w:rsidRPr="00A54361" w14:paraId="1CB1CAD1" w14:textId="77777777" w:rsidTr="005D16B3">
        <w:tc>
          <w:tcPr>
            <w:tcW w:w="301" w:type="pct"/>
          </w:tcPr>
          <w:p w14:paraId="0A2D197F" w14:textId="77777777" w:rsidR="006D7140" w:rsidRPr="00A54361" w:rsidRDefault="006D7140" w:rsidP="00A54361">
            <w:pPr>
              <w:pStyle w:val="ListParagraph"/>
              <w:numPr>
                <w:ilvl w:val="0"/>
                <w:numId w:val="1"/>
              </w:numPr>
              <w:jc w:val="both"/>
              <w:rPr>
                <w:rFonts w:cstheme="minorHAnsi"/>
                <w:sz w:val="20"/>
                <w:szCs w:val="20"/>
              </w:rPr>
            </w:pPr>
          </w:p>
        </w:tc>
        <w:tc>
          <w:tcPr>
            <w:tcW w:w="2176" w:type="pct"/>
            <w:shd w:val="clear" w:color="auto" w:fill="auto"/>
          </w:tcPr>
          <w:p w14:paraId="7F37DE05" w14:textId="6D39EB1A" w:rsidR="006D7140" w:rsidRPr="00A54361" w:rsidRDefault="006D7140" w:rsidP="00A54361">
            <w:pPr>
              <w:jc w:val="both"/>
              <w:rPr>
                <w:rFonts w:cstheme="minorHAnsi"/>
                <w:sz w:val="20"/>
                <w:szCs w:val="20"/>
              </w:rPr>
            </w:pPr>
            <w:r w:rsidRPr="00A54361">
              <w:rPr>
                <w:rFonts w:cstheme="minorHAnsi"/>
                <w:sz w:val="20"/>
                <w:szCs w:val="20"/>
              </w:rPr>
              <w:t>The bidder must have an average annual turnover in India of INR 500 crores per annum in the last three financial years (i.e., 2021-22, 2022-23, 2023-24), of individual company and not as group of companies*</w:t>
            </w:r>
          </w:p>
        </w:tc>
        <w:tc>
          <w:tcPr>
            <w:tcW w:w="1810" w:type="pct"/>
            <w:shd w:val="clear" w:color="auto" w:fill="auto"/>
          </w:tcPr>
          <w:p w14:paraId="23798E20" w14:textId="77777777" w:rsidR="006D7140" w:rsidRPr="00A54361" w:rsidRDefault="006D7140" w:rsidP="00A54361">
            <w:pPr>
              <w:jc w:val="both"/>
              <w:rPr>
                <w:rFonts w:cstheme="minorHAnsi"/>
                <w:sz w:val="20"/>
                <w:szCs w:val="20"/>
              </w:rPr>
            </w:pPr>
            <w:r w:rsidRPr="00A54361">
              <w:rPr>
                <w:rFonts w:cstheme="minorHAnsi"/>
                <w:sz w:val="20"/>
                <w:szCs w:val="20"/>
              </w:rPr>
              <w:t xml:space="preserve">Copy of Audited Balance Sheet and Copy of Certificate of the Chartered Accountant for the last three financial years (i.e., 2021-22, 2022-23, 2023-24) </w:t>
            </w:r>
          </w:p>
          <w:p w14:paraId="094E2630" w14:textId="77777777" w:rsidR="006D7140" w:rsidRPr="00A54361" w:rsidRDefault="006D7140" w:rsidP="00A54361">
            <w:pPr>
              <w:jc w:val="both"/>
              <w:rPr>
                <w:rFonts w:cstheme="minorHAnsi"/>
                <w:sz w:val="20"/>
                <w:szCs w:val="20"/>
              </w:rPr>
            </w:pPr>
          </w:p>
          <w:p w14:paraId="3F0A4BA6" w14:textId="07EA19AF" w:rsidR="006D7140" w:rsidRPr="00A54361" w:rsidRDefault="006D7140" w:rsidP="00A54361">
            <w:pPr>
              <w:jc w:val="both"/>
              <w:rPr>
                <w:rFonts w:cstheme="minorHAnsi"/>
                <w:sz w:val="20"/>
                <w:szCs w:val="20"/>
              </w:rPr>
            </w:pPr>
          </w:p>
        </w:tc>
        <w:tc>
          <w:tcPr>
            <w:tcW w:w="713" w:type="pct"/>
          </w:tcPr>
          <w:p w14:paraId="0904EAD6" w14:textId="77777777" w:rsidR="006D7140" w:rsidRPr="00A54361" w:rsidRDefault="006D7140" w:rsidP="00A54361">
            <w:pPr>
              <w:jc w:val="both"/>
              <w:rPr>
                <w:rFonts w:cstheme="minorHAnsi"/>
                <w:sz w:val="20"/>
                <w:szCs w:val="20"/>
              </w:rPr>
            </w:pPr>
          </w:p>
        </w:tc>
      </w:tr>
      <w:tr w:rsidR="000D3DC1" w:rsidRPr="00A54361" w14:paraId="22555455" w14:textId="77777777" w:rsidTr="005D16B3">
        <w:tc>
          <w:tcPr>
            <w:tcW w:w="301" w:type="pct"/>
          </w:tcPr>
          <w:p w14:paraId="6BBE7ACE" w14:textId="77777777" w:rsidR="006D7140" w:rsidRPr="00A54361" w:rsidRDefault="006D7140" w:rsidP="00A54361">
            <w:pPr>
              <w:pStyle w:val="ListParagraph"/>
              <w:numPr>
                <w:ilvl w:val="0"/>
                <w:numId w:val="1"/>
              </w:numPr>
              <w:jc w:val="both"/>
              <w:rPr>
                <w:rFonts w:cstheme="minorHAnsi"/>
                <w:sz w:val="20"/>
                <w:szCs w:val="20"/>
              </w:rPr>
            </w:pPr>
          </w:p>
        </w:tc>
        <w:tc>
          <w:tcPr>
            <w:tcW w:w="2176" w:type="pct"/>
            <w:shd w:val="clear" w:color="auto" w:fill="auto"/>
          </w:tcPr>
          <w:p w14:paraId="161BBAA2" w14:textId="77777777" w:rsidR="006D7140" w:rsidRPr="00A54361" w:rsidRDefault="006D7140" w:rsidP="00A54361">
            <w:pPr>
              <w:jc w:val="both"/>
              <w:rPr>
                <w:rFonts w:cstheme="minorHAnsi"/>
                <w:sz w:val="20"/>
                <w:szCs w:val="20"/>
              </w:rPr>
            </w:pPr>
            <w:r w:rsidRPr="00A54361">
              <w:rPr>
                <w:rFonts w:cstheme="minorHAnsi"/>
                <w:sz w:val="20"/>
                <w:szCs w:val="20"/>
              </w:rPr>
              <w:t>The bidder should have made operating profits in at least two financial years out of last three financial years (i.e., 2021-22, 2022-23, 2023-24)*</w:t>
            </w:r>
          </w:p>
          <w:p w14:paraId="40D39F5C" w14:textId="77777777" w:rsidR="006D7140" w:rsidRPr="00A54361" w:rsidRDefault="006D7140" w:rsidP="00A54361">
            <w:pPr>
              <w:jc w:val="both"/>
              <w:rPr>
                <w:rFonts w:cstheme="minorHAnsi"/>
                <w:sz w:val="20"/>
                <w:szCs w:val="20"/>
              </w:rPr>
            </w:pPr>
          </w:p>
          <w:p w14:paraId="057A2A99" w14:textId="01A25199" w:rsidR="006D7140" w:rsidRPr="00A54361" w:rsidRDefault="006D7140" w:rsidP="00A54361">
            <w:pPr>
              <w:jc w:val="both"/>
              <w:rPr>
                <w:rFonts w:cstheme="minorHAnsi"/>
                <w:sz w:val="20"/>
                <w:szCs w:val="20"/>
              </w:rPr>
            </w:pPr>
            <w:r w:rsidRPr="00A54361">
              <w:rPr>
                <w:rFonts w:cstheme="minorHAnsi"/>
                <w:sz w:val="20"/>
                <w:szCs w:val="20"/>
              </w:rPr>
              <w:t>In case of operating loss, bidder will have to provide additional security amount of 20% of contract Value over and above 10% of regular Performance Bank Guarantee</w:t>
            </w:r>
          </w:p>
        </w:tc>
        <w:tc>
          <w:tcPr>
            <w:tcW w:w="1810" w:type="pct"/>
            <w:shd w:val="clear" w:color="auto" w:fill="auto"/>
          </w:tcPr>
          <w:p w14:paraId="15CABD00" w14:textId="2B10CF0F" w:rsidR="006D7140" w:rsidRPr="00A54361" w:rsidRDefault="006D7140" w:rsidP="00A54361">
            <w:pPr>
              <w:jc w:val="both"/>
              <w:rPr>
                <w:rFonts w:cstheme="minorHAnsi"/>
                <w:sz w:val="20"/>
                <w:szCs w:val="20"/>
              </w:rPr>
            </w:pPr>
            <w:r w:rsidRPr="00A54361">
              <w:rPr>
                <w:rFonts w:cstheme="minorHAnsi"/>
                <w:sz w:val="20"/>
                <w:szCs w:val="20"/>
              </w:rPr>
              <w:t xml:space="preserve">Copy of Audited Balance Sheet and Copy of Certificate of the Chartered Accountant for the last three financial years (i.e., 2021-22, 2022-23, 2023-24) </w:t>
            </w:r>
          </w:p>
        </w:tc>
        <w:tc>
          <w:tcPr>
            <w:tcW w:w="713" w:type="pct"/>
          </w:tcPr>
          <w:p w14:paraId="1DC17940" w14:textId="77777777" w:rsidR="006D7140" w:rsidRPr="00A54361" w:rsidRDefault="006D7140" w:rsidP="00A54361">
            <w:pPr>
              <w:jc w:val="both"/>
              <w:rPr>
                <w:rFonts w:cstheme="minorHAnsi"/>
                <w:sz w:val="20"/>
                <w:szCs w:val="20"/>
              </w:rPr>
            </w:pPr>
          </w:p>
        </w:tc>
      </w:tr>
      <w:tr w:rsidR="000D3DC1" w:rsidRPr="00A54361" w14:paraId="115A6B79" w14:textId="77777777" w:rsidTr="005D16B3">
        <w:tc>
          <w:tcPr>
            <w:tcW w:w="301" w:type="pct"/>
          </w:tcPr>
          <w:p w14:paraId="3E9110AE" w14:textId="77777777" w:rsidR="006D7140" w:rsidRPr="00A54361" w:rsidRDefault="006D7140" w:rsidP="00A54361">
            <w:pPr>
              <w:pStyle w:val="ListParagraph"/>
              <w:numPr>
                <w:ilvl w:val="0"/>
                <w:numId w:val="1"/>
              </w:numPr>
              <w:jc w:val="both"/>
              <w:rPr>
                <w:rFonts w:cstheme="minorHAnsi"/>
                <w:sz w:val="20"/>
                <w:szCs w:val="20"/>
              </w:rPr>
            </w:pPr>
          </w:p>
        </w:tc>
        <w:tc>
          <w:tcPr>
            <w:tcW w:w="2176" w:type="pct"/>
            <w:shd w:val="clear" w:color="auto" w:fill="auto"/>
          </w:tcPr>
          <w:p w14:paraId="5E39A7D8" w14:textId="3EE42CBE" w:rsidR="006D7140" w:rsidRPr="00A54361" w:rsidRDefault="006D7140" w:rsidP="00A54361">
            <w:pPr>
              <w:jc w:val="both"/>
              <w:rPr>
                <w:rFonts w:cstheme="minorHAnsi"/>
                <w:sz w:val="20"/>
                <w:szCs w:val="20"/>
              </w:rPr>
            </w:pPr>
            <w:r w:rsidRPr="00A54361">
              <w:rPr>
                <w:rFonts w:cstheme="minorHAnsi"/>
                <w:sz w:val="20"/>
                <w:szCs w:val="20"/>
              </w:rPr>
              <w:t>The bidder should have a positive net worth in last three financial years (i.e., 2021-22, 2022-23, 2023-24)*</w:t>
            </w:r>
          </w:p>
        </w:tc>
        <w:tc>
          <w:tcPr>
            <w:tcW w:w="1810" w:type="pct"/>
            <w:shd w:val="clear" w:color="auto" w:fill="auto"/>
          </w:tcPr>
          <w:p w14:paraId="64E8F1FE" w14:textId="52955B00" w:rsidR="006D7140" w:rsidRPr="00A54361" w:rsidRDefault="006D7140" w:rsidP="00A54361">
            <w:pPr>
              <w:jc w:val="both"/>
              <w:rPr>
                <w:rFonts w:cstheme="minorHAnsi"/>
                <w:sz w:val="20"/>
                <w:szCs w:val="20"/>
              </w:rPr>
            </w:pPr>
            <w:r w:rsidRPr="00A54361">
              <w:rPr>
                <w:rFonts w:cstheme="minorHAnsi"/>
                <w:sz w:val="20"/>
                <w:szCs w:val="20"/>
              </w:rPr>
              <w:t xml:space="preserve">Copy of Audited Balance Sheet and Copy of Certificate of the Chartered Accountant for the last three financial years (i.e., 2021-22, 2022-23, 2023-24) </w:t>
            </w:r>
          </w:p>
        </w:tc>
        <w:tc>
          <w:tcPr>
            <w:tcW w:w="713" w:type="pct"/>
          </w:tcPr>
          <w:p w14:paraId="57988606" w14:textId="77777777" w:rsidR="006D7140" w:rsidRPr="00A54361" w:rsidRDefault="006D7140" w:rsidP="00A54361">
            <w:pPr>
              <w:jc w:val="both"/>
              <w:rPr>
                <w:rFonts w:cstheme="minorHAnsi"/>
                <w:sz w:val="20"/>
                <w:szCs w:val="20"/>
              </w:rPr>
            </w:pPr>
          </w:p>
        </w:tc>
      </w:tr>
      <w:tr w:rsidR="000D3DC1" w:rsidRPr="00A54361" w14:paraId="024F57AF" w14:textId="77777777" w:rsidTr="005D16B3">
        <w:tc>
          <w:tcPr>
            <w:tcW w:w="301" w:type="pct"/>
          </w:tcPr>
          <w:p w14:paraId="22E3517C" w14:textId="77777777" w:rsidR="00AD354E" w:rsidRPr="00A54361" w:rsidRDefault="00AD354E" w:rsidP="00A54361">
            <w:pPr>
              <w:pStyle w:val="ListParagraph"/>
              <w:numPr>
                <w:ilvl w:val="0"/>
                <w:numId w:val="1"/>
              </w:numPr>
              <w:jc w:val="both"/>
              <w:rPr>
                <w:rFonts w:cstheme="minorHAnsi"/>
                <w:sz w:val="20"/>
                <w:szCs w:val="20"/>
              </w:rPr>
            </w:pPr>
          </w:p>
        </w:tc>
        <w:tc>
          <w:tcPr>
            <w:tcW w:w="2176" w:type="pct"/>
          </w:tcPr>
          <w:p w14:paraId="05B9C76F" w14:textId="31550D86" w:rsidR="00AD354E" w:rsidRPr="00A54361" w:rsidRDefault="00AD354E" w:rsidP="00A54361">
            <w:pPr>
              <w:jc w:val="both"/>
              <w:rPr>
                <w:rFonts w:cstheme="minorHAnsi"/>
                <w:sz w:val="20"/>
                <w:szCs w:val="20"/>
              </w:rPr>
            </w:pPr>
            <w:r w:rsidRPr="00A54361">
              <w:rPr>
                <w:rFonts w:cstheme="minorHAnsi"/>
                <w:sz w:val="20"/>
                <w:szCs w:val="20"/>
              </w:rPr>
              <w:t>At the time of bidding, the Bidder should not have been blacklisted/debarred/ by any Govt. / IBA/RBI/PSU /PSE/ or Banks, Financial institutes for any reason or non-implementation/ delivery of the order. Self-declaration to that effect should be submitted along with the technical bid.</w:t>
            </w:r>
          </w:p>
        </w:tc>
        <w:tc>
          <w:tcPr>
            <w:tcW w:w="1810" w:type="pct"/>
          </w:tcPr>
          <w:p w14:paraId="4324A871" w14:textId="26F49264" w:rsidR="00AD354E" w:rsidRPr="00A54361" w:rsidRDefault="00AD354E" w:rsidP="00A54361">
            <w:pPr>
              <w:jc w:val="both"/>
              <w:rPr>
                <w:rFonts w:cstheme="minorHAnsi"/>
                <w:sz w:val="20"/>
                <w:szCs w:val="20"/>
              </w:rPr>
            </w:pPr>
            <w:r w:rsidRPr="00A54361">
              <w:rPr>
                <w:rFonts w:cstheme="minorHAnsi"/>
                <w:sz w:val="20"/>
                <w:szCs w:val="20"/>
              </w:rPr>
              <w:t>Submit the undertaking on Company’s letter head</w:t>
            </w:r>
          </w:p>
        </w:tc>
        <w:tc>
          <w:tcPr>
            <w:tcW w:w="713" w:type="pct"/>
          </w:tcPr>
          <w:p w14:paraId="705EDCF3" w14:textId="77777777" w:rsidR="00AD354E" w:rsidRPr="00A54361" w:rsidRDefault="00AD354E" w:rsidP="00A54361">
            <w:pPr>
              <w:jc w:val="both"/>
              <w:rPr>
                <w:rFonts w:cstheme="minorHAnsi"/>
                <w:sz w:val="20"/>
                <w:szCs w:val="20"/>
              </w:rPr>
            </w:pPr>
          </w:p>
        </w:tc>
      </w:tr>
      <w:tr w:rsidR="000D3DC1" w:rsidRPr="00A54361" w14:paraId="12615B2F" w14:textId="77777777" w:rsidTr="005D16B3">
        <w:tc>
          <w:tcPr>
            <w:tcW w:w="301" w:type="pct"/>
          </w:tcPr>
          <w:p w14:paraId="38E37C5D" w14:textId="77777777" w:rsidR="00AD354E" w:rsidRPr="00A54361" w:rsidRDefault="00AD354E" w:rsidP="00A54361">
            <w:pPr>
              <w:pStyle w:val="ListParagraph"/>
              <w:numPr>
                <w:ilvl w:val="0"/>
                <w:numId w:val="1"/>
              </w:numPr>
              <w:jc w:val="both"/>
              <w:rPr>
                <w:rFonts w:cstheme="minorHAnsi"/>
                <w:sz w:val="20"/>
                <w:szCs w:val="20"/>
              </w:rPr>
            </w:pPr>
          </w:p>
        </w:tc>
        <w:tc>
          <w:tcPr>
            <w:tcW w:w="2176" w:type="pct"/>
          </w:tcPr>
          <w:p w14:paraId="0A26C093" w14:textId="0FA0CF76" w:rsidR="00AD354E" w:rsidRPr="00A54361" w:rsidRDefault="00AD354E" w:rsidP="00A54361">
            <w:pPr>
              <w:jc w:val="both"/>
              <w:rPr>
                <w:rFonts w:cstheme="minorHAnsi"/>
                <w:sz w:val="20"/>
                <w:szCs w:val="20"/>
              </w:rPr>
            </w:pPr>
            <w:r w:rsidRPr="00A54361">
              <w:rPr>
                <w:rFonts w:cstheme="minorHAnsi"/>
                <w:sz w:val="20"/>
                <w:szCs w:val="20"/>
              </w:rPr>
              <w:t>At the time of bidding, there should not have been any pending litigation or any legal dispute in the last five years, before any court of law between the Bidder or OEM and the Bank regarding supply of goods/services</w:t>
            </w:r>
          </w:p>
        </w:tc>
        <w:tc>
          <w:tcPr>
            <w:tcW w:w="1810" w:type="pct"/>
          </w:tcPr>
          <w:p w14:paraId="0BB68825" w14:textId="2743A022" w:rsidR="00AD354E" w:rsidRPr="00A54361" w:rsidRDefault="00AD354E" w:rsidP="00A54361">
            <w:pPr>
              <w:jc w:val="both"/>
              <w:rPr>
                <w:rFonts w:cstheme="minorHAnsi"/>
                <w:sz w:val="20"/>
                <w:szCs w:val="20"/>
              </w:rPr>
            </w:pPr>
            <w:r w:rsidRPr="00A54361">
              <w:rPr>
                <w:rFonts w:cstheme="minorHAnsi"/>
                <w:sz w:val="20"/>
                <w:szCs w:val="20"/>
              </w:rPr>
              <w:t>Submit the undertaking self-declaration on Company’s letter head</w:t>
            </w:r>
          </w:p>
        </w:tc>
        <w:tc>
          <w:tcPr>
            <w:tcW w:w="713" w:type="pct"/>
          </w:tcPr>
          <w:p w14:paraId="7491A484" w14:textId="77777777" w:rsidR="00AD354E" w:rsidRPr="00A54361" w:rsidRDefault="00AD354E" w:rsidP="00A54361">
            <w:pPr>
              <w:jc w:val="both"/>
              <w:rPr>
                <w:rFonts w:cstheme="minorHAnsi"/>
                <w:sz w:val="20"/>
                <w:szCs w:val="20"/>
              </w:rPr>
            </w:pPr>
          </w:p>
        </w:tc>
      </w:tr>
      <w:tr w:rsidR="000D3DC1" w:rsidRPr="00A54361" w14:paraId="5E57280E" w14:textId="77777777" w:rsidTr="005D16B3">
        <w:tc>
          <w:tcPr>
            <w:tcW w:w="301" w:type="pct"/>
          </w:tcPr>
          <w:p w14:paraId="3BF3DE09" w14:textId="77777777" w:rsidR="00AD354E" w:rsidRPr="00A54361" w:rsidRDefault="00AD354E" w:rsidP="00A54361">
            <w:pPr>
              <w:pStyle w:val="ListParagraph"/>
              <w:numPr>
                <w:ilvl w:val="0"/>
                <w:numId w:val="1"/>
              </w:numPr>
              <w:jc w:val="both"/>
              <w:rPr>
                <w:rFonts w:cstheme="minorHAnsi"/>
                <w:sz w:val="20"/>
                <w:szCs w:val="20"/>
              </w:rPr>
            </w:pPr>
          </w:p>
        </w:tc>
        <w:tc>
          <w:tcPr>
            <w:tcW w:w="2176" w:type="pct"/>
          </w:tcPr>
          <w:p w14:paraId="68631004" w14:textId="77777777" w:rsidR="00AD354E" w:rsidRPr="00A54361" w:rsidRDefault="00AD354E" w:rsidP="00A54361">
            <w:pPr>
              <w:jc w:val="both"/>
              <w:rPr>
                <w:rFonts w:cstheme="minorHAnsi"/>
                <w:sz w:val="20"/>
                <w:szCs w:val="20"/>
              </w:rPr>
            </w:pPr>
            <w:r w:rsidRPr="00A54361">
              <w:rPr>
                <w:rFonts w:cstheme="minorHAnsi"/>
                <w:sz w:val="20"/>
                <w:szCs w:val="20"/>
              </w:rPr>
              <w:t xml:space="preserve">Bidder/OEM should not have </w:t>
            </w:r>
          </w:p>
          <w:p w14:paraId="3B6A5739" w14:textId="77777777" w:rsidR="00AD354E" w:rsidRPr="00A54361" w:rsidRDefault="00AD354E" w:rsidP="00A54361">
            <w:pPr>
              <w:pStyle w:val="ListParagraph"/>
              <w:numPr>
                <w:ilvl w:val="0"/>
                <w:numId w:val="2"/>
              </w:numPr>
              <w:jc w:val="both"/>
              <w:rPr>
                <w:rFonts w:cstheme="minorHAnsi"/>
                <w:sz w:val="20"/>
                <w:szCs w:val="20"/>
              </w:rPr>
            </w:pPr>
            <w:r w:rsidRPr="00A54361">
              <w:rPr>
                <w:rFonts w:cstheme="minorHAnsi"/>
                <w:sz w:val="20"/>
                <w:szCs w:val="20"/>
              </w:rPr>
              <w:t xml:space="preserve">NPA with any Bank /financial institutions in India </w:t>
            </w:r>
          </w:p>
          <w:p w14:paraId="575253F6" w14:textId="79A10384" w:rsidR="00AD354E" w:rsidRPr="00A54361" w:rsidRDefault="00AD354E" w:rsidP="00A54361">
            <w:pPr>
              <w:pStyle w:val="ListParagraph"/>
              <w:numPr>
                <w:ilvl w:val="0"/>
                <w:numId w:val="2"/>
              </w:numPr>
              <w:jc w:val="both"/>
              <w:rPr>
                <w:rFonts w:cstheme="minorHAnsi"/>
                <w:sz w:val="20"/>
                <w:szCs w:val="20"/>
              </w:rPr>
            </w:pPr>
            <w:r w:rsidRPr="00A54361">
              <w:rPr>
                <w:rFonts w:cstheme="minorHAnsi"/>
                <w:sz w:val="20"/>
                <w:szCs w:val="20"/>
              </w:rPr>
              <w:t>Any case pending or otherwise, with any organization across the globe which affects the credibility of the Bidder in the opinion of Central Bank of India to service the needs of the Bank</w:t>
            </w:r>
          </w:p>
        </w:tc>
        <w:tc>
          <w:tcPr>
            <w:tcW w:w="1810" w:type="pct"/>
          </w:tcPr>
          <w:p w14:paraId="3110C8AE" w14:textId="77777777" w:rsidR="00AD354E" w:rsidRPr="00A54361" w:rsidRDefault="00AD354E" w:rsidP="00A54361">
            <w:pPr>
              <w:jc w:val="both"/>
              <w:rPr>
                <w:rFonts w:cstheme="minorHAnsi"/>
                <w:sz w:val="20"/>
                <w:szCs w:val="20"/>
              </w:rPr>
            </w:pPr>
            <w:r w:rsidRPr="00A54361">
              <w:rPr>
                <w:rFonts w:cstheme="minorHAnsi"/>
                <w:sz w:val="20"/>
                <w:szCs w:val="20"/>
              </w:rPr>
              <w:t>Submit self-declaration on Company’s letter head.</w:t>
            </w:r>
          </w:p>
          <w:p w14:paraId="23BC4BF5" w14:textId="77777777" w:rsidR="00AD354E" w:rsidRPr="00A54361" w:rsidRDefault="00AD354E" w:rsidP="00A54361">
            <w:pPr>
              <w:jc w:val="both"/>
              <w:rPr>
                <w:rFonts w:cstheme="minorHAnsi"/>
                <w:sz w:val="20"/>
                <w:szCs w:val="20"/>
              </w:rPr>
            </w:pPr>
          </w:p>
        </w:tc>
        <w:tc>
          <w:tcPr>
            <w:tcW w:w="713" w:type="pct"/>
          </w:tcPr>
          <w:p w14:paraId="09BACD00" w14:textId="77777777" w:rsidR="00AD354E" w:rsidRPr="00A54361" w:rsidRDefault="00AD354E" w:rsidP="00A54361">
            <w:pPr>
              <w:jc w:val="both"/>
              <w:rPr>
                <w:rFonts w:cstheme="minorHAnsi"/>
                <w:sz w:val="20"/>
                <w:szCs w:val="20"/>
              </w:rPr>
            </w:pPr>
          </w:p>
        </w:tc>
      </w:tr>
      <w:tr w:rsidR="000D3DC1" w:rsidRPr="00A54361" w14:paraId="3E172E57" w14:textId="77777777" w:rsidTr="005D16B3">
        <w:tc>
          <w:tcPr>
            <w:tcW w:w="301" w:type="pct"/>
          </w:tcPr>
          <w:p w14:paraId="50A87D9F" w14:textId="77777777" w:rsidR="00A36338" w:rsidRPr="00A54361" w:rsidRDefault="00A36338" w:rsidP="00A54361">
            <w:pPr>
              <w:pStyle w:val="ListParagraph"/>
              <w:numPr>
                <w:ilvl w:val="0"/>
                <w:numId w:val="1"/>
              </w:numPr>
              <w:jc w:val="both"/>
              <w:rPr>
                <w:rFonts w:cstheme="minorHAnsi"/>
                <w:sz w:val="20"/>
                <w:szCs w:val="20"/>
              </w:rPr>
            </w:pPr>
          </w:p>
        </w:tc>
        <w:tc>
          <w:tcPr>
            <w:tcW w:w="2176" w:type="pct"/>
          </w:tcPr>
          <w:p w14:paraId="6AE8231D" w14:textId="4BB04E84" w:rsidR="00A36338" w:rsidRPr="00A54361" w:rsidRDefault="00A36338" w:rsidP="00A54361">
            <w:pPr>
              <w:jc w:val="both"/>
              <w:rPr>
                <w:rFonts w:cstheme="minorHAnsi"/>
                <w:sz w:val="20"/>
                <w:szCs w:val="20"/>
              </w:rPr>
            </w:pPr>
            <w:r w:rsidRPr="00A54361">
              <w:rPr>
                <w:rFonts w:cstheme="minorHAnsi"/>
                <w:sz w:val="20"/>
                <w:szCs w:val="20"/>
              </w:rPr>
              <w:t xml:space="preserve">Bidder should have service/support centre </w:t>
            </w:r>
            <w:r w:rsidR="00E34B0E" w:rsidRPr="00A54361">
              <w:rPr>
                <w:rFonts w:cstheme="minorHAnsi"/>
                <w:sz w:val="20"/>
                <w:szCs w:val="20"/>
              </w:rPr>
              <w:t xml:space="preserve">or should have arrangement for providing support </w:t>
            </w:r>
            <w:r w:rsidR="007F7C68" w:rsidRPr="00A54361">
              <w:rPr>
                <w:rFonts w:cstheme="minorHAnsi"/>
                <w:sz w:val="20"/>
                <w:szCs w:val="20"/>
              </w:rPr>
              <w:t xml:space="preserve">in </w:t>
            </w:r>
            <w:r w:rsidRPr="00A54361">
              <w:rPr>
                <w:rFonts w:cstheme="minorHAnsi"/>
                <w:sz w:val="20"/>
                <w:szCs w:val="20"/>
              </w:rPr>
              <w:t>Mumbai</w:t>
            </w:r>
            <w:r w:rsidR="00E34B0E" w:rsidRPr="00A54361">
              <w:rPr>
                <w:rFonts w:cstheme="minorHAnsi"/>
                <w:sz w:val="20"/>
                <w:szCs w:val="20"/>
              </w:rPr>
              <w:t xml:space="preserve"> and</w:t>
            </w:r>
            <w:r w:rsidRPr="00A54361">
              <w:rPr>
                <w:rFonts w:cstheme="minorHAnsi"/>
                <w:sz w:val="20"/>
                <w:szCs w:val="20"/>
              </w:rPr>
              <w:t xml:space="preserve"> Hyderabad</w:t>
            </w:r>
            <w:r w:rsidR="007F7C68" w:rsidRPr="00A54361">
              <w:rPr>
                <w:rFonts w:cstheme="minorHAnsi"/>
                <w:sz w:val="20"/>
                <w:szCs w:val="20"/>
              </w:rPr>
              <w:t>.</w:t>
            </w:r>
          </w:p>
        </w:tc>
        <w:tc>
          <w:tcPr>
            <w:tcW w:w="1810" w:type="pct"/>
          </w:tcPr>
          <w:p w14:paraId="6697EE05" w14:textId="3F0BC15B" w:rsidR="00A36338" w:rsidRPr="00A54361" w:rsidRDefault="00A36338" w:rsidP="00A54361">
            <w:pPr>
              <w:jc w:val="both"/>
              <w:rPr>
                <w:rFonts w:cstheme="minorHAnsi"/>
                <w:sz w:val="20"/>
                <w:szCs w:val="20"/>
              </w:rPr>
            </w:pPr>
            <w:r w:rsidRPr="00A54361">
              <w:rPr>
                <w:rFonts w:cstheme="minorHAnsi"/>
                <w:sz w:val="20"/>
                <w:szCs w:val="20"/>
              </w:rPr>
              <w:t>Submit the undertaking self-declaration on Bidder’s letter head</w:t>
            </w:r>
          </w:p>
        </w:tc>
        <w:tc>
          <w:tcPr>
            <w:tcW w:w="713" w:type="pct"/>
          </w:tcPr>
          <w:p w14:paraId="6D93119A" w14:textId="77777777" w:rsidR="00A36338" w:rsidRPr="00A54361" w:rsidRDefault="00A36338" w:rsidP="00A54361">
            <w:pPr>
              <w:jc w:val="both"/>
              <w:rPr>
                <w:rFonts w:cstheme="minorHAnsi"/>
                <w:sz w:val="20"/>
                <w:szCs w:val="20"/>
              </w:rPr>
            </w:pPr>
          </w:p>
        </w:tc>
      </w:tr>
      <w:tr w:rsidR="000D3DC1" w:rsidRPr="00A54361" w14:paraId="5E4E739D" w14:textId="77777777" w:rsidTr="005D16B3">
        <w:tc>
          <w:tcPr>
            <w:tcW w:w="301" w:type="pct"/>
          </w:tcPr>
          <w:p w14:paraId="1A59A0F1" w14:textId="77777777" w:rsidR="00A36338" w:rsidRPr="00A54361" w:rsidRDefault="00A36338" w:rsidP="00A54361">
            <w:pPr>
              <w:pStyle w:val="ListParagraph"/>
              <w:numPr>
                <w:ilvl w:val="0"/>
                <w:numId w:val="1"/>
              </w:numPr>
              <w:jc w:val="both"/>
              <w:rPr>
                <w:rFonts w:cstheme="minorHAnsi"/>
                <w:sz w:val="20"/>
                <w:szCs w:val="20"/>
              </w:rPr>
            </w:pPr>
          </w:p>
        </w:tc>
        <w:tc>
          <w:tcPr>
            <w:tcW w:w="2176" w:type="pct"/>
          </w:tcPr>
          <w:p w14:paraId="7B7FEF26" w14:textId="4105963A" w:rsidR="00A36338" w:rsidRPr="00A54361" w:rsidRDefault="00A36338" w:rsidP="00A54361">
            <w:pPr>
              <w:jc w:val="both"/>
              <w:rPr>
                <w:rFonts w:cstheme="minorHAnsi"/>
                <w:sz w:val="20"/>
                <w:szCs w:val="20"/>
              </w:rPr>
            </w:pPr>
            <w:r w:rsidRPr="00A54361">
              <w:rPr>
                <w:rFonts w:cstheme="minorHAnsi"/>
                <w:sz w:val="20"/>
                <w:szCs w:val="20"/>
              </w:rPr>
              <w:t>If the bidder is from a country which shares a land border with India, the bidder should be registered with the Competent Authority</w:t>
            </w:r>
          </w:p>
        </w:tc>
        <w:tc>
          <w:tcPr>
            <w:tcW w:w="1810" w:type="pct"/>
          </w:tcPr>
          <w:p w14:paraId="76068E72" w14:textId="0E610491" w:rsidR="00A36338" w:rsidRPr="00A54361" w:rsidRDefault="00A36338" w:rsidP="00A54361">
            <w:pPr>
              <w:jc w:val="both"/>
              <w:rPr>
                <w:rFonts w:cstheme="minorHAnsi"/>
                <w:sz w:val="20"/>
                <w:szCs w:val="20"/>
              </w:rPr>
            </w:pPr>
            <w:r w:rsidRPr="00A54361">
              <w:rPr>
                <w:rFonts w:cstheme="minorHAnsi"/>
                <w:sz w:val="20"/>
                <w:szCs w:val="20"/>
              </w:rPr>
              <w:t>Certified copy of the registration certificate</w:t>
            </w:r>
          </w:p>
        </w:tc>
        <w:tc>
          <w:tcPr>
            <w:tcW w:w="713" w:type="pct"/>
          </w:tcPr>
          <w:p w14:paraId="74939F2D" w14:textId="77777777" w:rsidR="00A36338" w:rsidRPr="00A54361" w:rsidRDefault="00A36338" w:rsidP="00A54361">
            <w:pPr>
              <w:jc w:val="both"/>
              <w:rPr>
                <w:rFonts w:cstheme="minorHAnsi"/>
                <w:sz w:val="20"/>
                <w:szCs w:val="20"/>
              </w:rPr>
            </w:pPr>
          </w:p>
        </w:tc>
      </w:tr>
      <w:tr w:rsidR="000D3DC1" w:rsidRPr="00A54361" w14:paraId="5860815D" w14:textId="77777777" w:rsidTr="005D16B3">
        <w:tc>
          <w:tcPr>
            <w:tcW w:w="301" w:type="pct"/>
          </w:tcPr>
          <w:p w14:paraId="374D8F3B" w14:textId="77777777" w:rsidR="001D5FE7" w:rsidRPr="00A54361" w:rsidRDefault="001D5FE7" w:rsidP="00A54361">
            <w:pPr>
              <w:pStyle w:val="ListParagraph"/>
              <w:numPr>
                <w:ilvl w:val="0"/>
                <w:numId w:val="1"/>
              </w:numPr>
              <w:jc w:val="both"/>
              <w:rPr>
                <w:rFonts w:cstheme="minorHAnsi"/>
                <w:sz w:val="20"/>
                <w:szCs w:val="20"/>
              </w:rPr>
            </w:pPr>
          </w:p>
        </w:tc>
        <w:tc>
          <w:tcPr>
            <w:tcW w:w="2176" w:type="pct"/>
          </w:tcPr>
          <w:p w14:paraId="3065B4A8" w14:textId="635A25CA" w:rsidR="001D5FE7" w:rsidRPr="00A54361" w:rsidRDefault="001D5FE7" w:rsidP="00A54361">
            <w:pPr>
              <w:jc w:val="both"/>
              <w:rPr>
                <w:rFonts w:cstheme="minorHAnsi"/>
                <w:sz w:val="20"/>
                <w:szCs w:val="20"/>
              </w:rPr>
            </w:pPr>
            <w:r w:rsidRPr="00A54361">
              <w:rPr>
                <w:rFonts w:cstheme="minorHAnsi"/>
                <w:sz w:val="20"/>
                <w:szCs w:val="20"/>
              </w:rPr>
              <w:t xml:space="preserve">Bidder should have a supplied, installed and maintained at least </w:t>
            </w:r>
            <w:r w:rsidR="00A63CA2" w:rsidRPr="00A54361">
              <w:rPr>
                <w:rFonts w:cstheme="minorHAnsi"/>
                <w:sz w:val="20"/>
                <w:szCs w:val="20"/>
              </w:rPr>
              <w:t>4</w:t>
            </w:r>
            <w:r w:rsidRPr="00A54361">
              <w:rPr>
                <w:rFonts w:cstheme="minorHAnsi"/>
                <w:sz w:val="20"/>
                <w:szCs w:val="20"/>
              </w:rPr>
              <w:t xml:space="preserve"> out of the following solutions:  </w:t>
            </w:r>
          </w:p>
          <w:p w14:paraId="48D061F4" w14:textId="77777777" w:rsidR="001D5FE7" w:rsidRPr="00A54361" w:rsidRDefault="001D5FE7" w:rsidP="00A54361">
            <w:pPr>
              <w:pStyle w:val="ListParagraph"/>
              <w:numPr>
                <w:ilvl w:val="0"/>
                <w:numId w:val="56"/>
              </w:numPr>
              <w:jc w:val="both"/>
              <w:rPr>
                <w:rFonts w:cstheme="minorHAnsi"/>
                <w:sz w:val="20"/>
                <w:szCs w:val="20"/>
              </w:rPr>
            </w:pPr>
            <w:r w:rsidRPr="00A54361">
              <w:rPr>
                <w:rFonts w:cstheme="minorHAnsi"/>
                <w:sz w:val="20"/>
                <w:szCs w:val="20"/>
              </w:rPr>
              <w:t>Data Discovery &amp; Classification</w:t>
            </w:r>
          </w:p>
          <w:p w14:paraId="3765972F" w14:textId="4F53CB90" w:rsidR="00BC0DAC" w:rsidRPr="00A54361" w:rsidRDefault="00953C05" w:rsidP="00A54361">
            <w:pPr>
              <w:pStyle w:val="ListParagraph"/>
              <w:numPr>
                <w:ilvl w:val="0"/>
                <w:numId w:val="56"/>
              </w:numPr>
              <w:jc w:val="both"/>
              <w:rPr>
                <w:rFonts w:cstheme="minorHAnsi"/>
                <w:sz w:val="20"/>
                <w:szCs w:val="20"/>
              </w:rPr>
            </w:pPr>
            <w:r w:rsidRPr="00A54361">
              <w:rPr>
                <w:rFonts w:cstheme="minorHAnsi"/>
                <w:sz w:val="20"/>
                <w:szCs w:val="20"/>
              </w:rPr>
              <w:t>File Upload Security Solution</w:t>
            </w:r>
          </w:p>
          <w:p w14:paraId="3504DFFA" w14:textId="045476FE" w:rsidR="001D5FE7" w:rsidRPr="00A54361" w:rsidRDefault="001D5FE7" w:rsidP="00A54361">
            <w:pPr>
              <w:pStyle w:val="ListParagraph"/>
              <w:numPr>
                <w:ilvl w:val="0"/>
                <w:numId w:val="56"/>
              </w:numPr>
              <w:jc w:val="both"/>
              <w:rPr>
                <w:rFonts w:cstheme="minorHAnsi"/>
                <w:sz w:val="20"/>
                <w:szCs w:val="20"/>
              </w:rPr>
            </w:pPr>
            <w:r w:rsidRPr="00A54361">
              <w:rPr>
                <w:rFonts w:cstheme="minorHAnsi"/>
                <w:sz w:val="20"/>
                <w:szCs w:val="20"/>
              </w:rPr>
              <w:t>Attack Surface Management (ASM)</w:t>
            </w:r>
          </w:p>
          <w:p w14:paraId="171141FB" w14:textId="2EDD7C48" w:rsidR="001D5FE7" w:rsidRPr="00A54361" w:rsidRDefault="001D5FE7" w:rsidP="00A54361">
            <w:pPr>
              <w:pStyle w:val="ListParagraph"/>
              <w:numPr>
                <w:ilvl w:val="0"/>
                <w:numId w:val="56"/>
              </w:numPr>
              <w:jc w:val="both"/>
              <w:rPr>
                <w:rFonts w:cstheme="minorHAnsi"/>
                <w:sz w:val="20"/>
                <w:szCs w:val="20"/>
              </w:rPr>
            </w:pPr>
            <w:r w:rsidRPr="00A54361">
              <w:rPr>
                <w:rFonts w:cstheme="minorHAnsi"/>
                <w:sz w:val="20"/>
                <w:szCs w:val="20"/>
              </w:rPr>
              <w:t xml:space="preserve">Breach and Attack Simulation (BAS) along with Red </w:t>
            </w:r>
            <w:r w:rsidR="00437113" w:rsidRPr="00A54361">
              <w:rPr>
                <w:rFonts w:cstheme="minorHAnsi"/>
                <w:sz w:val="20"/>
                <w:szCs w:val="20"/>
              </w:rPr>
              <w:t>T</w:t>
            </w:r>
            <w:r w:rsidRPr="00A54361">
              <w:rPr>
                <w:rFonts w:cstheme="minorHAnsi"/>
                <w:sz w:val="20"/>
                <w:szCs w:val="20"/>
              </w:rPr>
              <w:t xml:space="preserve">eam </w:t>
            </w:r>
            <w:r w:rsidR="00715187" w:rsidRPr="00A54361">
              <w:rPr>
                <w:rFonts w:cstheme="minorHAnsi"/>
                <w:sz w:val="20"/>
                <w:szCs w:val="20"/>
              </w:rPr>
              <w:t xml:space="preserve"> Solution</w:t>
            </w:r>
          </w:p>
          <w:p w14:paraId="0C1CEA97" w14:textId="77777777" w:rsidR="001D5FE7" w:rsidRPr="00A54361" w:rsidRDefault="001D5FE7" w:rsidP="00A54361">
            <w:pPr>
              <w:pStyle w:val="ListParagraph"/>
              <w:numPr>
                <w:ilvl w:val="0"/>
                <w:numId w:val="56"/>
              </w:numPr>
              <w:jc w:val="both"/>
              <w:rPr>
                <w:rFonts w:cstheme="minorHAnsi"/>
                <w:sz w:val="20"/>
                <w:szCs w:val="20"/>
              </w:rPr>
            </w:pPr>
            <w:r w:rsidRPr="00A54361">
              <w:rPr>
                <w:rFonts w:cstheme="minorHAnsi"/>
                <w:sz w:val="20"/>
                <w:szCs w:val="20"/>
              </w:rPr>
              <w:t>Phishing Simulation</w:t>
            </w:r>
          </w:p>
          <w:p w14:paraId="4C60635E" w14:textId="77777777" w:rsidR="001D5FE7" w:rsidRPr="00A54361" w:rsidRDefault="001D5FE7" w:rsidP="00A54361">
            <w:pPr>
              <w:pStyle w:val="ListParagraph"/>
              <w:numPr>
                <w:ilvl w:val="0"/>
                <w:numId w:val="56"/>
              </w:numPr>
              <w:jc w:val="both"/>
              <w:rPr>
                <w:rFonts w:cstheme="minorHAnsi"/>
                <w:sz w:val="20"/>
                <w:szCs w:val="20"/>
              </w:rPr>
            </w:pPr>
            <w:r w:rsidRPr="00A54361">
              <w:rPr>
                <w:rFonts w:cstheme="minorHAnsi"/>
                <w:sz w:val="20"/>
                <w:szCs w:val="20"/>
              </w:rPr>
              <w:t>AD Security</w:t>
            </w:r>
          </w:p>
          <w:p w14:paraId="28D0F60D" w14:textId="5CDC1A0A" w:rsidR="001D5FE7" w:rsidRPr="00A54361" w:rsidRDefault="002627C6" w:rsidP="00A54361">
            <w:pPr>
              <w:pStyle w:val="ListParagraph"/>
              <w:numPr>
                <w:ilvl w:val="0"/>
                <w:numId w:val="56"/>
              </w:numPr>
              <w:jc w:val="both"/>
              <w:rPr>
                <w:rFonts w:cstheme="minorHAnsi"/>
                <w:sz w:val="20"/>
                <w:szCs w:val="20"/>
              </w:rPr>
            </w:pPr>
            <w:r w:rsidRPr="00A54361">
              <w:rPr>
                <w:rFonts w:cstheme="minorHAnsi"/>
                <w:sz w:val="20"/>
                <w:szCs w:val="20"/>
              </w:rPr>
              <w:t xml:space="preserve">IT </w:t>
            </w:r>
            <w:r w:rsidR="001D5FE7" w:rsidRPr="00A54361">
              <w:rPr>
                <w:rFonts w:cstheme="minorHAnsi"/>
                <w:sz w:val="20"/>
                <w:szCs w:val="20"/>
              </w:rPr>
              <w:t>Governance, Risk &amp; Compliance</w:t>
            </w:r>
          </w:p>
          <w:p w14:paraId="737C0F96" w14:textId="77777777" w:rsidR="001D5FE7" w:rsidRPr="00A54361" w:rsidRDefault="001D5FE7" w:rsidP="00A54361">
            <w:pPr>
              <w:pStyle w:val="ListParagraph"/>
              <w:numPr>
                <w:ilvl w:val="0"/>
                <w:numId w:val="56"/>
              </w:numPr>
              <w:jc w:val="both"/>
              <w:rPr>
                <w:rFonts w:cstheme="minorHAnsi"/>
                <w:sz w:val="20"/>
                <w:szCs w:val="20"/>
              </w:rPr>
            </w:pPr>
            <w:r w:rsidRPr="00A54361">
              <w:rPr>
                <w:rFonts w:cstheme="minorHAnsi"/>
                <w:sz w:val="20"/>
                <w:szCs w:val="20"/>
              </w:rPr>
              <w:t>Decoy (Honeypot)</w:t>
            </w:r>
          </w:p>
          <w:p w14:paraId="796ED68A" w14:textId="77777777" w:rsidR="001D5FE7" w:rsidRPr="00A54361" w:rsidRDefault="001D5FE7" w:rsidP="00A54361">
            <w:pPr>
              <w:pStyle w:val="ListParagraph"/>
              <w:numPr>
                <w:ilvl w:val="0"/>
                <w:numId w:val="56"/>
              </w:numPr>
              <w:jc w:val="both"/>
              <w:rPr>
                <w:rFonts w:cstheme="minorHAnsi"/>
                <w:sz w:val="20"/>
                <w:szCs w:val="20"/>
              </w:rPr>
            </w:pPr>
            <w:r w:rsidRPr="00A54361">
              <w:rPr>
                <w:rFonts w:cstheme="minorHAnsi"/>
                <w:sz w:val="20"/>
                <w:szCs w:val="20"/>
              </w:rPr>
              <w:t>Mobile Device Management</w:t>
            </w:r>
          </w:p>
          <w:p w14:paraId="2C295F73" w14:textId="4348DCAE" w:rsidR="001D5FE7" w:rsidRPr="00A54361" w:rsidRDefault="001D5FE7" w:rsidP="00A54361">
            <w:pPr>
              <w:numPr>
                <w:ilvl w:val="0"/>
                <w:numId w:val="56"/>
              </w:numPr>
              <w:jc w:val="both"/>
              <w:rPr>
                <w:rFonts w:cstheme="minorHAnsi"/>
                <w:sz w:val="20"/>
                <w:szCs w:val="20"/>
              </w:rPr>
            </w:pPr>
            <w:r w:rsidRPr="00A54361">
              <w:rPr>
                <w:rFonts w:cstheme="minorHAnsi"/>
                <w:sz w:val="20"/>
                <w:szCs w:val="20"/>
              </w:rPr>
              <w:t>Secure Data Backup and Recovery</w:t>
            </w:r>
            <w:r w:rsidR="00437113" w:rsidRPr="00A54361">
              <w:rPr>
                <w:rFonts w:cstheme="minorHAnsi"/>
                <w:sz w:val="20"/>
                <w:szCs w:val="20"/>
              </w:rPr>
              <w:t xml:space="preserve"> (Ransomware Protection)</w:t>
            </w:r>
          </w:p>
          <w:p w14:paraId="1D0258C2" w14:textId="12A00CA7" w:rsidR="004508E9" w:rsidRPr="00A54361" w:rsidRDefault="004508E9" w:rsidP="00A54361">
            <w:pPr>
              <w:numPr>
                <w:ilvl w:val="0"/>
                <w:numId w:val="56"/>
              </w:numPr>
              <w:jc w:val="both"/>
              <w:rPr>
                <w:rFonts w:cstheme="minorHAnsi"/>
                <w:sz w:val="20"/>
                <w:szCs w:val="20"/>
              </w:rPr>
            </w:pPr>
            <w:r w:rsidRPr="00A54361">
              <w:rPr>
                <w:rFonts w:cstheme="minorHAnsi"/>
                <w:sz w:val="20"/>
                <w:szCs w:val="20"/>
              </w:rPr>
              <w:t>Network Access Control (NAC)</w:t>
            </w:r>
          </w:p>
          <w:p w14:paraId="4A3F873C" w14:textId="77777777" w:rsidR="001D5FE7" w:rsidRPr="00A54361" w:rsidRDefault="001D5FE7" w:rsidP="00A54361">
            <w:pPr>
              <w:jc w:val="both"/>
              <w:rPr>
                <w:rFonts w:cstheme="minorHAnsi"/>
                <w:sz w:val="20"/>
                <w:szCs w:val="20"/>
              </w:rPr>
            </w:pPr>
          </w:p>
          <w:p w14:paraId="357CA16D" w14:textId="32A63A33" w:rsidR="001D5FE7" w:rsidRPr="00A54361" w:rsidRDefault="001D5FE7" w:rsidP="00A54361">
            <w:pPr>
              <w:jc w:val="both"/>
              <w:rPr>
                <w:rFonts w:cstheme="minorHAnsi"/>
                <w:sz w:val="20"/>
                <w:szCs w:val="20"/>
              </w:rPr>
            </w:pPr>
            <w:r w:rsidRPr="00A54361">
              <w:rPr>
                <w:rFonts w:cstheme="minorHAnsi"/>
                <w:sz w:val="20"/>
                <w:szCs w:val="20"/>
              </w:rPr>
              <w:t>in at least One Scheduled Commercial Banks/</w:t>
            </w:r>
            <w:r w:rsidR="006B0F77" w:rsidRPr="00A54361">
              <w:rPr>
                <w:rFonts w:cstheme="minorHAnsi"/>
                <w:sz w:val="20"/>
                <w:szCs w:val="20"/>
              </w:rPr>
              <w:t xml:space="preserve"> </w:t>
            </w:r>
            <w:r w:rsidR="003F04AE" w:rsidRPr="00A54361">
              <w:rPr>
                <w:rFonts w:cstheme="minorHAnsi"/>
                <w:sz w:val="20"/>
                <w:szCs w:val="20"/>
              </w:rPr>
              <w:t>“</w:t>
            </w:r>
            <w:r w:rsidR="006B0F77" w:rsidRPr="00A54361">
              <w:rPr>
                <w:rFonts w:cstheme="minorHAnsi"/>
                <w:sz w:val="20"/>
                <w:szCs w:val="20"/>
              </w:rPr>
              <w:t>Govt/</w:t>
            </w:r>
            <w:r w:rsidR="003F04AE" w:rsidRPr="00A54361">
              <w:rPr>
                <w:rFonts w:cstheme="minorHAnsi"/>
                <w:sz w:val="20"/>
                <w:szCs w:val="20"/>
              </w:rPr>
              <w:t>Public” Listed</w:t>
            </w:r>
            <w:r w:rsidRPr="00A54361">
              <w:rPr>
                <w:rFonts w:cstheme="minorHAnsi"/>
                <w:sz w:val="20"/>
                <w:szCs w:val="20"/>
              </w:rPr>
              <w:t xml:space="preserve"> BFSI</w:t>
            </w:r>
            <w:r w:rsidR="003F04AE" w:rsidRPr="00A54361">
              <w:rPr>
                <w:rFonts w:cstheme="minorHAnsi"/>
                <w:sz w:val="20"/>
                <w:szCs w:val="20"/>
              </w:rPr>
              <w:t>/ RBI/ NABARD/ NPCI</w:t>
            </w:r>
            <w:r w:rsidRPr="00A54361">
              <w:rPr>
                <w:rFonts w:cstheme="minorHAnsi"/>
                <w:sz w:val="20"/>
                <w:szCs w:val="20"/>
              </w:rPr>
              <w:t xml:space="preserve"> in India.</w:t>
            </w:r>
          </w:p>
        </w:tc>
        <w:tc>
          <w:tcPr>
            <w:tcW w:w="1810" w:type="pct"/>
          </w:tcPr>
          <w:p w14:paraId="0949B5A8" w14:textId="1982104C" w:rsidR="001D5FE7" w:rsidRPr="00A54361" w:rsidRDefault="001D5FE7" w:rsidP="00A54361">
            <w:pPr>
              <w:jc w:val="both"/>
              <w:rPr>
                <w:rFonts w:cstheme="minorHAnsi"/>
                <w:sz w:val="20"/>
                <w:szCs w:val="20"/>
              </w:rPr>
            </w:pPr>
            <w:r w:rsidRPr="00A54361">
              <w:rPr>
                <w:rFonts w:cstheme="minorHAnsi"/>
                <w:sz w:val="20"/>
                <w:szCs w:val="20"/>
              </w:rPr>
              <w:t>Reference Letter/ Purchase order  of similar projects undertaken.</w:t>
            </w:r>
          </w:p>
        </w:tc>
        <w:tc>
          <w:tcPr>
            <w:tcW w:w="713" w:type="pct"/>
          </w:tcPr>
          <w:p w14:paraId="6BCAA673" w14:textId="77777777" w:rsidR="001D5FE7" w:rsidRPr="00A54361" w:rsidRDefault="001D5FE7" w:rsidP="00A54361">
            <w:pPr>
              <w:jc w:val="both"/>
              <w:rPr>
                <w:rFonts w:cstheme="minorHAnsi"/>
                <w:sz w:val="20"/>
                <w:szCs w:val="20"/>
              </w:rPr>
            </w:pPr>
          </w:p>
        </w:tc>
      </w:tr>
      <w:tr w:rsidR="000D3DC1" w:rsidRPr="00A54361" w14:paraId="00422645" w14:textId="77777777" w:rsidTr="005D16B3">
        <w:tc>
          <w:tcPr>
            <w:tcW w:w="5000" w:type="pct"/>
            <w:gridSpan w:val="4"/>
          </w:tcPr>
          <w:p w14:paraId="2DCF2EC6" w14:textId="387692BE" w:rsidR="0001407C" w:rsidRPr="00A54361" w:rsidRDefault="0001407C" w:rsidP="00A54361">
            <w:pPr>
              <w:jc w:val="both"/>
              <w:rPr>
                <w:rFonts w:cstheme="minorHAnsi"/>
                <w:b/>
                <w:bCs/>
                <w:sz w:val="20"/>
                <w:szCs w:val="20"/>
              </w:rPr>
            </w:pPr>
            <w:r w:rsidRPr="00A54361">
              <w:rPr>
                <w:rFonts w:cstheme="minorHAnsi"/>
                <w:b/>
                <w:bCs/>
                <w:sz w:val="20"/>
                <w:szCs w:val="20"/>
              </w:rPr>
              <w:t>OEM Eligibility Criteria</w:t>
            </w:r>
          </w:p>
        </w:tc>
      </w:tr>
      <w:tr w:rsidR="000D3DC1" w:rsidRPr="00A54361" w14:paraId="00570593" w14:textId="77777777" w:rsidTr="005D16B3">
        <w:tc>
          <w:tcPr>
            <w:tcW w:w="301" w:type="pct"/>
          </w:tcPr>
          <w:p w14:paraId="02B62807" w14:textId="77777777" w:rsidR="007B327F" w:rsidRPr="00A54361" w:rsidRDefault="007B327F" w:rsidP="00A54361">
            <w:pPr>
              <w:pStyle w:val="ListParagraph"/>
              <w:numPr>
                <w:ilvl w:val="0"/>
                <w:numId w:val="1"/>
              </w:numPr>
              <w:jc w:val="both"/>
              <w:rPr>
                <w:rFonts w:cstheme="minorHAnsi"/>
                <w:sz w:val="20"/>
                <w:szCs w:val="20"/>
              </w:rPr>
            </w:pPr>
          </w:p>
        </w:tc>
        <w:tc>
          <w:tcPr>
            <w:tcW w:w="2176" w:type="pct"/>
          </w:tcPr>
          <w:p w14:paraId="5D2BC676" w14:textId="0EBAEB65" w:rsidR="007B327F" w:rsidRPr="00A54361" w:rsidRDefault="007B327F" w:rsidP="00A54361">
            <w:pPr>
              <w:jc w:val="both"/>
              <w:rPr>
                <w:rFonts w:cstheme="minorHAnsi"/>
                <w:sz w:val="20"/>
                <w:szCs w:val="20"/>
              </w:rPr>
            </w:pPr>
            <w:r w:rsidRPr="00A54361">
              <w:rPr>
                <w:rFonts w:cstheme="minorHAnsi"/>
                <w:sz w:val="20"/>
                <w:szCs w:val="20"/>
              </w:rPr>
              <w:t xml:space="preserve">For the proposed OEMs’ solutions product series, </w:t>
            </w:r>
            <w:r w:rsidR="00840A05" w:rsidRPr="00A54361">
              <w:rPr>
                <w:rFonts w:cstheme="minorHAnsi"/>
                <w:sz w:val="20"/>
                <w:szCs w:val="20"/>
              </w:rPr>
              <w:t xml:space="preserve">minimum </w:t>
            </w:r>
            <w:r w:rsidR="00B57AF6" w:rsidRPr="00A54361">
              <w:rPr>
                <w:rFonts w:cstheme="minorHAnsi"/>
                <w:sz w:val="20"/>
                <w:szCs w:val="20"/>
              </w:rPr>
              <w:t>7</w:t>
            </w:r>
            <w:r w:rsidRPr="00A54361">
              <w:rPr>
                <w:rFonts w:cstheme="minorHAnsi"/>
                <w:sz w:val="20"/>
                <w:szCs w:val="20"/>
              </w:rPr>
              <w:t xml:space="preserve"> out of the </w:t>
            </w:r>
            <w:r w:rsidR="00840A05" w:rsidRPr="00A54361">
              <w:rPr>
                <w:rFonts w:cstheme="minorHAnsi"/>
                <w:sz w:val="20"/>
                <w:szCs w:val="20"/>
              </w:rPr>
              <w:t>below</w:t>
            </w:r>
            <w:r w:rsidRPr="00A54361">
              <w:rPr>
                <w:rFonts w:cstheme="minorHAnsi"/>
                <w:sz w:val="20"/>
                <w:szCs w:val="20"/>
              </w:rPr>
              <w:t xml:space="preserve"> solutions must have been implemented in at least One </w:t>
            </w:r>
            <w:r w:rsidR="008B4925" w:rsidRPr="00A54361">
              <w:rPr>
                <w:rFonts w:cstheme="minorHAnsi"/>
                <w:sz w:val="20"/>
                <w:szCs w:val="20"/>
              </w:rPr>
              <w:t xml:space="preserve">Scheduled Commercial Bank/ </w:t>
            </w:r>
            <w:r w:rsidR="00B57AF6" w:rsidRPr="00A54361">
              <w:rPr>
                <w:rFonts w:cstheme="minorHAnsi"/>
                <w:sz w:val="20"/>
                <w:szCs w:val="20"/>
              </w:rPr>
              <w:t>“Govt/Public” Listed BFSI/ RBI/ NABARD/ NPCI</w:t>
            </w:r>
            <w:r w:rsidRPr="00A54361">
              <w:rPr>
                <w:rFonts w:cstheme="minorHAnsi"/>
                <w:sz w:val="20"/>
                <w:szCs w:val="20"/>
              </w:rPr>
              <w:t xml:space="preserve"> in India in last 5 years.</w:t>
            </w:r>
          </w:p>
          <w:p w14:paraId="73698B3C" w14:textId="77777777" w:rsidR="007B327F" w:rsidRPr="00A54361" w:rsidRDefault="007B327F" w:rsidP="00A54361">
            <w:pPr>
              <w:jc w:val="both"/>
              <w:rPr>
                <w:rFonts w:cstheme="minorHAnsi"/>
                <w:sz w:val="20"/>
                <w:szCs w:val="20"/>
              </w:rPr>
            </w:pPr>
            <w:r w:rsidRPr="00A54361">
              <w:rPr>
                <w:rFonts w:cstheme="minorHAnsi"/>
                <w:sz w:val="20"/>
                <w:szCs w:val="20"/>
              </w:rPr>
              <w:t xml:space="preserve"> </w:t>
            </w:r>
          </w:p>
          <w:p w14:paraId="330F6BFE" w14:textId="77777777" w:rsidR="007B327F" w:rsidRPr="00A54361" w:rsidRDefault="007B327F" w:rsidP="00A54361">
            <w:pPr>
              <w:pStyle w:val="ListParagraph"/>
              <w:numPr>
                <w:ilvl w:val="0"/>
                <w:numId w:val="63"/>
              </w:numPr>
              <w:jc w:val="both"/>
              <w:rPr>
                <w:rFonts w:cstheme="minorHAnsi"/>
                <w:sz w:val="20"/>
                <w:szCs w:val="20"/>
              </w:rPr>
            </w:pPr>
            <w:r w:rsidRPr="00A54361">
              <w:rPr>
                <w:rFonts w:cstheme="minorHAnsi"/>
                <w:sz w:val="20"/>
                <w:szCs w:val="20"/>
              </w:rPr>
              <w:t>Data Discovery &amp; Classification</w:t>
            </w:r>
          </w:p>
          <w:p w14:paraId="0E4FE8E0" w14:textId="2BDA36A1" w:rsidR="000220BD" w:rsidRPr="00A54361" w:rsidRDefault="000220BD" w:rsidP="00A54361">
            <w:pPr>
              <w:pStyle w:val="ListParagraph"/>
              <w:numPr>
                <w:ilvl w:val="0"/>
                <w:numId w:val="63"/>
              </w:numPr>
              <w:jc w:val="both"/>
              <w:rPr>
                <w:rFonts w:cstheme="minorHAnsi"/>
                <w:sz w:val="20"/>
                <w:szCs w:val="20"/>
              </w:rPr>
            </w:pPr>
            <w:r w:rsidRPr="00A54361">
              <w:rPr>
                <w:rFonts w:cstheme="minorHAnsi"/>
                <w:sz w:val="20"/>
                <w:szCs w:val="20"/>
              </w:rPr>
              <w:t>File Upload Security Solution</w:t>
            </w:r>
          </w:p>
          <w:p w14:paraId="56D6CCB1" w14:textId="28242944" w:rsidR="007B327F" w:rsidRPr="00A54361" w:rsidRDefault="007B327F" w:rsidP="00A54361">
            <w:pPr>
              <w:pStyle w:val="ListParagraph"/>
              <w:numPr>
                <w:ilvl w:val="0"/>
                <w:numId w:val="63"/>
              </w:numPr>
              <w:jc w:val="both"/>
              <w:rPr>
                <w:rFonts w:cstheme="minorHAnsi"/>
                <w:sz w:val="20"/>
                <w:szCs w:val="20"/>
              </w:rPr>
            </w:pPr>
            <w:r w:rsidRPr="00A54361">
              <w:rPr>
                <w:rFonts w:cstheme="minorHAnsi"/>
                <w:sz w:val="20"/>
                <w:szCs w:val="20"/>
              </w:rPr>
              <w:t>Attack Surface Management (ASM)</w:t>
            </w:r>
          </w:p>
          <w:p w14:paraId="09778EBA" w14:textId="479BF042" w:rsidR="007B327F" w:rsidRPr="00A54361" w:rsidRDefault="007B327F" w:rsidP="00A54361">
            <w:pPr>
              <w:pStyle w:val="ListParagraph"/>
              <w:numPr>
                <w:ilvl w:val="0"/>
                <w:numId w:val="63"/>
              </w:numPr>
              <w:jc w:val="both"/>
              <w:rPr>
                <w:rFonts w:cstheme="minorHAnsi"/>
                <w:sz w:val="20"/>
                <w:szCs w:val="20"/>
              </w:rPr>
            </w:pPr>
            <w:r w:rsidRPr="00A54361">
              <w:rPr>
                <w:rFonts w:cstheme="minorHAnsi"/>
                <w:sz w:val="20"/>
                <w:szCs w:val="20"/>
              </w:rPr>
              <w:t xml:space="preserve">Breach and Attack Simulation (BAS) along with Red </w:t>
            </w:r>
            <w:r w:rsidR="006116D1" w:rsidRPr="00A54361">
              <w:rPr>
                <w:rFonts w:cstheme="minorHAnsi"/>
                <w:sz w:val="20"/>
                <w:szCs w:val="20"/>
              </w:rPr>
              <w:t>T</w:t>
            </w:r>
            <w:r w:rsidRPr="00A54361">
              <w:rPr>
                <w:rFonts w:cstheme="minorHAnsi"/>
                <w:sz w:val="20"/>
                <w:szCs w:val="20"/>
              </w:rPr>
              <w:t xml:space="preserve">eam </w:t>
            </w:r>
            <w:r w:rsidR="00715187" w:rsidRPr="00A54361">
              <w:rPr>
                <w:rFonts w:cstheme="minorHAnsi"/>
                <w:sz w:val="20"/>
                <w:szCs w:val="20"/>
              </w:rPr>
              <w:t>Solution</w:t>
            </w:r>
          </w:p>
          <w:p w14:paraId="4AAB22AD" w14:textId="77777777" w:rsidR="007B327F" w:rsidRPr="00A54361" w:rsidRDefault="007B327F" w:rsidP="00A54361">
            <w:pPr>
              <w:pStyle w:val="ListParagraph"/>
              <w:numPr>
                <w:ilvl w:val="0"/>
                <w:numId w:val="63"/>
              </w:numPr>
              <w:jc w:val="both"/>
              <w:rPr>
                <w:rFonts w:cstheme="minorHAnsi"/>
                <w:sz w:val="20"/>
                <w:szCs w:val="20"/>
              </w:rPr>
            </w:pPr>
            <w:r w:rsidRPr="00A54361">
              <w:rPr>
                <w:rFonts w:cstheme="minorHAnsi"/>
                <w:sz w:val="20"/>
                <w:szCs w:val="20"/>
              </w:rPr>
              <w:t>Phishing Simulation</w:t>
            </w:r>
          </w:p>
          <w:p w14:paraId="225E2E07" w14:textId="77777777" w:rsidR="007B327F" w:rsidRPr="00A54361" w:rsidRDefault="007B327F" w:rsidP="00A54361">
            <w:pPr>
              <w:pStyle w:val="ListParagraph"/>
              <w:numPr>
                <w:ilvl w:val="0"/>
                <w:numId w:val="63"/>
              </w:numPr>
              <w:jc w:val="both"/>
              <w:rPr>
                <w:rFonts w:cstheme="minorHAnsi"/>
                <w:sz w:val="20"/>
                <w:szCs w:val="20"/>
              </w:rPr>
            </w:pPr>
            <w:r w:rsidRPr="00A54361">
              <w:rPr>
                <w:rFonts w:cstheme="minorHAnsi"/>
                <w:sz w:val="20"/>
                <w:szCs w:val="20"/>
              </w:rPr>
              <w:t>AD Security</w:t>
            </w:r>
          </w:p>
          <w:p w14:paraId="12187A98" w14:textId="062FC0E2" w:rsidR="007B327F" w:rsidRPr="00A54361" w:rsidRDefault="002627C6" w:rsidP="00A54361">
            <w:pPr>
              <w:pStyle w:val="ListParagraph"/>
              <w:numPr>
                <w:ilvl w:val="0"/>
                <w:numId w:val="63"/>
              </w:numPr>
              <w:jc w:val="both"/>
              <w:rPr>
                <w:rFonts w:cstheme="minorHAnsi"/>
                <w:sz w:val="20"/>
                <w:szCs w:val="20"/>
              </w:rPr>
            </w:pPr>
            <w:r w:rsidRPr="00A54361">
              <w:rPr>
                <w:rFonts w:cstheme="minorHAnsi"/>
                <w:sz w:val="20"/>
                <w:szCs w:val="20"/>
              </w:rPr>
              <w:t xml:space="preserve">IT </w:t>
            </w:r>
            <w:r w:rsidR="007B327F" w:rsidRPr="00A54361">
              <w:rPr>
                <w:rFonts w:cstheme="minorHAnsi"/>
                <w:sz w:val="20"/>
                <w:szCs w:val="20"/>
              </w:rPr>
              <w:t>Governance, Risk &amp; Compliance</w:t>
            </w:r>
          </w:p>
          <w:p w14:paraId="5023C799" w14:textId="77777777" w:rsidR="007B327F" w:rsidRPr="00A54361" w:rsidRDefault="007B327F" w:rsidP="00A54361">
            <w:pPr>
              <w:pStyle w:val="ListParagraph"/>
              <w:numPr>
                <w:ilvl w:val="0"/>
                <w:numId w:val="63"/>
              </w:numPr>
              <w:jc w:val="both"/>
              <w:rPr>
                <w:rFonts w:cstheme="minorHAnsi"/>
                <w:sz w:val="20"/>
                <w:szCs w:val="20"/>
              </w:rPr>
            </w:pPr>
            <w:r w:rsidRPr="00A54361">
              <w:rPr>
                <w:rFonts w:cstheme="minorHAnsi"/>
                <w:sz w:val="20"/>
                <w:szCs w:val="20"/>
              </w:rPr>
              <w:t>Decoy (Honeypot)</w:t>
            </w:r>
          </w:p>
          <w:p w14:paraId="07AD2322" w14:textId="77777777" w:rsidR="007B327F" w:rsidRPr="00A54361" w:rsidRDefault="007B327F" w:rsidP="00A54361">
            <w:pPr>
              <w:pStyle w:val="ListParagraph"/>
              <w:numPr>
                <w:ilvl w:val="0"/>
                <w:numId w:val="63"/>
              </w:numPr>
              <w:jc w:val="both"/>
              <w:rPr>
                <w:rFonts w:cstheme="minorHAnsi"/>
                <w:sz w:val="20"/>
                <w:szCs w:val="20"/>
              </w:rPr>
            </w:pPr>
            <w:r w:rsidRPr="00A54361">
              <w:rPr>
                <w:rFonts w:cstheme="minorHAnsi"/>
                <w:sz w:val="20"/>
                <w:szCs w:val="20"/>
              </w:rPr>
              <w:t>Mobile Device Management</w:t>
            </w:r>
          </w:p>
          <w:p w14:paraId="18298E12" w14:textId="1050A422" w:rsidR="007B327F" w:rsidRPr="00A54361" w:rsidRDefault="007B327F" w:rsidP="00A54361">
            <w:pPr>
              <w:numPr>
                <w:ilvl w:val="0"/>
                <w:numId w:val="63"/>
              </w:numPr>
              <w:jc w:val="both"/>
              <w:rPr>
                <w:rFonts w:cstheme="minorHAnsi"/>
                <w:sz w:val="20"/>
                <w:szCs w:val="20"/>
              </w:rPr>
            </w:pPr>
            <w:r w:rsidRPr="00A54361">
              <w:rPr>
                <w:rFonts w:cstheme="minorHAnsi"/>
                <w:sz w:val="20"/>
                <w:szCs w:val="20"/>
              </w:rPr>
              <w:t>Secure Data Backup and Recovery</w:t>
            </w:r>
            <w:r w:rsidR="00A1671A" w:rsidRPr="00A54361">
              <w:rPr>
                <w:rFonts w:cstheme="minorHAnsi"/>
                <w:sz w:val="20"/>
                <w:szCs w:val="20"/>
              </w:rPr>
              <w:t xml:space="preserve"> (Ransomware Protection)</w:t>
            </w:r>
          </w:p>
          <w:p w14:paraId="4DBD3D0D" w14:textId="4F41E876" w:rsidR="004508E9" w:rsidRPr="00A54361" w:rsidRDefault="004508E9" w:rsidP="00A54361">
            <w:pPr>
              <w:numPr>
                <w:ilvl w:val="0"/>
                <w:numId w:val="63"/>
              </w:numPr>
              <w:jc w:val="both"/>
              <w:rPr>
                <w:rFonts w:cstheme="minorHAnsi"/>
                <w:sz w:val="20"/>
                <w:szCs w:val="20"/>
              </w:rPr>
            </w:pPr>
            <w:r w:rsidRPr="00A54361">
              <w:rPr>
                <w:rFonts w:cstheme="minorHAnsi"/>
                <w:sz w:val="20"/>
                <w:szCs w:val="20"/>
              </w:rPr>
              <w:t xml:space="preserve">Network Access Control </w:t>
            </w:r>
            <w:r w:rsidR="00FE63CF" w:rsidRPr="00A54361">
              <w:rPr>
                <w:rFonts w:cstheme="minorHAnsi"/>
                <w:sz w:val="20"/>
                <w:szCs w:val="20"/>
              </w:rPr>
              <w:t>(NAC)</w:t>
            </w:r>
          </w:p>
          <w:p w14:paraId="212A4DCA" w14:textId="0D3BFD4B" w:rsidR="007B327F" w:rsidRPr="00A54361" w:rsidRDefault="007B327F" w:rsidP="00A54361">
            <w:pPr>
              <w:ind w:left="720"/>
              <w:jc w:val="both"/>
              <w:rPr>
                <w:rFonts w:cstheme="minorHAnsi"/>
                <w:sz w:val="20"/>
                <w:szCs w:val="20"/>
              </w:rPr>
            </w:pPr>
            <w:r w:rsidRPr="00A54361">
              <w:rPr>
                <w:rFonts w:cstheme="minorHAnsi"/>
                <w:noProof/>
                <w:sz w:val="20"/>
                <w:szCs w:val="20"/>
                <w:lang w:val="en-GB" w:eastAsia="en-GB"/>
                <w14:ligatures w14:val="standardContextual"/>
              </w:rPr>
              <mc:AlternateContent>
                <mc:Choice Requires="wpi">
                  <w:drawing>
                    <wp:anchor distT="0" distB="0" distL="114300" distR="114300" simplePos="0" relativeHeight="251657728" behindDoc="0" locked="0" layoutInCell="1" allowOverlap="1" wp14:anchorId="5170D4ED" wp14:editId="70A56827">
                      <wp:simplePos x="0" y="0"/>
                      <wp:positionH relativeFrom="column">
                        <wp:posOffset>1273510</wp:posOffset>
                      </wp:positionH>
                      <wp:positionV relativeFrom="paragraph">
                        <wp:posOffset>4735</wp:posOffset>
                      </wp:positionV>
                      <wp:extent cx="360" cy="360"/>
                      <wp:effectExtent l="38100" t="38100" r="38100" b="38100"/>
                      <wp:wrapNone/>
                      <wp:docPr id="1620462293" name="Ink 4"/>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type w14:anchorId="3DD4732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99.8pt;margin-top:-.15pt;width:1.05pt;height:1.05pt;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">
                      <v:imagedata r:id="rId15" o:title=""/>
                    </v:shape>
                  </w:pict>
                </mc:Fallback>
              </mc:AlternateContent>
            </w:r>
          </w:p>
        </w:tc>
        <w:tc>
          <w:tcPr>
            <w:tcW w:w="1810" w:type="pct"/>
          </w:tcPr>
          <w:p w14:paraId="1DCA23AF" w14:textId="14999B21" w:rsidR="007B327F" w:rsidRPr="00A54361" w:rsidRDefault="007B327F" w:rsidP="00A54361">
            <w:pPr>
              <w:jc w:val="both"/>
              <w:rPr>
                <w:rFonts w:cstheme="minorHAnsi"/>
                <w:sz w:val="20"/>
                <w:szCs w:val="20"/>
              </w:rPr>
            </w:pPr>
            <w:r w:rsidRPr="00A54361">
              <w:rPr>
                <w:rFonts w:cstheme="minorHAnsi"/>
                <w:sz w:val="20"/>
                <w:szCs w:val="20"/>
              </w:rPr>
              <w:t xml:space="preserve">Reference Letter/ Purchase order of similar projects undertaken. </w:t>
            </w:r>
          </w:p>
        </w:tc>
        <w:tc>
          <w:tcPr>
            <w:tcW w:w="713" w:type="pct"/>
          </w:tcPr>
          <w:p w14:paraId="6EC7C17F" w14:textId="77777777" w:rsidR="007B327F" w:rsidRPr="00A54361" w:rsidRDefault="007B327F" w:rsidP="00A54361">
            <w:pPr>
              <w:jc w:val="both"/>
              <w:rPr>
                <w:rFonts w:cstheme="minorHAnsi"/>
                <w:sz w:val="20"/>
                <w:szCs w:val="20"/>
              </w:rPr>
            </w:pPr>
          </w:p>
        </w:tc>
      </w:tr>
    </w:tbl>
    <w:p w14:paraId="7EE60BA6" w14:textId="686885B3" w:rsidR="00AF703F" w:rsidRPr="00A54361" w:rsidRDefault="00EA4E48" w:rsidP="00A54361">
      <w:pPr>
        <w:spacing w:before="120" w:after="120"/>
        <w:jc w:val="both"/>
        <w:rPr>
          <w:rFonts w:cstheme="minorHAnsi"/>
        </w:rPr>
      </w:pPr>
      <w:r w:rsidRPr="00A54361">
        <w:rPr>
          <w:rFonts w:cstheme="minorHAnsi"/>
          <w:b/>
          <w:bCs/>
        </w:rPr>
        <w:t>*Note:</w:t>
      </w:r>
      <w:r w:rsidRPr="00A54361">
        <w:rPr>
          <w:rFonts w:cstheme="minorHAnsi"/>
        </w:rPr>
        <w:t xml:space="preserve"> </w:t>
      </w:r>
      <w:r w:rsidR="00AF703F" w:rsidRPr="00A54361">
        <w:rPr>
          <w:rFonts w:cstheme="minorHAnsi"/>
        </w:rPr>
        <w:t>If case of unaudited Balance Sheet for FY 202</w:t>
      </w:r>
      <w:r w:rsidR="00A90C13" w:rsidRPr="00A54361">
        <w:rPr>
          <w:rFonts w:cstheme="minorHAnsi"/>
        </w:rPr>
        <w:t>3</w:t>
      </w:r>
      <w:r w:rsidR="00AF703F" w:rsidRPr="00A54361">
        <w:rPr>
          <w:rFonts w:cstheme="minorHAnsi"/>
        </w:rPr>
        <w:t>-2</w:t>
      </w:r>
      <w:r w:rsidR="00A90C13" w:rsidRPr="00A54361">
        <w:rPr>
          <w:rFonts w:cstheme="minorHAnsi"/>
        </w:rPr>
        <w:t>4</w:t>
      </w:r>
      <w:r w:rsidR="00AF703F" w:rsidRPr="00A54361">
        <w:rPr>
          <w:rFonts w:cstheme="minorHAnsi"/>
        </w:rPr>
        <w:t>, Bidder needs to submit</w:t>
      </w:r>
      <w:r w:rsidR="006E1434" w:rsidRPr="00A54361">
        <w:rPr>
          <w:rFonts w:cstheme="minorHAnsi"/>
        </w:rPr>
        <w:t xml:space="preserve"> Provisional Balance Sheet along with </w:t>
      </w:r>
      <w:r w:rsidR="00AF703F" w:rsidRPr="00A54361">
        <w:rPr>
          <w:rFonts w:cstheme="minorHAnsi"/>
        </w:rPr>
        <w:t>copy of CA Certificate for FY 202</w:t>
      </w:r>
      <w:r w:rsidR="00DA0DE9" w:rsidRPr="00A54361">
        <w:rPr>
          <w:rFonts w:cstheme="minorHAnsi"/>
        </w:rPr>
        <w:t>3</w:t>
      </w:r>
      <w:r w:rsidR="00AF703F" w:rsidRPr="00A54361">
        <w:rPr>
          <w:rFonts w:cstheme="minorHAnsi"/>
        </w:rPr>
        <w:t>-2</w:t>
      </w:r>
      <w:r w:rsidR="00DA0DE9" w:rsidRPr="00A54361">
        <w:rPr>
          <w:rFonts w:cstheme="minorHAnsi"/>
        </w:rPr>
        <w:t>4</w:t>
      </w:r>
      <w:r w:rsidR="00261CEC" w:rsidRPr="00A54361">
        <w:rPr>
          <w:rFonts w:cstheme="minorHAnsi"/>
        </w:rPr>
        <w:t>.</w:t>
      </w:r>
    </w:p>
    <w:p w14:paraId="3D77549C" w14:textId="3368B903" w:rsidR="004A436E" w:rsidRPr="00A54361" w:rsidRDefault="0048790B" w:rsidP="00A54361">
      <w:pPr>
        <w:spacing w:before="120" w:after="120"/>
        <w:jc w:val="both"/>
        <w:rPr>
          <w:rFonts w:cstheme="minorHAnsi"/>
        </w:rPr>
      </w:pPr>
      <w:r w:rsidRPr="00A54361">
        <w:rPr>
          <w:rFonts w:cstheme="minorHAnsi"/>
        </w:rPr>
        <w:t>The bidder must submit only such document as evidence of any fact as required herein. The Bank, if required, may call for additional documents during the evaluation process and the bidder will be bound to provide the same.</w:t>
      </w:r>
      <w:r w:rsidR="0002741C">
        <w:rPr>
          <w:rFonts w:cstheme="minorHAnsi"/>
        </w:rPr>
        <w:t xml:space="preserve">  B</w:t>
      </w:r>
      <w:r w:rsidR="00671C1D" w:rsidRPr="00A54361">
        <w:rPr>
          <w:rFonts w:cstheme="minorHAnsi"/>
        </w:rPr>
        <w:t xml:space="preserve">ank </w:t>
      </w:r>
      <w:r w:rsidR="004A436E" w:rsidRPr="00A54361">
        <w:rPr>
          <w:rFonts w:cstheme="minorHAnsi"/>
        </w:rPr>
        <w:t xml:space="preserve">reserves the right to verify references provided by the Bidder independently. Any decision of </w:t>
      </w:r>
      <w:r w:rsidR="00A409FC" w:rsidRPr="00A54361">
        <w:rPr>
          <w:rFonts w:cstheme="minorHAnsi"/>
        </w:rPr>
        <w:t xml:space="preserve">bank </w:t>
      </w:r>
      <w:r w:rsidR="004A436E" w:rsidRPr="00A54361">
        <w:rPr>
          <w:rFonts w:cstheme="minorHAnsi"/>
        </w:rPr>
        <w:t xml:space="preserve">in this regard shall be final, </w:t>
      </w:r>
      <w:r w:rsidR="009532D9" w:rsidRPr="00A54361">
        <w:rPr>
          <w:rFonts w:cstheme="minorHAnsi"/>
        </w:rPr>
        <w:t>conclusive,</w:t>
      </w:r>
      <w:r w:rsidR="004A436E" w:rsidRPr="00A54361">
        <w:rPr>
          <w:rFonts w:cstheme="minorHAnsi"/>
        </w:rPr>
        <w:t xml:space="preserve"> and binding up on the bidder.  </w:t>
      </w:r>
      <w:r w:rsidR="00671C1D" w:rsidRPr="00A54361">
        <w:rPr>
          <w:rFonts w:cstheme="minorHAnsi"/>
        </w:rPr>
        <w:t xml:space="preserve">Bank </w:t>
      </w:r>
      <w:r w:rsidR="004A436E" w:rsidRPr="00A54361">
        <w:rPr>
          <w:rFonts w:cstheme="minorHAnsi"/>
        </w:rPr>
        <w:t>may accept or reject an offer without assigning any reason whatsoever.</w:t>
      </w:r>
    </w:p>
    <w:p w14:paraId="25F5B380" w14:textId="77777777" w:rsidR="004A436E" w:rsidRPr="00A54361" w:rsidRDefault="004A436E" w:rsidP="00A54361">
      <w:pPr>
        <w:numPr>
          <w:ilvl w:val="0"/>
          <w:numId w:val="44"/>
        </w:numPr>
        <w:spacing w:before="96" w:after="96" w:line="240" w:lineRule="auto"/>
        <w:jc w:val="both"/>
        <w:rPr>
          <w:rFonts w:cstheme="minorHAnsi"/>
        </w:rPr>
      </w:pPr>
      <w:r w:rsidRPr="00A54361">
        <w:rPr>
          <w:rFonts w:cstheme="minorHAnsi"/>
        </w:rPr>
        <w:t xml:space="preserve">Bidders need to ensure compliance to all the eligibility criteria points. </w:t>
      </w:r>
    </w:p>
    <w:p w14:paraId="5DF3EC45" w14:textId="77777777" w:rsidR="004A436E" w:rsidRPr="00A54361" w:rsidRDefault="004A436E" w:rsidP="00A54361">
      <w:pPr>
        <w:numPr>
          <w:ilvl w:val="0"/>
          <w:numId w:val="44"/>
        </w:numPr>
        <w:spacing w:before="96" w:after="96" w:line="240" w:lineRule="auto"/>
        <w:jc w:val="both"/>
        <w:rPr>
          <w:rFonts w:cstheme="minorHAnsi"/>
        </w:rPr>
      </w:pPr>
      <w:r w:rsidRPr="00A54361">
        <w:rPr>
          <w:rFonts w:cstheme="minorHAnsi"/>
        </w:rPr>
        <w:t xml:space="preserve">In-case of corporate restructuring the earlier entity’s incorporation certificate, financial statements, Credentials, etc. may be considered. </w:t>
      </w:r>
    </w:p>
    <w:p w14:paraId="71BC0ACD" w14:textId="77777777" w:rsidR="004A436E" w:rsidRPr="00A54361" w:rsidRDefault="004A436E" w:rsidP="00A54361">
      <w:pPr>
        <w:numPr>
          <w:ilvl w:val="0"/>
          <w:numId w:val="44"/>
        </w:numPr>
        <w:spacing w:before="96" w:after="96" w:line="240" w:lineRule="auto"/>
        <w:jc w:val="both"/>
        <w:rPr>
          <w:rFonts w:cstheme="minorHAnsi"/>
        </w:rPr>
      </w:pPr>
      <w:r w:rsidRPr="00A54361">
        <w:rPr>
          <w:rFonts w:cstheme="minorHAnsi"/>
        </w:rPr>
        <w:t xml:space="preserve">In case of business transfer where Bidder has acquired a Business from an entity (“Seller”), work experience credentials of the Seller in relation to the acquired business may be considered. </w:t>
      </w:r>
    </w:p>
    <w:p w14:paraId="55F73E5A" w14:textId="0C1D570F" w:rsidR="004A436E" w:rsidRPr="00A54361" w:rsidRDefault="00806DE7" w:rsidP="00A54361">
      <w:pPr>
        <w:numPr>
          <w:ilvl w:val="0"/>
          <w:numId w:val="44"/>
        </w:numPr>
        <w:spacing w:before="96" w:after="96" w:line="240" w:lineRule="auto"/>
        <w:jc w:val="both"/>
        <w:rPr>
          <w:rFonts w:cstheme="minorHAnsi"/>
        </w:rPr>
      </w:pPr>
      <w:r w:rsidRPr="00A54361">
        <w:rPr>
          <w:rFonts w:cstheme="minorHAnsi"/>
        </w:rPr>
        <w:t xml:space="preserve">Bidder </w:t>
      </w:r>
      <w:r w:rsidR="00BB3CB7" w:rsidRPr="00A54361">
        <w:rPr>
          <w:rFonts w:cstheme="minorHAnsi"/>
        </w:rPr>
        <w:t>must</w:t>
      </w:r>
      <w:r w:rsidRPr="00A54361">
        <w:rPr>
          <w:rFonts w:cstheme="minorHAnsi"/>
        </w:rPr>
        <w:t xml:space="preserve"> provide credential letter or </w:t>
      </w:r>
      <w:r w:rsidR="00F2348C" w:rsidRPr="00A54361">
        <w:rPr>
          <w:rFonts w:cstheme="minorHAnsi"/>
        </w:rPr>
        <w:t xml:space="preserve">successful </w:t>
      </w:r>
      <w:r w:rsidRPr="00A54361">
        <w:rPr>
          <w:rFonts w:cstheme="minorHAnsi"/>
        </w:rPr>
        <w:t>installation sign off document</w:t>
      </w:r>
      <w:r w:rsidR="004A436E" w:rsidRPr="00A54361">
        <w:rPr>
          <w:rFonts w:cstheme="minorHAnsi"/>
        </w:rPr>
        <w:t>.</w:t>
      </w:r>
    </w:p>
    <w:p w14:paraId="43B05024" w14:textId="0B6D873F" w:rsidR="004A436E" w:rsidRPr="00A54361" w:rsidRDefault="004A436E" w:rsidP="00A54361">
      <w:pPr>
        <w:pStyle w:val="ListParagraph"/>
        <w:numPr>
          <w:ilvl w:val="0"/>
          <w:numId w:val="44"/>
        </w:numPr>
        <w:spacing w:before="120" w:after="0"/>
        <w:jc w:val="both"/>
        <w:rPr>
          <w:rFonts w:cstheme="minorHAnsi"/>
        </w:rPr>
      </w:pPr>
      <w:r w:rsidRPr="00A54361">
        <w:rPr>
          <w:rFonts w:cstheme="minorHAnsi"/>
        </w:rPr>
        <w:t>Scheduled Commercial Bank does not include Payments Bank, Cooperative Banks or RRBs.</w:t>
      </w:r>
    </w:p>
    <w:p w14:paraId="2B08263A" w14:textId="77777777" w:rsidR="004A436E" w:rsidRPr="00A54361" w:rsidRDefault="004A436E" w:rsidP="00A54361">
      <w:pPr>
        <w:numPr>
          <w:ilvl w:val="0"/>
          <w:numId w:val="44"/>
        </w:numPr>
        <w:spacing w:after="0" w:line="240" w:lineRule="auto"/>
        <w:jc w:val="both"/>
        <w:rPr>
          <w:rFonts w:cstheme="minorHAnsi"/>
        </w:rPr>
      </w:pPr>
      <w:r w:rsidRPr="00A54361">
        <w:rPr>
          <w:rFonts w:cstheme="minorHAnsi"/>
        </w:rPr>
        <w:t xml:space="preserve">While submitting the bid, the Bidder is required to comply with inter alia the following CVC guidelines detailed in Circular No. 03/01/12 (No.12-02-6 CTE/SPI (I) 2 / 161730 dated 13.01.2012): ‘Commission has decided that in all cases of procurement, the following guidelines may be followed: </w:t>
      </w:r>
    </w:p>
    <w:p w14:paraId="72AF3FA8" w14:textId="77777777" w:rsidR="004A436E" w:rsidRPr="00A54361" w:rsidRDefault="004A436E" w:rsidP="00A54361">
      <w:pPr>
        <w:pStyle w:val="ListParagraph"/>
        <w:numPr>
          <w:ilvl w:val="1"/>
          <w:numId w:val="45"/>
        </w:numPr>
        <w:autoSpaceDE w:val="0"/>
        <w:autoSpaceDN w:val="0"/>
        <w:spacing w:before="96" w:after="96" w:line="240" w:lineRule="auto"/>
        <w:ind w:left="720"/>
        <w:contextualSpacing w:val="0"/>
        <w:jc w:val="both"/>
        <w:rPr>
          <w:rFonts w:cstheme="minorHAnsi"/>
          <w:lang w:val="en-US"/>
        </w:rPr>
      </w:pPr>
      <w:r w:rsidRPr="00A54361">
        <w:rPr>
          <w:rFonts w:cstheme="minorHAnsi"/>
          <w:i/>
          <w:iCs/>
          <w:lang w:val="en-US"/>
        </w:rPr>
        <w:lastRenderedPageBreak/>
        <w:t xml:space="preserve">In RFP, either the Indian agent on behalf of the Bidder/OEM or Bidder/OEM itself can bid but both cannot bid simultaneously for the same item/product in the same RFP. The reference of 'item/product' in the CVC guidelines refer to ‘the final solution that bidders will deliver to the customer. </w:t>
      </w:r>
    </w:p>
    <w:p w14:paraId="115A5BA2" w14:textId="3760A1B4" w:rsidR="00005522" w:rsidRPr="00A54361" w:rsidRDefault="004A436E" w:rsidP="00A54361">
      <w:pPr>
        <w:pStyle w:val="ListParagraph"/>
        <w:numPr>
          <w:ilvl w:val="1"/>
          <w:numId w:val="45"/>
        </w:numPr>
        <w:autoSpaceDE w:val="0"/>
        <w:autoSpaceDN w:val="0"/>
        <w:spacing w:before="96" w:after="96" w:line="240" w:lineRule="auto"/>
        <w:ind w:left="720"/>
        <w:contextualSpacing w:val="0"/>
        <w:jc w:val="both"/>
        <w:rPr>
          <w:rFonts w:cstheme="minorHAnsi"/>
          <w:lang w:val="en-US"/>
        </w:rPr>
      </w:pPr>
      <w:r w:rsidRPr="00A54361">
        <w:rPr>
          <w:rFonts w:cstheme="minorHAnsi"/>
          <w:i/>
          <w:iCs/>
          <w:lang w:val="en-US"/>
        </w:rPr>
        <w:t>If an agent submits bid on behalf of the Bidder /OEM, the same agent shall not submit a bid on behalf of another Bidder /OEM in the same RFP for the same item/product.</w:t>
      </w:r>
      <w:r w:rsidR="0081645B" w:rsidRPr="00A54361">
        <w:rPr>
          <w:rFonts w:cstheme="minorHAnsi"/>
          <w:lang w:val="en-US"/>
        </w:rPr>
        <w:tab/>
      </w:r>
    </w:p>
    <w:p w14:paraId="0461ADC2" w14:textId="445CFCCE" w:rsidR="0048790B" w:rsidRPr="00A54361" w:rsidRDefault="00CF5E7A" w:rsidP="00A54361">
      <w:pPr>
        <w:pStyle w:val="Heading1"/>
        <w:numPr>
          <w:ilvl w:val="0"/>
          <w:numId w:val="48"/>
        </w:numPr>
        <w:jc w:val="both"/>
        <w:rPr>
          <w:rFonts w:asciiTheme="minorHAnsi" w:hAnsiTheme="minorHAnsi" w:cstheme="minorHAnsi"/>
          <w:color w:val="auto"/>
        </w:rPr>
      </w:pPr>
      <w:bookmarkStart w:id="2" w:name="_Toc182233328"/>
      <w:r w:rsidRPr="00A54361">
        <w:rPr>
          <w:rFonts w:asciiTheme="minorHAnsi" w:hAnsiTheme="minorHAnsi" w:cstheme="minorHAnsi"/>
          <w:color w:val="auto"/>
        </w:rPr>
        <w:t xml:space="preserve">EMD / </w:t>
      </w:r>
      <w:r w:rsidR="0048790B" w:rsidRPr="00A54361">
        <w:rPr>
          <w:rFonts w:asciiTheme="minorHAnsi" w:hAnsiTheme="minorHAnsi" w:cstheme="minorHAnsi"/>
          <w:color w:val="auto"/>
        </w:rPr>
        <w:t>Bid Security</w:t>
      </w:r>
      <w:bookmarkEnd w:id="2"/>
      <w:r w:rsidR="0048790B" w:rsidRPr="00A54361">
        <w:rPr>
          <w:rFonts w:asciiTheme="minorHAnsi" w:hAnsiTheme="minorHAnsi" w:cstheme="minorHAnsi"/>
          <w:color w:val="auto"/>
        </w:rPr>
        <w:t xml:space="preserve"> </w:t>
      </w:r>
    </w:p>
    <w:p w14:paraId="62981671" w14:textId="1EB6B7A8" w:rsidR="0048790B" w:rsidRPr="00A54361" w:rsidRDefault="0048790B" w:rsidP="00A54361">
      <w:pPr>
        <w:spacing w:before="120" w:after="120"/>
        <w:jc w:val="both"/>
        <w:rPr>
          <w:rFonts w:cstheme="minorHAnsi"/>
        </w:rPr>
      </w:pPr>
      <w:r w:rsidRPr="00A54361">
        <w:rPr>
          <w:rFonts w:cstheme="minorHAnsi"/>
        </w:rPr>
        <w:t xml:space="preserve">An amount of </w:t>
      </w:r>
      <w:r w:rsidR="00806DE7" w:rsidRPr="00A54361">
        <w:rPr>
          <w:rFonts w:cstheme="minorHAnsi"/>
        </w:rPr>
        <w:t>₹</w:t>
      </w:r>
      <w:r w:rsidR="00FC4208" w:rsidRPr="00A54361">
        <w:rPr>
          <w:rFonts w:cstheme="minorHAnsi"/>
        </w:rPr>
        <w:t xml:space="preserve"> </w:t>
      </w:r>
      <w:r w:rsidR="00DD3F35" w:rsidRPr="00A54361">
        <w:rPr>
          <w:rFonts w:cstheme="minorHAnsi"/>
        </w:rPr>
        <w:t>1,60</w:t>
      </w:r>
      <w:r w:rsidR="00E31C87" w:rsidRPr="00A54361">
        <w:rPr>
          <w:rFonts w:cstheme="minorHAnsi"/>
        </w:rPr>
        <w:t>,00,000/- (R</w:t>
      </w:r>
      <w:r w:rsidR="00DC3B38" w:rsidRPr="00A54361">
        <w:rPr>
          <w:rFonts w:cstheme="minorHAnsi"/>
        </w:rPr>
        <w:t>upees</w:t>
      </w:r>
      <w:r w:rsidR="00E31C87" w:rsidRPr="00A54361">
        <w:rPr>
          <w:rFonts w:cstheme="minorHAnsi"/>
        </w:rPr>
        <w:t xml:space="preserve"> </w:t>
      </w:r>
      <w:r w:rsidR="00DD3F35" w:rsidRPr="00A54361">
        <w:rPr>
          <w:rFonts w:cstheme="minorHAnsi"/>
        </w:rPr>
        <w:t xml:space="preserve">One Crore Sixty Lacs </w:t>
      </w:r>
      <w:r w:rsidR="00E31C87" w:rsidRPr="00A54361">
        <w:rPr>
          <w:rFonts w:cstheme="minorHAnsi"/>
        </w:rPr>
        <w:t>Only )</w:t>
      </w:r>
      <w:r w:rsidR="005B1741" w:rsidRPr="00A54361">
        <w:rPr>
          <w:rFonts w:cstheme="minorHAnsi"/>
        </w:rPr>
        <w:t xml:space="preserve"> </w:t>
      </w:r>
      <w:r w:rsidRPr="00A54361">
        <w:rPr>
          <w:rFonts w:cstheme="minorHAnsi"/>
        </w:rPr>
        <w:t xml:space="preserve">in the form of Bank Guarantee issued by a scheduled bank other than Central Bank of India for the entire period of Bid validity plus 3 months or by means of </w:t>
      </w:r>
      <w:r w:rsidR="004D39FA" w:rsidRPr="00A54361">
        <w:rPr>
          <w:rFonts w:eastAsia="Calibri" w:cstheme="minorHAnsi"/>
          <w:lang w:val="en-US"/>
        </w:rPr>
        <w:t>Account Payee Demand Draft</w:t>
      </w:r>
      <w:r w:rsidR="004D39FA" w:rsidRPr="00A54361">
        <w:rPr>
          <w:rFonts w:cstheme="minorHAnsi"/>
        </w:rPr>
        <w:t xml:space="preserve"> </w:t>
      </w:r>
      <w:r w:rsidRPr="00A54361">
        <w:rPr>
          <w:rFonts w:cstheme="minorHAnsi"/>
        </w:rPr>
        <w:t xml:space="preserve">/ banker’s cheque /RTGS/NEFT in the account no.-3287810289 of Central Bank of India (IFSC Code – CBIN0283154) with narration Tender ref in </w:t>
      </w:r>
      <w:r w:rsidR="006D5617" w:rsidRPr="00A54361">
        <w:rPr>
          <w:rFonts w:cstheme="minorHAnsi"/>
        </w:rPr>
        <w:t>favour</w:t>
      </w:r>
      <w:r w:rsidRPr="00A54361">
        <w:rPr>
          <w:rFonts w:cstheme="minorHAnsi"/>
        </w:rPr>
        <w:t xml:space="preserve"> of “Central Bank Of India” and payable at Mumbai/Navi Mumbai.</w:t>
      </w:r>
    </w:p>
    <w:p w14:paraId="3A690C9D" w14:textId="77777777" w:rsidR="00D9279F" w:rsidRPr="00A54361" w:rsidRDefault="00D9279F" w:rsidP="00A54361">
      <w:pPr>
        <w:suppressAutoHyphens/>
        <w:spacing w:after="0" w:line="240" w:lineRule="auto"/>
        <w:ind w:right="-96"/>
        <w:jc w:val="both"/>
        <w:rPr>
          <w:rFonts w:asciiTheme="majorHAnsi" w:hAnsiTheme="majorHAnsi" w:cs="Times New Roman"/>
          <w:b/>
          <w:kern w:val="1"/>
          <w:sz w:val="24"/>
          <w:szCs w:val="24"/>
          <w:lang w:eastAsia="ar-SA"/>
        </w:rPr>
      </w:pPr>
      <w:r w:rsidRPr="00A54361">
        <w:rPr>
          <w:rFonts w:asciiTheme="majorHAnsi" w:hAnsiTheme="majorHAnsi" w:cs="Times New Roman"/>
          <w:b/>
          <w:kern w:val="1"/>
          <w:sz w:val="24"/>
          <w:szCs w:val="24"/>
          <w:lang w:eastAsia="ar-SA"/>
        </w:rPr>
        <w:t>The EMD / Bid Security shall be liable to be forfeited:</w:t>
      </w:r>
    </w:p>
    <w:p w14:paraId="6B15B754" w14:textId="77777777" w:rsidR="00D9279F" w:rsidRPr="00A54361" w:rsidRDefault="00D9279F" w:rsidP="00A54361">
      <w:pPr>
        <w:suppressAutoHyphens/>
        <w:spacing w:after="0" w:line="240" w:lineRule="auto"/>
        <w:ind w:right="-96"/>
        <w:jc w:val="both"/>
        <w:rPr>
          <w:rFonts w:asciiTheme="majorHAnsi" w:hAnsiTheme="majorHAnsi" w:cs="Times New Roman"/>
          <w:kern w:val="1"/>
          <w:sz w:val="24"/>
          <w:szCs w:val="24"/>
          <w:lang w:eastAsia="ar-SA"/>
        </w:rPr>
      </w:pPr>
    </w:p>
    <w:p w14:paraId="3B26F89E" w14:textId="77777777" w:rsidR="00D9279F" w:rsidRPr="00A54361" w:rsidRDefault="00D9279F" w:rsidP="00A54361">
      <w:pPr>
        <w:pStyle w:val="ListParagraph"/>
        <w:numPr>
          <w:ilvl w:val="0"/>
          <w:numId w:val="92"/>
        </w:numPr>
        <w:suppressAutoHyphens/>
        <w:spacing w:after="0" w:line="240" w:lineRule="auto"/>
        <w:ind w:right="-96"/>
        <w:jc w:val="both"/>
        <w:rPr>
          <w:rFonts w:asciiTheme="majorHAnsi" w:hAnsiTheme="majorHAnsi" w:cs="Times New Roman"/>
          <w:kern w:val="1"/>
          <w:sz w:val="24"/>
          <w:szCs w:val="24"/>
          <w:lang w:eastAsia="ar-SA"/>
        </w:rPr>
      </w:pPr>
      <w:r w:rsidRPr="00A54361">
        <w:rPr>
          <w:rFonts w:asciiTheme="majorHAnsi" w:hAnsiTheme="majorHAnsi" w:cs="Times New Roman"/>
          <w:kern w:val="1"/>
          <w:sz w:val="24"/>
          <w:szCs w:val="24"/>
          <w:lang w:eastAsia="ar-SA"/>
        </w:rPr>
        <w:t>if a Bidder withdraws its tender during the period of tender validity specified by the Bidder; or</w:t>
      </w:r>
    </w:p>
    <w:p w14:paraId="611C9CD7" w14:textId="77777777" w:rsidR="00D9279F" w:rsidRPr="00A54361" w:rsidRDefault="00D9279F" w:rsidP="00A54361">
      <w:pPr>
        <w:pStyle w:val="ListParagraph"/>
        <w:numPr>
          <w:ilvl w:val="0"/>
          <w:numId w:val="92"/>
        </w:numPr>
        <w:suppressAutoHyphens/>
        <w:spacing w:after="0" w:line="240" w:lineRule="auto"/>
        <w:ind w:right="-96"/>
        <w:jc w:val="both"/>
        <w:rPr>
          <w:rFonts w:asciiTheme="majorHAnsi" w:hAnsiTheme="majorHAnsi" w:cs="Times New Roman"/>
          <w:kern w:val="1"/>
          <w:sz w:val="24"/>
          <w:szCs w:val="24"/>
          <w:lang w:eastAsia="ar-SA"/>
        </w:rPr>
      </w:pPr>
      <w:r w:rsidRPr="00A54361">
        <w:rPr>
          <w:rFonts w:asciiTheme="majorHAnsi" w:hAnsiTheme="majorHAnsi" w:cs="Times New Roman"/>
          <w:kern w:val="1"/>
          <w:sz w:val="24"/>
          <w:szCs w:val="24"/>
          <w:lang w:eastAsia="ar-SA"/>
        </w:rPr>
        <w:t>if the Bidder does not accept the correction of its Tender Price; or</w:t>
      </w:r>
    </w:p>
    <w:p w14:paraId="21B9BCF9" w14:textId="77777777" w:rsidR="00D9279F" w:rsidRPr="00A54361" w:rsidRDefault="00D9279F" w:rsidP="00A54361">
      <w:pPr>
        <w:pStyle w:val="ListParagraph"/>
        <w:numPr>
          <w:ilvl w:val="0"/>
          <w:numId w:val="92"/>
        </w:numPr>
        <w:suppressAutoHyphens/>
        <w:spacing w:after="0" w:line="240" w:lineRule="auto"/>
        <w:ind w:right="-96"/>
        <w:jc w:val="both"/>
        <w:rPr>
          <w:rFonts w:asciiTheme="majorHAnsi" w:hAnsiTheme="majorHAnsi" w:cs="Times New Roman"/>
          <w:kern w:val="1"/>
          <w:sz w:val="24"/>
          <w:szCs w:val="24"/>
          <w:lang w:eastAsia="ar-SA"/>
        </w:rPr>
      </w:pPr>
      <w:r w:rsidRPr="00A54361">
        <w:rPr>
          <w:rFonts w:asciiTheme="majorHAnsi" w:hAnsiTheme="majorHAnsi" w:cs="Times New Roman"/>
          <w:kern w:val="1"/>
          <w:sz w:val="24"/>
          <w:szCs w:val="24"/>
          <w:lang w:eastAsia="ar-SA"/>
        </w:rPr>
        <w:t>if the successful Bidder fails within the specified time to:</w:t>
      </w:r>
    </w:p>
    <w:p w14:paraId="6D936044" w14:textId="77777777" w:rsidR="00D9279F" w:rsidRPr="00A54361" w:rsidRDefault="00D9279F" w:rsidP="00A54361">
      <w:pPr>
        <w:pStyle w:val="ListParagraph"/>
        <w:numPr>
          <w:ilvl w:val="1"/>
          <w:numId w:val="92"/>
        </w:numPr>
        <w:suppressAutoHyphens/>
        <w:spacing w:after="0" w:line="240" w:lineRule="auto"/>
        <w:ind w:left="993" w:right="-96" w:hanging="142"/>
        <w:jc w:val="both"/>
        <w:rPr>
          <w:rFonts w:asciiTheme="majorHAnsi" w:hAnsiTheme="majorHAnsi" w:cs="Times New Roman"/>
          <w:kern w:val="1"/>
          <w:sz w:val="24"/>
          <w:szCs w:val="24"/>
          <w:lang w:eastAsia="ar-SA"/>
        </w:rPr>
      </w:pPr>
      <w:r w:rsidRPr="00A54361">
        <w:rPr>
          <w:rFonts w:asciiTheme="majorHAnsi" w:hAnsiTheme="majorHAnsi" w:cs="Times New Roman"/>
          <w:kern w:val="1"/>
          <w:sz w:val="24"/>
          <w:szCs w:val="24"/>
          <w:lang w:eastAsia="ar-SA"/>
        </w:rPr>
        <w:t>Sign the Contract; or</w:t>
      </w:r>
    </w:p>
    <w:p w14:paraId="49E0F94E" w14:textId="77777777" w:rsidR="00D9279F" w:rsidRPr="00A54361" w:rsidRDefault="00D9279F" w:rsidP="00A54361">
      <w:pPr>
        <w:pStyle w:val="ListParagraph"/>
        <w:numPr>
          <w:ilvl w:val="1"/>
          <w:numId w:val="92"/>
        </w:numPr>
        <w:suppressAutoHyphens/>
        <w:spacing w:after="0" w:line="240" w:lineRule="auto"/>
        <w:ind w:left="993" w:right="-96" w:hanging="142"/>
        <w:jc w:val="both"/>
        <w:rPr>
          <w:rFonts w:asciiTheme="majorHAnsi" w:hAnsiTheme="majorHAnsi" w:cs="Times New Roman"/>
          <w:kern w:val="1"/>
          <w:sz w:val="24"/>
          <w:szCs w:val="24"/>
          <w:lang w:eastAsia="ar-SA"/>
        </w:rPr>
      </w:pPr>
      <w:r w:rsidRPr="00A54361">
        <w:rPr>
          <w:rFonts w:asciiTheme="majorHAnsi" w:hAnsiTheme="majorHAnsi" w:cs="Times New Roman"/>
          <w:kern w:val="1"/>
          <w:sz w:val="24"/>
          <w:szCs w:val="24"/>
          <w:lang w:eastAsia="ar-SA"/>
        </w:rPr>
        <w:t>Furnish the required security deposit.</w:t>
      </w:r>
    </w:p>
    <w:p w14:paraId="56C8EEB1" w14:textId="77777777" w:rsidR="00D9279F" w:rsidRPr="00A54361" w:rsidRDefault="00D9279F" w:rsidP="00A54361">
      <w:pPr>
        <w:suppressAutoHyphens/>
        <w:spacing w:after="0" w:line="240" w:lineRule="auto"/>
        <w:ind w:right="-96"/>
        <w:jc w:val="both"/>
        <w:rPr>
          <w:rFonts w:asciiTheme="majorHAnsi" w:hAnsiTheme="majorHAnsi" w:cs="Times New Roman"/>
          <w:kern w:val="1"/>
          <w:sz w:val="24"/>
          <w:szCs w:val="24"/>
          <w:lang w:eastAsia="ar-SA"/>
        </w:rPr>
      </w:pPr>
    </w:p>
    <w:p w14:paraId="7579CF78" w14:textId="77777777" w:rsidR="00D9279F" w:rsidRPr="00A54361" w:rsidRDefault="00D9279F" w:rsidP="00A54361">
      <w:pPr>
        <w:suppressAutoHyphens/>
        <w:spacing w:after="0" w:line="240" w:lineRule="auto"/>
        <w:ind w:right="-96"/>
        <w:jc w:val="both"/>
        <w:rPr>
          <w:rFonts w:asciiTheme="majorHAnsi" w:hAnsiTheme="majorHAnsi" w:cs="Times New Roman"/>
          <w:kern w:val="1"/>
          <w:sz w:val="24"/>
          <w:szCs w:val="24"/>
          <w:lang w:eastAsia="ar-SA"/>
        </w:rPr>
      </w:pPr>
      <w:r w:rsidRPr="00A54361">
        <w:rPr>
          <w:rFonts w:asciiTheme="majorHAnsi" w:hAnsiTheme="majorHAnsi" w:cs="Times New Roman"/>
          <w:kern w:val="1"/>
          <w:sz w:val="24"/>
          <w:szCs w:val="24"/>
          <w:lang w:eastAsia="ar-SA"/>
        </w:rPr>
        <w:t>The EMD / Bid Security of a Joint Venture (JV) must be in the name of the JV that submits the tender. If the JV has not been legally constituted at the time of bidding, the EMD / Bid Security shall be in the names of all future partners as named in the letter of intent.</w:t>
      </w:r>
    </w:p>
    <w:p w14:paraId="5D192042" w14:textId="77777777" w:rsidR="00D9279F" w:rsidRPr="00A54361" w:rsidRDefault="00D9279F" w:rsidP="00A54361">
      <w:pPr>
        <w:suppressAutoHyphens/>
        <w:spacing w:after="0" w:line="240" w:lineRule="auto"/>
        <w:ind w:right="-96"/>
        <w:jc w:val="both"/>
        <w:rPr>
          <w:rFonts w:asciiTheme="majorHAnsi" w:hAnsiTheme="majorHAnsi" w:cs="Times New Roman"/>
          <w:kern w:val="1"/>
          <w:sz w:val="24"/>
          <w:szCs w:val="24"/>
          <w:lang w:eastAsia="ar-SA"/>
        </w:rPr>
      </w:pPr>
    </w:p>
    <w:p w14:paraId="27F772F2" w14:textId="336FC74D" w:rsidR="00D9279F" w:rsidRPr="00A54361" w:rsidRDefault="00D9279F" w:rsidP="00A54361">
      <w:pPr>
        <w:suppressAutoHyphens/>
        <w:spacing w:after="0" w:line="240" w:lineRule="auto"/>
        <w:ind w:right="-96"/>
        <w:jc w:val="both"/>
        <w:rPr>
          <w:rFonts w:asciiTheme="majorHAnsi" w:hAnsiTheme="majorHAnsi" w:cs="Times New Roman"/>
          <w:kern w:val="1"/>
          <w:sz w:val="24"/>
          <w:szCs w:val="24"/>
          <w:lang w:eastAsia="ar-SA"/>
        </w:rPr>
      </w:pPr>
      <w:r w:rsidRPr="00A54361">
        <w:rPr>
          <w:rFonts w:asciiTheme="majorHAnsi" w:hAnsiTheme="majorHAnsi" w:cs="Times New Roman"/>
          <w:kern w:val="1"/>
          <w:sz w:val="24"/>
          <w:szCs w:val="24"/>
          <w:lang w:eastAsia="ar-SA"/>
        </w:rPr>
        <w:t>The EMD / Bid Security will be refunded to The Successful Bidder, only after furnishing an unconditional and irrevocable Performance Bank Guarantee (PBG)</w:t>
      </w:r>
      <w:r w:rsidR="0066172A" w:rsidRPr="00A54361">
        <w:rPr>
          <w:rFonts w:asciiTheme="majorHAnsi" w:hAnsiTheme="majorHAnsi" w:cs="Times New Roman"/>
          <w:kern w:val="1"/>
          <w:sz w:val="24"/>
          <w:szCs w:val="24"/>
          <w:lang w:eastAsia="ar-SA"/>
        </w:rPr>
        <w:t xml:space="preserve"> as per Sr no.4</w:t>
      </w:r>
    </w:p>
    <w:p w14:paraId="5B018820" w14:textId="77777777" w:rsidR="00D9279F" w:rsidRPr="00A54361" w:rsidRDefault="00D9279F" w:rsidP="00A54361">
      <w:pPr>
        <w:suppressAutoHyphens/>
        <w:spacing w:after="0" w:line="240" w:lineRule="auto"/>
        <w:ind w:right="-96"/>
        <w:jc w:val="both"/>
        <w:rPr>
          <w:rFonts w:asciiTheme="majorHAnsi" w:hAnsiTheme="majorHAnsi" w:cs="Times New Roman"/>
          <w:kern w:val="1"/>
          <w:sz w:val="24"/>
          <w:szCs w:val="24"/>
          <w:lang w:eastAsia="ar-SA"/>
        </w:rPr>
      </w:pPr>
    </w:p>
    <w:p w14:paraId="64D02823" w14:textId="77777777" w:rsidR="00D9279F" w:rsidRPr="00A54361" w:rsidRDefault="00D9279F" w:rsidP="00A54361">
      <w:pPr>
        <w:suppressAutoHyphens/>
        <w:spacing w:after="0" w:line="240" w:lineRule="auto"/>
        <w:ind w:right="-96"/>
        <w:jc w:val="both"/>
        <w:rPr>
          <w:rFonts w:asciiTheme="majorHAnsi" w:hAnsiTheme="majorHAnsi" w:cs="Times New Roman"/>
          <w:kern w:val="1"/>
          <w:sz w:val="24"/>
          <w:szCs w:val="24"/>
          <w:lang w:eastAsia="ar-SA"/>
        </w:rPr>
      </w:pPr>
      <w:r w:rsidRPr="00A54361">
        <w:rPr>
          <w:rFonts w:asciiTheme="majorHAnsi" w:hAnsiTheme="majorHAnsi" w:cs="Times New Roman"/>
          <w:kern w:val="1"/>
          <w:sz w:val="24"/>
          <w:szCs w:val="24"/>
          <w:lang w:eastAsia="ar-SA"/>
        </w:rPr>
        <w:t>The EMD / Bid Security of unsuccessful Bidders shall be returned as promptly as possible after completion of bidding process.</w:t>
      </w:r>
    </w:p>
    <w:p w14:paraId="3BD3762A" w14:textId="77777777" w:rsidR="00D9279F" w:rsidRPr="00A54361" w:rsidRDefault="00D9279F" w:rsidP="00A54361">
      <w:pPr>
        <w:spacing w:before="120" w:after="120"/>
        <w:jc w:val="both"/>
        <w:rPr>
          <w:rFonts w:cstheme="minorHAnsi"/>
        </w:rPr>
      </w:pPr>
    </w:p>
    <w:p w14:paraId="445CF4F8" w14:textId="64D3DD4C" w:rsidR="00E31688" w:rsidRPr="00A54361" w:rsidRDefault="00E31688" w:rsidP="00A54361">
      <w:pPr>
        <w:pStyle w:val="Heading1"/>
        <w:numPr>
          <w:ilvl w:val="0"/>
          <w:numId w:val="48"/>
        </w:numPr>
        <w:jc w:val="both"/>
        <w:rPr>
          <w:rFonts w:asciiTheme="minorHAnsi" w:hAnsiTheme="minorHAnsi" w:cstheme="minorHAnsi"/>
          <w:color w:val="auto"/>
        </w:rPr>
      </w:pPr>
      <w:bookmarkStart w:id="3" w:name="_Toc182233329"/>
      <w:r w:rsidRPr="00A54361">
        <w:rPr>
          <w:rFonts w:asciiTheme="minorHAnsi" w:hAnsiTheme="minorHAnsi" w:cstheme="minorHAnsi"/>
          <w:color w:val="auto"/>
        </w:rPr>
        <w:t>Performance Bank Guarantee</w:t>
      </w:r>
      <w:bookmarkEnd w:id="3"/>
      <w:r w:rsidR="000C62EB" w:rsidRPr="00A54361">
        <w:rPr>
          <w:rFonts w:asciiTheme="minorHAnsi" w:hAnsiTheme="minorHAnsi" w:cstheme="minorHAnsi"/>
          <w:color w:val="auto"/>
        </w:rPr>
        <w:t xml:space="preserve"> </w:t>
      </w:r>
    </w:p>
    <w:p w14:paraId="0C2E3C27" w14:textId="7575FC54" w:rsidR="00E31688" w:rsidRPr="00A54361" w:rsidRDefault="00E31688" w:rsidP="00A54361">
      <w:pPr>
        <w:pStyle w:val="ListParagraph"/>
        <w:numPr>
          <w:ilvl w:val="0"/>
          <w:numId w:val="3"/>
        </w:numPr>
        <w:spacing w:before="120" w:after="120"/>
        <w:ind w:left="284" w:hanging="284"/>
        <w:jc w:val="both"/>
        <w:rPr>
          <w:rFonts w:cstheme="minorHAnsi"/>
        </w:rPr>
      </w:pPr>
      <w:r w:rsidRPr="00A54361">
        <w:rPr>
          <w:rFonts w:cstheme="minorHAnsi"/>
        </w:rPr>
        <w:t>As mentioned above, the Successful Bidder will furnish an unconditional and irrevocable Performance Bank Guarantee (PBG) from scheduled commercial Bank other than Central Bank of India, in the format given by the Bank in Annexure</w:t>
      </w:r>
      <w:r w:rsidR="00181E08" w:rsidRPr="00A54361">
        <w:rPr>
          <w:rFonts w:cstheme="minorHAnsi"/>
        </w:rPr>
        <w:t xml:space="preserve"> </w:t>
      </w:r>
      <w:r w:rsidRPr="00A54361">
        <w:rPr>
          <w:rFonts w:cstheme="minorHAnsi"/>
        </w:rPr>
        <w:t>1</w:t>
      </w:r>
      <w:r w:rsidR="00230FFE" w:rsidRPr="00A54361">
        <w:rPr>
          <w:rFonts w:cstheme="minorHAnsi"/>
        </w:rPr>
        <w:t>1</w:t>
      </w:r>
      <w:r w:rsidRPr="00A54361">
        <w:rPr>
          <w:rFonts w:cstheme="minorHAnsi"/>
        </w:rPr>
        <w:t xml:space="preserve">, for </w:t>
      </w:r>
      <w:r w:rsidR="00C5210E" w:rsidRPr="00A54361">
        <w:rPr>
          <w:rFonts w:cstheme="minorHAnsi"/>
        </w:rPr>
        <w:t>10</w:t>
      </w:r>
      <w:r w:rsidRPr="00A54361">
        <w:rPr>
          <w:rFonts w:cstheme="minorHAnsi"/>
        </w:rPr>
        <w:t xml:space="preserve">% of the total project cost valid for </w:t>
      </w:r>
      <w:r w:rsidR="00AD53F1" w:rsidRPr="00A54361">
        <w:rPr>
          <w:rFonts w:cstheme="minorHAnsi"/>
        </w:rPr>
        <w:t xml:space="preserve">66 </w:t>
      </w:r>
      <w:r w:rsidRPr="00A54361">
        <w:rPr>
          <w:rFonts w:cstheme="minorHAnsi"/>
        </w:rPr>
        <w:t>months, (</w:t>
      </w:r>
      <w:r w:rsidR="00AD53F1" w:rsidRPr="00A54361">
        <w:rPr>
          <w:rFonts w:cstheme="minorHAnsi"/>
        </w:rPr>
        <w:t>5</w:t>
      </w:r>
      <w:r w:rsidRPr="00A54361">
        <w:rPr>
          <w:rFonts w:cstheme="minorHAnsi"/>
        </w:rPr>
        <w:t xml:space="preserve"> years for total project period plus </w:t>
      </w:r>
      <w:r w:rsidR="00AD53F1" w:rsidRPr="00A54361">
        <w:rPr>
          <w:rFonts w:cstheme="minorHAnsi"/>
        </w:rPr>
        <w:t>6 months</w:t>
      </w:r>
      <w:r w:rsidRPr="00A54361">
        <w:rPr>
          <w:rFonts w:cstheme="minorHAnsi"/>
        </w:rPr>
        <w:t xml:space="preserve"> for claim period) validity of PBG starting from its date of issuance. The PBG shall be submitted within 21 days of the PO acceptance by the Bidder. </w:t>
      </w:r>
    </w:p>
    <w:p w14:paraId="4B526AB8" w14:textId="3C71DE1F" w:rsidR="00E31688" w:rsidRPr="00A54361" w:rsidRDefault="00E31688" w:rsidP="00A54361">
      <w:pPr>
        <w:pStyle w:val="ListParagraph"/>
        <w:numPr>
          <w:ilvl w:val="0"/>
          <w:numId w:val="3"/>
        </w:numPr>
        <w:spacing w:before="120" w:after="120"/>
        <w:ind w:left="284" w:hanging="284"/>
        <w:jc w:val="both"/>
        <w:rPr>
          <w:rFonts w:cstheme="minorHAnsi"/>
        </w:rPr>
      </w:pPr>
      <w:r w:rsidRPr="00A54361">
        <w:rPr>
          <w:rFonts w:cstheme="minorHAnsi"/>
        </w:rPr>
        <w:t xml:space="preserve">The PBG so applicable must be duly accompanied by a forwarding letter issued by the issuing bank on the letterhead of the issuing bank. Such forwarding letter shall state that the PBG has been signed by the lawfully constituted authority legally competent to sign and execute such legal instruments. The executor (BG issuing Bank Authorities) is required to mention the Power of </w:t>
      </w:r>
      <w:r w:rsidRPr="00A54361">
        <w:rPr>
          <w:rFonts w:cstheme="minorHAnsi"/>
        </w:rPr>
        <w:lastRenderedPageBreak/>
        <w:t xml:space="preserve">Attorney number and date of execution in his / her </w:t>
      </w:r>
      <w:r w:rsidR="00B80DAD" w:rsidRPr="00A54361">
        <w:rPr>
          <w:rFonts w:cstheme="minorHAnsi"/>
        </w:rPr>
        <w:t>favour</w:t>
      </w:r>
      <w:r w:rsidRPr="00A54361">
        <w:rPr>
          <w:rFonts w:cstheme="minorHAnsi"/>
        </w:rPr>
        <w:t xml:space="preserve"> with authorization to sign the documents. </w:t>
      </w:r>
    </w:p>
    <w:p w14:paraId="1492DEF9" w14:textId="6AF53B5A" w:rsidR="00E31688" w:rsidRPr="00A54361" w:rsidRDefault="00E31688" w:rsidP="00A54361">
      <w:pPr>
        <w:pStyle w:val="ListParagraph"/>
        <w:numPr>
          <w:ilvl w:val="0"/>
          <w:numId w:val="3"/>
        </w:numPr>
        <w:spacing w:before="120" w:after="120"/>
        <w:ind w:left="284" w:hanging="284"/>
        <w:jc w:val="both"/>
        <w:rPr>
          <w:rFonts w:cstheme="minorHAnsi"/>
        </w:rPr>
      </w:pPr>
      <w:r w:rsidRPr="00A54361">
        <w:rPr>
          <w:rFonts w:cstheme="minorHAnsi"/>
        </w:rPr>
        <w:t xml:space="preserve">Each page of the PBG must bear the signature and seal of the </w:t>
      </w:r>
      <w:r w:rsidR="00840DD0" w:rsidRPr="00A54361">
        <w:rPr>
          <w:rFonts w:cstheme="minorHAnsi"/>
        </w:rPr>
        <w:t>P</w:t>
      </w:r>
      <w:r w:rsidRPr="00A54361">
        <w:rPr>
          <w:rFonts w:cstheme="minorHAnsi"/>
        </w:rPr>
        <w:t xml:space="preserve">BG issuing Bank and PBG number. </w:t>
      </w:r>
    </w:p>
    <w:p w14:paraId="2CB0275D" w14:textId="1ADA5E65" w:rsidR="00E31688" w:rsidRPr="00A54361" w:rsidRDefault="00E31688" w:rsidP="00A54361">
      <w:pPr>
        <w:pStyle w:val="ListParagraph"/>
        <w:numPr>
          <w:ilvl w:val="0"/>
          <w:numId w:val="3"/>
        </w:numPr>
        <w:spacing w:before="120" w:after="120"/>
        <w:ind w:left="284" w:hanging="284"/>
        <w:jc w:val="both"/>
        <w:rPr>
          <w:rFonts w:cstheme="minorHAnsi"/>
        </w:rPr>
      </w:pPr>
      <w:r w:rsidRPr="00A54361">
        <w:rPr>
          <w:rFonts w:cstheme="minorHAnsi"/>
        </w:rPr>
        <w:t xml:space="preserve">In the event of the Successful Bidder being unable to service the contract for whatever reason, Bank may provide a cure period of 30 days and thereafter invoke the PBG, if the bidder is unable to service the contract for whatever reason. </w:t>
      </w:r>
    </w:p>
    <w:p w14:paraId="64EC1540" w14:textId="77777777" w:rsidR="00E31688" w:rsidRPr="00A54361" w:rsidRDefault="00E31688" w:rsidP="00A54361">
      <w:pPr>
        <w:pStyle w:val="ListParagraph"/>
        <w:numPr>
          <w:ilvl w:val="0"/>
          <w:numId w:val="3"/>
        </w:numPr>
        <w:spacing w:before="120" w:after="120"/>
        <w:ind w:left="284" w:hanging="284"/>
        <w:jc w:val="both"/>
        <w:rPr>
          <w:rFonts w:cstheme="minorHAnsi"/>
        </w:rPr>
      </w:pPr>
      <w:r w:rsidRPr="00A54361">
        <w:rPr>
          <w:rFonts w:cstheme="minorHAnsi"/>
        </w:rPr>
        <w:t xml:space="preserve">In the event of delays by Successful Bidder in AMC support, service beyond the schedules given in the RFP, the Bank may provide a cure period of 30 days and thereafter invoke the PBG, if required. </w:t>
      </w:r>
    </w:p>
    <w:p w14:paraId="07B08E0F" w14:textId="252BBD22" w:rsidR="00E31688" w:rsidRPr="00A54361" w:rsidRDefault="00E31688" w:rsidP="00A54361">
      <w:pPr>
        <w:pStyle w:val="ListParagraph"/>
        <w:numPr>
          <w:ilvl w:val="0"/>
          <w:numId w:val="3"/>
        </w:numPr>
        <w:spacing w:before="120" w:after="120"/>
        <w:ind w:left="284" w:hanging="284"/>
        <w:jc w:val="both"/>
        <w:rPr>
          <w:rFonts w:cstheme="minorHAnsi"/>
        </w:rPr>
      </w:pPr>
      <w:r w:rsidRPr="00A54361">
        <w:rPr>
          <w:rFonts w:cstheme="minorHAnsi"/>
        </w:rPr>
        <w:t xml:space="preserve">Notwithstanding and without prejudice to any rights whatsoever of the Bank under the contract in the matter, the proceeds of the PBG shall be payable to Bank as compensation by the Successful Bidder for its failure to complete its obligations under the contract, indicating the contractual obligation(s) for which the Successful Bidder is in default. </w:t>
      </w:r>
    </w:p>
    <w:p w14:paraId="6C814A66" w14:textId="1EA58025" w:rsidR="00E31688" w:rsidRPr="00A54361" w:rsidRDefault="00E31688" w:rsidP="00A54361">
      <w:pPr>
        <w:pStyle w:val="ListParagraph"/>
        <w:numPr>
          <w:ilvl w:val="0"/>
          <w:numId w:val="3"/>
        </w:numPr>
        <w:spacing w:before="120" w:after="120"/>
        <w:ind w:left="284" w:hanging="284"/>
        <w:jc w:val="both"/>
        <w:rPr>
          <w:rFonts w:cstheme="minorHAnsi"/>
        </w:rPr>
      </w:pPr>
      <w:r w:rsidRPr="00A54361">
        <w:rPr>
          <w:rFonts w:cstheme="minorHAnsi"/>
        </w:rPr>
        <w:t xml:space="preserve">The Bank shall also be entitled to make recoveries from the Successful Bidder's bills or any other amount due to him, the equivalent value of any payment made to him by the bank due to inadvertence, error, collusion, misconstruction or misstatement. </w:t>
      </w:r>
    </w:p>
    <w:p w14:paraId="670AA420" w14:textId="24F57CD3" w:rsidR="00E31688" w:rsidRPr="00A54361" w:rsidRDefault="00E31688" w:rsidP="00A54361">
      <w:pPr>
        <w:pStyle w:val="ListParagraph"/>
        <w:numPr>
          <w:ilvl w:val="0"/>
          <w:numId w:val="3"/>
        </w:numPr>
        <w:spacing w:before="120" w:after="120"/>
        <w:ind w:left="284" w:hanging="284"/>
        <w:jc w:val="both"/>
        <w:rPr>
          <w:rFonts w:cstheme="minorHAnsi"/>
        </w:rPr>
      </w:pPr>
      <w:r w:rsidRPr="00A54361">
        <w:rPr>
          <w:rFonts w:cstheme="minorHAnsi"/>
        </w:rPr>
        <w:t>The PBG may be discharged / returned by Bank upon being satisfied that there has been due performance of the obligations of the Successful Bidder under the contract. However, no interest shall be payable on the PBG.</w:t>
      </w:r>
    </w:p>
    <w:p w14:paraId="66EAEFEA" w14:textId="2175C1B9" w:rsidR="00B95B6E" w:rsidRPr="00A54361" w:rsidRDefault="00B95B6E" w:rsidP="00A54361">
      <w:pPr>
        <w:pStyle w:val="ListParagraph"/>
        <w:numPr>
          <w:ilvl w:val="0"/>
          <w:numId w:val="3"/>
        </w:numPr>
        <w:spacing w:before="120" w:after="120"/>
        <w:ind w:left="284" w:hanging="284"/>
        <w:jc w:val="both"/>
        <w:rPr>
          <w:rFonts w:cstheme="minorHAnsi"/>
        </w:rPr>
      </w:pPr>
      <w:r w:rsidRPr="00A54361">
        <w:rPr>
          <w:rFonts w:cstheme="minorHAnsi"/>
        </w:rPr>
        <w:t>For release of remaining 10% of Hardware and Software component of the payment terms Bank Guarantee equivalent to 10% of the deliverable is required to be submitted in addition to the above PBG.</w:t>
      </w:r>
    </w:p>
    <w:p w14:paraId="78C2676B" w14:textId="422656BE" w:rsidR="00E31688" w:rsidRPr="00A54361" w:rsidRDefault="00E31688" w:rsidP="00A54361">
      <w:pPr>
        <w:pStyle w:val="Heading1"/>
        <w:numPr>
          <w:ilvl w:val="0"/>
          <w:numId w:val="48"/>
        </w:numPr>
        <w:jc w:val="both"/>
        <w:rPr>
          <w:rFonts w:asciiTheme="minorHAnsi" w:hAnsiTheme="minorHAnsi" w:cstheme="minorHAnsi"/>
          <w:color w:val="auto"/>
        </w:rPr>
      </w:pPr>
      <w:bookmarkStart w:id="4" w:name="_Toc129668465"/>
      <w:bookmarkStart w:id="5" w:name="_Toc182233330"/>
      <w:r w:rsidRPr="00A54361">
        <w:rPr>
          <w:rFonts w:asciiTheme="minorHAnsi" w:hAnsiTheme="minorHAnsi" w:cstheme="minorHAnsi"/>
          <w:color w:val="auto"/>
        </w:rPr>
        <w:t>Cost of Bidding</w:t>
      </w:r>
      <w:bookmarkEnd w:id="4"/>
      <w:bookmarkEnd w:id="5"/>
    </w:p>
    <w:p w14:paraId="1EEFC7F8" w14:textId="3A7A88AA" w:rsidR="00E31688" w:rsidRPr="00A54361" w:rsidRDefault="00E31688" w:rsidP="00A54361">
      <w:pPr>
        <w:spacing w:before="120" w:after="120"/>
        <w:jc w:val="both"/>
        <w:rPr>
          <w:rFonts w:cstheme="minorHAnsi"/>
        </w:rPr>
      </w:pPr>
      <w:r w:rsidRPr="00A54361">
        <w:rPr>
          <w:rFonts w:cstheme="minorHAnsi"/>
        </w:rPr>
        <w:t>The bidder shall bear all the costs associated with the preparation and submission of bid and Bank will in no case be responsible or liable for these costs regardless of the conduct or outcome of the bidding process.</w:t>
      </w:r>
    </w:p>
    <w:p w14:paraId="09D9A546" w14:textId="4B783D8A" w:rsidR="00E31688" w:rsidRPr="00A54361" w:rsidRDefault="00E31688" w:rsidP="00A54361">
      <w:pPr>
        <w:pStyle w:val="Heading1"/>
        <w:numPr>
          <w:ilvl w:val="0"/>
          <w:numId w:val="48"/>
        </w:numPr>
        <w:jc w:val="both"/>
        <w:rPr>
          <w:rFonts w:asciiTheme="minorHAnsi" w:hAnsiTheme="minorHAnsi" w:cstheme="minorHAnsi"/>
          <w:color w:val="auto"/>
        </w:rPr>
      </w:pPr>
      <w:bookmarkStart w:id="6" w:name="_Toc129668466"/>
      <w:bookmarkStart w:id="7" w:name="_Toc182233331"/>
      <w:r w:rsidRPr="00A54361">
        <w:rPr>
          <w:rFonts w:asciiTheme="minorHAnsi" w:hAnsiTheme="minorHAnsi" w:cstheme="minorHAnsi"/>
          <w:color w:val="auto"/>
        </w:rPr>
        <w:t>Manufacturer’s Authorization Form</w:t>
      </w:r>
      <w:bookmarkEnd w:id="6"/>
      <w:bookmarkEnd w:id="7"/>
    </w:p>
    <w:p w14:paraId="47F671DD" w14:textId="1530A395" w:rsidR="005D7110" w:rsidRPr="00A54361" w:rsidRDefault="00E31688" w:rsidP="00A54361">
      <w:pPr>
        <w:spacing w:before="120" w:after="120"/>
        <w:jc w:val="both"/>
        <w:rPr>
          <w:rFonts w:cstheme="minorHAnsi"/>
        </w:rPr>
      </w:pPr>
      <w:r w:rsidRPr="00A54361">
        <w:rPr>
          <w:rFonts w:cstheme="minorHAnsi"/>
        </w:rPr>
        <w:t>Bidders must submit a letter of authority from their manufacturers in Annexure</w:t>
      </w:r>
      <w:r w:rsidR="005E56A8" w:rsidRPr="00A54361">
        <w:rPr>
          <w:rFonts w:cstheme="minorHAnsi"/>
        </w:rPr>
        <w:t xml:space="preserve"> </w:t>
      </w:r>
      <w:r w:rsidR="00230FFE" w:rsidRPr="00A54361">
        <w:rPr>
          <w:rFonts w:cstheme="minorHAnsi"/>
        </w:rPr>
        <w:t>8</w:t>
      </w:r>
      <w:r w:rsidRPr="00A54361">
        <w:rPr>
          <w:rFonts w:cstheme="minorHAnsi"/>
        </w:rPr>
        <w:t xml:space="preserve"> that they have been authorized to quote OEM Product.</w:t>
      </w:r>
      <w:r w:rsidR="005D7110" w:rsidRPr="00A54361">
        <w:rPr>
          <w:rFonts w:cstheme="minorHAnsi"/>
        </w:rPr>
        <w:br w:type="page"/>
      </w:r>
    </w:p>
    <w:p w14:paraId="0A4D912F" w14:textId="0DB26843" w:rsidR="00E31688" w:rsidRPr="00A54361" w:rsidRDefault="00E31688" w:rsidP="00A54361">
      <w:pPr>
        <w:pStyle w:val="Heading1"/>
        <w:numPr>
          <w:ilvl w:val="0"/>
          <w:numId w:val="48"/>
        </w:numPr>
        <w:jc w:val="both"/>
        <w:rPr>
          <w:rFonts w:asciiTheme="minorHAnsi" w:hAnsiTheme="minorHAnsi" w:cstheme="minorHAnsi"/>
          <w:color w:val="auto"/>
        </w:rPr>
      </w:pPr>
      <w:bookmarkStart w:id="8" w:name="_Toc129668467"/>
      <w:bookmarkStart w:id="9" w:name="_Toc182233332"/>
      <w:r w:rsidRPr="00A54361">
        <w:rPr>
          <w:rFonts w:asciiTheme="minorHAnsi" w:hAnsiTheme="minorHAnsi" w:cstheme="minorHAnsi"/>
          <w:color w:val="auto"/>
        </w:rPr>
        <w:lastRenderedPageBreak/>
        <w:t>Scope of Work</w:t>
      </w:r>
      <w:bookmarkEnd w:id="8"/>
      <w:bookmarkEnd w:id="9"/>
    </w:p>
    <w:p w14:paraId="26E8B8E2" w14:textId="0A6370B9" w:rsidR="00F53E24" w:rsidRPr="00A54361" w:rsidRDefault="00367204" w:rsidP="00A54361">
      <w:pPr>
        <w:spacing w:after="120"/>
        <w:jc w:val="both"/>
        <w:rPr>
          <w:rFonts w:cstheme="minorHAnsi"/>
        </w:rPr>
      </w:pPr>
      <w:r w:rsidRPr="00A54361">
        <w:rPr>
          <w:rFonts w:cstheme="minorHAnsi"/>
        </w:rPr>
        <w:t xml:space="preserve">Central Bank of India </w:t>
      </w:r>
      <w:r w:rsidR="002D4B39" w:rsidRPr="00A54361">
        <w:rPr>
          <w:rFonts w:cstheme="minorHAnsi"/>
        </w:rPr>
        <w:t xml:space="preserve">intends to </w:t>
      </w:r>
      <w:r w:rsidR="001C0E17" w:rsidRPr="00A54361">
        <w:rPr>
          <w:rFonts w:cstheme="minorHAnsi"/>
        </w:rPr>
        <w:t>procur</w:t>
      </w:r>
      <w:r w:rsidR="00FF0BD6" w:rsidRPr="00A54361">
        <w:rPr>
          <w:rFonts w:cstheme="minorHAnsi"/>
        </w:rPr>
        <w:t>e</w:t>
      </w:r>
      <w:r w:rsidR="002D4B39" w:rsidRPr="00A54361">
        <w:rPr>
          <w:rFonts w:cstheme="minorHAnsi"/>
        </w:rPr>
        <w:t xml:space="preserve"> </w:t>
      </w:r>
      <w:r w:rsidR="001C0E17" w:rsidRPr="00A54361">
        <w:rPr>
          <w:rFonts w:cstheme="minorHAnsi"/>
        </w:rPr>
        <w:t>Cyber Security Solutions</w:t>
      </w:r>
      <w:r w:rsidR="009514D2" w:rsidRPr="00A54361">
        <w:rPr>
          <w:rFonts w:cstheme="minorHAnsi"/>
        </w:rPr>
        <w:t xml:space="preserve"> and associated Hardware</w:t>
      </w:r>
      <w:r w:rsidR="00073664" w:rsidRPr="00A54361">
        <w:rPr>
          <w:rFonts w:cstheme="minorHAnsi"/>
        </w:rPr>
        <w:t xml:space="preserve"> </w:t>
      </w:r>
      <w:r w:rsidR="00D9106B" w:rsidRPr="00A54361">
        <w:rPr>
          <w:rFonts w:cstheme="minorHAnsi"/>
        </w:rPr>
        <w:t>including Storage</w:t>
      </w:r>
      <w:r w:rsidR="002D4B39" w:rsidRPr="00A54361">
        <w:rPr>
          <w:rFonts w:cstheme="minorHAnsi"/>
        </w:rPr>
        <w:t xml:space="preserve"> to meet Banks future business requirements</w:t>
      </w:r>
      <w:r w:rsidR="00F53E24" w:rsidRPr="00A54361">
        <w:rPr>
          <w:rFonts w:cstheme="minorHAnsi"/>
        </w:rPr>
        <w:t xml:space="preserve"> and to appoint a proven &amp; experienced Bidder to Supply, Install/Implement, Configure and Integrate</w:t>
      </w:r>
      <w:r w:rsidR="00E71852" w:rsidRPr="00A54361">
        <w:rPr>
          <w:rFonts w:cstheme="minorHAnsi"/>
        </w:rPr>
        <w:t xml:space="preserve"> </w:t>
      </w:r>
      <w:r w:rsidR="00FF407E" w:rsidRPr="00A54361">
        <w:rPr>
          <w:rFonts w:cstheme="minorHAnsi"/>
        </w:rPr>
        <w:t xml:space="preserve">new </w:t>
      </w:r>
      <w:r w:rsidR="00E71852" w:rsidRPr="00A54361">
        <w:rPr>
          <w:rFonts w:cstheme="minorHAnsi"/>
        </w:rPr>
        <w:t>Cyber Security Solutions into the existing SIEM</w:t>
      </w:r>
      <w:r w:rsidR="00996DAC" w:rsidRPr="00A54361">
        <w:rPr>
          <w:rFonts w:cstheme="minorHAnsi"/>
        </w:rPr>
        <w:t xml:space="preserve"> and SOAR</w:t>
      </w:r>
      <w:r w:rsidR="00E71852" w:rsidRPr="00A54361">
        <w:rPr>
          <w:rFonts w:cstheme="minorHAnsi"/>
        </w:rPr>
        <w:t xml:space="preserve"> Solution.</w:t>
      </w:r>
    </w:p>
    <w:p w14:paraId="7A2B09B7" w14:textId="77777777" w:rsidR="00B26284" w:rsidRPr="00A54361" w:rsidRDefault="002D4B39" w:rsidP="00A54361">
      <w:pPr>
        <w:pStyle w:val="ListParagraph"/>
        <w:numPr>
          <w:ilvl w:val="0"/>
          <w:numId w:val="51"/>
        </w:numPr>
        <w:spacing w:after="120"/>
        <w:jc w:val="both"/>
        <w:rPr>
          <w:rFonts w:cstheme="minorHAnsi"/>
        </w:rPr>
      </w:pPr>
      <w:r w:rsidRPr="00A54361">
        <w:rPr>
          <w:rFonts w:cstheme="minorHAnsi"/>
        </w:rPr>
        <w:t xml:space="preserve">Data Centre (DC) of the Bank </w:t>
      </w:r>
      <w:r w:rsidR="00BB3CB7" w:rsidRPr="00A54361">
        <w:rPr>
          <w:rFonts w:cstheme="minorHAnsi"/>
        </w:rPr>
        <w:t>is in</w:t>
      </w:r>
      <w:r w:rsidRPr="00A54361">
        <w:rPr>
          <w:rFonts w:cstheme="minorHAnsi"/>
        </w:rPr>
        <w:t xml:space="preserve"> </w:t>
      </w:r>
      <w:r w:rsidR="00AB29F4" w:rsidRPr="00A54361">
        <w:rPr>
          <w:rFonts w:cstheme="minorHAnsi"/>
        </w:rPr>
        <w:t xml:space="preserve">Navi </w:t>
      </w:r>
      <w:r w:rsidRPr="00A54361">
        <w:rPr>
          <w:rFonts w:cstheme="minorHAnsi"/>
        </w:rPr>
        <w:t xml:space="preserve">Mumbai. Disaster Recovery Centre (DRC) is located at Hyderabad. </w:t>
      </w:r>
    </w:p>
    <w:p w14:paraId="3B22567C" w14:textId="3358C642" w:rsidR="00B26284" w:rsidRPr="00A54361" w:rsidRDefault="002D4B39" w:rsidP="00A54361">
      <w:pPr>
        <w:pStyle w:val="ListParagraph"/>
        <w:numPr>
          <w:ilvl w:val="0"/>
          <w:numId w:val="51"/>
        </w:numPr>
        <w:spacing w:after="120"/>
        <w:jc w:val="both"/>
        <w:rPr>
          <w:rFonts w:cstheme="minorHAnsi"/>
        </w:rPr>
      </w:pPr>
      <w:r w:rsidRPr="00A54361">
        <w:rPr>
          <w:rFonts w:cstheme="minorHAnsi"/>
        </w:rPr>
        <w:t xml:space="preserve">The Bank has envisaged the </w:t>
      </w:r>
      <w:r w:rsidR="00F016E4" w:rsidRPr="00A54361">
        <w:rPr>
          <w:rFonts w:cstheme="minorHAnsi"/>
        </w:rPr>
        <w:t>procurement of New Cyber Security Solutions</w:t>
      </w:r>
      <w:r w:rsidR="00443C19" w:rsidRPr="00A54361">
        <w:rPr>
          <w:rFonts w:cstheme="minorHAnsi"/>
        </w:rPr>
        <w:t xml:space="preserve"> and associated hardware</w:t>
      </w:r>
      <w:r w:rsidR="00D31FB4" w:rsidRPr="00A54361">
        <w:rPr>
          <w:rFonts w:cstheme="minorHAnsi"/>
        </w:rPr>
        <w:t>,</w:t>
      </w:r>
      <w:r w:rsidRPr="00A54361">
        <w:rPr>
          <w:rFonts w:cstheme="minorHAnsi"/>
        </w:rPr>
        <w:t xml:space="preserve"> details </w:t>
      </w:r>
      <w:r w:rsidR="00D31FB4" w:rsidRPr="00A54361">
        <w:rPr>
          <w:rFonts w:cstheme="minorHAnsi"/>
        </w:rPr>
        <w:t>of</w:t>
      </w:r>
      <w:r w:rsidRPr="00A54361">
        <w:rPr>
          <w:rFonts w:cstheme="minorHAnsi"/>
        </w:rPr>
        <w:t xml:space="preserve"> the same have been provided in </w:t>
      </w:r>
      <w:r w:rsidR="00CD71BA" w:rsidRPr="00A54361">
        <w:rPr>
          <w:rFonts w:cstheme="minorHAnsi"/>
        </w:rPr>
        <w:t xml:space="preserve">Annexure </w:t>
      </w:r>
      <w:r w:rsidR="00EC39D9" w:rsidRPr="00A54361">
        <w:rPr>
          <w:rFonts w:cstheme="minorHAnsi"/>
        </w:rPr>
        <w:t>1</w:t>
      </w:r>
      <w:r w:rsidR="005E56A8" w:rsidRPr="00A54361">
        <w:rPr>
          <w:rFonts w:cstheme="minorHAnsi"/>
        </w:rPr>
        <w:t xml:space="preserve">: </w:t>
      </w:r>
      <w:r w:rsidRPr="00A54361">
        <w:rPr>
          <w:rFonts w:cstheme="minorHAnsi"/>
        </w:rPr>
        <w:t xml:space="preserve">Bill of Materials. The Bidder is required to quote the </w:t>
      </w:r>
      <w:r w:rsidR="00D31FB4" w:rsidRPr="00A54361">
        <w:rPr>
          <w:rFonts w:cstheme="minorHAnsi"/>
        </w:rPr>
        <w:t>Cyber Security Solutions</w:t>
      </w:r>
      <w:r w:rsidRPr="00A54361">
        <w:rPr>
          <w:rFonts w:cstheme="minorHAnsi"/>
        </w:rPr>
        <w:t xml:space="preserve"> </w:t>
      </w:r>
      <w:r w:rsidR="00C5210E" w:rsidRPr="00A54361">
        <w:rPr>
          <w:rFonts w:cstheme="minorHAnsi"/>
        </w:rPr>
        <w:t>in compliance to the Technical</w:t>
      </w:r>
      <w:r w:rsidR="00B44E42" w:rsidRPr="00A54361">
        <w:rPr>
          <w:rFonts w:cstheme="minorHAnsi"/>
        </w:rPr>
        <w:t xml:space="preserve"> </w:t>
      </w:r>
      <w:r w:rsidR="00C5210E" w:rsidRPr="00A54361">
        <w:rPr>
          <w:rFonts w:cstheme="minorHAnsi"/>
        </w:rPr>
        <w:t>S</w:t>
      </w:r>
      <w:r w:rsidR="00B44E42" w:rsidRPr="00A54361">
        <w:rPr>
          <w:rFonts w:cstheme="minorHAnsi"/>
        </w:rPr>
        <w:t xml:space="preserve">pecifications </w:t>
      </w:r>
      <w:r w:rsidR="00C5210E" w:rsidRPr="00A54361">
        <w:rPr>
          <w:rFonts w:cstheme="minorHAnsi"/>
        </w:rPr>
        <w:t>given</w:t>
      </w:r>
      <w:r w:rsidRPr="00A54361">
        <w:rPr>
          <w:rFonts w:cstheme="minorHAnsi"/>
        </w:rPr>
        <w:t xml:space="preserve"> in </w:t>
      </w:r>
      <w:r w:rsidR="00CD71BA" w:rsidRPr="00A54361">
        <w:rPr>
          <w:rFonts w:cstheme="minorHAnsi"/>
        </w:rPr>
        <w:t>Annexure</w:t>
      </w:r>
      <w:r w:rsidR="00EC39D9" w:rsidRPr="00A54361">
        <w:rPr>
          <w:rFonts w:cstheme="minorHAnsi"/>
        </w:rPr>
        <w:t xml:space="preserve"> </w:t>
      </w:r>
      <w:r w:rsidR="00024C43" w:rsidRPr="00A54361">
        <w:rPr>
          <w:rFonts w:cstheme="minorHAnsi"/>
        </w:rPr>
        <w:t>2</w:t>
      </w:r>
      <w:r w:rsidR="005E56A8" w:rsidRPr="00A54361">
        <w:rPr>
          <w:rFonts w:cstheme="minorHAnsi"/>
        </w:rPr>
        <w:t xml:space="preserve">: </w:t>
      </w:r>
      <w:r w:rsidR="00EC39D9" w:rsidRPr="00A54361">
        <w:rPr>
          <w:rFonts w:cstheme="minorHAnsi"/>
        </w:rPr>
        <w:t>Technical Specification</w:t>
      </w:r>
      <w:r w:rsidR="005725AE" w:rsidRPr="00A54361">
        <w:rPr>
          <w:rFonts w:cstheme="minorHAnsi"/>
        </w:rPr>
        <w:t>s</w:t>
      </w:r>
      <w:r w:rsidRPr="00A54361">
        <w:rPr>
          <w:rFonts w:cstheme="minorHAnsi"/>
        </w:rPr>
        <w:t xml:space="preserve">. </w:t>
      </w:r>
    </w:p>
    <w:p w14:paraId="3FD3C7D0" w14:textId="724C3D5B" w:rsidR="00B26284" w:rsidRPr="00A54361" w:rsidRDefault="002D4B39" w:rsidP="00A54361">
      <w:pPr>
        <w:pStyle w:val="ListParagraph"/>
        <w:numPr>
          <w:ilvl w:val="0"/>
          <w:numId w:val="51"/>
        </w:numPr>
        <w:spacing w:after="120"/>
        <w:jc w:val="both"/>
        <w:rPr>
          <w:rFonts w:cstheme="minorHAnsi"/>
        </w:rPr>
      </w:pPr>
      <w:r w:rsidRPr="00A54361">
        <w:rPr>
          <w:rFonts w:cstheme="minorHAnsi"/>
        </w:rPr>
        <w:t xml:space="preserve">Procurement of the </w:t>
      </w:r>
      <w:r w:rsidR="005A7A8F" w:rsidRPr="00A54361">
        <w:rPr>
          <w:rFonts w:cstheme="minorHAnsi"/>
        </w:rPr>
        <w:t>Cyber Security Solutions</w:t>
      </w:r>
      <w:r w:rsidRPr="00A54361">
        <w:rPr>
          <w:rFonts w:cstheme="minorHAnsi"/>
        </w:rPr>
        <w:t xml:space="preserve"> </w:t>
      </w:r>
      <w:r w:rsidR="00443C19" w:rsidRPr="00A54361">
        <w:rPr>
          <w:rFonts w:cstheme="minorHAnsi"/>
        </w:rPr>
        <w:t xml:space="preserve">and associated hardware </w:t>
      </w:r>
      <w:r w:rsidRPr="00A54361">
        <w:rPr>
          <w:rFonts w:cstheme="minorHAnsi"/>
        </w:rPr>
        <w:t>mentioned in the RFP will be at Bank</w:t>
      </w:r>
      <w:r w:rsidR="00A409FC" w:rsidRPr="00A54361">
        <w:rPr>
          <w:rFonts w:cstheme="minorHAnsi"/>
        </w:rPr>
        <w:t>’</w:t>
      </w:r>
      <w:r w:rsidRPr="00A54361">
        <w:rPr>
          <w:rFonts w:cstheme="minorHAnsi"/>
        </w:rPr>
        <w:t xml:space="preserve">s discretion and Bank may not procure all the items mentioned in the RFP. Also, Bank may ask for staggered delivery of some of the </w:t>
      </w:r>
      <w:r w:rsidR="0075061B" w:rsidRPr="00A54361">
        <w:rPr>
          <w:rFonts w:cstheme="minorHAnsi"/>
        </w:rPr>
        <w:t>Cyber Security Solutions</w:t>
      </w:r>
      <w:r w:rsidR="00443C19" w:rsidRPr="00A54361">
        <w:rPr>
          <w:rFonts w:cstheme="minorHAnsi"/>
        </w:rPr>
        <w:t xml:space="preserve"> and associated hardware</w:t>
      </w:r>
      <w:r w:rsidRPr="00A54361">
        <w:rPr>
          <w:rFonts w:cstheme="minorHAnsi"/>
        </w:rPr>
        <w:t xml:space="preserve"> mentioned in the RFP. Details of the same would be shared with the successful Bidder at a later stage. </w:t>
      </w:r>
    </w:p>
    <w:p w14:paraId="4306D18D" w14:textId="786BE7F4" w:rsidR="00B26284" w:rsidRPr="00A54361" w:rsidRDefault="002D4B39" w:rsidP="00A54361">
      <w:pPr>
        <w:pStyle w:val="ListParagraph"/>
        <w:numPr>
          <w:ilvl w:val="0"/>
          <w:numId w:val="51"/>
        </w:numPr>
        <w:spacing w:after="120"/>
        <w:jc w:val="both"/>
        <w:rPr>
          <w:rFonts w:cstheme="minorHAnsi"/>
        </w:rPr>
      </w:pPr>
      <w:r w:rsidRPr="00A54361">
        <w:rPr>
          <w:rFonts w:cstheme="minorHAnsi"/>
        </w:rPr>
        <w:t xml:space="preserve">Bidder </w:t>
      </w:r>
      <w:r w:rsidR="00C5210E" w:rsidRPr="00A54361">
        <w:rPr>
          <w:rFonts w:cstheme="minorHAnsi"/>
        </w:rPr>
        <w:t>must</w:t>
      </w:r>
      <w:r w:rsidRPr="00A54361">
        <w:rPr>
          <w:rFonts w:cstheme="minorHAnsi"/>
        </w:rPr>
        <w:t xml:space="preserve"> provide the details of each individual proposed </w:t>
      </w:r>
      <w:r w:rsidR="005A7A8F" w:rsidRPr="00A54361">
        <w:rPr>
          <w:rFonts w:cstheme="minorHAnsi"/>
        </w:rPr>
        <w:t xml:space="preserve">Cyber Security Solutions </w:t>
      </w:r>
      <w:r w:rsidR="00443C19" w:rsidRPr="00A54361">
        <w:rPr>
          <w:rFonts w:cstheme="minorHAnsi"/>
        </w:rPr>
        <w:t xml:space="preserve">and associated hardware </w:t>
      </w:r>
      <w:r w:rsidRPr="00A54361">
        <w:rPr>
          <w:rFonts w:cstheme="minorHAnsi"/>
        </w:rPr>
        <w:t xml:space="preserve">along with the Hardware &amp; Software proposed, in </w:t>
      </w:r>
      <w:r w:rsidR="00EC39D9" w:rsidRPr="00A54361">
        <w:rPr>
          <w:rFonts w:cstheme="minorHAnsi"/>
        </w:rPr>
        <w:t>Annexure 1</w:t>
      </w:r>
      <w:r w:rsidR="005E56A8" w:rsidRPr="00A54361">
        <w:rPr>
          <w:rFonts w:cstheme="minorHAnsi"/>
        </w:rPr>
        <w:t xml:space="preserve">: </w:t>
      </w:r>
      <w:r w:rsidR="00EC39D9" w:rsidRPr="00A54361">
        <w:rPr>
          <w:rFonts w:cstheme="minorHAnsi"/>
        </w:rPr>
        <w:t>Bill of Materials</w:t>
      </w:r>
      <w:r w:rsidR="0073466D" w:rsidRPr="00A54361">
        <w:rPr>
          <w:rFonts w:cstheme="minorHAnsi"/>
        </w:rPr>
        <w:t>.</w:t>
      </w:r>
      <w:r w:rsidRPr="00A54361">
        <w:rPr>
          <w:rFonts w:cstheme="minorHAnsi"/>
        </w:rPr>
        <w:t xml:space="preserve"> </w:t>
      </w:r>
    </w:p>
    <w:p w14:paraId="25AE0D30" w14:textId="78349669" w:rsidR="00A83DD3" w:rsidRPr="00A54361" w:rsidRDefault="00A83DD3" w:rsidP="00A54361">
      <w:pPr>
        <w:pStyle w:val="ListParagraph"/>
        <w:numPr>
          <w:ilvl w:val="0"/>
          <w:numId w:val="51"/>
        </w:numPr>
        <w:spacing w:after="120" w:line="240" w:lineRule="auto"/>
        <w:jc w:val="both"/>
        <w:rPr>
          <w:rFonts w:cstheme="minorHAnsi"/>
        </w:rPr>
      </w:pPr>
      <w:r w:rsidRPr="00A54361">
        <w:rPr>
          <w:rFonts w:cstheme="minorHAnsi"/>
        </w:rPr>
        <w:t xml:space="preserve">Whatever is required </w:t>
      </w:r>
      <w:r w:rsidR="001E2560" w:rsidRPr="00A54361">
        <w:rPr>
          <w:rFonts w:cstheme="minorHAnsi"/>
        </w:rPr>
        <w:t xml:space="preserve">for the successful implementation of the proposed cybersecurity solutions, </w:t>
      </w:r>
      <w:r w:rsidR="00543F7A" w:rsidRPr="00A54361">
        <w:rPr>
          <w:rFonts w:cstheme="minorHAnsi"/>
        </w:rPr>
        <w:t xml:space="preserve">such as </w:t>
      </w:r>
      <w:r w:rsidR="0003148F" w:rsidRPr="00A54361">
        <w:rPr>
          <w:rFonts w:cstheme="minorHAnsi"/>
        </w:rPr>
        <w:t>x86 based Hardware including any OS, VMs and Load Balancer</w:t>
      </w:r>
      <w:r w:rsidR="00543F7A" w:rsidRPr="00A54361">
        <w:rPr>
          <w:rFonts w:cstheme="minorHAnsi"/>
        </w:rPr>
        <w:t xml:space="preserve"> etc., the</w:t>
      </w:r>
      <w:r w:rsidR="0003148F" w:rsidRPr="00A54361">
        <w:rPr>
          <w:rFonts w:cstheme="minorHAnsi"/>
        </w:rPr>
        <w:t xml:space="preserve"> Bidders</w:t>
      </w:r>
      <w:r w:rsidR="00D01E64" w:rsidRPr="00A54361">
        <w:rPr>
          <w:rFonts w:cstheme="minorHAnsi"/>
        </w:rPr>
        <w:t xml:space="preserve"> has to provide the same</w:t>
      </w:r>
      <w:r w:rsidR="0003148F" w:rsidRPr="00A54361">
        <w:rPr>
          <w:rFonts w:cstheme="minorHAnsi"/>
        </w:rPr>
        <w:t>.</w:t>
      </w:r>
    </w:p>
    <w:p w14:paraId="55CE51D5" w14:textId="6BAFA1A7" w:rsidR="0003148F" w:rsidRPr="00A54361" w:rsidRDefault="0003148F" w:rsidP="00A54361">
      <w:pPr>
        <w:pStyle w:val="ListParagraph"/>
        <w:numPr>
          <w:ilvl w:val="0"/>
          <w:numId w:val="51"/>
        </w:numPr>
        <w:spacing w:after="120"/>
        <w:jc w:val="both"/>
        <w:rPr>
          <w:rFonts w:cstheme="minorHAnsi"/>
        </w:rPr>
      </w:pPr>
      <w:r w:rsidRPr="00A54361">
        <w:rPr>
          <w:rFonts w:cstheme="minorHAnsi"/>
        </w:rPr>
        <w:t>Also, bidder is required to provide the necessary co-hosting details for the proposed solutions in terms of space, power and cooling requirement</w:t>
      </w:r>
      <w:r w:rsidR="001E0C8F" w:rsidRPr="00A54361">
        <w:rPr>
          <w:rFonts w:cstheme="minorHAnsi"/>
        </w:rPr>
        <w:t>.</w:t>
      </w:r>
      <w:r w:rsidR="0021453E" w:rsidRPr="00A54361">
        <w:rPr>
          <w:rFonts w:cstheme="minorHAnsi"/>
        </w:rPr>
        <w:t xml:space="preserve"> </w:t>
      </w:r>
      <w:r w:rsidR="001E0C8F" w:rsidRPr="00A54361">
        <w:rPr>
          <w:rFonts w:cstheme="minorHAnsi"/>
        </w:rPr>
        <w:t>However,</w:t>
      </w:r>
      <w:r w:rsidR="0021453E" w:rsidRPr="00A54361">
        <w:rPr>
          <w:rFonts w:cstheme="minorHAnsi"/>
        </w:rPr>
        <w:t xml:space="preserve"> the same shall be provided by the Bank</w:t>
      </w:r>
      <w:r w:rsidR="005B672B" w:rsidRPr="00A54361">
        <w:rPr>
          <w:rFonts w:cstheme="minorHAnsi"/>
        </w:rPr>
        <w:t>.</w:t>
      </w:r>
      <w:r w:rsidRPr="00A54361">
        <w:rPr>
          <w:rFonts w:cstheme="minorHAnsi"/>
        </w:rPr>
        <w:t xml:space="preserve">  </w:t>
      </w:r>
    </w:p>
    <w:p w14:paraId="16D21928" w14:textId="540FEE6A" w:rsidR="00DA29CF" w:rsidRPr="00A54361" w:rsidRDefault="00DA29CF" w:rsidP="00A54361">
      <w:pPr>
        <w:pStyle w:val="ListParagraph"/>
        <w:numPr>
          <w:ilvl w:val="0"/>
          <w:numId w:val="51"/>
        </w:numPr>
        <w:spacing w:after="120"/>
        <w:jc w:val="both"/>
        <w:rPr>
          <w:rFonts w:cstheme="minorHAnsi"/>
        </w:rPr>
      </w:pPr>
      <w:r w:rsidRPr="00A54361">
        <w:rPr>
          <w:rFonts w:cstheme="minorHAnsi"/>
        </w:rPr>
        <w:t xml:space="preserve">Bidder is also required to provide the number of ethernet ports </w:t>
      </w:r>
      <w:r w:rsidR="009945C9" w:rsidRPr="00A54361">
        <w:rPr>
          <w:rFonts w:cstheme="minorHAnsi"/>
        </w:rPr>
        <w:t xml:space="preserve">(with speed) </w:t>
      </w:r>
      <w:r w:rsidRPr="00A54361">
        <w:rPr>
          <w:rFonts w:cstheme="minorHAnsi"/>
        </w:rPr>
        <w:t>required for all the Proposed Solutions</w:t>
      </w:r>
      <w:r w:rsidR="009945C9" w:rsidRPr="00A54361">
        <w:rPr>
          <w:rFonts w:cstheme="minorHAnsi"/>
        </w:rPr>
        <w:t xml:space="preserve">. </w:t>
      </w:r>
      <w:r w:rsidR="009E5766" w:rsidRPr="00A54361">
        <w:rPr>
          <w:rFonts w:cstheme="minorHAnsi"/>
        </w:rPr>
        <w:t>However,</w:t>
      </w:r>
      <w:r w:rsidR="009945C9" w:rsidRPr="00A54361">
        <w:rPr>
          <w:rFonts w:cstheme="minorHAnsi"/>
        </w:rPr>
        <w:t xml:space="preserve"> the same shall be provided by the Bank. </w:t>
      </w:r>
    </w:p>
    <w:p w14:paraId="548F9EA0" w14:textId="6F7241A5" w:rsidR="00B73450" w:rsidRPr="00A54361" w:rsidRDefault="00B73450" w:rsidP="00A54361">
      <w:pPr>
        <w:pStyle w:val="ListParagraph"/>
        <w:numPr>
          <w:ilvl w:val="0"/>
          <w:numId w:val="51"/>
        </w:numPr>
        <w:spacing w:after="120"/>
        <w:jc w:val="both"/>
        <w:rPr>
          <w:rFonts w:cstheme="minorHAnsi"/>
        </w:rPr>
      </w:pPr>
      <w:r w:rsidRPr="00A54361">
        <w:t>All the services/solutions offered should be modular, scalable, and should be able to meet Bank‘s requirements during the period of contract.</w:t>
      </w:r>
    </w:p>
    <w:p w14:paraId="6AEC4845" w14:textId="3D828862" w:rsidR="00B73450" w:rsidRPr="00A54361" w:rsidRDefault="00D95A7C" w:rsidP="00A54361">
      <w:pPr>
        <w:pStyle w:val="ListParagraph"/>
        <w:numPr>
          <w:ilvl w:val="0"/>
          <w:numId w:val="51"/>
        </w:numPr>
        <w:spacing w:after="120"/>
        <w:jc w:val="both"/>
        <w:rPr>
          <w:rFonts w:cstheme="minorHAnsi"/>
        </w:rPr>
      </w:pPr>
      <w:r w:rsidRPr="00A54361">
        <w:t xml:space="preserve">All the services/solutions in scope needs to be designed and implemented with adequate redundancy and fault tolerance to ensure compliance with </w:t>
      </w:r>
      <w:r w:rsidR="003A7E2A" w:rsidRPr="00A54361">
        <w:t>Service Levels</w:t>
      </w:r>
      <w:r w:rsidRPr="00A54361">
        <w:t xml:space="preserve"> for uptime as outlined in this RFP.</w:t>
      </w:r>
    </w:p>
    <w:p w14:paraId="3420DE70" w14:textId="4E82F189" w:rsidR="00D95A7C" w:rsidRPr="00A54361" w:rsidRDefault="00D95A7C" w:rsidP="00A54361">
      <w:pPr>
        <w:pStyle w:val="ListParagraph"/>
        <w:numPr>
          <w:ilvl w:val="0"/>
          <w:numId w:val="51"/>
        </w:numPr>
        <w:spacing w:after="120"/>
        <w:jc w:val="both"/>
        <w:rPr>
          <w:rFonts w:cstheme="minorHAnsi"/>
        </w:rPr>
      </w:pPr>
      <w:r w:rsidRPr="00A54361">
        <w:t>It should be ensured that during installation</w:t>
      </w:r>
      <w:r w:rsidR="008055C4" w:rsidRPr="00A54361">
        <w:t>/implementation</w:t>
      </w:r>
      <w:r w:rsidRPr="00A54361">
        <w:t xml:space="preserve"> </w:t>
      </w:r>
      <w:r w:rsidR="003A7E2A" w:rsidRPr="00A54361">
        <w:t>and</w:t>
      </w:r>
      <w:r w:rsidRPr="00A54361">
        <w:t xml:space="preserve"> during operations of the security solutions</w:t>
      </w:r>
      <w:r w:rsidR="003A7E2A" w:rsidRPr="00A54361">
        <w:t>;</w:t>
      </w:r>
      <w:r w:rsidRPr="00A54361">
        <w:t xml:space="preserve"> </w:t>
      </w:r>
      <w:r w:rsidR="003A7E2A" w:rsidRPr="00A54361">
        <w:t xml:space="preserve">none of </w:t>
      </w:r>
      <w:r w:rsidRPr="00A54361">
        <w:t xml:space="preserve">the existing infrastructure/ business of the Bank </w:t>
      </w:r>
      <w:r w:rsidR="003A7E2A" w:rsidRPr="00A54361">
        <w:t>should be</w:t>
      </w:r>
      <w:r w:rsidRPr="00A54361">
        <w:t xml:space="preserve"> impacted.</w:t>
      </w:r>
    </w:p>
    <w:p w14:paraId="557CC870" w14:textId="77A1F4CC" w:rsidR="00EA220A" w:rsidRPr="00A54361" w:rsidRDefault="002D4B39" w:rsidP="00A54361">
      <w:pPr>
        <w:pStyle w:val="ListParagraph"/>
        <w:numPr>
          <w:ilvl w:val="0"/>
          <w:numId w:val="51"/>
        </w:numPr>
        <w:spacing w:after="120"/>
        <w:jc w:val="both"/>
        <w:rPr>
          <w:rFonts w:cstheme="minorHAnsi"/>
        </w:rPr>
      </w:pPr>
      <w:r w:rsidRPr="00A54361">
        <w:rPr>
          <w:rFonts w:cstheme="minorHAnsi"/>
        </w:rPr>
        <w:t>Bidder is also required to carry out activities given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2618"/>
        <w:gridCol w:w="5516"/>
      </w:tblGrid>
      <w:tr w:rsidR="000D3DC1" w:rsidRPr="00A54361" w14:paraId="478E9F4B" w14:textId="77777777" w:rsidTr="005D16B3">
        <w:tc>
          <w:tcPr>
            <w:tcW w:w="959" w:type="dxa"/>
            <w:shd w:val="clear" w:color="auto" w:fill="D9E2F3" w:themeFill="accent1" w:themeFillTint="33"/>
          </w:tcPr>
          <w:p w14:paraId="56D43628" w14:textId="12C8CA76" w:rsidR="00DA710D" w:rsidRPr="00A54361" w:rsidRDefault="00DA710D" w:rsidP="00A54361">
            <w:pPr>
              <w:spacing w:after="120"/>
              <w:jc w:val="both"/>
              <w:rPr>
                <w:rFonts w:cstheme="minorHAnsi"/>
                <w:b/>
                <w:bCs/>
              </w:rPr>
            </w:pPr>
            <w:r w:rsidRPr="00A54361">
              <w:rPr>
                <w:rFonts w:cstheme="minorHAnsi"/>
                <w:b/>
                <w:bCs/>
              </w:rPr>
              <w:t>Sr. No.</w:t>
            </w:r>
          </w:p>
        </w:tc>
        <w:tc>
          <w:tcPr>
            <w:tcW w:w="2835" w:type="dxa"/>
            <w:shd w:val="clear" w:color="auto" w:fill="D9E2F3" w:themeFill="accent1" w:themeFillTint="33"/>
          </w:tcPr>
          <w:p w14:paraId="262E788C" w14:textId="7A30B292" w:rsidR="00DA710D" w:rsidRPr="00A54361" w:rsidRDefault="00DA710D" w:rsidP="00A54361">
            <w:pPr>
              <w:spacing w:after="120"/>
              <w:jc w:val="both"/>
              <w:rPr>
                <w:rFonts w:cstheme="minorHAnsi"/>
                <w:b/>
                <w:bCs/>
              </w:rPr>
            </w:pPr>
            <w:r w:rsidRPr="00A54361">
              <w:rPr>
                <w:rFonts w:cstheme="minorHAnsi"/>
                <w:b/>
                <w:bCs/>
              </w:rPr>
              <w:t>Activity</w:t>
            </w:r>
          </w:p>
        </w:tc>
        <w:tc>
          <w:tcPr>
            <w:tcW w:w="6237" w:type="dxa"/>
            <w:shd w:val="clear" w:color="auto" w:fill="D9E2F3" w:themeFill="accent1" w:themeFillTint="33"/>
          </w:tcPr>
          <w:p w14:paraId="5FD3486E" w14:textId="0B35D224" w:rsidR="00DA710D" w:rsidRPr="00A54361" w:rsidRDefault="00DA710D" w:rsidP="00A54361">
            <w:pPr>
              <w:spacing w:after="120"/>
              <w:jc w:val="both"/>
              <w:rPr>
                <w:rFonts w:cstheme="minorHAnsi"/>
                <w:b/>
                <w:bCs/>
              </w:rPr>
            </w:pPr>
            <w:r w:rsidRPr="00A54361">
              <w:rPr>
                <w:rFonts w:cstheme="minorHAnsi"/>
                <w:b/>
                <w:bCs/>
              </w:rPr>
              <w:t>Remarks</w:t>
            </w:r>
          </w:p>
        </w:tc>
      </w:tr>
      <w:tr w:rsidR="000D3DC1" w:rsidRPr="00A54361" w14:paraId="4B3E8C00" w14:textId="77777777" w:rsidTr="005D16B3">
        <w:trPr>
          <w:trHeight w:val="834"/>
        </w:trPr>
        <w:tc>
          <w:tcPr>
            <w:tcW w:w="959" w:type="dxa"/>
            <w:shd w:val="clear" w:color="auto" w:fill="auto"/>
          </w:tcPr>
          <w:p w14:paraId="4581D956" w14:textId="76772034" w:rsidR="00DA710D" w:rsidRPr="00A54361" w:rsidRDefault="00DA710D" w:rsidP="00A54361">
            <w:pPr>
              <w:spacing w:after="120"/>
              <w:jc w:val="both"/>
              <w:rPr>
                <w:rFonts w:cstheme="minorHAnsi"/>
              </w:rPr>
            </w:pPr>
            <w:r w:rsidRPr="00A54361">
              <w:rPr>
                <w:rFonts w:cstheme="minorHAnsi"/>
              </w:rPr>
              <w:t>1.</w:t>
            </w:r>
          </w:p>
        </w:tc>
        <w:tc>
          <w:tcPr>
            <w:tcW w:w="2835" w:type="dxa"/>
            <w:shd w:val="clear" w:color="auto" w:fill="auto"/>
          </w:tcPr>
          <w:p w14:paraId="217B90F6" w14:textId="25E8A4EF" w:rsidR="00DA710D" w:rsidRPr="00A54361" w:rsidRDefault="00DA710D" w:rsidP="00A54361">
            <w:pPr>
              <w:spacing w:after="120"/>
              <w:jc w:val="both"/>
              <w:rPr>
                <w:rFonts w:cstheme="minorHAnsi"/>
              </w:rPr>
            </w:pPr>
            <w:r w:rsidRPr="00A54361">
              <w:rPr>
                <w:rFonts w:cstheme="minorHAnsi"/>
              </w:rPr>
              <w:t xml:space="preserve">Physical delivery of </w:t>
            </w:r>
            <w:r w:rsidR="0082458C" w:rsidRPr="00A54361">
              <w:rPr>
                <w:rFonts w:cstheme="minorHAnsi"/>
              </w:rPr>
              <w:t>Cyber Sec</w:t>
            </w:r>
            <w:r w:rsidR="00D43D8D" w:rsidRPr="00A54361">
              <w:rPr>
                <w:rFonts w:cstheme="minorHAnsi"/>
              </w:rPr>
              <w:t>urity Solutions</w:t>
            </w:r>
            <w:r w:rsidR="00443C19" w:rsidRPr="00A54361">
              <w:rPr>
                <w:rFonts w:cstheme="minorHAnsi"/>
              </w:rPr>
              <w:t xml:space="preserve"> and associated hardware</w:t>
            </w:r>
          </w:p>
        </w:tc>
        <w:tc>
          <w:tcPr>
            <w:tcW w:w="6237" w:type="dxa"/>
            <w:shd w:val="clear" w:color="auto" w:fill="auto"/>
          </w:tcPr>
          <w:p w14:paraId="1C74E33E" w14:textId="26B84715" w:rsidR="00DA710D" w:rsidRPr="00A54361" w:rsidRDefault="00DA710D" w:rsidP="00A54361">
            <w:pPr>
              <w:spacing w:after="120"/>
              <w:jc w:val="both"/>
              <w:rPr>
                <w:rFonts w:cstheme="minorHAnsi"/>
              </w:rPr>
            </w:pPr>
            <w:r w:rsidRPr="00A54361">
              <w:rPr>
                <w:rFonts w:cstheme="minorHAnsi"/>
              </w:rPr>
              <w:t xml:space="preserve">Bidder </w:t>
            </w:r>
            <w:r w:rsidR="00A9255E" w:rsidRPr="00A54361">
              <w:rPr>
                <w:rFonts w:cstheme="minorHAnsi"/>
              </w:rPr>
              <w:t>must</w:t>
            </w:r>
            <w:r w:rsidRPr="00A54361">
              <w:rPr>
                <w:rFonts w:cstheme="minorHAnsi"/>
              </w:rPr>
              <w:t xml:space="preserve"> supply and deliver the </w:t>
            </w:r>
            <w:r w:rsidR="0082458C" w:rsidRPr="00A54361">
              <w:rPr>
                <w:rFonts w:cstheme="minorHAnsi"/>
              </w:rPr>
              <w:t>Security Solutions</w:t>
            </w:r>
            <w:r w:rsidR="00C4074B" w:rsidRPr="00A54361">
              <w:rPr>
                <w:rFonts w:cstheme="minorHAnsi"/>
              </w:rPr>
              <w:t xml:space="preserve"> and associated hardware</w:t>
            </w:r>
            <w:r w:rsidR="0082458C" w:rsidRPr="00A54361">
              <w:rPr>
                <w:rFonts w:cstheme="minorHAnsi"/>
              </w:rPr>
              <w:t xml:space="preserve"> </w:t>
            </w:r>
            <w:r w:rsidRPr="00A54361">
              <w:rPr>
                <w:rFonts w:cstheme="minorHAnsi"/>
              </w:rPr>
              <w:t xml:space="preserve">mentioned in </w:t>
            </w:r>
            <w:r w:rsidR="00EC39D9" w:rsidRPr="00A54361">
              <w:rPr>
                <w:rFonts w:cstheme="minorHAnsi"/>
              </w:rPr>
              <w:t>Annexure 1</w:t>
            </w:r>
            <w:r w:rsidR="005E56A8" w:rsidRPr="00A54361">
              <w:rPr>
                <w:rFonts w:cstheme="minorHAnsi"/>
              </w:rPr>
              <w:t xml:space="preserve">: </w:t>
            </w:r>
            <w:r w:rsidR="00EC39D9" w:rsidRPr="00A54361">
              <w:rPr>
                <w:rFonts w:cstheme="minorHAnsi"/>
              </w:rPr>
              <w:t>Bill of Materials</w:t>
            </w:r>
            <w:r w:rsidR="0073466D" w:rsidRPr="00A54361">
              <w:rPr>
                <w:rFonts w:cstheme="minorHAnsi"/>
              </w:rPr>
              <w:t xml:space="preserve"> </w:t>
            </w:r>
            <w:r w:rsidRPr="00A54361">
              <w:rPr>
                <w:rFonts w:cstheme="minorHAnsi"/>
              </w:rPr>
              <w:t>at the Bank</w:t>
            </w:r>
            <w:r w:rsidR="00AB29F4" w:rsidRPr="00A54361">
              <w:rPr>
                <w:rFonts w:cstheme="minorHAnsi"/>
              </w:rPr>
              <w:t>’</w:t>
            </w:r>
            <w:r w:rsidRPr="00A54361">
              <w:rPr>
                <w:rFonts w:cstheme="minorHAnsi"/>
              </w:rPr>
              <w:t>s site</w:t>
            </w:r>
            <w:r w:rsidR="003A7E2A" w:rsidRPr="00A54361">
              <w:rPr>
                <w:rFonts w:cstheme="minorHAnsi"/>
              </w:rPr>
              <w:t xml:space="preserve"> and in compliance to the Annexure 2 - Technical Specifications given in the RFP</w:t>
            </w:r>
          </w:p>
        </w:tc>
      </w:tr>
      <w:tr w:rsidR="000D3DC1" w:rsidRPr="00A54361" w14:paraId="424719FB" w14:textId="77777777" w:rsidTr="005D16B3">
        <w:tc>
          <w:tcPr>
            <w:tcW w:w="959" w:type="dxa"/>
            <w:vMerge w:val="restart"/>
            <w:shd w:val="clear" w:color="auto" w:fill="auto"/>
          </w:tcPr>
          <w:p w14:paraId="398DCAF8" w14:textId="118A5BD1" w:rsidR="00AB29F4" w:rsidRPr="00A54361" w:rsidRDefault="00AB29F4" w:rsidP="00A54361">
            <w:pPr>
              <w:spacing w:after="120"/>
              <w:jc w:val="both"/>
              <w:rPr>
                <w:rFonts w:cstheme="minorHAnsi"/>
              </w:rPr>
            </w:pPr>
            <w:r w:rsidRPr="00A54361">
              <w:rPr>
                <w:rFonts w:cstheme="minorHAnsi"/>
              </w:rPr>
              <w:t>2.</w:t>
            </w:r>
          </w:p>
        </w:tc>
        <w:tc>
          <w:tcPr>
            <w:tcW w:w="2835" w:type="dxa"/>
            <w:vMerge w:val="restart"/>
            <w:shd w:val="clear" w:color="auto" w:fill="auto"/>
          </w:tcPr>
          <w:p w14:paraId="0FB06650" w14:textId="538E7D0F" w:rsidR="00AB29F4" w:rsidRPr="00A54361" w:rsidRDefault="00AB29F4" w:rsidP="00A54361">
            <w:pPr>
              <w:spacing w:after="120"/>
              <w:jc w:val="both"/>
              <w:rPr>
                <w:rFonts w:cstheme="minorHAnsi"/>
              </w:rPr>
            </w:pPr>
            <w:r w:rsidRPr="00A54361">
              <w:rPr>
                <w:rFonts w:cstheme="minorHAnsi"/>
              </w:rPr>
              <w:t>Installation</w:t>
            </w:r>
            <w:r w:rsidR="00FD2E89" w:rsidRPr="00A54361">
              <w:rPr>
                <w:rFonts w:cstheme="minorHAnsi"/>
              </w:rPr>
              <w:t xml:space="preserve">, </w:t>
            </w:r>
            <w:r w:rsidRPr="00A54361">
              <w:rPr>
                <w:rFonts w:cstheme="minorHAnsi"/>
              </w:rPr>
              <w:t xml:space="preserve">configuration </w:t>
            </w:r>
            <w:r w:rsidR="00FD2E89" w:rsidRPr="00A54361">
              <w:rPr>
                <w:rFonts w:cstheme="minorHAnsi"/>
              </w:rPr>
              <w:t xml:space="preserve">&amp; implementation </w:t>
            </w:r>
            <w:r w:rsidRPr="00A54361">
              <w:rPr>
                <w:rFonts w:cstheme="minorHAnsi"/>
              </w:rPr>
              <w:t xml:space="preserve">of </w:t>
            </w:r>
            <w:r w:rsidR="00D43D8D" w:rsidRPr="00A54361">
              <w:rPr>
                <w:rFonts w:cstheme="minorHAnsi"/>
              </w:rPr>
              <w:t xml:space="preserve">Cyber </w:t>
            </w:r>
            <w:r w:rsidR="00D43D8D" w:rsidRPr="00A54361">
              <w:rPr>
                <w:rFonts w:cstheme="minorHAnsi"/>
              </w:rPr>
              <w:lastRenderedPageBreak/>
              <w:t>Security Solutions</w:t>
            </w:r>
            <w:r w:rsidR="00443C19" w:rsidRPr="00A54361">
              <w:rPr>
                <w:rFonts w:cstheme="minorHAnsi"/>
              </w:rPr>
              <w:t xml:space="preserve"> and associated hardware</w:t>
            </w:r>
            <w:r w:rsidRPr="00A54361">
              <w:rPr>
                <w:rFonts w:cstheme="minorHAnsi"/>
              </w:rPr>
              <w:t xml:space="preserve"> to suit the requirements.</w:t>
            </w:r>
          </w:p>
        </w:tc>
        <w:tc>
          <w:tcPr>
            <w:tcW w:w="6237" w:type="dxa"/>
            <w:shd w:val="clear" w:color="auto" w:fill="auto"/>
          </w:tcPr>
          <w:p w14:paraId="7D51B2D9" w14:textId="58D2C833" w:rsidR="00AB29F4" w:rsidRPr="00A54361" w:rsidRDefault="00831A06" w:rsidP="00A54361">
            <w:pPr>
              <w:spacing w:after="120"/>
              <w:jc w:val="both"/>
              <w:rPr>
                <w:rFonts w:cstheme="minorHAnsi"/>
              </w:rPr>
            </w:pPr>
            <w:r w:rsidRPr="00A54361">
              <w:rPr>
                <w:rFonts w:cstheme="minorHAnsi"/>
              </w:rPr>
              <w:lastRenderedPageBreak/>
              <w:t xml:space="preserve">OEM / OEM </w:t>
            </w:r>
            <w:r w:rsidR="00470314" w:rsidRPr="00A54361">
              <w:rPr>
                <w:rFonts w:cstheme="minorHAnsi"/>
              </w:rPr>
              <w:t>A</w:t>
            </w:r>
            <w:r w:rsidRPr="00A54361">
              <w:rPr>
                <w:rFonts w:cstheme="minorHAnsi"/>
              </w:rPr>
              <w:t xml:space="preserve">uthorised </w:t>
            </w:r>
            <w:r w:rsidR="00470314" w:rsidRPr="00A54361">
              <w:rPr>
                <w:rFonts w:cstheme="minorHAnsi"/>
              </w:rPr>
              <w:t>Partner</w:t>
            </w:r>
            <w:r w:rsidR="00AB29F4" w:rsidRPr="00A54361">
              <w:rPr>
                <w:rFonts w:cstheme="minorHAnsi"/>
              </w:rPr>
              <w:t xml:space="preserve"> is required to install</w:t>
            </w:r>
            <w:r w:rsidR="00FD2E89" w:rsidRPr="00A54361">
              <w:rPr>
                <w:rFonts w:cstheme="minorHAnsi"/>
              </w:rPr>
              <w:t xml:space="preserve">, </w:t>
            </w:r>
            <w:r w:rsidR="00AB29F4" w:rsidRPr="00A54361">
              <w:rPr>
                <w:rFonts w:cstheme="minorHAnsi"/>
              </w:rPr>
              <w:t>configure</w:t>
            </w:r>
            <w:r w:rsidR="00E8792C" w:rsidRPr="00A54361">
              <w:rPr>
                <w:rFonts w:cstheme="minorHAnsi"/>
              </w:rPr>
              <w:t xml:space="preserve"> </w:t>
            </w:r>
            <w:r w:rsidR="00305B77" w:rsidRPr="00A54361">
              <w:rPr>
                <w:rFonts w:cstheme="minorHAnsi"/>
              </w:rPr>
              <w:t>and</w:t>
            </w:r>
            <w:r w:rsidR="00E8792C" w:rsidRPr="00A54361">
              <w:rPr>
                <w:rFonts w:cstheme="minorHAnsi"/>
              </w:rPr>
              <w:t xml:space="preserve"> implement</w:t>
            </w:r>
            <w:r w:rsidR="00AB29F4" w:rsidRPr="00A54361">
              <w:rPr>
                <w:rFonts w:cstheme="minorHAnsi"/>
              </w:rPr>
              <w:t xml:space="preserve"> the </w:t>
            </w:r>
            <w:r w:rsidR="00D43D8D" w:rsidRPr="00A54361">
              <w:rPr>
                <w:rFonts w:cstheme="minorHAnsi"/>
              </w:rPr>
              <w:t>Cyber Security Solutions</w:t>
            </w:r>
            <w:r w:rsidR="00C4074B" w:rsidRPr="00A54361">
              <w:rPr>
                <w:rFonts w:cstheme="minorHAnsi"/>
              </w:rPr>
              <w:t xml:space="preserve"> and </w:t>
            </w:r>
            <w:r w:rsidR="00C4074B" w:rsidRPr="00A54361">
              <w:rPr>
                <w:rFonts w:cstheme="minorHAnsi"/>
              </w:rPr>
              <w:lastRenderedPageBreak/>
              <w:t>associated hardware</w:t>
            </w:r>
            <w:r w:rsidR="00AB29F4" w:rsidRPr="00A54361">
              <w:rPr>
                <w:rFonts w:cstheme="minorHAnsi"/>
              </w:rPr>
              <w:t xml:space="preserve"> provided by the OEM/s. Thus, </w:t>
            </w:r>
            <w:r w:rsidR="00470314" w:rsidRPr="00A54361">
              <w:rPr>
                <w:rFonts w:cstheme="minorHAnsi"/>
              </w:rPr>
              <w:t xml:space="preserve">OEM / OEM Authorised Partner </w:t>
            </w:r>
            <w:r w:rsidR="00AB29F4" w:rsidRPr="00A54361">
              <w:rPr>
                <w:rFonts w:cstheme="minorHAnsi"/>
              </w:rPr>
              <w:t xml:space="preserve">is required to unpack, assemble, </w:t>
            </w:r>
            <w:r w:rsidR="00A9255E" w:rsidRPr="00A54361">
              <w:rPr>
                <w:rFonts w:cstheme="minorHAnsi"/>
              </w:rPr>
              <w:t>mount,</w:t>
            </w:r>
            <w:r w:rsidR="00AB29F4" w:rsidRPr="00A54361">
              <w:rPr>
                <w:rFonts w:cstheme="minorHAnsi"/>
              </w:rPr>
              <w:t xml:space="preserve"> and boot the </w:t>
            </w:r>
            <w:r w:rsidR="00F37D2E" w:rsidRPr="00A54361">
              <w:rPr>
                <w:rFonts w:cstheme="minorHAnsi"/>
              </w:rPr>
              <w:t>solutions/</w:t>
            </w:r>
            <w:r w:rsidR="00AB29F4" w:rsidRPr="00A54361">
              <w:rPr>
                <w:rFonts w:cstheme="minorHAnsi"/>
              </w:rPr>
              <w:t xml:space="preserve">equipment and install the necessary service packs, patches, and fixes to the Operating System, set up and configure the </w:t>
            </w:r>
            <w:r w:rsidR="00F37D2E" w:rsidRPr="00A54361">
              <w:rPr>
                <w:rFonts w:cstheme="minorHAnsi"/>
              </w:rPr>
              <w:t>solution</w:t>
            </w:r>
            <w:r w:rsidR="00AB29F4" w:rsidRPr="00A54361">
              <w:rPr>
                <w:rFonts w:cstheme="minorHAnsi"/>
              </w:rPr>
              <w:t>. Compatibility issues of subsystems with OS, respective drivers, firmware, any other cards to be installed, if required, are to be resolved by Bidder</w:t>
            </w:r>
            <w:r w:rsidR="007248D2" w:rsidRPr="00A54361">
              <w:rPr>
                <w:rFonts w:cstheme="minorHAnsi"/>
              </w:rPr>
              <w:t>.</w:t>
            </w:r>
            <w:r w:rsidR="00305B77" w:rsidRPr="00A54361">
              <w:rPr>
                <w:rFonts w:cstheme="minorHAnsi"/>
              </w:rPr>
              <w:t xml:space="preserve"> </w:t>
            </w:r>
            <w:r w:rsidR="00FD2E89" w:rsidRPr="00A54361">
              <w:rPr>
                <w:rFonts w:cstheme="minorHAnsi"/>
              </w:rPr>
              <w:t xml:space="preserve">OEM / OEM Authorised Partner is </w:t>
            </w:r>
            <w:r w:rsidR="0022317B" w:rsidRPr="00A54361">
              <w:rPr>
                <w:rFonts w:cstheme="minorHAnsi"/>
              </w:rPr>
              <w:t>required to ensure the successful implementation of the Cybersecurity Solutions part of this RFP.</w:t>
            </w:r>
          </w:p>
        </w:tc>
      </w:tr>
      <w:tr w:rsidR="000D3DC1" w:rsidRPr="00A54361" w14:paraId="5E0A8DC3" w14:textId="77777777" w:rsidTr="005D16B3">
        <w:tc>
          <w:tcPr>
            <w:tcW w:w="959" w:type="dxa"/>
            <w:vMerge/>
            <w:shd w:val="clear" w:color="auto" w:fill="auto"/>
          </w:tcPr>
          <w:p w14:paraId="3CBC826F" w14:textId="7C9176F4" w:rsidR="00AB29F4" w:rsidRPr="00A54361" w:rsidRDefault="00AB29F4" w:rsidP="00A54361">
            <w:pPr>
              <w:spacing w:after="120"/>
              <w:jc w:val="both"/>
              <w:rPr>
                <w:rFonts w:cstheme="minorHAnsi"/>
              </w:rPr>
            </w:pPr>
          </w:p>
        </w:tc>
        <w:tc>
          <w:tcPr>
            <w:tcW w:w="2835" w:type="dxa"/>
            <w:vMerge/>
            <w:shd w:val="clear" w:color="auto" w:fill="auto"/>
          </w:tcPr>
          <w:p w14:paraId="26E4A468" w14:textId="77777777" w:rsidR="00AB29F4" w:rsidRPr="00A54361" w:rsidRDefault="00AB29F4" w:rsidP="00A54361">
            <w:pPr>
              <w:spacing w:after="120"/>
              <w:jc w:val="both"/>
              <w:rPr>
                <w:rFonts w:cstheme="minorHAnsi"/>
              </w:rPr>
            </w:pPr>
          </w:p>
        </w:tc>
        <w:tc>
          <w:tcPr>
            <w:tcW w:w="6237" w:type="dxa"/>
            <w:shd w:val="clear" w:color="auto" w:fill="auto"/>
          </w:tcPr>
          <w:p w14:paraId="5D633650" w14:textId="30E28761" w:rsidR="00AB29F4" w:rsidRPr="00A54361" w:rsidRDefault="00AB29F4" w:rsidP="00A54361">
            <w:pPr>
              <w:spacing w:after="120"/>
              <w:jc w:val="both"/>
              <w:rPr>
                <w:rFonts w:cstheme="minorHAnsi"/>
              </w:rPr>
            </w:pPr>
            <w:r w:rsidRPr="00A54361">
              <w:rPr>
                <w:rFonts w:cstheme="minorHAnsi"/>
              </w:rPr>
              <w:t>Bidder should supply</w:t>
            </w:r>
            <w:r w:rsidR="00EC39D9" w:rsidRPr="00A54361">
              <w:rPr>
                <w:rFonts w:cstheme="minorHAnsi"/>
              </w:rPr>
              <w:t>,</w:t>
            </w:r>
            <w:r w:rsidRPr="00A54361">
              <w:rPr>
                <w:rFonts w:cstheme="minorHAnsi"/>
              </w:rPr>
              <w:t xml:space="preserve"> install</w:t>
            </w:r>
            <w:r w:rsidR="00EC39D9" w:rsidRPr="00A54361">
              <w:rPr>
                <w:rFonts w:cstheme="minorHAnsi"/>
              </w:rPr>
              <w:t xml:space="preserve">, configure, </w:t>
            </w:r>
            <w:r w:rsidR="00342BF4" w:rsidRPr="00A54361">
              <w:rPr>
                <w:rFonts w:cstheme="minorHAnsi"/>
              </w:rPr>
              <w:t>integrate</w:t>
            </w:r>
            <w:r w:rsidRPr="00A54361">
              <w:rPr>
                <w:rFonts w:cstheme="minorHAnsi"/>
              </w:rPr>
              <w:t xml:space="preserve"> the </w:t>
            </w:r>
            <w:r w:rsidR="00342BF4" w:rsidRPr="00A54361">
              <w:rPr>
                <w:rFonts w:cstheme="minorHAnsi"/>
              </w:rPr>
              <w:t>Cyber Security Solutions</w:t>
            </w:r>
            <w:r w:rsidR="00C4074B" w:rsidRPr="00A54361">
              <w:rPr>
                <w:rFonts w:cstheme="minorHAnsi"/>
              </w:rPr>
              <w:t xml:space="preserve"> and associated hardware</w:t>
            </w:r>
            <w:r w:rsidR="0004113C" w:rsidRPr="00A54361">
              <w:rPr>
                <w:rFonts w:cstheme="minorHAnsi"/>
              </w:rPr>
              <w:t xml:space="preserve">. </w:t>
            </w:r>
            <w:r w:rsidRPr="00A54361">
              <w:rPr>
                <w:rFonts w:cstheme="minorHAnsi"/>
              </w:rPr>
              <w:t xml:space="preserve">Bank’s existing System Integrator and the Bank will conduct the acceptance test and verify that the installation complies </w:t>
            </w:r>
            <w:r w:rsidR="00802E76" w:rsidRPr="00A54361">
              <w:rPr>
                <w:rFonts w:cstheme="minorHAnsi"/>
              </w:rPr>
              <w:t>with</w:t>
            </w:r>
            <w:r w:rsidRPr="00A54361">
              <w:rPr>
                <w:rFonts w:cstheme="minorHAnsi"/>
              </w:rPr>
              <w:t xml:space="preserve"> the configuration and relevant setting provided by the Bank’s existing System Integrator</w:t>
            </w:r>
            <w:r w:rsidR="007248D2" w:rsidRPr="00A54361">
              <w:rPr>
                <w:rFonts w:cstheme="minorHAnsi"/>
              </w:rPr>
              <w:t>.</w:t>
            </w:r>
          </w:p>
          <w:p w14:paraId="2C83F995" w14:textId="13C07E5F" w:rsidR="000C72D5" w:rsidRPr="00A54361" w:rsidRDefault="000C72D5" w:rsidP="00A54361">
            <w:pPr>
              <w:spacing w:after="120"/>
              <w:jc w:val="both"/>
              <w:rPr>
                <w:rFonts w:cstheme="minorHAnsi"/>
              </w:rPr>
            </w:pPr>
            <w:r w:rsidRPr="00A54361">
              <w:rPr>
                <w:rFonts w:cstheme="minorHAnsi"/>
              </w:rPr>
              <w:t>In case of new solution proposed for the existing solution</w:t>
            </w:r>
            <w:r w:rsidR="003A4B09" w:rsidRPr="00A54361">
              <w:rPr>
                <w:rFonts w:cstheme="minorHAnsi"/>
              </w:rPr>
              <w:t xml:space="preserve">, in such case bidder is required to </w:t>
            </w:r>
            <w:r w:rsidR="00E816CE" w:rsidRPr="00A54361">
              <w:rPr>
                <w:rFonts w:cstheme="minorHAnsi"/>
              </w:rPr>
              <w:t>do migration of data to the new proposed solution.</w:t>
            </w:r>
            <w:r w:rsidR="00231DF1" w:rsidRPr="00A54361">
              <w:rPr>
                <w:rFonts w:cstheme="minorHAnsi"/>
              </w:rPr>
              <w:t xml:space="preserve"> The sole responsibility of migration lies with </w:t>
            </w:r>
            <w:r w:rsidR="009B6255" w:rsidRPr="00A54361">
              <w:rPr>
                <w:rFonts w:cstheme="minorHAnsi"/>
              </w:rPr>
              <w:t>the bidder</w:t>
            </w:r>
            <w:r w:rsidR="005D0792" w:rsidRPr="00A54361">
              <w:rPr>
                <w:rFonts w:cstheme="minorHAnsi"/>
              </w:rPr>
              <w:t xml:space="preserve">. </w:t>
            </w:r>
          </w:p>
        </w:tc>
      </w:tr>
      <w:tr w:rsidR="000D3DC1" w:rsidRPr="00A54361" w14:paraId="4C5E8248" w14:textId="77777777" w:rsidTr="005D16B3">
        <w:tc>
          <w:tcPr>
            <w:tcW w:w="959" w:type="dxa"/>
            <w:shd w:val="clear" w:color="auto" w:fill="auto"/>
          </w:tcPr>
          <w:p w14:paraId="756AE047" w14:textId="25A8D5B7" w:rsidR="00DA710D" w:rsidRPr="00A54361" w:rsidRDefault="005A67EA" w:rsidP="00A54361">
            <w:pPr>
              <w:spacing w:after="120"/>
              <w:jc w:val="both"/>
              <w:rPr>
                <w:rFonts w:cstheme="minorHAnsi"/>
              </w:rPr>
            </w:pPr>
            <w:r w:rsidRPr="00A54361">
              <w:rPr>
                <w:rFonts w:cstheme="minorHAnsi"/>
              </w:rPr>
              <w:t>3</w:t>
            </w:r>
            <w:r w:rsidR="0064290D" w:rsidRPr="00A54361">
              <w:rPr>
                <w:rFonts w:cstheme="minorHAnsi"/>
              </w:rPr>
              <w:t>.</w:t>
            </w:r>
          </w:p>
        </w:tc>
        <w:tc>
          <w:tcPr>
            <w:tcW w:w="2835" w:type="dxa"/>
            <w:shd w:val="clear" w:color="auto" w:fill="auto"/>
          </w:tcPr>
          <w:p w14:paraId="202AEFFE" w14:textId="2EB862E8" w:rsidR="00DA710D" w:rsidRPr="00A54361" w:rsidRDefault="00DA710D" w:rsidP="00A54361">
            <w:pPr>
              <w:spacing w:after="120"/>
              <w:jc w:val="both"/>
              <w:rPr>
                <w:rFonts w:cstheme="minorHAnsi"/>
              </w:rPr>
            </w:pPr>
            <w:r w:rsidRPr="00A54361">
              <w:rPr>
                <w:rFonts w:cstheme="minorHAnsi"/>
              </w:rPr>
              <w:t>Provide warranty and AMC/ATS support for the tenure of the contract</w:t>
            </w:r>
          </w:p>
        </w:tc>
        <w:tc>
          <w:tcPr>
            <w:tcW w:w="6237" w:type="dxa"/>
            <w:shd w:val="clear" w:color="auto" w:fill="auto"/>
          </w:tcPr>
          <w:p w14:paraId="06031D76" w14:textId="362FD237" w:rsidR="009103B5" w:rsidRPr="00A54361" w:rsidRDefault="00DA710D" w:rsidP="00A54361">
            <w:pPr>
              <w:spacing w:after="120"/>
              <w:jc w:val="both"/>
              <w:rPr>
                <w:rFonts w:cstheme="minorHAnsi"/>
              </w:rPr>
            </w:pPr>
            <w:r w:rsidRPr="00A54361">
              <w:rPr>
                <w:rFonts w:cstheme="minorHAnsi"/>
              </w:rPr>
              <w:t xml:space="preserve">Bidder will be responsible to provide </w:t>
            </w:r>
            <w:r w:rsidR="00802E76" w:rsidRPr="00A54361">
              <w:rPr>
                <w:rFonts w:cstheme="minorHAnsi"/>
              </w:rPr>
              <w:t xml:space="preserve">the </w:t>
            </w:r>
            <w:r w:rsidR="009103B5" w:rsidRPr="00A54361">
              <w:rPr>
                <w:rFonts w:cstheme="minorHAnsi"/>
              </w:rPr>
              <w:t xml:space="preserve">following </w:t>
            </w:r>
            <w:r w:rsidR="007B7EC5" w:rsidRPr="00A54361">
              <w:rPr>
                <w:rFonts w:cstheme="minorHAnsi"/>
              </w:rPr>
              <w:t>services</w:t>
            </w:r>
            <w:r w:rsidR="009103B5" w:rsidRPr="00A54361">
              <w:rPr>
                <w:rFonts w:cstheme="minorHAnsi"/>
              </w:rPr>
              <w:t xml:space="preserve"> </w:t>
            </w:r>
            <w:r w:rsidR="007B7EC5" w:rsidRPr="00A54361">
              <w:rPr>
                <w:rFonts w:cstheme="minorHAnsi"/>
              </w:rPr>
              <w:t>during</w:t>
            </w:r>
            <w:r w:rsidR="009103B5" w:rsidRPr="00A54361">
              <w:rPr>
                <w:rFonts w:cstheme="minorHAnsi"/>
              </w:rPr>
              <w:t xml:space="preserve"> the Contract period</w:t>
            </w:r>
          </w:p>
          <w:p w14:paraId="1E652DD6" w14:textId="7C2880BC" w:rsidR="009103B5" w:rsidRPr="00A54361" w:rsidRDefault="00CA5FC9" w:rsidP="00A54361">
            <w:pPr>
              <w:pStyle w:val="ListParagraph"/>
              <w:numPr>
                <w:ilvl w:val="0"/>
                <w:numId w:val="53"/>
              </w:numPr>
              <w:spacing w:after="120"/>
              <w:jc w:val="both"/>
              <w:rPr>
                <w:rFonts w:cstheme="minorHAnsi"/>
              </w:rPr>
            </w:pPr>
            <w:r w:rsidRPr="00A54361">
              <w:rPr>
                <w:rFonts w:cstheme="minorHAnsi"/>
              </w:rPr>
              <w:t>Onsite comprehensive</w:t>
            </w:r>
            <w:r w:rsidR="00DA710D" w:rsidRPr="00A54361">
              <w:rPr>
                <w:rFonts w:cstheme="minorHAnsi"/>
              </w:rPr>
              <w:t xml:space="preserve"> warranty</w:t>
            </w:r>
            <w:r w:rsidR="009103B5" w:rsidRPr="00A54361">
              <w:rPr>
                <w:rFonts w:cstheme="minorHAnsi"/>
              </w:rPr>
              <w:t xml:space="preserve"> from OEM</w:t>
            </w:r>
            <w:r w:rsidR="001C3F99" w:rsidRPr="00A54361">
              <w:rPr>
                <w:rFonts w:cstheme="minorHAnsi"/>
              </w:rPr>
              <w:t xml:space="preserve">, </w:t>
            </w:r>
          </w:p>
          <w:p w14:paraId="2719F490" w14:textId="77777777" w:rsidR="009103B5" w:rsidRPr="00A54361" w:rsidRDefault="001C3F99" w:rsidP="00A54361">
            <w:pPr>
              <w:pStyle w:val="ListParagraph"/>
              <w:numPr>
                <w:ilvl w:val="0"/>
                <w:numId w:val="53"/>
              </w:numPr>
              <w:spacing w:after="120"/>
              <w:jc w:val="both"/>
              <w:rPr>
                <w:rFonts w:cstheme="minorHAnsi"/>
              </w:rPr>
            </w:pPr>
            <w:r w:rsidRPr="00A54361">
              <w:rPr>
                <w:rFonts w:cstheme="minorHAnsi"/>
              </w:rPr>
              <w:t>AMC/ATS</w:t>
            </w:r>
            <w:r w:rsidR="00DA710D" w:rsidRPr="00A54361">
              <w:rPr>
                <w:rFonts w:cstheme="minorHAnsi"/>
              </w:rPr>
              <w:t xml:space="preserve"> </w:t>
            </w:r>
            <w:r w:rsidR="009103B5" w:rsidRPr="00A54361">
              <w:rPr>
                <w:rFonts w:cstheme="minorHAnsi"/>
              </w:rPr>
              <w:t>from the OEM</w:t>
            </w:r>
          </w:p>
          <w:p w14:paraId="1C889025" w14:textId="743A6858" w:rsidR="00DA710D" w:rsidRPr="00A54361" w:rsidRDefault="004D197B" w:rsidP="00A54361">
            <w:pPr>
              <w:pStyle w:val="ListParagraph"/>
              <w:numPr>
                <w:ilvl w:val="0"/>
                <w:numId w:val="53"/>
              </w:numPr>
              <w:spacing w:after="120"/>
              <w:jc w:val="both"/>
              <w:rPr>
                <w:rFonts w:cstheme="minorHAnsi"/>
              </w:rPr>
            </w:pPr>
            <w:r w:rsidRPr="00A54361">
              <w:rPr>
                <w:rFonts w:cstheme="minorHAnsi"/>
              </w:rPr>
              <w:t>Arrange</w:t>
            </w:r>
            <w:r w:rsidR="009103B5" w:rsidRPr="00A54361">
              <w:rPr>
                <w:rFonts w:cstheme="minorHAnsi"/>
              </w:rPr>
              <w:t xml:space="preserve"> </w:t>
            </w:r>
            <w:r w:rsidR="00DA710D" w:rsidRPr="00A54361">
              <w:rPr>
                <w:rFonts w:cstheme="minorHAnsi"/>
              </w:rPr>
              <w:t xml:space="preserve">back-to-back support from the </w:t>
            </w:r>
            <w:r w:rsidR="009103B5" w:rsidRPr="00A54361">
              <w:rPr>
                <w:rFonts w:cstheme="minorHAnsi"/>
              </w:rPr>
              <w:t xml:space="preserve">respective </w:t>
            </w:r>
            <w:r w:rsidR="00DA710D" w:rsidRPr="00A54361">
              <w:rPr>
                <w:rFonts w:cstheme="minorHAnsi"/>
              </w:rPr>
              <w:t>OEM</w:t>
            </w:r>
            <w:r w:rsidR="0026378A" w:rsidRPr="00A54361">
              <w:rPr>
                <w:rFonts w:cstheme="minorHAnsi"/>
              </w:rPr>
              <w:t>s</w:t>
            </w:r>
            <w:r w:rsidR="00802E76" w:rsidRPr="00A54361">
              <w:rPr>
                <w:rFonts w:cstheme="minorHAnsi"/>
              </w:rPr>
              <w:t>.</w:t>
            </w:r>
            <w:r w:rsidR="002D0807" w:rsidRPr="00A54361">
              <w:rPr>
                <w:rFonts w:cstheme="minorHAnsi"/>
              </w:rPr>
              <w:t xml:space="preserve"> Bidder is required to submit proof </w:t>
            </w:r>
            <w:r w:rsidR="00022A06" w:rsidRPr="00A54361">
              <w:rPr>
                <w:rFonts w:cstheme="minorHAnsi"/>
              </w:rPr>
              <w:t xml:space="preserve">(Certificate / mail from oem / letter etc) </w:t>
            </w:r>
            <w:r w:rsidR="002D0807" w:rsidRPr="00A54361">
              <w:rPr>
                <w:rFonts w:cstheme="minorHAnsi"/>
              </w:rPr>
              <w:t>of back-to-back support from OEMs.</w:t>
            </w:r>
          </w:p>
          <w:p w14:paraId="2A45A1D7" w14:textId="6B565AD8" w:rsidR="005A67EA" w:rsidRPr="00A54361" w:rsidRDefault="005A67EA" w:rsidP="00A54361">
            <w:pPr>
              <w:spacing w:after="120"/>
              <w:jc w:val="both"/>
              <w:rPr>
                <w:rFonts w:cstheme="minorHAnsi"/>
              </w:rPr>
            </w:pPr>
            <w:r w:rsidRPr="00A54361">
              <w:rPr>
                <w:rFonts w:cstheme="minorHAnsi"/>
              </w:rPr>
              <w:t>In Case of RMA, it</w:t>
            </w:r>
            <w:r w:rsidR="00EF1048" w:rsidRPr="00A54361">
              <w:rPr>
                <w:rFonts w:cstheme="minorHAnsi"/>
              </w:rPr>
              <w:t xml:space="preserve"> i</w:t>
            </w:r>
            <w:r w:rsidRPr="00A54361">
              <w:rPr>
                <w:rFonts w:cstheme="minorHAnsi"/>
              </w:rPr>
              <w:t>s bidder responsibility to replace the equipment as per SLA and to return the faulty equipment to the OEM warehouse at no extra cost to the Bank during the tenure of the contract.</w:t>
            </w:r>
          </w:p>
        </w:tc>
      </w:tr>
      <w:tr w:rsidR="000D3DC1" w:rsidRPr="00A54361" w14:paraId="2C2A2FFC" w14:textId="77777777" w:rsidTr="005D16B3">
        <w:tc>
          <w:tcPr>
            <w:tcW w:w="959" w:type="dxa"/>
            <w:shd w:val="clear" w:color="auto" w:fill="auto"/>
          </w:tcPr>
          <w:p w14:paraId="17B7A4EF" w14:textId="67E67634" w:rsidR="007E758A" w:rsidRPr="00A54361" w:rsidRDefault="00E334EB" w:rsidP="00A54361">
            <w:pPr>
              <w:spacing w:after="120"/>
              <w:jc w:val="both"/>
              <w:rPr>
                <w:rFonts w:cstheme="minorHAnsi"/>
              </w:rPr>
            </w:pPr>
            <w:r w:rsidRPr="00A54361">
              <w:rPr>
                <w:rFonts w:cstheme="minorHAnsi"/>
              </w:rPr>
              <w:t>4.</w:t>
            </w:r>
          </w:p>
        </w:tc>
        <w:tc>
          <w:tcPr>
            <w:tcW w:w="2835" w:type="dxa"/>
            <w:shd w:val="clear" w:color="auto" w:fill="auto"/>
          </w:tcPr>
          <w:p w14:paraId="72670B06" w14:textId="77777777" w:rsidR="007F511A" w:rsidRPr="00A54361" w:rsidRDefault="007E758A" w:rsidP="00A54361">
            <w:pPr>
              <w:jc w:val="both"/>
              <w:rPr>
                <w:rFonts w:cstheme="minorHAnsi"/>
              </w:rPr>
            </w:pPr>
            <w:r w:rsidRPr="00A54361">
              <w:rPr>
                <w:rFonts w:cstheme="minorHAnsi"/>
              </w:rPr>
              <w:t xml:space="preserve">Complete Migration of Data and Policies from existing solutions to new solutions </w:t>
            </w:r>
          </w:p>
          <w:p w14:paraId="7B3F1F7D" w14:textId="613CBE8D" w:rsidR="007E758A" w:rsidRPr="00A54361" w:rsidRDefault="007E758A" w:rsidP="00A54361">
            <w:pPr>
              <w:jc w:val="both"/>
              <w:rPr>
                <w:rFonts w:cstheme="minorHAnsi"/>
              </w:rPr>
            </w:pPr>
            <w:r w:rsidRPr="00A54361">
              <w:rPr>
                <w:rFonts w:cstheme="minorHAnsi"/>
              </w:rPr>
              <w:t xml:space="preserve">(if applicable) </w:t>
            </w:r>
          </w:p>
        </w:tc>
        <w:tc>
          <w:tcPr>
            <w:tcW w:w="6237" w:type="dxa"/>
            <w:shd w:val="clear" w:color="auto" w:fill="auto"/>
          </w:tcPr>
          <w:p w14:paraId="537FB616" w14:textId="1DDE2711" w:rsidR="007E758A" w:rsidRPr="00A54361" w:rsidRDefault="007E758A" w:rsidP="00A54361">
            <w:pPr>
              <w:spacing w:after="120"/>
              <w:jc w:val="both"/>
            </w:pPr>
            <w:r w:rsidRPr="00A54361">
              <w:t xml:space="preserve">Bidder will be responsible  to ensure complete migration of data and policy from existing solutions of </w:t>
            </w:r>
            <w:r w:rsidR="002627C6" w:rsidRPr="00A54361">
              <w:t xml:space="preserve">IT </w:t>
            </w:r>
            <w:r w:rsidRPr="00A54361">
              <w:t>Governance, Risk and Compliance (GRC), Decoy (Honeypot)</w:t>
            </w:r>
            <w:r w:rsidR="00395423" w:rsidRPr="00A54361">
              <w:t>, NAC</w:t>
            </w:r>
            <w:r w:rsidR="00776C89" w:rsidRPr="00A54361">
              <w:t xml:space="preserve"> and</w:t>
            </w:r>
            <w:r w:rsidRPr="00A54361">
              <w:t xml:space="preserve"> Mobile Device Management (MDM) to the newly proposed solutions.</w:t>
            </w:r>
          </w:p>
          <w:p w14:paraId="509BEAAB" w14:textId="77777777" w:rsidR="00814C82" w:rsidRPr="00A54361" w:rsidRDefault="00814C82" w:rsidP="00A54361">
            <w:pPr>
              <w:spacing w:after="120"/>
              <w:jc w:val="both"/>
              <w:rPr>
                <w:rFonts w:cstheme="minorHAnsi"/>
              </w:rPr>
            </w:pPr>
            <w:r w:rsidRPr="00A54361">
              <w:rPr>
                <w:rFonts w:cstheme="minorHAnsi"/>
              </w:rPr>
              <w:t>Complete Migration from existing to new solutions</w:t>
            </w:r>
          </w:p>
          <w:p w14:paraId="3FA8073B" w14:textId="56CE3E2C" w:rsidR="003C6662" w:rsidRPr="00A54361" w:rsidRDefault="003C6662" w:rsidP="00A54361">
            <w:pPr>
              <w:spacing w:after="120"/>
              <w:jc w:val="both"/>
              <w:rPr>
                <w:rFonts w:cstheme="minorHAnsi"/>
              </w:rPr>
            </w:pPr>
            <w:r w:rsidRPr="00A54361">
              <w:rPr>
                <w:rFonts w:cstheme="minorHAnsi"/>
              </w:rPr>
              <w:t>The sole responsibility of migration lies with the bidder.</w:t>
            </w:r>
          </w:p>
        </w:tc>
      </w:tr>
    </w:tbl>
    <w:p w14:paraId="4385FA97" w14:textId="77777777" w:rsidR="007148E5" w:rsidRPr="00A54361" w:rsidRDefault="007148E5" w:rsidP="00A54361">
      <w:pPr>
        <w:pStyle w:val="ListParagraph"/>
        <w:spacing w:after="120"/>
        <w:jc w:val="both"/>
        <w:rPr>
          <w:rFonts w:cstheme="minorHAnsi"/>
        </w:rPr>
      </w:pPr>
    </w:p>
    <w:p w14:paraId="1E699FA2" w14:textId="55EB046E" w:rsidR="00091583" w:rsidRPr="00A54361" w:rsidRDefault="00091583" w:rsidP="00A54361">
      <w:pPr>
        <w:pStyle w:val="ListParagraph"/>
        <w:numPr>
          <w:ilvl w:val="0"/>
          <w:numId w:val="51"/>
        </w:numPr>
        <w:spacing w:after="120"/>
        <w:jc w:val="both"/>
        <w:rPr>
          <w:rFonts w:cstheme="minorHAnsi"/>
        </w:rPr>
      </w:pPr>
      <w:r w:rsidRPr="00A54361">
        <w:t xml:space="preserve">Considering the nature of the </w:t>
      </w:r>
      <w:r w:rsidR="005B7587" w:rsidRPr="00A54361">
        <w:t>Security Solutions</w:t>
      </w:r>
      <w:r w:rsidRPr="00A54361">
        <w:t xml:space="preserve">, it may happen that the bidder may propose a solution suite consisting of multiple features, functionalities suiting to the RFP requirements </w:t>
      </w:r>
      <w:r w:rsidRPr="00A54361">
        <w:lastRenderedPageBreak/>
        <w:t xml:space="preserve">and in compliance of RBI cyber security circulars. The bidder shall provide the solutions with all such features (over and above to technical specifications) without any </w:t>
      </w:r>
      <w:r w:rsidR="005B7587" w:rsidRPr="00A54361">
        <w:t>additional</w:t>
      </w:r>
      <w:r w:rsidRPr="00A54361">
        <w:t xml:space="preserve"> cost to the Bank. All the available functionalities should be available to the Bank. The bidders shall include all necessary expenses in complete cost of the respective line items of the solution in Annexure – </w:t>
      </w:r>
      <w:r w:rsidR="00F93B33" w:rsidRPr="00A54361">
        <w:t>1</w:t>
      </w:r>
      <w:r w:rsidRPr="00A54361">
        <w:t>: Bill of Material. All costs shall be included in the line items only</w:t>
      </w:r>
      <w:r w:rsidR="00BC2FEA" w:rsidRPr="00A54361">
        <w:t>.</w:t>
      </w:r>
    </w:p>
    <w:p w14:paraId="2883DB33" w14:textId="1741B643" w:rsidR="00BC2FEA" w:rsidRPr="00A54361" w:rsidRDefault="00BC2FEA" w:rsidP="00A54361">
      <w:pPr>
        <w:pStyle w:val="ListParagraph"/>
        <w:numPr>
          <w:ilvl w:val="0"/>
          <w:numId w:val="51"/>
        </w:numPr>
        <w:spacing w:after="120"/>
        <w:jc w:val="both"/>
        <w:rPr>
          <w:rFonts w:cstheme="minorHAnsi"/>
        </w:rPr>
      </w:pPr>
      <w:r w:rsidRPr="00A54361">
        <w:t>The solutions should include all components and subcomponents like software licenses, accessories, and the bidder should supply</w:t>
      </w:r>
      <w:r w:rsidR="005E4675" w:rsidRPr="00A54361">
        <w:t xml:space="preserve"> any</w:t>
      </w:r>
      <w:r w:rsidRPr="00A54361">
        <w:t xml:space="preserve"> other components</w:t>
      </w:r>
      <w:r w:rsidR="005E4675" w:rsidRPr="00A54361">
        <w:t xml:space="preserve"> that is required for </w:t>
      </w:r>
      <w:r w:rsidR="00FC0453" w:rsidRPr="00A54361">
        <w:t xml:space="preserve">the successful installation and </w:t>
      </w:r>
      <w:r w:rsidR="005E4675" w:rsidRPr="00A54361">
        <w:t>commissioning of the solution</w:t>
      </w:r>
      <w:r w:rsidR="00FC0453" w:rsidRPr="00A54361">
        <w:t>s that are part of this RFP</w:t>
      </w:r>
      <w:r w:rsidRPr="00A54361">
        <w:t xml:space="preserve"> (if not specified in the Bill of Materials)</w:t>
      </w:r>
      <w:r w:rsidR="00FC0453" w:rsidRPr="00A54361">
        <w:t xml:space="preserve"> </w:t>
      </w:r>
      <w:r w:rsidRPr="00A54361">
        <w:t>at no additiona</w:t>
      </w:r>
      <w:r w:rsidR="005E4675" w:rsidRPr="00A54361">
        <w:t>l</w:t>
      </w:r>
      <w:r w:rsidRPr="00A54361">
        <w:t xml:space="preserve"> cost to the Bank</w:t>
      </w:r>
      <w:r w:rsidR="00FC0453" w:rsidRPr="00A54361">
        <w:t>.</w:t>
      </w:r>
      <w:r w:rsidR="006F7F28" w:rsidRPr="00A54361">
        <w:t xml:space="preserve"> The bidder should consider all the components</w:t>
      </w:r>
      <w:r w:rsidR="00792CA4" w:rsidRPr="00A54361">
        <w:t xml:space="preserve"> required for the successful installation and commissioning of the solutions that are part of this RFP</w:t>
      </w:r>
      <w:r w:rsidR="006F7F28" w:rsidRPr="00A54361">
        <w:t xml:space="preserve"> while quoting </w:t>
      </w:r>
      <w:r w:rsidR="00792CA4" w:rsidRPr="00A54361">
        <w:t xml:space="preserve">price </w:t>
      </w:r>
      <w:r w:rsidR="006F7F28" w:rsidRPr="00A54361">
        <w:t>for the sol</w:t>
      </w:r>
      <w:r w:rsidR="00792CA4" w:rsidRPr="00A54361">
        <w:t>utions.</w:t>
      </w:r>
    </w:p>
    <w:p w14:paraId="1033AE2D" w14:textId="57D11DC7" w:rsidR="00630F19" w:rsidRPr="00A54361" w:rsidRDefault="00894628" w:rsidP="00A54361">
      <w:pPr>
        <w:pStyle w:val="ListParagraph"/>
        <w:numPr>
          <w:ilvl w:val="0"/>
          <w:numId w:val="51"/>
        </w:numPr>
        <w:spacing w:after="120"/>
        <w:jc w:val="both"/>
        <w:rPr>
          <w:rFonts w:cstheme="minorHAnsi"/>
        </w:rPr>
      </w:pPr>
      <w:r w:rsidRPr="00A54361">
        <w:t xml:space="preserve">It is the bidder’s responsibility to ensure </w:t>
      </w:r>
      <w:r w:rsidR="006B5D27" w:rsidRPr="00A54361">
        <w:t xml:space="preserve">complete migration of data and policy from the existing solutions </w:t>
      </w:r>
      <w:r w:rsidR="00E7624C" w:rsidRPr="00A54361">
        <w:t xml:space="preserve"> </w:t>
      </w:r>
      <w:r w:rsidR="006B5D27" w:rsidRPr="00A54361">
        <w:t>of</w:t>
      </w:r>
      <w:r w:rsidR="001A285D" w:rsidRPr="00A54361">
        <w:t xml:space="preserve"> </w:t>
      </w:r>
      <w:r w:rsidR="002627C6" w:rsidRPr="00A54361">
        <w:t xml:space="preserve">IT </w:t>
      </w:r>
      <w:r w:rsidR="006D4C22" w:rsidRPr="00A54361">
        <w:t>Governance, Risk and Compliance (GRC), Decoy (Honeypot)</w:t>
      </w:r>
      <w:r w:rsidR="001A285D" w:rsidRPr="00A54361">
        <w:t xml:space="preserve"> and</w:t>
      </w:r>
      <w:r w:rsidR="006D4C22" w:rsidRPr="00A54361">
        <w:t xml:space="preserve"> Mobile Device Management (MDM)</w:t>
      </w:r>
      <w:r w:rsidR="006A13F9" w:rsidRPr="00A54361">
        <w:t xml:space="preserve"> to the newly proposed solutions</w:t>
      </w:r>
      <w:r w:rsidR="00632E9C" w:rsidRPr="00A54361">
        <w:t xml:space="preserve"> as per Bank’s requirement</w:t>
      </w:r>
      <w:r w:rsidR="006A13F9" w:rsidRPr="00A54361">
        <w:t>.</w:t>
      </w:r>
    </w:p>
    <w:p w14:paraId="0DE99628" w14:textId="65F2827E" w:rsidR="002156A1" w:rsidRPr="00A54361" w:rsidRDefault="002156A1" w:rsidP="00A54361">
      <w:pPr>
        <w:pStyle w:val="ListParagraph"/>
        <w:numPr>
          <w:ilvl w:val="0"/>
          <w:numId w:val="51"/>
        </w:numPr>
        <w:spacing w:after="120"/>
        <w:jc w:val="both"/>
        <w:rPr>
          <w:rFonts w:cstheme="minorHAnsi"/>
        </w:rPr>
      </w:pPr>
      <w:r w:rsidRPr="00A54361">
        <w:t xml:space="preserve">Bidder to ensure that the </w:t>
      </w:r>
      <w:r w:rsidR="00C94953" w:rsidRPr="00A54361">
        <w:t xml:space="preserve">complete </w:t>
      </w:r>
      <w:r w:rsidRPr="00A54361">
        <w:t>installation</w:t>
      </w:r>
      <w:r w:rsidR="00C94953" w:rsidRPr="00A54361">
        <w:t xml:space="preserve"> and commissioning</w:t>
      </w:r>
      <w:r w:rsidRPr="00A54361">
        <w:t xml:space="preserve"> of </w:t>
      </w:r>
      <w:r w:rsidR="00C94953" w:rsidRPr="00A54361">
        <w:t xml:space="preserve">all the solutions part of this RFP to be done by the respective OEMs </w:t>
      </w:r>
      <w:r w:rsidR="00310C8F" w:rsidRPr="00A54361">
        <w:t>or by OEM Authorised Partners</w:t>
      </w:r>
      <w:r w:rsidR="00631784" w:rsidRPr="00A54361">
        <w:t xml:space="preserve"> </w:t>
      </w:r>
      <w:r w:rsidR="00F344E3" w:rsidRPr="00A54361">
        <w:t>till the successful implementation of the respective solutions.</w:t>
      </w:r>
      <w:r w:rsidR="00631784" w:rsidRPr="00A54361">
        <w:t xml:space="preserve"> OEMs to provide the certification of authori</w:t>
      </w:r>
      <w:r w:rsidR="00AD4A56" w:rsidRPr="00A54361">
        <w:t>zation for their respective partners.</w:t>
      </w:r>
    </w:p>
    <w:p w14:paraId="28EDA085" w14:textId="078C17AB" w:rsidR="00F344E3" w:rsidRPr="00A54361" w:rsidRDefault="00FD661F" w:rsidP="00A54361">
      <w:pPr>
        <w:pStyle w:val="ListParagraph"/>
        <w:numPr>
          <w:ilvl w:val="0"/>
          <w:numId w:val="51"/>
        </w:numPr>
        <w:spacing w:after="120"/>
        <w:jc w:val="both"/>
        <w:rPr>
          <w:rFonts w:cstheme="minorHAnsi"/>
        </w:rPr>
      </w:pPr>
      <w:r w:rsidRPr="00A54361">
        <w:t xml:space="preserve">After the successful implementation of the solutions by the OEM’s, Bidder </w:t>
      </w:r>
      <w:r w:rsidR="002D0807" w:rsidRPr="00A54361">
        <w:t xml:space="preserve">and OEM </w:t>
      </w:r>
      <w:r w:rsidRPr="00A54361">
        <w:t>to ensure complete handover</w:t>
      </w:r>
      <w:r w:rsidR="00D35B20" w:rsidRPr="00A54361">
        <w:t xml:space="preserve"> process is performed from the OEMs to the Bidder team including all documentation.</w:t>
      </w:r>
    </w:p>
    <w:p w14:paraId="0BFE5176" w14:textId="311AF28C" w:rsidR="005D1A7A" w:rsidRPr="00A54361" w:rsidRDefault="008A24A0" w:rsidP="00A54361">
      <w:pPr>
        <w:pStyle w:val="ListParagraph"/>
        <w:numPr>
          <w:ilvl w:val="0"/>
          <w:numId w:val="51"/>
        </w:numPr>
        <w:spacing w:after="120"/>
        <w:jc w:val="both"/>
        <w:rPr>
          <w:rFonts w:cstheme="minorHAnsi"/>
        </w:rPr>
      </w:pPr>
      <w:r w:rsidRPr="00A54361">
        <w:rPr>
          <w:rFonts w:cstheme="minorHAnsi"/>
        </w:rPr>
        <w:t xml:space="preserve">The Bidder must </w:t>
      </w:r>
      <w:r w:rsidR="005D1A7A" w:rsidRPr="00A54361">
        <w:rPr>
          <w:rFonts w:cstheme="minorHAnsi"/>
        </w:rPr>
        <w:t>Supply, Install/Implement, Configure and Integrate</w:t>
      </w:r>
      <w:r w:rsidR="00C42FDD" w:rsidRPr="00A54361">
        <w:rPr>
          <w:rFonts w:cstheme="minorHAnsi"/>
        </w:rPr>
        <w:t xml:space="preserve"> the Cyber Security Solutions</w:t>
      </w:r>
      <w:r w:rsidR="00D65DE1" w:rsidRPr="00A54361">
        <w:rPr>
          <w:rFonts w:cstheme="minorHAnsi"/>
        </w:rPr>
        <w:t xml:space="preserve"> </w:t>
      </w:r>
      <w:r w:rsidR="001647C8" w:rsidRPr="00A54361">
        <w:rPr>
          <w:rFonts w:cstheme="minorHAnsi"/>
        </w:rPr>
        <w:t xml:space="preserve">and associated hardware </w:t>
      </w:r>
      <w:r w:rsidR="00D65DE1" w:rsidRPr="00A54361">
        <w:rPr>
          <w:rFonts w:cstheme="minorHAnsi"/>
        </w:rPr>
        <w:t>into the existing SIEM</w:t>
      </w:r>
      <w:r w:rsidR="008B4A52" w:rsidRPr="00A54361">
        <w:rPr>
          <w:rFonts w:cstheme="minorHAnsi"/>
        </w:rPr>
        <w:t>, PIM, any other such security</w:t>
      </w:r>
      <w:r w:rsidR="00D65DE1" w:rsidRPr="00A54361">
        <w:rPr>
          <w:rFonts w:cstheme="minorHAnsi"/>
        </w:rPr>
        <w:t xml:space="preserve"> Solution. </w:t>
      </w:r>
      <w:r w:rsidRPr="00A54361">
        <w:rPr>
          <w:rFonts w:cstheme="minorHAnsi"/>
        </w:rPr>
        <w:t>Bidder must also</w:t>
      </w:r>
      <w:r w:rsidR="00361DAE" w:rsidRPr="00A54361">
        <w:rPr>
          <w:rFonts w:cstheme="minorHAnsi"/>
        </w:rPr>
        <w:t xml:space="preserve"> provide subsequent comprehensive on-site warranty/AMC/ATS for the</w:t>
      </w:r>
      <w:r w:rsidR="005D1A7A" w:rsidRPr="00A54361">
        <w:rPr>
          <w:rFonts w:cstheme="minorHAnsi"/>
        </w:rPr>
        <w:t xml:space="preserve"> </w:t>
      </w:r>
      <w:r w:rsidR="00416B50" w:rsidRPr="00A54361">
        <w:rPr>
          <w:rFonts w:cstheme="minorHAnsi"/>
        </w:rPr>
        <w:t xml:space="preserve">proposed </w:t>
      </w:r>
      <w:r w:rsidR="005D1A7A" w:rsidRPr="00A54361">
        <w:rPr>
          <w:rFonts w:cstheme="minorHAnsi"/>
        </w:rPr>
        <w:t xml:space="preserve">Cyber Security Solutions </w:t>
      </w:r>
      <w:r w:rsidR="00416B50" w:rsidRPr="00A54361">
        <w:rPr>
          <w:rFonts w:cstheme="minorHAnsi"/>
        </w:rPr>
        <w:t>(Hardware, Software, etc.)</w:t>
      </w:r>
      <w:r w:rsidR="001647C8" w:rsidRPr="00A54361">
        <w:rPr>
          <w:rFonts w:cstheme="minorHAnsi"/>
        </w:rPr>
        <w:t xml:space="preserve"> and associated hardware</w:t>
      </w:r>
      <w:r w:rsidR="00416B50" w:rsidRPr="00A54361">
        <w:rPr>
          <w:rFonts w:cstheme="minorHAnsi"/>
        </w:rPr>
        <w:t xml:space="preserve"> </w:t>
      </w:r>
      <w:r w:rsidR="00D65DE1" w:rsidRPr="00A54361">
        <w:rPr>
          <w:rFonts w:cstheme="minorHAnsi"/>
        </w:rPr>
        <w:t>as per the Bill of Materials shared by the Bank. The delivery plan must be synchronized with the project delivery timelines of the Bank.</w:t>
      </w:r>
    </w:p>
    <w:p w14:paraId="763F5C04" w14:textId="2253AC0A" w:rsidR="001D7CB1" w:rsidRPr="00A54361" w:rsidRDefault="001D7CB1" w:rsidP="00A54361">
      <w:pPr>
        <w:pStyle w:val="ListParagraph"/>
        <w:numPr>
          <w:ilvl w:val="0"/>
          <w:numId w:val="51"/>
        </w:numPr>
        <w:spacing w:after="120"/>
        <w:jc w:val="both"/>
        <w:rPr>
          <w:rFonts w:cstheme="minorHAnsi"/>
        </w:rPr>
      </w:pPr>
      <w:r w:rsidRPr="00A54361">
        <w:rPr>
          <w:rFonts w:cstheme="minorHAnsi"/>
        </w:rPr>
        <w:t xml:space="preserve">Bidder is also required to provide </w:t>
      </w:r>
      <w:r w:rsidR="0050200C" w:rsidRPr="00A54361">
        <w:rPr>
          <w:rFonts w:cstheme="minorHAnsi"/>
        </w:rPr>
        <w:t xml:space="preserve">skilled </w:t>
      </w:r>
      <w:r w:rsidRPr="00A54361">
        <w:rPr>
          <w:rFonts w:cstheme="minorHAnsi"/>
        </w:rPr>
        <w:t xml:space="preserve">resources that may be required for the successful completion </w:t>
      </w:r>
      <w:r w:rsidR="007F0CAB" w:rsidRPr="00A54361">
        <w:rPr>
          <w:rFonts w:cstheme="minorHAnsi"/>
        </w:rPr>
        <w:t>of the project</w:t>
      </w:r>
      <w:r w:rsidR="00606C32" w:rsidRPr="00A54361">
        <w:rPr>
          <w:rFonts w:cstheme="minorHAnsi"/>
        </w:rPr>
        <w:t>.</w:t>
      </w:r>
    </w:p>
    <w:p w14:paraId="7C388A05" w14:textId="77777777" w:rsidR="00E66A12" w:rsidRPr="00A54361" w:rsidRDefault="00E66A12" w:rsidP="00A54361">
      <w:pPr>
        <w:pStyle w:val="ListParagraph"/>
        <w:numPr>
          <w:ilvl w:val="0"/>
          <w:numId w:val="51"/>
        </w:numPr>
        <w:spacing w:after="120" w:line="240" w:lineRule="auto"/>
        <w:jc w:val="both"/>
        <w:rPr>
          <w:rFonts w:cstheme="minorHAnsi"/>
        </w:rPr>
      </w:pPr>
      <w:r w:rsidRPr="00A54361">
        <w:rPr>
          <w:rFonts w:cstheme="minorHAnsi"/>
        </w:rPr>
        <w:t>The Cybersecurity Solutions Hardware should be provided with 3 years of on-site comprehensive warranty which will start from the date of acceptance of Cyber Security solution. Subsequently, Bidder shall provide the AMC support for the remaining two Years post warranty period.</w:t>
      </w:r>
    </w:p>
    <w:p w14:paraId="007FDE7B" w14:textId="0A61FA61" w:rsidR="002D4C72" w:rsidRPr="00A54361" w:rsidRDefault="00230B51" w:rsidP="00A54361">
      <w:pPr>
        <w:pStyle w:val="ListParagraph"/>
        <w:numPr>
          <w:ilvl w:val="1"/>
          <w:numId w:val="51"/>
        </w:numPr>
        <w:spacing w:after="120" w:line="240" w:lineRule="auto"/>
        <w:jc w:val="both"/>
        <w:rPr>
          <w:rFonts w:cstheme="minorHAnsi"/>
        </w:rPr>
      </w:pPr>
      <w:r w:rsidRPr="00A54361">
        <w:rPr>
          <w:rFonts w:cstheme="minorHAnsi"/>
        </w:rPr>
        <w:t>The warranty will start only after acceptance of Installation.</w:t>
      </w:r>
    </w:p>
    <w:p w14:paraId="7FEA85DE" w14:textId="0C703C8C" w:rsidR="00230B51" w:rsidRPr="00A54361" w:rsidRDefault="003B7B30" w:rsidP="00A54361">
      <w:pPr>
        <w:pStyle w:val="ListParagraph"/>
        <w:numPr>
          <w:ilvl w:val="1"/>
          <w:numId w:val="51"/>
        </w:numPr>
        <w:spacing w:after="120" w:line="240" w:lineRule="auto"/>
        <w:jc w:val="both"/>
        <w:rPr>
          <w:rFonts w:cstheme="minorHAnsi"/>
        </w:rPr>
      </w:pPr>
      <w:r w:rsidRPr="00A54361">
        <w:rPr>
          <w:rFonts w:cstheme="minorHAnsi"/>
        </w:rPr>
        <w:t xml:space="preserve">The Bidder has to submit </w:t>
      </w:r>
      <w:r w:rsidR="002D0807" w:rsidRPr="00A54361">
        <w:rPr>
          <w:rFonts w:cstheme="minorHAnsi"/>
        </w:rPr>
        <w:t>proof</w:t>
      </w:r>
      <w:r w:rsidRPr="00A54361">
        <w:rPr>
          <w:rFonts w:cstheme="minorHAnsi"/>
        </w:rPr>
        <w:t xml:space="preserve"> for </w:t>
      </w:r>
      <w:r w:rsidR="00A46F5C" w:rsidRPr="00A54361">
        <w:rPr>
          <w:rFonts w:cstheme="minorHAnsi"/>
        </w:rPr>
        <w:t>back-to-back</w:t>
      </w:r>
      <w:r w:rsidRPr="00A54361">
        <w:rPr>
          <w:rFonts w:cstheme="minorHAnsi"/>
        </w:rPr>
        <w:t xml:space="preserve"> agreement with the Hardware</w:t>
      </w:r>
      <w:r w:rsidR="000945DC" w:rsidRPr="00A54361">
        <w:rPr>
          <w:rFonts w:cstheme="minorHAnsi"/>
        </w:rPr>
        <w:t xml:space="preserve"> and Software</w:t>
      </w:r>
      <w:r w:rsidRPr="00A54361">
        <w:rPr>
          <w:rFonts w:cstheme="minorHAnsi"/>
        </w:rPr>
        <w:t xml:space="preserve"> OEM</w:t>
      </w:r>
      <w:r w:rsidR="006C4841" w:rsidRPr="00A54361">
        <w:rPr>
          <w:rFonts w:cstheme="minorHAnsi"/>
        </w:rPr>
        <w:t xml:space="preserve">. </w:t>
      </w:r>
    </w:p>
    <w:p w14:paraId="4E52412B" w14:textId="4C8F1FA3" w:rsidR="00FD0213" w:rsidRPr="00A54361" w:rsidRDefault="00FD0213" w:rsidP="00A54361">
      <w:pPr>
        <w:pStyle w:val="ListParagraph"/>
        <w:numPr>
          <w:ilvl w:val="0"/>
          <w:numId w:val="51"/>
        </w:numPr>
        <w:spacing w:after="120" w:line="240" w:lineRule="auto"/>
        <w:jc w:val="both"/>
        <w:rPr>
          <w:rFonts w:cstheme="minorHAnsi"/>
        </w:rPr>
      </w:pPr>
      <w:r w:rsidRPr="00A54361">
        <w:rPr>
          <w:rFonts w:cstheme="minorHAnsi"/>
        </w:rPr>
        <w:t>The Cybersecurity Solutions Software should be provided with 1 years of on-site comprehensive warranty which will start from the date of acceptance of Cyber Security solution. Subsequently, Bidder shall provide the ATS support for the remaining four Years post warranty period.</w:t>
      </w:r>
    </w:p>
    <w:p w14:paraId="1BD0E8DD" w14:textId="575E87F7" w:rsidR="00EA76D4" w:rsidRPr="00A54361" w:rsidRDefault="001D7CB1" w:rsidP="00A54361">
      <w:pPr>
        <w:pStyle w:val="ListParagraph"/>
        <w:numPr>
          <w:ilvl w:val="0"/>
          <w:numId w:val="51"/>
        </w:numPr>
        <w:spacing w:after="120"/>
        <w:jc w:val="both"/>
        <w:rPr>
          <w:rFonts w:cstheme="minorHAnsi"/>
        </w:rPr>
      </w:pPr>
      <w:r w:rsidRPr="00A54361">
        <w:rPr>
          <w:rFonts w:cstheme="minorHAnsi"/>
        </w:rPr>
        <w:t>Bidder is required to co-ordinate with Bank</w:t>
      </w:r>
      <w:r w:rsidR="00190FB9" w:rsidRPr="00A54361">
        <w:rPr>
          <w:rFonts w:cstheme="minorHAnsi"/>
        </w:rPr>
        <w:t>’</w:t>
      </w:r>
      <w:r w:rsidRPr="00A54361">
        <w:rPr>
          <w:rFonts w:cstheme="minorHAnsi"/>
        </w:rPr>
        <w:t xml:space="preserve">s existing System Integrator for </w:t>
      </w:r>
      <w:r w:rsidR="006F53DE" w:rsidRPr="00A54361">
        <w:rPr>
          <w:rFonts w:cstheme="minorHAnsi"/>
        </w:rPr>
        <w:t xml:space="preserve">monitoring and troubleshooting </w:t>
      </w:r>
      <w:r w:rsidR="007F0CAB" w:rsidRPr="00A54361">
        <w:rPr>
          <w:rFonts w:cstheme="minorHAnsi"/>
        </w:rPr>
        <w:t xml:space="preserve">for </w:t>
      </w:r>
      <w:r w:rsidR="006F53DE" w:rsidRPr="00A54361">
        <w:rPr>
          <w:rFonts w:cstheme="minorHAnsi"/>
        </w:rPr>
        <w:t>support</w:t>
      </w:r>
      <w:r w:rsidR="007F0CAB" w:rsidRPr="00A54361">
        <w:rPr>
          <w:rFonts w:cstheme="minorHAnsi"/>
        </w:rPr>
        <w:t>,</w:t>
      </w:r>
      <w:r w:rsidRPr="00A54361">
        <w:rPr>
          <w:rFonts w:cstheme="minorHAnsi"/>
        </w:rPr>
        <w:t xml:space="preserve"> throughout the tenure of the contract.</w:t>
      </w:r>
    </w:p>
    <w:p w14:paraId="7305458B" w14:textId="25199F0C" w:rsidR="00E75E5A" w:rsidRPr="00A54361" w:rsidRDefault="00E75E5A" w:rsidP="00A54361">
      <w:pPr>
        <w:pStyle w:val="ListParagraph"/>
        <w:numPr>
          <w:ilvl w:val="0"/>
          <w:numId w:val="51"/>
        </w:numPr>
        <w:spacing w:after="120"/>
        <w:jc w:val="both"/>
        <w:rPr>
          <w:rFonts w:cstheme="minorHAnsi"/>
        </w:rPr>
      </w:pPr>
      <w:r w:rsidRPr="00A54361">
        <w:rPr>
          <w:rFonts w:cstheme="minorHAnsi"/>
        </w:rPr>
        <w:t xml:space="preserve">Bank has option to extend contract period for additional 2 years at the same prices quoted for AMC/ATS </w:t>
      </w:r>
      <w:r w:rsidR="0063106C" w:rsidRPr="00A54361">
        <w:rPr>
          <w:rFonts w:cstheme="minorHAnsi"/>
        </w:rPr>
        <w:t>of</w:t>
      </w:r>
      <w:r w:rsidRPr="00A54361">
        <w:rPr>
          <w:rFonts w:cstheme="minorHAnsi"/>
        </w:rPr>
        <w:t xml:space="preserve"> 5</w:t>
      </w:r>
      <w:r w:rsidRPr="00A54361">
        <w:rPr>
          <w:rFonts w:cstheme="minorHAnsi"/>
          <w:vertAlign w:val="superscript"/>
        </w:rPr>
        <w:t>th</w:t>
      </w:r>
      <w:r w:rsidRPr="00A54361">
        <w:rPr>
          <w:rFonts w:cstheme="minorHAnsi"/>
        </w:rPr>
        <w:t xml:space="preserve"> year for in scope components of this RFP. </w:t>
      </w:r>
    </w:p>
    <w:p w14:paraId="0B542244" w14:textId="48CF9037" w:rsidR="00F027C0" w:rsidRPr="00A54361" w:rsidRDefault="00F027C0" w:rsidP="00A54361">
      <w:pPr>
        <w:pStyle w:val="ListParagraph"/>
        <w:numPr>
          <w:ilvl w:val="0"/>
          <w:numId w:val="51"/>
        </w:numPr>
        <w:spacing w:after="120"/>
        <w:jc w:val="both"/>
        <w:rPr>
          <w:rFonts w:cstheme="minorHAnsi"/>
        </w:rPr>
      </w:pPr>
      <w:r w:rsidRPr="00A54361">
        <w:rPr>
          <w:rFonts w:cstheme="minorHAnsi"/>
        </w:rPr>
        <w:lastRenderedPageBreak/>
        <w:t>The bidder should have a 24x7</w:t>
      </w:r>
      <w:r w:rsidR="002D0807" w:rsidRPr="00A54361">
        <w:rPr>
          <w:rFonts w:cstheme="minorHAnsi"/>
        </w:rPr>
        <w:t>X</w:t>
      </w:r>
      <w:r w:rsidRPr="00A54361">
        <w:rPr>
          <w:rFonts w:cstheme="minorHAnsi"/>
        </w:rPr>
        <w:t xml:space="preserve">365 days support contact center in </w:t>
      </w:r>
      <w:r w:rsidR="002D0807" w:rsidRPr="00A54361">
        <w:rPr>
          <w:rFonts w:cstheme="minorHAnsi"/>
        </w:rPr>
        <w:t xml:space="preserve">India in </w:t>
      </w:r>
      <w:r w:rsidRPr="00A54361">
        <w:rPr>
          <w:rFonts w:cstheme="minorHAnsi"/>
        </w:rPr>
        <w:t>order to log the calls. The contact center numbers should be provided to the Bank along with the escalation matrix mentioning the contact person’s name, number and designation in the company</w:t>
      </w:r>
    </w:p>
    <w:p w14:paraId="3E18D38A" w14:textId="6F0951B1" w:rsidR="00381D81" w:rsidRPr="00A54361" w:rsidRDefault="005E4E75" w:rsidP="00A54361">
      <w:pPr>
        <w:pStyle w:val="TableParagraph"/>
        <w:numPr>
          <w:ilvl w:val="0"/>
          <w:numId w:val="51"/>
        </w:numPr>
        <w:jc w:val="both"/>
        <w:rPr>
          <w:rFonts w:asciiTheme="minorHAnsi" w:hAnsiTheme="minorHAnsi" w:cstheme="minorHAnsi"/>
        </w:rPr>
      </w:pPr>
      <w:r w:rsidRPr="00A54361">
        <w:rPr>
          <w:rFonts w:asciiTheme="minorHAnsi" w:hAnsiTheme="minorHAnsi" w:cstheme="minorHAnsi"/>
        </w:rPr>
        <w:t xml:space="preserve">The bidder should provide 24*7 </w:t>
      </w:r>
      <w:r w:rsidR="00045302" w:rsidRPr="00A54361">
        <w:rPr>
          <w:rFonts w:asciiTheme="minorHAnsi" w:hAnsiTheme="minorHAnsi" w:cstheme="minorHAnsi"/>
        </w:rPr>
        <w:t>support for</w:t>
      </w:r>
      <w:r w:rsidRPr="00A54361">
        <w:rPr>
          <w:rFonts w:asciiTheme="minorHAnsi" w:hAnsiTheme="minorHAnsi" w:cstheme="minorHAnsi"/>
        </w:rPr>
        <w:t xml:space="preserve"> any kind of issue in functionality/performance/integration of the platform during the entire tenure of contract. In case, the issue is not resolved for more than 8 hours, support personnel </w:t>
      </w:r>
      <w:r w:rsidR="00316973" w:rsidRPr="00A54361">
        <w:rPr>
          <w:rFonts w:asciiTheme="minorHAnsi" w:hAnsiTheme="minorHAnsi" w:cstheme="minorHAnsi"/>
        </w:rPr>
        <w:t>has to escalate as per the escalation matrix.</w:t>
      </w:r>
      <w:r w:rsidRPr="00A54361">
        <w:rPr>
          <w:rFonts w:asciiTheme="minorHAnsi" w:hAnsiTheme="minorHAnsi" w:cstheme="minorHAnsi"/>
        </w:rPr>
        <w:t xml:space="preserve"> The bidder shall provide the details of support team and escalation matrix for immediate assistance to bank’s team for any issue.</w:t>
      </w:r>
    </w:p>
    <w:p w14:paraId="5F2E6525" w14:textId="71D7B76D" w:rsidR="00210C49" w:rsidRPr="00A54361" w:rsidRDefault="00210C49" w:rsidP="00A54361">
      <w:pPr>
        <w:pStyle w:val="TableParagraph"/>
        <w:numPr>
          <w:ilvl w:val="0"/>
          <w:numId w:val="51"/>
        </w:numPr>
        <w:jc w:val="both"/>
        <w:rPr>
          <w:rFonts w:asciiTheme="minorHAnsi" w:hAnsiTheme="minorHAnsi" w:cstheme="minorHAnsi"/>
        </w:rPr>
      </w:pPr>
      <w:r w:rsidRPr="00A54361">
        <w:rPr>
          <w:rFonts w:asciiTheme="minorHAnsi" w:hAnsiTheme="minorHAnsi" w:cstheme="minorHAnsi"/>
        </w:rPr>
        <w:t xml:space="preserve">No </w:t>
      </w:r>
      <w:r w:rsidR="008B4A52" w:rsidRPr="00A54361">
        <w:rPr>
          <w:rFonts w:asciiTheme="minorHAnsi" w:hAnsiTheme="minorHAnsi" w:cstheme="minorHAnsi"/>
        </w:rPr>
        <w:t xml:space="preserve">external </w:t>
      </w:r>
      <w:r w:rsidRPr="00A54361">
        <w:rPr>
          <w:rFonts w:asciiTheme="minorHAnsi" w:hAnsiTheme="minorHAnsi" w:cstheme="minorHAnsi"/>
        </w:rPr>
        <w:t>remote access will be provided</w:t>
      </w:r>
      <w:r w:rsidR="00633197" w:rsidRPr="00A54361">
        <w:rPr>
          <w:rFonts w:asciiTheme="minorHAnsi" w:hAnsiTheme="minorHAnsi" w:cstheme="minorHAnsi"/>
        </w:rPr>
        <w:t xml:space="preserve"> for any issues. </w:t>
      </w:r>
      <w:r w:rsidR="000D275A" w:rsidRPr="00A54361">
        <w:rPr>
          <w:rFonts w:asciiTheme="minorHAnsi" w:hAnsiTheme="minorHAnsi" w:cstheme="minorHAnsi"/>
        </w:rPr>
        <w:t>Bidders are</w:t>
      </w:r>
      <w:r w:rsidR="00633197" w:rsidRPr="00A54361">
        <w:rPr>
          <w:rFonts w:asciiTheme="minorHAnsi" w:hAnsiTheme="minorHAnsi" w:cstheme="minorHAnsi"/>
        </w:rPr>
        <w:t xml:space="preserve"> required to provide </w:t>
      </w:r>
      <w:r w:rsidR="00E109AF" w:rsidRPr="00A54361">
        <w:rPr>
          <w:rFonts w:asciiTheme="minorHAnsi" w:hAnsiTheme="minorHAnsi" w:cstheme="minorHAnsi"/>
        </w:rPr>
        <w:t>onsite resources.</w:t>
      </w:r>
    </w:p>
    <w:p w14:paraId="4DA02802" w14:textId="161E3ED2" w:rsidR="00CE50FA" w:rsidRPr="00A54361" w:rsidRDefault="00CE50FA" w:rsidP="00A54361">
      <w:pPr>
        <w:pStyle w:val="TableParagraph"/>
        <w:numPr>
          <w:ilvl w:val="0"/>
          <w:numId w:val="51"/>
        </w:numPr>
        <w:jc w:val="both"/>
        <w:rPr>
          <w:rFonts w:asciiTheme="minorHAnsi" w:hAnsiTheme="minorHAnsi" w:cstheme="minorHAnsi"/>
        </w:rPr>
      </w:pPr>
      <w:r w:rsidRPr="00A54361">
        <w:rPr>
          <w:rFonts w:asciiTheme="minorHAnsi" w:hAnsiTheme="minorHAnsi" w:cstheme="minorHAnsi"/>
        </w:rPr>
        <w:t>OEM should be present in India for more than 3 years and preferably should be having support centre in India.</w:t>
      </w:r>
    </w:p>
    <w:p w14:paraId="04FF96BC" w14:textId="0125BCE9" w:rsidR="005E4E75" w:rsidRPr="00A54361" w:rsidRDefault="00381D81" w:rsidP="00A54361">
      <w:pPr>
        <w:pStyle w:val="TableParagraph"/>
        <w:numPr>
          <w:ilvl w:val="0"/>
          <w:numId w:val="58"/>
        </w:numPr>
        <w:jc w:val="both"/>
        <w:rPr>
          <w:rFonts w:asciiTheme="minorHAnsi" w:hAnsiTheme="minorHAnsi" w:cstheme="minorHAnsi"/>
        </w:rPr>
      </w:pPr>
      <w:r w:rsidRPr="00A54361">
        <w:rPr>
          <w:rFonts w:cstheme="minorHAnsi"/>
        </w:rPr>
        <w:t xml:space="preserve"> </w:t>
      </w:r>
      <w:r w:rsidRPr="00A54361">
        <w:rPr>
          <w:rFonts w:asciiTheme="minorHAnsi" w:hAnsiTheme="minorHAnsi" w:cstheme="minorHAnsi"/>
        </w:rPr>
        <w:t>The solution deployed should be compliant with Bank’s IS, IT and Cyber Security policies, internal guidelines, regulatory requirements and countrywide regulations and laws.</w:t>
      </w:r>
    </w:p>
    <w:p w14:paraId="2F992625" w14:textId="77777777" w:rsidR="00D71BA0" w:rsidRPr="00A54361" w:rsidRDefault="00D71BA0" w:rsidP="00A54361">
      <w:pPr>
        <w:pStyle w:val="TableParagraph"/>
        <w:numPr>
          <w:ilvl w:val="0"/>
          <w:numId w:val="58"/>
        </w:numPr>
        <w:jc w:val="both"/>
        <w:rPr>
          <w:rFonts w:asciiTheme="minorHAnsi" w:hAnsiTheme="minorHAnsi" w:cstheme="minorHAnsi"/>
        </w:rPr>
      </w:pPr>
      <w:r w:rsidRPr="00A54361">
        <w:rPr>
          <w:rFonts w:asciiTheme="minorHAnsi" w:hAnsiTheme="minorHAnsi" w:cstheme="minorHAnsi"/>
        </w:rPr>
        <w:t>The Bidder would be responsible for supply, installation, testing, commissioning, configuring, Operation &amp; Maintenance of the solutions, warranty and AMC of licenses (hardware, software, middleware supplied) as part of this RFP for a period of Five (5) years.</w:t>
      </w:r>
    </w:p>
    <w:p w14:paraId="73E11EC3" w14:textId="5DDC6126" w:rsidR="00120E96" w:rsidRPr="00A54361" w:rsidRDefault="00F16D3E" w:rsidP="00A54361">
      <w:pPr>
        <w:pStyle w:val="TableParagraph"/>
        <w:numPr>
          <w:ilvl w:val="0"/>
          <w:numId w:val="58"/>
        </w:numPr>
        <w:jc w:val="both"/>
        <w:rPr>
          <w:rFonts w:asciiTheme="minorHAnsi" w:hAnsiTheme="minorHAnsi" w:cstheme="minorHAnsi"/>
        </w:rPr>
      </w:pPr>
      <w:r w:rsidRPr="00A54361">
        <w:rPr>
          <w:rFonts w:asciiTheme="minorHAnsi" w:hAnsiTheme="minorHAnsi" w:cstheme="minorHAnsi"/>
        </w:rPr>
        <w:t xml:space="preserve">The contract will be for a period of FIVE years from the date of </w:t>
      </w:r>
      <w:r w:rsidR="008B4A52" w:rsidRPr="00A54361">
        <w:rPr>
          <w:rFonts w:asciiTheme="minorHAnsi" w:hAnsiTheme="minorHAnsi" w:cstheme="minorHAnsi"/>
        </w:rPr>
        <w:t xml:space="preserve"> Go-live.</w:t>
      </w:r>
    </w:p>
    <w:p w14:paraId="21592C64" w14:textId="77777777" w:rsidR="00D71BA0" w:rsidRPr="00A54361" w:rsidRDefault="00D71BA0" w:rsidP="00A54361">
      <w:pPr>
        <w:pStyle w:val="TableParagraph"/>
        <w:numPr>
          <w:ilvl w:val="0"/>
          <w:numId w:val="58"/>
        </w:numPr>
        <w:jc w:val="both"/>
        <w:rPr>
          <w:rFonts w:asciiTheme="minorHAnsi" w:hAnsiTheme="minorHAnsi" w:cstheme="minorHAnsi"/>
        </w:rPr>
      </w:pPr>
      <w:r w:rsidRPr="00A54361">
        <w:rPr>
          <w:rFonts w:asciiTheme="minorHAnsi" w:hAnsiTheme="minorHAnsi" w:cstheme="minorHAnsi"/>
        </w:rPr>
        <w:t>During the tenure of the contract, all upgrades or requirements in hardware, software, licensing, implementation of upgrades/patches/version changes etc., due to whatsoever reason including but not limited to EOL or EQS, would be done by the bidder without any additional cost to the bank.</w:t>
      </w:r>
    </w:p>
    <w:p w14:paraId="7508AEB9" w14:textId="77777777" w:rsidR="00D71BA0" w:rsidRPr="00A54361" w:rsidRDefault="00D71BA0" w:rsidP="00A54361">
      <w:pPr>
        <w:pStyle w:val="TableParagraph"/>
        <w:numPr>
          <w:ilvl w:val="0"/>
          <w:numId w:val="58"/>
        </w:numPr>
        <w:jc w:val="both"/>
        <w:rPr>
          <w:rFonts w:asciiTheme="minorHAnsi" w:hAnsiTheme="minorHAnsi" w:cstheme="minorHAnsi"/>
        </w:rPr>
      </w:pPr>
      <w:r w:rsidRPr="00A54361">
        <w:rPr>
          <w:rFonts w:asciiTheme="minorHAnsi" w:hAnsiTheme="minorHAnsi" w:cstheme="minorHAnsi"/>
        </w:rPr>
        <w:t>If a solution fails to meet the technical requirements of RFP during the implementation/before sign-off phase, Bank reserves the right to reject the solution with no cost to the Bank and recover all payments made for that solution. However, in such cases the bidder may offer alternate solution to the Bank which fulfils technical requirements of the RFP with no extra cost to the Bank.</w:t>
      </w:r>
    </w:p>
    <w:p w14:paraId="6923EA76" w14:textId="77777777" w:rsidR="00D71BA0" w:rsidRPr="00A54361" w:rsidRDefault="00D71BA0" w:rsidP="00A54361">
      <w:pPr>
        <w:pStyle w:val="TableParagraph"/>
        <w:numPr>
          <w:ilvl w:val="0"/>
          <w:numId w:val="58"/>
        </w:numPr>
        <w:jc w:val="both"/>
        <w:rPr>
          <w:rFonts w:asciiTheme="minorHAnsi" w:hAnsiTheme="minorHAnsi" w:cstheme="minorHAnsi"/>
        </w:rPr>
      </w:pPr>
      <w:r w:rsidRPr="00A54361">
        <w:rPr>
          <w:rFonts w:asciiTheme="minorHAnsi" w:hAnsiTheme="minorHAnsi" w:cstheme="minorHAnsi"/>
        </w:rPr>
        <w:t>If during the contract period, the solution is not performing as per specifications in this RFP, bidder shall upgrade/enhance the devices or place additional devices and reconfigure the system without any extra cost to the bank till the required performance is achieved.</w:t>
      </w:r>
    </w:p>
    <w:p w14:paraId="678B6B13" w14:textId="79BB4A7C" w:rsidR="00FD0213" w:rsidRPr="00A54361" w:rsidRDefault="00FD0213" w:rsidP="00A54361">
      <w:pPr>
        <w:pStyle w:val="TableParagraph"/>
        <w:numPr>
          <w:ilvl w:val="0"/>
          <w:numId w:val="58"/>
        </w:numPr>
        <w:jc w:val="both"/>
        <w:rPr>
          <w:rFonts w:asciiTheme="minorHAnsi" w:hAnsiTheme="minorHAnsi" w:cstheme="minorHAnsi"/>
        </w:rPr>
      </w:pPr>
      <w:r w:rsidRPr="00A54361">
        <w:rPr>
          <w:rFonts w:asciiTheme="minorHAnsi" w:hAnsiTheme="minorHAnsi" w:cstheme="minorHAnsi"/>
        </w:rPr>
        <w:t>All the Cyber Security Solution must be tightly integrated with SIEM, SOAR, UEBA</w:t>
      </w:r>
      <w:r w:rsidR="008B4A52" w:rsidRPr="00A54361">
        <w:rPr>
          <w:rFonts w:asciiTheme="minorHAnsi" w:hAnsiTheme="minorHAnsi" w:cstheme="minorHAnsi"/>
        </w:rPr>
        <w:t>,PIM,</w:t>
      </w:r>
      <w:r w:rsidRPr="00A54361">
        <w:rPr>
          <w:rFonts w:asciiTheme="minorHAnsi" w:hAnsiTheme="minorHAnsi" w:cstheme="minorHAnsi"/>
        </w:rPr>
        <w:t>IT Service Desk (Call Logging System)</w:t>
      </w:r>
      <w:r w:rsidR="008B4A52" w:rsidRPr="00A54361">
        <w:rPr>
          <w:rFonts w:asciiTheme="minorHAnsi" w:hAnsiTheme="minorHAnsi" w:cstheme="minorHAnsi"/>
        </w:rPr>
        <w:t>, any other such solution.</w:t>
      </w:r>
    </w:p>
    <w:p w14:paraId="182F5D42" w14:textId="1C4C25C5" w:rsidR="002136DD" w:rsidRPr="00A54361" w:rsidRDefault="002136DD" w:rsidP="00A54361">
      <w:pPr>
        <w:pStyle w:val="ListParagraph"/>
        <w:numPr>
          <w:ilvl w:val="0"/>
          <w:numId w:val="58"/>
        </w:numPr>
        <w:spacing w:after="0" w:line="240" w:lineRule="auto"/>
        <w:jc w:val="both"/>
        <w:rPr>
          <w:rFonts w:eastAsia="Arial" w:cstheme="minorHAnsi"/>
          <w:spacing w:val="-1"/>
        </w:rPr>
      </w:pPr>
      <w:r w:rsidRPr="00A54361">
        <w:rPr>
          <w:rFonts w:eastAsia="Arial" w:cstheme="minorHAnsi"/>
          <w:spacing w:val="-1"/>
        </w:rPr>
        <w:t>The Bidder is required to Integrate all Cyber Security solutions</w:t>
      </w:r>
      <w:r w:rsidR="001647C8" w:rsidRPr="00A54361">
        <w:rPr>
          <w:rFonts w:eastAsia="Arial" w:cstheme="minorHAnsi"/>
          <w:spacing w:val="-1"/>
        </w:rPr>
        <w:t xml:space="preserve"> </w:t>
      </w:r>
      <w:r w:rsidR="001647C8" w:rsidRPr="00A54361">
        <w:rPr>
          <w:rFonts w:cstheme="minorHAnsi"/>
        </w:rPr>
        <w:t>and associated hardware</w:t>
      </w:r>
      <w:r w:rsidRPr="00A54361">
        <w:rPr>
          <w:rFonts w:eastAsia="Arial" w:cstheme="minorHAnsi"/>
          <w:spacing w:val="-1"/>
        </w:rPr>
        <w:t xml:space="preserve"> with SOAR, SIEM, </w:t>
      </w:r>
      <w:r w:rsidR="008B4A52" w:rsidRPr="00A54361">
        <w:rPr>
          <w:rFonts w:eastAsia="Arial" w:cstheme="minorHAnsi"/>
          <w:spacing w:val="-1"/>
        </w:rPr>
        <w:t xml:space="preserve">PIM </w:t>
      </w:r>
      <w:r w:rsidRPr="00A54361">
        <w:rPr>
          <w:rFonts w:eastAsia="Arial" w:cstheme="minorHAnsi"/>
          <w:spacing w:val="-1"/>
        </w:rPr>
        <w:t xml:space="preserve">and existing ticketing Solution  </w:t>
      </w:r>
    </w:p>
    <w:p w14:paraId="6C196E16" w14:textId="520129F7" w:rsidR="002136DD" w:rsidRPr="00A54361" w:rsidRDefault="002136DD" w:rsidP="00A54361">
      <w:pPr>
        <w:pStyle w:val="ListParagraph"/>
        <w:numPr>
          <w:ilvl w:val="0"/>
          <w:numId w:val="58"/>
        </w:numPr>
        <w:spacing w:after="0" w:line="240" w:lineRule="auto"/>
        <w:jc w:val="both"/>
        <w:rPr>
          <w:rFonts w:eastAsia="Arial" w:cstheme="minorHAnsi"/>
          <w:spacing w:val="-1"/>
        </w:rPr>
      </w:pPr>
      <w:r w:rsidRPr="00A54361">
        <w:rPr>
          <w:rFonts w:eastAsia="Arial" w:cstheme="minorHAnsi"/>
          <w:spacing w:val="-1"/>
        </w:rPr>
        <w:t>All Solutions must be implemented by OEM / OEM authorized service Partner only.</w:t>
      </w:r>
      <w:r w:rsidR="00CE50FA" w:rsidRPr="00A54361">
        <w:rPr>
          <w:rFonts w:eastAsia="Arial" w:cstheme="minorHAnsi"/>
          <w:spacing w:val="-1"/>
        </w:rPr>
        <w:t xml:space="preserve"> In case of OEM authorized partner, valid document should be provided by the OEM </w:t>
      </w:r>
      <w:r w:rsidR="00D91798" w:rsidRPr="00A54361">
        <w:rPr>
          <w:rFonts w:eastAsia="Arial" w:cstheme="minorHAnsi"/>
          <w:spacing w:val="-1"/>
        </w:rPr>
        <w:t xml:space="preserve">for </w:t>
      </w:r>
      <w:r w:rsidR="00CE50FA" w:rsidRPr="00A54361">
        <w:rPr>
          <w:rFonts w:eastAsia="Arial" w:cstheme="minorHAnsi"/>
          <w:spacing w:val="-1"/>
        </w:rPr>
        <w:t>authorising the partner.</w:t>
      </w:r>
    </w:p>
    <w:p w14:paraId="26A13C47" w14:textId="6A21372A" w:rsidR="002136DD" w:rsidRPr="00A54361" w:rsidRDefault="002136DD" w:rsidP="00A54361">
      <w:pPr>
        <w:pStyle w:val="ListParagraph"/>
        <w:numPr>
          <w:ilvl w:val="0"/>
          <w:numId w:val="58"/>
        </w:numPr>
        <w:spacing w:after="0" w:line="240" w:lineRule="auto"/>
        <w:jc w:val="both"/>
        <w:rPr>
          <w:rFonts w:eastAsia="Arial" w:cstheme="minorHAnsi"/>
          <w:spacing w:val="-1"/>
        </w:rPr>
      </w:pPr>
      <w:r w:rsidRPr="00A54361">
        <w:rPr>
          <w:rFonts w:eastAsia="Arial" w:cstheme="minorHAnsi"/>
          <w:spacing w:val="-1"/>
        </w:rPr>
        <w:t xml:space="preserve">Training – overall </w:t>
      </w:r>
      <w:r w:rsidR="00301D1E" w:rsidRPr="00A54361">
        <w:rPr>
          <w:rFonts w:eastAsia="Arial" w:cstheme="minorHAnsi"/>
          <w:spacing w:val="-1"/>
        </w:rPr>
        <w:t xml:space="preserve">for </w:t>
      </w:r>
      <w:r w:rsidR="00C4421F" w:rsidRPr="00A54361">
        <w:rPr>
          <w:rFonts w:eastAsia="Arial" w:cstheme="minorHAnsi"/>
          <w:spacing w:val="-1"/>
        </w:rPr>
        <w:t>10</w:t>
      </w:r>
      <w:r w:rsidRPr="00A54361">
        <w:rPr>
          <w:rFonts w:eastAsia="Arial" w:cstheme="minorHAnsi"/>
          <w:spacing w:val="-1"/>
        </w:rPr>
        <w:t xml:space="preserve"> participants</w:t>
      </w:r>
      <w:r w:rsidR="003C29FA" w:rsidRPr="00A54361">
        <w:rPr>
          <w:rFonts w:eastAsia="Arial" w:cstheme="minorHAnsi"/>
          <w:spacing w:val="-1"/>
        </w:rPr>
        <w:t xml:space="preserve"> for minimum 1 week</w:t>
      </w:r>
      <w:r w:rsidR="000D275A" w:rsidRPr="00A54361">
        <w:rPr>
          <w:rFonts w:eastAsia="Arial" w:cstheme="minorHAnsi"/>
          <w:spacing w:val="-1"/>
        </w:rPr>
        <w:t xml:space="preserve"> on all the solutions part of this RFP</w:t>
      </w:r>
      <w:r w:rsidR="00301D1E" w:rsidRPr="00A54361">
        <w:rPr>
          <w:rFonts w:eastAsia="Arial" w:cstheme="minorHAnsi"/>
          <w:spacing w:val="-1"/>
        </w:rPr>
        <w:t xml:space="preserve">; Training </w:t>
      </w:r>
      <w:r w:rsidRPr="00A54361">
        <w:rPr>
          <w:rFonts w:eastAsia="Arial" w:cstheme="minorHAnsi"/>
          <w:spacing w:val="-1"/>
        </w:rPr>
        <w:t>from OEM / OEM authorized service Partner</w:t>
      </w:r>
      <w:r w:rsidR="00737142" w:rsidRPr="00A54361">
        <w:rPr>
          <w:rFonts w:eastAsia="Arial" w:cstheme="minorHAnsi"/>
          <w:spacing w:val="-1"/>
        </w:rPr>
        <w:t>. Bidder has to provide the same at no additional cost to the Bank</w:t>
      </w:r>
      <w:r w:rsidRPr="00A54361">
        <w:rPr>
          <w:rFonts w:eastAsia="Arial" w:cstheme="minorHAnsi"/>
          <w:spacing w:val="-1"/>
        </w:rPr>
        <w:t xml:space="preserve">. </w:t>
      </w:r>
    </w:p>
    <w:p w14:paraId="6639A095" w14:textId="77777777" w:rsidR="00576E09" w:rsidRPr="00A54361" w:rsidRDefault="00576E09" w:rsidP="00A54361">
      <w:pPr>
        <w:pStyle w:val="ListParagraph"/>
        <w:numPr>
          <w:ilvl w:val="0"/>
          <w:numId w:val="58"/>
        </w:numPr>
        <w:spacing w:after="0" w:line="240" w:lineRule="auto"/>
        <w:jc w:val="both"/>
        <w:rPr>
          <w:rFonts w:eastAsia="Arial" w:cstheme="minorHAnsi"/>
          <w:b/>
          <w:bCs/>
          <w:spacing w:val="-1"/>
        </w:rPr>
      </w:pPr>
      <w:r w:rsidRPr="00A54361">
        <w:rPr>
          <w:rFonts w:eastAsia="Arial" w:cstheme="minorHAnsi"/>
          <w:b/>
          <w:bCs/>
          <w:spacing w:val="-1"/>
        </w:rPr>
        <w:t xml:space="preserve">OEM’s Assessments Reports </w:t>
      </w:r>
    </w:p>
    <w:p w14:paraId="4BD26C63" w14:textId="7941F13F" w:rsidR="00576E09" w:rsidRPr="00A54361" w:rsidRDefault="00576E09" w:rsidP="00A54361">
      <w:pPr>
        <w:spacing w:line="256" w:lineRule="auto"/>
        <w:ind w:left="720"/>
        <w:jc w:val="both"/>
        <w:rPr>
          <w:rFonts w:eastAsia="Arial" w:cstheme="minorHAnsi"/>
          <w:spacing w:val="-1"/>
        </w:rPr>
      </w:pPr>
      <w:r w:rsidRPr="00A54361">
        <w:rPr>
          <w:rFonts w:eastAsia="Arial" w:cstheme="minorHAnsi"/>
          <w:spacing w:val="-1"/>
        </w:rPr>
        <w:t>Bidders must ensure that all the above solutions are being assessed by the respective OEM’s of the proposed products</w:t>
      </w:r>
    </w:p>
    <w:p w14:paraId="62950042" w14:textId="04CEC5D7" w:rsidR="00576E09" w:rsidRPr="00A54361" w:rsidRDefault="00576E09" w:rsidP="00A54361">
      <w:pPr>
        <w:pStyle w:val="ListParagraph"/>
        <w:numPr>
          <w:ilvl w:val="1"/>
          <w:numId w:val="58"/>
        </w:numPr>
        <w:spacing w:line="256" w:lineRule="auto"/>
        <w:jc w:val="both"/>
        <w:rPr>
          <w:rFonts w:eastAsia="Arial" w:cstheme="minorHAnsi"/>
          <w:spacing w:val="-1"/>
        </w:rPr>
      </w:pPr>
      <w:r w:rsidRPr="00A54361">
        <w:rPr>
          <w:rFonts w:eastAsia="Arial" w:cstheme="minorHAnsi"/>
          <w:spacing w:val="-1"/>
        </w:rPr>
        <w:t>Respective OEMs to check that the proposed functionality that are part of RFP including technical specifications are working properly</w:t>
      </w:r>
    </w:p>
    <w:p w14:paraId="0937CC35" w14:textId="1E00240E" w:rsidR="00576E09" w:rsidRPr="00A54361" w:rsidRDefault="00576E09" w:rsidP="00A54361">
      <w:pPr>
        <w:pStyle w:val="ListParagraph"/>
        <w:numPr>
          <w:ilvl w:val="1"/>
          <w:numId w:val="58"/>
        </w:numPr>
        <w:spacing w:line="256" w:lineRule="auto"/>
        <w:jc w:val="both"/>
        <w:rPr>
          <w:rFonts w:eastAsia="Arial" w:cstheme="minorHAnsi"/>
          <w:spacing w:val="-1"/>
        </w:rPr>
      </w:pPr>
      <w:r w:rsidRPr="00A54361">
        <w:rPr>
          <w:rFonts w:eastAsia="Arial" w:cstheme="minorHAnsi"/>
          <w:spacing w:val="-1"/>
        </w:rPr>
        <w:t xml:space="preserve">Assessment is to be performed twice in a year post successful installation for year one and performed once in year for remaining years, during the period of contract.  </w:t>
      </w:r>
    </w:p>
    <w:p w14:paraId="3CA1B3C5" w14:textId="45CF94EA" w:rsidR="00576E09" w:rsidRPr="00A54361" w:rsidRDefault="00576E09" w:rsidP="00A54361">
      <w:pPr>
        <w:pStyle w:val="ListParagraph"/>
        <w:numPr>
          <w:ilvl w:val="1"/>
          <w:numId w:val="58"/>
        </w:numPr>
        <w:spacing w:line="256" w:lineRule="auto"/>
        <w:jc w:val="both"/>
        <w:rPr>
          <w:rFonts w:eastAsia="Arial" w:cstheme="minorHAnsi"/>
          <w:spacing w:val="-1"/>
        </w:rPr>
      </w:pPr>
      <w:r w:rsidRPr="00A54361">
        <w:rPr>
          <w:rFonts w:eastAsia="Arial" w:cstheme="minorHAnsi"/>
          <w:spacing w:val="-1"/>
        </w:rPr>
        <w:lastRenderedPageBreak/>
        <w:t xml:space="preserve">OEM to submit and present the reports to bank. In case of any findings, bidder is required to bridge those gaps as per the recommendations of the OEMs during the tenure of contract, at no additional cost to the bank.    </w:t>
      </w:r>
    </w:p>
    <w:p w14:paraId="64512618" w14:textId="77777777" w:rsidR="002136DD" w:rsidRPr="00A54361" w:rsidRDefault="002136DD" w:rsidP="00A54361">
      <w:pPr>
        <w:pStyle w:val="ListParagraph"/>
        <w:spacing w:after="0" w:line="240" w:lineRule="auto"/>
        <w:ind w:left="1440"/>
        <w:jc w:val="both"/>
        <w:rPr>
          <w:rFonts w:eastAsia="Arial" w:cstheme="minorHAnsi"/>
          <w:spacing w:val="-1"/>
        </w:rPr>
      </w:pPr>
    </w:p>
    <w:p w14:paraId="11C30A02" w14:textId="77777777" w:rsidR="00D71BA0" w:rsidRPr="00A54361" w:rsidRDefault="00D71BA0" w:rsidP="00A54361">
      <w:pPr>
        <w:pStyle w:val="TableParagraph"/>
        <w:ind w:left="720"/>
        <w:jc w:val="both"/>
        <w:rPr>
          <w:rFonts w:asciiTheme="minorHAnsi" w:hAnsiTheme="minorHAnsi" w:cstheme="minorHAnsi"/>
        </w:rPr>
      </w:pPr>
    </w:p>
    <w:p w14:paraId="0B4A8FE8" w14:textId="79098E0A" w:rsidR="008338B7" w:rsidRPr="00A54361" w:rsidRDefault="00F62BB5" w:rsidP="00A54361">
      <w:pPr>
        <w:pStyle w:val="Heading2"/>
        <w:ind w:right="2133"/>
        <w:jc w:val="both"/>
        <w:rPr>
          <w:b/>
          <w:bCs/>
          <w:color w:val="auto"/>
        </w:rPr>
      </w:pPr>
      <w:bookmarkStart w:id="10" w:name="_Toc129668469"/>
      <w:bookmarkStart w:id="11" w:name="_Toc182233333"/>
      <w:r w:rsidRPr="00A54361">
        <w:rPr>
          <w:b/>
          <w:bCs/>
          <w:color w:val="auto"/>
        </w:rPr>
        <w:t xml:space="preserve">7.1 </w:t>
      </w:r>
      <w:r w:rsidR="009D4C57" w:rsidRPr="00A54361">
        <w:rPr>
          <w:b/>
          <w:bCs/>
          <w:color w:val="auto"/>
        </w:rPr>
        <w:t>Detailed Scope of Work</w:t>
      </w:r>
      <w:bookmarkEnd w:id="10"/>
      <w:bookmarkEnd w:id="11"/>
    </w:p>
    <w:p w14:paraId="467F69C8" w14:textId="04E5190E" w:rsidR="008338B7" w:rsidRPr="00A54361" w:rsidRDefault="008338B7" w:rsidP="00A54361">
      <w:pPr>
        <w:jc w:val="both"/>
        <w:rPr>
          <w:rFonts w:cstheme="minorHAnsi"/>
        </w:rPr>
      </w:pPr>
      <w:r w:rsidRPr="00A54361">
        <w:rPr>
          <w:rFonts w:cstheme="minorHAnsi"/>
        </w:rPr>
        <w:t>The Bidder is required to supply, install</w:t>
      </w:r>
      <w:r w:rsidR="00A409FC" w:rsidRPr="00A54361">
        <w:rPr>
          <w:rFonts w:cstheme="minorHAnsi"/>
        </w:rPr>
        <w:t xml:space="preserve">, </w:t>
      </w:r>
      <w:r w:rsidR="008B5D4D" w:rsidRPr="00A54361">
        <w:rPr>
          <w:rFonts w:cstheme="minorHAnsi"/>
        </w:rPr>
        <w:t xml:space="preserve">integrate, </w:t>
      </w:r>
      <w:r w:rsidR="00AF4B24" w:rsidRPr="00A54361">
        <w:rPr>
          <w:rFonts w:cstheme="minorHAnsi"/>
        </w:rPr>
        <w:t>maintain,</w:t>
      </w:r>
      <w:r w:rsidRPr="00A54361">
        <w:rPr>
          <w:rFonts w:cstheme="minorHAnsi"/>
        </w:rPr>
        <w:t xml:space="preserve"> and provide AMC for the following </w:t>
      </w:r>
      <w:r w:rsidR="002227BF" w:rsidRPr="00A54361">
        <w:rPr>
          <w:rFonts w:cstheme="minorHAnsi"/>
        </w:rPr>
        <w:t>(</w:t>
      </w:r>
      <w:r w:rsidR="00B23685" w:rsidRPr="00A54361">
        <w:rPr>
          <w:rFonts w:cstheme="minorHAnsi"/>
        </w:rPr>
        <w:t xml:space="preserve">Cyber </w:t>
      </w:r>
      <w:r w:rsidR="00615AD1" w:rsidRPr="00A54361">
        <w:rPr>
          <w:rFonts w:cstheme="minorHAnsi"/>
        </w:rPr>
        <w:t>Security Solutions</w:t>
      </w:r>
      <w:r w:rsidR="00917699" w:rsidRPr="00A54361">
        <w:rPr>
          <w:rFonts w:cstheme="minorHAnsi"/>
        </w:rPr>
        <w:t xml:space="preserve"> and associated hardware</w:t>
      </w:r>
      <w:r w:rsidR="002227BF" w:rsidRPr="00A54361">
        <w:rPr>
          <w:rFonts w:cstheme="minorHAnsi"/>
        </w:rPr>
        <w:t xml:space="preserve"> mentioned in subsection) </w:t>
      </w:r>
      <w:r w:rsidRPr="00A54361">
        <w:rPr>
          <w:rFonts w:cstheme="minorHAnsi"/>
        </w:rPr>
        <w:t>solution</w:t>
      </w:r>
      <w:r w:rsidR="00615AD1" w:rsidRPr="00A54361">
        <w:rPr>
          <w:rFonts w:cstheme="minorHAnsi"/>
        </w:rPr>
        <w:t>s</w:t>
      </w:r>
      <w:r w:rsidRPr="00A54361">
        <w:rPr>
          <w:rFonts w:cstheme="minorHAnsi"/>
        </w:rPr>
        <w:t xml:space="preserve"> for the period of contrac</w:t>
      </w:r>
      <w:r w:rsidR="00A822F1" w:rsidRPr="00A54361">
        <w:rPr>
          <w:rFonts w:cstheme="minorHAnsi"/>
        </w:rPr>
        <w:t xml:space="preserve">t at Bank’s </w:t>
      </w:r>
      <w:r w:rsidR="009417AB" w:rsidRPr="00A54361">
        <w:rPr>
          <w:rFonts w:cstheme="minorHAnsi"/>
        </w:rPr>
        <w:t>offices</w:t>
      </w:r>
      <w:r w:rsidRPr="00A54361">
        <w:rPr>
          <w:rFonts w:cstheme="minorHAnsi"/>
        </w:rPr>
        <w:t>.</w:t>
      </w:r>
      <w:r w:rsidR="000E1DE5" w:rsidRPr="00A54361">
        <w:rPr>
          <w:rFonts w:cstheme="minorHAnsi"/>
        </w:rPr>
        <w:t xml:space="preserve"> </w:t>
      </w:r>
      <w:r w:rsidR="000E1DE5" w:rsidRPr="00A54361">
        <w:t>I</w:t>
      </w:r>
      <w:r w:rsidR="000E1DE5" w:rsidRPr="00A54361">
        <w:rPr>
          <w:rFonts w:cstheme="minorHAnsi"/>
        </w:rPr>
        <w:t>n case of any compatibility issue arises between the proposed solution</w:t>
      </w:r>
      <w:r w:rsidR="00615AD1" w:rsidRPr="00A54361">
        <w:rPr>
          <w:rFonts w:cstheme="minorHAnsi"/>
        </w:rPr>
        <w:t>s</w:t>
      </w:r>
      <w:r w:rsidR="000E1DE5" w:rsidRPr="00A54361">
        <w:rPr>
          <w:rFonts w:cstheme="minorHAnsi"/>
        </w:rPr>
        <w:t xml:space="preserve">/appliance </w:t>
      </w:r>
      <w:r w:rsidR="00615AD1" w:rsidRPr="00A54361">
        <w:rPr>
          <w:rFonts w:cstheme="minorHAnsi"/>
        </w:rPr>
        <w:t>and</w:t>
      </w:r>
      <w:r w:rsidR="00756777" w:rsidRPr="00A54361">
        <w:rPr>
          <w:rFonts w:cstheme="minorHAnsi"/>
        </w:rPr>
        <w:t xml:space="preserve"> </w:t>
      </w:r>
      <w:r w:rsidR="000E1DE5" w:rsidRPr="00A54361">
        <w:rPr>
          <w:rFonts w:cstheme="minorHAnsi"/>
        </w:rPr>
        <w:t xml:space="preserve">existing </w:t>
      </w:r>
      <w:r w:rsidR="003114AC" w:rsidRPr="00A54361">
        <w:rPr>
          <w:rFonts w:cstheme="minorHAnsi"/>
        </w:rPr>
        <w:t>SIEM</w:t>
      </w:r>
      <w:r w:rsidR="000E1DE5" w:rsidRPr="00A54361">
        <w:rPr>
          <w:rFonts w:cstheme="minorHAnsi"/>
        </w:rPr>
        <w:t xml:space="preserve"> setup during implementation or within 3 months of installation signoff, then the successful bidder is required to replace such solution</w:t>
      </w:r>
      <w:r w:rsidR="003114AC" w:rsidRPr="00A54361">
        <w:rPr>
          <w:rFonts w:cstheme="minorHAnsi"/>
        </w:rPr>
        <w:t>s</w:t>
      </w:r>
      <w:r w:rsidR="000E1DE5" w:rsidRPr="00A54361">
        <w:rPr>
          <w:rFonts w:cstheme="minorHAnsi"/>
        </w:rPr>
        <w:t>/appliance</w:t>
      </w:r>
      <w:r w:rsidR="003114AC" w:rsidRPr="00A54361">
        <w:rPr>
          <w:rFonts w:cstheme="minorHAnsi"/>
        </w:rPr>
        <w:t>s</w:t>
      </w:r>
      <w:r w:rsidR="000E1DE5" w:rsidRPr="00A54361">
        <w:rPr>
          <w:rFonts w:cstheme="minorHAnsi"/>
        </w:rPr>
        <w:t xml:space="preserve">, with the compatible one, at no additional cost to the bank within 4 weeks of the issue </w:t>
      </w:r>
      <w:r w:rsidR="002D45FD" w:rsidRPr="00A54361">
        <w:rPr>
          <w:rFonts w:cstheme="minorHAnsi"/>
        </w:rPr>
        <w:t xml:space="preserve">being intimated </w:t>
      </w:r>
      <w:r w:rsidR="000E1DE5" w:rsidRPr="00A54361">
        <w:rPr>
          <w:rFonts w:cstheme="minorHAnsi"/>
        </w:rPr>
        <w:t>by Bank</w:t>
      </w:r>
      <w:r w:rsidR="00136632" w:rsidRPr="00A54361">
        <w:rPr>
          <w:rFonts w:cstheme="minorHAnsi"/>
        </w:rPr>
        <w:t>.</w:t>
      </w:r>
    </w:p>
    <w:p w14:paraId="5EF35903" w14:textId="334F466F" w:rsidR="009D4C57" w:rsidRPr="00A54361" w:rsidRDefault="00F24682" w:rsidP="00A54361">
      <w:pPr>
        <w:pStyle w:val="ListParagraph"/>
        <w:numPr>
          <w:ilvl w:val="0"/>
          <w:numId w:val="54"/>
        </w:numPr>
        <w:jc w:val="both"/>
        <w:rPr>
          <w:rFonts w:cstheme="minorHAnsi"/>
        </w:rPr>
      </w:pPr>
      <w:r w:rsidRPr="00A54361">
        <w:rPr>
          <w:rFonts w:cstheme="minorHAnsi"/>
        </w:rPr>
        <w:t>T</w:t>
      </w:r>
      <w:r w:rsidR="009D4C57" w:rsidRPr="00A54361">
        <w:rPr>
          <w:rFonts w:cstheme="minorHAnsi"/>
        </w:rPr>
        <w:t>he proposed solution should be tightly integrated with all the existing tools / setup and new infrastructure /Assets of the Bank. The selected bidder should implement and maintain th</w:t>
      </w:r>
      <w:r w:rsidR="00917699" w:rsidRPr="00A54361">
        <w:rPr>
          <w:rFonts w:cstheme="minorHAnsi"/>
        </w:rPr>
        <w:t>ese</w:t>
      </w:r>
      <w:r w:rsidR="009D4C57" w:rsidRPr="00A54361">
        <w:rPr>
          <w:rFonts w:cstheme="minorHAnsi"/>
        </w:rPr>
        <w:t xml:space="preserve"> </w:t>
      </w:r>
      <w:r w:rsidR="004F1EDC" w:rsidRPr="00A54361">
        <w:rPr>
          <w:rFonts w:cstheme="minorHAnsi"/>
        </w:rPr>
        <w:t>Cyber Security</w:t>
      </w:r>
      <w:r w:rsidR="009D4C57" w:rsidRPr="00A54361">
        <w:rPr>
          <w:rFonts w:cstheme="minorHAnsi"/>
        </w:rPr>
        <w:t xml:space="preserve"> Solution</w:t>
      </w:r>
      <w:r w:rsidR="00917699" w:rsidRPr="00A54361">
        <w:rPr>
          <w:rFonts w:cstheme="minorHAnsi"/>
        </w:rPr>
        <w:t>s</w:t>
      </w:r>
      <w:r w:rsidR="009D4C57" w:rsidRPr="00A54361">
        <w:rPr>
          <w:rFonts w:cstheme="minorHAnsi"/>
        </w:rPr>
        <w:t xml:space="preserve"> </w:t>
      </w:r>
      <w:r w:rsidR="00917699" w:rsidRPr="00A54361">
        <w:rPr>
          <w:rFonts w:cstheme="minorHAnsi"/>
        </w:rPr>
        <w:t xml:space="preserve">and associated hardware </w:t>
      </w:r>
      <w:r w:rsidR="009D4C57" w:rsidRPr="00A54361">
        <w:rPr>
          <w:rFonts w:cstheme="minorHAnsi"/>
        </w:rPr>
        <w:t xml:space="preserve">for Bank’s Infrastructure for a period of </w:t>
      </w:r>
      <w:r w:rsidR="00E54F3F" w:rsidRPr="00A54361">
        <w:rPr>
          <w:rFonts w:cstheme="minorHAnsi"/>
        </w:rPr>
        <w:t>contract.</w:t>
      </w:r>
    </w:p>
    <w:p w14:paraId="7C7F3885" w14:textId="3BD1C10D" w:rsidR="0029735C" w:rsidRPr="00A54361" w:rsidRDefault="0029735C" w:rsidP="00A54361">
      <w:pPr>
        <w:pStyle w:val="ListParagraph"/>
        <w:numPr>
          <w:ilvl w:val="0"/>
          <w:numId w:val="54"/>
        </w:numPr>
        <w:jc w:val="both"/>
        <w:rPr>
          <w:rFonts w:cstheme="minorHAnsi"/>
        </w:rPr>
      </w:pPr>
      <w:r w:rsidRPr="00A54361">
        <w:t>The selected bidder should provide detailed solution document, project implementation/migration</w:t>
      </w:r>
      <w:r w:rsidR="00F44D0C" w:rsidRPr="00A54361">
        <w:t xml:space="preserve"> </w:t>
      </w:r>
      <w:r w:rsidRPr="00A54361">
        <w:t>plan, new architecture diagram (HLD and LLD) and provision for hosting the proposed solution</w:t>
      </w:r>
      <w:r w:rsidR="00721CB7" w:rsidRPr="00A54361">
        <w:t>.</w:t>
      </w:r>
      <w:r w:rsidRPr="00A54361">
        <w:rPr>
          <w:strike/>
        </w:rPr>
        <w:t xml:space="preserve"> </w:t>
      </w:r>
    </w:p>
    <w:p w14:paraId="4B55A250" w14:textId="0D425D0E" w:rsidR="00874EFA" w:rsidRPr="00A54361" w:rsidRDefault="009A0C2F" w:rsidP="00A54361">
      <w:pPr>
        <w:pStyle w:val="ListParagraph"/>
        <w:numPr>
          <w:ilvl w:val="0"/>
          <w:numId w:val="54"/>
        </w:numPr>
        <w:jc w:val="both"/>
        <w:rPr>
          <w:rFonts w:cstheme="minorHAnsi"/>
        </w:rPr>
      </w:pPr>
      <w:r w:rsidRPr="00A54361">
        <w:rPr>
          <w:rFonts w:cstheme="minorHAnsi"/>
        </w:rPr>
        <w:t>For the solutions in scope, the Bidder is required to propose appliance, Hardware or software or a combination of hardware and software to meet the individual requirements put forward by the Bank for the respective solutions. Bidder is required to Design, size, supply, install &amp; maintain the required security solutions for the period of contract.</w:t>
      </w:r>
    </w:p>
    <w:p w14:paraId="5600D643" w14:textId="7532BB56" w:rsidR="008F4392" w:rsidRPr="00A54361" w:rsidRDefault="008F4392" w:rsidP="00A54361">
      <w:pPr>
        <w:pStyle w:val="ListParagraph"/>
        <w:numPr>
          <w:ilvl w:val="0"/>
          <w:numId w:val="54"/>
        </w:numPr>
        <w:jc w:val="both"/>
        <w:rPr>
          <w:rFonts w:cstheme="minorHAnsi"/>
        </w:rPr>
      </w:pPr>
      <w:r w:rsidRPr="00A54361">
        <w:rPr>
          <w:rFonts w:cstheme="minorHAnsi"/>
        </w:rPr>
        <w:t xml:space="preserve">Bidder is required to Supply, Install/Implement, Configure and Maintain the following </w:t>
      </w:r>
      <w:r w:rsidR="006265F2" w:rsidRPr="00A54361">
        <w:rPr>
          <w:rFonts w:cstheme="minorHAnsi"/>
        </w:rPr>
        <w:t>C</w:t>
      </w:r>
      <w:r w:rsidRPr="00A54361">
        <w:rPr>
          <w:rFonts w:cstheme="minorHAnsi"/>
        </w:rPr>
        <w:t>yber Security Solutions</w:t>
      </w:r>
      <w:r w:rsidR="00194C1A" w:rsidRPr="00A54361">
        <w:rPr>
          <w:rFonts w:cstheme="minorHAnsi"/>
        </w:rPr>
        <w:t xml:space="preserve"> and associated hardware</w:t>
      </w:r>
      <w:r w:rsidRPr="00A54361">
        <w:rPr>
          <w:rFonts w:cstheme="minorHAnsi"/>
        </w:rPr>
        <w:t xml:space="preserve"> for the period of contract - </w:t>
      </w:r>
    </w:p>
    <w:p w14:paraId="6B60154F" w14:textId="77777777" w:rsidR="00855C99" w:rsidRPr="00A54361" w:rsidRDefault="00855C99" w:rsidP="00A54361">
      <w:pPr>
        <w:pStyle w:val="ListParagraph"/>
        <w:numPr>
          <w:ilvl w:val="0"/>
          <w:numId w:val="55"/>
        </w:numPr>
        <w:jc w:val="both"/>
        <w:rPr>
          <w:rFonts w:cstheme="minorHAnsi"/>
        </w:rPr>
      </w:pPr>
      <w:r w:rsidRPr="00A54361">
        <w:rPr>
          <w:rFonts w:cstheme="minorHAnsi"/>
        </w:rPr>
        <w:t>Data Discovery &amp; Classification</w:t>
      </w:r>
    </w:p>
    <w:p w14:paraId="601E6205" w14:textId="6EFDF58A" w:rsidR="00855C99" w:rsidRPr="00A54361" w:rsidRDefault="00967231" w:rsidP="00A54361">
      <w:pPr>
        <w:pStyle w:val="ListParagraph"/>
        <w:numPr>
          <w:ilvl w:val="0"/>
          <w:numId w:val="55"/>
        </w:numPr>
        <w:jc w:val="both"/>
        <w:rPr>
          <w:rFonts w:cstheme="minorHAnsi"/>
        </w:rPr>
      </w:pPr>
      <w:r w:rsidRPr="00A54361">
        <w:rPr>
          <w:rFonts w:cstheme="minorHAnsi"/>
        </w:rPr>
        <w:t>File Upload Security</w:t>
      </w:r>
    </w:p>
    <w:p w14:paraId="08A3506E" w14:textId="77777777" w:rsidR="00855C99" w:rsidRPr="00A54361" w:rsidRDefault="00855C99" w:rsidP="00A54361">
      <w:pPr>
        <w:pStyle w:val="ListParagraph"/>
        <w:numPr>
          <w:ilvl w:val="0"/>
          <w:numId w:val="55"/>
        </w:numPr>
        <w:jc w:val="both"/>
        <w:rPr>
          <w:rFonts w:cstheme="minorHAnsi"/>
        </w:rPr>
      </w:pPr>
      <w:r w:rsidRPr="00A54361">
        <w:rPr>
          <w:rFonts w:cstheme="minorHAnsi"/>
        </w:rPr>
        <w:t>Attack Surface Management (ASM)</w:t>
      </w:r>
    </w:p>
    <w:p w14:paraId="7C51540A" w14:textId="345FAF61" w:rsidR="00855C99" w:rsidRPr="00A54361" w:rsidRDefault="00855C99" w:rsidP="00A54361">
      <w:pPr>
        <w:pStyle w:val="ListParagraph"/>
        <w:numPr>
          <w:ilvl w:val="0"/>
          <w:numId w:val="55"/>
        </w:numPr>
        <w:jc w:val="both"/>
        <w:rPr>
          <w:rFonts w:cstheme="minorHAnsi"/>
        </w:rPr>
      </w:pPr>
      <w:r w:rsidRPr="00A54361">
        <w:rPr>
          <w:rFonts w:cstheme="minorHAnsi"/>
        </w:rPr>
        <w:t xml:space="preserve">Breach and Attack Simulation (BAS) along with Red </w:t>
      </w:r>
      <w:r w:rsidR="00827F14" w:rsidRPr="00A54361">
        <w:rPr>
          <w:rFonts w:cstheme="minorHAnsi"/>
        </w:rPr>
        <w:t>T</w:t>
      </w:r>
      <w:r w:rsidRPr="00A54361">
        <w:rPr>
          <w:rFonts w:cstheme="minorHAnsi"/>
        </w:rPr>
        <w:t xml:space="preserve">eam </w:t>
      </w:r>
      <w:r w:rsidR="008B4A52" w:rsidRPr="00A54361">
        <w:rPr>
          <w:rFonts w:cstheme="minorHAnsi"/>
        </w:rPr>
        <w:t>Solution</w:t>
      </w:r>
    </w:p>
    <w:p w14:paraId="5711F9CB" w14:textId="77777777" w:rsidR="00855C99" w:rsidRPr="00A54361" w:rsidRDefault="00855C99" w:rsidP="00A54361">
      <w:pPr>
        <w:pStyle w:val="ListParagraph"/>
        <w:numPr>
          <w:ilvl w:val="0"/>
          <w:numId w:val="55"/>
        </w:numPr>
        <w:jc w:val="both"/>
        <w:rPr>
          <w:rFonts w:cstheme="minorHAnsi"/>
        </w:rPr>
      </w:pPr>
      <w:r w:rsidRPr="00A54361">
        <w:rPr>
          <w:rFonts w:cstheme="minorHAnsi"/>
        </w:rPr>
        <w:t>Phishing Simulation</w:t>
      </w:r>
    </w:p>
    <w:p w14:paraId="67A8CBD1" w14:textId="77777777" w:rsidR="00855C99" w:rsidRPr="00A54361" w:rsidRDefault="00855C99" w:rsidP="00A54361">
      <w:pPr>
        <w:pStyle w:val="ListParagraph"/>
        <w:numPr>
          <w:ilvl w:val="0"/>
          <w:numId w:val="55"/>
        </w:numPr>
        <w:jc w:val="both"/>
        <w:rPr>
          <w:rFonts w:cstheme="minorHAnsi"/>
        </w:rPr>
      </w:pPr>
      <w:r w:rsidRPr="00A54361">
        <w:rPr>
          <w:rFonts w:cstheme="minorHAnsi"/>
        </w:rPr>
        <w:t>AD Security</w:t>
      </w:r>
    </w:p>
    <w:p w14:paraId="51A0006B" w14:textId="7466B8C5" w:rsidR="00855C99" w:rsidRPr="00A54361" w:rsidRDefault="002627C6" w:rsidP="00A54361">
      <w:pPr>
        <w:pStyle w:val="ListParagraph"/>
        <w:numPr>
          <w:ilvl w:val="0"/>
          <w:numId w:val="55"/>
        </w:numPr>
        <w:jc w:val="both"/>
        <w:rPr>
          <w:rFonts w:cstheme="minorHAnsi"/>
        </w:rPr>
      </w:pPr>
      <w:r w:rsidRPr="00A54361">
        <w:rPr>
          <w:rFonts w:cstheme="minorHAnsi"/>
        </w:rPr>
        <w:t xml:space="preserve">IT </w:t>
      </w:r>
      <w:r w:rsidR="00855C99" w:rsidRPr="00A54361">
        <w:rPr>
          <w:rFonts w:cstheme="minorHAnsi"/>
        </w:rPr>
        <w:t>Governance, Risk &amp; Compliance</w:t>
      </w:r>
    </w:p>
    <w:p w14:paraId="023CED81" w14:textId="77777777" w:rsidR="00855C99" w:rsidRPr="00A54361" w:rsidRDefault="00855C99" w:rsidP="00A54361">
      <w:pPr>
        <w:pStyle w:val="ListParagraph"/>
        <w:numPr>
          <w:ilvl w:val="0"/>
          <w:numId w:val="55"/>
        </w:numPr>
        <w:jc w:val="both"/>
        <w:rPr>
          <w:rFonts w:cstheme="minorHAnsi"/>
        </w:rPr>
      </w:pPr>
      <w:r w:rsidRPr="00A54361">
        <w:rPr>
          <w:rFonts w:cstheme="minorHAnsi"/>
        </w:rPr>
        <w:t>Decoy (Honeypot)</w:t>
      </w:r>
    </w:p>
    <w:p w14:paraId="76701F2A" w14:textId="77777777" w:rsidR="00855C99" w:rsidRPr="00A54361" w:rsidRDefault="00855C99" w:rsidP="00A54361">
      <w:pPr>
        <w:pStyle w:val="ListParagraph"/>
        <w:numPr>
          <w:ilvl w:val="0"/>
          <w:numId w:val="55"/>
        </w:numPr>
        <w:jc w:val="both"/>
        <w:rPr>
          <w:rFonts w:cstheme="minorHAnsi"/>
        </w:rPr>
      </w:pPr>
      <w:r w:rsidRPr="00A54361">
        <w:rPr>
          <w:rFonts w:cstheme="minorHAnsi"/>
        </w:rPr>
        <w:t>Mobile Device Management</w:t>
      </w:r>
    </w:p>
    <w:p w14:paraId="4C84267A" w14:textId="77240472" w:rsidR="001909CA" w:rsidRPr="00A54361" w:rsidRDefault="00855C99" w:rsidP="00A54361">
      <w:pPr>
        <w:pStyle w:val="ListParagraph"/>
        <w:numPr>
          <w:ilvl w:val="0"/>
          <w:numId w:val="55"/>
        </w:numPr>
        <w:jc w:val="both"/>
        <w:rPr>
          <w:rFonts w:cstheme="minorHAnsi"/>
        </w:rPr>
      </w:pPr>
      <w:r w:rsidRPr="00A54361">
        <w:rPr>
          <w:rFonts w:cstheme="minorHAnsi"/>
        </w:rPr>
        <w:t>Secure Data Backup and Recovery</w:t>
      </w:r>
      <w:r w:rsidR="00827F14" w:rsidRPr="00A54361">
        <w:rPr>
          <w:rFonts w:cstheme="minorHAnsi"/>
        </w:rPr>
        <w:t xml:space="preserve"> (Ransomware Protection)</w:t>
      </w:r>
    </w:p>
    <w:p w14:paraId="6E233F31" w14:textId="331F50BD" w:rsidR="004508E9" w:rsidRPr="00A54361" w:rsidRDefault="004508E9" w:rsidP="00A54361">
      <w:pPr>
        <w:pStyle w:val="ListParagraph"/>
        <w:numPr>
          <w:ilvl w:val="0"/>
          <w:numId w:val="55"/>
        </w:numPr>
        <w:jc w:val="both"/>
        <w:rPr>
          <w:rFonts w:cstheme="minorHAnsi"/>
        </w:rPr>
      </w:pPr>
      <w:r w:rsidRPr="00A54361">
        <w:rPr>
          <w:rFonts w:cstheme="minorHAnsi"/>
        </w:rPr>
        <w:t>Network Access Control (NAC)</w:t>
      </w:r>
    </w:p>
    <w:p w14:paraId="7333720C" w14:textId="77777777" w:rsidR="00E94A45" w:rsidRPr="00A54361" w:rsidRDefault="00E94A45" w:rsidP="00A54361">
      <w:pPr>
        <w:pStyle w:val="ListParagraph"/>
        <w:widowControl w:val="0"/>
        <w:numPr>
          <w:ilvl w:val="0"/>
          <w:numId w:val="49"/>
        </w:numPr>
        <w:autoSpaceDE w:val="0"/>
        <w:autoSpaceDN w:val="0"/>
        <w:spacing w:after="0" w:line="240" w:lineRule="auto"/>
        <w:contextualSpacing w:val="0"/>
        <w:jc w:val="both"/>
        <w:rPr>
          <w:rStyle w:val="Strong"/>
          <w:rFonts w:eastAsia="Times New Roman" w:cstheme="minorHAnsi"/>
          <w:vanish/>
          <w:lang w:val="en-US"/>
        </w:rPr>
      </w:pPr>
      <w:bookmarkStart w:id="12" w:name="_Toc129668470"/>
      <w:bookmarkStart w:id="13" w:name="_Toc516481188"/>
    </w:p>
    <w:p w14:paraId="1B9BA39E" w14:textId="77777777" w:rsidR="00E94A45" w:rsidRPr="00A54361" w:rsidRDefault="00E94A45" w:rsidP="00A54361">
      <w:pPr>
        <w:pStyle w:val="ListParagraph"/>
        <w:widowControl w:val="0"/>
        <w:numPr>
          <w:ilvl w:val="0"/>
          <w:numId w:val="49"/>
        </w:numPr>
        <w:autoSpaceDE w:val="0"/>
        <w:autoSpaceDN w:val="0"/>
        <w:spacing w:after="0" w:line="240" w:lineRule="auto"/>
        <w:contextualSpacing w:val="0"/>
        <w:jc w:val="both"/>
        <w:rPr>
          <w:rStyle w:val="Strong"/>
          <w:rFonts w:eastAsia="Times New Roman" w:cstheme="minorHAnsi"/>
          <w:vanish/>
          <w:lang w:val="en-US"/>
        </w:rPr>
      </w:pPr>
    </w:p>
    <w:p w14:paraId="115FC4D5" w14:textId="77777777" w:rsidR="00E94A45" w:rsidRPr="00A54361" w:rsidRDefault="00E94A45" w:rsidP="00A54361">
      <w:pPr>
        <w:pStyle w:val="ListParagraph"/>
        <w:widowControl w:val="0"/>
        <w:numPr>
          <w:ilvl w:val="1"/>
          <w:numId w:val="49"/>
        </w:numPr>
        <w:autoSpaceDE w:val="0"/>
        <w:autoSpaceDN w:val="0"/>
        <w:spacing w:after="0" w:line="240" w:lineRule="auto"/>
        <w:contextualSpacing w:val="0"/>
        <w:jc w:val="both"/>
        <w:rPr>
          <w:rStyle w:val="Strong"/>
          <w:rFonts w:eastAsia="Times New Roman" w:cstheme="minorHAnsi"/>
          <w:vanish/>
          <w:lang w:val="en-US"/>
        </w:rPr>
      </w:pPr>
    </w:p>
    <w:p w14:paraId="3367974C" w14:textId="77777777" w:rsidR="00861FBD" w:rsidRPr="00A54361" w:rsidRDefault="00861FBD" w:rsidP="00A54361">
      <w:pPr>
        <w:pStyle w:val="TableParagraph"/>
        <w:ind w:left="720"/>
        <w:jc w:val="both"/>
        <w:rPr>
          <w:rStyle w:val="Strong"/>
          <w:rFonts w:asciiTheme="minorHAnsi" w:hAnsiTheme="minorHAnsi" w:cstheme="minorHAnsi"/>
        </w:rPr>
      </w:pPr>
    </w:p>
    <w:p w14:paraId="1657F856" w14:textId="6798BD39" w:rsidR="002D05E3" w:rsidRPr="00A54361" w:rsidRDefault="002D05E3" w:rsidP="00A54361">
      <w:pPr>
        <w:pStyle w:val="ListParagraph"/>
        <w:numPr>
          <w:ilvl w:val="0"/>
          <w:numId w:val="54"/>
        </w:numPr>
        <w:jc w:val="both"/>
      </w:pPr>
      <w:r w:rsidRPr="00A54361">
        <w:t>In case of refresh items</w:t>
      </w:r>
      <w:r w:rsidR="005C3AB8" w:rsidRPr="00A54361">
        <w:t>,</w:t>
      </w:r>
      <w:r w:rsidRPr="00A54361">
        <w:t xml:space="preserve"> </w:t>
      </w:r>
      <w:r w:rsidR="00E66D66" w:rsidRPr="00A54361">
        <w:t xml:space="preserve">that are </w:t>
      </w:r>
      <w:r w:rsidRPr="00A54361">
        <w:t>part of the b</w:t>
      </w:r>
      <w:r w:rsidR="00542400" w:rsidRPr="00A54361">
        <w:t>ill of material,</w:t>
      </w:r>
      <w:r w:rsidR="005C3AB8" w:rsidRPr="00A54361">
        <w:t xml:space="preserve"> wherein the bidder is proposing new solutions </w:t>
      </w:r>
      <w:r w:rsidR="00E8658C" w:rsidRPr="00A54361">
        <w:t>for the existing solutions implemented at Bank,</w:t>
      </w:r>
      <w:r w:rsidR="00542400" w:rsidRPr="00A54361">
        <w:t xml:space="preserve"> the bidder is require</w:t>
      </w:r>
      <w:r w:rsidR="00E66D66" w:rsidRPr="00A54361">
        <w:t>d</w:t>
      </w:r>
      <w:r w:rsidR="00542400" w:rsidRPr="00A54361">
        <w:t xml:space="preserve"> to</w:t>
      </w:r>
      <w:r w:rsidR="002C69FC" w:rsidRPr="00A54361">
        <w:t xml:space="preserve"> perform complete migration</w:t>
      </w:r>
      <w:r w:rsidR="00542400" w:rsidRPr="00A54361">
        <w:t xml:space="preserve"> </w:t>
      </w:r>
      <w:r w:rsidR="002C69FC" w:rsidRPr="00A54361">
        <w:t xml:space="preserve">of </w:t>
      </w:r>
      <w:r w:rsidR="00542400" w:rsidRPr="00A54361">
        <w:t xml:space="preserve">all </w:t>
      </w:r>
      <w:r w:rsidR="00E66D66" w:rsidRPr="00A54361">
        <w:t xml:space="preserve">the </w:t>
      </w:r>
      <w:r w:rsidR="00542400" w:rsidRPr="00A54361">
        <w:t xml:space="preserve">data from the existing solution to the new </w:t>
      </w:r>
      <w:r w:rsidR="002C69FC" w:rsidRPr="00A54361">
        <w:t>s</w:t>
      </w:r>
      <w:r w:rsidR="00E66D66" w:rsidRPr="00A54361">
        <w:t>olution.</w:t>
      </w:r>
    </w:p>
    <w:p w14:paraId="5DE54934" w14:textId="14A8C1AC" w:rsidR="00A1015B" w:rsidRPr="00A54361" w:rsidRDefault="008E1029" w:rsidP="00A54361">
      <w:pPr>
        <w:pStyle w:val="ListParagraph"/>
        <w:numPr>
          <w:ilvl w:val="0"/>
          <w:numId w:val="54"/>
        </w:numPr>
        <w:jc w:val="both"/>
      </w:pPr>
      <w:r w:rsidRPr="00A54361">
        <w:t xml:space="preserve">Bidder is required to </w:t>
      </w:r>
      <w:r w:rsidR="00067EE1" w:rsidRPr="00A54361">
        <w:t xml:space="preserve">refer to tab “Solutions Sizing” </w:t>
      </w:r>
      <w:r w:rsidR="00A1015B" w:rsidRPr="00A54361">
        <w:t xml:space="preserve">in Annexure </w:t>
      </w:r>
      <w:r w:rsidR="00F93B33" w:rsidRPr="00A54361">
        <w:t>2</w:t>
      </w:r>
      <w:r w:rsidR="00A1015B" w:rsidRPr="00A54361">
        <w:t xml:space="preserve"> – Minimum Technical Specifications</w:t>
      </w:r>
      <w:r w:rsidR="00E14F49" w:rsidRPr="00A54361">
        <w:t xml:space="preserve"> for </w:t>
      </w:r>
      <w:r w:rsidR="00711F01" w:rsidRPr="00A54361">
        <w:t>guidelines</w:t>
      </w:r>
      <w:r w:rsidR="00E14F49" w:rsidRPr="00A54361">
        <w:t xml:space="preserve"> for sizing and licensing of the above solution</w:t>
      </w:r>
      <w:r w:rsidR="008A6A21" w:rsidRPr="00A54361">
        <w:t>s</w:t>
      </w:r>
      <w:r w:rsidR="002133B8" w:rsidRPr="00A54361">
        <w:t>.</w:t>
      </w:r>
    </w:p>
    <w:p w14:paraId="5680EBF2" w14:textId="77777777" w:rsidR="002D05E3" w:rsidRPr="00A54361" w:rsidRDefault="002D05E3" w:rsidP="00A54361">
      <w:pPr>
        <w:pStyle w:val="TableParagraph"/>
        <w:ind w:left="720"/>
        <w:jc w:val="both"/>
        <w:rPr>
          <w:rStyle w:val="Strong"/>
          <w:rFonts w:asciiTheme="minorHAnsi" w:hAnsiTheme="minorHAnsi" w:cstheme="minorHAnsi"/>
        </w:rPr>
      </w:pPr>
    </w:p>
    <w:p w14:paraId="3B1F6C2B" w14:textId="3877ADDD" w:rsidR="008338B7" w:rsidRPr="00A54361" w:rsidRDefault="00C110B6" w:rsidP="00A54361">
      <w:pPr>
        <w:pStyle w:val="Heading3"/>
        <w:jc w:val="both"/>
        <w:rPr>
          <w:rStyle w:val="Strong"/>
          <w:b/>
          <w:bCs w:val="0"/>
          <w:color w:val="auto"/>
        </w:rPr>
      </w:pPr>
      <w:bookmarkStart w:id="14" w:name="_Toc182233334"/>
      <w:bookmarkEnd w:id="12"/>
      <w:r w:rsidRPr="00A54361">
        <w:rPr>
          <w:rStyle w:val="Strong"/>
          <w:b/>
          <w:bCs w:val="0"/>
          <w:color w:val="auto"/>
        </w:rPr>
        <w:lastRenderedPageBreak/>
        <w:t xml:space="preserve">Data </w:t>
      </w:r>
      <w:r w:rsidR="00C46F44" w:rsidRPr="00A54361">
        <w:rPr>
          <w:rStyle w:val="Strong"/>
          <w:b/>
          <w:bCs w:val="0"/>
          <w:color w:val="auto"/>
        </w:rPr>
        <w:t xml:space="preserve">Discovery &amp; </w:t>
      </w:r>
      <w:r w:rsidRPr="00A54361">
        <w:rPr>
          <w:rStyle w:val="Strong"/>
          <w:b/>
          <w:bCs w:val="0"/>
          <w:color w:val="auto"/>
        </w:rPr>
        <w:t>Classification</w:t>
      </w:r>
      <w:bookmarkEnd w:id="14"/>
    </w:p>
    <w:bookmarkEnd w:id="13"/>
    <w:p w14:paraId="790593B9" w14:textId="16EEB884" w:rsidR="00937129" w:rsidRPr="00A54361" w:rsidRDefault="00937129" w:rsidP="00A54361">
      <w:pPr>
        <w:pStyle w:val="ListParagraph"/>
        <w:numPr>
          <w:ilvl w:val="0"/>
          <w:numId w:val="54"/>
        </w:numPr>
        <w:jc w:val="both"/>
        <w:rPr>
          <w:rFonts w:eastAsia="Arial" w:cstheme="minorHAnsi"/>
          <w:spacing w:val="-1"/>
        </w:rPr>
      </w:pPr>
      <w:r w:rsidRPr="00A54361">
        <w:rPr>
          <w:rFonts w:eastAsia="Arial" w:cstheme="minorHAnsi"/>
          <w:spacing w:val="-1"/>
        </w:rPr>
        <w:t xml:space="preserve">The bidder is required to </w:t>
      </w:r>
      <w:r w:rsidR="00C83705" w:rsidRPr="00A54361">
        <w:rPr>
          <w:rFonts w:eastAsia="Arial" w:cstheme="minorHAnsi"/>
          <w:spacing w:val="-1"/>
        </w:rPr>
        <w:t>Supply</w:t>
      </w:r>
      <w:r w:rsidRPr="00A54361">
        <w:rPr>
          <w:rFonts w:eastAsia="Arial" w:cstheme="minorHAnsi"/>
          <w:spacing w:val="-1"/>
        </w:rPr>
        <w:t>,</w:t>
      </w:r>
      <w:r w:rsidR="00C83705" w:rsidRPr="00A54361">
        <w:rPr>
          <w:rFonts w:eastAsia="Arial" w:cstheme="minorHAnsi"/>
          <w:spacing w:val="-1"/>
        </w:rPr>
        <w:t xml:space="preserve"> install and Maintain</w:t>
      </w:r>
      <w:r w:rsidRPr="00A54361">
        <w:rPr>
          <w:rFonts w:eastAsia="Arial" w:cstheme="minorHAnsi"/>
          <w:spacing w:val="-1"/>
        </w:rPr>
        <w:t xml:space="preserve"> Data Discovery &amp; Classification solution</w:t>
      </w:r>
      <w:r w:rsidR="00903830" w:rsidRPr="00A54361">
        <w:rPr>
          <w:rFonts w:eastAsia="Arial" w:cstheme="minorHAnsi"/>
          <w:spacing w:val="-1"/>
        </w:rPr>
        <w:t xml:space="preserve">s </w:t>
      </w:r>
      <w:r w:rsidR="009675BE" w:rsidRPr="00A54361">
        <w:rPr>
          <w:rFonts w:eastAsia="Arial" w:cstheme="minorHAnsi"/>
          <w:spacing w:val="-1"/>
        </w:rPr>
        <w:t>at Bank</w:t>
      </w:r>
      <w:r w:rsidR="00FD1E70" w:rsidRPr="00A54361">
        <w:rPr>
          <w:rFonts w:eastAsia="Arial" w:cstheme="minorHAnsi"/>
          <w:spacing w:val="-1"/>
        </w:rPr>
        <w:t xml:space="preserve"> </w:t>
      </w:r>
      <w:r w:rsidR="00903830" w:rsidRPr="00A54361">
        <w:rPr>
          <w:rFonts w:eastAsia="Arial" w:cstheme="minorHAnsi"/>
          <w:spacing w:val="-1"/>
        </w:rPr>
        <w:t>for the period of contract.</w:t>
      </w:r>
      <w:r w:rsidR="00FD1E70" w:rsidRPr="00A54361">
        <w:rPr>
          <w:rFonts w:eastAsia="Arial" w:cstheme="minorHAnsi"/>
          <w:spacing w:val="-1"/>
        </w:rPr>
        <w:t xml:space="preserve"> The proposed solution is required to meet the technical speci</w:t>
      </w:r>
      <w:r w:rsidR="00BB498F" w:rsidRPr="00A54361">
        <w:rPr>
          <w:rFonts w:eastAsia="Arial" w:cstheme="minorHAnsi"/>
          <w:spacing w:val="-1"/>
        </w:rPr>
        <w:t xml:space="preserve">fications and bill of material s given in Annexure </w:t>
      </w:r>
      <w:r w:rsidR="00F93B33" w:rsidRPr="00A54361">
        <w:rPr>
          <w:rFonts w:eastAsia="Arial" w:cstheme="minorHAnsi"/>
          <w:spacing w:val="-1"/>
        </w:rPr>
        <w:t>2</w:t>
      </w:r>
      <w:r w:rsidR="00BB498F" w:rsidRPr="00A54361">
        <w:rPr>
          <w:rFonts w:eastAsia="Arial" w:cstheme="minorHAnsi"/>
          <w:spacing w:val="-1"/>
        </w:rPr>
        <w:t xml:space="preserve"> </w:t>
      </w:r>
      <w:r w:rsidR="00F93B33" w:rsidRPr="00A54361">
        <w:rPr>
          <w:rFonts w:eastAsia="Arial" w:cstheme="minorHAnsi"/>
          <w:spacing w:val="-1"/>
        </w:rPr>
        <w:t xml:space="preserve">- </w:t>
      </w:r>
      <w:r w:rsidR="00BB498F" w:rsidRPr="00A54361">
        <w:rPr>
          <w:rFonts w:eastAsia="Arial" w:cstheme="minorHAnsi"/>
          <w:spacing w:val="-1"/>
        </w:rPr>
        <w:t xml:space="preserve">Minimum Technical Specifications and </w:t>
      </w:r>
      <w:r w:rsidR="00B87BB2" w:rsidRPr="00A54361">
        <w:rPr>
          <w:rFonts w:eastAsia="Arial" w:cstheme="minorHAnsi"/>
          <w:spacing w:val="-1"/>
        </w:rPr>
        <w:t xml:space="preserve">Annexure </w:t>
      </w:r>
      <w:r w:rsidR="00F93B33" w:rsidRPr="00A54361">
        <w:rPr>
          <w:rFonts w:eastAsia="Arial" w:cstheme="minorHAnsi"/>
          <w:spacing w:val="-1"/>
        </w:rPr>
        <w:t>1 - B</w:t>
      </w:r>
      <w:r w:rsidR="00B87BB2" w:rsidRPr="00A54361">
        <w:rPr>
          <w:rFonts w:eastAsia="Arial" w:cstheme="minorHAnsi"/>
          <w:spacing w:val="-1"/>
        </w:rPr>
        <w:t>ill of Material</w:t>
      </w:r>
      <w:r w:rsidR="00AC1004" w:rsidRPr="00A54361">
        <w:rPr>
          <w:rFonts w:eastAsia="Arial" w:cstheme="minorHAnsi"/>
          <w:spacing w:val="-1"/>
        </w:rPr>
        <w:t>.</w:t>
      </w:r>
      <w:r w:rsidR="00BB498F" w:rsidRPr="00A54361">
        <w:rPr>
          <w:rFonts w:eastAsia="Arial" w:cstheme="minorHAnsi"/>
          <w:spacing w:val="-1"/>
        </w:rPr>
        <w:t xml:space="preserve">  </w:t>
      </w:r>
    </w:p>
    <w:p w14:paraId="42B39521" w14:textId="0FBCC29D" w:rsidR="009912CE" w:rsidRPr="00A54361" w:rsidRDefault="009912CE" w:rsidP="00A54361">
      <w:pPr>
        <w:pStyle w:val="ListParagraph"/>
        <w:numPr>
          <w:ilvl w:val="0"/>
          <w:numId w:val="54"/>
        </w:numPr>
        <w:jc w:val="both"/>
        <w:rPr>
          <w:rFonts w:eastAsia="Arial" w:cstheme="minorHAnsi"/>
          <w:spacing w:val="-1"/>
        </w:rPr>
      </w:pPr>
      <w:r w:rsidRPr="00A54361">
        <w:rPr>
          <w:rFonts w:eastAsia="Arial" w:cstheme="minorHAnsi"/>
          <w:spacing w:val="-1"/>
        </w:rPr>
        <w:t xml:space="preserve">The </w:t>
      </w:r>
      <w:r w:rsidR="00597EEB" w:rsidRPr="00A54361">
        <w:rPr>
          <w:rFonts w:eastAsia="Arial" w:cstheme="minorHAnsi"/>
          <w:spacing w:val="-1"/>
        </w:rPr>
        <w:t xml:space="preserve">proposed </w:t>
      </w:r>
      <w:r w:rsidRPr="00A54361">
        <w:rPr>
          <w:rFonts w:eastAsia="Arial" w:cstheme="minorHAnsi"/>
          <w:spacing w:val="-1"/>
        </w:rPr>
        <w:t xml:space="preserve">data discovery and </w:t>
      </w:r>
      <w:r w:rsidR="00597EEB" w:rsidRPr="00A54361">
        <w:rPr>
          <w:rFonts w:eastAsia="Arial" w:cstheme="minorHAnsi"/>
          <w:spacing w:val="-1"/>
        </w:rPr>
        <w:t xml:space="preserve">classification solution should be tightly </w:t>
      </w:r>
      <w:r w:rsidR="00784812" w:rsidRPr="00A54361">
        <w:rPr>
          <w:rFonts w:eastAsia="Arial" w:cstheme="minorHAnsi"/>
          <w:spacing w:val="-1"/>
        </w:rPr>
        <w:t>integrated with the existing DLP Solution.</w:t>
      </w:r>
      <w:r w:rsidRPr="00A54361">
        <w:rPr>
          <w:rFonts w:eastAsia="Arial" w:cstheme="minorHAnsi"/>
          <w:spacing w:val="-1"/>
        </w:rPr>
        <w:t xml:space="preserve"> </w:t>
      </w:r>
    </w:p>
    <w:p w14:paraId="383DA4D0" w14:textId="56862C1F" w:rsidR="006E6F69" w:rsidRPr="00A54361" w:rsidRDefault="000F7D35" w:rsidP="00A54361">
      <w:pPr>
        <w:pStyle w:val="ListParagraph"/>
        <w:numPr>
          <w:ilvl w:val="0"/>
          <w:numId w:val="54"/>
        </w:numPr>
        <w:jc w:val="both"/>
        <w:rPr>
          <w:rFonts w:eastAsia="Arial" w:cstheme="minorHAnsi"/>
          <w:spacing w:val="-1"/>
        </w:rPr>
      </w:pPr>
      <w:r w:rsidRPr="00A54361">
        <w:rPr>
          <w:rFonts w:eastAsia="Arial" w:cstheme="minorHAnsi"/>
          <w:spacing w:val="-1"/>
        </w:rPr>
        <w:t xml:space="preserve"> </w:t>
      </w:r>
      <w:r w:rsidR="00DB2398" w:rsidRPr="00A54361">
        <w:t xml:space="preserve">Solution should improve Data Loss Prevention Accuracy and should offer seamless integration with </w:t>
      </w:r>
      <w:r w:rsidR="003E1FB6" w:rsidRPr="00A54361">
        <w:t>existing</w:t>
      </w:r>
      <w:r w:rsidR="00DB2398" w:rsidRPr="00A54361">
        <w:t xml:space="preserve"> DLP Solution. DLP solution should leverage the use of this tool</w:t>
      </w:r>
      <w:r w:rsidR="00AB4DF7" w:rsidRPr="00A54361">
        <w:t>.</w:t>
      </w:r>
    </w:p>
    <w:p w14:paraId="32B82991" w14:textId="358020B5" w:rsidR="00DB2398" w:rsidRPr="00A54361" w:rsidRDefault="002A621E" w:rsidP="00A54361">
      <w:pPr>
        <w:pStyle w:val="ListParagraph"/>
        <w:numPr>
          <w:ilvl w:val="0"/>
          <w:numId w:val="54"/>
        </w:numPr>
        <w:jc w:val="both"/>
        <w:rPr>
          <w:rFonts w:eastAsia="Arial" w:cstheme="minorHAnsi"/>
          <w:spacing w:val="-1"/>
        </w:rPr>
      </w:pPr>
      <w:r w:rsidRPr="00A54361">
        <w:t>Solution should provide visibility of critical data in the Bank</w:t>
      </w:r>
      <w:r w:rsidR="003B638C" w:rsidRPr="00A54361">
        <w:t>.</w:t>
      </w:r>
    </w:p>
    <w:p w14:paraId="7224DFE8" w14:textId="5C2CF7BE" w:rsidR="002A621E" w:rsidRPr="00A54361" w:rsidRDefault="002A621E" w:rsidP="00A54361">
      <w:pPr>
        <w:pStyle w:val="ListParagraph"/>
        <w:numPr>
          <w:ilvl w:val="0"/>
          <w:numId w:val="54"/>
        </w:numPr>
        <w:jc w:val="both"/>
        <w:rPr>
          <w:rFonts w:eastAsia="Arial" w:cstheme="minorHAnsi"/>
          <w:spacing w:val="-1"/>
        </w:rPr>
      </w:pPr>
      <w:r w:rsidRPr="00A54361">
        <w:t>Solution should raise security awareness among end users and educate them on data handling.</w:t>
      </w:r>
    </w:p>
    <w:p w14:paraId="7C7469A4" w14:textId="2FEFB869" w:rsidR="00994824" w:rsidRPr="00A54361" w:rsidRDefault="00994824" w:rsidP="00A54361">
      <w:pPr>
        <w:pStyle w:val="ListParagraph"/>
        <w:numPr>
          <w:ilvl w:val="0"/>
          <w:numId w:val="54"/>
        </w:numPr>
        <w:jc w:val="both"/>
        <w:rPr>
          <w:rFonts w:eastAsia="Arial" w:cstheme="minorHAnsi"/>
          <w:spacing w:val="-1"/>
        </w:rPr>
      </w:pPr>
      <w:r w:rsidRPr="00A54361">
        <w:t>Proposed Solution should enable to establish a policy-driven foundation that helps to identify and classify sensitive data at creation, in motion, or at rest and apply the right security policy to protect it. Solution should work with email and office applications as a part of user's day-to-day workflow for identification and classification of mails and documents.</w:t>
      </w:r>
    </w:p>
    <w:p w14:paraId="0261D11C" w14:textId="704E1A58" w:rsidR="00994824" w:rsidRPr="00A54361" w:rsidRDefault="00EF6B9F" w:rsidP="00A54361">
      <w:pPr>
        <w:pStyle w:val="ListParagraph"/>
        <w:numPr>
          <w:ilvl w:val="0"/>
          <w:numId w:val="54"/>
        </w:numPr>
        <w:jc w:val="both"/>
        <w:rPr>
          <w:rFonts w:eastAsia="Arial" w:cstheme="minorHAnsi"/>
          <w:spacing w:val="-1"/>
        </w:rPr>
      </w:pPr>
      <w:r w:rsidRPr="00A54361">
        <w:t>Policy engine of proposed solution should provide granular options to build policies based on various conditions like AD user, department, file content, file attributes, recipients, location, printer, etc., and these policies shall be triggered based on different Events like creating a new file, opening an existing file or emailing a document, etc.</w:t>
      </w:r>
    </w:p>
    <w:p w14:paraId="670139E2" w14:textId="2BCE8084" w:rsidR="00EF6B9F" w:rsidRPr="00A54361" w:rsidRDefault="00EF6B9F" w:rsidP="00A54361">
      <w:pPr>
        <w:pStyle w:val="ListParagraph"/>
        <w:numPr>
          <w:ilvl w:val="0"/>
          <w:numId w:val="54"/>
        </w:numPr>
        <w:jc w:val="both"/>
        <w:rPr>
          <w:rFonts w:eastAsia="Arial" w:cstheme="minorHAnsi"/>
          <w:spacing w:val="-1"/>
        </w:rPr>
      </w:pPr>
      <w:r w:rsidRPr="00A54361">
        <w:t>Solution should classify other file/file types on Windows OS and the functionality is part of the same endpoint agent. For all other files, Solution must classify the file based on file attributes (file location, file size, file name or based on logged in user etc.)</w:t>
      </w:r>
    </w:p>
    <w:p w14:paraId="447B85DD" w14:textId="5E6BEC33" w:rsidR="00EF6B9F" w:rsidRPr="00A54361" w:rsidRDefault="00EF6B9F" w:rsidP="00A54361">
      <w:pPr>
        <w:pStyle w:val="ListParagraph"/>
        <w:numPr>
          <w:ilvl w:val="0"/>
          <w:numId w:val="54"/>
        </w:numPr>
        <w:jc w:val="both"/>
        <w:rPr>
          <w:rFonts w:eastAsia="Arial" w:cstheme="minorHAnsi"/>
          <w:spacing w:val="-1"/>
        </w:rPr>
      </w:pPr>
      <w:r w:rsidRPr="00A54361">
        <w:t>Solution should provide a breadth of tools that enable customers to detect sensitive data with Regex, Smart Regex, Categorization using Machine Learning (ML) and natural language processing capabilities do detect PCI, PII, etc., The solution should also be configured to detect specific keywords that may be critical for the Bank.</w:t>
      </w:r>
    </w:p>
    <w:p w14:paraId="5AA870AD" w14:textId="11CCD0DD" w:rsidR="00EF6B9F" w:rsidRPr="00A54361" w:rsidRDefault="00EF6B9F" w:rsidP="00A54361">
      <w:pPr>
        <w:pStyle w:val="ListParagraph"/>
        <w:numPr>
          <w:ilvl w:val="0"/>
          <w:numId w:val="54"/>
        </w:numPr>
        <w:jc w:val="both"/>
        <w:rPr>
          <w:rFonts w:eastAsia="Arial" w:cstheme="minorHAnsi"/>
          <w:spacing w:val="-1"/>
        </w:rPr>
      </w:pPr>
      <w:r w:rsidRPr="00A54361">
        <w:t>Solution must capture time sensitivity of a document. Example - Financial statement needs to be classified confidential until public release on 1st April and post that it should be classified as public.</w:t>
      </w:r>
    </w:p>
    <w:p w14:paraId="079085D7" w14:textId="73357EEB" w:rsidR="00EF6B9F" w:rsidRPr="00A54361" w:rsidRDefault="00EF6B9F" w:rsidP="00A54361">
      <w:pPr>
        <w:pStyle w:val="ListParagraph"/>
        <w:numPr>
          <w:ilvl w:val="0"/>
          <w:numId w:val="54"/>
        </w:numPr>
        <w:jc w:val="both"/>
        <w:rPr>
          <w:rFonts w:eastAsia="Arial" w:cstheme="minorHAnsi"/>
          <w:spacing w:val="-1"/>
        </w:rPr>
      </w:pPr>
      <w:r w:rsidRPr="00A54361">
        <w:t>The Bidder shall involve their resources in Data Collection, Policy/Rule Creation/Fine-Tuning, Policy/Rule Enforcement and Incident Management Support.</w:t>
      </w:r>
    </w:p>
    <w:p w14:paraId="2B749F86" w14:textId="231DA38E" w:rsidR="0098260F" w:rsidRPr="00A54361" w:rsidRDefault="0098260F" w:rsidP="00A54361">
      <w:pPr>
        <w:pStyle w:val="ListParagraph"/>
        <w:numPr>
          <w:ilvl w:val="0"/>
          <w:numId w:val="54"/>
        </w:numPr>
        <w:jc w:val="both"/>
        <w:rPr>
          <w:rFonts w:eastAsia="Arial" w:cstheme="minorHAnsi"/>
          <w:spacing w:val="-1"/>
        </w:rPr>
      </w:pPr>
      <w:r w:rsidRPr="00A54361">
        <w:t>The tool shall be capable to perform the data classification as per Bank’s data classification policy</w:t>
      </w:r>
    </w:p>
    <w:p w14:paraId="3674085E" w14:textId="77777777" w:rsidR="00A70BC1" w:rsidRPr="00A54361" w:rsidRDefault="00EF6B9F" w:rsidP="00A54361">
      <w:pPr>
        <w:pStyle w:val="ListParagraph"/>
        <w:numPr>
          <w:ilvl w:val="0"/>
          <w:numId w:val="54"/>
        </w:numPr>
        <w:jc w:val="both"/>
        <w:rPr>
          <w:rFonts w:eastAsia="Arial" w:cstheme="minorHAnsi"/>
          <w:spacing w:val="-1"/>
        </w:rPr>
      </w:pPr>
      <w:r w:rsidRPr="00A54361">
        <w:t>Bidder shall conduct awareness programs among end users as and when Bank requires.</w:t>
      </w:r>
    </w:p>
    <w:p w14:paraId="14BAC46C" w14:textId="3B82096C" w:rsidR="00577F66" w:rsidRPr="00A54361" w:rsidRDefault="00711F01" w:rsidP="00A54361">
      <w:pPr>
        <w:pStyle w:val="ListParagraph"/>
        <w:numPr>
          <w:ilvl w:val="0"/>
          <w:numId w:val="54"/>
        </w:numPr>
        <w:jc w:val="both"/>
      </w:pPr>
      <w:r w:rsidRPr="00A54361">
        <w:t>Sizing Guidelines</w:t>
      </w:r>
      <w:r w:rsidR="0002741C">
        <w:t xml:space="preserve"> for all the solutions</w:t>
      </w:r>
      <w:r w:rsidR="00A70BC1" w:rsidRPr="00A54361">
        <w:t xml:space="preserve"> can be found in Annexure </w:t>
      </w:r>
      <w:r w:rsidR="00F93B33" w:rsidRPr="00A54361">
        <w:t>2</w:t>
      </w:r>
      <w:r w:rsidR="00A70BC1" w:rsidRPr="00A54361">
        <w:t xml:space="preserve"> - Minimum Technic</w:t>
      </w:r>
      <w:r w:rsidR="0002741C">
        <w:t>al Specifications, in the sub</w:t>
      </w:r>
      <w:r w:rsidR="00A70BC1" w:rsidRPr="00A54361">
        <w:t xml:space="preserve"> titles "Solutions Sizing".</w:t>
      </w:r>
    </w:p>
    <w:p w14:paraId="5C0E1895" w14:textId="77777777" w:rsidR="00577F66" w:rsidRPr="00A54361" w:rsidRDefault="00577F66" w:rsidP="00A54361">
      <w:pPr>
        <w:pStyle w:val="ListParagraph"/>
        <w:numPr>
          <w:ilvl w:val="0"/>
          <w:numId w:val="54"/>
        </w:numPr>
        <w:spacing w:line="256" w:lineRule="auto"/>
        <w:jc w:val="both"/>
        <w:rPr>
          <w:rFonts w:eastAsia="Arial" w:cstheme="minorHAnsi"/>
          <w:spacing w:val="-1"/>
        </w:rPr>
      </w:pPr>
      <w:r w:rsidRPr="00A54361">
        <w:rPr>
          <w:rFonts w:eastAsia="Arial" w:cstheme="minorHAnsi"/>
          <w:spacing w:val="-1"/>
        </w:rPr>
        <w:t>Data Discovery and Classification solution should provide actionable reports, such as but not limited to below mentioned reports:</w:t>
      </w:r>
    </w:p>
    <w:p w14:paraId="4853170A" w14:textId="77777777" w:rsidR="00577F66" w:rsidRPr="00A54361" w:rsidRDefault="00577F66" w:rsidP="00A54361">
      <w:pPr>
        <w:pStyle w:val="ListParagraph"/>
        <w:numPr>
          <w:ilvl w:val="1"/>
          <w:numId w:val="54"/>
        </w:numPr>
        <w:spacing w:line="256" w:lineRule="auto"/>
        <w:jc w:val="both"/>
        <w:rPr>
          <w:rFonts w:eastAsia="Arial" w:cstheme="minorHAnsi"/>
          <w:spacing w:val="-1"/>
        </w:rPr>
      </w:pPr>
      <w:r w:rsidRPr="00A54361">
        <w:rPr>
          <w:rFonts w:eastAsia="Arial" w:cstheme="minorHAnsi"/>
          <w:spacing w:val="-1"/>
        </w:rPr>
        <w:t>Data Inventory Reports</w:t>
      </w:r>
      <w:r w:rsidRPr="00A54361">
        <w:rPr>
          <w:rFonts w:eastAsia="Arial" w:cstheme="minorHAnsi"/>
          <w:b/>
          <w:bCs/>
          <w:spacing w:val="-1"/>
        </w:rPr>
        <w:t xml:space="preserve"> - </w:t>
      </w:r>
      <w:r w:rsidRPr="00A54361">
        <w:rPr>
          <w:rFonts w:eastAsia="Arial" w:cstheme="minorHAnsi"/>
          <w:spacing w:val="-1"/>
        </w:rPr>
        <w:t>The Data Discovery and Classification solution should provide comprehensive list of data assets across the Bank, show where sensitive data resides, identify data formats (structured, unstructured, semi-structured) and provide information on data size and growth.</w:t>
      </w:r>
    </w:p>
    <w:p w14:paraId="36A7B23A" w14:textId="77777777" w:rsidR="00577F66" w:rsidRPr="00A54361" w:rsidRDefault="00577F66" w:rsidP="00A54361">
      <w:pPr>
        <w:pStyle w:val="ListParagraph"/>
        <w:numPr>
          <w:ilvl w:val="1"/>
          <w:numId w:val="54"/>
        </w:numPr>
        <w:spacing w:line="256" w:lineRule="auto"/>
        <w:jc w:val="both"/>
        <w:rPr>
          <w:rFonts w:eastAsia="Arial" w:cstheme="minorHAnsi"/>
          <w:b/>
          <w:bCs/>
          <w:spacing w:val="-1"/>
        </w:rPr>
      </w:pPr>
      <w:r w:rsidRPr="00A54361">
        <w:rPr>
          <w:rFonts w:eastAsia="Arial" w:cstheme="minorHAnsi"/>
          <w:spacing w:val="-1"/>
        </w:rPr>
        <w:lastRenderedPageBreak/>
        <w:t>Data Classification Reports -</w:t>
      </w:r>
      <w:r w:rsidRPr="00A54361">
        <w:rPr>
          <w:rFonts w:eastAsia="Arial" w:cstheme="minorHAnsi"/>
          <w:b/>
          <w:bCs/>
          <w:spacing w:val="-1"/>
        </w:rPr>
        <w:t xml:space="preserve"> </w:t>
      </w:r>
      <w:r w:rsidRPr="00A54361">
        <w:rPr>
          <w:rFonts w:eastAsia="Arial" w:cstheme="minorHAnsi"/>
          <w:spacing w:val="-1"/>
        </w:rPr>
        <w:t>The Data Discovery and Classification solution should classify data based on sensitivity levels, identify data owners and custodians, show who has access to sensitive data and analyse how data is being used.</w:t>
      </w:r>
    </w:p>
    <w:p w14:paraId="51BD3B84" w14:textId="09D496FC" w:rsidR="00EF6B9F" w:rsidRPr="00A54361" w:rsidRDefault="00EF6B9F" w:rsidP="00A54361">
      <w:pPr>
        <w:spacing w:line="256" w:lineRule="auto"/>
        <w:ind w:left="1080"/>
        <w:jc w:val="both"/>
        <w:rPr>
          <w:rFonts w:eastAsia="Arial" w:cstheme="minorHAnsi"/>
          <w:spacing w:val="-1"/>
        </w:rPr>
      </w:pPr>
    </w:p>
    <w:p w14:paraId="6BF5921B" w14:textId="1A403B11" w:rsidR="00845FD0" w:rsidRPr="00A54361" w:rsidRDefault="0030576E" w:rsidP="00A54361">
      <w:pPr>
        <w:pStyle w:val="Heading3"/>
        <w:jc w:val="both"/>
        <w:rPr>
          <w:rStyle w:val="Strong"/>
          <w:b/>
          <w:bCs w:val="0"/>
          <w:color w:val="auto"/>
        </w:rPr>
      </w:pPr>
      <w:bookmarkStart w:id="15" w:name="_Toc182233335"/>
      <w:r w:rsidRPr="00A54361">
        <w:rPr>
          <w:rStyle w:val="Strong"/>
          <w:b/>
          <w:bCs w:val="0"/>
          <w:color w:val="auto"/>
        </w:rPr>
        <w:t>File Upload Security</w:t>
      </w:r>
      <w:bookmarkEnd w:id="15"/>
    </w:p>
    <w:p w14:paraId="3217CB66" w14:textId="08044B86" w:rsidR="00DF1F0B" w:rsidRPr="00A54361" w:rsidRDefault="00DF1F0B"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The bidder is required to Supply, Install and Maintain “</w:t>
      </w:r>
      <w:r w:rsidR="00397E79" w:rsidRPr="00A54361">
        <w:rPr>
          <w:rFonts w:eastAsia="Arial" w:cstheme="minorHAnsi"/>
          <w:spacing w:val="-1"/>
        </w:rPr>
        <w:t>File Upload Security</w:t>
      </w:r>
      <w:r w:rsidRPr="00A54361">
        <w:rPr>
          <w:rFonts w:eastAsia="Arial" w:cstheme="minorHAnsi"/>
          <w:spacing w:val="-1"/>
        </w:rPr>
        <w:t xml:space="preserve">” solutions at Bank for the period of contract. The proposed solution is required to meet the technical specifications and bill of material given in Annexure </w:t>
      </w:r>
      <w:r w:rsidR="00F93B33" w:rsidRPr="00A54361">
        <w:rPr>
          <w:rFonts w:eastAsia="Arial" w:cstheme="minorHAnsi"/>
          <w:spacing w:val="-1"/>
        </w:rPr>
        <w:t>2 -</w:t>
      </w:r>
      <w:r w:rsidRPr="00A54361">
        <w:rPr>
          <w:rFonts w:eastAsia="Arial" w:cstheme="minorHAnsi"/>
          <w:spacing w:val="-1"/>
        </w:rPr>
        <w:t xml:space="preserve"> Minimum Technical Specifications and Annexure </w:t>
      </w:r>
      <w:r w:rsidR="00F93B33" w:rsidRPr="00A54361">
        <w:rPr>
          <w:rFonts w:eastAsia="Arial" w:cstheme="minorHAnsi"/>
          <w:spacing w:val="-1"/>
        </w:rPr>
        <w:t>1 -</w:t>
      </w:r>
      <w:r w:rsidRPr="00A54361">
        <w:rPr>
          <w:rFonts w:eastAsia="Arial" w:cstheme="minorHAnsi"/>
          <w:spacing w:val="-1"/>
        </w:rPr>
        <w:t xml:space="preserve"> Bill of Material. </w:t>
      </w:r>
    </w:p>
    <w:p w14:paraId="55E2E950" w14:textId="1AC0CF16" w:rsidR="00DF1F0B" w:rsidRPr="00A54361" w:rsidRDefault="00DF1F0B" w:rsidP="00A54361">
      <w:pPr>
        <w:pStyle w:val="ListParagraph"/>
        <w:numPr>
          <w:ilvl w:val="0"/>
          <w:numId w:val="60"/>
        </w:numPr>
        <w:jc w:val="both"/>
        <w:rPr>
          <w:rFonts w:eastAsia="Arial" w:cstheme="minorHAnsi"/>
          <w:spacing w:val="-1"/>
        </w:rPr>
      </w:pPr>
      <w:r w:rsidRPr="00A54361">
        <w:rPr>
          <w:rFonts w:eastAsia="Arial" w:cstheme="minorHAnsi"/>
          <w:spacing w:val="-1"/>
        </w:rPr>
        <w:t xml:space="preserve">Bidder is required to configure </w:t>
      </w:r>
      <w:r w:rsidR="00397E79" w:rsidRPr="00A54361">
        <w:rPr>
          <w:rFonts w:eastAsia="Arial" w:cstheme="minorHAnsi"/>
          <w:spacing w:val="-1"/>
        </w:rPr>
        <w:t>File Upload Security</w:t>
      </w:r>
      <w:r w:rsidR="001600A1" w:rsidRPr="00A54361">
        <w:rPr>
          <w:rFonts w:eastAsia="Arial" w:cstheme="minorHAnsi"/>
          <w:spacing w:val="-1"/>
        </w:rPr>
        <w:t xml:space="preserve"> </w:t>
      </w:r>
      <w:r w:rsidRPr="00A54361">
        <w:rPr>
          <w:rFonts w:eastAsia="Arial" w:cstheme="minorHAnsi"/>
          <w:spacing w:val="-1"/>
        </w:rPr>
        <w:t xml:space="preserve">at DC as Primary and at Disaster Recovery site as secondary, having high availability across DC and DRC. In case of DR Drill or DC fails, </w:t>
      </w:r>
      <w:r w:rsidR="00967231" w:rsidRPr="00A54361">
        <w:rPr>
          <w:rFonts w:eastAsia="Arial" w:cstheme="minorHAnsi"/>
          <w:spacing w:val="-1"/>
        </w:rPr>
        <w:t>File Upload Security</w:t>
      </w:r>
      <w:r w:rsidR="001600A1" w:rsidRPr="00A54361">
        <w:rPr>
          <w:rFonts w:eastAsia="Arial" w:cstheme="minorHAnsi"/>
          <w:spacing w:val="-1"/>
        </w:rPr>
        <w:t xml:space="preserve"> </w:t>
      </w:r>
      <w:r w:rsidRPr="00A54361">
        <w:rPr>
          <w:rFonts w:eastAsia="Arial" w:cstheme="minorHAnsi"/>
          <w:spacing w:val="-1"/>
        </w:rPr>
        <w:t>at DRC should act as Primary</w:t>
      </w:r>
    </w:p>
    <w:p w14:paraId="5BCDA1BA" w14:textId="279DF9D6" w:rsidR="00F027C0" w:rsidRPr="00A54361" w:rsidRDefault="00F027C0"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 xml:space="preserve">The proposed </w:t>
      </w:r>
      <w:r w:rsidR="00967231" w:rsidRPr="00A54361">
        <w:rPr>
          <w:rFonts w:eastAsia="Arial" w:cstheme="minorHAnsi"/>
          <w:spacing w:val="-1"/>
        </w:rPr>
        <w:t>File Upload Security</w:t>
      </w:r>
      <w:r w:rsidR="002565C1" w:rsidRPr="00A54361">
        <w:rPr>
          <w:rFonts w:eastAsia="Arial" w:cstheme="minorHAnsi"/>
          <w:spacing w:val="-1"/>
        </w:rPr>
        <w:t xml:space="preserve"> </w:t>
      </w:r>
      <w:r w:rsidR="00B6736E" w:rsidRPr="00A54361">
        <w:rPr>
          <w:rFonts w:eastAsia="Arial" w:cstheme="minorHAnsi"/>
          <w:spacing w:val="-1"/>
        </w:rPr>
        <w:t xml:space="preserve">solution </w:t>
      </w:r>
      <w:r w:rsidRPr="00A54361">
        <w:rPr>
          <w:rFonts w:eastAsia="Arial" w:cstheme="minorHAnsi"/>
          <w:spacing w:val="-1"/>
        </w:rPr>
        <w:t>should proactively prevent cyber threats from entering a network through files. It should act as a pre-emptive shield against malicious content hidden within documents, emails, or other downloadable files.</w:t>
      </w:r>
    </w:p>
    <w:p w14:paraId="65D7C3F6" w14:textId="5E6652A6" w:rsidR="00D04907" w:rsidRPr="00A54361" w:rsidRDefault="00D04907"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 xml:space="preserve">The proposed </w:t>
      </w:r>
      <w:r w:rsidR="00967231" w:rsidRPr="00A54361">
        <w:rPr>
          <w:rFonts w:eastAsia="Arial" w:cstheme="minorHAnsi"/>
          <w:spacing w:val="-1"/>
        </w:rPr>
        <w:t xml:space="preserve">File Upload Security </w:t>
      </w:r>
      <w:r w:rsidR="00B6736E" w:rsidRPr="00A54361">
        <w:rPr>
          <w:rFonts w:eastAsia="Arial" w:cstheme="minorHAnsi"/>
          <w:spacing w:val="-1"/>
        </w:rPr>
        <w:t xml:space="preserve">solution </w:t>
      </w:r>
      <w:r w:rsidRPr="00A54361">
        <w:rPr>
          <w:rFonts w:eastAsia="Arial" w:cstheme="minorHAnsi"/>
          <w:spacing w:val="-1"/>
        </w:rPr>
        <w:t>should Disarm Malicious Content and Preserving Functionality.</w:t>
      </w:r>
    </w:p>
    <w:p w14:paraId="54400E7C" w14:textId="3924C364" w:rsidR="00D04907" w:rsidRPr="00A54361" w:rsidRDefault="00D04907"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 xml:space="preserve">The proposed </w:t>
      </w:r>
      <w:r w:rsidR="00967231" w:rsidRPr="00A54361">
        <w:rPr>
          <w:rFonts w:eastAsia="Arial" w:cstheme="minorHAnsi"/>
          <w:spacing w:val="-1"/>
        </w:rPr>
        <w:t>File Upload Security</w:t>
      </w:r>
      <w:r w:rsidR="002565C1" w:rsidRPr="00A54361">
        <w:rPr>
          <w:rFonts w:eastAsia="Arial" w:cstheme="minorHAnsi"/>
          <w:spacing w:val="-1"/>
        </w:rPr>
        <w:t xml:space="preserve"> </w:t>
      </w:r>
      <w:r w:rsidR="00B6736E" w:rsidRPr="00A54361">
        <w:rPr>
          <w:rFonts w:eastAsia="Arial" w:cstheme="minorHAnsi"/>
          <w:spacing w:val="-1"/>
        </w:rPr>
        <w:t xml:space="preserve">solution </w:t>
      </w:r>
      <w:r w:rsidRPr="00A54361">
        <w:rPr>
          <w:rFonts w:eastAsia="Arial" w:cstheme="minorHAnsi"/>
          <w:spacing w:val="-1"/>
        </w:rPr>
        <w:t>should Enhanced Protection, Zero-Day Threat Protection</w:t>
      </w:r>
      <w:r w:rsidR="00DF1F0B" w:rsidRPr="00A54361">
        <w:rPr>
          <w:rFonts w:eastAsia="Arial" w:cstheme="minorHAnsi"/>
          <w:spacing w:val="-1"/>
        </w:rPr>
        <w:t xml:space="preserve"> and</w:t>
      </w:r>
      <w:r w:rsidRPr="00A54361">
        <w:rPr>
          <w:rFonts w:eastAsia="Arial" w:cstheme="minorHAnsi"/>
          <w:spacing w:val="-1"/>
        </w:rPr>
        <w:t xml:space="preserve"> Improved User Experience</w:t>
      </w:r>
      <w:r w:rsidR="00DF1F0B" w:rsidRPr="00A54361">
        <w:rPr>
          <w:rFonts w:eastAsia="Arial" w:cstheme="minorHAnsi"/>
          <w:spacing w:val="-1"/>
        </w:rPr>
        <w:t>.</w:t>
      </w:r>
    </w:p>
    <w:p w14:paraId="1B1B05A6" w14:textId="3C54D077" w:rsidR="00AE23DE" w:rsidRPr="00A54361" w:rsidRDefault="00AE23DE"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 xml:space="preserve">The file upload / download sources </w:t>
      </w:r>
      <w:r w:rsidR="00B6736E" w:rsidRPr="00A54361">
        <w:rPr>
          <w:rFonts w:eastAsia="Arial" w:cstheme="minorHAnsi"/>
          <w:spacing w:val="-1"/>
        </w:rPr>
        <w:t xml:space="preserve">are </w:t>
      </w:r>
    </w:p>
    <w:p w14:paraId="0CDF92FD" w14:textId="6CFDC9C7" w:rsidR="00AE23DE" w:rsidRPr="00A54361" w:rsidRDefault="00AE23DE" w:rsidP="00A54361">
      <w:pPr>
        <w:pStyle w:val="ListParagraph"/>
        <w:numPr>
          <w:ilvl w:val="1"/>
          <w:numId w:val="60"/>
        </w:numPr>
        <w:spacing w:after="0" w:line="240" w:lineRule="auto"/>
        <w:jc w:val="both"/>
        <w:rPr>
          <w:rFonts w:eastAsia="Arial" w:cstheme="minorHAnsi"/>
          <w:spacing w:val="-1"/>
        </w:rPr>
      </w:pPr>
      <w:r w:rsidRPr="00A54361">
        <w:rPr>
          <w:rFonts w:eastAsia="Arial" w:cstheme="minorHAnsi"/>
          <w:spacing w:val="-1"/>
        </w:rPr>
        <w:t xml:space="preserve">Email (/attachment) </w:t>
      </w:r>
    </w:p>
    <w:p w14:paraId="7B9567FC" w14:textId="61C6A3B1" w:rsidR="00AE23DE" w:rsidRPr="00A54361" w:rsidRDefault="00AE23DE" w:rsidP="00A54361">
      <w:pPr>
        <w:pStyle w:val="ListParagraph"/>
        <w:numPr>
          <w:ilvl w:val="1"/>
          <w:numId w:val="60"/>
        </w:numPr>
        <w:spacing w:after="0" w:line="240" w:lineRule="auto"/>
        <w:jc w:val="both"/>
        <w:rPr>
          <w:rFonts w:eastAsia="Arial" w:cstheme="minorHAnsi"/>
          <w:spacing w:val="-1"/>
        </w:rPr>
      </w:pPr>
      <w:r w:rsidRPr="00A54361">
        <w:rPr>
          <w:rFonts w:eastAsia="Arial" w:cstheme="minorHAnsi"/>
          <w:spacing w:val="-1"/>
        </w:rPr>
        <w:t>WAF</w:t>
      </w:r>
    </w:p>
    <w:p w14:paraId="3C68161F" w14:textId="20A6A5BD" w:rsidR="00AE23DE" w:rsidRPr="00A54361" w:rsidRDefault="00AE23DE" w:rsidP="00A54361">
      <w:pPr>
        <w:pStyle w:val="ListParagraph"/>
        <w:numPr>
          <w:ilvl w:val="1"/>
          <w:numId w:val="60"/>
        </w:numPr>
        <w:spacing w:after="0" w:line="240" w:lineRule="auto"/>
        <w:jc w:val="both"/>
        <w:rPr>
          <w:rFonts w:eastAsia="Arial" w:cstheme="minorHAnsi"/>
          <w:spacing w:val="-1"/>
        </w:rPr>
      </w:pPr>
      <w:r w:rsidRPr="00A54361">
        <w:rPr>
          <w:rFonts w:eastAsia="Arial" w:cstheme="minorHAnsi"/>
          <w:spacing w:val="-1"/>
        </w:rPr>
        <w:t xml:space="preserve">SFTP and </w:t>
      </w:r>
    </w:p>
    <w:p w14:paraId="5A26161A" w14:textId="5877C34D" w:rsidR="00AE23DE" w:rsidRPr="00A54361" w:rsidRDefault="00AE23DE" w:rsidP="00A54361">
      <w:pPr>
        <w:pStyle w:val="ListParagraph"/>
        <w:numPr>
          <w:ilvl w:val="1"/>
          <w:numId w:val="60"/>
        </w:numPr>
        <w:spacing w:after="0" w:line="240" w:lineRule="auto"/>
        <w:jc w:val="both"/>
        <w:rPr>
          <w:rFonts w:eastAsia="Arial" w:cstheme="minorHAnsi"/>
          <w:spacing w:val="-1"/>
        </w:rPr>
      </w:pPr>
      <w:r w:rsidRPr="00A54361">
        <w:rPr>
          <w:rFonts w:eastAsia="Arial" w:cstheme="minorHAnsi"/>
          <w:spacing w:val="-1"/>
        </w:rPr>
        <w:t>API</w:t>
      </w:r>
    </w:p>
    <w:p w14:paraId="6F6E5298" w14:textId="71778FFD" w:rsidR="00AE23DE" w:rsidRPr="00A54361" w:rsidRDefault="00AE23DE" w:rsidP="00A54361">
      <w:pPr>
        <w:pStyle w:val="ListParagraph"/>
        <w:numPr>
          <w:ilvl w:val="1"/>
          <w:numId w:val="60"/>
        </w:numPr>
        <w:spacing w:after="0" w:line="240" w:lineRule="auto"/>
        <w:jc w:val="both"/>
        <w:rPr>
          <w:rFonts w:eastAsia="Arial" w:cstheme="minorHAnsi"/>
          <w:spacing w:val="-1"/>
        </w:rPr>
      </w:pPr>
      <w:r w:rsidRPr="00A54361">
        <w:rPr>
          <w:rFonts w:eastAsia="Arial" w:cstheme="minorHAnsi"/>
          <w:spacing w:val="-1"/>
        </w:rPr>
        <w:t xml:space="preserve">Other channels </w:t>
      </w:r>
      <w:r w:rsidR="00930012" w:rsidRPr="00A54361">
        <w:rPr>
          <w:rFonts w:eastAsia="Arial" w:cstheme="minorHAnsi"/>
          <w:spacing w:val="-1"/>
        </w:rPr>
        <w:t>in Bank</w:t>
      </w:r>
    </w:p>
    <w:p w14:paraId="3A2B9389" w14:textId="06B04E74" w:rsidR="0047297B" w:rsidRPr="00A54361" w:rsidRDefault="00711F01" w:rsidP="00A54361">
      <w:pPr>
        <w:pStyle w:val="ListParagraph"/>
        <w:numPr>
          <w:ilvl w:val="0"/>
          <w:numId w:val="60"/>
        </w:numPr>
        <w:jc w:val="both"/>
        <w:rPr>
          <w:rFonts w:eastAsia="Arial" w:cstheme="minorHAnsi"/>
          <w:spacing w:val="-1"/>
        </w:rPr>
      </w:pPr>
      <w:r w:rsidRPr="00A54361">
        <w:rPr>
          <w:rFonts w:eastAsia="Arial" w:cstheme="minorHAnsi"/>
          <w:spacing w:val="-1"/>
        </w:rPr>
        <w:t>Sizing Guidelines</w:t>
      </w:r>
      <w:r w:rsidR="0047297B" w:rsidRPr="00A54361">
        <w:rPr>
          <w:rFonts w:eastAsia="Arial" w:cstheme="minorHAnsi"/>
          <w:spacing w:val="-1"/>
        </w:rPr>
        <w:t xml:space="preserve"> for </w:t>
      </w:r>
      <w:r w:rsidR="00967231" w:rsidRPr="00A54361">
        <w:rPr>
          <w:rFonts w:eastAsia="Arial" w:cstheme="minorHAnsi"/>
          <w:spacing w:val="-1"/>
        </w:rPr>
        <w:t>File Upload Security</w:t>
      </w:r>
      <w:r w:rsidR="001600A1" w:rsidRPr="00A54361">
        <w:rPr>
          <w:rFonts w:eastAsia="Arial" w:cstheme="minorHAnsi"/>
          <w:spacing w:val="-1"/>
        </w:rPr>
        <w:t xml:space="preserve"> </w:t>
      </w:r>
      <w:r w:rsidR="0047297B" w:rsidRPr="00A54361">
        <w:rPr>
          <w:rFonts w:eastAsia="Arial" w:cstheme="minorHAnsi"/>
          <w:spacing w:val="-1"/>
        </w:rPr>
        <w:t xml:space="preserve">can be found in Annexure </w:t>
      </w:r>
      <w:r w:rsidR="00F93B33" w:rsidRPr="00A54361">
        <w:rPr>
          <w:rFonts w:eastAsia="Arial" w:cstheme="minorHAnsi"/>
          <w:spacing w:val="-1"/>
        </w:rPr>
        <w:t>2</w:t>
      </w:r>
      <w:r w:rsidR="0047297B" w:rsidRPr="00A54361">
        <w:rPr>
          <w:rFonts w:eastAsia="Arial" w:cstheme="minorHAnsi"/>
          <w:spacing w:val="-1"/>
        </w:rPr>
        <w:t xml:space="preserve"> - Minimum Technical Specifications, in the sub</w:t>
      </w:r>
      <w:r w:rsidR="0002741C">
        <w:rPr>
          <w:rFonts w:eastAsia="Arial" w:cstheme="minorHAnsi"/>
          <w:spacing w:val="-1"/>
        </w:rPr>
        <w:t xml:space="preserve"> </w:t>
      </w:r>
      <w:r w:rsidR="0047297B" w:rsidRPr="00A54361">
        <w:rPr>
          <w:rFonts w:eastAsia="Arial" w:cstheme="minorHAnsi"/>
          <w:spacing w:val="-1"/>
        </w:rPr>
        <w:t>tab titles "Solutions Sizing".</w:t>
      </w:r>
    </w:p>
    <w:p w14:paraId="15026BEB" w14:textId="30D87C14" w:rsidR="00DB7E6C" w:rsidRPr="00A54361" w:rsidRDefault="00DB7E6C" w:rsidP="00A54361">
      <w:pPr>
        <w:pStyle w:val="ListParagraph"/>
        <w:numPr>
          <w:ilvl w:val="0"/>
          <w:numId w:val="60"/>
        </w:numPr>
        <w:spacing w:line="256" w:lineRule="auto"/>
        <w:jc w:val="both"/>
        <w:rPr>
          <w:rFonts w:eastAsia="Arial" w:cstheme="minorHAnsi"/>
          <w:spacing w:val="-1"/>
        </w:rPr>
      </w:pPr>
      <w:r w:rsidRPr="00A54361">
        <w:rPr>
          <w:rFonts w:eastAsia="Arial" w:cstheme="minorHAnsi"/>
          <w:spacing w:val="-1"/>
        </w:rPr>
        <w:t>File Upload Security solution should provide actionable reports, such as but not limited to below mentioned reports:</w:t>
      </w:r>
    </w:p>
    <w:p w14:paraId="670D7305" w14:textId="77777777" w:rsidR="004747CA" w:rsidRPr="00A54361" w:rsidRDefault="004747CA" w:rsidP="00A54361">
      <w:pPr>
        <w:pStyle w:val="ListParagraph"/>
        <w:numPr>
          <w:ilvl w:val="1"/>
          <w:numId w:val="60"/>
        </w:numPr>
        <w:spacing w:line="256" w:lineRule="auto"/>
        <w:jc w:val="both"/>
        <w:rPr>
          <w:rFonts w:eastAsia="Arial" w:cstheme="minorHAnsi"/>
          <w:spacing w:val="-1"/>
        </w:rPr>
      </w:pPr>
      <w:r w:rsidRPr="00A54361">
        <w:rPr>
          <w:rFonts w:eastAsia="Arial" w:cstheme="minorHAnsi"/>
          <w:spacing w:val="-1"/>
        </w:rPr>
        <w:t>Threat Detection Reports – The File Upload Security solution should provide information on identification of files containing malware, viruses, or other threats, identification of files containing exploits or vulnerabilities.</w:t>
      </w:r>
    </w:p>
    <w:p w14:paraId="5110E5F9" w14:textId="68020E5E" w:rsidR="004747CA" w:rsidRPr="00A54361" w:rsidRDefault="004747CA" w:rsidP="00A54361">
      <w:pPr>
        <w:pStyle w:val="ListParagraph"/>
        <w:numPr>
          <w:ilvl w:val="1"/>
          <w:numId w:val="60"/>
        </w:numPr>
        <w:spacing w:after="0" w:line="240" w:lineRule="auto"/>
        <w:jc w:val="both"/>
        <w:rPr>
          <w:rFonts w:eastAsia="Arial" w:cstheme="minorHAnsi"/>
          <w:spacing w:val="-1"/>
        </w:rPr>
      </w:pPr>
      <w:r w:rsidRPr="00A54361">
        <w:rPr>
          <w:rFonts w:eastAsia="Arial" w:cstheme="minorHAnsi"/>
          <w:spacing w:val="-1"/>
        </w:rPr>
        <w:t>File Analysis Reports - The File Upload Security solution should provide identification of file types and formats scanned, detection of abnormally large or small files, identification of sensitive data within files, information of embedded objects/scripts and verification of file format integrity</w:t>
      </w:r>
      <w:r w:rsidR="00DB7E6C" w:rsidRPr="00A54361">
        <w:rPr>
          <w:rFonts w:eastAsia="Arial" w:cstheme="minorHAnsi"/>
          <w:spacing w:val="-1"/>
        </w:rPr>
        <w:t>.</w:t>
      </w:r>
    </w:p>
    <w:p w14:paraId="57ABDFDD" w14:textId="10535574" w:rsidR="007D1716" w:rsidRPr="00A54361" w:rsidRDefault="004747CA" w:rsidP="00A54361">
      <w:pPr>
        <w:pStyle w:val="ListParagraph"/>
        <w:numPr>
          <w:ilvl w:val="1"/>
          <w:numId w:val="60"/>
        </w:numPr>
        <w:spacing w:after="0" w:line="240" w:lineRule="auto"/>
        <w:jc w:val="both"/>
        <w:rPr>
          <w:rFonts w:eastAsia="Arial" w:cstheme="minorHAnsi"/>
          <w:spacing w:val="-1"/>
        </w:rPr>
      </w:pPr>
      <w:r w:rsidRPr="00A54361">
        <w:rPr>
          <w:rFonts w:eastAsia="Arial" w:cstheme="minorHAnsi"/>
          <w:spacing w:val="-1"/>
        </w:rPr>
        <w:t>Incident response reports - The File Upload Security solution should be able provide detailed information about specific file , it's object ,properties and behavior if found malicious or suspicious.</w:t>
      </w:r>
    </w:p>
    <w:p w14:paraId="407537EB" w14:textId="64B39625" w:rsidR="00EE277F" w:rsidRPr="00A54361" w:rsidRDefault="008772BF" w:rsidP="00A54361">
      <w:pPr>
        <w:pStyle w:val="Heading3"/>
        <w:jc w:val="both"/>
        <w:rPr>
          <w:rStyle w:val="Strong"/>
          <w:b/>
          <w:bCs w:val="0"/>
          <w:color w:val="auto"/>
        </w:rPr>
      </w:pPr>
      <w:bookmarkStart w:id="16" w:name="_Toc182233336"/>
      <w:r w:rsidRPr="00A54361">
        <w:rPr>
          <w:rStyle w:val="Strong"/>
          <w:b/>
          <w:bCs w:val="0"/>
          <w:color w:val="auto"/>
        </w:rPr>
        <w:t>Attack Surface Management (ASM)</w:t>
      </w:r>
      <w:bookmarkEnd w:id="16"/>
      <w:r w:rsidR="00EE277F" w:rsidRPr="00A54361">
        <w:rPr>
          <w:rStyle w:val="Strong"/>
          <w:b/>
          <w:bCs w:val="0"/>
          <w:color w:val="auto"/>
        </w:rPr>
        <w:t xml:space="preserve"> </w:t>
      </w:r>
    </w:p>
    <w:p w14:paraId="6321BAA1" w14:textId="57EF8AF5" w:rsidR="00684926" w:rsidRPr="00A54361" w:rsidRDefault="00684926"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 xml:space="preserve">The bidder is required to Supply, Install and Maintain “Attack Surface Management” solutions at Bank for the period of contract. The proposed solution is required to meet the technical specifications and bill of material given in Annexure </w:t>
      </w:r>
      <w:r w:rsidR="00F93B33" w:rsidRPr="00A54361">
        <w:rPr>
          <w:rFonts w:eastAsia="Arial" w:cstheme="minorHAnsi"/>
          <w:spacing w:val="-1"/>
        </w:rPr>
        <w:t>2 -</w:t>
      </w:r>
      <w:r w:rsidRPr="00A54361">
        <w:rPr>
          <w:rFonts w:eastAsia="Arial" w:cstheme="minorHAnsi"/>
          <w:spacing w:val="-1"/>
        </w:rPr>
        <w:t xml:space="preserve"> Minimum Technical Specifications and Annexure </w:t>
      </w:r>
      <w:r w:rsidR="00F93B33" w:rsidRPr="00A54361">
        <w:rPr>
          <w:rFonts w:eastAsia="Arial" w:cstheme="minorHAnsi"/>
          <w:spacing w:val="-1"/>
        </w:rPr>
        <w:t>1 -</w:t>
      </w:r>
      <w:r w:rsidRPr="00A54361">
        <w:rPr>
          <w:rFonts w:eastAsia="Arial" w:cstheme="minorHAnsi"/>
          <w:spacing w:val="-1"/>
        </w:rPr>
        <w:t xml:space="preserve"> Bill of Material. </w:t>
      </w:r>
    </w:p>
    <w:p w14:paraId="4272EA32" w14:textId="7D01FFAE" w:rsidR="00E6279C" w:rsidRPr="00A54361" w:rsidRDefault="00E6279C"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lastRenderedPageBreak/>
        <w:t>Bidder is required to configure ASM solution at DC as Primary and at Disaster Recovery site as secondary, having high availability across DC and DRC. In case of DR Drill or DC fails, ASM Solution at DRC should act as Primary</w:t>
      </w:r>
    </w:p>
    <w:p w14:paraId="4A589941" w14:textId="72C4EB04" w:rsidR="002E055F" w:rsidRPr="00A54361" w:rsidRDefault="002E055F"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The proposed Attack Surface Management (ASM) solution should reduce the risk of cyberattacks by providing a comprehensive view of your organization's attack surface and proactively addressing vulnerabilities.</w:t>
      </w:r>
    </w:p>
    <w:p w14:paraId="071EF69B" w14:textId="76B1A38F" w:rsidR="002E055F" w:rsidRPr="00A54361" w:rsidRDefault="002E055F"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The proposed ASM should provide visibility of attack surfaces as all the potential entry points for a hacker. This should include devices, applications, data, systems, and even your online presence. ASM should continuously discover and inventory all IT Bank’s assets, both internal and external to your network.</w:t>
      </w:r>
    </w:p>
    <w:p w14:paraId="49E75959" w14:textId="4C5F504C" w:rsidR="002E055F" w:rsidRPr="00A54361" w:rsidRDefault="002E055F"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 xml:space="preserve">The proposed ASM should provide vulnerability assessment in terms </w:t>
      </w:r>
      <w:r w:rsidR="0096730C" w:rsidRPr="00A54361">
        <w:rPr>
          <w:rFonts w:eastAsia="Arial" w:cstheme="minorHAnsi"/>
          <w:spacing w:val="-1"/>
        </w:rPr>
        <w:t>of identifying</w:t>
      </w:r>
      <w:r w:rsidRPr="00A54361">
        <w:rPr>
          <w:rFonts w:eastAsia="Arial" w:cstheme="minorHAnsi"/>
          <w:spacing w:val="-1"/>
        </w:rPr>
        <w:t xml:space="preserve"> weaknesses within those assets. This might involve outdated software, misconfigured systems, or weak passwords. By pinpointing vulnerabilities, Bank’s / SI’s IT team should prioritize patching and remediation efforts.</w:t>
      </w:r>
    </w:p>
    <w:p w14:paraId="4B5B7848" w14:textId="27001A76" w:rsidR="002E055F" w:rsidRPr="00A54361" w:rsidRDefault="002E055F"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 xml:space="preserve">The proposed ASM </w:t>
      </w:r>
      <w:r w:rsidR="0096730C" w:rsidRPr="00A54361">
        <w:rPr>
          <w:rFonts w:eastAsia="Arial" w:cstheme="minorHAnsi"/>
          <w:spacing w:val="-1"/>
        </w:rPr>
        <w:t xml:space="preserve">solution </w:t>
      </w:r>
      <w:r w:rsidRPr="00A54361">
        <w:rPr>
          <w:rFonts w:eastAsia="Arial" w:cstheme="minorHAnsi"/>
          <w:spacing w:val="-1"/>
        </w:rPr>
        <w:t xml:space="preserve">should </w:t>
      </w:r>
      <w:r w:rsidR="0096730C" w:rsidRPr="00A54361">
        <w:rPr>
          <w:rFonts w:eastAsia="Arial" w:cstheme="minorHAnsi"/>
          <w:spacing w:val="-1"/>
        </w:rPr>
        <w:t>r</w:t>
      </w:r>
      <w:r w:rsidRPr="00A54361">
        <w:rPr>
          <w:rFonts w:eastAsia="Arial" w:cstheme="minorHAnsi"/>
          <w:spacing w:val="-1"/>
        </w:rPr>
        <w:t xml:space="preserve">educe </w:t>
      </w:r>
      <w:r w:rsidR="0096730C" w:rsidRPr="00A54361">
        <w:rPr>
          <w:rFonts w:eastAsia="Arial" w:cstheme="minorHAnsi"/>
          <w:spacing w:val="-1"/>
        </w:rPr>
        <w:t>a</w:t>
      </w:r>
      <w:r w:rsidRPr="00A54361">
        <w:rPr>
          <w:rFonts w:eastAsia="Arial" w:cstheme="minorHAnsi"/>
          <w:spacing w:val="-1"/>
        </w:rPr>
        <w:t xml:space="preserve">ttack </w:t>
      </w:r>
      <w:r w:rsidR="0096730C" w:rsidRPr="00A54361">
        <w:rPr>
          <w:rFonts w:eastAsia="Arial" w:cstheme="minorHAnsi"/>
          <w:spacing w:val="-1"/>
        </w:rPr>
        <w:t>p</w:t>
      </w:r>
      <w:r w:rsidRPr="00A54361">
        <w:rPr>
          <w:rFonts w:eastAsia="Arial" w:cstheme="minorHAnsi"/>
          <w:spacing w:val="-1"/>
        </w:rPr>
        <w:t>oints</w:t>
      </w:r>
      <w:r w:rsidR="0096730C" w:rsidRPr="00A54361">
        <w:rPr>
          <w:rFonts w:eastAsia="Arial" w:cstheme="minorHAnsi"/>
          <w:spacing w:val="-1"/>
        </w:rPr>
        <w:t>;</w:t>
      </w:r>
      <w:r w:rsidRPr="00A54361">
        <w:rPr>
          <w:rFonts w:eastAsia="Arial" w:cstheme="minorHAnsi"/>
          <w:spacing w:val="-1"/>
        </w:rPr>
        <w:t xml:space="preserve"> </w:t>
      </w:r>
      <w:r w:rsidR="0096730C" w:rsidRPr="00A54361">
        <w:rPr>
          <w:rFonts w:eastAsia="Arial" w:cstheme="minorHAnsi"/>
          <w:spacing w:val="-1"/>
        </w:rPr>
        <w:t>by</w:t>
      </w:r>
      <w:r w:rsidRPr="00A54361">
        <w:rPr>
          <w:rFonts w:eastAsia="Arial" w:cstheme="minorHAnsi"/>
          <w:spacing w:val="-1"/>
        </w:rPr>
        <w:t xml:space="preserve"> removing unused systems, hardening configurations, or segmenting your network to limit access to critical resources.</w:t>
      </w:r>
    </w:p>
    <w:p w14:paraId="0F2250E7" w14:textId="2D66C296" w:rsidR="002E055F" w:rsidRPr="00A54361" w:rsidRDefault="00577DB4"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The proposed ASM should support p</w:t>
      </w:r>
      <w:r w:rsidR="002E055F" w:rsidRPr="00A54361">
        <w:rPr>
          <w:rFonts w:eastAsia="Arial" w:cstheme="minorHAnsi"/>
          <w:spacing w:val="-1"/>
        </w:rPr>
        <w:t xml:space="preserve">roactive </w:t>
      </w:r>
      <w:r w:rsidRPr="00A54361">
        <w:rPr>
          <w:rFonts w:eastAsia="Arial" w:cstheme="minorHAnsi"/>
          <w:spacing w:val="-1"/>
        </w:rPr>
        <w:t>t</w:t>
      </w:r>
      <w:r w:rsidR="002E055F" w:rsidRPr="00A54361">
        <w:rPr>
          <w:rFonts w:eastAsia="Arial" w:cstheme="minorHAnsi"/>
          <w:spacing w:val="-1"/>
        </w:rPr>
        <w:t xml:space="preserve">hreat </w:t>
      </w:r>
      <w:r w:rsidRPr="00A54361">
        <w:rPr>
          <w:rFonts w:eastAsia="Arial" w:cstheme="minorHAnsi"/>
          <w:spacing w:val="-1"/>
        </w:rPr>
        <w:t>d</w:t>
      </w:r>
      <w:r w:rsidR="002E055F" w:rsidRPr="00A54361">
        <w:rPr>
          <w:rFonts w:eastAsia="Arial" w:cstheme="minorHAnsi"/>
          <w:spacing w:val="-1"/>
        </w:rPr>
        <w:t xml:space="preserve">etection </w:t>
      </w:r>
      <w:r w:rsidRPr="00A54361">
        <w:rPr>
          <w:rFonts w:eastAsia="Arial" w:cstheme="minorHAnsi"/>
          <w:spacing w:val="-1"/>
        </w:rPr>
        <w:t xml:space="preserve">by analysing </w:t>
      </w:r>
      <w:r w:rsidR="002E055F" w:rsidRPr="00A54361">
        <w:rPr>
          <w:rFonts w:eastAsia="Arial" w:cstheme="minorHAnsi"/>
          <w:spacing w:val="-1"/>
        </w:rPr>
        <w:t xml:space="preserve">how attackers might exploit those weaknesses. By simulating attacker behavior (ethical hacking), ASM </w:t>
      </w:r>
      <w:r w:rsidRPr="00A54361">
        <w:rPr>
          <w:rFonts w:eastAsia="Arial" w:cstheme="minorHAnsi"/>
          <w:spacing w:val="-1"/>
        </w:rPr>
        <w:t>should</w:t>
      </w:r>
      <w:r w:rsidR="002E055F" w:rsidRPr="00A54361">
        <w:rPr>
          <w:rFonts w:eastAsia="Arial" w:cstheme="minorHAnsi"/>
          <w:spacing w:val="-1"/>
        </w:rPr>
        <w:t xml:space="preserve"> identify potential attack vectors and take steps to mitigate them before they're used in a real attack.</w:t>
      </w:r>
    </w:p>
    <w:p w14:paraId="1EEC2746" w14:textId="4B9F0C60" w:rsidR="0010582F" w:rsidRPr="00A54361" w:rsidRDefault="00CE7594"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The ASM Solution should be tightly integrated with the Bank’s existing solutions</w:t>
      </w:r>
      <w:r w:rsidR="00F5311F" w:rsidRPr="00A54361">
        <w:rPr>
          <w:rFonts w:eastAsia="Arial" w:cstheme="minorHAnsi"/>
          <w:spacing w:val="-1"/>
        </w:rPr>
        <w:t xml:space="preserve">, but not limited to, </w:t>
      </w:r>
      <w:r w:rsidRPr="00A54361">
        <w:rPr>
          <w:rFonts w:eastAsia="Arial" w:cstheme="minorHAnsi"/>
          <w:spacing w:val="-1"/>
        </w:rPr>
        <w:t xml:space="preserve">such as Antivirus, EDR, </w:t>
      </w:r>
      <w:r w:rsidR="002D2258" w:rsidRPr="00A54361">
        <w:rPr>
          <w:rFonts w:eastAsia="Arial" w:cstheme="minorHAnsi"/>
          <w:spacing w:val="-1"/>
        </w:rPr>
        <w:t xml:space="preserve">HIPS, VA Scanner, Active Directory, NIPS, NGFW, </w:t>
      </w:r>
      <w:r w:rsidR="0050788B" w:rsidRPr="00A54361">
        <w:rPr>
          <w:rFonts w:eastAsia="Arial" w:cstheme="minorHAnsi"/>
          <w:spacing w:val="-1"/>
        </w:rPr>
        <w:t>Sandboxing, Anti A</w:t>
      </w:r>
      <w:r w:rsidR="00F5311F" w:rsidRPr="00A54361">
        <w:rPr>
          <w:rFonts w:eastAsia="Arial" w:cstheme="minorHAnsi"/>
          <w:spacing w:val="-1"/>
        </w:rPr>
        <w:t>PT</w:t>
      </w:r>
      <w:r w:rsidR="00B04DA6" w:rsidRPr="00A54361">
        <w:rPr>
          <w:rFonts w:eastAsia="Arial" w:cstheme="minorHAnsi"/>
          <w:spacing w:val="-1"/>
        </w:rPr>
        <w:t xml:space="preserve"> or any other solution that bank currently has or will procure in the future.</w:t>
      </w:r>
    </w:p>
    <w:p w14:paraId="01FB43A1" w14:textId="77777777" w:rsidR="007D2295" w:rsidRPr="00A54361" w:rsidRDefault="00311B08"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The proposed ASM solution should tightly integrate with existing security tools (SIEM, SOAR) tools.</w:t>
      </w:r>
    </w:p>
    <w:p w14:paraId="2C5FD5AA" w14:textId="582E870D" w:rsidR="00762332" w:rsidRPr="00A54361" w:rsidRDefault="00711F01" w:rsidP="00A54361">
      <w:pPr>
        <w:pStyle w:val="ListParagraph"/>
        <w:numPr>
          <w:ilvl w:val="0"/>
          <w:numId w:val="60"/>
        </w:numPr>
        <w:spacing w:line="256" w:lineRule="auto"/>
        <w:jc w:val="both"/>
        <w:rPr>
          <w:rFonts w:eastAsia="Arial" w:cstheme="minorHAnsi"/>
          <w:spacing w:val="-1"/>
        </w:rPr>
      </w:pPr>
      <w:r w:rsidRPr="00A54361">
        <w:rPr>
          <w:rFonts w:eastAsia="Arial" w:cstheme="minorHAnsi"/>
          <w:spacing w:val="-1"/>
        </w:rPr>
        <w:t>Sizing Guidelines</w:t>
      </w:r>
      <w:r w:rsidR="00762332" w:rsidRPr="00A54361">
        <w:rPr>
          <w:rFonts w:eastAsia="Arial" w:cstheme="minorHAnsi"/>
          <w:spacing w:val="-1"/>
        </w:rPr>
        <w:t xml:space="preserve"> for Attack Surface Management can be found in Annexure </w:t>
      </w:r>
      <w:r w:rsidR="000113F3" w:rsidRPr="00A54361">
        <w:rPr>
          <w:rFonts w:eastAsia="Arial" w:cstheme="minorHAnsi"/>
          <w:spacing w:val="-1"/>
        </w:rPr>
        <w:t>2</w:t>
      </w:r>
      <w:r w:rsidR="00762332" w:rsidRPr="00A54361">
        <w:rPr>
          <w:rFonts w:eastAsia="Arial" w:cstheme="minorHAnsi"/>
          <w:spacing w:val="-1"/>
        </w:rPr>
        <w:t xml:space="preserve"> - Minimum Technical</w:t>
      </w:r>
      <w:r w:rsidR="004C27C4" w:rsidRPr="00A54361">
        <w:rPr>
          <w:rFonts w:eastAsia="Arial" w:cstheme="minorHAnsi"/>
          <w:spacing w:val="-1"/>
        </w:rPr>
        <w:t xml:space="preserve"> </w:t>
      </w:r>
      <w:r w:rsidR="00762332" w:rsidRPr="00A54361">
        <w:rPr>
          <w:rFonts w:eastAsia="Arial" w:cstheme="minorHAnsi"/>
          <w:spacing w:val="-1"/>
        </w:rPr>
        <w:t>Specifications, in the subtab titles "Solutions Sizing".</w:t>
      </w:r>
    </w:p>
    <w:p w14:paraId="3A6AEE9A" w14:textId="2811910E" w:rsidR="004C27C4" w:rsidRPr="00A54361" w:rsidRDefault="004C27C4" w:rsidP="00A54361">
      <w:pPr>
        <w:pStyle w:val="ListParagraph"/>
        <w:numPr>
          <w:ilvl w:val="0"/>
          <w:numId w:val="60"/>
        </w:numPr>
        <w:spacing w:line="256" w:lineRule="auto"/>
        <w:jc w:val="both"/>
        <w:rPr>
          <w:rFonts w:eastAsia="Arial" w:cstheme="minorHAnsi"/>
          <w:spacing w:val="-1"/>
        </w:rPr>
      </w:pPr>
      <w:r w:rsidRPr="00A54361">
        <w:rPr>
          <w:rFonts w:eastAsia="Arial" w:cstheme="minorHAnsi"/>
          <w:spacing w:val="-1"/>
        </w:rPr>
        <w:t>Attack Surface Management solution should provide actionable reports, such as but not limited to below mentioned reports:</w:t>
      </w:r>
    </w:p>
    <w:p w14:paraId="3A31DD7B" w14:textId="6B5FE799" w:rsidR="001D7957" w:rsidRPr="00A54361" w:rsidRDefault="004C27C4" w:rsidP="00A54361">
      <w:pPr>
        <w:pStyle w:val="ListParagraph"/>
        <w:numPr>
          <w:ilvl w:val="0"/>
          <w:numId w:val="84"/>
        </w:numPr>
        <w:spacing w:line="256" w:lineRule="auto"/>
        <w:jc w:val="both"/>
        <w:rPr>
          <w:rFonts w:eastAsia="Arial" w:cstheme="minorHAnsi"/>
          <w:spacing w:val="-1"/>
        </w:rPr>
      </w:pPr>
      <w:r w:rsidRPr="00A54361">
        <w:rPr>
          <w:rFonts w:eastAsia="Arial" w:cstheme="minorHAnsi"/>
          <w:spacing w:val="-1"/>
        </w:rPr>
        <w:t>Asset Inventory Reports – The Attack Surface Management solution should identify all assets exposed to the internet, categorize assets based on criticality and sensitivity, assign responsibility for asset management</w:t>
      </w:r>
      <w:r w:rsidR="001D7957" w:rsidRPr="00A54361">
        <w:rPr>
          <w:rFonts w:eastAsia="Arial" w:cstheme="minorHAnsi"/>
          <w:spacing w:val="-1"/>
        </w:rPr>
        <w:t xml:space="preserve"> and d</w:t>
      </w:r>
      <w:r w:rsidRPr="00A54361">
        <w:rPr>
          <w:rFonts w:eastAsia="Arial" w:cstheme="minorHAnsi"/>
          <w:spacing w:val="-1"/>
        </w:rPr>
        <w:t>etect unauthorized IT resources.</w:t>
      </w:r>
      <w:r w:rsidR="001D7957" w:rsidRPr="00A54361">
        <w:rPr>
          <w:rFonts w:eastAsia="Arial" w:cstheme="minorHAnsi"/>
          <w:spacing w:val="-1"/>
        </w:rPr>
        <w:t xml:space="preserve"> </w:t>
      </w:r>
    </w:p>
    <w:p w14:paraId="2C8190F1" w14:textId="5944C0BB" w:rsidR="004C27C4" w:rsidRPr="00A54361" w:rsidRDefault="004C27C4" w:rsidP="00A54361">
      <w:pPr>
        <w:pStyle w:val="ListParagraph"/>
        <w:numPr>
          <w:ilvl w:val="0"/>
          <w:numId w:val="84"/>
        </w:numPr>
        <w:spacing w:line="256" w:lineRule="auto"/>
        <w:jc w:val="both"/>
        <w:rPr>
          <w:rFonts w:eastAsia="Arial" w:cstheme="minorHAnsi"/>
          <w:spacing w:val="-1"/>
        </w:rPr>
      </w:pPr>
      <w:r w:rsidRPr="00A54361">
        <w:rPr>
          <w:rFonts w:eastAsia="Arial" w:cstheme="minorHAnsi"/>
          <w:spacing w:val="-1"/>
        </w:rPr>
        <w:t>Vulnerability Assessment Reports</w:t>
      </w:r>
      <w:r w:rsidR="001D7957" w:rsidRPr="00A54361">
        <w:rPr>
          <w:rFonts w:eastAsia="Arial" w:cstheme="minorHAnsi"/>
          <w:spacing w:val="-1"/>
        </w:rPr>
        <w:t xml:space="preserve"> - The Attack Surface Management solution should i</w:t>
      </w:r>
      <w:r w:rsidRPr="00A54361">
        <w:rPr>
          <w:rFonts w:eastAsia="Arial" w:cstheme="minorHAnsi"/>
          <w:spacing w:val="-1"/>
        </w:rPr>
        <w:t>dentif</w:t>
      </w:r>
      <w:r w:rsidR="001D7957" w:rsidRPr="00A54361">
        <w:rPr>
          <w:rFonts w:eastAsia="Arial" w:cstheme="minorHAnsi"/>
          <w:spacing w:val="-1"/>
        </w:rPr>
        <w:t>y</w:t>
      </w:r>
      <w:r w:rsidRPr="00A54361">
        <w:rPr>
          <w:rFonts w:eastAsia="Arial" w:cstheme="minorHAnsi"/>
          <w:spacing w:val="-1"/>
        </w:rPr>
        <w:t xml:space="preserve"> vulnerabilities in assets</w:t>
      </w:r>
      <w:r w:rsidR="001D7957" w:rsidRPr="00A54361">
        <w:rPr>
          <w:rFonts w:eastAsia="Arial" w:cstheme="minorHAnsi"/>
          <w:spacing w:val="-1"/>
        </w:rPr>
        <w:t>, r</w:t>
      </w:r>
      <w:r w:rsidRPr="00A54361">
        <w:rPr>
          <w:rFonts w:eastAsia="Arial" w:cstheme="minorHAnsi"/>
          <w:spacing w:val="-1"/>
        </w:rPr>
        <w:t>ank vulnerabilities based on risk</w:t>
      </w:r>
      <w:r w:rsidR="001D7957" w:rsidRPr="00A54361">
        <w:rPr>
          <w:rFonts w:eastAsia="Arial" w:cstheme="minorHAnsi"/>
          <w:spacing w:val="-1"/>
        </w:rPr>
        <w:t>, t</w:t>
      </w:r>
      <w:r w:rsidRPr="00A54361">
        <w:rPr>
          <w:rFonts w:eastAsia="Arial" w:cstheme="minorHAnsi"/>
          <w:spacing w:val="-1"/>
        </w:rPr>
        <w:t>racks patch management status</w:t>
      </w:r>
      <w:r w:rsidR="001D7957" w:rsidRPr="00A54361">
        <w:rPr>
          <w:rFonts w:eastAsia="Arial" w:cstheme="minorHAnsi"/>
          <w:spacing w:val="-1"/>
        </w:rPr>
        <w:t xml:space="preserve"> and e</w:t>
      </w:r>
      <w:r w:rsidRPr="00A54361">
        <w:rPr>
          <w:rFonts w:eastAsia="Arial" w:cstheme="minorHAnsi"/>
          <w:spacing w:val="-1"/>
        </w:rPr>
        <w:t>valuate the likelihood of successful exploitation.</w:t>
      </w:r>
    </w:p>
    <w:p w14:paraId="037FA4F9" w14:textId="3DA2B25B" w:rsidR="001D7957" w:rsidRPr="00A54361" w:rsidRDefault="004C27C4" w:rsidP="00A54361">
      <w:pPr>
        <w:pStyle w:val="ListParagraph"/>
        <w:numPr>
          <w:ilvl w:val="0"/>
          <w:numId w:val="84"/>
        </w:numPr>
        <w:spacing w:line="256" w:lineRule="auto"/>
        <w:jc w:val="both"/>
        <w:rPr>
          <w:rFonts w:eastAsia="Arial" w:cstheme="minorHAnsi"/>
          <w:spacing w:val="-1"/>
        </w:rPr>
      </w:pPr>
      <w:r w:rsidRPr="00A54361">
        <w:rPr>
          <w:rFonts w:eastAsia="Arial" w:cstheme="minorHAnsi"/>
          <w:spacing w:val="-1"/>
        </w:rPr>
        <w:t>Risk Assessment Reports</w:t>
      </w:r>
      <w:r w:rsidR="001D7957" w:rsidRPr="00A54361">
        <w:rPr>
          <w:rFonts w:eastAsia="Arial" w:cstheme="minorHAnsi"/>
          <w:spacing w:val="-1"/>
        </w:rPr>
        <w:t xml:space="preserve"> – The Attack Surface Management solution should q</w:t>
      </w:r>
      <w:r w:rsidRPr="00A54361">
        <w:rPr>
          <w:rFonts w:eastAsia="Arial" w:cstheme="minorHAnsi"/>
          <w:spacing w:val="-1"/>
        </w:rPr>
        <w:t>uantif</w:t>
      </w:r>
      <w:r w:rsidR="001D7957" w:rsidRPr="00A54361">
        <w:rPr>
          <w:rFonts w:eastAsia="Arial" w:cstheme="minorHAnsi"/>
          <w:spacing w:val="-1"/>
        </w:rPr>
        <w:t>y</w:t>
      </w:r>
      <w:r w:rsidRPr="00A54361">
        <w:rPr>
          <w:rFonts w:eastAsia="Arial" w:cstheme="minorHAnsi"/>
          <w:spacing w:val="-1"/>
        </w:rPr>
        <w:t xml:space="preserve"> the potential impact of vulnerabilities</w:t>
      </w:r>
      <w:r w:rsidR="001D7957" w:rsidRPr="00A54361">
        <w:rPr>
          <w:rFonts w:eastAsia="Arial" w:cstheme="minorHAnsi"/>
          <w:spacing w:val="-1"/>
        </w:rPr>
        <w:t>, c</w:t>
      </w:r>
      <w:r w:rsidRPr="00A54361">
        <w:rPr>
          <w:rFonts w:eastAsia="Arial" w:cstheme="minorHAnsi"/>
          <w:spacing w:val="-1"/>
        </w:rPr>
        <w:t>orrelate vulnerabilities with known threats</w:t>
      </w:r>
      <w:r w:rsidR="001D7957" w:rsidRPr="00A54361">
        <w:rPr>
          <w:rFonts w:eastAsia="Arial" w:cstheme="minorHAnsi"/>
          <w:spacing w:val="-1"/>
        </w:rPr>
        <w:t xml:space="preserve"> and assess </w:t>
      </w:r>
      <w:r w:rsidRPr="00A54361">
        <w:rPr>
          <w:rFonts w:eastAsia="Arial" w:cstheme="minorHAnsi"/>
          <w:spacing w:val="-1"/>
        </w:rPr>
        <w:t>the potential impact on business operations</w:t>
      </w:r>
    </w:p>
    <w:p w14:paraId="033B1AA9" w14:textId="25A12088" w:rsidR="001D7957" w:rsidRPr="00A54361" w:rsidRDefault="004C27C4" w:rsidP="00A54361">
      <w:pPr>
        <w:pStyle w:val="ListParagraph"/>
        <w:numPr>
          <w:ilvl w:val="0"/>
          <w:numId w:val="84"/>
        </w:numPr>
        <w:spacing w:line="256" w:lineRule="auto"/>
        <w:jc w:val="both"/>
        <w:rPr>
          <w:rFonts w:eastAsia="Arial" w:cstheme="minorHAnsi"/>
          <w:spacing w:val="-1"/>
        </w:rPr>
      </w:pPr>
      <w:r w:rsidRPr="00A54361">
        <w:rPr>
          <w:rFonts w:eastAsia="Arial" w:cstheme="minorHAnsi"/>
          <w:spacing w:val="-1"/>
        </w:rPr>
        <w:t>Exposure Reports</w:t>
      </w:r>
      <w:r w:rsidR="001D7957" w:rsidRPr="00A54361">
        <w:rPr>
          <w:rFonts w:eastAsia="Arial" w:cstheme="minorHAnsi"/>
          <w:spacing w:val="-1"/>
        </w:rPr>
        <w:t xml:space="preserve"> - The Attack Surface Management solution should l</w:t>
      </w:r>
      <w:r w:rsidRPr="00A54361">
        <w:rPr>
          <w:rFonts w:eastAsia="Arial" w:cstheme="minorHAnsi"/>
          <w:spacing w:val="-1"/>
        </w:rPr>
        <w:t>ist exposed services and their vulnerabilities</w:t>
      </w:r>
      <w:r w:rsidR="001D7957" w:rsidRPr="00A54361">
        <w:rPr>
          <w:rFonts w:eastAsia="Arial" w:cstheme="minorHAnsi"/>
          <w:spacing w:val="-1"/>
        </w:rPr>
        <w:t>, i</w:t>
      </w:r>
      <w:r w:rsidRPr="00A54361">
        <w:rPr>
          <w:rFonts w:eastAsia="Arial" w:cstheme="minorHAnsi"/>
          <w:spacing w:val="-1"/>
        </w:rPr>
        <w:t>dentif</w:t>
      </w:r>
      <w:r w:rsidR="001D7957" w:rsidRPr="00A54361">
        <w:rPr>
          <w:rFonts w:eastAsia="Arial" w:cstheme="minorHAnsi"/>
          <w:spacing w:val="-1"/>
        </w:rPr>
        <w:t xml:space="preserve">y </w:t>
      </w:r>
      <w:r w:rsidRPr="00A54361">
        <w:rPr>
          <w:rFonts w:eastAsia="Arial" w:cstheme="minorHAnsi"/>
          <w:spacing w:val="-1"/>
        </w:rPr>
        <w:t>all domains and subdomains</w:t>
      </w:r>
      <w:r w:rsidR="001D7957" w:rsidRPr="00A54361">
        <w:rPr>
          <w:rFonts w:eastAsia="Arial" w:cstheme="minorHAnsi"/>
          <w:spacing w:val="-1"/>
        </w:rPr>
        <w:t>, e</w:t>
      </w:r>
      <w:r w:rsidRPr="00A54361">
        <w:rPr>
          <w:rFonts w:eastAsia="Arial" w:cstheme="minorHAnsi"/>
          <w:spacing w:val="-1"/>
        </w:rPr>
        <w:t>valuate the risk posed by vendors and partners</w:t>
      </w:r>
    </w:p>
    <w:p w14:paraId="6C7F3282" w14:textId="3169C238" w:rsidR="001D7957" w:rsidRPr="00A54361" w:rsidRDefault="004C27C4" w:rsidP="00A54361">
      <w:pPr>
        <w:pStyle w:val="ListParagraph"/>
        <w:numPr>
          <w:ilvl w:val="0"/>
          <w:numId w:val="84"/>
        </w:numPr>
        <w:spacing w:line="256" w:lineRule="auto"/>
        <w:jc w:val="both"/>
        <w:rPr>
          <w:rFonts w:eastAsia="Arial" w:cstheme="minorHAnsi"/>
          <w:spacing w:val="-1"/>
        </w:rPr>
      </w:pPr>
      <w:r w:rsidRPr="00A54361">
        <w:rPr>
          <w:rFonts w:eastAsia="Arial" w:cstheme="minorHAnsi"/>
          <w:spacing w:val="-1"/>
        </w:rPr>
        <w:t>Remediation Reports</w:t>
      </w:r>
      <w:r w:rsidR="001D7957" w:rsidRPr="00A54361">
        <w:rPr>
          <w:rFonts w:eastAsia="Arial" w:cstheme="minorHAnsi"/>
          <w:spacing w:val="-1"/>
        </w:rPr>
        <w:t xml:space="preserve"> - The Attack Surface Management solution should t</w:t>
      </w:r>
      <w:r w:rsidRPr="00A54361">
        <w:rPr>
          <w:rFonts w:eastAsia="Arial" w:cstheme="minorHAnsi"/>
          <w:spacing w:val="-1"/>
        </w:rPr>
        <w:t>rack progress in addressing vulnerabilities</w:t>
      </w:r>
      <w:r w:rsidR="001D7957" w:rsidRPr="00A54361">
        <w:rPr>
          <w:rFonts w:eastAsia="Arial" w:cstheme="minorHAnsi"/>
          <w:spacing w:val="-1"/>
        </w:rPr>
        <w:t xml:space="preserve"> and s</w:t>
      </w:r>
      <w:r w:rsidRPr="00A54361">
        <w:rPr>
          <w:rFonts w:eastAsia="Arial" w:cstheme="minorHAnsi"/>
          <w:spacing w:val="-1"/>
        </w:rPr>
        <w:t>upport incident response strategies.</w:t>
      </w:r>
    </w:p>
    <w:p w14:paraId="7B5C601E" w14:textId="414CBCC1" w:rsidR="00241717" w:rsidRPr="00A54361" w:rsidRDefault="004C27C4" w:rsidP="00A54361">
      <w:pPr>
        <w:pStyle w:val="ListParagraph"/>
        <w:numPr>
          <w:ilvl w:val="0"/>
          <w:numId w:val="84"/>
        </w:numPr>
        <w:spacing w:line="256" w:lineRule="auto"/>
        <w:jc w:val="both"/>
        <w:rPr>
          <w:rFonts w:eastAsia="Arial" w:cstheme="minorHAnsi"/>
          <w:spacing w:val="-1"/>
        </w:rPr>
      </w:pPr>
      <w:r w:rsidRPr="00A54361">
        <w:rPr>
          <w:rFonts w:eastAsia="Arial" w:cstheme="minorHAnsi"/>
          <w:spacing w:val="-1"/>
        </w:rPr>
        <w:t>Compliance Reports</w:t>
      </w:r>
      <w:r w:rsidR="001D7957" w:rsidRPr="00A54361">
        <w:rPr>
          <w:rFonts w:eastAsia="Arial" w:cstheme="minorHAnsi"/>
          <w:spacing w:val="-1"/>
        </w:rPr>
        <w:t xml:space="preserve"> - The Attack Surface Management solution should p</w:t>
      </w:r>
      <w:r w:rsidRPr="00A54361">
        <w:rPr>
          <w:rFonts w:eastAsia="Arial" w:cstheme="minorHAnsi"/>
          <w:spacing w:val="-1"/>
        </w:rPr>
        <w:t>rovide documentation for security audits.</w:t>
      </w:r>
    </w:p>
    <w:p w14:paraId="00E204EA" w14:textId="77777777" w:rsidR="00D52E85" w:rsidRPr="00A54361" w:rsidRDefault="00D52E85" w:rsidP="00A54361">
      <w:pPr>
        <w:pStyle w:val="Default"/>
        <w:jc w:val="both"/>
        <w:rPr>
          <w:rFonts w:asciiTheme="minorHAnsi" w:hAnsiTheme="minorHAnsi" w:cstheme="minorHAnsi"/>
          <w:color w:val="auto"/>
          <w:sz w:val="22"/>
          <w:szCs w:val="22"/>
        </w:rPr>
      </w:pPr>
    </w:p>
    <w:p w14:paraId="7E9DA631" w14:textId="55D7E79D" w:rsidR="00EE277F" w:rsidRPr="00A54361" w:rsidRDefault="008772BF" w:rsidP="00A54361">
      <w:pPr>
        <w:pStyle w:val="Heading3"/>
        <w:jc w:val="both"/>
        <w:rPr>
          <w:rStyle w:val="Strong"/>
          <w:b/>
          <w:bCs w:val="0"/>
          <w:color w:val="auto"/>
        </w:rPr>
      </w:pPr>
      <w:bookmarkStart w:id="17" w:name="_Toc182233337"/>
      <w:r w:rsidRPr="00A54361">
        <w:rPr>
          <w:rStyle w:val="Strong"/>
          <w:b/>
          <w:bCs w:val="0"/>
          <w:color w:val="auto"/>
        </w:rPr>
        <w:lastRenderedPageBreak/>
        <w:t>Breach and Attack Simulation (BAS</w:t>
      </w:r>
      <w:r w:rsidR="00D978C5" w:rsidRPr="00A54361">
        <w:rPr>
          <w:rStyle w:val="Strong"/>
          <w:b/>
          <w:bCs w:val="0"/>
          <w:color w:val="auto"/>
        </w:rPr>
        <w:t>)</w:t>
      </w:r>
      <w:r w:rsidR="00EE277F" w:rsidRPr="00A54361">
        <w:rPr>
          <w:rStyle w:val="Strong"/>
          <w:b/>
          <w:bCs w:val="0"/>
          <w:color w:val="auto"/>
        </w:rPr>
        <w:t xml:space="preserve"> </w:t>
      </w:r>
      <w:r w:rsidR="00346DB1" w:rsidRPr="00A54361">
        <w:rPr>
          <w:rStyle w:val="Strong"/>
          <w:b/>
          <w:bCs w:val="0"/>
          <w:color w:val="auto"/>
        </w:rPr>
        <w:t xml:space="preserve">with </w:t>
      </w:r>
      <w:r w:rsidR="009B3F51" w:rsidRPr="00A54361">
        <w:rPr>
          <w:rStyle w:val="Strong"/>
          <w:b/>
          <w:bCs w:val="0"/>
          <w:color w:val="auto"/>
        </w:rPr>
        <w:t>Red team solution</w:t>
      </w:r>
      <w:bookmarkEnd w:id="17"/>
    </w:p>
    <w:p w14:paraId="2553D974" w14:textId="2F810494" w:rsidR="00ED6650" w:rsidRPr="00A54361" w:rsidRDefault="00ED6650"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 xml:space="preserve">The bidder is required to Supply, Install and Maintain “Breach and Attack Simulation (BAS) with </w:t>
      </w:r>
      <w:r w:rsidR="009B3F51" w:rsidRPr="00A54361">
        <w:rPr>
          <w:rFonts w:eastAsia="Arial" w:cstheme="minorHAnsi"/>
          <w:spacing w:val="-1"/>
        </w:rPr>
        <w:t>Red team solution</w:t>
      </w:r>
      <w:r w:rsidRPr="00A54361">
        <w:rPr>
          <w:rFonts w:eastAsia="Arial" w:cstheme="minorHAnsi"/>
          <w:spacing w:val="-1"/>
        </w:rPr>
        <w:t xml:space="preserve">” solutions at Bank for the period of contract. The proposed solution is required to meet the technical specifications and bill of material given in Annexure 2 - Minimum Technical Specifications and Annexure 1 - Bill of Material. </w:t>
      </w:r>
    </w:p>
    <w:p w14:paraId="1CCA09F0" w14:textId="257D714B" w:rsidR="00ED6650" w:rsidRPr="00A54361" w:rsidRDefault="00ED6650" w:rsidP="00A54361">
      <w:pPr>
        <w:pStyle w:val="ListParagraph"/>
        <w:numPr>
          <w:ilvl w:val="0"/>
          <w:numId w:val="60"/>
        </w:numPr>
        <w:jc w:val="both"/>
        <w:rPr>
          <w:rFonts w:eastAsia="Arial" w:cstheme="minorHAnsi"/>
          <w:spacing w:val="-1"/>
        </w:rPr>
      </w:pPr>
      <w:r w:rsidRPr="00A54361">
        <w:rPr>
          <w:rFonts w:eastAsia="Arial" w:cstheme="minorHAnsi"/>
          <w:spacing w:val="-1"/>
        </w:rPr>
        <w:t xml:space="preserve">Bidder is required to configure </w:t>
      </w:r>
      <w:r w:rsidR="00795569" w:rsidRPr="00A54361">
        <w:rPr>
          <w:rFonts w:eastAsia="Arial" w:cstheme="minorHAnsi"/>
          <w:spacing w:val="-1"/>
        </w:rPr>
        <w:t xml:space="preserve">Breach and Attack Simulation (BAS) with </w:t>
      </w:r>
      <w:r w:rsidR="009B3F51" w:rsidRPr="00A54361">
        <w:rPr>
          <w:rFonts w:eastAsia="Arial" w:cstheme="minorHAnsi"/>
          <w:spacing w:val="-1"/>
        </w:rPr>
        <w:t>Red team solution</w:t>
      </w:r>
      <w:r w:rsidRPr="00A54361">
        <w:rPr>
          <w:rFonts w:eastAsia="Arial" w:cstheme="minorHAnsi"/>
          <w:spacing w:val="-1"/>
        </w:rPr>
        <w:t xml:space="preserve"> solution at DC as Primary and at Disaster Recovery site as secondary, having high availability across DC and DRC. In case of DR Drill or DC fails, </w:t>
      </w:r>
      <w:r w:rsidR="00795569" w:rsidRPr="00A54361">
        <w:rPr>
          <w:rFonts w:eastAsia="Arial" w:cstheme="minorHAnsi"/>
          <w:spacing w:val="-1"/>
        </w:rPr>
        <w:t xml:space="preserve">Breach and Attack Simulation (BAS) with </w:t>
      </w:r>
      <w:r w:rsidR="009B3F51" w:rsidRPr="00A54361">
        <w:rPr>
          <w:rFonts w:eastAsia="Arial" w:cstheme="minorHAnsi"/>
          <w:spacing w:val="-1"/>
        </w:rPr>
        <w:t>Red team solution</w:t>
      </w:r>
      <w:r w:rsidR="00795569" w:rsidRPr="00A54361">
        <w:rPr>
          <w:rFonts w:eastAsia="Arial" w:cstheme="minorHAnsi"/>
          <w:spacing w:val="-1"/>
        </w:rPr>
        <w:t xml:space="preserve"> </w:t>
      </w:r>
      <w:r w:rsidRPr="00A54361">
        <w:rPr>
          <w:rFonts w:eastAsia="Arial" w:cstheme="minorHAnsi"/>
          <w:spacing w:val="-1"/>
        </w:rPr>
        <w:t>at DRC should act as Primary</w:t>
      </w:r>
    </w:p>
    <w:p w14:paraId="1F771296" w14:textId="0990C655" w:rsidR="008E25B1" w:rsidRPr="00A54361" w:rsidRDefault="00ED6650" w:rsidP="00A54361">
      <w:pPr>
        <w:pStyle w:val="ListParagraph"/>
        <w:numPr>
          <w:ilvl w:val="0"/>
          <w:numId w:val="60"/>
        </w:numPr>
        <w:spacing w:line="256" w:lineRule="auto"/>
        <w:jc w:val="both"/>
        <w:rPr>
          <w:rFonts w:eastAsia="Arial" w:cstheme="minorHAnsi"/>
          <w:spacing w:val="-1"/>
        </w:rPr>
      </w:pPr>
      <w:r w:rsidRPr="00A54361">
        <w:rPr>
          <w:rFonts w:eastAsia="Arial" w:cstheme="minorHAnsi"/>
          <w:spacing w:val="-1"/>
        </w:rPr>
        <w:t xml:space="preserve">The Bidder </w:t>
      </w:r>
      <w:r w:rsidR="00844524" w:rsidRPr="00A54361">
        <w:rPr>
          <w:rFonts w:eastAsia="Arial" w:cstheme="minorHAnsi"/>
          <w:spacing w:val="-1"/>
        </w:rPr>
        <w:t>should</w:t>
      </w:r>
      <w:r w:rsidRPr="00A54361">
        <w:rPr>
          <w:rFonts w:eastAsia="Arial" w:cstheme="minorHAnsi"/>
          <w:spacing w:val="-1"/>
        </w:rPr>
        <w:t xml:space="preserve"> </w:t>
      </w:r>
      <w:r w:rsidR="008E25B1" w:rsidRPr="00A54361">
        <w:rPr>
          <w:rFonts w:eastAsia="Arial" w:cstheme="minorHAnsi"/>
          <w:spacing w:val="-1"/>
        </w:rPr>
        <w:t>Supply, Installation, commissioning, integration, maintenance, and operations of the BAS solution as per the required technical specifications, in both DC &amp; DR</w:t>
      </w:r>
    </w:p>
    <w:p w14:paraId="3610C947" w14:textId="0D95E464" w:rsidR="008E25B1" w:rsidRPr="00A54361" w:rsidRDefault="00B84BA7" w:rsidP="00A54361">
      <w:pPr>
        <w:pStyle w:val="ListParagraph"/>
        <w:numPr>
          <w:ilvl w:val="0"/>
          <w:numId w:val="60"/>
        </w:numPr>
        <w:spacing w:line="256" w:lineRule="auto"/>
        <w:jc w:val="both"/>
        <w:rPr>
          <w:rFonts w:eastAsia="Arial" w:cstheme="minorHAnsi"/>
          <w:spacing w:val="-1"/>
        </w:rPr>
      </w:pPr>
      <w:r w:rsidRPr="00A54361">
        <w:rPr>
          <w:rFonts w:eastAsia="Arial" w:cstheme="minorHAnsi"/>
          <w:spacing w:val="-1"/>
        </w:rPr>
        <w:t xml:space="preserve">The Bidder </w:t>
      </w:r>
      <w:r w:rsidR="00A602A0" w:rsidRPr="00A54361">
        <w:rPr>
          <w:rFonts w:eastAsia="Arial" w:cstheme="minorHAnsi"/>
          <w:spacing w:val="-1"/>
        </w:rPr>
        <w:t>should</w:t>
      </w:r>
      <w:r w:rsidRPr="00A54361">
        <w:rPr>
          <w:rFonts w:eastAsia="Arial" w:cstheme="minorHAnsi"/>
          <w:spacing w:val="-1"/>
        </w:rPr>
        <w:t xml:space="preserve"> a</w:t>
      </w:r>
      <w:r w:rsidR="008E25B1" w:rsidRPr="00A54361">
        <w:rPr>
          <w:rFonts w:eastAsia="Arial" w:cstheme="minorHAnsi"/>
          <w:spacing w:val="-1"/>
        </w:rPr>
        <w:t>ssist the Bank in identification of the zones to</w:t>
      </w:r>
      <w:r w:rsidR="00381195">
        <w:rPr>
          <w:rFonts w:eastAsia="Arial" w:cstheme="minorHAnsi"/>
          <w:spacing w:val="-1"/>
        </w:rPr>
        <w:t xml:space="preserve"> deploy BAS agents</w:t>
      </w:r>
      <w:r w:rsidR="008E25B1" w:rsidRPr="00A54361">
        <w:rPr>
          <w:rFonts w:eastAsia="Arial" w:cstheme="minorHAnsi"/>
          <w:spacing w:val="-1"/>
        </w:rPr>
        <w:t xml:space="preserve"> along with required prerequisites for connectivity between the attacker machine and BAS agents, and between attacker machines and Threat library</w:t>
      </w:r>
    </w:p>
    <w:p w14:paraId="3D0678E4" w14:textId="0672F240" w:rsidR="008E25B1" w:rsidRPr="00A54361" w:rsidRDefault="00B84BA7" w:rsidP="00A54361">
      <w:pPr>
        <w:pStyle w:val="ListParagraph"/>
        <w:numPr>
          <w:ilvl w:val="0"/>
          <w:numId w:val="60"/>
        </w:numPr>
        <w:spacing w:line="256" w:lineRule="auto"/>
        <w:jc w:val="both"/>
        <w:rPr>
          <w:rFonts w:eastAsia="Arial" w:cstheme="minorHAnsi"/>
          <w:spacing w:val="-1"/>
        </w:rPr>
      </w:pPr>
      <w:r w:rsidRPr="00A54361">
        <w:rPr>
          <w:rFonts w:eastAsia="Arial" w:cstheme="minorHAnsi"/>
          <w:spacing w:val="-1"/>
        </w:rPr>
        <w:t xml:space="preserve">The Bidder </w:t>
      </w:r>
      <w:r w:rsidR="00A602A0" w:rsidRPr="00A54361">
        <w:rPr>
          <w:rFonts w:eastAsia="Arial" w:cstheme="minorHAnsi"/>
          <w:spacing w:val="-1"/>
        </w:rPr>
        <w:t>should</w:t>
      </w:r>
      <w:r w:rsidRPr="00A54361">
        <w:rPr>
          <w:rFonts w:eastAsia="Arial" w:cstheme="minorHAnsi"/>
          <w:spacing w:val="-1"/>
        </w:rPr>
        <w:t xml:space="preserve"> a</w:t>
      </w:r>
      <w:r w:rsidR="008E25B1" w:rsidRPr="00A54361">
        <w:rPr>
          <w:rFonts w:eastAsia="Arial" w:cstheme="minorHAnsi"/>
          <w:spacing w:val="-1"/>
        </w:rPr>
        <w:t xml:space="preserve">ctivate all Attack Modules across all Threat Vectors - Network, URL Filtering, Endpoint, WAF, Email and Data Exfiltration - to simulate real-world attacks and proactively test the Bank's </w:t>
      </w:r>
      <w:r w:rsidR="0002741C" w:rsidRPr="00A54361">
        <w:rPr>
          <w:rFonts w:eastAsia="Arial" w:cstheme="minorHAnsi"/>
          <w:spacing w:val="-1"/>
        </w:rPr>
        <w:t>defences</w:t>
      </w:r>
      <w:r w:rsidR="008E25B1" w:rsidRPr="00A54361">
        <w:rPr>
          <w:rFonts w:eastAsia="Arial" w:cstheme="minorHAnsi"/>
          <w:spacing w:val="-1"/>
        </w:rPr>
        <w:t xml:space="preserve"> in a risk-free environment using pure 'simulation' approach, without causing any harm to the Bank's production environment </w:t>
      </w:r>
    </w:p>
    <w:p w14:paraId="3C58A356" w14:textId="122E1003" w:rsidR="008E25B1" w:rsidRPr="00A54361" w:rsidRDefault="00B84BA7" w:rsidP="00A54361">
      <w:pPr>
        <w:pStyle w:val="ListParagraph"/>
        <w:numPr>
          <w:ilvl w:val="0"/>
          <w:numId w:val="60"/>
        </w:numPr>
        <w:spacing w:line="256" w:lineRule="auto"/>
        <w:jc w:val="both"/>
        <w:rPr>
          <w:rFonts w:eastAsia="Arial" w:cstheme="minorHAnsi"/>
          <w:spacing w:val="-1"/>
        </w:rPr>
      </w:pPr>
      <w:r w:rsidRPr="00A54361">
        <w:rPr>
          <w:rFonts w:eastAsia="Arial" w:cstheme="minorHAnsi"/>
          <w:spacing w:val="-1"/>
        </w:rPr>
        <w:t xml:space="preserve">The Bidder </w:t>
      </w:r>
      <w:r w:rsidR="00A602A0" w:rsidRPr="00A54361">
        <w:rPr>
          <w:rFonts w:eastAsia="Arial" w:cstheme="minorHAnsi"/>
          <w:spacing w:val="-1"/>
        </w:rPr>
        <w:t>should</w:t>
      </w:r>
      <w:r w:rsidRPr="00A54361">
        <w:rPr>
          <w:rFonts w:eastAsia="Arial" w:cstheme="minorHAnsi"/>
          <w:spacing w:val="-1"/>
        </w:rPr>
        <w:t xml:space="preserve"> i</w:t>
      </w:r>
      <w:r w:rsidR="008E25B1" w:rsidRPr="00A54361">
        <w:rPr>
          <w:rFonts w:eastAsia="Arial" w:cstheme="minorHAnsi"/>
          <w:spacing w:val="-1"/>
        </w:rPr>
        <w:t>ntegrate all relevant technology solution components and integrate the BAS platform with the existing SOC Platform of the Bank. Configuration and fine tuning of the platform on continuous basis</w:t>
      </w:r>
    </w:p>
    <w:p w14:paraId="2F7EF249" w14:textId="3A4DC60D" w:rsidR="008E25B1" w:rsidRPr="00A54361" w:rsidRDefault="00B84BA7" w:rsidP="00A54361">
      <w:pPr>
        <w:pStyle w:val="ListParagraph"/>
        <w:numPr>
          <w:ilvl w:val="0"/>
          <w:numId w:val="60"/>
        </w:numPr>
        <w:spacing w:line="256" w:lineRule="auto"/>
        <w:jc w:val="both"/>
        <w:rPr>
          <w:rFonts w:eastAsia="Arial" w:cstheme="minorHAnsi"/>
          <w:spacing w:val="-1"/>
        </w:rPr>
      </w:pPr>
      <w:r w:rsidRPr="00A54361">
        <w:rPr>
          <w:rFonts w:eastAsia="Arial" w:cstheme="minorHAnsi"/>
          <w:spacing w:val="-1"/>
        </w:rPr>
        <w:t xml:space="preserve">The Bidder </w:t>
      </w:r>
      <w:r w:rsidR="00A602A0" w:rsidRPr="00A54361">
        <w:rPr>
          <w:rFonts w:eastAsia="Arial" w:cstheme="minorHAnsi"/>
          <w:spacing w:val="-1"/>
        </w:rPr>
        <w:t>should</w:t>
      </w:r>
      <w:r w:rsidRPr="00A54361">
        <w:rPr>
          <w:rFonts w:eastAsia="Arial" w:cstheme="minorHAnsi"/>
          <w:spacing w:val="-1"/>
        </w:rPr>
        <w:t xml:space="preserve"> a</w:t>
      </w:r>
      <w:r w:rsidR="008E25B1" w:rsidRPr="00A54361">
        <w:rPr>
          <w:rFonts w:eastAsia="Arial" w:cstheme="minorHAnsi"/>
          <w:spacing w:val="-1"/>
        </w:rPr>
        <w:t>ssist the Bank to create and execute various threat campaigns on Endpoints, Servers, Email, Perimeter devices like Firewall, IDS, IPS, etc. as prescribed by the Bank. This should include campaigns for Ransomware, Emerging Threats, Attacks targeted towards Banking &amp; Financial Institutions, Campaigns from BFSI-focused APT Groups, etc.</w:t>
      </w:r>
    </w:p>
    <w:p w14:paraId="34219E68" w14:textId="11B07375" w:rsidR="008E25B1" w:rsidRPr="00A54361" w:rsidRDefault="00B84BA7" w:rsidP="00A54361">
      <w:pPr>
        <w:pStyle w:val="ListParagraph"/>
        <w:numPr>
          <w:ilvl w:val="0"/>
          <w:numId w:val="60"/>
        </w:numPr>
        <w:spacing w:line="256" w:lineRule="auto"/>
        <w:jc w:val="both"/>
        <w:rPr>
          <w:rFonts w:eastAsia="Arial" w:cstheme="minorHAnsi"/>
          <w:spacing w:val="-1"/>
        </w:rPr>
      </w:pPr>
      <w:r w:rsidRPr="00A54361">
        <w:rPr>
          <w:rFonts w:eastAsia="Arial" w:cstheme="minorHAnsi"/>
          <w:spacing w:val="-1"/>
        </w:rPr>
        <w:t xml:space="preserve">The Bidder </w:t>
      </w:r>
      <w:r w:rsidR="00A602A0" w:rsidRPr="00A54361">
        <w:rPr>
          <w:rFonts w:eastAsia="Arial" w:cstheme="minorHAnsi"/>
          <w:spacing w:val="-1"/>
        </w:rPr>
        <w:t>should</w:t>
      </w:r>
      <w:r w:rsidRPr="00A54361">
        <w:rPr>
          <w:rFonts w:eastAsia="Arial" w:cstheme="minorHAnsi"/>
          <w:spacing w:val="-1"/>
        </w:rPr>
        <w:t xml:space="preserve"> p</w:t>
      </w:r>
      <w:r w:rsidR="008E25B1" w:rsidRPr="00A54361">
        <w:rPr>
          <w:rFonts w:eastAsia="Arial" w:cstheme="minorHAnsi"/>
          <w:spacing w:val="-1"/>
        </w:rPr>
        <w:t>rovide guidelines to determine the critical threat campaigns / attacks that should be simulated in the Bank's environment. Update the Bank about new threat campaigns / attacks that are added to their threat library on a regular basis</w:t>
      </w:r>
    </w:p>
    <w:p w14:paraId="08C6C4FD" w14:textId="5A4438ED" w:rsidR="008E25B1" w:rsidRPr="00A54361" w:rsidRDefault="00B84BA7" w:rsidP="00A54361">
      <w:pPr>
        <w:pStyle w:val="ListParagraph"/>
        <w:numPr>
          <w:ilvl w:val="0"/>
          <w:numId w:val="60"/>
        </w:numPr>
        <w:spacing w:line="256" w:lineRule="auto"/>
        <w:jc w:val="both"/>
        <w:rPr>
          <w:rFonts w:eastAsia="Arial" w:cstheme="minorHAnsi"/>
          <w:spacing w:val="-1"/>
        </w:rPr>
      </w:pPr>
      <w:r w:rsidRPr="00A54361">
        <w:rPr>
          <w:rFonts w:eastAsia="Arial" w:cstheme="minorHAnsi"/>
          <w:spacing w:val="-1"/>
        </w:rPr>
        <w:t xml:space="preserve">The Bidder </w:t>
      </w:r>
      <w:r w:rsidR="00A602A0" w:rsidRPr="00A54361">
        <w:rPr>
          <w:rFonts w:eastAsia="Arial" w:cstheme="minorHAnsi"/>
          <w:spacing w:val="-1"/>
        </w:rPr>
        <w:t>should</w:t>
      </w:r>
      <w:r w:rsidRPr="00A54361">
        <w:rPr>
          <w:rFonts w:eastAsia="Arial" w:cstheme="minorHAnsi"/>
          <w:spacing w:val="-1"/>
        </w:rPr>
        <w:t xml:space="preserve"> p</w:t>
      </w:r>
      <w:r w:rsidR="008E25B1" w:rsidRPr="00A54361">
        <w:rPr>
          <w:rFonts w:eastAsia="Arial" w:cstheme="minorHAnsi"/>
          <w:spacing w:val="-1"/>
        </w:rPr>
        <w:t xml:space="preserve">rovide vendor-specific mitigation recommendations for all supported technologies deployed in the Bank. Assist the bank's security operations team in implementation of vendor-specific mitigation recommendations (signatures) for prevention controls (like NGFW, IPS, WAF) TO improve the Bank's security posture on a regular basis. </w:t>
      </w:r>
    </w:p>
    <w:p w14:paraId="4C7FE325" w14:textId="22AC3CE5" w:rsidR="008E25B1" w:rsidRPr="00A54361" w:rsidRDefault="00B84BA7" w:rsidP="00A54361">
      <w:pPr>
        <w:pStyle w:val="ListParagraph"/>
        <w:numPr>
          <w:ilvl w:val="0"/>
          <w:numId w:val="60"/>
        </w:numPr>
        <w:spacing w:line="256" w:lineRule="auto"/>
        <w:jc w:val="both"/>
        <w:rPr>
          <w:rFonts w:eastAsia="Arial" w:cstheme="minorHAnsi"/>
          <w:spacing w:val="-1"/>
        </w:rPr>
      </w:pPr>
      <w:r w:rsidRPr="00A54361">
        <w:rPr>
          <w:rFonts w:eastAsia="Arial" w:cstheme="minorHAnsi"/>
          <w:spacing w:val="-1"/>
        </w:rPr>
        <w:t xml:space="preserve">The Bidder </w:t>
      </w:r>
      <w:r w:rsidR="00A602A0" w:rsidRPr="00A54361">
        <w:rPr>
          <w:rFonts w:eastAsia="Arial" w:cstheme="minorHAnsi"/>
          <w:spacing w:val="-1"/>
        </w:rPr>
        <w:t xml:space="preserve">should </w:t>
      </w:r>
      <w:r w:rsidRPr="00A54361">
        <w:rPr>
          <w:rFonts w:eastAsia="Arial" w:cstheme="minorHAnsi"/>
          <w:spacing w:val="-1"/>
        </w:rPr>
        <w:t>i</w:t>
      </w:r>
      <w:r w:rsidR="008E25B1" w:rsidRPr="00A54361">
        <w:rPr>
          <w:rFonts w:eastAsia="Arial" w:cstheme="minorHAnsi"/>
          <w:spacing w:val="-1"/>
        </w:rPr>
        <w:t>ntegration of the BAS platform with the SIEM,</w:t>
      </w:r>
      <w:r w:rsidRPr="00A54361">
        <w:rPr>
          <w:rFonts w:eastAsia="Arial" w:cstheme="minorHAnsi"/>
          <w:spacing w:val="-1"/>
        </w:rPr>
        <w:t xml:space="preserve"> SOAR,</w:t>
      </w:r>
      <w:r w:rsidR="008E25B1" w:rsidRPr="00A54361">
        <w:rPr>
          <w:rFonts w:eastAsia="Arial" w:cstheme="minorHAnsi"/>
          <w:spacing w:val="-1"/>
        </w:rPr>
        <w:t xml:space="preserve"> EDR, XDR Solution for detection visibility, understanding detection capabilities post execution of threat campaigns, assist in implementation of mitigation recommendations (missing logs and alerts) for detection controls </w:t>
      </w:r>
    </w:p>
    <w:p w14:paraId="6139D5FC" w14:textId="272E3C04" w:rsidR="008E25B1" w:rsidRPr="00A54361" w:rsidRDefault="00B84BA7" w:rsidP="00A54361">
      <w:pPr>
        <w:pStyle w:val="ListParagraph"/>
        <w:numPr>
          <w:ilvl w:val="0"/>
          <w:numId w:val="60"/>
        </w:numPr>
        <w:spacing w:line="256" w:lineRule="auto"/>
        <w:jc w:val="both"/>
        <w:rPr>
          <w:rFonts w:eastAsia="Arial" w:cstheme="minorHAnsi"/>
          <w:spacing w:val="-1"/>
        </w:rPr>
      </w:pPr>
      <w:r w:rsidRPr="00A54361">
        <w:rPr>
          <w:rFonts w:eastAsia="Arial" w:cstheme="minorHAnsi"/>
          <w:spacing w:val="-1"/>
        </w:rPr>
        <w:t xml:space="preserve">The Bidder </w:t>
      </w:r>
      <w:r w:rsidR="00A602A0" w:rsidRPr="00A54361">
        <w:rPr>
          <w:rFonts w:eastAsia="Arial" w:cstheme="minorHAnsi"/>
          <w:spacing w:val="-1"/>
        </w:rPr>
        <w:t>should</w:t>
      </w:r>
      <w:r w:rsidRPr="00A54361">
        <w:rPr>
          <w:rFonts w:eastAsia="Arial" w:cstheme="minorHAnsi"/>
          <w:spacing w:val="-1"/>
        </w:rPr>
        <w:t xml:space="preserve"> u</w:t>
      </w:r>
      <w:r w:rsidR="008E25B1" w:rsidRPr="00A54361">
        <w:rPr>
          <w:rFonts w:eastAsia="Arial" w:cstheme="minorHAnsi"/>
          <w:spacing w:val="-1"/>
        </w:rPr>
        <w:t>se the 'Assumed Breach Approach' to perform Automated Red Teaming on the Bank's systems with pre-specified goals to identify the real attack paths (not all hypothetically possible)</w:t>
      </w:r>
    </w:p>
    <w:p w14:paraId="7680EA96" w14:textId="38A287A4" w:rsidR="008E25B1" w:rsidRPr="00A54361" w:rsidRDefault="00B84BA7" w:rsidP="00A54361">
      <w:pPr>
        <w:pStyle w:val="ListParagraph"/>
        <w:numPr>
          <w:ilvl w:val="0"/>
          <w:numId w:val="60"/>
        </w:numPr>
        <w:spacing w:line="256" w:lineRule="auto"/>
        <w:jc w:val="both"/>
        <w:rPr>
          <w:rFonts w:eastAsia="Arial" w:cstheme="minorHAnsi"/>
          <w:spacing w:val="-1"/>
        </w:rPr>
      </w:pPr>
      <w:r w:rsidRPr="00A54361">
        <w:rPr>
          <w:rFonts w:eastAsia="Arial" w:cstheme="minorHAnsi"/>
          <w:spacing w:val="-1"/>
        </w:rPr>
        <w:t xml:space="preserve">The Bidder </w:t>
      </w:r>
      <w:r w:rsidR="00A602A0" w:rsidRPr="00A54361">
        <w:rPr>
          <w:rFonts w:eastAsia="Arial" w:cstheme="minorHAnsi"/>
          <w:spacing w:val="-1"/>
        </w:rPr>
        <w:t>should</w:t>
      </w:r>
      <w:r w:rsidRPr="00A54361">
        <w:rPr>
          <w:rFonts w:eastAsia="Arial" w:cstheme="minorHAnsi"/>
          <w:spacing w:val="-1"/>
        </w:rPr>
        <w:t xml:space="preserve"> c</w:t>
      </w:r>
      <w:r w:rsidR="008E25B1" w:rsidRPr="00A54361">
        <w:rPr>
          <w:rFonts w:eastAsia="Arial" w:cstheme="minorHAnsi"/>
          <w:spacing w:val="-1"/>
        </w:rPr>
        <w:t>ontinuously discover attack paths that lead to the Bank's critical assets, enabling full visibility into the Bank's security posture</w:t>
      </w:r>
    </w:p>
    <w:p w14:paraId="4AB477FA" w14:textId="1E6EF00E" w:rsidR="008E25B1" w:rsidRPr="00A54361" w:rsidRDefault="00B84BA7" w:rsidP="00A54361">
      <w:pPr>
        <w:pStyle w:val="ListParagraph"/>
        <w:numPr>
          <w:ilvl w:val="0"/>
          <w:numId w:val="60"/>
        </w:numPr>
        <w:spacing w:line="256" w:lineRule="auto"/>
        <w:jc w:val="both"/>
        <w:rPr>
          <w:rFonts w:eastAsia="Arial" w:cstheme="minorHAnsi"/>
          <w:spacing w:val="-1"/>
        </w:rPr>
      </w:pPr>
      <w:r w:rsidRPr="00A54361">
        <w:rPr>
          <w:rFonts w:eastAsia="Arial" w:cstheme="minorHAnsi"/>
          <w:spacing w:val="-1"/>
        </w:rPr>
        <w:t xml:space="preserve">The Bidder </w:t>
      </w:r>
      <w:r w:rsidR="00A602A0" w:rsidRPr="00A54361">
        <w:rPr>
          <w:rFonts w:eastAsia="Arial" w:cstheme="minorHAnsi"/>
          <w:spacing w:val="-1"/>
        </w:rPr>
        <w:t>should</w:t>
      </w:r>
      <w:r w:rsidRPr="00A54361">
        <w:rPr>
          <w:rFonts w:eastAsia="Arial" w:cstheme="minorHAnsi"/>
          <w:spacing w:val="-1"/>
        </w:rPr>
        <w:t xml:space="preserve"> d</w:t>
      </w:r>
      <w:r w:rsidR="008E25B1" w:rsidRPr="00A54361">
        <w:rPr>
          <w:rFonts w:eastAsia="Arial" w:cstheme="minorHAnsi"/>
          <w:spacing w:val="-1"/>
        </w:rPr>
        <w:t xml:space="preserve">iscover hidden elements throughout the Bank's network that enable environment enumeration, lateral movement and privilege escalation </w:t>
      </w:r>
    </w:p>
    <w:p w14:paraId="086B8991" w14:textId="4CCB1B88" w:rsidR="008E25B1" w:rsidRPr="00A54361" w:rsidRDefault="0093151F" w:rsidP="00A54361">
      <w:pPr>
        <w:pStyle w:val="ListParagraph"/>
        <w:numPr>
          <w:ilvl w:val="0"/>
          <w:numId w:val="60"/>
        </w:numPr>
        <w:spacing w:line="256" w:lineRule="auto"/>
        <w:jc w:val="both"/>
        <w:rPr>
          <w:rFonts w:eastAsia="Arial" w:cstheme="minorHAnsi"/>
          <w:spacing w:val="-1"/>
        </w:rPr>
      </w:pPr>
      <w:r w:rsidRPr="00A54361">
        <w:rPr>
          <w:rFonts w:eastAsia="Arial" w:cstheme="minorHAnsi"/>
          <w:spacing w:val="-1"/>
        </w:rPr>
        <w:t xml:space="preserve">The Bidder </w:t>
      </w:r>
      <w:r w:rsidR="00A602A0" w:rsidRPr="00A54361">
        <w:rPr>
          <w:rFonts w:eastAsia="Arial" w:cstheme="minorHAnsi"/>
          <w:spacing w:val="-1"/>
        </w:rPr>
        <w:t>should</w:t>
      </w:r>
      <w:r w:rsidRPr="00A54361">
        <w:rPr>
          <w:rFonts w:eastAsia="Arial" w:cstheme="minorHAnsi"/>
          <w:spacing w:val="-1"/>
        </w:rPr>
        <w:t xml:space="preserve"> c</w:t>
      </w:r>
      <w:r w:rsidR="008E25B1" w:rsidRPr="00A54361">
        <w:rPr>
          <w:rFonts w:eastAsia="Arial" w:cstheme="minorHAnsi"/>
          <w:spacing w:val="-1"/>
        </w:rPr>
        <w:t xml:space="preserve">onduct two health-checks every year to check BAS platform as per best practices and/or recommended configuration and provide the health check document. </w:t>
      </w:r>
      <w:r w:rsidR="008E25B1" w:rsidRPr="00A54361">
        <w:rPr>
          <w:rFonts w:eastAsia="Arial" w:cstheme="minorHAnsi"/>
          <w:spacing w:val="-1"/>
        </w:rPr>
        <w:lastRenderedPageBreak/>
        <w:t>Conduct the implementation of upgrades/ patches/ version changes during the tenure of the contract</w:t>
      </w:r>
    </w:p>
    <w:p w14:paraId="208927B1" w14:textId="3AB1E60E" w:rsidR="008E25B1" w:rsidRPr="00A54361" w:rsidRDefault="0093151F" w:rsidP="00A54361">
      <w:pPr>
        <w:pStyle w:val="ListParagraph"/>
        <w:numPr>
          <w:ilvl w:val="0"/>
          <w:numId w:val="60"/>
        </w:numPr>
        <w:spacing w:line="256" w:lineRule="auto"/>
        <w:jc w:val="both"/>
        <w:rPr>
          <w:rFonts w:eastAsia="Arial" w:cstheme="minorHAnsi"/>
          <w:spacing w:val="-1"/>
        </w:rPr>
      </w:pPr>
      <w:r w:rsidRPr="00A54361">
        <w:rPr>
          <w:rFonts w:eastAsia="Arial" w:cstheme="minorHAnsi"/>
          <w:spacing w:val="-1"/>
        </w:rPr>
        <w:t xml:space="preserve">The Bidder </w:t>
      </w:r>
      <w:r w:rsidR="00A602A0" w:rsidRPr="00A54361">
        <w:rPr>
          <w:rFonts w:eastAsia="Arial" w:cstheme="minorHAnsi"/>
          <w:spacing w:val="-1"/>
        </w:rPr>
        <w:t>should</w:t>
      </w:r>
      <w:r w:rsidRPr="00A54361">
        <w:rPr>
          <w:rFonts w:eastAsia="Arial" w:cstheme="minorHAnsi"/>
          <w:spacing w:val="-1"/>
        </w:rPr>
        <w:t xml:space="preserve"> a</w:t>
      </w:r>
      <w:r w:rsidR="008E25B1" w:rsidRPr="00A54361">
        <w:rPr>
          <w:rFonts w:eastAsia="Arial" w:cstheme="minorHAnsi"/>
          <w:spacing w:val="-1"/>
        </w:rPr>
        <w:t xml:space="preserve">ssist the Bank in the preparation of monthly/quarterly reports which include threat campaigns executed, security posture rating, prevention and detection scores, </w:t>
      </w:r>
      <w:r w:rsidR="0002741C" w:rsidRPr="00A54361">
        <w:rPr>
          <w:rFonts w:eastAsia="Arial" w:cstheme="minorHAnsi"/>
          <w:spacing w:val="-1"/>
        </w:rPr>
        <w:t>MITRE</w:t>
      </w:r>
      <w:r w:rsidR="008E25B1" w:rsidRPr="00A54361">
        <w:rPr>
          <w:rFonts w:eastAsia="Arial" w:cstheme="minorHAnsi"/>
          <w:spacing w:val="-1"/>
        </w:rPr>
        <w:t xml:space="preserve"> ATT&amp;CK mapping, security posture improvement</w:t>
      </w:r>
    </w:p>
    <w:p w14:paraId="15BF9839" w14:textId="1C898A16" w:rsidR="00742BFE" w:rsidRPr="00A54361" w:rsidRDefault="0093151F" w:rsidP="00A54361">
      <w:pPr>
        <w:pStyle w:val="ListParagraph"/>
        <w:numPr>
          <w:ilvl w:val="0"/>
          <w:numId w:val="60"/>
        </w:numPr>
        <w:spacing w:line="256" w:lineRule="auto"/>
        <w:jc w:val="both"/>
        <w:rPr>
          <w:rFonts w:eastAsia="Arial" w:cstheme="minorHAnsi"/>
          <w:spacing w:val="-1"/>
        </w:rPr>
      </w:pPr>
      <w:r w:rsidRPr="00A54361">
        <w:rPr>
          <w:rFonts w:eastAsia="Arial" w:cstheme="minorHAnsi"/>
          <w:spacing w:val="-1"/>
        </w:rPr>
        <w:t xml:space="preserve">The Bidder </w:t>
      </w:r>
      <w:r w:rsidR="00A602A0" w:rsidRPr="00A54361">
        <w:rPr>
          <w:rFonts w:eastAsia="Arial" w:cstheme="minorHAnsi"/>
          <w:spacing w:val="-1"/>
        </w:rPr>
        <w:t>should</w:t>
      </w:r>
      <w:r w:rsidRPr="00A54361">
        <w:rPr>
          <w:rFonts w:eastAsia="Arial" w:cstheme="minorHAnsi"/>
          <w:spacing w:val="-1"/>
        </w:rPr>
        <w:t xml:space="preserve"> e</w:t>
      </w:r>
      <w:r w:rsidR="008E25B1" w:rsidRPr="00A54361">
        <w:rPr>
          <w:rFonts w:eastAsia="Arial" w:cstheme="minorHAnsi"/>
          <w:spacing w:val="-1"/>
        </w:rPr>
        <w:t>nable the Bank's security team members with Red Teaming and Blue Teaming oriented cybersecurity trainings without any additional charge</w:t>
      </w:r>
    </w:p>
    <w:p w14:paraId="6A6F2C42" w14:textId="038D262D" w:rsidR="00C9357F" w:rsidRPr="00A54361" w:rsidRDefault="00742BFE" w:rsidP="00A54361">
      <w:pPr>
        <w:pStyle w:val="ListParagraph"/>
        <w:numPr>
          <w:ilvl w:val="0"/>
          <w:numId w:val="60"/>
        </w:numPr>
        <w:spacing w:line="256" w:lineRule="auto"/>
        <w:jc w:val="both"/>
        <w:rPr>
          <w:rFonts w:eastAsia="Arial" w:cstheme="minorHAnsi"/>
          <w:spacing w:val="-1"/>
        </w:rPr>
      </w:pPr>
      <w:r w:rsidRPr="00A54361">
        <w:rPr>
          <w:rFonts w:eastAsia="Arial" w:cstheme="minorHAnsi"/>
          <w:spacing w:val="-1"/>
        </w:rPr>
        <w:t>Breach and Attack Simulation solution should provide actionable reports, such as but not limited to below mentioned reports:</w:t>
      </w:r>
    </w:p>
    <w:p w14:paraId="433C4901" w14:textId="6D8F79CF" w:rsidR="00C9357F" w:rsidRPr="00A54361" w:rsidRDefault="00C9357F" w:rsidP="00A54361">
      <w:pPr>
        <w:pStyle w:val="ListParagraph"/>
        <w:numPr>
          <w:ilvl w:val="1"/>
          <w:numId w:val="60"/>
        </w:numPr>
        <w:spacing w:line="256" w:lineRule="auto"/>
        <w:jc w:val="both"/>
        <w:rPr>
          <w:rFonts w:eastAsia="Arial" w:cstheme="minorHAnsi"/>
          <w:spacing w:val="-1"/>
        </w:rPr>
      </w:pPr>
      <w:r w:rsidRPr="00A54361">
        <w:t>Threat Simulation Reports - The BAS solution should simulate attacks based on real-world threat actor tactics, techniques, and procedures (TTPs), should evaluate the ability of Bank’s security tools to detect simulated attacks, and assess the effectiveness of Bank’s incident response plan.</w:t>
      </w:r>
    </w:p>
    <w:p w14:paraId="57E8A136" w14:textId="77777777" w:rsidR="00C9357F" w:rsidRPr="00A54361" w:rsidRDefault="00742BFE" w:rsidP="00A54361">
      <w:pPr>
        <w:pStyle w:val="ListParagraph"/>
        <w:numPr>
          <w:ilvl w:val="1"/>
          <w:numId w:val="60"/>
        </w:numPr>
        <w:spacing w:line="256" w:lineRule="auto"/>
        <w:jc w:val="both"/>
      </w:pPr>
      <w:r w:rsidRPr="00A54361">
        <w:t>Security Control Effectiveness Reports</w:t>
      </w:r>
      <w:r w:rsidR="00C9357F" w:rsidRPr="00A54361">
        <w:t xml:space="preserve"> - </w:t>
      </w:r>
      <w:r w:rsidRPr="00A54361">
        <w:t>The BAS solution should evaluate the effectiveness of security controls in preventing or detecting attacks, should highlight areas where security controls are lacking, and should suggest improvements to enhance control efficiency.</w:t>
      </w:r>
    </w:p>
    <w:p w14:paraId="6A6F2BF8" w14:textId="511DC3FA" w:rsidR="00742BFE" w:rsidRPr="00A54361" w:rsidRDefault="00742BFE" w:rsidP="00A54361">
      <w:pPr>
        <w:pStyle w:val="ListParagraph"/>
        <w:numPr>
          <w:ilvl w:val="1"/>
          <w:numId w:val="60"/>
        </w:numPr>
        <w:spacing w:line="256" w:lineRule="auto"/>
        <w:jc w:val="both"/>
      </w:pPr>
      <w:r w:rsidRPr="00A54361">
        <w:t>Attack Path Analysis Reports</w:t>
      </w:r>
      <w:r w:rsidR="00C9357F" w:rsidRPr="00A54361">
        <w:t xml:space="preserve"> - </w:t>
      </w:r>
      <w:r w:rsidRPr="00A54361">
        <w:t xml:space="preserve">The BAS solution should be able to visualize how an attacker could move laterally within the network, </w:t>
      </w:r>
      <w:r w:rsidR="00120AEE" w:rsidRPr="00A54361">
        <w:t>identify</w:t>
      </w:r>
      <w:r w:rsidRPr="00A54361">
        <w:t xml:space="preserve"> sensitive data exposed to potential </w:t>
      </w:r>
      <w:r w:rsidR="0009203F" w:rsidRPr="00A54361">
        <w:t>a</w:t>
      </w:r>
      <w:r w:rsidRPr="00A54361">
        <w:t>ttackers and recommend steps to block attack paths.</w:t>
      </w:r>
    </w:p>
    <w:p w14:paraId="10969239" w14:textId="6BABFD1A" w:rsidR="00742BFE" w:rsidRPr="00A54361" w:rsidRDefault="00742BFE" w:rsidP="00A54361">
      <w:pPr>
        <w:pStyle w:val="ListParagraph"/>
        <w:numPr>
          <w:ilvl w:val="1"/>
          <w:numId w:val="60"/>
        </w:numPr>
        <w:spacing w:line="256" w:lineRule="auto"/>
        <w:jc w:val="both"/>
      </w:pPr>
      <w:r w:rsidRPr="00A54361">
        <w:t>Executive Summaries</w:t>
      </w:r>
      <w:r w:rsidR="0009203F" w:rsidRPr="00A54361">
        <w:t xml:space="preserve"> - </w:t>
      </w:r>
      <w:r w:rsidR="00C9357F" w:rsidRPr="00A54361">
        <w:t>The BAS Solution should provide h</w:t>
      </w:r>
      <w:r w:rsidRPr="00A54361">
        <w:t>igh-level overview</w:t>
      </w:r>
      <w:r w:rsidR="00C9357F" w:rsidRPr="00A54361">
        <w:t xml:space="preserve"> which s</w:t>
      </w:r>
      <w:r w:rsidRPr="00A54361">
        <w:t>ummarizes key findings and recommendations.</w:t>
      </w:r>
    </w:p>
    <w:p w14:paraId="33AC2565" w14:textId="03BB5EC0" w:rsidR="00E1129D" w:rsidRPr="00A54361" w:rsidRDefault="00E1129D" w:rsidP="00A54361">
      <w:pPr>
        <w:pStyle w:val="ListParagraph"/>
        <w:numPr>
          <w:ilvl w:val="0"/>
          <w:numId w:val="60"/>
        </w:numPr>
        <w:jc w:val="both"/>
      </w:pPr>
      <w:r w:rsidRPr="00A54361">
        <w:rPr>
          <w:rFonts w:eastAsia="Arial" w:cstheme="minorHAnsi"/>
          <w:spacing w:val="-1"/>
        </w:rPr>
        <w:t>A red teaming solution should provide a comprehensive assessment report of the Bank’s security posture by simulating real-world attacks, which should help Bank’s team in understanding the Banks's vulnerability landscape and prioritizing remediation efforts</w:t>
      </w:r>
      <w:r w:rsidRPr="00A54361">
        <w:t xml:space="preserve">.   </w:t>
      </w:r>
    </w:p>
    <w:p w14:paraId="4DF5EC48" w14:textId="27915DC6" w:rsidR="008772BF" w:rsidRPr="00A54361" w:rsidRDefault="008772BF" w:rsidP="00A54361">
      <w:pPr>
        <w:pStyle w:val="TableParagraph"/>
        <w:jc w:val="both"/>
        <w:rPr>
          <w:rFonts w:asciiTheme="minorHAnsi" w:hAnsiTheme="minorHAnsi" w:cstheme="minorHAnsi"/>
        </w:rPr>
      </w:pPr>
    </w:p>
    <w:p w14:paraId="5C3CA490" w14:textId="5FA3A648" w:rsidR="00280E2E" w:rsidRPr="00A54361" w:rsidRDefault="008772BF" w:rsidP="00A54361">
      <w:pPr>
        <w:pStyle w:val="Heading3"/>
        <w:jc w:val="both"/>
        <w:rPr>
          <w:color w:val="auto"/>
        </w:rPr>
      </w:pPr>
      <w:bookmarkStart w:id="18" w:name="_Toc182233338"/>
      <w:r w:rsidRPr="00A54361">
        <w:rPr>
          <w:rStyle w:val="Strong"/>
          <w:b/>
          <w:bCs w:val="0"/>
          <w:color w:val="auto"/>
        </w:rPr>
        <w:t>Phishing Simulation</w:t>
      </w:r>
      <w:bookmarkEnd w:id="18"/>
    </w:p>
    <w:p w14:paraId="5D7255C8" w14:textId="2DC0EFE1" w:rsidR="00717FC8" w:rsidRPr="00A54361" w:rsidRDefault="00717FC8"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The bidder is required to Supply, Install</w:t>
      </w:r>
      <w:r w:rsidR="00B6526D" w:rsidRPr="00A54361">
        <w:rPr>
          <w:rFonts w:eastAsia="Arial" w:cstheme="minorHAnsi"/>
          <w:spacing w:val="-1"/>
        </w:rPr>
        <w:t>, configure</w:t>
      </w:r>
      <w:r w:rsidRPr="00A54361">
        <w:rPr>
          <w:rFonts w:eastAsia="Arial" w:cstheme="minorHAnsi"/>
          <w:spacing w:val="-1"/>
        </w:rPr>
        <w:t xml:space="preserve"> and </w:t>
      </w:r>
      <w:r w:rsidR="0002741C" w:rsidRPr="00A54361">
        <w:rPr>
          <w:rFonts w:eastAsia="Arial" w:cstheme="minorHAnsi"/>
          <w:spacing w:val="-1"/>
        </w:rPr>
        <w:t>maintain</w:t>
      </w:r>
      <w:r w:rsidRPr="00A54361">
        <w:rPr>
          <w:rFonts w:eastAsia="Arial" w:cstheme="minorHAnsi"/>
          <w:spacing w:val="-1"/>
        </w:rPr>
        <w:t xml:space="preserve"> “Phishing Simulation” solutions at Bank for the period of contract. The proposed solution is required to meet the technical specifications and bill of material given in Annexure </w:t>
      </w:r>
      <w:r w:rsidR="000113F3" w:rsidRPr="00A54361">
        <w:rPr>
          <w:rFonts w:eastAsia="Arial" w:cstheme="minorHAnsi"/>
          <w:spacing w:val="-1"/>
        </w:rPr>
        <w:t>2 -</w:t>
      </w:r>
      <w:r w:rsidRPr="00A54361">
        <w:rPr>
          <w:rFonts w:eastAsia="Arial" w:cstheme="minorHAnsi"/>
          <w:spacing w:val="-1"/>
        </w:rPr>
        <w:t xml:space="preserve"> Minimum Technical Specifications and Annexure </w:t>
      </w:r>
      <w:r w:rsidR="000113F3" w:rsidRPr="00A54361">
        <w:rPr>
          <w:rFonts w:eastAsia="Arial" w:cstheme="minorHAnsi"/>
          <w:spacing w:val="-1"/>
        </w:rPr>
        <w:t>1 -</w:t>
      </w:r>
      <w:r w:rsidRPr="00A54361">
        <w:rPr>
          <w:rFonts w:eastAsia="Arial" w:cstheme="minorHAnsi"/>
          <w:spacing w:val="-1"/>
        </w:rPr>
        <w:t xml:space="preserve"> Bill of Material. </w:t>
      </w:r>
    </w:p>
    <w:p w14:paraId="0651B419" w14:textId="6A35911A" w:rsidR="00717FC8" w:rsidRPr="00A54361" w:rsidRDefault="00717FC8"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Bidder is required to configure Phishing Simulation solution at DC as Primary and at Disaster Recovery site as secondary, having high availability across DC and DRC. In case of DR Drill or DC fails, Phishing Simulation Solution at DRC should act as Primary</w:t>
      </w:r>
    </w:p>
    <w:p w14:paraId="3E6BF930" w14:textId="269EEFE8" w:rsidR="00280E2E" w:rsidRPr="00A54361" w:rsidRDefault="00717FC8"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The proposed Phishing simulations should test your Bank's employees' ability to identify and respond to phishing attacks. These simulations mimic real-world phishing emails, text messages, or even phone calls in a controlled environment.</w:t>
      </w:r>
    </w:p>
    <w:p w14:paraId="6BFBD132" w14:textId="6C6FE894" w:rsidR="00280E2E" w:rsidRPr="00A54361" w:rsidRDefault="00F835C5"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 xml:space="preserve">The proposed phishing simulation solution should support features such as Raising Security Awareness, Identifying Susceptible Employees, Improving Overall Security Posture, </w:t>
      </w:r>
      <w:r w:rsidR="0002741C" w:rsidRPr="00A54361">
        <w:rPr>
          <w:rFonts w:eastAsia="Arial" w:cstheme="minorHAnsi"/>
          <w:spacing w:val="-1"/>
        </w:rPr>
        <w:t>and Testing</w:t>
      </w:r>
      <w:r w:rsidRPr="00A54361">
        <w:rPr>
          <w:rFonts w:eastAsia="Arial" w:cstheme="minorHAnsi"/>
          <w:spacing w:val="-1"/>
        </w:rPr>
        <w:t xml:space="preserve"> Security Controls.</w:t>
      </w:r>
    </w:p>
    <w:p w14:paraId="45C2C713" w14:textId="77777777" w:rsidR="00D70A4F" w:rsidRPr="00A54361" w:rsidRDefault="00F835C5"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By conducting phishing simulations regularly, it should significantly improve Bank's ability to defend against phishing attacks, a common and evolving cyber threat.</w:t>
      </w:r>
    </w:p>
    <w:p w14:paraId="17AC646A" w14:textId="77777777" w:rsidR="00A25915" w:rsidRPr="00A54361" w:rsidRDefault="00A25915" w:rsidP="00A54361">
      <w:pPr>
        <w:pStyle w:val="TableParagraph"/>
        <w:numPr>
          <w:ilvl w:val="0"/>
          <w:numId w:val="60"/>
        </w:numPr>
        <w:jc w:val="both"/>
        <w:rPr>
          <w:rFonts w:asciiTheme="minorHAnsi" w:hAnsiTheme="minorHAnsi" w:cstheme="minorHAnsi"/>
        </w:rPr>
      </w:pPr>
      <w:r w:rsidRPr="00A54361">
        <w:rPr>
          <w:rFonts w:asciiTheme="minorHAnsi" w:hAnsiTheme="minorHAnsi" w:cstheme="minorHAnsi"/>
        </w:rPr>
        <w:t>The platform shall facilitate creation of phishing campaigns including QR code phishing which can be customized by bank.</w:t>
      </w:r>
    </w:p>
    <w:p w14:paraId="59EED44D" w14:textId="1642C879" w:rsidR="00A25915" w:rsidRPr="00A54361" w:rsidRDefault="00A25915" w:rsidP="00A54361">
      <w:pPr>
        <w:pStyle w:val="TableParagraph"/>
        <w:numPr>
          <w:ilvl w:val="0"/>
          <w:numId w:val="60"/>
        </w:numPr>
        <w:jc w:val="both"/>
        <w:rPr>
          <w:rFonts w:asciiTheme="minorHAnsi" w:hAnsiTheme="minorHAnsi" w:cstheme="minorHAnsi"/>
        </w:rPr>
      </w:pPr>
      <w:r w:rsidRPr="00A54361">
        <w:rPr>
          <w:rFonts w:asciiTheme="minorHAnsi" w:hAnsiTheme="minorHAnsi" w:cstheme="minorHAnsi"/>
        </w:rPr>
        <w:t xml:space="preserve">The bidder </w:t>
      </w:r>
      <w:r w:rsidR="00A602A0" w:rsidRPr="00A54361">
        <w:rPr>
          <w:rFonts w:asciiTheme="minorHAnsi" w:hAnsiTheme="minorHAnsi" w:cstheme="minorHAnsi"/>
        </w:rPr>
        <w:t>should</w:t>
      </w:r>
      <w:r w:rsidRPr="00A54361">
        <w:rPr>
          <w:rFonts w:asciiTheme="minorHAnsi" w:hAnsiTheme="minorHAnsi" w:cstheme="minorHAnsi"/>
        </w:rPr>
        <w:t xml:space="preserve"> provide services for conducting simulated phishing, vishing and smishing exercises to improve cyber security awareness of bank staff, vendor employees, employees in </w:t>
      </w:r>
      <w:r w:rsidRPr="00A54361">
        <w:rPr>
          <w:rFonts w:asciiTheme="minorHAnsi" w:hAnsiTheme="minorHAnsi" w:cstheme="minorHAnsi"/>
        </w:rPr>
        <w:lastRenderedPageBreak/>
        <w:t>Overseas branches, employees in Bank’s subsidiaries and Board of Directors etc. The resource for conducting the simulated phishing, vishing and smishing exercises shall be deployed in Hyderabad/Mumbai and shall be responsible to complete the exercises as per bank’s requirement and submit the report.</w:t>
      </w:r>
    </w:p>
    <w:p w14:paraId="010258A1" w14:textId="6F0D45BA" w:rsidR="00A33B85" w:rsidRPr="00A54361" w:rsidRDefault="00A33B85" w:rsidP="00A54361">
      <w:pPr>
        <w:pStyle w:val="TableParagraph"/>
        <w:numPr>
          <w:ilvl w:val="0"/>
          <w:numId w:val="60"/>
        </w:numPr>
        <w:jc w:val="both"/>
        <w:rPr>
          <w:rFonts w:asciiTheme="minorHAnsi" w:hAnsiTheme="minorHAnsi" w:cstheme="minorHAnsi"/>
        </w:rPr>
      </w:pPr>
      <w:r w:rsidRPr="00A54361">
        <w:rPr>
          <w:rFonts w:asciiTheme="minorHAnsi" w:hAnsiTheme="minorHAnsi" w:cstheme="minorHAnsi"/>
        </w:rPr>
        <w:t xml:space="preserve">The bidder </w:t>
      </w:r>
      <w:r w:rsidR="00A602A0" w:rsidRPr="00A54361">
        <w:rPr>
          <w:rFonts w:asciiTheme="minorHAnsi" w:hAnsiTheme="minorHAnsi" w:cstheme="minorHAnsi"/>
        </w:rPr>
        <w:t>should</w:t>
      </w:r>
      <w:r w:rsidRPr="00A54361">
        <w:rPr>
          <w:rFonts w:asciiTheme="minorHAnsi" w:hAnsiTheme="minorHAnsi" w:cstheme="minorHAnsi"/>
        </w:rPr>
        <w:t xml:space="preserve"> provide daily, weekly, monthly status reports or as and when needed by the Bank.</w:t>
      </w:r>
    </w:p>
    <w:p w14:paraId="520ED88D" w14:textId="6A3DB11D" w:rsidR="00A33B85" w:rsidRPr="00A54361" w:rsidRDefault="00A33B85" w:rsidP="00A54361">
      <w:pPr>
        <w:pStyle w:val="TableParagraph"/>
        <w:numPr>
          <w:ilvl w:val="0"/>
          <w:numId w:val="60"/>
        </w:numPr>
        <w:jc w:val="both"/>
        <w:rPr>
          <w:rFonts w:asciiTheme="minorHAnsi" w:hAnsiTheme="minorHAnsi" w:cstheme="minorHAnsi"/>
        </w:rPr>
      </w:pPr>
      <w:r w:rsidRPr="00A54361">
        <w:rPr>
          <w:rFonts w:asciiTheme="minorHAnsi" w:hAnsiTheme="minorHAnsi" w:cstheme="minorHAnsi"/>
        </w:rPr>
        <w:t xml:space="preserve">The bidder </w:t>
      </w:r>
      <w:r w:rsidR="00A602A0" w:rsidRPr="00A54361">
        <w:rPr>
          <w:rFonts w:asciiTheme="minorHAnsi" w:hAnsiTheme="minorHAnsi" w:cstheme="minorHAnsi"/>
        </w:rPr>
        <w:t>should</w:t>
      </w:r>
      <w:r w:rsidRPr="00A54361">
        <w:rPr>
          <w:rFonts w:asciiTheme="minorHAnsi" w:hAnsiTheme="minorHAnsi" w:cstheme="minorHAnsi"/>
        </w:rPr>
        <w:t xml:space="preserve"> be responsible for delivering social engineering exercises related to simulated vishing and smishing for the tenure of contract.</w:t>
      </w:r>
    </w:p>
    <w:p w14:paraId="28708DF3" w14:textId="131CEFCA" w:rsidR="00A33B85" w:rsidRPr="00A54361" w:rsidRDefault="00A33B85" w:rsidP="00A54361">
      <w:pPr>
        <w:pStyle w:val="TableParagraph"/>
        <w:numPr>
          <w:ilvl w:val="0"/>
          <w:numId w:val="60"/>
        </w:numPr>
        <w:jc w:val="both"/>
        <w:rPr>
          <w:rFonts w:asciiTheme="minorHAnsi" w:hAnsiTheme="minorHAnsi" w:cstheme="minorHAnsi"/>
        </w:rPr>
      </w:pPr>
      <w:r w:rsidRPr="00A54361">
        <w:rPr>
          <w:rFonts w:asciiTheme="minorHAnsi" w:hAnsiTheme="minorHAnsi" w:cstheme="minorHAnsi"/>
        </w:rPr>
        <w:t xml:space="preserve">The bidder </w:t>
      </w:r>
      <w:r w:rsidR="00A602A0" w:rsidRPr="00A54361">
        <w:rPr>
          <w:rFonts w:asciiTheme="minorHAnsi" w:hAnsiTheme="minorHAnsi" w:cstheme="minorHAnsi"/>
        </w:rPr>
        <w:t>should</w:t>
      </w:r>
      <w:r w:rsidRPr="00A54361">
        <w:rPr>
          <w:rFonts w:asciiTheme="minorHAnsi" w:hAnsiTheme="minorHAnsi" w:cstheme="minorHAnsi"/>
        </w:rPr>
        <w:t xml:space="preserve"> be capable of performing vishing exercises in both automated and manual methods. The automated approach shall support scalability in conducting vishing campaigns through Bidder’s infrastructure/gateway. </w:t>
      </w:r>
    </w:p>
    <w:p w14:paraId="47209FB5" w14:textId="77777777" w:rsidR="001E025D" w:rsidRPr="00A54361" w:rsidRDefault="00711F01" w:rsidP="00A54361">
      <w:pPr>
        <w:pStyle w:val="TableParagraph"/>
        <w:numPr>
          <w:ilvl w:val="0"/>
          <w:numId w:val="60"/>
        </w:numPr>
        <w:jc w:val="both"/>
        <w:rPr>
          <w:rFonts w:asciiTheme="minorHAnsi" w:hAnsiTheme="minorHAnsi" w:cstheme="minorHAnsi"/>
        </w:rPr>
      </w:pPr>
      <w:r w:rsidRPr="00A54361">
        <w:rPr>
          <w:rFonts w:asciiTheme="minorHAnsi" w:hAnsiTheme="minorHAnsi" w:cstheme="minorHAnsi"/>
        </w:rPr>
        <w:t>Sizing Guidelines</w:t>
      </w:r>
      <w:r w:rsidR="006965F2" w:rsidRPr="00A54361">
        <w:rPr>
          <w:rFonts w:asciiTheme="minorHAnsi" w:hAnsiTheme="minorHAnsi" w:cstheme="minorHAnsi"/>
        </w:rPr>
        <w:t xml:space="preserve"> for Phishing Simulation can be found in Annexure </w:t>
      </w:r>
      <w:r w:rsidR="000113F3" w:rsidRPr="00A54361">
        <w:rPr>
          <w:rFonts w:asciiTheme="minorHAnsi" w:hAnsiTheme="minorHAnsi" w:cstheme="minorHAnsi"/>
        </w:rPr>
        <w:t>2</w:t>
      </w:r>
      <w:r w:rsidR="006965F2" w:rsidRPr="00A54361">
        <w:rPr>
          <w:rFonts w:asciiTheme="minorHAnsi" w:hAnsiTheme="minorHAnsi" w:cstheme="minorHAnsi"/>
        </w:rPr>
        <w:t xml:space="preserve"> - Minimum Technical Specifications, in the subtab titles "Solutions Sizing".</w:t>
      </w:r>
    </w:p>
    <w:p w14:paraId="4053A186" w14:textId="47528AF0" w:rsidR="001E025D" w:rsidRPr="00A54361" w:rsidRDefault="001E025D" w:rsidP="00A54361">
      <w:pPr>
        <w:pStyle w:val="TableParagraph"/>
        <w:numPr>
          <w:ilvl w:val="0"/>
          <w:numId w:val="60"/>
        </w:numPr>
        <w:jc w:val="both"/>
        <w:rPr>
          <w:rFonts w:asciiTheme="minorHAnsi" w:hAnsiTheme="minorHAnsi" w:cstheme="minorHAnsi"/>
        </w:rPr>
      </w:pPr>
      <w:r w:rsidRPr="00A54361">
        <w:rPr>
          <w:rFonts w:asciiTheme="minorHAnsi" w:hAnsiTheme="minorHAnsi" w:cstheme="minorHAnsi"/>
        </w:rPr>
        <w:t>The Phishing Simulation solution should provide actionable reports, such as but not limited to below mentioned reports:</w:t>
      </w:r>
    </w:p>
    <w:p w14:paraId="23449747" w14:textId="44A8EA2F" w:rsidR="00E978AA" w:rsidRPr="00A54361" w:rsidRDefault="001E025D" w:rsidP="00A54361">
      <w:pPr>
        <w:pStyle w:val="ListParagraph"/>
        <w:numPr>
          <w:ilvl w:val="0"/>
          <w:numId w:val="82"/>
        </w:numPr>
        <w:spacing w:line="256" w:lineRule="auto"/>
        <w:jc w:val="both"/>
        <w:rPr>
          <w:rFonts w:eastAsia="Arial" w:cstheme="minorHAnsi"/>
          <w:spacing w:val="-1"/>
        </w:rPr>
      </w:pPr>
      <w:r w:rsidRPr="00A54361">
        <w:rPr>
          <w:rFonts w:eastAsia="Arial" w:cstheme="minorHAnsi"/>
          <w:spacing w:val="-1"/>
        </w:rPr>
        <w:t xml:space="preserve">Campaign Performance Reports – The Phishing Simulation solution should report on the percentage of users who clicked on phishing links, percentage of users who opened phishing emails, should identify Bank’s departments with higher susceptibility, </w:t>
      </w:r>
      <w:r w:rsidR="00E978AA" w:rsidRPr="00A54361">
        <w:rPr>
          <w:rFonts w:eastAsia="Arial" w:cstheme="minorHAnsi"/>
          <w:spacing w:val="-1"/>
        </w:rPr>
        <w:t>a</w:t>
      </w:r>
      <w:r w:rsidRPr="00A54361">
        <w:rPr>
          <w:rFonts w:eastAsia="Arial" w:cstheme="minorHAnsi"/>
          <w:spacing w:val="-1"/>
        </w:rPr>
        <w:t>verage time taken by users to report a phishing email</w:t>
      </w:r>
      <w:r w:rsidR="00E978AA" w:rsidRPr="00A54361">
        <w:rPr>
          <w:rFonts w:eastAsia="Arial" w:cstheme="minorHAnsi"/>
          <w:spacing w:val="-1"/>
        </w:rPr>
        <w:t xml:space="preserve"> and m</w:t>
      </w:r>
      <w:r w:rsidRPr="00A54361">
        <w:rPr>
          <w:rFonts w:eastAsia="Arial" w:cstheme="minorHAnsi"/>
          <w:spacing w:val="-1"/>
        </w:rPr>
        <w:t>easure the success of the phishing simulation.</w:t>
      </w:r>
    </w:p>
    <w:p w14:paraId="4F65BC4D" w14:textId="1F2CF47A" w:rsidR="00E978AA" w:rsidRPr="00A54361" w:rsidRDefault="00E978AA" w:rsidP="00A54361">
      <w:pPr>
        <w:pStyle w:val="ListParagraph"/>
        <w:numPr>
          <w:ilvl w:val="0"/>
          <w:numId w:val="82"/>
        </w:numPr>
        <w:spacing w:line="256" w:lineRule="auto"/>
        <w:jc w:val="both"/>
        <w:rPr>
          <w:rFonts w:eastAsia="Arial" w:cstheme="minorHAnsi"/>
          <w:spacing w:val="-1"/>
        </w:rPr>
      </w:pPr>
      <w:r w:rsidRPr="00A54361">
        <w:rPr>
          <w:rFonts w:eastAsia="Arial" w:cstheme="minorHAnsi"/>
          <w:spacing w:val="-1"/>
        </w:rPr>
        <w:t>U</w:t>
      </w:r>
      <w:r w:rsidR="001E025D" w:rsidRPr="00A54361">
        <w:rPr>
          <w:rFonts w:eastAsia="Arial" w:cstheme="minorHAnsi"/>
          <w:spacing w:val="-1"/>
        </w:rPr>
        <w:t>ser Behavior Reports</w:t>
      </w:r>
      <w:r w:rsidRPr="00A54361">
        <w:rPr>
          <w:rFonts w:eastAsia="Arial" w:cstheme="minorHAnsi"/>
          <w:spacing w:val="-1"/>
        </w:rPr>
        <w:t xml:space="preserve"> - The Phishing Simulation solution should report i</w:t>
      </w:r>
      <w:r w:rsidR="001E025D" w:rsidRPr="00A54361">
        <w:rPr>
          <w:rFonts w:eastAsia="Arial" w:cstheme="minorHAnsi"/>
          <w:spacing w:val="-1"/>
        </w:rPr>
        <w:t>ndividual user performance</w:t>
      </w:r>
      <w:r w:rsidRPr="00A54361">
        <w:rPr>
          <w:rFonts w:eastAsia="Arial" w:cstheme="minorHAnsi"/>
          <w:spacing w:val="-1"/>
        </w:rPr>
        <w:t xml:space="preserve"> and i</w:t>
      </w:r>
      <w:r w:rsidR="001E025D" w:rsidRPr="00A54361">
        <w:rPr>
          <w:rFonts w:eastAsia="Arial" w:cstheme="minorHAnsi"/>
          <w:spacing w:val="-1"/>
        </w:rPr>
        <w:t>dentif</w:t>
      </w:r>
      <w:r w:rsidRPr="00A54361">
        <w:rPr>
          <w:rFonts w:eastAsia="Arial" w:cstheme="minorHAnsi"/>
          <w:spacing w:val="-1"/>
        </w:rPr>
        <w:t>y</w:t>
      </w:r>
      <w:r w:rsidR="001E025D" w:rsidRPr="00A54361">
        <w:rPr>
          <w:rFonts w:eastAsia="Arial" w:cstheme="minorHAnsi"/>
          <w:spacing w:val="-1"/>
        </w:rPr>
        <w:t xml:space="preserve"> users who consistently fall for phishing attempts</w:t>
      </w:r>
      <w:r w:rsidRPr="00A54361">
        <w:rPr>
          <w:rFonts w:eastAsia="Arial" w:cstheme="minorHAnsi"/>
          <w:spacing w:val="-1"/>
        </w:rPr>
        <w:t>.</w:t>
      </w:r>
    </w:p>
    <w:p w14:paraId="6E691CA9" w14:textId="1D34421E" w:rsidR="00E978AA" w:rsidRPr="00A54361" w:rsidRDefault="00E978AA" w:rsidP="00A54361">
      <w:pPr>
        <w:pStyle w:val="ListParagraph"/>
        <w:numPr>
          <w:ilvl w:val="0"/>
          <w:numId w:val="82"/>
        </w:numPr>
        <w:spacing w:line="256" w:lineRule="auto"/>
        <w:jc w:val="both"/>
        <w:rPr>
          <w:rFonts w:eastAsia="Arial" w:cstheme="minorHAnsi"/>
          <w:spacing w:val="-1"/>
        </w:rPr>
      </w:pPr>
      <w:r w:rsidRPr="00A54361">
        <w:rPr>
          <w:rFonts w:eastAsia="Arial" w:cstheme="minorHAnsi"/>
          <w:spacing w:val="-1"/>
        </w:rPr>
        <w:t>T</w:t>
      </w:r>
      <w:r w:rsidR="001E025D" w:rsidRPr="00A54361">
        <w:rPr>
          <w:rFonts w:eastAsia="Arial" w:cstheme="minorHAnsi"/>
          <w:spacing w:val="-1"/>
        </w:rPr>
        <w:t>raining Effectiveness Reports</w:t>
      </w:r>
      <w:r w:rsidRPr="00A54361">
        <w:rPr>
          <w:rFonts w:eastAsia="Arial" w:cstheme="minorHAnsi"/>
          <w:spacing w:val="-1"/>
        </w:rPr>
        <w:t xml:space="preserve"> - The Phishing Simulation solution should m</w:t>
      </w:r>
      <w:r w:rsidR="001E025D" w:rsidRPr="00A54361">
        <w:rPr>
          <w:rFonts w:eastAsia="Arial" w:cstheme="minorHAnsi"/>
          <w:spacing w:val="-1"/>
        </w:rPr>
        <w:t>easure</w:t>
      </w:r>
      <w:r w:rsidR="00C44F3D" w:rsidRPr="00A54361">
        <w:rPr>
          <w:rFonts w:eastAsia="Arial" w:cstheme="minorHAnsi"/>
          <w:spacing w:val="-1"/>
        </w:rPr>
        <w:t xml:space="preserve"> </w:t>
      </w:r>
      <w:r w:rsidR="001E025D" w:rsidRPr="00A54361">
        <w:rPr>
          <w:rFonts w:eastAsia="Arial" w:cstheme="minorHAnsi"/>
          <w:spacing w:val="-1"/>
        </w:rPr>
        <w:t>the effectiveness of security awareness training</w:t>
      </w:r>
      <w:r w:rsidRPr="00A54361">
        <w:rPr>
          <w:rFonts w:eastAsia="Arial" w:cstheme="minorHAnsi"/>
          <w:spacing w:val="-1"/>
        </w:rPr>
        <w:t>, should t</w:t>
      </w:r>
      <w:r w:rsidR="001E025D" w:rsidRPr="00A54361">
        <w:rPr>
          <w:rFonts w:eastAsia="Arial" w:cstheme="minorHAnsi"/>
          <w:spacing w:val="-1"/>
        </w:rPr>
        <w:t>racks changes in user behavior after training.</w:t>
      </w:r>
    </w:p>
    <w:p w14:paraId="033A867B" w14:textId="2C205514" w:rsidR="001E025D" w:rsidRPr="00A54361" w:rsidRDefault="001E025D" w:rsidP="00A54361">
      <w:pPr>
        <w:pStyle w:val="ListParagraph"/>
        <w:numPr>
          <w:ilvl w:val="0"/>
          <w:numId w:val="83"/>
        </w:numPr>
        <w:spacing w:line="256" w:lineRule="auto"/>
        <w:jc w:val="both"/>
        <w:rPr>
          <w:rFonts w:eastAsia="Arial" w:cstheme="minorHAnsi"/>
          <w:spacing w:val="-1"/>
        </w:rPr>
      </w:pPr>
      <w:r w:rsidRPr="00A54361">
        <w:rPr>
          <w:rFonts w:eastAsia="Arial" w:cstheme="minorHAnsi"/>
          <w:spacing w:val="-1"/>
        </w:rPr>
        <w:t>Threat Intelligence Reports</w:t>
      </w:r>
      <w:r w:rsidR="00E978AA" w:rsidRPr="00A54361">
        <w:rPr>
          <w:rFonts w:eastAsia="Arial" w:cstheme="minorHAnsi"/>
          <w:spacing w:val="-1"/>
        </w:rPr>
        <w:t xml:space="preserve"> - The Phishing Simulation solutions should </w:t>
      </w:r>
      <w:r w:rsidR="00AF7095" w:rsidRPr="00A54361">
        <w:rPr>
          <w:rFonts w:eastAsia="Arial" w:cstheme="minorHAnsi"/>
          <w:spacing w:val="-1"/>
        </w:rPr>
        <w:t xml:space="preserve">update threat vectors/Library with </w:t>
      </w:r>
      <w:r w:rsidRPr="00A54361">
        <w:rPr>
          <w:rFonts w:eastAsia="Arial" w:cstheme="minorHAnsi"/>
          <w:spacing w:val="-1"/>
        </w:rPr>
        <w:t xml:space="preserve">emerging phishing tactics and </w:t>
      </w:r>
      <w:r w:rsidR="00C44F3D" w:rsidRPr="00A54361">
        <w:rPr>
          <w:rFonts w:eastAsia="Arial" w:cstheme="minorHAnsi"/>
          <w:spacing w:val="-1"/>
        </w:rPr>
        <w:t>techniques and</w:t>
      </w:r>
      <w:r w:rsidR="00E978AA" w:rsidRPr="00A54361">
        <w:rPr>
          <w:rFonts w:eastAsia="Arial" w:cstheme="minorHAnsi"/>
          <w:spacing w:val="-1"/>
        </w:rPr>
        <w:t xml:space="preserve"> help in </w:t>
      </w:r>
      <w:r w:rsidRPr="00A54361">
        <w:rPr>
          <w:rFonts w:eastAsia="Arial" w:cstheme="minorHAnsi"/>
          <w:spacing w:val="-1"/>
        </w:rPr>
        <w:t xml:space="preserve">Identification of potential threat actors targeting the </w:t>
      </w:r>
      <w:r w:rsidR="00E978AA" w:rsidRPr="00A54361">
        <w:rPr>
          <w:rFonts w:eastAsia="Arial" w:cstheme="minorHAnsi"/>
          <w:spacing w:val="-1"/>
        </w:rPr>
        <w:t>Bank.</w:t>
      </w:r>
    </w:p>
    <w:p w14:paraId="14DD3998" w14:textId="77777777" w:rsidR="00634613" w:rsidRPr="00A54361" w:rsidRDefault="00634613" w:rsidP="00A54361">
      <w:pPr>
        <w:pStyle w:val="TableParagraph"/>
        <w:jc w:val="both"/>
        <w:rPr>
          <w:rFonts w:asciiTheme="minorHAnsi" w:hAnsiTheme="minorHAnsi" w:cstheme="minorHAnsi"/>
        </w:rPr>
      </w:pPr>
    </w:p>
    <w:p w14:paraId="0019B759" w14:textId="2830019C" w:rsidR="00634613" w:rsidRPr="00A54361" w:rsidRDefault="00634613" w:rsidP="00A54361">
      <w:pPr>
        <w:pStyle w:val="Heading3"/>
        <w:jc w:val="both"/>
        <w:rPr>
          <w:rStyle w:val="Strong"/>
          <w:b/>
          <w:bCs w:val="0"/>
          <w:color w:val="auto"/>
        </w:rPr>
      </w:pPr>
      <w:bookmarkStart w:id="19" w:name="_Toc182233339"/>
      <w:r w:rsidRPr="00A54361">
        <w:rPr>
          <w:rStyle w:val="Strong"/>
          <w:b/>
          <w:bCs w:val="0"/>
          <w:color w:val="auto"/>
        </w:rPr>
        <w:t>AD Security</w:t>
      </w:r>
      <w:bookmarkEnd w:id="19"/>
    </w:p>
    <w:p w14:paraId="2B5BEF3E" w14:textId="060C680A" w:rsidR="00634613" w:rsidRPr="00A54361" w:rsidRDefault="00634613"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 xml:space="preserve">The bidder is required to Supply, Install, configure and </w:t>
      </w:r>
      <w:r w:rsidR="0002741C" w:rsidRPr="00A54361">
        <w:rPr>
          <w:rFonts w:eastAsia="Arial" w:cstheme="minorHAnsi"/>
          <w:spacing w:val="-1"/>
        </w:rPr>
        <w:t>maintain</w:t>
      </w:r>
      <w:r w:rsidRPr="00A54361">
        <w:rPr>
          <w:rFonts w:eastAsia="Arial" w:cstheme="minorHAnsi"/>
          <w:spacing w:val="-1"/>
        </w:rPr>
        <w:t xml:space="preserve"> “</w:t>
      </w:r>
      <w:r w:rsidR="00241875" w:rsidRPr="00A54361">
        <w:rPr>
          <w:rFonts w:eastAsia="Arial" w:cstheme="minorHAnsi"/>
          <w:spacing w:val="-1"/>
        </w:rPr>
        <w:t>AD</w:t>
      </w:r>
      <w:r w:rsidRPr="00A54361">
        <w:rPr>
          <w:rFonts w:eastAsia="Arial" w:cstheme="minorHAnsi"/>
          <w:spacing w:val="-1"/>
        </w:rPr>
        <w:t xml:space="preserve"> Security” solutions at Bank for the period of contract. The proposed solution is required to meet the technical specifications and bill of material given in Annexure </w:t>
      </w:r>
      <w:r w:rsidR="000113F3" w:rsidRPr="00A54361">
        <w:rPr>
          <w:rFonts w:eastAsia="Arial" w:cstheme="minorHAnsi"/>
          <w:spacing w:val="-1"/>
        </w:rPr>
        <w:t>2 -</w:t>
      </w:r>
      <w:r w:rsidRPr="00A54361">
        <w:rPr>
          <w:rFonts w:eastAsia="Arial" w:cstheme="minorHAnsi"/>
          <w:spacing w:val="-1"/>
        </w:rPr>
        <w:t xml:space="preserve"> Minimum Technical Specifications and Annexure </w:t>
      </w:r>
      <w:r w:rsidR="000113F3" w:rsidRPr="00A54361">
        <w:rPr>
          <w:rFonts w:eastAsia="Arial" w:cstheme="minorHAnsi"/>
          <w:spacing w:val="-1"/>
        </w:rPr>
        <w:t>1 -</w:t>
      </w:r>
      <w:r w:rsidRPr="00A54361">
        <w:rPr>
          <w:rFonts w:eastAsia="Arial" w:cstheme="minorHAnsi"/>
          <w:spacing w:val="-1"/>
        </w:rPr>
        <w:t xml:space="preserve"> Bill of Material. </w:t>
      </w:r>
    </w:p>
    <w:p w14:paraId="00F5EF80" w14:textId="754DC698" w:rsidR="00634613" w:rsidRPr="00A54361" w:rsidRDefault="00634613"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 xml:space="preserve">Bidder is required to configure </w:t>
      </w:r>
      <w:r w:rsidR="00241875" w:rsidRPr="00A54361">
        <w:rPr>
          <w:rFonts w:eastAsia="Arial" w:cstheme="minorHAnsi"/>
          <w:spacing w:val="-1"/>
        </w:rPr>
        <w:t>AD Security</w:t>
      </w:r>
      <w:r w:rsidRPr="00A54361">
        <w:rPr>
          <w:rFonts w:eastAsia="Arial" w:cstheme="minorHAnsi"/>
          <w:spacing w:val="-1"/>
        </w:rPr>
        <w:t xml:space="preserve"> solution at DC as Primary and at Disaster Recovery site as secondary, having high availability across DC and DRC. In case of DR Drill or DC fails, </w:t>
      </w:r>
      <w:r w:rsidR="00241875" w:rsidRPr="00A54361">
        <w:rPr>
          <w:rFonts w:eastAsia="Arial" w:cstheme="minorHAnsi"/>
          <w:spacing w:val="-1"/>
        </w:rPr>
        <w:t>AD</w:t>
      </w:r>
      <w:r w:rsidRPr="00A54361">
        <w:rPr>
          <w:rFonts w:eastAsia="Arial" w:cstheme="minorHAnsi"/>
          <w:spacing w:val="-1"/>
        </w:rPr>
        <w:t xml:space="preserve"> Security Solution at DRC should act as Primary</w:t>
      </w:r>
    </w:p>
    <w:p w14:paraId="76A94C12" w14:textId="0B990F9D" w:rsidR="006C0329" w:rsidRPr="00A54361" w:rsidRDefault="00634613"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 xml:space="preserve">AD Security </w:t>
      </w:r>
      <w:r w:rsidR="00241875" w:rsidRPr="00A54361">
        <w:rPr>
          <w:rFonts w:eastAsia="Arial" w:cstheme="minorHAnsi"/>
          <w:spacing w:val="-1"/>
        </w:rPr>
        <w:t xml:space="preserve">solution should </w:t>
      </w:r>
      <w:r w:rsidR="00A3023E" w:rsidRPr="00A54361">
        <w:rPr>
          <w:rFonts w:eastAsia="Arial" w:cstheme="minorHAnsi"/>
          <w:spacing w:val="-1"/>
        </w:rPr>
        <w:t>enhance</w:t>
      </w:r>
      <w:r w:rsidRPr="00A54361">
        <w:rPr>
          <w:rFonts w:eastAsia="Arial" w:cstheme="minorHAnsi"/>
          <w:spacing w:val="-1"/>
        </w:rPr>
        <w:t xml:space="preserve"> Active Directory (AD) </w:t>
      </w:r>
      <w:r w:rsidR="0002741C" w:rsidRPr="00A54361">
        <w:rPr>
          <w:rFonts w:eastAsia="Arial" w:cstheme="minorHAnsi"/>
          <w:spacing w:val="-1"/>
        </w:rPr>
        <w:t>defences</w:t>
      </w:r>
      <w:r w:rsidRPr="00A54361">
        <w:rPr>
          <w:rFonts w:eastAsia="Arial" w:cstheme="minorHAnsi"/>
          <w:spacing w:val="-1"/>
        </w:rPr>
        <w:t xml:space="preserve"> by enforcing access controls, monitoring privileged accounts, and detecting anomalous activities. </w:t>
      </w:r>
      <w:r w:rsidR="00241875" w:rsidRPr="00A54361">
        <w:rPr>
          <w:rFonts w:eastAsia="Arial" w:cstheme="minorHAnsi"/>
          <w:spacing w:val="-1"/>
        </w:rPr>
        <w:t>The proposed solution should</w:t>
      </w:r>
      <w:r w:rsidRPr="00A54361">
        <w:rPr>
          <w:rFonts w:eastAsia="Arial" w:cstheme="minorHAnsi"/>
          <w:spacing w:val="-1"/>
        </w:rPr>
        <w:t xml:space="preserve"> protect against insider threats and external attacks, ensuring the integrity and confidentiality of AD infrastructure critical to </w:t>
      </w:r>
      <w:r w:rsidR="00241875" w:rsidRPr="00A54361">
        <w:rPr>
          <w:rFonts w:eastAsia="Arial" w:cstheme="minorHAnsi"/>
          <w:spacing w:val="-1"/>
        </w:rPr>
        <w:t>Bank’s</w:t>
      </w:r>
      <w:r w:rsidRPr="00A54361">
        <w:rPr>
          <w:rFonts w:eastAsia="Arial" w:cstheme="minorHAnsi"/>
          <w:spacing w:val="-1"/>
        </w:rPr>
        <w:t xml:space="preserve"> operations and data security.</w:t>
      </w:r>
    </w:p>
    <w:p w14:paraId="59750DC7" w14:textId="25E2D838" w:rsidR="001C4CC7" w:rsidRPr="00A54361" w:rsidRDefault="001C4CC7" w:rsidP="00A54361">
      <w:pPr>
        <w:pStyle w:val="ListParagraph"/>
        <w:numPr>
          <w:ilvl w:val="0"/>
          <w:numId w:val="60"/>
        </w:numPr>
        <w:jc w:val="both"/>
      </w:pPr>
      <w:r w:rsidRPr="00A54361">
        <w:t xml:space="preserve">The bidder is required to Supply, Install, configure and </w:t>
      </w:r>
      <w:r w:rsidR="0002741C" w:rsidRPr="00A54361">
        <w:t>maintain</w:t>
      </w:r>
      <w:r w:rsidRPr="00A54361">
        <w:t xml:space="preserve"> “AD Security” solutions at Bank for the period of contract. The proposed solution is required to meet the technical specifications and bill of material given in Annexure </w:t>
      </w:r>
      <w:r w:rsidR="000113F3" w:rsidRPr="00A54361">
        <w:t>2 -</w:t>
      </w:r>
      <w:r w:rsidRPr="00A54361">
        <w:t xml:space="preserve"> Minimum Technical Specifications and Annexure </w:t>
      </w:r>
      <w:r w:rsidR="000113F3" w:rsidRPr="00A54361">
        <w:t>1 -</w:t>
      </w:r>
      <w:r w:rsidRPr="00A54361">
        <w:t xml:space="preserve"> Bill of Material. </w:t>
      </w:r>
    </w:p>
    <w:p w14:paraId="2DFBA896" w14:textId="77777777" w:rsidR="001C4CC7" w:rsidRPr="00A54361" w:rsidRDefault="001C4CC7" w:rsidP="00A54361">
      <w:pPr>
        <w:pStyle w:val="ListParagraph"/>
        <w:numPr>
          <w:ilvl w:val="0"/>
          <w:numId w:val="60"/>
        </w:numPr>
        <w:jc w:val="both"/>
      </w:pPr>
      <w:r w:rsidRPr="00A54361">
        <w:lastRenderedPageBreak/>
        <w:t xml:space="preserve">The proposed AD Security solution should protect the critical Active Directory (AD) services that manage identities and access throughout a network, that is name a few, control System Access, should protect Credentials and also should reduce the attack surface.    </w:t>
      </w:r>
    </w:p>
    <w:p w14:paraId="2A7F5FEE" w14:textId="77777777" w:rsidR="001C4CC7" w:rsidRPr="00A54361" w:rsidRDefault="001C4CC7" w:rsidP="00A54361">
      <w:pPr>
        <w:pStyle w:val="ListParagraph"/>
        <w:numPr>
          <w:ilvl w:val="0"/>
          <w:numId w:val="60"/>
        </w:numPr>
        <w:jc w:val="both"/>
      </w:pPr>
      <w:r w:rsidRPr="00A54361">
        <w:t xml:space="preserve">The Proposed AD Security Solution should support breadth of capabilities to audit, monitor, harden, and secure AD. </w:t>
      </w:r>
    </w:p>
    <w:p w14:paraId="738FF457" w14:textId="77777777" w:rsidR="001C4CC7" w:rsidRPr="00A54361" w:rsidRDefault="001C4CC7" w:rsidP="00A54361">
      <w:pPr>
        <w:pStyle w:val="ListParagraph"/>
        <w:numPr>
          <w:ilvl w:val="0"/>
          <w:numId w:val="60"/>
        </w:numPr>
        <w:jc w:val="both"/>
      </w:pPr>
      <w:r w:rsidRPr="00A54361">
        <w:t>There are several steps Bank can take to improve their AD security. The bank should follow best practices such as “use Strong Passwords”, “Enforce complex passwords, Least Privilege, Regular Monitoring and finally software and finally Keep Software Updated.</w:t>
      </w:r>
    </w:p>
    <w:p w14:paraId="749DA75C" w14:textId="77777777" w:rsidR="001C4CC7" w:rsidRPr="00A54361" w:rsidRDefault="001C4CC7" w:rsidP="00A54361">
      <w:pPr>
        <w:pStyle w:val="ListParagraph"/>
        <w:numPr>
          <w:ilvl w:val="0"/>
          <w:numId w:val="60"/>
        </w:numPr>
        <w:jc w:val="both"/>
      </w:pPr>
      <w:r w:rsidRPr="00A54361">
        <w:t xml:space="preserve">The proposed AD Security Solution should support following features such as: </w:t>
      </w:r>
    </w:p>
    <w:p w14:paraId="5F2A7B11" w14:textId="77777777" w:rsidR="001C4CC7" w:rsidRPr="00A54361" w:rsidRDefault="001C4CC7" w:rsidP="00A54361">
      <w:pPr>
        <w:pStyle w:val="ListParagraph"/>
        <w:numPr>
          <w:ilvl w:val="1"/>
          <w:numId w:val="60"/>
        </w:numPr>
        <w:jc w:val="both"/>
      </w:pPr>
      <w:r w:rsidRPr="00A54361">
        <w:t>Audit Accounts &amp; Privileges</w:t>
      </w:r>
    </w:p>
    <w:p w14:paraId="7BC024BF" w14:textId="77777777" w:rsidR="001C4CC7" w:rsidRPr="00A54361" w:rsidRDefault="001C4CC7" w:rsidP="00A54361">
      <w:pPr>
        <w:pStyle w:val="ListParagraph"/>
        <w:numPr>
          <w:ilvl w:val="1"/>
          <w:numId w:val="60"/>
        </w:numPr>
        <w:jc w:val="both"/>
      </w:pPr>
      <w:r w:rsidRPr="00A54361">
        <w:t>Attack Path Discovery</w:t>
      </w:r>
      <w:r w:rsidRPr="00A54361">
        <w:tab/>
      </w:r>
    </w:p>
    <w:p w14:paraId="154EB0F8" w14:textId="77777777" w:rsidR="001C4CC7" w:rsidRPr="00A54361" w:rsidRDefault="001C4CC7" w:rsidP="00A54361">
      <w:pPr>
        <w:pStyle w:val="ListParagraph"/>
        <w:numPr>
          <w:ilvl w:val="1"/>
          <w:numId w:val="60"/>
        </w:numPr>
        <w:jc w:val="both"/>
      </w:pPr>
      <w:r w:rsidRPr="00A54361">
        <w:t>Real-Time Protection and</w:t>
      </w:r>
    </w:p>
    <w:p w14:paraId="06E7DE0F" w14:textId="77777777" w:rsidR="001C4CC7" w:rsidRPr="00A54361" w:rsidRDefault="001C4CC7" w:rsidP="00A54361">
      <w:pPr>
        <w:pStyle w:val="ListParagraph"/>
        <w:numPr>
          <w:ilvl w:val="1"/>
          <w:numId w:val="60"/>
        </w:numPr>
        <w:jc w:val="both"/>
      </w:pPr>
      <w:r w:rsidRPr="00A54361">
        <w:t xml:space="preserve">AD Backup &amp; Recovery </w:t>
      </w:r>
    </w:p>
    <w:p w14:paraId="2521A1B5" w14:textId="0F6C11D8" w:rsidR="00C35F98" w:rsidRPr="00A54361" w:rsidRDefault="00711F01" w:rsidP="00A54361">
      <w:pPr>
        <w:pStyle w:val="ListParagraph"/>
        <w:numPr>
          <w:ilvl w:val="0"/>
          <w:numId w:val="60"/>
        </w:numPr>
        <w:spacing w:line="256" w:lineRule="auto"/>
        <w:jc w:val="both"/>
        <w:rPr>
          <w:rFonts w:eastAsia="Arial" w:cstheme="minorHAnsi"/>
          <w:spacing w:val="-1"/>
        </w:rPr>
      </w:pPr>
      <w:r w:rsidRPr="00A54361">
        <w:rPr>
          <w:rFonts w:eastAsia="Arial" w:cstheme="minorHAnsi"/>
          <w:spacing w:val="-1"/>
        </w:rPr>
        <w:t>Sizing Guidelines</w:t>
      </w:r>
      <w:r w:rsidR="006965F2" w:rsidRPr="00A54361">
        <w:rPr>
          <w:rFonts w:eastAsia="Arial" w:cstheme="minorHAnsi"/>
          <w:spacing w:val="-1"/>
        </w:rPr>
        <w:t xml:space="preserve"> for AD Security can be found in Annexure </w:t>
      </w:r>
      <w:r w:rsidR="000113F3" w:rsidRPr="00A54361">
        <w:rPr>
          <w:rFonts w:eastAsia="Arial" w:cstheme="minorHAnsi"/>
          <w:spacing w:val="-1"/>
        </w:rPr>
        <w:t>2</w:t>
      </w:r>
      <w:r w:rsidR="006965F2" w:rsidRPr="00A54361">
        <w:rPr>
          <w:rFonts w:eastAsia="Arial" w:cstheme="minorHAnsi"/>
          <w:spacing w:val="-1"/>
        </w:rPr>
        <w:t xml:space="preserve"> - Minimum Technical Specifications, in </w:t>
      </w:r>
      <w:r w:rsidR="000B680D" w:rsidRPr="00A54361">
        <w:rPr>
          <w:rFonts w:eastAsia="Arial" w:cstheme="minorHAnsi"/>
          <w:spacing w:val="-1"/>
        </w:rPr>
        <w:t>t</w:t>
      </w:r>
      <w:r w:rsidR="006965F2" w:rsidRPr="00A54361">
        <w:rPr>
          <w:rFonts w:eastAsia="Arial" w:cstheme="minorHAnsi"/>
          <w:spacing w:val="-1"/>
        </w:rPr>
        <w:t xml:space="preserve">he </w:t>
      </w:r>
      <w:r w:rsidR="0002741C" w:rsidRPr="00A54361">
        <w:rPr>
          <w:rFonts w:eastAsia="Arial" w:cstheme="minorHAnsi"/>
          <w:spacing w:val="-1"/>
        </w:rPr>
        <w:t>sub tab</w:t>
      </w:r>
      <w:r w:rsidR="006965F2" w:rsidRPr="00A54361">
        <w:rPr>
          <w:rFonts w:eastAsia="Arial" w:cstheme="minorHAnsi"/>
          <w:spacing w:val="-1"/>
        </w:rPr>
        <w:t xml:space="preserve"> titles "Solutions Sizing".</w:t>
      </w:r>
    </w:p>
    <w:p w14:paraId="1B722B61" w14:textId="0B117849" w:rsidR="000B680D" w:rsidRPr="00A54361" w:rsidRDefault="000B680D" w:rsidP="00A54361">
      <w:pPr>
        <w:pStyle w:val="ListParagraph"/>
        <w:numPr>
          <w:ilvl w:val="0"/>
          <w:numId w:val="60"/>
        </w:numPr>
        <w:spacing w:line="256" w:lineRule="auto"/>
        <w:jc w:val="both"/>
        <w:rPr>
          <w:rFonts w:eastAsia="Arial" w:cstheme="minorHAnsi"/>
          <w:spacing w:val="-1"/>
        </w:rPr>
      </w:pPr>
      <w:r w:rsidRPr="00A54361">
        <w:rPr>
          <w:rFonts w:eastAsia="Arial" w:cstheme="minorHAnsi"/>
          <w:spacing w:val="-1"/>
        </w:rPr>
        <w:t>The AD Security solution should provide actionable reports, such as but not limited to below mentioned reports:</w:t>
      </w:r>
    </w:p>
    <w:p w14:paraId="6B02662C" w14:textId="38C85211" w:rsidR="000B680D" w:rsidRPr="00A54361" w:rsidRDefault="000B680D" w:rsidP="00A54361">
      <w:pPr>
        <w:pStyle w:val="ListParagraph"/>
        <w:numPr>
          <w:ilvl w:val="0"/>
          <w:numId w:val="81"/>
        </w:numPr>
        <w:tabs>
          <w:tab w:val="clear" w:pos="720"/>
          <w:tab w:val="num" w:pos="1443"/>
        </w:tabs>
        <w:spacing w:after="0" w:line="256" w:lineRule="auto"/>
        <w:ind w:left="1440" w:hanging="357"/>
        <w:jc w:val="both"/>
      </w:pPr>
      <w:r w:rsidRPr="00A54361">
        <w:rPr>
          <w:rFonts w:eastAsia="Arial" w:cstheme="minorHAnsi"/>
          <w:spacing w:val="-1"/>
        </w:rPr>
        <w:t xml:space="preserve">User-Related Reports – </w:t>
      </w:r>
      <w:r w:rsidRPr="00A54361">
        <w:t xml:space="preserve">The AD Security Solution should </w:t>
      </w:r>
      <w:r w:rsidR="0002741C" w:rsidRPr="00A54361">
        <w:t>identify</w:t>
      </w:r>
      <w:r w:rsidRPr="00A54361">
        <w:t xml:space="preserve"> users who haven't logged in for a specified period, list users who have been locked out, show accounts with expiring or expired passwords, </w:t>
      </w:r>
      <w:r w:rsidR="0002741C" w:rsidRPr="00A54361">
        <w:t>and identify</w:t>
      </w:r>
      <w:r w:rsidRPr="00A54361">
        <w:t xml:space="preserve"> users with administrative privileges, display groups </w:t>
      </w:r>
      <w:r w:rsidR="00C8116F" w:rsidRPr="00A54361">
        <w:t>memberships.</w:t>
      </w:r>
    </w:p>
    <w:p w14:paraId="43406EA3" w14:textId="3B52AFCE" w:rsidR="00C86E8F" w:rsidRPr="00A54361" w:rsidRDefault="004E3598" w:rsidP="00A54361">
      <w:pPr>
        <w:pStyle w:val="ListParagraph"/>
        <w:numPr>
          <w:ilvl w:val="0"/>
          <w:numId w:val="81"/>
        </w:numPr>
        <w:tabs>
          <w:tab w:val="clear" w:pos="720"/>
          <w:tab w:val="num" w:pos="1443"/>
        </w:tabs>
        <w:spacing w:after="0" w:line="256" w:lineRule="auto"/>
        <w:ind w:left="1440" w:hanging="357"/>
        <w:jc w:val="both"/>
        <w:rPr>
          <w:rFonts w:eastAsia="Arial" w:cstheme="minorHAnsi"/>
          <w:spacing w:val="-1"/>
        </w:rPr>
      </w:pPr>
      <w:r w:rsidRPr="00A54361">
        <w:rPr>
          <w:rFonts w:eastAsia="Arial" w:cstheme="minorHAnsi"/>
          <w:spacing w:val="-1"/>
        </w:rPr>
        <w:t>Group-Related Reports – The AD Security solution should list members of specific groups, show group memberships within groups.</w:t>
      </w:r>
    </w:p>
    <w:p w14:paraId="086A64C4" w14:textId="150087EC" w:rsidR="000B680D" w:rsidRPr="00A54361" w:rsidRDefault="004E3598" w:rsidP="00A54361">
      <w:pPr>
        <w:pStyle w:val="ListParagraph"/>
        <w:numPr>
          <w:ilvl w:val="0"/>
          <w:numId w:val="81"/>
        </w:numPr>
        <w:tabs>
          <w:tab w:val="clear" w:pos="720"/>
          <w:tab w:val="num" w:pos="1443"/>
        </w:tabs>
        <w:spacing w:after="0" w:line="256" w:lineRule="auto"/>
        <w:ind w:left="1440" w:hanging="357"/>
        <w:jc w:val="both"/>
        <w:rPr>
          <w:rFonts w:eastAsia="Arial" w:cstheme="minorHAnsi"/>
          <w:spacing w:val="-1"/>
        </w:rPr>
      </w:pPr>
      <w:r w:rsidRPr="00A54361">
        <w:rPr>
          <w:rFonts w:eastAsia="Arial" w:cstheme="minorHAnsi"/>
          <w:spacing w:val="-1"/>
        </w:rPr>
        <w:t>Security-Related Reports</w:t>
      </w:r>
      <w:r w:rsidR="00C86E8F" w:rsidRPr="00A54361">
        <w:rPr>
          <w:rFonts w:eastAsia="Arial" w:cstheme="minorHAnsi"/>
          <w:spacing w:val="-1"/>
        </w:rPr>
        <w:t xml:space="preserve"> – The AD Security Solution should d</w:t>
      </w:r>
      <w:r w:rsidRPr="00A54361">
        <w:rPr>
          <w:rFonts w:eastAsia="Arial" w:cstheme="minorHAnsi"/>
          <w:spacing w:val="-1"/>
        </w:rPr>
        <w:t>isplay security events and action</w:t>
      </w:r>
      <w:r w:rsidR="00C86E8F" w:rsidRPr="00A54361">
        <w:rPr>
          <w:rFonts w:eastAsia="Arial" w:cstheme="minorHAnsi"/>
          <w:spacing w:val="-1"/>
        </w:rPr>
        <w:t>s</w:t>
      </w:r>
      <w:r w:rsidR="0002741C" w:rsidRPr="00A54361">
        <w:rPr>
          <w:rFonts w:eastAsia="Arial" w:cstheme="minorHAnsi"/>
          <w:spacing w:val="-1"/>
        </w:rPr>
        <w:t>, show</w:t>
      </w:r>
      <w:r w:rsidRPr="00A54361">
        <w:rPr>
          <w:rFonts w:eastAsia="Arial" w:cstheme="minorHAnsi"/>
          <w:spacing w:val="-1"/>
        </w:rPr>
        <w:t xml:space="preserve"> permissions and access rights for users and groups</w:t>
      </w:r>
      <w:r w:rsidR="00C86E8F" w:rsidRPr="00A54361">
        <w:rPr>
          <w:rFonts w:eastAsia="Arial" w:cstheme="minorHAnsi"/>
          <w:spacing w:val="-1"/>
        </w:rPr>
        <w:t>, i</w:t>
      </w:r>
      <w:r w:rsidRPr="00A54361">
        <w:rPr>
          <w:rFonts w:eastAsia="Arial" w:cstheme="minorHAnsi"/>
          <w:spacing w:val="-1"/>
        </w:rPr>
        <w:t>dentif</w:t>
      </w:r>
      <w:r w:rsidR="00C86E8F" w:rsidRPr="00A54361">
        <w:rPr>
          <w:rFonts w:eastAsia="Arial" w:cstheme="minorHAnsi"/>
          <w:spacing w:val="-1"/>
        </w:rPr>
        <w:t>y</w:t>
      </w:r>
      <w:r w:rsidRPr="00A54361">
        <w:rPr>
          <w:rFonts w:eastAsia="Arial" w:cstheme="minorHAnsi"/>
          <w:spacing w:val="-1"/>
        </w:rPr>
        <w:t xml:space="preserve"> potential security weaknesses</w:t>
      </w:r>
      <w:r w:rsidR="00C86E8F" w:rsidRPr="00A54361">
        <w:rPr>
          <w:rFonts w:eastAsia="Arial" w:cstheme="minorHAnsi"/>
          <w:spacing w:val="-1"/>
        </w:rPr>
        <w:t xml:space="preserve">. </w:t>
      </w:r>
    </w:p>
    <w:p w14:paraId="4EDB84B9" w14:textId="77777777" w:rsidR="00276197" w:rsidRPr="00A54361" w:rsidRDefault="00276197" w:rsidP="00A54361">
      <w:pPr>
        <w:spacing w:after="0" w:line="240" w:lineRule="auto"/>
        <w:jc w:val="both"/>
        <w:rPr>
          <w:rFonts w:eastAsia="Arial" w:cstheme="minorHAnsi"/>
          <w:spacing w:val="-1"/>
        </w:rPr>
      </w:pPr>
    </w:p>
    <w:p w14:paraId="691B4783" w14:textId="70F6054E" w:rsidR="00276197" w:rsidRPr="00A54361" w:rsidRDefault="005A18B2" w:rsidP="00A54361">
      <w:pPr>
        <w:pStyle w:val="Heading3"/>
        <w:jc w:val="both"/>
        <w:rPr>
          <w:rStyle w:val="Strong"/>
          <w:b/>
          <w:bCs w:val="0"/>
          <w:color w:val="auto"/>
        </w:rPr>
      </w:pPr>
      <w:bookmarkStart w:id="20" w:name="_Toc182233340"/>
      <w:r w:rsidRPr="00A54361">
        <w:rPr>
          <w:rStyle w:val="Strong"/>
          <w:b/>
          <w:bCs w:val="0"/>
          <w:color w:val="auto"/>
        </w:rPr>
        <w:t xml:space="preserve">IT </w:t>
      </w:r>
      <w:r w:rsidR="0085611C" w:rsidRPr="00A54361">
        <w:rPr>
          <w:rStyle w:val="Strong"/>
          <w:b/>
          <w:bCs w:val="0"/>
          <w:color w:val="auto"/>
        </w:rPr>
        <w:t>Governance, Risk and Compliance (GRC)</w:t>
      </w:r>
      <w:bookmarkEnd w:id="20"/>
      <w:r w:rsidR="00383BDE" w:rsidRPr="00A54361">
        <w:rPr>
          <w:rStyle w:val="Strong"/>
          <w:b/>
          <w:bCs w:val="0"/>
          <w:color w:val="auto"/>
        </w:rPr>
        <w:t xml:space="preserve"> </w:t>
      </w:r>
    </w:p>
    <w:p w14:paraId="776B3F93" w14:textId="28B8F1CC" w:rsidR="001E62B7" w:rsidRPr="00A54361" w:rsidRDefault="001E62B7"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 xml:space="preserve">Currently Bank is using </w:t>
      </w:r>
      <w:r w:rsidR="002627C6" w:rsidRPr="00A54361">
        <w:rPr>
          <w:rFonts w:eastAsia="Arial" w:cstheme="minorHAnsi"/>
          <w:spacing w:val="-1"/>
        </w:rPr>
        <w:t xml:space="preserve">IT </w:t>
      </w:r>
      <w:r w:rsidR="00C72669" w:rsidRPr="00A54361">
        <w:rPr>
          <w:rFonts w:eastAsia="Arial" w:cstheme="minorHAnsi"/>
          <w:spacing w:val="-1"/>
        </w:rPr>
        <w:t>Governance, Risk and Compliance</w:t>
      </w:r>
      <w:r w:rsidRPr="00A54361">
        <w:rPr>
          <w:rFonts w:eastAsia="Arial" w:cstheme="minorHAnsi"/>
          <w:spacing w:val="-1"/>
        </w:rPr>
        <w:t xml:space="preserve"> Solution.</w:t>
      </w:r>
    </w:p>
    <w:p w14:paraId="627095FE" w14:textId="39092B13" w:rsidR="005A18B2" w:rsidRPr="00A54361" w:rsidRDefault="005A18B2"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 xml:space="preserve">The bidder is required to Supply, Install, configure and </w:t>
      </w:r>
      <w:r w:rsidR="0002741C" w:rsidRPr="00A54361">
        <w:rPr>
          <w:rFonts w:eastAsia="Arial" w:cstheme="minorHAnsi"/>
          <w:spacing w:val="-1"/>
        </w:rPr>
        <w:t>maintain</w:t>
      </w:r>
      <w:r w:rsidRPr="00A54361">
        <w:rPr>
          <w:rFonts w:eastAsia="Arial" w:cstheme="minorHAnsi"/>
          <w:spacing w:val="-1"/>
        </w:rPr>
        <w:t xml:space="preserve"> "IT Governance, Risk and Compliance" solutions at Bank for the period of contract. The proposed solution is required to meet the technical specifications and bill of material given in Annexure 2 - Minimum Technical Specifications and Annexure 1 - Bill of Material. </w:t>
      </w:r>
    </w:p>
    <w:p w14:paraId="14372C3C" w14:textId="796F550B" w:rsidR="005A18B2" w:rsidRPr="00A54361" w:rsidRDefault="005A18B2"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Bidder is required to configure IT Governance, Risk and Compliance solution at DC as Primary and at Disaster Recovery site as secondary, having high availability across DC and DRC. In case of DR Drill or DC fails, IT Governance, Risk and Compliance Solution at DRC should act as Primary</w:t>
      </w:r>
    </w:p>
    <w:p w14:paraId="5AF6503C" w14:textId="293667FD" w:rsidR="0085611C" w:rsidRPr="00A54361" w:rsidRDefault="0040339F"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The proposed IT security Governance, Risk and compliance solution should be able to address the following key areas but not limited:</w:t>
      </w:r>
    </w:p>
    <w:p w14:paraId="35CEBF5A" w14:textId="20909A66" w:rsidR="0040339F" w:rsidRPr="00A54361" w:rsidRDefault="00CB2A7C" w:rsidP="00A54361">
      <w:pPr>
        <w:pStyle w:val="ListParagraph"/>
        <w:numPr>
          <w:ilvl w:val="1"/>
          <w:numId w:val="60"/>
        </w:numPr>
        <w:spacing w:after="0" w:line="240" w:lineRule="auto"/>
        <w:jc w:val="both"/>
        <w:rPr>
          <w:rFonts w:eastAsia="Arial" w:cstheme="minorHAnsi"/>
          <w:spacing w:val="-1"/>
        </w:rPr>
      </w:pPr>
      <w:r w:rsidRPr="00A54361">
        <w:rPr>
          <w:rFonts w:eastAsia="Arial" w:cstheme="minorHAnsi"/>
          <w:spacing w:val="-1"/>
        </w:rPr>
        <w:t>Drive more value from internal audit management activities</w:t>
      </w:r>
    </w:p>
    <w:p w14:paraId="1809E5F7" w14:textId="77777777" w:rsidR="00CB2A7C" w:rsidRPr="00A54361" w:rsidRDefault="00CB2A7C" w:rsidP="00A54361">
      <w:pPr>
        <w:pStyle w:val="ListParagraph"/>
        <w:numPr>
          <w:ilvl w:val="2"/>
          <w:numId w:val="60"/>
        </w:numPr>
        <w:spacing w:after="0" w:line="240" w:lineRule="auto"/>
        <w:jc w:val="both"/>
        <w:rPr>
          <w:rFonts w:eastAsia="Arial" w:cstheme="minorHAnsi"/>
          <w:spacing w:val="-1"/>
        </w:rPr>
      </w:pPr>
      <w:r w:rsidRPr="00A54361">
        <w:rPr>
          <w:rFonts w:eastAsia="Arial" w:cstheme="minorHAnsi"/>
          <w:spacing w:val="-1"/>
        </w:rPr>
        <w:t>Streamline basic audit processes with intuitive documentation</w:t>
      </w:r>
    </w:p>
    <w:p w14:paraId="4EC7F1A6" w14:textId="3DC358E2" w:rsidR="00CB2A7C" w:rsidRPr="00A54361" w:rsidRDefault="00CB2A7C" w:rsidP="00A54361">
      <w:pPr>
        <w:pStyle w:val="ListParagraph"/>
        <w:numPr>
          <w:ilvl w:val="2"/>
          <w:numId w:val="60"/>
        </w:numPr>
        <w:spacing w:after="0" w:line="240" w:lineRule="auto"/>
        <w:jc w:val="both"/>
        <w:rPr>
          <w:rFonts w:eastAsia="Arial" w:cstheme="minorHAnsi"/>
          <w:spacing w:val="-1"/>
        </w:rPr>
      </w:pPr>
      <w:r w:rsidRPr="00A54361">
        <w:rPr>
          <w:rFonts w:eastAsia="Arial" w:cstheme="minorHAnsi"/>
          <w:spacing w:val="-1"/>
        </w:rPr>
        <w:t>Increase audit efficiency with better planning and reporting</w:t>
      </w:r>
    </w:p>
    <w:p w14:paraId="56E2D293" w14:textId="48585480" w:rsidR="00CB2A7C" w:rsidRPr="00A54361" w:rsidRDefault="00CB2A7C" w:rsidP="00A54361">
      <w:pPr>
        <w:pStyle w:val="ListParagraph"/>
        <w:numPr>
          <w:ilvl w:val="2"/>
          <w:numId w:val="60"/>
        </w:numPr>
        <w:spacing w:after="0" w:line="240" w:lineRule="auto"/>
        <w:jc w:val="both"/>
        <w:rPr>
          <w:rFonts w:eastAsia="Arial" w:cstheme="minorHAnsi"/>
          <w:spacing w:val="-1"/>
        </w:rPr>
      </w:pPr>
      <w:r w:rsidRPr="00A54361">
        <w:rPr>
          <w:rFonts w:eastAsia="Arial" w:cstheme="minorHAnsi"/>
          <w:spacing w:val="-1"/>
        </w:rPr>
        <w:t>Improve business alignment with audit processes integrated with fraud management, process control, and risk management activities</w:t>
      </w:r>
    </w:p>
    <w:p w14:paraId="3ED8988C" w14:textId="0D6E422D" w:rsidR="00CB2A7C" w:rsidRPr="00A54361" w:rsidRDefault="00CB2A7C" w:rsidP="00A54361">
      <w:pPr>
        <w:pStyle w:val="ListParagraph"/>
        <w:numPr>
          <w:ilvl w:val="1"/>
          <w:numId w:val="60"/>
        </w:numPr>
        <w:spacing w:after="0" w:line="240" w:lineRule="auto"/>
        <w:jc w:val="both"/>
        <w:rPr>
          <w:rFonts w:eastAsia="Arial" w:cstheme="minorHAnsi"/>
          <w:spacing w:val="-1"/>
        </w:rPr>
      </w:pPr>
      <w:r w:rsidRPr="00A54361">
        <w:rPr>
          <w:rFonts w:eastAsia="Arial" w:cstheme="minorHAnsi"/>
          <w:spacing w:val="-1"/>
        </w:rPr>
        <w:t xml:space="preserve">Effective, ongoing controls and compliance management. Focus resources on </w:t>
      </w:r>
      <w:r w:rsidR="00677102" w:rsidRPr="00A54361">
        <w:rPr>
          <w:rFonts w:eastAsia="Arial" w:cstheme="minorHAnsi"/>
          <w:spacing w:val="-1"/>
        </w:rPr>
        <w:t>high impact</w:t>
      </w:r>
      <w:r w:rsidRPr="00A54361">
        <w:rPr>
          <w:rFonts w:eastAsia="Arial" w:cstheme="minorHAnsi"/>
          <w:spacing w:val="-1"/>
        </w:rPr>
        <w:t xml:space="preserve"> processes, regulations, and risks to get continuous insight</w:t>
      </w:r>
    </w:p>
    <w:p w14:paraId="563143C0" w14:textId="4B464A2A" w:rsidR="00CB2A7C" w:rsidRPr="00A54361" w:rsidRDefault="00CB2A7C" w:rsidP="00A54361">
      <w:pPr>
        <w:pStyle w:val="ListParagraph"/>
        <w:numPr>
          <w:ilvl w:val="1"/>
          <w:numId w:val="60"/>
        </w:numPr>
        <w:spacing w:after="0" w:line="240" w:lineRule="auto"/>
        <w:jc w:val="both"/>
        <w:rPr>
          <w:rFonts w:eastAsia="Arial" w:cstheme="minorHAnsi"/>
          <w:spacing w:val="-1"/>
        </w:rPr>
      </w:pPr>
      <w:r w:rsidRPr="00A54361">
        <w:rPr>
          <w:rFonts w:eastAsia="Arial" w:cstheme="minorHAnsi"/>
          <w:spacing w:val="-1"/>
        </w:rPr>
        <w:lastRenderedPageBreak/>
        <w:t>Preserve and grow business value with enterprise risk management. Understand what influences risk levels, how risks impact value, and which responses are most suitable with enterprise risk management.</w:t>
      </w:r>
    </w:p>
    <w:p w14:paraId="3B54D41C" w14:textId="1CE7C464" w:rsidR="00CB2A7C" w:rsidRPr="00A54361" w:rsidRDefault="00CB2A7C" w:rsidP="00A54361">
      <w:pPr>
        <w:pStyle w:val="ListParagraph"/>
        <w:numPr>
          <w:ilvl w:val="1"/>
          <w:numId w:val="60"/>
        </w:numPr>
        <w:spacing w:after="0" w:line="240" w:lineRule="auto"/>
        <w:jc w:val="both"/>
        <w:rPr>
          <w:rFonts w:eastAsia="Arial" w:cstheme="minorHAnsi"/>
          <w:spacing w:val="-1"/>
        </w:rPr>
      </w:pPr>
      <w:r w:rsidRPr="00A54361">
        <w:rPr>
          <w:rFonts w:eastAsia="Arial" w:cstheme="minorHAnsi"/>
          <w:spacing w:val="-1"/>
        </w:rPr>
        <w:t>Include the following attributes: IT Security Risk Management, audit management, regulatory and compliance management, business continuity and 3rd Party risk management (or modules that cover the same subjects).</w:t>
      </w:r>
    </w:p>
    <w:p w14:paraId="5A029650" w14:textId="7EC356CE" w:rsidR="00CB2A7C" w:rsidRPr="00A54361" w:rsidRDefault="00CB2A7C" w:rsidP="00A54361">
      <w:pPr>
        <w:pStyle w:val="ListParagraph"/>
        <w:numPr>
          <w:ilvl w:val="1"/>
          <w:numId w:val="60"/>
        </w:numPr>
        <w:spacing w:after="0" w:line="240" w:lineRule="auto"/>
        <w:jc w:val="both"/>
        <w:rPr>
          <w:rFonts w:eastAsia="Arial" w:cstheme="minorHAnsi"/>
          <w:spacing w:val="-1"/>
        </w:rPr>
      </w:pPr>
      <w:r w:rsidRPr="00A54361">
        <w:rPr>
          <w:rFonts w:eastAsia="Arial" w:cstheme="minorHAnsi"/>
          <w:spacing w:val="-1"/>
        </w:rPr>
        <w:t>All sub-modules must be relatable; i.e. centrally stored regulations should be accessible from each module; audit findings should be accessible in compliance/ERM modules, etc.</w:t>
      </w:r>
    </w:p>
    <w:p w14:paraId="54BDD8E7" w14:textId="523E9111" w:rsidR="00CB2A7C" w:rsidRPr="00A54361" w:rsidRDefault="00CB2A7C" w:rsidP="00A54361">
      <w:pPr>
        <w:pStyle w:val="ListParagraph"/>
        <w:numPr>
          <w:ilvl w:val="1"/>
          <w:numId w:val="60"/>
        </w:numPr>
        <w:spacing w:after="0" w:line="240" w:lineRule="auto"/>
        <w:jc w:val="both"/>
        <w:rPr>
          <w:rFonts w:eastAsia="Arial" w:cstheme="minorHAnsi"/>
          <w:spacing w:val="-1"/>
        </w:rPr>
      </w:pPr>
      <w:r w:rsidRPr="00A54361">
        <w:rPr>
          <w:rFonts w:eastAsia="Arial" w:cstheme="minorHAnsi"/>
          <w:spacing w:val="-1"/>
        </w:rPr>
        <w:t>Leverage Microsoft Office Products (particularly Word, Excel, and PowerPoint) to allow data and chart exports for external reporting needs and to allow current data to be migrated into GRC product to create baseline policy and procedures library as well as programmatic templates, etc.</w:t>
      </w:r>
    </w:p>
    <w:p w14:paraId="783691CA" w14:textId="45502C91" w:rsidR="00CB2A7C" w:rsidRPr="00A54361" w:rsidRDefault="00CB2A7C" w:rsidP="00A54361">
      <w:pPr>
        <w:pStyle w:val="ListParagraph"/>
        <w:numPr>
          <w:ilvl w:val="1"/>
          <w:numId w:val="60"/>
        </w:numPr>
        <w:spacing w:after="0" w:line="240" w:lineRule="auto"/>
        <w:jc w:val="both"/>
        <w:rPr>
          <w:rFonts w:eastAsia="Arial" w:cstheme="minorHAnsi"/>
          <w:spacing w:val="-1"/>
        </w:rPr>
      </w:pPr>
      <w:r w:rsidRPr="00A54361">
        <w:rPr>
          <w:rFonts w:eastAsia="Arial" w:cstheme="minorHAnsi"/>
          <w:spacing w:val="-1"/>
        </w:rPr>
        <w:t>Help corporate boards, audit committees, executives, and operating managers:</w:t>
      </w:r>
    </w:p>
    <w:p w14:paraId="3DADAB9B" w14:textId="77777777" w:rsidR="00A97F8B" w:rsidRPr="00A54361" w:rsidRDefault="00A97F8B" w:rsidP="00A54361">
      <w:pPr>
        <w:pStyle w:val="ListParagraph"/>
        <w:numPr>
          <w:ilvl w:val="2"/>
          <w:numId w:val="60"/>
        </w:numPr>
        <w:spacing w:after="0" w:line="240" w:lineRule="auto"/>
        <w:jc w:val="both"/>
        <w:rPr>
          <w:rFonts w:eastAsia="Arial" w:cstheme="minorHAnsi"/>
          <w:spacing w:val="-1"/>
        </w:rPr>
      </w:pPr>
      <w:r w:rsidRPr="00A54361">
        <w:rPr>
          <w:rFonts w:eastAsia="Arial" w:cstheme="minorHAnsi"/>
          <w:spacing w:val="-1"/>
        </w:rPr>
        <w:t>Align risk management with business value drivers</w:t>
      </w:r>
    </w:p>
    <w:p w14:paraId="5C6542D7" w14:textId="6674088A" w:rsidR="00CB2A7C" w:rsidRPr="00A54361" w:rsidRDefault="00A97F8B" w:rsidP="00A54361">
      <w:pPr>
        <w:pStyle w:val="ListParagraph"/>
        <w:numPr>
          <w:ilvl w:val="2"/>
          <w:numId w:val="60"/>
        </w:numPr>
        <w:spacing w:after="0" w:line="240" w:lineRule="auto"/>
        <w:jc w:val="both"/>
        <w:rPr>
          <w:rFonts w:eastAsia="Arial" w:cstheme="minorHAnsi"/>
          <w:spacing w:val="-1"/>
        </w:rPr>
      </w:pPr>
      <w:r w:rsidRPr="00A54361">
        <w:rPr>
          <w:rFonts w:eastAsia="Arial" w:cstheme="minorHAnsi"/>
          <w:spacing w:val="-1"/>
        </w:rPr>
        <w:t>Gain insight into how risks occur</w:t>
      </w:r>
    </w:p>
    <w:p w14:paraId="05CDD9B7" w14:textId="4C87A9F4" w:rsidR="00A97F8B" w:rsidRPr="00A54361" w:rsidRDefault="00A97F8B" w:rsidP="00A54361">
      <w:pPr>
        <w:pStyle w:val="ListParagraph"/>
        <w:numPr>
          <w:ilvl w:val="2"/>
          <w:numId w:val="60"/>
        </w:numPr>
        <w:spacing w:after="0" w:line="240" w:lineRule="auto"/>
        <w:jc w:val="both"/>
        <w:rPr>
          <w:rFonts w:eastAsia="Arial" w:cstheme="minorHAnsi"/>
          <w:spacing w:val="-1"/>
        </w:rPr>
      </w:pPr>
      <w:r w:rsidRPr="00A54361">
        <w:rPr>
          <w:rFonts w:eastAsia="Arial" w:cstheme="minorHAnsi"/>
          <w:spacing w:val="-1"/>
        </w:rPr>
        <w:t>Act on emerging risks and opportunities</w:t>
      </w:r>
    </w:p>
    <w:p w14:paraId="283F8609" w14:textId="0AD13454" w:rsidR="00A97F8B" w:rsidRPr="00A54361" w:rsidRDefault="00A97F8B" w:rsidP="00A54361">
      <w:pPr>
        <w:pStyle w:val="ListParagraph"/>
        <w:numPr>
          <w:ilvl w:val="1"/>
          <w:numId w:val="60"/>
        </w:numPr>
        <w:spacing w:after="0" w:line="240" w:lineRule="auto"/>
        <w:jc w:val="both"/>
        <w:rPr>
          <w:rFonts w:eastAsia="Arial" w:cstheme="minorHAnsi"/>
          <w:spacing w:val="-1"/>
        </w:rPr>
      </w:pPr>
      <w:r w:rsidRPr="00A54361">
        <w:rPr>
          <w:rFonts w:eastAsia="Arial" w:cstheme="minorHAnsi"/>
          <w:spacing w:val="-1"/>
        </w:rPr>
        <w:t>Scalable (capable of implementing one module/service at a time and adding users as needed).</w:t>
      </w:r>
    </w:p>
    <w:p w14:paraId="4C151216" w14:textId="1FA34F13" w:rsidR="00DC7226" w:rsidRPr="00A54361" w:rsidRDefault="00DC7226"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 xml:space="preserve">Bidder </w:t>
      </w:r>
      <w:r w:rsidR="00A602A0" w:rsidRPr="00A54361">
        <w:rPr>
          <w:rFonts w:eastAsia="Arial" w:cstheme="minorHAnsi"/>
          <w:spacing w:val="-1"/>
        </w:rPr>
        <w:t>should</w:t>
      </w:r>
      <w:r w:rsidRPr="00A54361">
        <w:rPr>
          <w:rFonts w:eastAsia="Arial" w:cstheme="minorHAnsi"/>
          <w:spacing w:val="-1"/>
        </w:rPr>
        <w:t xml:space="preserve"> integrate the proposed IT security GRC solution with the Bank‘s existing policies</w:t>
      </w:r>
    </w:p>
    <w:p w14:paraId="71DE3AF1" w14:textId="20CA835E" w:rsidR="00A97F8B" w:rsidRPr="00A54361" w:rsidRDefault="00DC7226"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Bidder needs to ensure all existing compliance requirements of the Bank and other Banking regulatory bodies are incorporated</w:t>
      </w:r>
    </w:p>
    <w:p w14:paraId="4513704C" w14:textId="7E5D4D10" w:rsidR="00F11529" w:rsidRPr="00A54361" w:rsidRDefault="00F11529"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Bidder is responsible for migration of all the data and policies from existing solution to the proposed solution.</w:t>
      </w:r>
    </w:p>
    <w:p w14:paraId="435CC669" w14:textId="1D8286F0" w:rsidR="00F16730" w:rsidRPr="00A54361" w:rsidRDefault="00711F01" w:rsidP="00A54361">
      <w:pPr>
        <w:pStyle w:val="ListParagraph"/>
        <w:numPr>
          <w:ilvl w:val="0"/>
          <w:numId w:val="60"/>
        </w:numPr>
        <w:spacing w:line="256" w:lineRule="auto"/>
        <w:jc w:val="both"/>
        <w:rPr>
          <w:rFonts w:eastAsia="Arial" w:cstheme="minorHAnsi"/>
          <w:spacing w:val="-1"/>
        </w:rPr>
      </w:pPr>
      <w:r w:rsidRPr="00A54361">
        <w:rPr>
          <w:rFonts w:eastAsia="Arial" w:cstheme="minorHAnsi"/>
          <w:spacing w:val="-1"/>
        </w:rPr>
        <w:t>Sizing Guidelines</w:t>
      </w:r>
      <w:r w:rsidR="00F16730" w:rsidRPr="00A54361">
        <w:rPr>
          <w:rFonts w:eastAsia="Arial" w:cstheme="minorHAnsi"/>
          <w:spacing w:val="-1"/>
        </w:rPr>
        <w:t xml:space="preserve"> for</w:t>
      </w:r>
      <w:r w:rsidR="002627C6" w:rsidRPr="00A54361">
        <w:rPr>
          <w:rFonts w:eastAsia="Arial" w:cstheme="minorHAnsi"/>
          <w:spacing w:val="-1"/>
        </w:rPr>
        <w:t xml:space="preserve"> IT</w:t>
      </w:r>
      <w:r w:rsidR="00F16730" w:rsidRPr="00A54361">
        <w:rPr>
          <w:rFonts w:eastAsia="Arial" w:cstheme="minorHAnsi"/>
          <w:spacing w:val="-1"/>
        </w:rPr>
        <w:t xml:space="preserve"> Governance, Risk and Compliance can be found in Annexure </w:t>
      </w:r>
      <w:r w:rsidR="000113F3" w:rsidRPr="00A54361">
        <w:rPr>
          <w:rFonts w:eastAsia="Arial" w:cstheme="minorHAnsi"/>
          <w:spacing w:val="-1"/>
        </w:rPr>
        <w:t>2</w:t>
      </w:r>
      <w:r w:rsidR="00F16730" w:rsidRPr="00A54361">
        <w:rPr>
          <w:rFonts w:eastAsia="Arial" w:cstheme="minorHAnsi"/>
          <w:spacing w:val="-1"/>
        </w:rPr>
        <w:t xml:space="preserve"> - Minimum Technical Specifications, in the </w:t>
      </w:r>
      <w:r w:rsidR="0002741C" w:rsidRPr="00A54361">
        <w:rPr>
          <w:rFonts w:eastAsia="Arial" w:cstheme="minorHAnsi"/>
          <w:spacing w:val="-1"/>
        </w:rPr>
        <w:t>sub tab</w:t>
      </w:r>
      <w:r w:rsidR="00F16730" w:rsidRPr="00A54361">
        <w:rPr>
          <w:rFonts w:eastAsia="Arial" w:cstheme="minorHAnsi"/>
          <w:spacing w:val="-1"/>
        </w:rPr>
        <w:t xml:space="preserve"> titles "Solutions Sizing".</w:t>
      </w:r>
    </w:p>
    <w:p w14:paraId="50B2CA8F" w14:textId="34473A54" w:rsidR="00577F66" w:rsidRPr="00A54361" w:rsidRDefault="00577F66" w:rsidP="00A54361">
      <w:pPr>
        <w:pStyle w:val="ListParagraph"/>
        <w:numPr>
          <w:ilvl w:val="0"/>
          <w:numId w:val="60"/>
        </w:numPr>
        <w:spacing w:line="256" w:lineRule="auto"/>
        <w:jc w:val="both"/>
        <w:rPr>
          <w:rFonts w:eastAsia="Arial" w:cstheme="minorHAnsi"/>
          <w:spacing w:val="-1"/>
        </w:rPr>
      </w:pPr>
      <w:r w:rsidRPr="00A54361">
        <w:rPr>
          <w:rFonts w:eastAsia="Arial" w:cstheme="minorHAnsi"/>
          <w:spacing w:val="-1"/>
        </w:rPr>
        <w:t>The IT Governance, Risk and Compliance solution should provide actionable reports, such as but not limited to below mentioned reports:</w:t>
      </w:r>
    </w:p>
    <w:p w14:paraId="25035FE8" w14:textId="77777777" w:rsidR="00577F66" w:rsidRPr="00A54361" w:rsidRDefault="00577F66" w:rsidP="00A54361">
      <w:pPr>
        <w:pStyle w:val="ListParagraph"/>
        <w:numPr>
          <w:ilvl w:val="1"/>
          <w:numId w:val="60"/>
        </w:numPr>
        <w:spacing w:line="256" w:lineRule="auto"/>
        <w:jc w:val="both"/>
        <w:rPr>
          <w:rFonts w:eastAsia="Arial" w:cstheme="minorHAnsi"/>
          <w:spacing w:val="-1"/>
        </w:rPr>
      </w:pPr>
      <w:r w:rsidRPr="00A54361">
        <w:rPr>
          <w:rFonts w:eastAsia="Arial" w:cstheme="minorHAnsi"/>
          <w:spacing w:val="-1"/>
        </w:rPr>
        <w:t xml:space="preserve">Governance Reports - </w:t>
      </w:r>
      <w:r w:rsidRPr="00A54361">
        <w:t>The IT GRC Solution should</w:t>
      </w:r>
      <w:r w:rsidRPr="00A54361">
        <w:rPr>
          <w:rFonts w:eastAsia="Arial" w:cstheme="minorHAnsi"/>
          <w:spacing w:val="-1"/>
        </w:rPr>
        <w:t xml:space="preserve"> monitor adherence to organizational policies, track stakeholder engagement and satisfaction and measure the effectiveness of governance initiatives.</w:t>
      </w:r>
    </w:p>
    <w:p w14:paraId="59A5A5BB" w14:textId="251473C9" w:rsidR="00577F66" w:rsidRPr="00A54361" w:rsidRDefault="00577F66" w:rsidP="00A54361">
      <w:pPr>
        <w:pStyle w:val="ListParagraph"/>
        <w:numPr>
          <w:ilvl w:val="1"/>
          <w:numId w:val="60"/>
        </w:numPr>
        <w:spacing w:line="256" w:lineRule="auto"/>
        <w:jc w:val="both"/>
        <w:rPr>
          <w:rFonts w:eastAsia="Arial" w:cstheme="minorHAnsi"/>
          <w:spacing w:val="-1"/>
        </w:rPr>
      </w:pPr>
      <w:r w:rsidRPr="00A54361">
        <w:rPr>
          <w:rFonts w:eastAsia="Arial" w:cstheme="minorHAnsi"/>
          <w:spacing w:val="-1"/>
        </w:rPr>
        <w:t xml:space="preserve">Risk Management Reports - </w:t>
      </w:r>
      <w:r w:rsidRPr="00A54361">
        <w:t xml:space="preserve">The IT GRC Solution should </w:t>
      </w:r>
      <w:r w:rsidRPr="00A54361">
        <w:rPr>
          <w:rFonts w:eastAsia="Arial" w:cstheme="minorHAnsi"/>
          <w:spacing w:val="-1"/>
        </w:rPr>
        <w:t>evaluate potential risks to the Bank, provides a centralized view of identified risks, their impact, and mitigation plans, monitor critical risk metrics and assess the effectiveness of risk mitigation strategies.</w:t>
      </w:r>
    </w:p>
    <w:p w14:paraId="60EE6EEE" w14:textId="04A50F90" w:rsidR="00577F66" w:rsidRPr="00A54361" w:rsidRDefault="00577F66" w:rsidP="00A54361">
      <w:pPr>
        <w:pStyle w:val="ListParagraph"/>
        <w:numPr>
          <w:ilvl w:val="1"/>
          <w:numId w:val="60"/>
        </w:numPr>
        <w:spacing w:line="256" w:lineRule="auto"/>
        <w:jc w:val="both"/>
        <w:rPr>
          <w:rFonts w:eastAsia="Arial" w:cstheme="minorHAnsi"/>
          <w:spacing w:val="-1"/>
        </w:rPr>
      </w:pPr>
      <w:r w:rsidRPr="00A54361">
        <w:rPr>
          <w:rFonts w:eastAsia="Arial" w:cstheme="minorHAnsi"/>
          <w:spacing w:val="-1"/>
        </w:rPr>
        <w:t>Compliance Reports</w:t>
      </w:r>
      <w:r w:rsidR="001D3BBF" w:rsidRPr="00A54361">
        <w:rPr>
          <w:rFonts w:eastAsia="Arial" w:cstheme="minorHAnsi"/>
          <w:spacing w:val="-1"/>
        </w:rPr>
        <w:t xml:space="preserve"> - </w:t>
      </w:r>
      <w:r w:rsidR="001D3BBF" w:rsidRPr="00A54361">
        <w:t xml:space="preserve">The IT GRC Solution should </w:t>
      </w:r>
      <w:r w:rsidR="001D3BBF" w:rsidRPr="00A54361">
        <w:rPr>
          <w:rFonts w:eastAsia="Arial" w:cstheme="minorHAnsi"/>
          <w:spacing w:val="-1"/>
        </w:rPr>
        <w:t>t</w:t>
      </w:r>
      <w:r w:rsidRPr="00A54361">
        <w:rPr>
          <w:rFonts w:eastAsia="Arial" w:cstheme="minorHAnsi"/>
          <w:spacing w:val="-1"/>
        </w:rPr>
        <w:t>rack compliance with regulations and standards</w:t>
      </w:r>
      <w:r w:rsidR="001D3BBF" w:rsidRPr="00A54361">
        <w:rPr>
          <w:rFonts w:eastAsia="Arial" w:cstheme="minorHAnsi"/>
          <w:spacing w:val="-1"/>
        </w:rPr>
        <w:t>, m</w:t>
      </w:r>
      <w:r w:rsidRPr="00A54361">
        <w:rPr>
          <w:rFonts w:eastAsia="Arial" w:cstheme="minorHAnsi"/>
          <w:spacing w:val="-1"/>
        </w:rPr>
        <w:t>anage audit findings and remediation actions</w:t>
      </w:r>
      <w:r w:rsidR="001D3BBF" w:rsidRPr="00A54361">
        <w:rPr>
          <w:rFonts w:eastAsia="Arial" w:cstheme="minorHAnsi"/>
          <w:spacing w:val="-1"/>
        </w:rPr>
        <w:t>, e</w:t>
      </w:r>
      <w:r w:rsidRPr="00A54361">
        <w:rPr>
          <w:rFonts w:eastAsia="Arial" w:cstheme="minorHAnsi"/>
          <w:spacing w:val="-1"/>
        </w:rPr>
        <w:t>valuate the effectiveness of internal controls</w:t>
      </w:r>
      <w:r w:rsidR="001D3BBF" w:rsidRPr="00A54361">
        <w:rPr>
          <w:rFonts w:eastAsia="Arial" w:cstheme="minorHAnsi"/>
          <w:spacing w:val="-1"/>
        </w:rPr>
        <w:t>, i</w:t>
      </w:r>
      <w:r w:rsidRPr="00A54361">
        <w:rPr>
          <w:rFonts w:eastAsia="Arial" w:cstheme="minorHAnsi"/>
          <w:spacing w:val="-1"/>
        </w:rPr>
        <w:t>dentif</w:t>
      </w:r>
      <w:r w:rsidR="001D3BBF" w:rsidRPr="00A54361">
        <w:rPr>
          <w:rFonts w:eastAsia="Arial" w:cstheme="minorHAnsi"/>
          <w:spacing w:val="-1"/>
        </w:rPr>
        <w:t>y</w:t>
      </w:r>
      <w:r w:rsidRPr="00A54361">
        <w:rPr>
          <w:rFonts w:eastAsia="Arial" w:cstheme="minorHAnsi"/>
          <w:spacing w:val="-1"/>
        </w:rPr>
        <w:t xml:space="preserve"> compliance gaps and remediation plans</w:t>
      </w:r>
      <w:r w:rsidR="001D3BBF" w:rsidRPr="00A54361">
        <w:rPr>
          <w:rFonts w:eastAsia="Arial" w:cstheme="minorHAnsi"/>
          <w:spacing w:val="-1"/>
        </w:rPr>
        <w:t xml:space="preserve"> and a</w:t>
      </w:r>
      <w:r w:rsidRPr="00A54361">
        <w:rPr>
          <w:rFonts w:eastAsia="Arial" w:cstheme="minorHAnsi"/>
          <w:spacing w:val="-1"/>
        </w:rPr>
        <w:t>ssess the impact of new or modified regulations</w:t>
      </w:r>
      <w:r w:rsidR="001D3BBF" w:rsidRPr="00A54361">
        <w:rPr>
          <w:rFonts w:eastAsia="Arial" w:cstheme="minorHAnsi"/>
          <w:spacing w:val="-1"/>
        </w:rPr>
        <w:t>.</w:t>
      </w:r>
    </w:p>
    <w:p w14:paraId="04AC885A" w14:textId="695F5D50" w:rsidR="00577F66" w:rsidRPr="00A54361" w:rsidRDefault="001D3BBF" w:rsidP="00A54361">
      <w:pPr>
        <w:pStyle w:val="ListParagraph"/>
        <w:numPr>
          <w:ilvl w:val="1"/>
          <w:numId w:val="60"/>
        </w:numPr>
        <w:spacing w:line="256" w:lineRule="auto"/>
        <w:jc w:val="both"/>
        <w:rPr>
          <w:rFonts w:eastAsia="Arial" w:cstheme="minorHAnsi"/>
          <w:spacing w:val="-1"/>
        </w:rPr>
      </w:pPr>
      <w:r w:rsidRPr="00A54361">
        <w:rPr>
          <w:rFonts w:eastAsia="Arial" w:cstheme="minorHAnsi"/>
          <w:spacing w:val="-1"/>
        </w:rPr>
        <w:t xml:space="preserve">Audit Reports – The </w:t>
      </w:r>
      <w:r w:rsidRPr="00A54361">
        <w:t xml:space="preserve">IT GRC Solution should </w:t>
      </w:r>
      <w:r w:rsidRPr="00A54361">
        <w:rPr>
          <w:rFonts w:eastAsia="Arial" w:cstheme="minorHAnsi"/>
          <w:spacing w:val="-1"/>
        </w:rPr>
        <w:t>outline audit objectives and scope, document audit findings and recommendations and track progress on audit recommendations.</w:t>
      </w:r>
    </w:p>
    <w:p w14:paraId="7C5C6150" w14:textId="77777777" w:rsidR="00CB2A7C" w:rsidRPr="00A54361" w:rsidRDefault="00CB2A7C" w:rsidP="00A54361">
      <w:pPr>
        <w:spacing w:after="0" w:line="240" w:lineRule="auto"/>
        <w:jc w:val="both"/>
        <w:rPr>
          <w:rFonts w:eastAsia="Arial" w:cstheme="minorHAnsi"/>
          <w:spacing w:val="-1"/>
        </w:rPr>
      </w:pPr>
    </w:p>
    <w:p w14:paraId="23A71312" w14:textId="7D4CA8EE" w:rsidR="0085611C" w:rsidRPr="00A54361" w:rsidRDefault="005304A3" w:rsidP="00A54361">
      <w:pPr>
        <w:pStyle w:val="Heading3"/>
        <w:jc w:val="both"/>
        <w:rPr>
          <w:rStyle w:val="Strong"/>
          <w:b/>
          <w:bCs w:val="0"/>
          <w:color w:val="auto"/>
        </w:rPr>
      </w:pPr>
      <w:bookmarkStart w:id="21" w:name="_Toc182233341"/>
      <w:r w:rsidRPr="00A54361">
        <w:rPr>
          <w:rStyle w:val="Strong"/>
          <w:b/>
          <w:bCs w:val="0"/>
          <w:color w:val="auto"/>
        </w:rPr>
        <w:t>Decoy (Honeypot)</w:t>
      </w:r>
      <w:bookmarkEnd w:id="21"/>
      <w:r w:rsidR="006B6751" w:rsidRPr="00A54361">
        <w:rPr>
          <w:rStyle w:val="Strong"/>
          <w:b/>
          <w:bCs w:val="0"/>
          <w:color w:val="auto"/>
        </w:rPr>
        <w:t xml:space="preserve"> </w:t>
      </w:r>
    </w:p>
    <w:p w14:paraId="4078D46C" w14:textId="4E75AEB0" w:rsidR="001E62B7" w:rsidRPr="00A54361" w:rsidRDefault="001E62B7"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 xml:space="preserve">Currently Bank is using </w:t>
      </w:r>
      <w:r w:rsidR="00AE64F4" w:rsidRPr="00A54361">
        <w:rPr>
          <w:rFonts w:eastAsia="Arial" w:cstheme="minorHAnsi"/>
          <w:spacing w:val="-1"/>
        </w:rPr>
        <w:t>Decoy (H</w:t>
      </w:r>
      <w:r w:rsidR="003F3820" w:rsidRPr="00A54361">
        <w:rPr>
          <w:rFonts w:eastAsia="Arial" w:cstheme="minorHAnsi"/>
          <w:spacing w:val="-1"/>
        </w:rPr>
        <w:t>o</w:t>
      </w:r>
      <w:r w:rsidR="00AE64F4" w:rsidRPr="00A54361">
        <w:rPr>
          <w:rFonts w:eastAsia="Arial" w:cstheme="minorHAnsi"/>
          <w:spacing w:val="-1"/>
        </w:rPr>
        <w:t>neypot)</w:t>
      </w:r>
      <w:r w:rsidRPr="00A54361">
        <w:rPr>
          <w:rFonts w:eastAsia="Arial" w:cstheme="minorHAnsi"/>
          <w:spacing w:val="-1"/>
        </w:rPr>
        <w:t xml:space="preserve"> Solution.</w:t>
      </w:r>
    </w:p>
    <w:p w14:paraId="2F09C6C2" w14:textId="38A9F5B9" w:rsidR="0033566A" w:rsidRPr="00A54361" w:rsidRDefault="0033566A"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 xml:space="preserve">The bidder is required to Supply, Install, configure and </w:t>
      </w:r>
      <w:r w:rsidR="0002741C" w:rsidRPr="00A54361">
        <w:rPr>
          <w:rFonts w:eastAsia="Arial" w:cstheme="minorHAnsi"/>
          <w:spacing w:val="-1"/>
        </w:rPr>
        <w:t>maintain</w:t>
      </w:r>
      <w:r w:rsidRPr="00A54361">
        <w:rPr>
          <w:rFonts w:eastAsia="Arial" w:cstheme="minorHAnsi"/>
          <w:spacing w:val="-1"/>
        </w:rPr>
        <w:t xml:space="preserve"> "Decoy (Honeypot)" solutions at Bank for the period of contract. The proposed solution is required to meet the technical </w:t>
      </w:r>
      <w:r w:rsidRPr="00A54361">
        <w:rPr>
          <w:rFonts w:eastAsia="Arial" w:cstheme="minorHAnsi"/>
          <w:spacing w:val="-1"/>
        </w:rPr>
        <w:lastRenderedPageBreak/>
        <w:t xml:space="preserve">specifications and bill of material given in Annexure 2 - Minimum Technical Specifications and Annexure 1 - Bill of Material. </w:t>
      </w:r>
    </w:p>
    <w:p w14:paraId="251AD1ED" w14:textId="2AE43265" w:rsidR="0033566A" w:rsidRPr="00A54361" w:rsidRDefault="0033566A"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 xml:space="preserve">Bidder is required to configure Decoy (Honeypot) solution at DC as Primary and at Disaster Recovery site as secondary, having high availability across DC and DRC. In case of DR Drill or DC fails, </w:t>
      </w:r>
      <w:r w:rsidR="00A52435" w:rsidRPr="00A54361">
        <w:rPr>
          <w:rFonts w:eastAsia="Arial" w:cstheme="minorHAnsi"/>
          <w:spacing w:val="-1"/>
        </w:rPr>
        <w:t>Decoy (Honeypot)</w:t>
      </w:r>
      <w:r w:rsidRPr="00A54361">
        <w:rPr>
          <w:rFonts w:eastAsia="Arial" w:cstheme="minorHAnsi"/>
          <w:spacing w:val="-1"/>
        </w:rPr>
        <w:t xml:space="preserve"> Solution at DRC should act as Primary</w:t>
      </w:r>
    </w:p>
    <w:p w14:paraId="6B782965" w14:textId="0023D08B" w:rsidR="00491C9E" w:rsidRPr="00A54361" w:rsidRDefault="00491C9E" w:rsidP="00A54361">
      <w:pPr>
        <w:pStyle w:val="TableParagraph"/>
        <w:numPr>
          <w:ilvl w:val="0"/>
          <w:numId w:val="57"/>
        </w:numPr>
        <w:jc w:val="both"/>
        <w:rPr>
          <w:rFonts w:asciiTheme="minorHAnsi" w:hAnsiTheme="minorHAnsi" w:cstheme="minorHAnsi"/>
        </w:rPr>
      </w:pPr>
      <w:r w:rsidRPr="00A54361">
        <w:rPr>
          <w:rFonts w:asciiTheme="minorHAnsi" w:hAnsiTheme="minorHAnsi" w:cstheme="minorHAnsi"/>
        </w:rPr>
        <w:t>The proposed Honey Pot solution should be able to address the following key areas but not limited:</w:t>
      </w:r>
    </w:p>
    <w:p w14:paraId="20336DCA" w14:textId="6B3B8F6D" w:rsidR="00491C9E" w:rsidRPr="00A54361" w:rsidRDefault="00491C9E" w:rsidP="00A54361">
      <w:pPr>
        <w:pStyle w:val="TableParagraph"/>
        <w:numPr>
          <w:ilvl w:val="1"/>
          <w:numId w:val="57"/>
        </w:numPr>
        <w:jc w:val="both"/>
        <w:rPr>
          <w:rFonts w:asciiTheme="minorHAnsi" w:hAnsiTheme="minorHAnsi" w:cstheme="minorHAnsi"/>
        </w:rPr>
      </w:pPr>
      <w:r w:rsidRPr="00A54361">
        <w:rPr>
          <w:rFonts w:asciiTheme="minorHAnsi" w:hAnsiTheme="minorHAnsi" w:cstheme="minorHAnsi"/>
        </w:rPr>
        <w:t xml:space="preserve">Effectively create a replica copy of the </w:t>
      </w:r>
      <w:r w:rsidR="00472877" w:rsidRPr="00A54361">
        <w:rPr>
          <w:rFonts w:asciiTheme="minorHAnsi" w:hAnsiTheme="minorHAnsi" w:cstheme="minorHAnsi"/>
        </w:rPr>
        <w:t xml:space="preserve">Banks‘ </w:t>
      </w:r>
      <w:r w:rsidRPr="00A54361">
        <w:rPr>
          <w:rFonts w:asciiTheme="minorHAnsi" w:hAnsiTheme="minorHAnsi" w:cstheme="minorHAnsi"/>
        </w:rPr>
        <w:t>existing internet-facing landscape</w:t>
      </w:r>
    </w:p>
    <w:p w14:paraId="717B7F2B" w14:textId="26677732" w:rsidR="00491C9E" w:rsidRPr="00A54361" w:rsidRDefault="00491C9E" w:rsidP="00A54361">
      <w:pPr>
        <w:pStyle w:val="TableParagraph"/>
        <w:numPr>
          <w:ilvl w:val="1"/>
          <w:numId w:val="57"/>
        </w:numPr>
        <w:jc w:val="both"/>
        <w:rPr>
          <w:rFonts w:asciiTheme="minorHAnsi" w:hAnsiTheme="minorHAnsi" w:cstheme="minorHAnsi"/>
        </w:rPr>
      </w:pPr>
      <w:r w:rsidRPr="00A54361">
        <w:rPr>
          <w:rFonts w:asciiTheme="minorHAnsi" w:hAnsiTheme="minorHAnsi" w:cstheme="minorHAnsi"/>
        </w:rPr>
        <w:t>Hacking incentive of the proposed decoy ecosystem should be as equivalent to present</w:t>
      </w:r>
      <w:r w:rsidR="00B51877" w:rsidRPr="00A54361">
        <w:rPr>
          <w:rFonts w:asciiTheme="minorHAnsi" w:hAnsiTheme="minorHAnsi" w:cstheme="minorHAnsi"/>
        </w:rPr>
        <w:t xml:space="preserve"> </w:t>
      </w:r>
      <w:r w:rsidRPr="00A54361">
        <w:rPr>
          <w:rFonts w:asciiTheme="minorHAnsi" w:hAnsiTheme="minorHAnsi" w:cstheme="minorHAnsi"/>
        </w:rPr>
        <w:t>exposed incentive of the Bank</w:t>
      </w:r>
    </w:p>
    <w:p w14:paraId="3520FE13" w14:textId="00D144C1" w:rsidR="00930F46" w:rsidRPr="00A54361" w:rsidRDefault="00930F46" w:rsidP="00A54361">
      <w:pPr>
        <w:pStyle w:val="TableParagraph"/>
        <w:numPr>
          <w:ilvl w:val="1"/>
          <w:numId w:val="57"/>
        </w:numPr>
        <w:jc w:val="both"/>
        <w:rPr>
          <w:rFonts w:asciiTheme="minorHAnsi" w:hAnsiTheme="minorHAnsi" w:cstheme="minorHAnsi"/>
        </w:rPr>
      </w:pPr>
      <w:r w:rsidRPr="00A54361">
        <w:rPr>
          <w:rFonts w:asciiTheme="minorHAnsi" w:hAnsiTheme="minorHAnsi" w:cstheme="minorHAnsi"/>
        </w:rPr>
        <w:t xml:space="preserve">The intended solution must safeguard the Bank against a target Reconnaissance attack, Lateral movement, Privilege Escalation, </w:t>
      </w:r>
      <w:r w:rsidR="0002741C" w:rsidRPr="00A54361">
        <w:rPr>
          <w:rFonts w:asciiTheme="minorHAnsi" w:hAnsiTheme="minorHAnsi" w:cstheme="minorHAnsi"/>
        </w:rPr>
        <w:t>ransom ware</w:t>
      </w:r>
      <w:r w:rsidRPr="00A54361">
        <w:rPr>
          <w:rFonts w:asciiTheme="minorHAnsi" w:hAnsiTheme="minorHAnsi" w:cstheme="minorHAnsi"/>
        </w:rPr>
        <w:t xml:space="preserve"> and also act as a layer of defense for attacks based on new vulnerabilities, data theft and zero-day attacks</w:t>
      </w:r>
    </w:p>
    <w:p w14:paraId="0B941144" w14:textId="603A3C1D" w:rsidR="00491C9E" w:rsidRPr="00A54361" w:rsidRDefault="00491C9E" w:rsidP="00A54361">
      <w:pPr>
        <w:pStyle w:val="TableParagraph"/>
        <w:numPr>
          <w:ilvl w:val="1"/>
          <w:numId w:val="57"/>
        </w:numPr>
        <w:jc w:val="both"/>
        <w:rPr>
          <w:rFonts w:asciiTheme="minorHAnsi" w:hAnsiTheme="minorHAnsi" w:cstheme="minorHAnsi"/>
        </w:rPr>
      </w:pPr>
      <w:r w:rsidRPr="00A54361">
        <w:rPr>
          <w:rFonts w:asciiTheme="minorHAnsi" w:hAnsiTheme="minorHAnsi" w:cstheme="minorHAnsi"/>
        </w:rPr>
        <w:t>Should provide real time Alerts</w:t>
      </w:r>
    </w:p>
    <w:p w14:paraId="7682D956" w14:textId="3898F0F4" w:rsidR="006D2D1D" w:rsidRPr="00A54361" w:rsidRDefault="00491C9E" w:rsidP="00A54361">
      <w:pPr>
        <w:pStyle w:val="TableParagraph"/>
        <w:numPr>
          <w:ilvl w:val="0"/>
          <w:numId w:val="57"/>
        </w:numPr>
        <w:jc w:val="both"/>
        <w:rPr>
          <w:rFonts w:asciiTheme="minorHAnsi" w:hAnsiTheme="minorHAnsi" w:cstheme="minorHAnsi"/>
        </w:rPr>
      </w:pPr>
      <w:r w:rsidRPr="00A54361">
        <w:rPr>
          <w:rFonts w:asciiTheme="minorHAnsi" w:hAnsiTheme="minorHAnsi" w:cstheme="minorHAnsi"/>
        </w:rPr>
        <w:t>The solution should be able to integrate with the Active Directory</w:t>
      </w:r>
      <w:r w:rsidRPr="00A54361">
        <w:rPr>
          <w:rFonts w:asciiTheme="minorHAnsi" w:hAnsiTheme="minorHAnsi" w:cstheme="minorHAnsi"/>
        </w:rPr>
        <w:cr/>
      </w:r>
      <w:r w:rsidR="00B51877" w:rsidRPr="00A54361">
        <w:rPr>
          <w:rFonts w:asciiTheme="minorHAnsi" w:hAnsiTheme="minorHAnsi" w:cstheme="minorHAnsi"/>
        </w:rPr>
        <w:t xml:space="preserve">The Bidder is expected to </w:t>
      </w:r>
      <w:r w:rsidR="0002741C" w:rsidRPr="00A54361">
        <w:rPr>
          <w:rFonts w:asciiTheme="minorHAnsi" w:hAnsiTheme="minorHAnsi" w:cstheme="minorHAnsi"/>
        </w:rPr>
        <w:t>implement</w:t>
      </w:r>
      <w:r w:rsidR="006D2D1D" w:rsidRPr="00A54361">
        <w:rPr>
          <w:rFonts w:asciiTheme="minorHAnsi" w:hAnsiTheme="minorHAnsi" w:cstheme="minorHAnsi"/>
        </w:rPr>
        <w:t xml:space="preserve"> the solution across the </w:t>
      </w:r>
      <w:r w:rsidR="0002741C" w:rsidRPr="00A54361">
        <w:rPr>
          <w:rFonts w:asciiTheme="minorHAnsi" w:hAnsiTheme="minorHAnsi" w:cstheme="minorHAnsi"/>
        </w:rPr>
        <w:t>Banks‘</w:t>
      </w:r>
      <w:r w:rsidR="0002741C">
        <w:rPr>
          <w:rFonts w:asciiTheme="minorHAnsi" w:hAnsiTheme="minorHAnsi" w:cstheme="minorHAnsi"/>
        </w:rPr>
        <w:t xml:space="preserve"> </w:t>
      </w:r>
      <w:r w:rsidR="0002741C" w:rsidRPr="00A54361">
        <w:rPr>
          <w:rFonts w:asciiTheme="minorHAnsi" w:hAnsiTheme="minorHAnsi" w:cstheme="minorHAnsi"/>
        </w:rPr>
        <w:t>internet</w:t>
      </w:r>
      <w:r w:rsidR="006D2D1D" w:rsidRPr="00A54361">
        <w:rPr>
          <w:rFonts w:asciiTheme="minorHAnsi" w:hAnsiTheme="minorHAnsi" w:cstheme="minorHAnsi"/>
        </w:rPr>
        <w:t xml:space="preserve"> facing landscape and any other critical service as deemed by the Bank.</w:t>
      </w:r>
      <w:r w:rsidR="006D2D1D" w:rsidRPr="00A54361">
        <w:rPr>
          <w:rFonts w:asciiTheme="minorHAnsi" w:hAnsiTheme="minorHAnsi" w:cstheme="minorHAnsi"/>
        </w:rPr>
        <w:cr/>
        <w:t>The bidder must integrate the honeypot solution with SIEM to generate alerts for any violations.</w:t>
      </w:r>
    </w:p>
    <w:p w14:paraId="5DB51765" w14:textId="10808E39" w:rsidR="006D2D1D" w:rsidRPr="00A54361" w:rsidRDefault="006D2D1D" w:rsidP="00A54361">
      <w:pPr>
        <w:pStyle w:val="TableParagraph"/>
        <w:numPr>
          <w:ilvl w:val="0"/>
          <w:numId w:val="57"/>
        </w:numPr>
        <w:jc w:val="both"/>
        <w:rPr>
          <w:rFonts w:asciiTheme="minorHAnsi" w:hAnsiTheme="minorHAnsi" w:cstheme="minorHAnsi"/>
        </w:rPr>
      </w:pPr>
      <w:r w:rsidRPr="00A54361">
        <w:rPr>
          <w:rFonts w:asciiTheme="minorHAnsi" w:hAnsiTheme="minorHAnsi" w:cstheme="minorHAnsi"/>
        </w:rPr>
        <w:t>The primary responsibility of integration of solutions with existing SIEM lies with the</w:t>
      </w:r>
      <w:r w:rsidR="000F4832" w:rsidRPr="00A54361">
        <w:rPr>
          <w:rFonts w:asciiTheme="minorHAnsi" w:hAnsiTheme="minorHAnsi" w:cstheme="minorHAnsi"/>
        </w:rPr>
        <w:t xml:space="preserve"> </w:t>
      </w:r>
      <w:r w:rsidRPr="00A54361">
        <w:rPr>
          <w:rFonts w:asciiTheme="minorHAnsi" w:hAnsiTheme="minorHAnsi" w:cstheme="minorHAnsi"/>
        </w:rPr>
        <w:t>Bidder selected through this RFP. The Bank shall provide adequate support to the</w:t>
      </w:r>
      <w:r w:rsidR="000F4832" w:rsidRPr="00A54361">
        <w:rPr>
          <w:rFonts w:asciiTheme="minorHAnsi" w:hAnsiTheme="minorHAnsi" w:cstheme="minorHAnsi"/>
        </w:rPr>
        <w:t xml:space="preserve"> </w:t>
      </w:r>
      <w:r w:rsidRPr="00A54361">
        <w:rPr>
          <w:rFonts w:asciiTheme="minorHAnsi" w:hAnsiTheme="minorHAnsi" w:cstheme="minorHAnsi"/>
        </w:rPr>
        <w:t>Bidder for the purpose of integration.</w:t>
      </w:r>
    </w:p>
    <w:p w14:paraId="33876352" w14:textId="248C98CB" w:rsidR="006B6751" w:rsidRPr="00A54361" w:rsidRDefault="006B6751" w:rsidP="00A54361">
      <w:pPr>
        <w:pStyle w:val="TableParagraph"/>
        <w:numPr>
          <w:ilvl w:val="0"/>
          <w:numId w:val="57"/>
        </w:numPr>
        <w:jc w:val="both"/>
        <w:rPr>
          <w:rFonts w:asciiTheme="minorHAnsi" w:hAnsiTheme="minorHAnsi" w:cstheme="minorHAnsi"/>
        </w:rPr>
      </w:pPr>
      <w:r w:rsidRPr="00A54361">
        <w:rPr>
          <w:rFonts w:asciiTheme="minorHAnsi" w:hAnsiTheme="minorHAnsi" w:cstheme="minorHAnsi"/>
        </w:rPr>
        <w:t>Bidder should ensure the maintenance of the solution and provision of logs in integration with the SIEM for review with the Bank.</w:t>
      </w:r>
    </w:p>
    <w:p w14:paraId="53006284" w14:textId="2E75E521" w:rsidR="006B6751" w:rsidRPr="00A54361" w:rsidRDefault="006B6751" w:rsidP="00A54361">
      <w:pPr>
        <w:pStyle w:val="TableParagraph"/>
        <w:numPr>
          <w:ilvl w:val="0"/>
          <w:numId w:val="57"/>
        </w:numPr>
        <w:jc w:val="both"/>
        <w:rPr>
          <w:rFonts w:asciiTheme="minorHAnsi" w:hAnsiTheme="minorHAnsi" w:cstheme="minorHAnsi"/>
        </w:rPr>
      </w:pPr>
      <w:r w:rsidRPr="00A54361">
        <w:rPr>
          <w:rFonts w:asciiTheme="minorHAnsi" w:hAnsiTheme="minorHAnsi" w:cstheme="minorHAnsi"/>
        </w:rPr>
        <w:t>24*7 monitoring of all the websites and services under the architecture of Honeypot with no exceptions</w:t>
      </w:r>
    </w:p>
    <w:p w14:paraId="002B1BFE" w14:textId="77777777" w:rsidR="00F11529" w:rsidRPr="00A54361" w:rsidRDefault="00F11529" w:rsidP="00A54361">
      <w:pPr>
        <w:pStyle w:val="ListParagraph"/>
        <w:numPr>
          <w:ilvl w:val="0"/>
          <w:numId w:val="57"/>
        </w:numPr>
        <w:spacing w:after="0" w:line="240" w:lineRule="auto"/>
        <w:jc w:val="both"/>
        <w:rPr>
          <w:rFonts w:eastAsia="Arial" w:cstheme="minorHAnsi"/>
          <w:spacing w:val="-1"/>
        </w:rPr>
      </w:pPr>
      <w:r w:rsidRPr="00A54361">
        <w:rPr>
          <w:rFonts w:eastAsia="Arial" w:cstheme="minorHAnsi"/>
          <w:spacing w:val="-1"/>
        </w:rPr>
        <w:t>Bidder is responsible for migration of all the data and policies from existing solution to the proposed solution.</w:t>
      </w:r>
    </w:p>
    <w:p w14:paraId="0A023498" w14:textId="25375B0B" w:rsidR="00C06D8F" w:rsidRPr="00A54361" w:rsidRDefault="00711F01" w:rsidP="00A54361">
      <w:pPr>
        <w:pStyle w:val="ListParagraph"/>
        <w:numPr>
          <w:ilvl w:val="0"/>
          <w:numId w:val="57"/>
        </w:numPr>
        <w:spacing w:line="256" w:lineRule="auto"/>
        <w:jc w:val="both"/>
        <w:rPr>
          <w:rFonts w:eastAsia="Arial" w:cstheme="minorHAnsi"/>
          <w:spacing w:val="-1"/>
        </w:rPr>
      </w:pPr>
      <w:r w:rsidRPr="00A54361">
        <w:rPr>
          <w:rFonts w:eastAsia="Arial" w:cstheme="minorHAnsi"/>
          <w:spacing w:val="-1"/>
        </w:rPr>
        <w:t>Sizing Guidelines</w:t>
      </w:r>
      <w:r w:rsidR="00C06D8F" w:rsidRPr="00A54361">
        <w:rPr>
          <w:rFonts w:eastAsia="Arial" w:cstheme="minorHAnsi"/>
          <w:spacing w:val="-1"/>
        </w:rPr>
        <w:t xml:space="preserve"> for Decoy (Honeypot) can be found in Annexure </w:t>
      </w:r>
      <w:r w:rsidR="000113F3" w:rsidRPr="00A54361">
        <w:rPr>
          <w:rFonts w:eastAsia="Arial" w:cstheme="minorHAnsi"/>
          <w:spacing w:val="-1"/>
        </w:rPr>
        <w:t>2</w:t>
      </w:r>
      <w:r w:rsidR="00C06D8F" w:rsidRPr="00A54361">
        <w:rPr>
          <w:rFonts w:eastAsia="Arial" w:cstheme="minorHAnsi"/>
          <w:spacing w:val="-1"/>
        </w:rPr>
        <w:t xml:space="preserve"> - Minimum Technical Specifications, in the subtab titles "Solutions Sizing".</w:t>
      </w:r>
    </w:p>
    <w:p w14:paraId="224CBFCE" w14:textId="09C4F9CA" w:rsidR="001D3BBF" w:rsidRPr="00A54361" w:rsidRDefault="00107E86" w:rsidP="00A54361">
      <w:pPr>
        <w:pStyle w:val="ListParagraph"/>
        <w:numPr>
          <w:ilvl w:val="0"/>
          <w:numId w:val="57"/>
        </w:numPr>
        <w:spacing w:line="256" w:lineRule="auto"/>
        <w:jc w:val="both"/>
        <w:rPr>
          <w:rFonts w:eastAsia="Arial" w:cstheme="minorHAnsi"/>
          <w:spacing w:val="-1"/>
        </w:rPr>
      </w:pPr>
      <w:r w:rsidRPr="00A54361">
        <w:rPr>
          <w:rFonts w:eastAsia="Arial" w:cstheme="minorHAnsi"/>
          <w:spacing w:val="-1"/>
        </w:rPr>
        <w:t>The proposed Decoy solution should provide a detailed view, such as but not limited to the below-mentioned telemetry:</w:t>
      </w:r>
    </w:p>
    <w:p w14:paraId="6ECD63A4" w14:textId="77777777" w:rsidR="00452094" w:rsidRPr="00A54361" w:rsidRDefault="00452094" w:rsidP="00A54361">
      <w:pPr>
        <w:pStyle w:val="ListParagraph"/>
        <w:numPr>
          <w:ilvl w:val="1"/>
          <w:numId w:val="57"/>
        </w:numPr>
        <w:spacing w:line="256" w:lineRule="auto"/>
        <w:jc w:val="both"/>
        <w:rPr>
          <w:rFonts w:eastAsia="Arial" w:cstheme="minorHAnsi"/>
          <w:spacing w:val="-1"/>
        </w:rPr>
      </w:pPr>
      <w:r w:rsidRPr="00A54361">
        <w:rPr>
          <w:rFonts w:eastAsia="Arial" w:cstheme="minorHAnsi"/>
          <w:spacing w:val="-1"/>
        </w:rPr>
        <w:t>Attacker Behavior telemetry - The Decoy Solution should provide detailed information about the attacker, including IP address, geolocation, and attack techniques, identify common attack patterns and trends, analyze attack frequency over time and identify primary attack vectors used (e.g. Endpoint, web, network).</w:t>
      </w:r>
    </w:p>
    <w:p w14:paraId="0A688BA0" w14:textId="78088D6D" w:rsidR="002807DB" w:rsidRPr="00A54361" w:rsidRDefault="00274499" w:rsidP="00A54361">
      <w:pPr>
        <w:pStyle w:val="ListParagraph"/>
        <w:numPr>
          <w:ilvl w:val="1"/>
          <w:numId w:val="57"/>
        </w:numPr>
        <w:spacing w:line="256" w:lineRule="auto"/>
        <w:jc w:val="both"/>
        <w:rPr>
          <w:rFonts w:eastAsia="Arial" w:cstheme="minorHAnsi"/>
          <w:spacing w:val="-1"/>
        </w:rPr>
      </w:pPr>
      <w:r w:rsidRPr="00A54361">
        <w:rPr>
          <w:rFonts w:eastAsia="Arial" w:cstheme="minorHAnsi"/>
          <w:spacing w:val="-1"/>
        </w:rPr>
        <w:t>Threat Intelligence - The Decoy Solution should detect security threats that might become initial attack vectors, leading to data breaches. It should also detect the well-known vulnerabilities and should have dynamic</w:t>
      </w:r>
      <w:r w:rsidR="0003532F" w:rsidRPr="00A54361">
        <w:rPr>
          <w:rFonts w:eastAsia="Arial" w:cstheme="minorHAnsi"/>
          <w:spacing w:val="-1"/>
        </w:rPr>
        <w:t>-</w:t>
      </w:r>
      <w:r w:rsidRPr="00A54361">
        <w:rPr>
          <w:rFonts w:eastAsia="Arial" w:cstheme="minorHAnsi"/>
          <w:spacing w:val="-1"/>
        </w:rPr>
        <w:t>ness to engage attackers.</w:t>
      </w:r>
    </w:p>
    <w:p w14:paraId="3822E89F" w14:textId="04B99388" w:rsidR="002807DB" w:rsidRPr="00A54361" w:rsidRDefault="0035420E" w:rsidP="00A54361">
      <w:pPr>
        <w:pStyle w:val="ListParagraph"/>
        <w:numPr>
          <w:ilvl w:val="1"/>
          <w:numId w:val="57"/>
        </w:numPr>
        <w:spacing w:line="256" w:lineRule="auto"/>
        <w:jc w:val="both"/>
        <w:rPr>
          <w:rFonts w:eastAsia="Arial" w:cstheme="minorHAnsi"/>
          <w:spacing w:val="-1"/>
        </w:rPr>
      </w:pPr>
      <w:r w:rsidRPr="00A54361">
        <w:rPr>
          <w:rFonts w:eastAsia="Arial" w:cstheme="minorHAnsi"/>
          <w:spacing w:val="-1"/>
        </w:rPr>
        <w:t>System Compromise - The Decoy Solution should detect signs of system compromise, identify attempts to steal data and detect attacker movement within the network</w:t>
      </w:r>
    </w:p>
    <w:p w14:paraId="215FF2EC" w14:textId="076D86D4" w:rsidR="006B6751" w:rsidRPr="00A54361" w:rsidRDefault="00A842D6" w:rsidP="00A54361">
      <w:pPr>
        <w:pStyle w:val="ListParagraph"/>
        <w:numPr>
          <w:ilvl w:val="1"/>
          <w:numId w:val="57"/>
        </w:numPr>
        <w:spacing w:line="256" w:lineRule="auto"/>
        <w:jc w:val="both"/>
        <w:rPr>
          <w:rFonts w:cstheme="minorHAnsi"/>
        </w:rPr>
      </w:pPr>
      <w:r w:rsidRPr="00A54361">
        <w:rPr>
          <w:rFonts w:eastAsia="Arial" w:cstheme="minorHAnsi"/>
          <w:spacing w:val="-1"/>
        </w:rPr>
        <w:t>Incident Response Reports - The Decoy Solution should provide a detailed chronology of attack events, documentation of mitigation steps and Automatic containment with 3rd party vendors</w:t>
      </w:r>
    </w:p>
    <w:p w14:paraId="4EAA9FC9" w14:textId="32A2A492" w:rsidR="005304A3" w:rsidRPr="00A54361" w:rsidRDefault="005304A3" w:rsidP="00A54361">
      <w:pPr>
        <w:pStyle w:val="Heading3"/>
        <w:jc w:val="both"/>
        <w:rPr>
          <w:rStyle w:val="Strong"/>
          <w:b/>
          <w:bCs w:val="0"/>
          <w:color w:val="auto"/>
        </w:rPr>
      </w:pPr>
      <w:bookmarkStart w:id="22" w:name="_Toc182233342"/>
      <w:r w:rsidRPr="00A54361">
        <w:rPr>
          <w:rStyle w:val="Strong"/>
          <w:b/>
          <w:bCs w:val="0"/>
          <w:color w:val="auto"/>
        </w:rPr>
        <w:t xml:space="preserve">Mobile Device Management </w:t>
      </w:r>
      <w:r w:rsidR="00F86907" w:rsidRPr="00A54361">
        <w:rPr>
          <w:rStyle w:val="Strong"/>
          <w:b/>
          <w:bCs w:val="0"/>
          <w:color w:val="auto"/>
        </w:rPr>
        <w:t>(MDM)</w:t>
      </w:r>
      <w:bookmarkEnd w:id="22"/>
    </w:p>
    <w:p w14:paraId="6316F756" w14:textId="2E5CE31F" w:rsidR="001E62B7" w:rsidRPr="00A54361" w:rsidRDefault="001E62B7"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 xml:space="preserve">Currently Bank is using </w:t>
      </w:r>
      <w:r w:rsidR="00C72669" w:rsidRPr="00A54361">
        <w:rPr>
          <w:rFonts w:eastAsia="Arial" w:cstheme="minorHAnsi"/>
          <w:spacing w:val="-1"/>
        </w:rPr>
        <w:t>Mobile Device Management</w:t>
      </w:r>
      <w:r w:rsidRPr="00A54361">
        <w:rPr>
          <w:rFonts w:eastAsia="Arial" w:cstheme="minorHAnsi"/>
          <w:spacing w:val="-1"/>
        </w:rPr>
        <w:t xml:space="preserve"> Solution.</w:t>
      </w:r>
    </w:p>
    <w:p w14:paraId="45D75E17" w14:textId="0C911146" w:rsidR="00A52435" w:rsidRPr="00A54361" w:rsidRDefault="00A52435"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 xml:space="preserve">The bidder is required to Supply, Install, configure and Maintain "Mobile Device Management" solutions at Bank for the period of contract. The proposed solution is required to meet the </w:t>
      </w:r>
      <w:r w:rsidRPr="00A54361">
        <w:rPr>
          <w:rFonts w:eastAsia="Arial" w:cstheme="minorHAnsi"/>
          <w:spacing w:val="-1"/>
        </w:rPr>
        <w:lastRenderedPageBreak/>
        <w:t xml:space="preserve">technical specifications and bill of material given in Annexure 2 - Minimum Technical Specifications and Annexure 1 - Bill of Material. </w:t>
      </w:r>
    </w:p>
    <w:p w14:paraId="263CB597" w14:textId="77777777" w:rsidR="00D41DAD" w:rsidRPr="00A54361" w:rsidRDefault="00A52435"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Bidder is required to configure Mobile Device Management solution at DC as Primary and at Disaster Recovery site as secondary, having high availability across DC and DRC. In case of DR Drill or DC fails, Mobile Device Management Solution at DRC should act as Primary</w:t>
      </w:r>
    </w:p>
    <w:p w14:paraId="3D26EBBF" w14:textId="4FF28748" w:rsidR="00F85807" w:rsidRPr="00A54361" w:rsidRDefault="00F85807" w:rsidP="00A54361">
      <w:pPr>
        <w:pStyle w:val="ListParagraph"/>
        <w:numPr>
          <w:ilvl w:val="0"/>
          <w:numId w:val="60"/>
        </w:numPr>
        <w:spacing w:after="0" w:line="240" w:lineRule="auto"/>
        <w:jc w:val="both"/>
        <w:rPr>
          <w:rFonts w:eastAsia="Arial" w:cstheme="minorHAnsi"/>
          <w:spacing w:val="-1"/>
        </w:rPr>
      </w:pPr>
      <w:r w:rsidRPr="00A54361">
        <w:rPr>
          <w:rFonts w:cstheme="minorHAnsi"/>
        </w:rPr>
        <w:t>The following elements are all required to construct a complete, end to-end mobility solution.</w:t>
      </w:r>
    </w:p>
    <w:p w14:paraId="192EE052" w14:textId="77777777" w:rsidR="00F85807" w:rsidRPr="00A54361" w:rsidRDefault="00F85807"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 xml:space="preserve">Mobile devices, such as notebook PCs, tablet PCs, personal digital assistants (PDAs), Smart Phones, data and Internet services Infrastructure to support the application, especially next generation (4G) wireless networks and security/encryption software loaded on the mobile devices and network infrastructure Enterprise applications integration includes back office applications, legacy systems, security, and all the other aspects of Central Bank of India. </w:t>
      </w:r>
    </w:p>
    <w:p w14:paraId="36606CC7" w14:textId="77777777" w:rsidR="00F85807" w:rsidRPr="00A54361" w:rsidRDefault="00F85807"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 xml:space="preserve">The Mobile Device Management module is essential solution required by Bank to manage, monitor and support use of mobile devices. </w:t>
      </w:r>
    </w:p>
    <w:p w14:paraId="2C39D09B" w14:textId="77777777" w:rsidR="00F85807" w:rsidRPr="00A54361" w:rsidRDefault="00F85807"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The proposed Mobile Device Management solution should be able to address the following key areas but not restricted:</w:t>
      </w:r>
    </w:p>
    <w:p w14:paraId="41049AA2" w14:textId="77777777" w:rsidR="00F85807" w:rsidRPr="00A54361" w:rsidRDefault="00F85807" w:rsidP="00A54361">
      <w:pPr>
        <w:pStyle w:val="TableParagraph"/>
        <w:numPr>
          <w:ilvl w:val="1"/>
          <w:numId w:val="85"/>
        </w:numPr>
        <w:jc w:val="both"/>
        <w:rPr>
          <w:rFonts w:asciiTheme="minorHAnsi" w:hAnsiTheme="minorHAnsi" w:cstheme="minorHAnsi"/>
        </w:rPr>
      </w:pPr>
      <w:r w:rsidRPr="00A54361">
        <w:rPr>
          <w:rFonts w:asciiTheme="minorHAnsi" w:hAnsiTheme="minorHAnsi" w:cstheme="minorHAnsi"/>
        </w:rPr>
        <w:t>Configuration of the solution balancing critical document access requirements with data security assurance</w:t>
      </w:r>
    </w:p>
    <w:p w14:paraId="68AD07E6" w14:textId="77777777" w:rsidR="00F85807" w:rsidRPr="00A54361" w:rsidRDefault="00F85807" w:rsidP="00A54361">
      <w:pPr>
        <w:pStyle w:val="TableParagraph"/>
        <w:numPr>
          <w:ilvl w:val="1"/>
          <w:numId w:val="85"/>
        </w:numPr>
        <w:jc w:val="both"/>
        <w:rPr>
          <w:rFonts w:asciiTheme="minorHAnsi" w:hAnsiTheme="minorHAnsi" w:cstheme="minorHAnsi"/>
        </w:rPr>
      </w:pPr>
      <w:r w:rsidRPr="00A54361">
        <w:rPr>
          <w:rFonts w:asciiTheme="minorHAnsi" w:hAnsiTheme="minorHAnsi" w:cstheme="minorHAnsi"/>
        </w:rPr>
        <w:t>Tying mobility to strategic business objectives</w:t>
      </w:r>
    </w:p>
    <w:p w14:paraId="5114F498" w14:textId="77777777" w:rsidR="00F85807" w:rsidRPr="00A54361" w:rsidRDefault="00F85807" w:rsidP="00A54361">
      <w:pPr>
        <w:pStyle w:val="TableParagraph"/>
        <w:numPr>
          <w:ilvl w:val="1"/>
          <w:numId w:val="85"/>
        </w:numPr>
        <w:jc w:val="both"/>
        <w:rPr>
          <w:rFonts w:asciiTheme="minorHAnsi" w:hAnsiTheme="minorHAnsi" w:cstheme="minorHAnsi"/>
        </w:rPr>
      </w:pPr>
      <w:r w:rsidRPr="00A54361">
        <w:rPr>
          <w:rFonts w:asciiTheme="minorHAnsi" w:hAnsiTheme="minorHAnsi" w:cstheme="minorHAnsi"/>
        </w:rPr>
        <w:t>Identifies key business processes that can be improved with mobilization</w:t>
      </w:r>
    </w:p>
    <w:p w14:paraId="2BF85698" w14:textId="77777777" w:rsidR="00F85807" w:rsidRPr="00A54361" w:rsidRDefault="00F85807" w:rsidP="00A54361">
      <w:pPr>
        <w:pStyle w:val="TableParagraph"/>
        <w:numPr>
          <w:ilvl w:val="1"/>
          <w:numId w:val="85"/>
        </w:numPr>
        <w:jc w:val="both"/>
        <w:rPr>
          <w:rFonts w:asciiTheme="minorHAnsi" w:hAnsiTheme="minorHAnsi" w:cstheme="minorHAnsi"/>
        </w:rPr>
      </w:pPr>
      <w:r w:rsidRPr="00A54361">
        <w:rPr>
          <w:rFonts w:asciiTheme="minorHAnsi" w:hAnsiTheme="minorHAnsi" w:cstheme="minorHAnsi"/>
        </w:rPr>
        <w:t>Defines business process improvements</w:t>
      </w:r>
    </w:p>
    <w:p w14:paraId="711EC3DB" w14:textId="77777777" w:rsidR="00F85807" w:rsidRPr="00A54361" w:rsidRDefault="00F85807" w:rsidP="00A54361">
      <w:pPr>
        <w:pStyle w:val="TableParagraph"/>
        <w:numPr>
          <w:ilvl w:val="1"/>
          <w:numId w:val="85"/>
        </w:numPr>
        <w:jc w:val="both"/>
        <w:rPr>
          <w:rFonts w:asciiTheme="minorHAnsi" w:hAnsiTheme="minorHAnsi" w:cstheme="minorHAnsi"/>
        </w:rPr>
      </w:pPr>
      <w:r w:rsidRPr="00A54361">
        <w:rPr>
          <w:rFonts w:asciiTheme="minorHAnsi" w:hAnsiTheme="minorHAnsi" w:cstheme="minorHAnsi"/>
        </w:rPr>
        <w:t>Devise business and technical alignment with Bank‘s requirement</w:t>
      </w:r>
    </w:p>
    <w:p w14:paraId="444CA311" w14:textId="77777777" w:rsidR="00F85807" w:rsidRPr="00A54361" w:rsidRDefault="00F85807" w:rsidP="00A54361">
      <w:pPr>
        <w:pStyle w:val="TableParagraph"/>
        <w:numPr>
          <w:ilvl w:val="1"/>
          <w:numId w:val="85"/>
        </w:numPr>
        <w:jc w:val="both"/>
        <w:rPr>
          <w:rFonts w:asciiTheme="minorHAnsi" w:hAnsiTheme="minorHAnsi" w:cstheme="minorHAnsi"/>
        </w:rPr>
      </w:pPr>
      <w:r w:rsidRPr="00A54361">
        <w:rPr>
          <w:rFonts w:asciiTheme="minorHAnsi" w:hAnsiTheme="minorHAnsi" w:cstheme="minorHAnsi"/>
        </w:rPr>
        <w:t>To implement every aspect of the identified and designed mobility initiative, including architecture and systems integration</w:t>
      </w:r>
    </w:p>
    <w:p w14:paraId="4B189C6A" w14:textId="77777777" w:rsidR="00F85807" w:rsidRPr="00A54361" w:rsidRDefault="00F85807" w:rsidP="00A54361">
      <w:pPr>
        <w:pStyle w:val="TableParagraph"/>
        <w:numPr>
          <w:ilvl w:val="1"/>
          <w:numId w:val="85"/>
        </w:numPr>
        <w:jc w:val="both"/>
        <w:rPr>
          <w:rFonts w:asciiTheme="minorHAnsi" w:hAnsiTheme="minorHAnsi" w:cstheme="minorHAnsi"/>
        </w:rPr>
      </w:pPr>
      <w:r w:rsidRPr="00A54361">
        <w:rPr>
          <w:rFonts w:asciiTheme="minorHAnsi" w:hAnsiTheme="minorHAnsi" w:cstheme="minorHAnsi"/>
        </w:rPr>
        <w:t>Assists with device management and configuration</w:t>
      </w:r>
    </w:p>
    <w:p w14:paraId="0A35752A" w14:textId="77777777" w:rsidR="00F85807" w:rsidRPr="00A54361" w:rsidRDefault="00F85807" w:rsidP="00A54361">
      <w:pPr>
        <w:pStyle w:val="TableParagraph"/>
        <w:numPr>
          <w:ilvl w:val="1"/>
          <w:numId w:val="85"/>
        </w:numPr>
        <w:jc w:val="both"/>
        <w:rPr>
          <w:rFonts w:asciiTheme="minorHAnsi" w:hAnsiTheme="minorHAnsi" w:cstheme="minorHAnsi"/>
        </w:rPr>
      </w:pPr>
      <w:r w:rsidRPr="00A54361">
        <w:rPr>
          <w:rFonts w:asciiTheme="minorHAnsi" w:hAnsiTheme="minorHAnsi" w:cstheme="minorHAnsi"/>
        </w:rPr>
        <w:t>Provides different devices application hosting options</w:t>
      </w:r>
    </w:p>
    <w:p w14:paraId="3FDC79E4" w14:textId="77777777" w:rsidR="00F85807" w:rsidRPr="00A54361" w:rsidRDefault="00F85807" w:rsidP="00A54361">
      <w:pPr>
        <w:pStyle w:val="TableParagraph"/>
        <w:numPr>
          <w:ilvl w:val="1"/>
          <w:numId w:val="85"/>
        </w:numPr>
        <w:jc w:val="both"/>
        <w:rPr>
          <w:rFonts w:asciiTheme="minorHAnsi" w:hAnsiTheme="minorHAnsi" w:cstheme="minorHAnsi"/>
        </w:rPr>
      </w:pPr>
      <w:r w:rsidRPr="00A54361">
        <w:rPr>
          <w:rFonts w:asciiTheme="minorHAnsi" w:hAnsiTheme="minorHAnsi" w:cstheme="minorHAnsi"/>
        </w:rPr>
        <w:t>Provides help desk services</w:t>
      </w:r>
    </w:p>
    <w:p w14:paraId="083CEB0F" w14:textId="77777777" w:rsidR="00F85807" w:rsidRPr="00A54361" w:rsidRDefault="00F85807" w:rsidP="00A54361">
      <w:pPr>
        <w:pStyle w:val="TableParagraph"/>
        <w:numPr>
          <w:ilvl w:val="1"/>
          <w:numId w:val="85"/>
        </w:numPr>
        <w:jc w:val="both"/>
        <w:rPr>
          <w:rFonts w:asciiTheme="minorHAnsi" w:hAnsiTheme="minorHAnsi" w:cstheme="minorHAnsi"/>
        </w:rPr>
      </w:pPr>
      <w:r w:rsidRPr="00A54361">
        <w:rPr>
          <w:rFonts w:asciiTheme="minorHAnsi" w:hAnsiTheme="minorHAnsi" w:cstheme="minorHAnsi"/>
        </w:rPr>
        <w:t>Scalable, so new users and increasingly sophisticated devices can be accommodated easily</w:t>
      </w:r>
    </w:p>
    <w:p w14:paraId="24126003" w14:textId="3924C89A" w:rsidR="00F85807" w:rsidRPr="00A54361" w:rsidRDefault="00F85807"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 xml:space="preserve">The bidder must </w:t>
      </w:r>
      <w:r w:rsidR="0002741C" w:rsidRPr="00A54361">
        <w:rPr>
          <w:rFonts w:eastAsia="Arial" w:cstheme="minorHAnsi"/>
          <w:spacing w:val="-1"/>
        </w:rPr>
        <w:t>provide</w:t>
      </w:r>
      <w:r w:rsidRPr="00A54361">
        <w:rPr>
          <w:rFonts w:eastAsia="Arial" w:cstheme="minorHAnsi"/>
          <w:spacing w:val="-1"/>
        </w:rPr>
        <w:t xml:space="preserve"> training to the identified Bank personnel/ SOC team on the product architecture, functionality and the solution design – to be provided before the implementation of solution.</w:t>
      </w:r>
    </w:p>
    <w:p w14:paraId="6FFA2A74" w14:textId="77777777" w:rsidR="00F85807" w:rsidRPr="00A54361" w:rsidRDefault="00F85807"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Provide hands-on training to the Bank personnel/ SOC team on MDM policy configuration, alert monitoring, problem mitigation and etc. post implementation.</w:t>
      </w:r>
    </w:p>
    <w:p w14:paraId="6B3B9C66" w14:textId="77777777" w:rsidR="00F85807" w:rsidRPr="00A54361" w:rsidRDefault="00F85807"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The bidder must integrate MDM with SIEM to generate alerts for any MDM violations.</w:t>
      </w:r>
    </w:p>
    <w:p w14:paraId="68EBE36C" w14:textId="77777777" w:rsidR="00F85807" w:rsidRPr="00A54361" w:rsidRDefault="00F85807"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The Bidder needs to ensure the proposed solution is configured to generate events for monitoring through SIEM</w:t>
      </w:r>
    </w:p>
    <w:p w14:paraId="5CAB16A0" w14:textId="77777777" w:rsidR="00F11529" w:rsidRPr="00A54361" w:rsidRDefault="00F11529"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Bidder is responsible for migration of all the data and policies from existing solution to the proposed solution.</w:t>
      </w:r>
    </w:p>
    <w:p w14:paraId="4503CFBB" w14:textId="37D5CD4D" w:rsidR="00596C7F" w:rsidRPr="00A54361" w:rsidRDefault="00711F01"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Sizing Guidelines</w:t>
      </w:r>
      <w:r w:rsidR="00C06D8F" w:rsidRPr="00A54361">
        <w:rPr>
          <w:rFonts w:eastAsia="Arial" w:cstheme="minorHAnsi"/>
          <w:spacing w:val="-1"/>
        </w:rPr>
        <w:t xml:space="preserve"> for Mobile Device Management can be found in Annexure </w:t>
      </w:r>
      <w:r w:rsidR="000113F3" w:rsidRPr="00A54361">
        <w:rPr>
          <w:rFonts w:eastAsia="Arial" w:cstheme="minorHAnsi"/>
          <w:spacing w:val="-1"/>
        </w:rPr>
        <w:t>2</w:t>
      </w:r>
      <w:r w:rsidR="00C06D8F" w:rsidRPr="00A54361">
        <w:rPr>
          <w:rFonts w:eastAsia="Arial" w:cstheme="minorHAnsi"/>
          <w:spacing w:val="-1"/>
        </w:rPr>
        <w:t xml:space="preserve"> - Minimum Technical Specifications, in the subtab titles "Solutions Sizing".</w:t>
      </w:r>
    </w:p>
    <w:p w14:paraId="58460C10" w14:textId="13B9AEA9" w:rsidR="00D41DAD" w:rsidRPr="00A54361" w:rsidRDefault="00D41DAD" w:rsidP="00A54361">
      <w:pPr>
        <w:pStyle w:val="ListParagraph"/>
        <w:numPr>
          <w:ilvl w:val="0"/>
          <w:numId w:val="60"/>
        </w:numPr>
        <w:spacing w:line="256" w:lineRule="auto"/>
        <w:jc w:val="both"/>
        <w:rPr>
          <w:rFonts w:eastAsia="Arial" w:cstheme="minorHAnsi"/>
          <w:spacing w:val="-1"/>
        </w:rPr>
      </w:pPr>
      <w:r w:rsidRPr="00A54361">
        <w:rPr>
          <w:rFonts w:eastAsia="Arial" w:cstheme="minorHAnsi"/>
          <w:spacing w:val="-1"/>
        </w:rPr>
        <w:t>The Mobile Device Management solution should provide actionable reports, such as but not limited to below mentioned reports:</w:t>
      </w:r>
    </w:p>
    <w:p w14:paraId="531DE0AD" w14:textId="0E8A74E7" w:rsidR="00D41DAD" w:rsidRPr="00A54361" w:rsidRDefault="00D41DAD" w:rsidP="00A54361">
      <w:pPr>
        <w:pStyle w:val="ListParagraph"/>
        <w:numPr>
          <w:ilvl w:val="1"/>
          <w:numId w:val="60"/>
        </w:numPr>
        <w:spacing w:after="0"/>
        <w:jc w:val="both"/>
        <w:rPr>
          <w:rFonts w:eastAsia="Arial" w:cstheme="minorHAnsi"/>
          <w:spacing w:val="-1"/>
        </w:rPr>
      </w:pPr>
      <w:r w:rsidRPr="00A54361">
        <w:rPr>
          <w:rFonts w:eastAsia="Arial" w:cstheme="minorHAnsi"/>
          <w:spacing w:val="-1"/>
        </w:rPr>
        <w:t xml:space="preserve">Device Inventory and Management Reports - </w:t>
      </w:r>
      <w:r w:rsidRPr="00A54361">
        <w:t xml:space="preserve">The MDM Solution should provide </w:t>
      </w:r>
      <w:r w:rsidRPr="00A54361">
        <w:rPr>
          <w:rFonts w:eastAsia="Arial" w:cstheme="minorHAnsi"/>
          <w:spacing w:val="-1"/>
        </w:rPr>
        <w:t>detailed list of all managed devices with their specifications, assessment of device compliance with security policies, analysis of operating system versions across devices, detailed information about device hardware and installed software.</w:t>
      </w:r>
    </w:p>
    <w:p w14:paraId="609F43DB" w14:textId="60C3B4D5" w:rsidR="00D41DAD" w:rsidRPr="00A54361" w:rsidRDefault="00D41DAD" w:rsidP="00A54361">
      <w:pPr>
        <w:pStyle w:val="ListParagraph"/>
        <w:numPr>
          <w:ilvl w:val="1"/>
          <w:numId w:val="60"/>
        </w:numPr>
        <w:spacing w:after="0"/>
        <w:jc w:val="both"/>
        <w:rPr>
          <w:rFonts w:eastAsia="Arial" w:cstheme="minorHAnsi"/>
          <w:spacing w:val="-1"/>
        </w:rPr>
      </w:pPr>
      <w:r w:rsidRPr="00A54361">
        <w:rPr>
          <w:rFonts w:eastAsia="Arial" w:cstheme="minorHAnsi"/>
          <w:spacing w:val="-1"/>
        </w:rPr>
        <w:lastRenderedPageBreak/>
        <w:t xml:space="preserve">Application Management Reports - </w:t>
      </w:r>
      <w:r w:rsidRPr="00A54361">
        <w:t xml:space="preserve">The MDM Solution should provide </w:t>
      </w:r>
      <w:r w:rsidRPr="00A54361">
        <w:rPr>
          <w:rFonts w:eastAsia="Arial" w:cstheme="minorHAnsi"/>
          <w:spacing w:val="-1"/>
        </w:rPr>
        <w:t>list of installed applications on managed devices, assessment of application compliance with security policies and tracking of app deployment and updates.</w:t>
      </w:r>
    </w:p>
    <w:p w14:paraId="36C4CA0A" w14:textId="721E68A5" w:rsidR="00D41DAD" w:rsidRPr="00A54361" w:rsidRDefault="00D41DAD" w:rsidP="00A54361">
      <w:pPr>
        <w:pStyle w:val="ListParagraph"/>
        <w:numPr>
          <w:ilvl w:val="1"/>
          <w:numId w:val="60"/>
        </w:numPr>
        <w:spacing w:after="0"/>
        <w:jc w:val="both"/>
        <w:rPr>
          <w:rFonts w:eastAsia="Arial" w:cstheme="minorHAnsi"/>
          <w:spacing w:val="-1"/>
        </w:rPr>
      </w:pPr>
      <w:r w:rsidRPr="00A54361">
        <w:rPr>
          <w:rFonts w:eastAsia="Arial" w:cstheme="minorHAnsi"/>
          <w:spacing w:val="-1"/>
        </w:rPr>
        <w:t xml:space="preserve">Security and Compliance Reports - </w:t>
      </w:r>
      <w:r w:rsidRPr="00A54361">
        <w:t xml:space="preserve">The MDM Solution should </w:t>
      </w:r>
      <w:r w:rsidRPr="00A54361">
        <w:rPr>
          <w:rFonts w:eastAsia="Arial" w:cstheme="minorHAnsi"/>
          <w:spacing w:val="-1"/>
        </w:rPr>
        <w:t>evaluate device security status, identify compromised (Jailbroken / rooted) devices, assess password strength</w:t>
      </w:r>
      <w:r w:rsidR="00F86907" w:rsidRPr="00A54361">
        <w:rPr>
          <w:rFonts w:eastAsia="Arial" w:cstheme="minorHAnsi"/>
          <w:spacing w:val="-1"/>
        </w:rPr>
        <w:t>.</w:t>
      </w:r>
    </w:p>
    <w:p w14:paraId="285CDAFA" w14:textId="77777777" w:rsidR="00846858" w:rsidRPr="00A54361" w:rsidRDefault="00846858" w:rsidP="00A54361">
      <w:pPr>
        <w:pStyle w:val="ListParagraph"/>
        <w:jc w:val="both"/>
        <w:rPr>
          <w:rFonts w:eastAsia="Arial" w:cstheme="minorHAnsi"/>
          <w:spacing w:val="-1"/>
        </w:rPr>
      </w:pPr>
    </w:p>
    <w:p w14:paraId="431A20B6" w14:textId="70472605" w:rsidR="00846858" w:rsidRPr="00A54361" w:rsidRDefault="009C0E56" w:rsidP="00A54361">
      <w:pPr>
        <w:pStyle w:val="Heading3"/>
        <w:jc w:val="both"/>
        <w:rPr>
          <w:rStyle w:val="Strong"/>
          <w:b/>
          <w:bCs w:val="0"/>
          <w:color w:val="auto"/>
        </w:rPr>
      </w:pPr>
      <w:bookmarkStart w:id="23" w:name="_Toc182233343"/>
      <w:r w:rsidRPr="00A54361">
        <w:rPr>
          <w:rStyle w:val="Strong"/>
          <w:b/>
          <w:bCs w:val="0"/>
          <w:color w:val="auto"/>
        </w:rPr>
        <w:t>Secure Data Backup and Recovery (Ransomware Protection)</w:t>
      </w:r>
      <w:bookmarkEnd w:id="23"/>
    </w:p>
    <w:p w14:paraId="5788FC7D" w14:textId="3E2C6608" w:rsidR="004B21E7" w:rsidRPr="00A54361" w:rsidRDefault="004B21E7"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The bidder is required to Supply, Install, configure and Maintain “</w:t>
      </w:r>
      <w:r w:rsidR="0080003C" w:rsidRPr="00A54361">
        <w:rPr>
          <w:rFonts w:eastAsia="Arial" w:cstheme="minorHAnsi"/>
          <w:spacing w:val="-1"/>
        </w:rPr>
        <w:t>Database Recovery and Ransomware Protection</w:t>
      </w:r>
      <w:r w:rsidR="009553F4" w:rsidRPr="00A54361">
        <w:rPr>
          <w:rFonts w:eastAsia="Arial" w:cstheme="minorHAnsi"/>
          <w:spacing w:val="-1"/>
        </w:rPr>
        <w:t xml:space="preserve"> (Ransomware Protection)</w:t>
      </w:r>
      <w:r w:rsidRPr="00A54361">
        <w:rPr>
          <w:rFonts w:eastAsia="Arial" w:cstheme="minorHAnsi"/>
          <w:spacing w:val="-1"/>
        </w:rPr>
        <w:t xml:space="preserve">” solutions at Bank for the period of contract. The proposed solution is required to meet the technical specifications and bill of material given in Annexure </w:t>
      </w:r>
      <w:r w:rsidR="000113F3" w:rsidRPr="00A54361">
        <w:rPr>
          <w:rFonts w:eastAsia="Arial" w:cstheme="minorHAnsi"/>
          <w:spacing w:val="-1"/>
        </w:rPr>
        <w:t>2 -</w:t>
      </w:r>
      <w:r w:rsidRPr="00A54361">
        <w:rPr>
          <w:rFonts w:eastAsia="Arial" w:cstheme="minorHAnsi"/>
          <w:spacing w:val="-1"/>
        </w:rPr>
        <w:t xml:space="preserve"> Minimum Technical Specifications and Annexure </w:t>
      </w:r>
      <w:r w:rsidR="000113F3" w:rsidRPr="00A54361">
        <w:rPr>
          <w:rFonts w:eastAsia="Arial" w:cstheme="minorHAnsi"/>
          <w:spacing w:val="-1"/>
        </w:rPr>
        <w:t>1 -</w:t>
      </w:r>
      <w:r w:rsidRPr="00A54361">
        <w:rPr>
          <w:rFonts w:eastAsia="Arial" w:cstheme="minorHAnsi"/>
          <w:spacing w:val="-1"/>
        </w:rPr>
        <w:t xml:space="preserve"> Bill of Material. </w:t>
      </w:r>
    </w:p>
    <w:p w14:paraId="3D4B3DF2" w14:textId="48270F23" w:rsidR="004B21E7" w:rsidRPr="00A54361" w:rsidRDefault="004B21E7"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 xml:space="preserve">Bidder is required to configure </w:t>
      </w:r>
      <w:r w:rsidR="0080003C" w:rsidRPr="00A54361">
        <w:rPr>
          <w:rFonts w:eastAsia="Arial" w:cstheme="minorHAnsi"/>
          <w:spacing w:val="-1"/>
        </w:rPr>
        <w:t xml:space="preserve">Database Recovery and Ransomware Protection </w:t>
      </w:r>
      <w:r w:rsidRPr="00A54361">
        <w:rPr>
          <w:rFonts w:eastAsia="Arial" w:cstheme="minorHAnsi"/>
          <w:spacing w:val="-1"/>
        </w:rPr>
        <w:t xml:space="preserve">at DC as Primary and at Disaster Recovery site as secondary, having high availability across DC and DRC. In case of DR Drill or DC fails, </w:t>
      </w:r>
      <w:r w:rsidR="00455F1A" w:rsidRPr="00A54361">
        <w:rPr>
          <w:rFonts w:eastAsia="Arial" w:cstheme="minorHAnsi"/>
          <w:spacing w:val="-1"/>
        </w:rPr>
        <w:t>Database Recovery and Ransomware Protection</w:t>
      </w:r>
      <w:r w:rsidRPr="00A54361">
        <w:rPr>
          <w:rFonts w:eastAsia="Arial" w:cstheme="minorHAnsi"/>
          <w:spacing w:val="-1"/>
        </w:rPr>
        <w:t xml:space="preserve"> at DRC should act as Primary.</w:t>
      </w:r>
    </w:p>
    <w:p w14:paraId="32D9C2BC" w14:textId="746F733C" w:rsidR="004A11AD" w:rsidRPr="00A54361" w:rsidRDefault="004A11AD"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Bidders is required to provide must provide “Database Recovery and Ransomware Protection” solution to protect ransomware / Cyber Attack or data corruption for Bank's Oracle Databases having follow</w:t>
      </w:r>
      <w:r w:rsidR="00A23E12" w:rsidRPr="00A54361">
        <w:rPr>
          <w:rFonts w:eastAsia="Arial" w:cstheme="minorHAnsi"/>
          <w:spacing w:val="-1"/>
        </w:rPr>
        <w:t>i</w:t>
      </w:r>
      <w:r w:rsidRPr="00A54361">
        <w:rPr>
          <w:rFonts w:eastAsia="Arial" w:cstheme="minorHAnsi"/>
          <w:spacing w:val="-1"/>
        </w:rPr>
        <w:t>ng features</w:t>
      </w:r>
    </w:p>
    <w:p w14:paraId="39DC0997" w14:textId="6A81968F" w:rsidR="004B21E7" w:rsidRPr="00A54361" w:rsidRDefault="004B21E7" w:rsidP="00A54361">
      <w:pPr>
        <w:pStyle w:val="ListParagraph"/>
        <w:numPr>
          <w:ilvl w:val="1"/>
          <w:numId w:val="60"/>
        </w:numPr>
        <w:spacing w:after="0" w:line="240" w:lineRule="auto"/>
        <w:jc w:val="both"/>
        <w:rPr>
          <w:rFonts w:eastAsia="Arial" w:cstheme="minorHAnsi"/>
          <w:spacing w:val="-1"/>
        </w:rPr>
      </w:pPr>
      <w:r w:rsidRPr="00A54361">
        <w:rPr>
          <w:rFonts w:eastAsia="Arial" w:cstheme="minorHAnsi"/>
          <w:spacing w:val="-1"/>
        </w:rPr>
        <w:t xml:space="preserve">The proposed Database Recovery and Ransomware Protection solution should support real -time data protection ensuring </w:t>
      </w:r>
      <w:r w:rsidR="00C5484C" w:rsidRPr="00A54361">
        <w:rPr>
          <w:rFonts w:eastAsia="Arial" w:cstheme="minorHAnsi"/>
          <w:spacing w:val="-1"/>
        </w:rPr>
        <w:t xml:space="preserve">near </w:t>
      </w:r>
      <w:r w:rsidRPr="00A54361">
        <w:rPr>
          <w:rFonts w:eastAsia="Arial" w:cstheme="minorHAnsi"/>
          <w:spacing w:val="-1"/>
        </w:rPr>
        <w:t xml:space="preserve">zero data loss </w:t>
      </w:r>
    </w:p>
    <w:p w14:paraId="4968C730" w14:textId="7E09C73A" w:rsidR="004B21E7" w:rsidRPr="00A54361" w:rsidRDefault="004B21E7" w:rsidP="00A54361">
      <w:pPr>
        <w:pStyle w:val="ListParagraph"/>
        <w:numPr>
          <w:ilvl w:val="1"/>
          <w:numId w:val="60"/>
        </w:numPr>
        <w:spacing w:after="0" w:line="240" w:lineRule="auto"/>
        <w:jc w:val="both"/>
        <w:rPr>
          <w:rFonts w:eastAsia="Arial" w:cstheme="minorHAnsi"/>
          <w:spacing w:val="-1"/>
        </w:rPr>
      </w:pPr>
      <w:r w:rsidRPr="00A54361">
        <w:rPr>
          <w:rFonts w:eastAsia="Arial" w:cstheme="minorHAnsi"/>
          <w:spacing w:val="-1"/>
        </w:rPr>
        <w:t xml:space="preserve">The proposed solution must be sized for Oracle Database to cater to the workload with minimum </w:t>
      </w:r>
      <w:r w:rsidR="00184140" w:rsidRPr="00A54361">
        <w:rPr>
          <w:rFonts w:eastAsia="Arial" w:cstheme="minorHAnsi"/>
          <w:spacing w:val="-1"/>
        </w:rPr>
        <w:t>5</w:t>
      </w:r>
      <w:r w:rsidR="00C5484C" w:rsidRPr="00A54361">
        <w:rPr>
          <w:rFonts w:eastAsia="Arial" w:cstheme="minorHAnsi"/>
          <w:spacing w:val="-1"/>
        </w:rPr>
        <w:t>00</w:t>
      </w:r>
      <w:r w:rsidRPr="00A54361">
        <w:rPr>
          <w:rFonts w:eastAsia="Arial" w:cstheme="minorHAnsi"/>
          <w:spacing w:val="-1"/>
        </w:rPr>
        <w:t xml:space="preserve"> TB of usable capacity.</w:t>
      </w:r>
    </w:p>
    <w:p w14:paraId="6CC04E92" w14:textId="1A8F4DD5" w:rsidR="00C11A74" w:rsidRPr="00A54361" w:rsidRDefault="00C11A74" w:rsidP="00A54361">
      <w:pPr>
        <w:pStyle w:val="ListParagraph"/>
        <w:numPr>
          <w:ilvl w:val="1"/>
          <w:numId w:val="60"/>
        </w:numPr>
        <w:spacing w:after="0" w:line="240" w:lineRule="auto"/>
        <w:jc w:val="both"/>
        <w:rPr>
          <w:rFonts w:eastAsia="Arial" w:cstheme="minorHAnsi"/>
          <w:spacing w:val="-1"/>
        </w:rPr>
      </w:pPr>
      <w:r w:rsidRPr="00A54361">
        <w:rPr>
          <w:rFonts w:eastAsia="Arial" w:cstheme="minorHAnsi"/>
          <w:spacing w:val="-1"/>
        </w:rPr>
        <w:t>For detailed functional and technical specifications, refer</w:t>
      </w:r>
      <w:r w:rsidR="00123E24" w:rsidRPr="00A54361">
        <w:rPr>
          <w:rFonts w:eastAsia="Arial" w:cstheme="minorHAnsi"/>
          <w:spacing w:val="-1"/>
        </w:rPr>
        <w:t xml:space="preserve"> to Annexure </w:t>
      </w:r>
      <w:r w:rsidR="000113F3" w:rsidRPr="00A54361">
        <w:rPr>
          <w:rFonts w:eastAsia="Arial" w:cstheme="minorHAnsi"/>
          <w:spacing w:val="-1"/>
        </w:rPr>
        <w:t>2</w:t>
      </w:r>
      <w:r w:rsidR="00123E24" w:rsidRPr="00A54361">
        <w:rPr>
          <w:rFonts w:eastAsia="Arial" w:cstheme="minorHAnsi"/>
          <w:spacing w:val="-1"/>
        </w:rPr>
        <w:t xml:space="preserve"> – Minimum Technical Specifications</w:t>
      </w:r>
    </w:p>
    <w:p w14:paraId="28E79858" w14:textId="31EB0520" w:rsidR="00062AC6" w:rsidRPr="00A54361" w:rsidRDefault="00064922"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 xml:space="preserve">The proposed solution must </w:t>
      </w:r>
      <w:r w:rsidR="00062AC6" w:rsidRPr="00A54361">
        <w:rPr>
          <w:rFonts w:eastAsia="Arial" w:cstheme="minorHAnsi"/>
          <w:spacing w:val="-1"/>
        </w:rPr>
        <w:t>be sized for Oracle Database</w:t>
      </w:r>
      <w:r w:rsidR="00A836BA" w:rsidRPr="00A54361">
        <w:rPr>
          <w:rFonts w:eastAsia="Arial" w:cstheme="minorHAnsi"/>
          <w:spacing w:val="-1"/>
        </w:rPr>
        <w:t xml:space="preserve"> and other databases’</w:t>
      </w:r>
      <w:r w:rsidR="00062AC6" w:rsidRPr="00A54361">
        <w:rPr>
          <w:rFonts w:eastAsia="Arial" w:cstheme="minorHAnsi"/>
          <w:spacing w:val="-1"/>
        </w:rPr>
        <w:t xml:space="preserve"> Workload with minimum</w:t>
      </w:r>
      <w:r w:rsidR="00177AC1" w:rsidRPr="00A54361">
        <w:rPr>
          <w:rFonts w:eastAsia="Arial" w:cstheme="minorHAnsi"/>
          <w:spacing w:val="-1"/>
        </w:rPr>
        <w:t xml:space="preserve"> </w:t>
      </w:r>
      <w:r w:rsidR="00184140" w:rsidRPr="00A54361">
        <w:rPr>
          <w:rFonts w:eastAsia="Arial" w:cstheme="minorHAnsi"/>
          <w:spacing w:val="-1"/>
        </w:rPr>
        <w:t>5</w:t>
      </w:r>
      <w:r w:rsidR="00C5484C" w:rsidRPr="00A54361">
        <w:rPr>
          <w:rFonts w:eastAsia="Arial" w:cstheme="minorHAnsi"/>
          <w:spacing w:val="-1"/>
        </w:rPr>
        <w:t>00</w:t>
      </w:r>
      <w:r w:rsidR="00062AC6" w:rsidRPr="00A54361">
        <w:rPr>
          <w:rFonts w:eastAsia="Arial" w:cstheme="minorHAnsi"/>
          <w:spacing w:val="-1"/>
        </w:rPr>
        <w:t xml:space="preserve"> TB usable capacity</w:t>
      </w:r>
    </w:p>
    <w:p w14:paraId="1733EBC3" w14:textId="06DB7521" w:rsidR="00846858" w:rsidRPr="00A54361" w:rsidRDefault="00D26824" w:rsidP="00A54361">
      <w:pPr>
        <w:pStyle w:val="ListParagraph"/>
        <w:numPr>
          <w:ilvl w:val="0"/>
          <w:numId w:val="60"/>
        </w:numPr>
        <w:spacing w:line="256" w:lineRule="auto"/>
        <w:jc w:val="both"/>
        <w:rPr>
          <w:rFonts w:eastAsia="Arial" w:cstheme="minorHAnsi"/>
          <w:spacing w:val="-1"/>
        </w:rPr>
      </w:pPr>
      <w:r w:rsidRPr="00A54361">
        <w:rPr>
          <w:rFonts w:eastAsia="Arial" w:cstheme="minorHAnsi"/>
          <w:spacing w:val="-1"/>
        </w:rPr>
        <w:t xml:space="preserve">Sizing </w:t>
      </w:r>
      <w:r w:rsidR="00711F01" w:rsidRPr="00A54361">
        <w:rPr>
          <w:rFonts w:eastAsia="Arial" w:cstheme="minorHAnsi"/>
          <w:spacing w:val="-1"/>
        </w:rPr>
        <w:t xml:space="preserve">Guidelines </w:t>
      </w:r>
      <w:r w:rsidR="0002741C">
        <w:rPr>
          <w:rFonts w:eastAsia="Arial" w:cstheme="minorHAnsi"/>
          <w:spacing w:val="-1"/>
        </w:rPr>
        <w:t>for Secure</w:t>
      </w:r>
      <w:r w:rsidRPr="00A54361">
        <w:rPr>
          <w:rFonts w:eastAsia="Arial" w:cstheme="minorHAnsi"/>
          <w:spacing w:val="-1"/>
        </w:rPr>
        <w:t xml:space="preserve"> Data Backup and Recovery can be found in Annexure </w:t>
      </w:r>
      <w:r w:rsidR="000113F3" w:rsidRPr="00A54361">
        <w:rPr>
          <w:rFonts w:eastAsia="Arial" w:cstheme="minorHAnsi"/>
          <w:spacing w:val="-1"/>
        </w:rPr>
        <w:t>2</w:t>
      </w:r>
      <w:r w:rsidRPr="00A54361">
        <w:rPr>
          <w:rFonts w:eastAsia="Arial" w:cstheme="minorHAnsi"/>
          <w:spacing w:val="-1"/>
        </w:rPr>
        <w:t xml:space="preserve"> - Minimum Technical Specifications, in the subtab titles "Solutions Sizing".</w:t>
      </w:r>
    </w:p>
    <w:p w14:paraId="54BAD494" w14:textId="7CAD1D0D" w:rsidR="007D1716" w:rsidRPr="00A54361" w:rsidRDefault="007D1716" w:rsidP="00A54361">
      <w:pPr>
        <w:pStyle w:val="ListParagraph"/>
        <w:numPr>
          <w:ilvl w:val="0"/>
          <w:numId w:val="60"/>
        </w:numPr>
        <w:spacing w:line="256" w:lineRule="auto"/>
        <w:jc w:val="both"/>
        <w:rPr>
          <w:rFonts w:eastAsia="Arial" w:cstheme="minorHAnsi"/>
          <w:spacing w:val="-1"/>
        </w:rPr>
      </w:pPr>
      <w:r w:rsidRPr="00A54361">
        <w:rPr>
          <w:rFonts w:eastAsia="Arial" w:cstheme="minorHAnsi"/>
          <w:spacing w:val="-1"/>
        </w:rPr>
        <w:t>The Secure Data Backup and Recovery (Ransomware Protection) solution should provide actionable reports, such as but not limited to below mentioned reports:</w:t>
      </w:r>
    </w:p>
    <w:p w14:paraId="238610C2" w14:textId="213E17A9" w:rsidR="00B466BA" w:rsidRPr="00A54361" w:rsidRDefault="00B466BA" w:rsidP="00A54361">
      <w:pPr>
        <w:pStyle w:val="ListParagraph"/>
        <w:numPr>
          <w:ilvl w:val="1"/>
          <w:numId w:val="60"/>
        </w:numPr>
        <w:spacing w:line="256" w:lineRule="auto"/>
        <w:jc w:val="both"/>
        <w:rPr>
          <w:rFonts w:eastAsia="Arial" w:cstheme="minorHAnsi"/>
          <w:spacing w:val="-1"/>
        </w:rPr>
      </w:pPr>
      <w:r w:rsidRPr="00A54361">
        <w:rPr>
          <w:rFonts w:eastAsia="Arial" w:cstheme="minorHAnsi"/>
          <w:spacing w:val="-1"/>
        </w:rPr>
        <w:t>Should show the status of ongoing and completed backups, identify backup failures and their causes, measure the time taken to recover data</w:t>
      </w:r>
    </w:p>
    <w:p w14:paraId="1815552D" w14:textId="36B75885" w:rsidR="007D1716" w:rsidRPr="00A54361" w:rsidRDefault="00B466BA" w:rsidP="00A54361">
      <w:pPr>
        <w:pStyle w:val="ListParagraph"/>
        <w:numPr>
          <w:ilvl w:val="1"/>
          <w:numId w:val="60"/>
        </w:numPr>
        <w:spacing w:line="256" w:lineRule="auto"/>
        <w:jc w:val="both"/>
        <w:rPr>
          <w:rFonts w:eastAsia="Arial" w:cstheme="minorHAnsi"/>
          <w:spacing w:val="-1"/>
        </w:rPr>
      </w:pPr>
      <w:r w:rsidRPr="00A54361">
        <w:rPr>
          <w:rFonts w:eastAsia="Arial" w:cstheme="minorHAnsi"/>
          <w:spacing w:val="-1"/>
        </w:rPr>
        <w:t>Provide unified dashboard showing Database recoverability status and protection policy for all source databases, with the ability to drill down further.</w:t>
      </w:r>
    </w:p>
    <w:p w14:paraId="0EA190C2" w14:textId="2A2D77E8" w:rsidR="00416BB9" w:rsidRPr="00A54361" w:rsidRDefault="00416BB9" w:rsidP="00A54361">
      <w:pPr>
        <w:pStyle w:val="Heading3"/>
        <w:jc w:val="both"/>
        <w:rPr>
          <w:rStyle w:val="Strong"/>
          <w:b/>
          <w:bCs w:val="0"/>
          <w:color w:val="auto"/>
        </w:rPr>
      </w:pPr>
      <w:bookmarkStart w:id="24" w:name="_Toc182233344"/>
      <w:r w:rsidRPr="00A54361">
        <w:rPr>
          <w:rStyle w:val="Strong"/>
          <w:b/>
          <w:bCs w:val="0"/>
          <w:color w:val="auto"/>
        </w:rPr>
        <w:t>Network Access Control</w:t>
      </w:r>
      <w:r w:rsidR="00FE63CF" w:rsidRPr="00A54361">
        <w:rPr>
          <w:rStyle w:val="Strong"/>
          <w:b/>
          <w:bCs w:val="0"/>
          <w:color w:val="auto"/>
        </w:rPr>
        <w:t xml:space="preserve"> (NAC)</w:t>
      </w:r>
      <w:bookmarkEnd w:id="24"/>
    </w:p>
    <w:p w14:paraId="5ABA7241" w14:textId="77777777" w:rsidR="001D6F3F" w:rsidRPr="00A54361" w:rsidRDefault="001D6F3F" w:rsidP="00A54361">
      <w:pPr>
        <w:pStyle w:val="ListParagraph"/>
        <w:numPr>
          <w:ilvl w:val="0"/>
          <w:numId w:val="60"/>
        </w:numPr>
        <w:spacing w:line="256" w:lineRule="auto"/>
        <w:jc w:val="both"/>
        <w:rPr>
          <w:rFonts w:eastAsia="Arial" w:cstheme="minorHAnsi"/>
          <w:spacing w:val="-1"/>
        </w:rPr>
      </w:pPr>
      <w:r w:rsidRPr="00A54361">
        <w:rPr>
          <w:rFonts w:eastAsia="Arial" w:cstheme="minorHAnsi"/>
          <w:spacing w:val="-1"/>
        </w:rPr>
        <w:t xml:space="preserve">The bidder is required to Supply, Install and Maintain “Network Access Control” solutions at Bank for the period of contract. The proposed solution is required to meet the technical specifications and bill of material given in Annexure 2 - Minimum Technical Specifications and Annexure 1 - Bill of Material. </w:t>
      </w:r>
    </w:p>
    <w:p w14:paraId="4685B559" w14:textId="32BD021F" w:rsidR="001D6F3F" w:rsidRPr="00A54361" w:rsidRDefault="006F6011" w:rsidP="00A54361">
      <w:pPr>
        <w:pStyle w:val="ListParagraph"/>
        <w:numPr>
          <w:ilvl w:val="0"/>
          <w:numId w:val="60"/>
        </w:numPr>
        <w:spacing w:line="256" w:lineRule="auto"/>
        <w:jc w:val="both"/>
        <w:rPr>
          <w:rFonts w:eastAsia="Arial" w:cstheme="minorHAnsi"/>
          <w:spacing w:val="-1"/>
        </w:rPr>
      </w:pPr>
      <w:r w:rsidRPr="00A54361">
        <w:rPr>
          <w:rFonts w:eastAsia="Arial" w:cstheme="minorHAnsi"/>
          <w:spacing w:val="-1"/>
        </w:rPr>
        <w:t>Bidder is required to configure Network Access Control at DC as Primary and at Disaster Recovery site as secondary, having high availability across DC and DRC. In case of DR Drill or DC fails, Network Access Control at DRC should act as Primary</w:t>
      </w:r>
    </w:p>
    <w:p w14:paraId="353BFC06" w14:textId="77777777" w:rsidR="0008003E" w:rsidRPr="00A54361" w:rsidRDefault="0008003E" w:rsidP="00A54361">
      <w:pPr>
        <w:pStyle w:val="ListParagraph"/>
        <w:numPr>
          <w:ilvl w:val="0"/>
          <w:numId w:val="60"/>
        </w:numPr>
        <w:spacing w:line="256" w:lineRule="auto"/>
        <w:jc w:val="both"/>
        <w:rPr>
          <w:rFonts w:eastAsia="Arial" w:cstheme="minorHAnsi"/>
          <w:spacing w:val="-1"/>
        </w:rPr>
      </w:pPr>
      <w:r w:rsidRPr="00A54361">
        <w:rPr>
          <w:rFonts w:eastAsia="Arial" w:cstheme="minorHAnsi"/>
          <w:spacing w:val="-1"/>
        </w:rPr>
        <w:t>The Bank intends to procure a Network Access Control solution that should enforces policies to ensure only authorized and compliant users and devices can access Bank’s network.</w:t>
      </w:r>
    </w:p>
    <w:p w14:paraId="68D0047C" w14:textId="594039F6" w:rsidR="006F6011" w:rsidRPr="00A54361" w:rsidRDefault="0008003E" w:rsidP="00A54361">
      <w:pPr>
        <w:pStyle w:val="ListParagraph"/>
        <w:numPr>
          <w:ilvl w:val="0"/>
          <w:numId w:val="60"/>
        </w:numPr>
        <w:spacing w:line="256" w:lineRule="auto"/>
        <w:jc w:val="both"/>
        <w:rPr>
          <w:rFonts w:eastAsia="Arial" w:cstheme="minorHAnsi"/>
          <w:spacing w:val="-1"/>
        </w:rPr>
      </w:pPr>
      <w:r w:rsidRPr="00A54361">
        <w:rPr>
          <w:rFonts w:eastAsia="Arial" w:cstheme="minorHAnsi"/>
          <w:spacing w:val="-1"/>
        </w:rPr>
        <w:lastRenderedPageBreak/>
        <w:t>The proposed NAC Solution should provide below mentioned key features to enhance Bank’s network security:</w:t>
      </w:r>
    </w:p>
    <w:p w14:paraId="3D9D7917" w14:textId="77777777" w:rsidR="002F086F" w:rsidRPr="00A54361" w:rsidRDefault="002F086F" w:rsidP="00A54361">
      <w:pPr>
        <w:pStyle w:val="ListParagraph"/>
        <w:numPr>
          <w:ilvl w:val="1"/>
          <w:numId w:val="60"/>
        </w:numPr>
        <w:spacing w:line="256" w:lineRule="auto"/>
        <w:jc w:val="both"/>
        <w:rPr>
          <w:rFonts w:eastAsia="Arial" w:cstheme="minorHAnsi"/>
          <w:spacing w:val="-1"/>
        </w:rPr>
      </w:pPr>
      <w:r w:rsidRPr="00A54361">
        <w:rPr>
          <w:rFonts w:eastAsia="Arial" w:cstheme="minorHAnsi"/>
          <w:spacing w:val="-1"/>
        </w:rPr>
        <w:t>Endpoint Assessment: NAC should evaluate the security posture of devices attempting to connect to the network including wired and wireless network. It should include checking for antivirus software, firewall status, vulnerable application and operating system patches.</w:t>
      </w:r>
    </w:p>
    <w:p w14:paraId="5D3B33B5" w14:textId="77777777" w:rsidR="002F086F" w:rsidRPr="00A54361" w:rsidRDefault="002F086F" w:rsidP="00A54361">
      <w:pPr>
        <w:pStyle w:val="ListParagraph"/>
        <w:numPr>
          <w:ilvl w:val="1"/>
          <w:numId w:val="60"/>
        </w:numPr>
        <w:spacing w:line="256" w:lineRule="auto"/>
        <w:jc w:val="both"/>
        <w:rPr>
          <w:rFonts w:eastAsia="Arial" w:cstheme="minorHAnsi"/>
          <w:spacing w:val="-1"/>
        </w:rPr>
      </w:pPr>
      <w:r w:rsidRPr="00A54361">
        <w:rPr>
          <w:rFonts w:eastAsia="Arial" w:cstheme="minorHAnsi"/>
          <w:spacing w:val="-1"/>
        </w:rPr>
        <w:t>Policy Enforcement: Based on the assessment results, NAC should enforce policies to allow, restrict, or deny access. Non-compliant devices may be quarantined or provided with limited access.</w:t>
      </w:r>
    </w:p>
    <w:p w14:paraId="433B841D" w14:textId="77777777" w:rsidR="002F086F" w:rsidRPr="00A54361" w:rsidRDefault="002F086F" w:rsidP="00A54361">
      <w:pPr>
        <w:pStyle w:val="ListParagraph"/>
        <w:numPr>
          <w:ilvl w:val="1"/>
          <w:numId w:val="60"/>
        </w:numPr>
        <w:spacing w:line="256" w:lineRule="auto"/>
        <w:jc w:val="both"/>
        <w:rPr>
          <w:rFonts w:eastAsia="Arial" w:cstheme="minorHAnsi"/>
          <w:spacing w:val="-1"/>
        </w:rPr>
      </w:pPr>
      <w:r w:rsidRPr="00A54361">
        <w:rPr>
          <w:rFonts w:eastAsia="Arial" w:cstheme="minorHAnsi"/>
          <w:spacing w:val="-1"/>
        </w:rPr>
        <w:t>Authentication and Authorization: NAC should verify the identity of users and devices before granting access. This should typically involve authentication methods like usernames/passwords, tokens, or biometrics.</w:t>
      </w:r>
    </w:p>
    <w:p w14:paraId="5D4832D0" w14:textId="77777777" w:rsidR="002F086F" w:rsidRPr="00A54361" w:rsidRDefault="002F086F" w:rsidP="00A54361">
      <w:pPr>
        <w:pStyle w:val="ListParagraph"/>
        <w:numPr>
          <w:ilvl w:val="1"/>
          <w:numId w:val="60"/>
        </w:numPr>
        <w:spacing w:line="256" w:lineRule="auto"/>
        <w:jc w:val="both"/>
        <w:rPr>
          <w:rFonts w:eastAsia="Arial" w:cstheme="minorHAnsi"/>
          <w:spacing w:val="-1"/>
        </w:rPr>
      </w:pPr>
      <w:r w:rsidRPr="00A54361">
        <w:rPr>
          <w:rFonts w:eastAsia="Arial" w:cstheme="minorHAnsi"/>
          <w:spacing w:val="-1"/>
        </w:rPr>
        <w:t>Guest Network Management: NAC should create and manage separate guest networks with restricted access, allowing for secure internet access for visitors or any other 3rd party user access.</w:t>
      </w:r>
    </w:p>
    <w:p w14:paraId="35D22D14" w14:textId="077EFD44" w:rsidR="002F086F" w:rsidRPr="00A54361" w:rsidRDefault="002F086F" w:rsidP="00A54361">
      <w:pPr>
        <w:pStyle w:val="ListParagraph"/>
        <w:numPr>
          <w:ilvl w:val="1"/>
          <w:numId w:val="60"/>
        </w:numPr>
        <w:spacing w:line="256" w:lineRule="auto"/>
        <w:jc w:val="both"/>
        <w:rPr>
          <w:rFonts w:eastAsia="Arial" w:cstheme="minorHAnsi"/>
          <w:spacing w:val="-1"/>
        </w:rPr>
      </w:pPr>
      <w:r w:rsidRPr="00A54361">
        <w:rPr>
          <w:rFonts w:eastAsia="Arial" w:cstheme="minorHAnsi"/>
          <w:spacing w:val="-1"/>
        </w:rPr>
        <w:t xml:space="preserve">Compliance Enforcement: NAC should help </w:t>
      </w:r>
      <w:r w:rsidR="00FC2B07" w:rsidRPr="00A54361">
        <w:rPr>
          <w:rFonts w:eastAsia="Arial" w:cstheme="minorHAnsi"/>
          <w:spacing w:val="-1"/>
        </w:rPr>
        <w:t xml:space="preserve">Bank </w:t>
      </w:r>
      <w:r w:rsidRPr="00A54361">
        <w:rPr>
          <w:rFonts w:eastAsia="Arial" w:cstheme="minorHAnsi"/>
          <w:spacing w:val="-1"/>
        </w:rPr>
        <w:t>to comply with Government regulations by ensuring that only authorized devices and users with the necessary permissions can access sensitive data.</w:t>
      </w:r>
    </w:p>
    <w:p w14:paraId="5B183819" w14:textId="77777777" w:rsidR="002F086F" w:rsidRPr="00A54361" w:rsidRDefault="002F086F" w:rsidP="00A54361">
      <w:pPr>
        <w:pStyle w:val="ListParagraph"/>
        <w:numPr>
          <w:ilvl w:val="1"/>
          <w:numId w:val="60"/>
        </w:numPr>
        <w:spacing w:line="256" w:lineRule="auto"/>
        <w:jc w:val="both"/>
        <w:rPr>
          <w:rFonts w:eastAsia="Arial" w:cstheme="minorHAnsi"/>
          <w:spacing w:val="-1"/>
        </w:rPr>
      </w:pPr>
      <w:r w:rsidRPr="00A54361">
        <w:rPr>
          <w:rFonts w:eastAsia="Arial" w:cstheme="minorHAnsi"/>
          <w:spacing w:val="-1"/>
        </w:rPr>
        <w:t>Device Profiling: NAC should gather information about devices, such as manufacturer, model, and operating system, to identify potential security risks.</w:t>
      </w:r>
    </w:p>
    <w:p w14:paraId="4B2CFD22" w14:textId="77777777" w:rsidR="002F086F" w:rsidRPr="00A54361" w:rsidRDefault="002F086F" w:rsidP="00A54361">
      <w:pPr>
        <w:pStyle w:val="ListParagraph"/>
        <w:numPr>
          <w:ilvl w:val="1"/>
          <w:numId w:val="60"/>
        </w:numPr>
        <w:spacing w:line="256" w:lineRule="auto"/>
        <w:jc w:val="both"/>
        <w:rPr>
          <w:rFonts w:eastAsia="Arial" w:cstheme="minorHAnsi"/>
          <w:spacing w:val="-1"/>
        </w:rPr>
      </w:pPr>
      <w:r w:rsidRPr="00A54361">
        <w:rPr>
          <w:rFonts w:eastAsia="Arial" w:cstheme="minorHAnsi"/>
          <w:spacing w:val="-1"/>
        </w:rPr>
        <w:t>Network Visibility: NAC should provide visibility into all devices connected to the network, making it easier to identify unauthorized or compromised systems.</w:t>
      </w:r>
    </w:p>
    <w:p w14:paraId="17F7EA54" w14:textId="77777777" w:rsidR="002F086F" w:rsidRPr="00A54361" w:rsidRDefault="002F086F" w:rsidP="00A54361">
      <w:pPr>
        <w:pStyle w:val="ListParagraph"/>
        <w:numPr>
          <w:ilvl w:val="1"/>
          <w:numId w:val="60"/>
        </w:numPr>
        <w:spacing w:line="256" w:lineRule="auto"/>
        <w:jc w:val="both"/>
        <w:rPr>
          <w:rFonts w:eastAsia="Arial" w:cstheme="minorHAnsi"/>
          <w:spacing w:val="-1"/>
        </w:rPr>
      </w:pPr>
      <w:r w:rsidRPr="00A54361">
        <w:rPr>
          <w:rFonts w:eastAsia="Arial" w:cstheme="minorHAnsi"/>
          <w:spacing w:val="-1"/>
        </w:rPr>
        <w:t>Threat Detection and Prevention: NAC should detect and prevent threats like malware, unauthorized access, and policy violations based on intelligence from the existing security solutions and block the assets automatically.</w:t>
      </w:r>
    </w:p>
    <w:p w14:paraId="1CE55E5A" w14:textId="77777777" w:rsidR="002F086F" w:rsidRPr="00A54361" w:rsidRDefault="002F086F" w:rsidP="00A54361">
      <w:pPr>
        <w:pStyle w:val="ListParagraph"/>
        <w:numPr>
          <w:ilvl w:val="1"/>
          <w:numId w:val="60"/>
        </w:numPr>
        <w:spacing w:line="256" w:lineRule="auto"/>
        <w:jc w:val="both"/>
        <w:rPr>
          <w:rFonts w:eastAsia="Arial" w:cstheme="minorHAnsi"/>
          <w:spacing w:val="-1"/>
        </w:rPr>
      </w:pPr>
      <w:r w:rsidRPr="00A54361">
        <w:rPr>
          <w:rFonts w:eastAsia="Arial" w:cstheme="minorHAnsi"/>
          <w:spacing w:val="-1"/>
        </w:rPr>
        <w:t>Integration with Other Security Tools: NAC should integrate with other security solutions, such as firewalls, IPS, EDR and SIEMs, to provide a comprehensive security posture.</w:t>
      </w:r>
    </w:p>
    <w:p w14:paraId="61E13E26" w14:textId="26616143" w:rsidR="0008003E" w:rsidRPr="00A54361" w:rsidRDefault="002F086F" w:rsidP="00A54361">
      <w:pPr>
        <w:pStyle w:val="ListParagraph"/>
        <w:numPr>
          <w:ilvl w:val="1"/>
          <w:numId w:val="60"/>
        </w:numPr>
        <w:spacing w:line="256" w:lineRule="auto"/>
        <w:jc w:val="both"/>
        <w:rPr>
          <w:rFonts w:eastAsia="Arial" w:cstheme="minorHAnsi"/>
          <w:spacing w:val="-1"/>
        </w:rPr>
      </w:pPr>
      <w:r w:rsidRPr="00A54361">
        <w:rPr>
          <w:rFonts w:eastAsia="Arial" w:cstheme="minorHAnsi"/>
          <w:spacing w:val="-1"/>
        </w:rPr>
        <w:t>Automation: NAC should automate many tasks, such as policy enforcement and device onboarding, to reduce administrative overhead.</w:t>
      </w:r>
    </w:p>
    <w:p w14:paraId="7861FAEA" w14:textId="77777777" w:rsidR="007865B5" w:rsidRPr="00A54361" w:rsidRDefault="007865B5" w:rsidP="00A54361">
      <w:pPr>
        <w:pStyle w:val="ListParagraph"/>
        <w:numPr>
          <w:ilvl w:val="0"/>
          <w:numId w:val="60"/>
        </w:numPr>
        <w:jc w:val="both"/>
      </w:pPr>
      <w:r w:rsidRPr="00A54361">
        <w:t xml:space="preserve">In case of failure of NAC appliance/ software, the Bidder shall provide redundant solution in no more time than 4 hours for any location wherever NAC is deployed. </w:t>
      </w:r>
    </w:p>
    <w:p w14:paraId="61E3D366" w14:textId="77777777" w:rsidR="007865B5" w:rsidRPr="00A54361" w:rsidRDefault="007865B5" w:rsidP="00A54361">
      <w:pPr>
        <w:pStyle w:val="ListParagraph"/>
        <w:numPr>
          <w:ilvl w:val="0"/>
          <w:numId w:val="60"/>
        </w:numPr>
        <w:jc w:val="both"/>
      </w:pPr>
      <w:r w:rsidRPr="00A54361">
        <w:t>The Bidder is required to supply, implement &amp; maintain NAC for:</w:t>
      </w:r>
    </w:p>
    <w:p w14:paraId="26818B70" w14:textId="77777777" w:rsidR="00B71DF3" w:rsidRPr="00A54361" w:rsidRDefault="00B71DF3" w:rsidP="00A54361">
      <w:pPr>
        <w:pStyle w:val="ListParagraph"/>
        <w:numPr>
          <w:ilvl w:val="1"/>
          <w:numId w:val="60"/>
        </w:numPr>
        <w:spacing w:line="256" w:lineRule="auto"/>
        <w:jc w:val="both"/>
        <w:rPr>
          <w:rFonts w:eastAsia="Arial" w:cstheme="minorHAnsi"/>
          <w:spacing w:val="-1"/>
        </w:rPr>
      </w:pPr>
      <w:r w:rsidRPr="00A54361">
        <w:rPr>
          <w:rFonts w:eastAsia="Arial" w:cstheme="minorHAnsi"/>
          <w:spacing w:val="-1"/>
        </w:rPr>
        <w:t xml:space="preserve">36000 Endpoints (Includes DC, DRC, Branches. ATMs and Kiosks) and solution should be scalable to support 41000 endpoints during the period of contract. </w:t>
      </w:r>
    </w:p>
    <w:p w14:paraId="52CF0E92" w14:textId="77777777" w:rsidR="00B71DF3" w:rsidRPr="00A54361" w:rsidRDefault="00B71DF3" w:rsidP="00A54361">
      <w:pPr>
        <w:pStyle w:val="ListParagraph"/>
        <w:numPr>
          <w:ilvl w:val="1"/>
          <w:numId w:val="60"/>
        </w:numPr>
        <w:spacing w:line="256" w:lineRule="auto"/>
        <w:jc w:val="both"/>
        <w:rPr>
          <w:rFonts w:eastAsia="Arial" w:cstheme="minorHAnsi"/>
          <w:spacing w:val="-1"/>
        </w:rPr>
      </w:pPr>
      <w:r w:rsidRPr="00A54361">
        <w:rPr>
          <w:rFonts w:eastAsia="Arial" w:cstheme="minorHAnsi"/>
          <w:spacing w:val="-1"/>
        </w:rPr>
        <w:t>The solution is to be deployed at DC in HA mode and at DRC in HA mode.</w:t>
      </w:r>
    </w:p>
    <w:p w14:paraId="6C6ECA6F" w14:textId="77777777" w:rsidR="00B71DF3" w:rsidRPr="00A54361" w:rsidRDefault="00B71DF3" w:rsidP="00A54361">
      <w:pPr>
        <w:pStyle w:val="ListParagraph"/>
        <w:numPr>
          <w:ilvl w:val="1"/>
          <w:numId w:val="60"/>
        </w:numPr>
        <w:spacing w:line="256" w:lineRule="auto"/>
        <w:jc w:val="both"/>
        <w:rPr>
          <w:rFonts w:eastAsia="Arial" w:cstheme="minorHAnsi"/>
          <w:spacing w:val="-1"/>
        </w:rPr>
      </w:pPr>
      <w:r w:rsidRPr="00A54361">
        <w:rPr>
          <w:rFonts w:eastAsia="Arial" w:cstheme="minorHAnsi"/>
          <w:spacing w:val="-1"/>
        </w:rPr>
        <w:t xml:space="preserve">The NAC solution must Integrate with SIEM to generate alerts for any NAC violations. </w:t>
      </w:r>
    </w:p>
    <w:p w14:paraId="7158E488" w14:textId="77777777" w:rsidR="00B71DF3" w:rsidRPr="00A54361" w:rsidRDefault="00B71DF3" w:rsidP="00A54361">
      <w:pPr>
        <w:pStyle w:val="ListParagraph"/>
        <w:numPr>
          <w:ilvl w:val="1"/>
          <w:numId w:val="60"/>
        </w:numPr>
        <w:spacing w:line="256" w:lineRule="auto"/>
        <w:jc w:val="both"/>
        <w:rPr>
          <w:rFonts w:eastAsia="Arial" w:cstheme="minorHAnsi"/>
          <w:spacing w:val="-1"/>
        </w:rPr>
      </w:pPr>
      <w:r w:rsidRPr="00A54361">
        <w:rPr>
          <w:rFonts w:eastAsia="Arial" w:cstheme="minorHAnsi"/>
          <w:spacing w:val="-1"/>
        </w:rPr>
        <w:t xml:space="preserve">The responsibility of integration of solutions with existing SIEM lies with the Bidder selected through this RFP </w:t>
      </w:r>
    </w:p>
    <w:p w14:paraId="7A4417EF" w14:textId="77777777" w:rsidR="00B71DF3" w:rsidRPr="00A54361" w:rsidRDefault="00B71DF3" w:rsidP="00A54361">
      <w:pPr>
        <w:pStyle w:val="ListParagraph"/>
        <w:numPr>
          <w:ilvl w:val="1"/>
          <w:numId w:val="60"/>
        </w:numPr>
        <w:spacing w:line="256" w:lineRule="auto"/>
        <w:jc w:val="both"/>
        <w:rPr>
          <w:rFonts w:eastAsia="Arial" w:cstheme="minorHAnsi"/>
          <w:spacing w:val="-1"/>
        </w:rPr>
      </w:pPr>
      <w:r w:rsidRPr="00A54361">
        <w:rPr>
          <w:rFonts w:eastAsia="Arial" w:cstheme="minorHAnsi"/>
          <w:spacing w:val="-1"/>
        </w:rPr>
        <w:t>The Bidder needs to ensure the proposed solution is configured to generate events for monitoring through existing SIEM and EDR.</w:t>
      </w:r>
    </w:p>
    <w:p w14:paraId="215726A2" w14:textId="77777777" w:rsidR="00B71DF3" w:rsidRPr="00A54361" w:rsidRDefault="00B71DF3" w:rsidP="00A54361">
      <w:pPr>
        <w:pStyle w:val="ListParagraph"/>
        <w:numPr>
          <w:ilvl w:val="1"/>
          <w:numId w:val="60"/>
        </w:numPr>
        <w:spacing w:line="256" w:lineRule="auto"/>
        <w:jc w:val="both"/>
        <w:rPr>
          <w:rFonts w:eastAsia="Arial" w:cstheme="minorHAnsi"/>
          <w:spacing w:val="-1"/>
        </w:rPr>
      </w:pPr>
      <w:r w:rsidRPr="00A54361">
        <w:rPr>
          <w:rFonts w:eastAsia="Arial" w:cstheme="minorHAnsi"/>
          <w:spacing w:val="-1"/>
        </w:rPr>
        <w:t xml:space="preserve">The bidder/OEM must provide training to the identified Bank personnel/ SOC team on the product architecture, functionality and the solution design – to be provided before the implementation of solution. </w:t>
      </w:r>
    </w:p>
    <w:p w14:paraId="1B919C0A" w14:textId="2771E39A" w:rsidR="003D01DB" w:rsidRPr="00A54361" w:rsidRDefault="00B71DF3" w:rsidP="00A54361">
      <w:pPr>
        <w:pStyle w:val="ListParagraph"/>
        <w:numPr>
          <w:ilvl w:val="1"/>
          <w:numId w:val="60"/>
        </w:numPr>
        <w:spacing w:line="256" w:lineRule="auto"/>
        <w:jc w:val="both"/>
        <w:rPr>
          <w:rFonts w:eastAsia="Arial" w:cstheme="minorHAnsi"/>
          <w:spacing w:val="-1"/>
        </w:rPr>
      </w:pPr>
      <w:r w:rsidRPr="00A54361">
        <w:rPr>
          <w:rFonts w:eastAsia="Arial" w:cstheme="minorHAnsi"/>
          <w:spacing w:val="-1"/>
        </w:rPr>
        <w:t>The bidder/OEM must provide hands-on training to the Bank personnel/ SOC team on NAC policy configuration, alert monitoring, and etc. post implementation.</w:t>
      </w:r>
    </w:p>
    <w:p w14:paraId="76E4178E" w14:textId="4E68A22D" w:rsidR="0065361D" w:rsidRPr="00A54361" w:rsidRDefault="0065361D" w:rsidP="00A54361">
      <w:pPr>
        <w:pStyle w:val="ListParagraph"/>
        <w:numPr>
          <w:ilvl w:val="0"/>
          <w:numId w:val="60"/>
        </w:numPr>
        <w:spacing w:line="256" w:lineRule="auto"/>
        <w:jc w:val="both"/>
        <w:rPr>
          <w:rFonts w:eastAsia="Arial" w:cstheme="minorHAnsi"/>
          <w:spacing w:val="-1"/>
        </w:rPr>
      </w:pPr>
      <w:r w:rsidRPr="00A54361">
        <w:rPr>
          <w:rFonts w:eastAsia="Arial" w:cstheme="minorHAnsi"/>
          <w:spacing w:val="-1"/>
        </w:rPr>
        <w:lastRenderedPageBreak/>
        <w:t>The Network Access Control (NAC) solution should provide actionable reports, such as but not limited to below mentioned reports:</w:t>
      </w:r>
    </w:p>
    <w:p w14:paraId="0C99213B" w14:textId="28005AA0" w:rsidR="00FA7894" w:rsidRPr="00A54361" w:rsidRDefault="00FA7894" w:rsidP="00A54361">
      <w:pPr>
        <w:pStyle w:val="ListParagraph"/>
        <w:numPr>
          <w:ilvl w:val="1"/>
          <w:numId w:val="60"/>
        </w:numPr>
        <w:spacing w:line="256" w:lineRule="auto"/>
        <w:jc w:val="both"/>
        <w:rPr>
          <w:rFonts w:eastAsia="Arial" w:cstheme="minorHAnsi"/>
          <w:spacing w:val="-1"/>
        </w:rPr>
      </w:pPr>
      <w:r w:rsidRPr="00A54361">
        <w:rPr>
          <w:rFonts w:eastAsia="Arial" w:cstheme="minorHAnsi"/>
          <w:spacing w:val="-1"/>
        </w:rPr>
        <w:t>Device and User Activity Reports</w:t>
      </w:r>
      <w:r w:rsidR="004E2DE1" w:rsidRPr="00A54361">
        <w:rPr>
          <w:rFonts w:eastAsia="Arial" w:cstheme="minorHAnsi"/>
          <w:spacing w:val="-1"/>
        </w:rPr>
        <w:t xml:space="preserve"> – The NAC solution should provide reports </w:t>
      </w:r>
      <w:r w:rsidR="000E4670" w:rsidRPr="00A54361">
        <w:rPr>
          <w:rFonts w:eastAsia="Arial" w:cstheme="minorHAnsi"/>
          <w:spacing w:val="-1"/>
        </w:rPr>
        <w:t>of u</w:t>
      </w:r>
      <w:r w:rsidRPr="00A54361">
        <w:rPr>
          <w:rFonts w:eastAsia="Arial" w:cstheme="minorHAnsi"/>
          <w:spacing w:val="-1"/>
        </w:rPr>
        <w:t xml:space="preserve">ser </w:t>
      </w:r>
      <w:r w:rsidR="000E4670" w:rsidRPr="00A54361">
        <w:rPr>
          <w:rFonts w:eastAsia="Arial" w:cstheme="minorHAnsi"/>
          <w:spacing w:val="-1"/>
        </w:rPr>
        <w:t>a</w:t>
      </w:r>
      <w:r w:rsidRPr="00A54361">
        <w:rPr>
          <w:rFonts w:eastAsia="Arial" w:cstheme="minorHAnsi"/>
          <w:spacing w:val="-1"/>
        </w:rPr>
        <w:t>ctivity</w:t>
      </w:r>
      <w:r w:rsidR="000E4670" w:rsidRPr="00A54361">
        <w:rPr>
          <w:rFonts w:eastAsia="Arial" w:cstheme="minorHAnsi"/>
          <w:spacing w:val="-1"/>
        </w:rPr>
        <w:t xml:space="preserve"> such as </w:t>
      </w:r>
      <w:r w:rsidRPr="00A54361">
        <w:rPr>
          <w:rFonts w:eastAsia="Arial" w:cstheme="minorHAnsi"/>
          <w:spacing w:val="-1"/>
        </w:rPr>
        <w:t xml:space="preserve">Logs of user logins, logouts, and network access attempts, including </w:t>
      </w:r>
      <w:r w:rsidR="000E4670" w:rsidRPr="00A54361">
        <w:rPr>
          <w:rFonts w:eastAsia="Arial" w:cstheme="minorHAnsi"/>
          <w:spacing w:val="-1"/>
        </w:rPr>
        <w:t>usernames</w:t>
      </w:r>
      <w:r w:rsidRPr="00A54361">
        <w:rPr>
          <w:rFonts w:eastAsia="Arial" w:cstheme="minorHAnsi"/>
          <w:spacing w:val="-1"/>
        </w:rPr>
        <w:t>, device information, and access times.</w:t>
      </w:r>
      <w:r w:rsidR="000E4670" w:rsidRPr="00A54361">
        <w:rPr>
          <w:rFonts w:eastAsia="Arial" w:cstheme="minorHAnsi"/>
          <w:spacing w:val="-1"/>
        </w:rPr>
        <w:t xml:space="preserve"> The NAC solutions should also provide r</w:t>
      </w:r>
      <w:r w:rsidRPr="00A54361">
        <w:rPr>
          <w:rFonts w:eastAsia="Arial" w:cstheme="minorHAnsi"/>
          <w:spacing w:val="-1"/>
        </w:rPr>
        <w:t xml:space="preserve">eports on the compliance status of devices based on predefined policies, including antivirus status, patch levels, and firewall configurations.   </w:t>
      </w:r>
    </w:p>
    <w:p w14:paraId="37B7690E" w14:textId="7A389796" w:rsidR="00FA7894" w:rsidRPr="00A54361" w:rsidRDefault="00FA7894" w:rsidP="00A54361">
      <w:pPr>
        <w:pStyle w:val="ListParagraph"/>
        <w:numPr>
          <w:ilvl w:val="1"/>
          <w:numId w:val="60"/>
        </w:numPr>
        <w:spacing w:line="256" w:lineRule="auto"/>
        <w:jc w:val="both"/>
        <w:rPr>
          <w:rFonts w:eastAsia="Arial" w:cstheme="minorHAnsi"/>
          <w:spacing w:val="-1"/>
        </w:rPr>
      </w:pPr>
      <w:r w:rsidRPr="00A54361">
        <w:rPr>
          <w:rFonts w:eastAsia="Arial" w:cstheme="minorHAnsi"/>
          <w:spacing w:val="-1"/>
        </w:rPr>
        <w:t>Security Incident Reports</w:t>
      </w:r>
      <w:r w:rsidR="000E4670" w:rsidRPr="00A54361">
        <w:rPr>
          <w:rFonts w:eastAsia="Arial" w:cstheme="minorHAnsi"/>
          <w:spacing w:val="-1"/>
        </w:rPr>
        <w:t xml:space="preserve"> – The NAC solution should provide reports on </w:t>
      </w:r>
      <w:r w:rsidRPr="00A54361">
        <w:rPr>
          <w:rFonts w:eastAsia="Arial" w:cstheme="minorHAnsi"/>
          <w:spacing w:val="-1"/>
        </w:rPr>
        <w:t>Security Alerts</w:t>
      </w:r>
      <w:r w:rsidR="000E4670" w:rsidRPr="00A54361">
        <w:rPr>
          <w:rFonts w:eastAsia="Arial" w:cstheme="minorHAnsi"/>
          <w:spacing w:val="-1"/>
        </w:rPr>
        <w:t xml:space="preserve"> via</w:t>
      </w:r>
      <w:r w:rsidRPr="00A54361">
        <w:rPr>
          <w:rFonts w:eastAsia="Arial" w:cstheme="minorHAnsi"/>
          <w:spacing w:val="-1"/>
        </w:rPr>
        <w:t xml:space="preserve"> </w:t>
      </w:r>
      <w:r w:rsidR="000E4670" w:rsidRPr="00A54361">
        <w:rPr>
          <w:rFonts w:eastAsia="Arial" w:cstheme="minorHAnsi"/>
          <w:spacing w:val="-1"/>
        </w:rPr>
        <w:t>n</w:t>
      </w:r>
      <w:r w:rsidRPr="00A54361">
        <w:rPr>
          <w:rFonts w:eastAsia="Arial" w:cstheme="minorHAnsi"/>
          <w:spacing w:val="-1"/>
        </w:rPr>
        <w:t>otifications of potential security threats, such as malware detections, unauthorized access attempts, or policy violations.</w:t>
      </w:r>
    </w:p>
    <w:p w14:paraId="4DEC0BD1" w14:textId="04C06C34" w:rsidR="00FA7894" w:rsidRPr="00A54361" w:rsidRDefault="00FA7894" w:rsidP="00A54361">
      <w:pPr>
        <w:pStyle w:val="ListParagraph"/>
        <w:numPr>
          <w:ilvl w:val="1"/>
          <w:numId w:val="60"/>
        </w:numPr>
        <w:spacing w:line="256" w:lineRule="auto"/>
        <w:jc w:val="both"/>
        <w:rPr>
          <w:rFonts w:eastAsia="Arial" w:cstheme="minorHAnsi"/>
          <w:spacing w:val="-1"/>
        </w:rPr>
      </w:pPr>
      <w:r w:rsidRPr="00A54361">
        <w:rPr>
          <w:rFonts w:eastAsia="Arial" w:cstheme="minorHAnsi"/>
          <w:spacing w:val="-1"/>
        </w:rPr>
        <w:t>Compliance and Audit Reports</w:t>
      </w:r>
      <w:r w:rsidR="000E4670" w:rsidRPr="00A54361">
        <w:rPr>
          <w:rFonts w:eastAsia="Arial" w:cstheme="minorHAnsi"/>
          <w:spacing w:val="-1"/>
        </w:rPr>
        <w:t xml:space="preserve"> – The NAC solution should provide </w:t>
      </w:r>
      <w:r w:rsidRPr="00A54361">
        <w:rPr>
          <w:rFonts w:eastAsia="Arial" w:cstheme="minorHAnsi"/>
          <w:spacing w:val="-1"/>
        </w:rPr>
        <w:t>Audit Trails</w:t>
      </w:r>
      <w:r w:rsidR="000E4670" w:rsidRPr="00A54361">
        <w:rPr>
          <w:rFonts w:eastAsia="Arial" w:cstheme="minorHAnsi"/>
          <w:spacing w:val="-1"/>
        </w:rPr>
        <w:t xml:space="preserve"> with </w:t>
      </w:r>
      <w:r w:rsidRPr="00A54361">
        <w:rPr>
          <w:rFonts w:eastAsia="Arial" w:cstheme="minorHAnsi"/>
          <w:spacing w:val="-1"/>
        </w:rPr>
        <w:t>Logs of all administrative actions performed on the NAC system, including changes to policies,</w:t>
      </w:r>
      <w:r w:rsidR="000E4670" w:rsidRPr="00A54361">
        <w:rPr>
          <w:rFonts w:eastAsia="Arial" w:cstheme="minorHAnsi"/>
          <w:spacing w:val="-1"/>
        </w:rPr>
        <w:t xml:space="preserve"> </w:t>
      </w:r>
      <w:r w:rsidRPr="00A54361">
        <w:rPr>
          <w:rFonts w:eastAsia="Arial" w:cstheme="minorHAnsi"/>
          <w:spacing w:val="-1"/>
        </w:rPr>
        <w:t>configurations, and user permissions.</w:t>
      </w:r>
    </w:p>
    <w:p w14:paraId="338C4A87" w14:textId="60A3E4E7" w:rsidR="00FA7894" w:rsidRPr="00A54361" w:rsidRDefault="00FA7894" w:rsidP="00A54361">
      <w:pPr>
        <w:pStyle w:val="ListParagraph"/>
        <w:numPr>
          <w:ilvl w:val="1"/>
          <w:numId w:val="60"/>
        </w:numPr>
        <w:spacing w:line="256" w:lineRule="auto"/>
        <w:jc w:val="both"/>
        <w:rPr>
          <w:rFonts w:eastAsia="Arial" w:cstheme="minorHAnsi"/>
          <w:spacing w:val="-1"/>
          <w:u w:val="single"/>
        </w:rPr>
      </w:pPr>
      <w:r w:rsidRPr="00A54361">
        <w:rPr>
          <w:rFonts w:eastAsia="Arial" w:cstheme="minorHAnsi"/>
          <w:spacing w:val="-1"/>
        </w:rPr>
        <w:t>Custom Reports</w:t>
      </w:r>
      <w:r w:rsidR="000E4670" w:rsidRPr="00A54361">
        <w:rPr>
          <w:rFonts w:eastAsia="Arial" w:cstheme="minorHAnsi"/>
          <w:spacing w:val="-1"/>
        </w:rPr>
        <w:t xml:space="preserve"> – The NAC solution must allow for custom reports </w:t>
      </w:r>
      <w:r w:rsidR="007435FA" w:rsidRPr="00A54361">
        <w:rPr>
          <w:rFonts w:eastAsia="Arial" w:cstheme="minorHAnsi"/>
          <w:spacing w:val="-1"/>
        </w:rPr>
        <w:t>including</w:t>
      </w:r>
      <w:r w:rsidR="0010435C" w:rsidRPr="00A54361">
        <w:rPr>
          <w:rFonts w:eastAsia="Arial" w:cstheme="minorHAnsi"/>
          <w:spacing w:val="-1"/>
        </w:rPr>
        <w:t xml:space="preserve"> </w:t>
      </w:r>
      <w:r w:rsidRPr="00A54361">
        <w:rPr>
          <w:rFonts w:eastAsia="Arial" w:cstheme="minorHAnsi"/>
          <w:spacing w:val="-1"/>
        </w:rPr>
        <w:t>Data Export</w:t>
      </w:r>
      <w:r w:rsidR="0010435C" w:rsidRPr="00A54361">
        <w:rPr>
          <w:rFonts w:eastAsia="Arial" w:cstheme="minorHAnsi"/>
          <w:spacing w:val="-1"/>
        </w:rPr>
        <w:t xml:space="preserve"> with e</w:t>
      </w:r>
      <w:r w:rsidRPr="00A54361">
        <w:rPr>
          <w:rFonts w:eastAsia="Arial" w:cstheme="minorHAnsi"/>
          <w:spacing w:val="-1"/>
        </w:rPr>
        <w:t>xport of report data in various formats (e.g., CSV, PDF) for further analysis or integration with other systems.</w:t>
      </w:r>
    </w:p>
    <w:p w14:paraId="3CF891B7" w14:textId="41A90716" w:rsidR="00297BB5" w:rsidRPr="00A54361" w:rsidRDefault="001B0B36" w:rsidP="00A54361">
      <w:pPr>
        <w:pStyle w:val="Heading2"/>
        <w:numPr>
          <w:ilvl w:val="1"/>
          <w:numId w:val="49"/>
        </w:numPr>
        <w:ind w:right="2133"/>
        <w:jc w:val="both"/>
        <w:rPr>
          <w:b/>
          <w:bCs/>
          <w:color w:val="auto"/>
        </w:rPr>
      </w:pPr>
      <w:bookmarkStart w:id="25" w:name="_Toc182233345"/>
      <w:r w:rsidRPr="00A54361">
        <w:rPr>
          <w:b/>
          <w:bCs/>
          <w:color w:val="auto"/>
        </w:rPr>
        <w:t xml:space="preserve">Detailed </w:t>
      </w:r>
      <w:r w:rsidR="00297BB5" w:rsidRPr="00A54361">
        <w:rPr>
          <w:b/>
          <w:bCs/>
          <w:color w:val="auto"/>
        </w:rPr>
        <w:t>Scope of work for Facility Management Services</w:t>
      </w:r>
      <w:bookmarkEnd w:id="25"/>
    </w:p>
    <w:p w14:paraId="7568FC72" w14:textId="3331417B" w:rsidR="00577DE3" w:rsidRPr="00A54361" w:rsidRDefault="00DF4B6F"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 xml:space="preserve">As a part of FMS, the Bidder shall provide services relating to maintenance and support of Security Solutions and associated hardware. </w:t>
      </w:r>
    </w:p>
    <w:p w14:paraId="28C5AC9F" w14:textId="442258F8" w:rsidR="00EE189B" w:rsidRPr="00A54361" w:rsidRDefault="0002741C"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The</w:t>
      </w:r>
      <w:r w:rsidR="00EE189B" w:rsidRPr="00A54361">
        <w:rPr>
          <w:rFonts w:eastAsia="Arial" w:cstheme="minorHAnsi"/>
          <w:spacing w:val="-1"/>
        </w:rPr>
        <w:t xml:space="preserve"> Bidder shall consider and envisage all services that will be required in the maintenance and the management of the Security Solutions.</w:t>
      </w:r>
    </w:p>
    <w:p w14:paraId="410120F0" w14:textId="77777777" w:rsidR="001B0B36" w:rsidRPr="00A54361" w:rsidRDefault="00A70517"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 xml:space="preserve">The services must meet the service levels mentioned in the RFP document. </w:t>
      </w:r>
    </w:p>
    <w:p w14:paraId="1C4F2E70" w14:textId="06E2AC85" w:rsidR="00A70517" w:rsidRPr="00A54361" w:rsidRDefault="00A70517"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Bidder is required to perform the following below mentioned activities, but not limited to:</w:t>
      </w:r>
    </w:p>
    <w:p w14:paraId="24B54951" w14:textId="77777777" w:rsidR="00A70517" w:rsidRPr="00A54361" w:rsidRDefault="00A70517"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Coordination of warranty repair or replacement service for Hardware and process warranty claims, as applicable. If the equipment is required to be taken outside the Bank premises, the cost of transportation and other related costs will be borne by the Bidder.</w:t>
      </w:r>
    </w:p>
    <w:p w14:paraId="59CA7EF7" w14:textId="77777777" w:rsidR="00A70517" w:rsidRPr="00A54361" w:rsidRDefault="00A70517"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Coordinating and scheduling maintenance activities with the End User and appropriate support functions of the Bank (e.g. network support, facilities support, etc.)</w:t>
      </w:r>
    </w:p>
    <w:p w14:paraId="4875C211" w14:textId="77777777" w:rsidR="00A70517" w:rsidRPr="00A54361" w:rsidRDefault="00A70517"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Provision of recovery procedures to maintenance personnel of the Bank</w:t>
      </w:r>
    </w:p>
    <w:p w14:paraId="68A2D513" w14:textId="77777777" w:rsidR="00A70517" w:rsidRPr="00A54361" w:rsidRDefault="00A70517"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Maintain accurate documentation on the current location and status of Hardware in the process of being repaired</w:t>
      </w:r>
    </w:p>
    <w:p w14:paraId="49D51E02" w14:textId="77777777" w:rsidR="00A70517" w:rsidRPr="00A54361" w:rsidRDefault="00A70517"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Services including requirement analysis, assisting the YIL in hardware and system software platform acquisition, testing, verification, and installation. The Bidder accepts that these services allow access to business-critical software and also agrees that services provided include implementation and maintenance of the hardware as well as installation of the licensed software.</w:t>
      </w:r>
    </w:p>
    <w:p w14:paraId="0FECFFFB" w14:textId="77777777" w:rsidR="00A70517" w:rsidRPr="00A54361" w:rsidRDefault="00A70517"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Hardware maintenance services including preventive Hardware support, preventive maintenance, corrective maintenance to remedy a problem, and scheduled maintenance required to maintain the Hardware in accordance with manufacturers' specifications and warranties</w:t>
      </w:r>
    </w:p>
    <w:p w14:paraId="1224FE14" w14:textId="77777777" w:rsidR="00A70517" w:rsidRPr="00A54361" w:rsidRDefault="00A70517"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Provide maintenance data.</w:t>
      </w:r>
    </w:p>
    <w:p w14:paraId="3033FA17" w14:textId="77777777" w:rsidR="00A70517" w:rsidRPr="00A54361" w:rsidRDefault="00A70517"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Provide a single-point-of-contact to End Users for the resolution of Hardware related problems or to request an equipment upgrade or consultation. If the Hardware supplied by the Bidder is to be replaced permanently, then the Bidder shall replace the equipment of same Make/Model/configuration or of higher configuration.</w:t>
      </w:r>
    </w:p>
    <w:p w14:paraId="550E205E" w14:textId="77777777" w:rsidR="00A70517" w:rsidRPr="00A54361" w:rsidRDefault="00A70517"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Provide support and assistance, as required, to isolate complex network, operational and software problems related to the proposed solutions and infrastructure</w:t>
      </w:r>
    </w:p>
    <w:p w14:paraId="097D2AF7" w14:textId="77777777" w:rsidR="00A70517" w:rsidRPr="00A54361" w:rsidRDefault="00A70517"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lastRenderedPageBreak/>
        <w:t>Track and report observed Mean Time Between Failures (MTBF) for Hardware and/or software.</w:t>
      </w:r>
    </w:p>
    <w:p w14:paraId="21E5F876" w14:textId="77777777" w:rsidR="00A70517" w:rsidRPr="00A54361" w:rsidRDefault="00A70517"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Backup, remove, protect, and restore programs, data and removable storage media in a machine prior to presenting the machine for service</w:t>
      </w:r>
    </w:p>
    <w:p w14:paraId="4830D5BC" w14:textId="2C1C0081" w:rsidR="00F24808" w:rsidRPr="00A54361" w:rsidRDefault="00F24808"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 xml:space="preserve">Bidder is required to provide the following resources at the Bank premises to provide support </w:t>
      </w:r>
      <w:r w:rsidR="00577DE3" w:rsidRPr="00A54361">
        <w:rPr>
          <w:rFonts w:eastAsia="Arial" w:cstheme="minorHAnsi"/>
          <w:spacing w:val="-1"/>
        </w:rPr>
        <w:t xml:space="preserve">as per the below table </w:t>
      </w:r>
      <w:r w:rsidRPr="00A54361">
        <w:rPr>
          <w:rFonts w:eastAsia="Arial" w:cstheme="minorHAnsi"/>
          <w:spacing w:val="-1"/>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3744"/>
        <w:gridCol w:w="3764"/>
      </w:tblGrid>
      <w:tr w:rsidR="000D3DC1" w:rsidRPr="00A54361" w14:paraId="50F87E3C" w14:textId="77777777" w:rsidTr="005D16B3">
        <w:tc>
          <w:tcPr>
            <w:tcW w:w="835" w:type="dxa"/>
            <w:shd w:val="clear" w:color="auto" w:fill="D9E2F3" w:themeFill="accent1" w:themeFillTint="33"/>
          </w:tcPr>
          <w:p w14:paraId="14847B72" w14:textId="77777777" w:rsidR="00F24808" w:rsidRPr="00A54361" w:rsidRDefault="00F24808" w:rsidP="00A54361">
            <w:pPr>
              <w:pStyle w:val="ListParagraph"/>
              <w:ind w:left="0"/>
              <w:jc w:val="both"/>
              <w:rPr>
                <w:rFonts w:eastAsia="Arial" w:cstheme="minorHAnsi"/>
                <w:b/>
                <w:bCs/>
                <w:spacing w:val="-1"/>
              </w:rPr>
            </w:pPr>
            <w:r w:rsidRPr="00A54361">
              <w:rPr>
                <w:rFonts w:eastAsia="Arial" w:cstheme="minorHAnsi"/>
                <w:b/>
                <w:bCs/>
                <w:spacing w:val="-1"/>
              </w:rPr>
              <w:t>S. no</w:t>
            </w:r>
          </w:p>
        </w:tc>
        <w:tc>
          <w:tcPr>
            <w:tcW w:w="4132" w:type="dxa"/>
            <w:shd w:val="clear" w:color="auto" w:fill="D9E2F3" w:themeFill="accent1" w:themeFillTint="33"/>
          </w:tcPr>
          <w:p w14:paraId="39807857" w14:textId="77777777" w:rsidR="00F24808" w:rsidRPr="00A54361" w:rsidRDefault="00F24808" w:rsidP="00A54361">
            <w:pPr>
              <w:pStyle w:val="ListParagraph"/>
              <w:ind w:left="0"/>
              <w:jc w:val="both"/>
              <w:rPr>
                <w:rFonts w:eastAsia="Arial" w:cstheme="minorHAnsi"/>
                <w:b/>
                <w:bCs/>
                <w:spacing w:val="-1"/>
              </w:rPr>
            </w:pPr>
            <w:r w:rsidRPr="00A54361">
              <w:rPr>
                <w:rFonts w:eastAsia="Arial" w:cstheme="minorHAnsi"/>
                <w:b/>
                <w:bCs/>
                <w:spacing w:val="-1"/>
              </w:rPr>
              <w:t>Time Window</w:t>
            </w:r>
          </w:p>
        </w:tc>
        <w:tc>
          <w:tcPr>
            <w:tcW w:w="4133" w:type="dxa"/>
            <w:shd w:val="clear" w:color="auto" w:fill="D9E2F3" w:themeFill="accent1" w:themeFillTint="33"/>
          </w:tcPr>
          <w:p w14:paraId="109576BA" w14:textId="77777777" w:rsidR="00F24808" w:rsidRPr="00A54361" w:rsidRDefault="00F24808" w:rsidP="00A54361">
            <w:pPr>
              <w:pStyle w:val="ListParagraph"/>
              <w:ind w:left="0"/>
              <w:jc w:val="both"/>
              <w:rPr>
                <w:rFonts w:eastAsia="Arial" w:cstheme="minorHAnsi"/>
                <w:b/>
                <w:bCs/>
                <w:spacing w:val="-1"/>
              </w:rPr>
            </w:pPr>
            <w:r w:rsidRPr="00A54361">
              <w:rPr>
                <w:rFonts w:eastAsia="Arial" w:cstheme="minorHAnsi"/>
                <w:b/>
                <w:bCs/>
                <w:spacing w:val="-1"/>
              </w:rPr>
              <w:t>No. of Resources</w:t>
            </w:r>
          </w:p>
        </w:tc>
      </w:tr>
      <w:tr w:rsidR="000D3DC1" w:rsidRPr="00A54361" w14:paraId="6ED76CA5" w14:textId="77777777" w:rsidTr="005D16B3">
        <w:tc>
          <w:tcPr>
            <w:tcW w:w="835" w:type="dxa"/>
          </w:tcPr>
          <w:p w14:paraId="680F9445" w14:textId="77777777" w:rsidR="00F24808" w:rsidRPr="00A54361" w:rsidRDefault="00F24808" w:rsidP="00A54361">
            <w:pPr>
              <w:pStyle w:val="ListParagraph"/>
              <w:ind w:left="0"/>
              <w:jc w:val="both"/>
              <w:rPr>
                <w:rFonts w:eastAsia="Arial" w:cstheme="minorHAnsi"/>
                <w:spacing w:val="-1"/>
              </w:rPr>
            </w:pPr>
            <w:r w:rsidRPr="00A54361">
              <w:rPr>
                <w:rFonts w:eastAsia="Arial" w:cstheme="minorHAnsi"/>
                <w:spacing w:val="-1"/>
              </w:rPr>
              <w:t>1</w:t>
            </w:r>
          </w:p>
        </w:tc>
        <w:tc>
          <w:tcPr>
            <w:tcW w:w="4132" w:type="dxa"/>
          </w:tcPr>
          <w:p w14:paraId="38B7F80E" w14:textId="77777777" w:rsidR="00F24808" w:rsidRPr="00A54361" w:rsidRDefault="00F24808" w:rsidP="00A54361">
            <w:pPr>
              <w:pStyle w:val="ListParagraph"/>
              <w:ind w:left="0"/>
              <w:jc w:val="both"/>
              <w:rPr>
                <w:rFonts w:eastAsia="Arial" w:cstheme="minorHAnsi"/>
                <w:spacing w:val="-1"/>
              </w:rPr>
            </w:pPr>
            <w:r w:rsidRPr="00A54361">
              <w:rPr>
                <w:rFonts w:eastAsia="Arial" w:cstheme="minorHAnsi"/>
                <w:spacing w:val="-1"/>
              </w:rPr>
              <w:t>8 AM – 8 PM</w:t>
            </w:r>
          </w:p>
        </w:tc>
        <w:tc>
          <w:tcPr>
            <w:tcW w:w="4133" w:type="dxa"/>
          </w:tcPr>
          <w:p w14:paraId="04B3F486" w14:textId="587023B6" w:rsidR="00F24808" w:rsidRPr="00A54361" w:rsidRDefault="00F2348C" w:rsidP="00A54361">
            <w:pPr>
              <w:pStyle w:val="ListParagraph"/>
              <w:ind w:left="0"/>
              <w:jc w:val="both"/>
              <w:rPr>
                <w:rFonts w:eastAsia="Arial" w:cstheme="minorHAnsi"/>
                <w:spacing w:val="-1"/>
              </w:rPr>
            </w:pPr>
            <w:r w:rsidRPr="00A54361">
              <w:rPr>
                <w:rFonts w:eastAsia="Arial" w:cstheme="minorHAnsi"/>
                <w:spacing w:val="-1"/>
              </w:rPr>
              <w:t>6</w:t>
            </w:r>
            <w:r w:rsidR="00F24808" w:rsidRPr="00A54361">
              <w:rPr>
                <w:rFonts w:eastAsia="Arial" w:cstheme="minorHAnsi"/>
                <w:spacing w:val="-1"/>
              </w:rPr>
              <w:t xml:space="preserve"> x L1 Resources</w:t>
            </w:r>
          </w:p>
          <w:p w14:paraId="06B87E71" w14:textId="6116D24F" w:rsidR="00F24808" w:rsidRPr="00A54361" w:rsidRDefault="00F2348C" w:rsidP="00A54361">
            <w:pPr>
              <w:pStyle w:val="ListParagraph"/>
              <w:ind w:left="0"/>
              <w:jc w:val="both"/>
              <w:rPr>
                <w:rFonts w:eastAsia="Arial" w:cstheme="minorHAnsi"/>
                <w:spacing w:val="-1"/>
              </w:rPr>
            </w:pPr>
            <w:r w:rsidRPr="00A54361">
              <w:rPr>
                <w:rFonts w:eastAsia="Arial" w:cstheme="minorHAnsi"/>
                <w:spacing w:val="-1"/>
              </w:rPr>
              <w:t>2</w:t>
            </w:r>
            <w:r w:rsidR="00F24808" w:rsidRPr="00A54361">
              <w:rPr>
                <w:rFonts w:eastAsia="Arial" w:cstheme="minorHAnsi"/>
                <w:spacing w:val="-1"/>
              </w:rPr>
              <w:t xml:space="preserve"> x L2 Resources</w:t>
            </w:r>
          </w:p>
        </w:tc>
      </w:tr>
      <w:tr w:rsidR="000D3DC1" w:rsidRPr="00A54361" w14:paraId="2073A51A" w14:textId="77777777" w:rsidTr="005D16B3">
        <w:tc>
          <w:tcPr>
            <w:tcW w:w="835" w:type="dxa"/>
          </w:tcPr>
          <w:p w14:paraId="596FED9A" w14:textId="77777777" w:rsidR="00F24808" w:rsidRPr="00A54361" w:rsidRDefault="00F24808" w:rsidP="00A54361">
            <w:pPr>
              <w:pStyle w:val="ListParagraph"/>
              <w:ind w:left="0"/>
              <w:jc w:val="both"/>
              <w:rPr>
                <w:rFonts w:eastAsia="Arial" w:cstheme="minorHAnsi"/>
                <w:spacing w:val="-1"/>
              </w:rPr>
            </w:pPr>
            <w:r w:rsidRPr="00A54361">
              <w:rPr>
                <w:rFonts w:eastAsia="Arial" w:cstheme="minorHAnsi"/>
                <w:spacing w:val="-1"/>
              </w:rPr>
              <w:t>2</w:t>
            </w:r>
          </w:p>
        </w:tc>
        <w:tc>
          <w:tcPr>
            <w:tcW w:w="4132" w:type="dxa"/>
          </w:tcPr>
          <w:p w14:paraId="35FB09EF" w14:textId="77777777" w:rsidR="00F24808" w:rsidRPr="00A54361" w:rsidRDefault="00F24808" w:rsidP="00A54361">
            <w:pPr>
              <w:jc w:val="both"/>
              <w:rPr>
                <w:rFonts w:eastAsia="Arial" w:cstheme="minorHAnsi"/>
                <w:spacing w:val="-1"/>
              </w:rPr>
            </w:pPr>
            <w:r w:rsidRPr="00A54361">
              <w:rPr>
                <w:rFonts w:eastAsia="Arial" w:cstheme="minorHAnsi"/>
                <w:spacing w:val="-1"/>
              </w:rPr>
              <w:t>8 PM – 8 AM</w:t>
            </w:r>
          </w:p>
        </w:tc>
        <w:tc>
          <w:tcPr>
            <w:tcW w:w="4133" w:type="dxa"/>
          </w:tcPr>
          <w:p w14:paraId="7AB8D942" w14:textId="2A5ED8A2" w:rsidR="006410AE" w:rsidRPr="00A54361" w:rsidRDefault="00F24808" w:rsidP="00A54361">
            <w:pPr>
              <w:pStyle w:val="ListParagraph"/>
              <w:ind w:left="0"/>
              <w:jc w:val="both"/>
              <w:rPr>
                <w:rFonts w:eastAsia="Arial" w:cstheme="minorHAnsi"/>
                <w:spacing w:val="-1"/>
              </w:rPr>
            </w:pPr>
            <w:r w:rsidRPr="00A54361">
              <w:rPr>
                <w:rFonts w:eastAsia="Arial" w:cstheme="minorHAnsi"/>
                <w:spacing w:val="-1"/>
              </w:rPr>
              <w:t>2 x L1 Resources</w:t>
            </w:r>
          </w:p>
        </w:tc>
      </w:tr>
    </w:tbl>
    <w:p w14:paraId="0F918E1F" w14:textId="264EAB9E" w:rsidR="00F24808" w:rsidRPr="00A54361" w:rsidRDefault="00F24808"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 xml:space="preserve">Out of the resources mentioned above, 1 x </w:t>
      </w:r>
      <w:r w:rsidR="00E7624C" w:rsidRPr="00A54361">
        <w:rPr>
          <w:rFonts w:eastAsia="Arial" w:cstheme="minorHAnsi"/>
          <w:spacing w:val="-1"/>
        </w:rPr>
        <w:t xml:space="preserve">L1 </w:t>
      </w:r>
      <w:r w:rsidRPr="00A54361">
        <w:rPr>
          <w:rFonts w:eastAsia="Arial" w:cstheme="minorHAnsi"/>
          <w:spacing w:val="-1"/>
        </w:rPr>
        <w:t>Resource in the 8 AM – 8 PM shift should have adequate experience in carrying out Red Team Exercise and should be able to carry out Red Team Exercises as and when required by the Bank.</w:t>
      </w:r>
    </w:p>
    <w:p w14:paraId="5E05ED2A" w14:textId="438F0EB2" w:rsidR="00F24808" w:rsidRPr="00A54361" w:rsidRDefault="004E0B81"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R</w:t>
      </w:r>
      <w:r w:rsidR="00F24808" w:rsidRPr="00A54361">
        <w:rPr>
          <w:rFonts w:eastAsia="Arial" w:cstheme="minorHAnsi"/>
          <w:spacing w:val="-1"/>
        </w:rPr>
        <w:t>esources must have back lining support with the OEMs of the proposed solutions to provide 24x7x365 support for the Bank’s security solutions part of this RFP.</w:t>
      </w:r>
    </w:p>
    <w:p w14:paraId="24683D0D" w14:textId="77777777" w:rsidR="00F24808" w:rsidRPr="00A54361" w:rsidRDefault="00F24808"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L1 should have minimum 1 years of experience</w:t>
      </w:r>
    </w:p>
    <w:p w14:paraId="4DFAD890" w14:textId="77777777" w:rsidR="00F24808" w:rsidRPr="00A54361" w:rsidRDefault="00F24808"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L2 should have minimum 4 years of experience</w:t>
      </w:r>
    </w:p>
    <w:p w14:paraId="2B52F909" w14:textId="77777777" w:rsidR="00F24808" w:rsidRPr="00A54361" w:rsidRDefault="00F24808" w:rsidP="00A54361">
      <w:pPr>
        <w:pStyle w:val="ListParagraph"/>
        <w:numPr>
          <w:ilvl w:val="0"/>
          <w:numId w:val="60"/>
        </w:numPr>
        <w:spacing w:after="0" w:line="240" w:lineRule="auto"/>
        <w:jc w:val="both"/>
        <w:rPr>
          <w:rFonts w:eastAsia="Arial" w:cstheme="minorHAnsi"/>
          <w:spacing w:val="-1"/>
        </w:rPr>
      </w:pPr>
      <w:r w:rsidRPr="00A54361">
        <w:rPr>
          <w:rFonts w:eastAsia="Arial" w:cstheme="minorHAnsi"/>
          <w:spacing w:val="-1"/>
        </w:rPr>
        <w:t>Bank has the option to increase the number of L1 and L2 resources at the same rate quoted by the bidder for the duration of the contract.</w:t>
      </w:r>
    </w:p>
    <w:p w14:paraId="6F887FB9" w14:textId="77777777" w:rsidR="00A548E9" w:rsidRPr="00A54361" w:rsidRDefault="00A548E9" w:rsidP="00A54361">
      <w:pPr>
        <w:jc w:val="both"/>
      </w:pPr>
    </w:p>
    <w:p w14:paraId="0C2F425E" w14:textId="113DAD5E" w:rsidR="005A5823" w:rsidRPr="00A54361" w:rsidRDefault="008338B7" w:rsidP="00A54361">
      <w:pPr>
        <w:pStyle w:val="Heading1"/>
        <w:numPr>
          <w:ilvl w:val="0"/>
          <w:numId w:val="48"/>
        </w:numPr>
        <w:jc w:val="both"/>
        <w:rPr>
          <w:rFonts w:asciiTheme="minorHAnsi" w:hAnsiTheme="minorHAnsi" w:cstheme="minorHAnsi"/>
          <w:color w:val="auto"/>
        </w:rPr>
      </w:pPr>
      <w:bookmarkStart w:id="26" w:name="_Toc516481198"/>
      <w:bookmarkStart w:id="27" w:name="_Toc129668485"/>
      <w:bookmarkStart w:id="28" w:name="_Toc182233346"/>
      <w:r w:rsidRPr="00A54361">
        <w:rPr>
          <w:rFonts w:asciiTheme="minorHAnsi" w:hAnsiTheme="minorHAnsi" w:cstheme="minorHAnsi"/>
          <w:color w:val="auto"/>
        </w:rPr>
        <w:t>General Responsibility of the Bidder</w:t>
      </w:r>
      <w:bookmarkEnd w:id="26"/>
      <w:bookmarkEnd w:id="27"/>
      <w:bookmarkEnd w:id="28"/>
    </w:p>
    <w:p w14:paraId="10C602E8" w14:textId="374615D9" w:rsidR="00DE04B2" w:rsidRPr="00A54361" w:rsidRDefault="00DE04B2" w:rsidP="00A54361">
      <w:pPr>
        <w:pStyle w:val="ListParagraph"/>
        <w:numPr>
          <w:ilvl w:val="0"/>
          <w:numId w:val="46"/>
        </w:numPr>
        <w:jc w:val="both"/>
        <w:rPr>
          <w:b/>
          <w:bCs/>
        </w:rPr>
      </w:pPr>
      <w:r w:rsidRPr="00A54361">
        <w:t xml:space="preserve">For the Security solutions mentioned in the Bill of Material in Appendix 1, Bank has provided the minimum technical specification in Annexure </w:t>
      </w:r>
      <w:r w:rsidR="000113F3" w:rsidRPr="00A54361">
        <w:t>2</w:t>
      </w:r>
      <w:r w:rsidRPr="00A54361">
        <w:t xml:space="preserve">. </w:t>
      </w:r>
    </w:p>
    <w:p w14:paraId="12754D19" w14:textId="11091CAF" w:rsidR="00DE04B2" w:rsidRPr="00A54361" w:rsidRDefault="00DE04B2" w:rsidP="00A54361">
      <w:pPr>
        <w:pStyle w:val="ListParagraph"/>
        <w:numPr>
          <w:ilvl w:val="0"/>
          <w:numId w:val="46"/>
        </w:numPr>
        <w:jc w:val="both"/>
        <w:rPr>
          <w:b/>
          <w:bCs/>
        </w:rPr>
      </w:pPr>
      <w:r w:rsidRPr="00A54361">
        <w:t xml:space="preserve">Bidders need to ensure that the solutions proposed are comply with these minimum technical requirements. The Bidder shall provide the sizing of the solution based on the information provided by the Bank in this RFP </w:t>
      </w:r>
      <w:r w:rsidR="00A836BA" w:rsidRPr="00A54361">
        <w:t xml:space="preserve"> </w:t>
      </w:r>
      <w:r w:rsidRPr="00A54361">
        <w:t xml:space="preserve">and Annexure </w:t>
      </w:r>
      <w:r w:rsidR="00E02D72" w:rsidRPr="00A54361">
        <w:t>2 -</w:t>
      </w:r>
      <w:r w:rsidRPr="00A54361">
        <w:t xml:space="preserve"> of </w:t>
      </w:r>
      <w:r w:rsidR="00A836BA" w:rsidRPr="00A54361">
        <w:t>M</w:t>
      </w:r>
      <w:r w:rsidRPr="00A54361">
        <w:t xml:space="preserve">inimum Technical Requirements. The Bidder shall provide the details of each individual solutions proposed along with the Hardware &amp; software proposed, in Appendix </w:t>
      </w:r>
      <w:r w:rsidR="00E02D72" w:rsidRPr="00A54361">
        <w:t>1</w:t>
      </w:r>
      <w:r w:rsidR="00A836BA" w:rsidRPr="00A54361">
        <w:t xml:space="preserve"> </w:t>
      </w:r>
      <w:r w:rsidRPr="00A54361">
        <w:t xml:space="preserve">– Bill of Materials. </w:t>
      </w:r>
    </w:p>
    <w:p w14:paraId="6712C519" w14:textId="4FEA9E4D" w:rsidR="00DE04B2" w:rsidRPr="00A54361" w:rsidRDefault="00997E06" w:rsidP="00A54361">
      <w:pPr>
        <w:pStyle w:val="ListParagraph"/>
        <w:numPr>
          <w:ilvl w:val="0"/>
          <w:numId w:val="46"/>
        </w:numPr>
        <w:jc w:val="both"/>
        <w:rPr>
          <w:b/>
          <w:bCs/>
        </w:rPr>
      </w:pPr>
      <w:r w:rsidRPr="00A54361">
        <w:t>Any</w:t>
      </w:r>
      <w:r w:rsidR="00DE04B2" w:rsidRPr="00A54361">
        <w:t xml:space="preserve"> component</w:t>
      </w:r>
      <w:r w:rsidRPr="00A54361">
        <w:t>s</w:t>
      </w:r>
      <w:r w:rsidR="00DE04B2" w:rsidRPr="00A54361">
        <w:t xml:space="preserve"> required for the successful implementation of the project should be the responsibility of the bidder. </w:t>
      </w:r>
    </w:p>
    <w:p w14:paraId="0B12DB75" w14:textId="75BE4083" w:rsidR="00FE0C86" w:rsidRPr="00A54361" w:rsidRDefault="00DE04B2" w:rsidP="00A54361">
      <w:pPr>
        <w:pStyle w:val="ListParagraph"/>
        <w:numPr>
          <w:ilvl w:val="0"/>
          <w:numId w:val="46"/>
        </w:numPr>
        <w:jc w:val="both"/>
        <w:rPr>
          <w:b/>
          <w:bCs/>
        </w:rPr>
      </w:pPr>
      <w:r w:rsidRPr="00A54361">
        <w:t>Bank is having EULA arrangement for Oracle. Accordingly, if the database proposed by the vendor is Oracle, no cost is to be mentioned. However, the license requirement should be clearly mentioned separately in the technical offer/document. If the proposed database is other than Oracle, the cost (original cost as well as ATS) should be mentioned and will be included in TCO.</w:t>
      </w:r>
    </w:p>
    <w:p w14:paraId="0EDFBC7F" w14:textId="52334A52" w:rsidR="00454957" w:rsidRPr="00A54361" w:rsidRDefault="00454957" w:rsidP="00A54361">
      <w:pPr>
        <w:pStyle w:val="ListParagraph"/>
        <w:numPr>
          <w:ilvl w:val="0"/>
          <w:numId w:val="46"/>
        </w:numPr>
        <w:jc w:val="both"/>
      </w:pPr>
      <w:r w:rsidRPr="00A54361">
        <w:t>The Bidder shall provide the details of each individual solutions proposed along with the Hardware &amp; software proposed</w:t>
      </w:r>
      <w:r w:rsidR="0086206D" w:rsidRPr="00A54361">
        <w:t xml:space="preserve"> in the RFP.</w:t>
      </w:r>
    </w:p>
    <w:p w14:paraId="384F0BF6" w14:textId="7A89A963" w:rsidR="00454957" w:rsidRPr="00A54361" w:rsidRDefault="00454957" w:rsidP="00A54361">
      <w:pPr>
        <w:pStyle w:val="ListParagraph"/>
        <w:numPr>
          <w:ilvl w:val="0"/>
          <w:numId w:val="46"/>
        </w:numPr>
        <w:jc w:val="both"/>
      </w:pPr>
      <w:r w:rsidRPr="00A54361">
        <w:t>Bidder should ensure dual power supply for all proposed solutions.</w:t>
      </w:r>
    </w:p>
    <w:p w14:paraId="4B8A9C35" w14:textId="4BA948FD" w:rsidR="00454957" w:rsidRPr="00A54361" w:rsidRDefault="00454957" w:rsidP="00A54361">
      <w:pPr>
        <w:pStyle w:val="ListParagraph"/>
        <w:numPr>
          <w:ilvl w:val="0"/>
          <w:numId w:val="46"/>
        </w:numPr>
        <w:jc w:val="both"/>
      </w:pPr>
      <w:r w:rsidRPr="00A54361">
        <w:t>Required  racks,  Network  cables,  and  other  component  required  for  the  successful implementation of the project should be the responsibility of the bidder.</w:t>
      </w:r>
      <w:r w:rsidR="00710C4D" w:rsidRPr="00A54361">
        <w:t xml:space="preserve"> Bidder to provide the requirement at the time of bid submission.</w:t>
      </w:r>
    </w:p>
    <w:p w14:paraId="1F976DCE" w14:textId="19569766" w:rsidR="00454957" w:rsidRPr="00A54361" w:rsidRDefault="00454957" w:rsidP="00A54361">
      <w:pPr>
        <w:pStyle w:val="ListParagraph"/>
        <w:numPr>
          <w:ilvl w:val="0"/>
          <w:numId w:val="46"/>
        </w:numPr>
        <w:jc w:val="both"/>
      </w:pPr>
      <w:r w:rsidRPr="00A54361">
        <w:t>42U Rack with dual PDU and perforated doors (</w:t>
      </w:r>
      <w:r w:rsidR="00AD25E3" w:rsidRPr="00A54361">
        <w:t>6</w:t>
      </w:r>
      <w:r w:rsidRPr="00A54361">
        <w:t>00x</w:t>
      </w:r>
      <w:r w:rsidR="00AD25E3" w:rsidRPr="00A54361">
        <w:t>8</w:t>
      </w:r>
      <w:r w:rsidR="00F55D81" w:rsidRPr="00A54361">
        <w:t>00</w:t>
      </w:r>
      <w:r w:rsidRPr="00A54361">
        <w:t>)</w:t>
      </w:r>
    </w:p>
    <w:p w14:paraId="5F7A7C46" w14:textId="1F7B96E5" w:rsidR="00454957" w:rsidRPr="00A54361" w:rsidRDefault="00454957" w:rsidP="00A54361">
      <w:pPr>
        <w:pStyle w:val="ListParagraph"/>
        <w:numPr>
          <w:ilvl w:val="0"/>
          <w:numId w:val="46"/>
        </w:numPr>
        <w:jc w:val="both"/>
      </w:pPr>
      <w:r w:rsidRPr="00A54361">
        <w:t>All the equipment should be Rack Mountable and should have dual Power supply units.</w:t>
      </w:r>
    </w:p>
    <w:p w14:paraId="78FE75EC" w14:textId="4345DF7C" w:rsidR="00454957" w:rsidRPr="00A54361" w:rsidRDefault="00454957" w:rsidP="00A54361">
      <w:pPr>
        <w:pStyle w:val="ListParagraph"/>
        <w:numPr>
          <w:ilvl w:val="0"/>
          <w:numId w:val="46"/>
        </w:numPr>
        <w:jc w:val="both"/>
      </w:pPr>
      <w:r w:rsidRPr="00A54361">
        <w:lastRenderedPageBreak/>
        <w:t>LTO</w:t>
      </w:r>
      <w:r w:rsidR="00717D1C" w:rsidRPr="00A54361">
        <w:t>8</w:t>
      </w:r>
      <w:r w:rsidRPr="00A54361">
        <w:t xml:space="preserve"> Library based backup solution should be provided with backup software and necessary licenses. Feature online backup should be available.</w:t>
      </w:r>
    </w:p>
    <w:p w14:paraId="0A1300F8" w14:textId="6E5E2ACE" w:rsidR="00454957" w:rsidRPr="00A54361" w:rsidRDefault="00454957" w:rsidP="00A54361">
      <w:pPr>
        <w:pStyle w:val="ListParagraph"/>
        <w:numPr>
          <w:ilvl w:val="0"/>
          <w:numId w:val="46"/>
        </w:numPr>
        <w:jc w:val="both"/>
      </w:pPr>
      <w:r w:rsidRPr="00A54361">
        <w:t>In  case  the  bidder  proposes  any  alternate  solution  in  place  of  backup  solution  as mentioned above, they should be able to provide back up in removable device (tapes) to</w:t>
      </w:r>
      <w:r w:rsidR="004067A8" w:rsidRPr="00A54361">
        <w:t xml:space="preserve"> </w:t>
      </w:r>
      <w:r w:rsidRPr="00A54361">
        <w:t>enable the bank for offsite storage of backup.</w:t>
      </w:r>
    </w:p>
    <w:p w14:paraId="05C01FDA" w14:textId="4AA236D7" w:rsidR="00051279" w:rsidRPr="00A54361" w:rsidRDefault="00051279" w:rsidP="00A54361">
      <w:pPr>
        <w:pStyle w:val="ListParagraph"/>
        <w:numPr>
          <w:ilvl w:val="0"/>
          <w:numId w:val="46"/>
        </w:numPr>
        <w:jc w:val="both"/>
        <w:rPr>
          <w:b/>
          <w:bCs/>
        </w:rPr>
      </w:pPr>
      <w:r w:rsidRPr="00A54361">
        <w:t xml:space="preserve">The Bidder should take adequate care to avoid quoting security equipment that will become end of sale within </w:t>
      </w:r>
      <w:r w:rsidR="00395423" w:rsidRPr="00A54361">
        <w:t>2</w:t>
      </w:r>
      <w:r w:rsidR="004E0B81" w:rsidRPr="00A54361">
        <w:t xml:space="preserve"> years</w:t>
      </w:r>
      <w:r w:rsidRPr="00A54361">
        <w:t xml:space="preserve"> of supply to the Bank and end of support within 7 years from the date of the submission of offer. </w:t>
      </w:r>
      <w:r w:rsidR="00077711" w:rsidRPr="00A54361">
        <w:t xml:space="preserve">In case any hardware / component reaches end of support during the contract period, bidder has to replace the same with new one, including successful installation and migration of data at no additional cost to the Bank.  Failure to replace the product well in time </w:t>
      </w:r>
      <w:r w:rsidR="00330EA4" w:rsidRPr="00A54361">
        <w:t>by the actual end of support date</w:t>
      </w:r>
      <w:r w:rsidR="00077711" w:rsidRPr="00A54361">
        <w:t xml:space="preserve"> will be treated as violation of SLA.  Bank will procure new solution in such case and cost will be deducted from payables / payments as </w:t>
      </w:r>
      <w:r w:rsidR="00632E9C" w:rsidRPr="00A54361">
        <w:t xml:space="preserve">a </w:t>
      </w:r>
      <w:r w:rsidR="00077711" w:rsidRPr="00A54361">
        <w:t>penalty or by invoking PBG.</w:t>
      </w:r>
    </w:p>
    <w:p w14:paraId="2F8B151A" w14:textId="77777777" w:rsidR="00051279" w:rsidRPr="00A54361" w:rsidRDefault="00051279" w:rsidP="00A54361">
      <w:pPr>
        <w:pStyle w:val="ListParagraph"/>
        <w:numPr>
          <w:ilvl w:val="0"/>
          <w:numId w:val="46"/>
        </w:numPr>
        <w:jc w:val="both"/>
        <w:rPr>
          <w:b/>
          <w:bCs/>
        </w:rPr>
      </w:pPr>
      <w:r w:rsidRPr="00A54361">
        <w:t xml:space="preserve">The Bidder is required to procure, supply, install and provide subsequent comprehensive on-site warranty/AMC/ATS of the security equipment based on the Bill of Materials shared by the Bank and the solutions (Hardware, software, etc.) proposed and included in the Bill of Material by the Bidder for the security solutions. </w:t>
      </w:r>
    </w:p>
    <w:p w14:paraId="6A476ED6" w14:textId="05B54DEE" w:rsidR="00051279" w:rsidRPr="00A54361" w:rsidRDefault="00051279" w:rsidP="00A54361">
      <w:pPr>
        <w:pStyle w:val="ListParagraph"/>
        <w:numPr>
          <w:ilvl w:val="0"/>
          <w:numId w:val="46"/>
        </w:numPr>
        <w:jc w:val="both"/>
        <w:rPr>
          <w:b/>
          <w:bCs/>
        </w:rPr>
      </w:pPr>
      <w:r w:rsidRPr="00A54361">
        <w:t>The delivery plan must be synchronized with the project delivery timelines of the Bank. Bidder is required to make available required resources that may be required for the successful completion of the entire assignment within the quoted cost to the Bank.</w:t>
      </w:r>
    </w:p>
    <w:p w14:paraId="765497BF" w14:textId="2E5B993F" w:rsidR="008338B7" w:rsidRPr="00A54361" w:rsidRDefault="008338B7" w:rsidP="00A54361">
      <w:pPr>
        <w:pStyle w:val="Default"/>
        <w:jc w:val="both"/>
        <w:rPr>
          <w:b/>
          <w:bCs/>
          <w:color w:val="auto"/>
          <w:sz w:val="22"/>
          <w:szCs w:val="22"/>
        </w:rPr>
      </w:pPr>
      <w:r w:rsidRPr="00A54361">
        <w:rPr>
          <w:b/>
          <w:bCs/>
          <w:color w:val="auto"/>
          <w:sz w:val="22"/>
          <w:szCs w:val="22"/>
        </w:rPr>
        <w:t>Delivery, Installation and Maintenance</w:t>
      </w:r>
    </w:p>
    <w:p w14:paraId="6168ADD5" w14:textId="3C81C3B4" w:rsidR="00765155" w:rsidRPr="00A54361" w:rsidRDefault="00765155" w:rsidP="00A54361">
      <w:pPr>
        <w:pStyle w:val="ListParagraph"/>
        <w:numPr>
          <w:ilvl w:val="0"/>
          <w:numId w:val="46"/>
        </w:numPr>
        <w:jc w:val="both"/>
        <w:rPr>
          <w:rFonts w:cstheme="minorHAnsi"/>
        </w:rPr>
      </w:pPr>
      <w:r w:rsidRPr="00A54361">
        <w:rPr>
          <w:rFonts w:cstheme="minorHAnsi"/>
        </w:rPr>
        <w:t xml:space="preserve">As a part of implementation of </w:t>
      </w:r>
      <w:r w:rsidR="008A436D" w:rsidRPr="00A54361">
        <w:rPr>
          <w:rFonts w:cstheme="minorHAnsi"/>
        </w:rPr>
        <w:t>Cyber Security Solutions</w:t>
      </w:r>
      <w:r w:rsidR="00194C1A" w:rsidRPr="00A54361">
        <w:rPr>
          <w:rFonts w:cstheme="minorHAnsi"/>
        </w:rPr>
        <w:t xml:space="preserve"> and associated hardware</w:t>
      </w:r>
      <w:r w:rsidRPr="00A54361">
        <w:rPr>
          <w:rFonts w:cstheme="minorHAnsi"/>
        </w:rPr>
        <w:t xml:space="preserve">, the Bank expects the successful Bidder to provide power, </w:t>
      </w:r>
      <w:r w:rsidR="007A3AFC" w:rsidRPr="00A54361">
        <w:rPr>
          <w:rFonts w:cstheme="minorHAnsi"/>
        </w:rPr>
        <w:t>space,</w:t>
      </w:r>
      <w:r w:rsidRPr="00A54361">
        <w:rPr>
          <w:rFonts w:cstheme="minorHAnsi"/>
        </w:rPr>
        <w:t xml:space="preserve"> and cooling requirements for the equipment to be hosted at DC</w:t>
      </w:r>
      <w:r w:rsidR="003A08FE" w:rsidRPr="00A54361">
        <w:rPr>
          <w:rFonts w:cstheme="minorHAnsi"/>
        </w:rPr>
        <w:t xml:space="preserve"> and</w:t>
      </w:r>
      <w:r w:rsidRPr="00A54361">
        <w:rPr>
          <w:rFonts w:cstheme="minorHAnsi"/>
        </w:rPr>
        <w:t xml:space="preserve"> DRC.</w:t>
      </w:r>
      <w:r w:rsidR="002227BF" w:rsidRPr="00A54361">
        <w:rPr>
          <w:rFonts w:cstheme="minorHAnsi"/>
        </w:rPr>
        <w:t xml:space="preserve"> However, the hosting environment requirement shall be provide</w:t>
      </w:r>
      <w:r w:rsidR="00815858" w:rsidRPr="00A54361">
        <w:rPr>
          <w:rFonts w:cstheme="minorHAnsi"/>
        </w:rPr>
        <w:t>d</w:t>
      </w:r>
      <w:r w:rsidR="002227BF" w:rsidRPr="00A54361">
        <w:rPr>
          <w:rFonts w:cstheme="minorHAnsi"/>
        </w:rPr>
        <w:t xml:space="preserve"> by the Bank at Bank’</w:t>
      </w:r>
      <w:r w:rsidR="004E0B81" w:rsidRPr="00A54361">
        <w:rPr>
          <w:rFonts w:cstheme="minorHAnsi"/>
        </w:rPr>
        <w:t>s</w:t>
      </w:r>
      <w:r w:rsidR="002227BF" w:rsidRPr="00A54361">
        <w:rPr>
          <w:rFonts w:cstheme="minorHAnsi"/>
        </w:rPr>
        <w:t xml:space="preserve"> DC</w:t>
      </w:r>
      <w:r w:rsidR="003A08FE" w:rsidRPr="00A54361">
        <w:rPr>
          <w:rFonts w:cstheme="minorHAnsi"/>
        </w:rPr>
        <w:t xml:space="preserve"> and </w:t>
      </w:r>
      <w:r w:rsidR="002227BF" w:rsidRPr="00A54361">
        <w:rPr>
          <w:rFonts w:cstheme="minorHAnsi"/>
        </w:rPr>
        <w:t>DRC.</w:t>
      </w:r>
    </w:p>
    <w:p w14:paraId="264E66BC" w14:textId="719643AB" w:rsidR="008338B7" w:rsidRPr="00A54361" w:rsidRDefault="008338B7" w:rsidP="00A54361">
      <w:pPr>
        <w:pStyle w:val="ListParagraph"/>
        <w:numPr>
          <w:ilvl w:val="0"/>
          <w:numId w:val="46"/>
        </w:numPr>
        <w:jc w:val="both"/>
        <w:rPr>
          <w:rFonts w:cstheme="minorHAnsi"/>
        </w:rPr>
      </w:pPr>
      <w:r w:rsidRPr="00A54361">
        <w:rPr>
          <w:rFonts w:cstheme="minorHAnsi"/>
        </w:rPr>
        <w:t xml:space="preserve">Bidder should coordinate with the SPOC (DC/DR) for all the assignments relating to this </w:t>
      </w:r>
      <w:r w:rsidR="00812475" w:rsidRPr="00A54361">
        <w:rPr>
          <w:rFonts w:cstheme="minorHAnsi"/>
        </w:rPr>
        <w:t>RFP.</w:t>
      </w:r>
    </w:p>
    <w:p w14:paraId="28C806F3" w14:textId="4FFA6C77" w:rsidR="008338B7" w:rsidRPr="00A54361" w:rsidRDefault="008338B7" w:rsidP="00A54361">
      <w:pPr>
        <w:pStyle w:val="ListParagraph"/>
        <w:numPr>
          <w:ilvl w:val="0"/>
          <w:numId w:val="46"/>
        </w:numPr>
        <w:jc w:val="both"/>
        <w:rPr>
          <w:rFonts w:cstheme="minorHAnsi"/>
        </w:rPr>
      </w:pPr>
      <w:r w:rsidRPr="00A54361">
        <w:rPr>
          <w:rFonts w:cstheme="minorHAnsi"/>
        </w:rPr>
        <w:t>Bidder is responsible for delivery, transportation, transit insurance – including insurance till installation acceptance by the Bank</w:t>
      </w:r>
      <w:r w:rsidR="002227BF" w:rsidRPr="00A54361">
        <w:rPr>
          <w:rFonts w:cstheme="minorHAnsi"/>
        </w:rPr>
        <w:t xml:space="preserve"> or its appointed consultant</w:t>
      </w:r>
      <w:r w:rsidRPr="00A54361">
        <w:rPr>
          <w:rFonts w:cstheme="minorHAnsi"/>
        </w:rPr>
        <w:t xml:space="preserve">, unpack, racking and stacking, </w:t>
      </w:r>
      <w:r w:rsidR="002856AB" w:rsidRPr="00A54361">
        <w:rPr>
          <w:rFonts w:cstheme="minorHAnsi"/>
        </w:rPr>
        <w:t>installation,</w:t>
      </w:r>
      <w:r w:rsidRPr="00A54361">
        <w:rPr>
          <w:rFonts w:cstheme="minorHAnsi"/>
        </w:rPr>
        <w:t xml:space="preserve"> and configuration of </w:t>
      </w:r>
      <w:r w:rsidR="008A436D" w:rsidRPr="00A54361">
        <w:rPr>
          <w:rFonts w:cstheme="minorHAnsi"/>
        </w:rPr>
        <w:t>Cyber Security Solutions</w:t>
      </w:r>
      <w:r w:rsidR="00F71A06" w:rsidRPr="00A54361">
        <w:rPr>
          <w:rFonts w:cstheme="minorHAnsi"/>
        </w:rPr>
        <w:t xml:space="preserve"> and associated hardware</w:t>
      </w:r>
      <w:r w:rsidRPr="00A54361">
        <w:rPr>
          <w:rFonts w:cstheme="minorHAnsi"/>
        </w:rPr>
        <w:t xml:space="preserve"> at DC, DRC and Central Office and other locations</w:t>
      </w:r>
      <w:r w:rsidR="009F13E8" w:rsidRPr="00A54361">
        <w:rPr>
          <w:rFonts w:cstheme="minorHAnsi"/>
        </w:rPr>
        <w:t>.</w:t>
      </w:r>
    </w:p>
    <w:p w14:paraId="1CBF6B27" w14:textId="08EF41A3" w:rsidR="008338B7" w:rsidRPr="00A54361" w:rsidRDefault="008338B7" w:rsidP="00A54361">
      <w:pPr>
        <w:pStyle w:val="ListParagraph"/>
        <w:numPr>
          <w:ilvl w:val="0"/>
          <w:numId w:val="46"/>
        </w:numPr>
        <w:jc w:val="both"/>
        <w:rPr>
          <w:rFonts w:cstheme="minorHAnsi"/>
        </w:rPr>
      </w:pPr>
      <w:r w:rsidRPr="00A54361">
        <w:rPr>
          <w:rFonts w:cstheme="minorHAnsi"/>
        </w:rPr>
        <w:t>The Bidder to do Power on self-test, basic configurations</w:t>
      </w:r>
      <w:r w:rsidR="005811A3" w:rsidRPr="00A54361">
        <w:rPr>
          <w:rFonts w:cstheme="minorHAnsi"/>
        </w:rPr>
        <w:t xml:space="preserve">, </w:t>
      </w:r>
      <w:r w:rsidR="00C95FB2" w:rsidRPr="00A54361">
        <w:rPr>
          <w:rFonts w:cstheme="minorHAnsi"/>
        </w:rPr>
        <w:t>migration,</w:t>
      </w:r>
      <w:r w:rsidR="005811A3" w:rsidRPr="00A54361">
        <w:rPr>
          <w:rFonts w:cstheme="minorHAnsi"/>
        </w:rPr>
        <w:t xml:space="preserve"> </w:t>
      </w:r>
      <w:r w:rsidRPr="00A54361">
        <w:rPr>
          <w:rFonts w:cstheme="minorHAnsi"/>
        </w:rPr>
        <w:t xml:space="preserve">and </w:t>
      </w:r>
      <w:r w:rsidR="002856AB" w:rsidRPr="00A54361">
        <w:rPr>
          <w:rFonts w:cstheme="minorHAnsi"/>
        </w:rPr>
        <w:t xml:space="preserve">installation of the </w:t>
      </w:r>
      <w:r w:rsidR="00E157C8" w:rsidRPr="00A54361">
        <w:rPr>
          <w:rFonts w:cstheme="minorHAnsi"/>
        </w:rPr>
        <w:t>equipment.</w:t>
      </w:r>
    </w:p>
    <w:p w14:paraId="5CFAE740" w14:textId="66D73783" w:rsidR="001C7313" w:rsidRPr="00A54361" w:rsidRDefault="001C7313" w:rsidP="00A54361">
      <w:pPr>
        <w:pStyle w:val="ListParagraph"/>
        <w:numPr>
          <w:ilvl w:val="0"/>
          <w:numId w:val="46"/>
        </w:numPr>
        <w:jc w:val="both"/>
        <w:rPr>
          <w:rFonts w:cstheme="minorHAnsi"/>
        </w:rPr>
      </w:pPr>
      <w:r w:rsidRPr="00A54361">
        <w:rPr>
          <w:rFonts w:cstheme="minorHAnsi"/>
        </w:rPr>
        <w:t xml:space="preserve">Installation of the solutions is to be performed by </w:t>
      </w:r>
      <w:r w:rsidR="001D6335" w:rsidRPr="00A54361">
        <w:rPr>
          <w:rFonts w:cstheme="minorHAnsi"/>
        </w:rPr>
        <w:t>OEM / OEM authorised partner for each solution.</w:t>
      </w:r>
    </w:p>
    <w:p w14:paraId="767E6698" w14:textId="13AC59A4" w:rsidR="008338B7" w:rsidRPr="00A54361" w:rsidRDefault="008338B7" w:rsidP="00A54361">
      <w:pPr>
        <w:pStyle w:val="ListParagraph"/>
        <w:numPr>
          <w:ilvl w:val="0"/>
          <w:numId w:val="46"/>
        </w:numPr>
        <w:jc w:val="both"/>
        <w:rPr>
          <w:rFonts w:cstheme="minorHAnsi"/>
        </w:rPr>
      </w:pPr>
      <w:r w:rsidRPr="00A54361">
        <w:rPr>
          <w:rFonts w:cstheme="minorHAnsi"/>
        </w:rPr>
        <w:t xml:space="preserve">Any delay in installation of the </w:t>
      </w:r>
      <w:r w:rsidR="009C5598" w:rsidRPr="00A54361">
        <w:rPr>
          <w:rFonts w:cstheme="minorHAnsi"/>
        </w:rPr>
        <w:t>Cyber Security Solutions</w:t>
      </w:r>
      <w:r w:rsidR="00F71A06" w:rsidRPr="00A54361">
        <w:rPr>
          <w:rFonts w:cstheme="minorHAnsi"/>
        </w:rPr>
        <w:t xml:space="preserve"> and associated hardware</w:t>
      </w:r>
      <w:r w:rsidRPr="00A54361">
        <w:rPr>
          <w:rFonts w:cstheme="minorHAnsi"/>
        </w:rPr>
        <w:t xml:space="preserve"> for whatsoever reasons should not entail in expiry of insurance and the same should be continued and extended up to the date of installation and acceptance of the delivered </w:t>
      </w:r>
      <w:r w:rsidR="009C5598" w:rsidRPr="00A54361">
        <w:rPr>
          <w:rFonts w:cstheme="minorHAnsi"/>
        </w:rPr>
        <w:t>Cyber Security Solutions</w:t>
      </w:r>
      <w:r w:rsidRPr="00A54361">
        <w:rPr>
          <w:rFonts w:cstheme="minorHAnsi"/>
        </w:rPr>
        <w:t xml:space="preserve"> and its associated licenses by the Bank.</w:t>
      </w:r>
    </w:p>
    <w:p w14:paraId="7F765D31" w14:textId="61B440D2" w:rsidR="00052C45" w:rsidRPr="00A54361" w:rsidRDefault="008338B7" w:rsidP="00A54361">
      <w:pPr>
        <w:pStyle w:val="ListParagraph"/>
        <w:numPr>
          <w:ilvl w:val="0"/>
          <w:numId w:val="46"/>
        </w:numPr>
        <w:jc w:val="both"/>
        <w:rPr>
          <w:rFonts w:cstheme="minorHAnsi"/>
        </w:rPr>
      </w:pPr>
      <w:r w:rsidRPr="00A54361">
        <w:rPr>
          <w:rFonts w:cstheme="minorHAnsi"/>
        </w:rPr>
        <w:t>Bidder sha</w:t>
      </w:r>
      <w:r w:rsidR="00774884" w:rsidRPr="00A54361">
        <w:rPr>
          <w:rFonts w:cstheme="minorHAnsi"/>
        </w:rPr>
        <w:t>ll ensure compatibility of the</w:t>
      </w:r>
      <w:r w:rsidRPr="00A54361">
        <w:rPr>
          <w:rFonts w:cstheme="minorHAnsi"/>
        </w:rPr>
        <w:t xml:space="preserve"> supplied </w:t>
      </w:r>
      <w:r w:rsidR="009C5598" w:rsidRPr="00A54361">
        <w:rPr>
          <w:rFonts w:cstheme="minorHAnsi"/>
        </w:rPr>
        <w:t>Cyber Security Solutions</w:t>
      </w:r>
      <w:r w:rsidR="00F71A06" w:rsidRPr="00A54361">
        <w:rPr>
          <w:rFonts w:cstheme="minorHAnsi"/>
        </w:rPr>
        <w:t>, hardware</w:t>
      </w:r>
      <w:r w:rsidR="009C5598" w:rsidRPr="00A54361">
        <w:rPr>
          <w:rFonts w:cstheme="minorHAnsi"/>
        </w:rPr>
        <w:t xml:space="preserve"> </w:t>
      </w:r>
      <w:r w:rsidRPr="00A54361">
        <w:rPr>
          <w:rFonts w:cstheme="minorHAnsi"/>
        </w:rPr>
        <w:t>and licenses with the hardware and software systems being used in the Bank.</w:t>
      </w:r>
      <w:r w:rsidR="00052C45" w:rsidRPr="00A54361">
        <w:rPr>
          <w:rFonts w:cstheme="minorHAnsi"/>
        </w:rPr>
        <w:t xml:space="preserve"> </w:t>
      </w:r>
      <w:r w:rsidR="00052C45" w:rsidRPr="00A54361">
        <w:t>I</w:t>
      </w:r>
      <w:r w:rsidR="00052C45" w:rsidRPr="00A54361">
        <w:rPr>
          <w:rFonts w:cstheme="minorHAnsi"/>
        </w:rPr>
        <w:t xml:space="preserve">n case of any compatibility issue arises between the proposed </w:t>
      </w:r>
      <w:r w:rsidR="009C5598" w:rsidRPr="00A54361">
        <w:rPr>
          <w:rFonts w:cstheme="minorHAnsi"/>
        </w:rPr>
        <w:t xml:space="preserve">Cyber Security </w:t>
      </w:r>
      <w:r w:rsidR="00052C45" w:rsidRPr="00A54361">
        <w:rPr>
          <w:rFonts w:cstheme="minorHAnsi"/>
        </w:rPr>
        <w:t xml:space="preserve">solution/appliance in existing setup during implementation or within 3 months of installation signoff, then the successful bidder is required to replace such solution/appliance, with the compatible one, at no additional cost to the bank within 4 weeks of the issue is identified by Bank or Bank’s </w:t>
      </w:r>
      <w:r w:rsidR="00EA78D7" w:rsidRPr="00A54361">
        <w:rPr>
          <w:rFonts w:cstheme="minorHAnsi"/>
        </w:rPr>
        <w:t xml:space="preserve">existing </w:t>
      </w:r>
      <w:r w:rsidR="00052C45" w:rsidRPr="00A54361">
        <w:rPr>
          <w:rFonts w:cstheme="minorHAnsi"/>
        </w:rPr>
        <w:t>SI.</w:t>
      </w:r>
    </w:p>
    <w:p w14:paraId="0249BED1" w14:textId="3BCAAF99" w:rsidR="008338B7" w:rsidRPr="00A54361" w:rsidRDefault="008338B7" w:rsidP="00A54361">
      <w:pPr>
        <w:pStyle w:val="ListParagraph"/>
        <w:numPr>
          <w:ilvl w:val="0"/>
          <w:numId w:val="46"/>
        </w:numPr>
        <w:jc w:val="both"/>
        <w:rPr>
          <w:rFonts w:cstheme="minorHAnsi"/>
        </w:rPr>
      </w:pPr>
      <w:r w:rsidRPr="00A54361">
        <w:rPr>
          <w:rFonts w:cstheme="minorHAnsi"/>
        </w:rPr>
        <w:lastRenderedPageBreak/>
        <w:t xml:space="preserve">Bidder </w:t>
      </w:r>
      <w:r w:rsidR="008021E8" w:rsidRPr="00A54361">
        <w:rPr>
          <w:rFonts w:cstheme="minorHAnsi"/>
        </w:rPr>
        <w:t xml:space="preserve">should </w:t>
      </w:r>
      <w:r w:rsidRPr="00A54361">
        <w:rPr>
          <w:rFonts w:cstheme="minorHAnsi"/>
        </w:rPr>
        <w:t>adhere to the service level</w:t>
      </w:r>
      <w:r w:rsidR="009F13E8" w:rsidRPr="00A54361">
        <w:rPr>
          <w:rFonts w:cstheme="minorHAnsi"/>
        </w:rPr>
        <w:t>s</w:t>
      </w:r>
      <w:r w:rsidR="008021E8" w:rsidRPr="00A54361">
        <w:rPr>
          <w:rFonts w:cstheme="minorHAnsi"/>
        </w:rPr>
        <w:t xml:space="preserve"> including delivery timelines</w:t>
      </w:r>
      <w:r w:rsidRPr="00A54361">
        <w:rPr>
          <w:rFonts w:cstheme="minorHAnsi"/>
        </w:rPr>
        <w:t xml:space="preserve"> specified in the RFP for the installation of </w:t>
      </w:r>
      <w:r w:rsidR="00331668" w:rsidRPr="00A54361">
        <w:rPr>
          <w:rFonts w:cstheme="minorHAnsi"/>
        </w:rPr>
        <w:t>Cyber Security Solutions</w:t>
      </w:r>
      <w:r w:rsidR="00074569" w:rsidRPr="00A54361">
        <w:rPr>
          <w:rFonts w:cstheme="minorHAnsi"/>
        </w:rPr>
        <w:t xml:space="preserve"> and associated hardware</w:t>
      </w:r>
      <w:r w:rsidR="00331668" w:rsidRPr="00A54361">
        <w:rPr>
          <w:rFonts w:cstheme="minorHAnsi"/>
        </w:rPr>
        <w:t xml:space="preserve"> </w:t>
      </w:r>
      <w:r w:rsidRPr="00A54361">
        <w:rPr>
          <w:rFonts w:cstheme="minorHAnsi"/>
        </w:rPr>
        <w:t>supplied by them.</w:t>
      </w:r>
    </w:p>
    <w:p w14:paraId="7F695E18" w14:textId="0E4B5920" w:rsidR="008338B7" w:rsidRPr="00A54361" w:rsidRDefault="0084308E" w:rsidP="00A54361">
      <w:pPr>
        <w:pStyle w:val="ListParagraph"/>
        <w:numPr>
          <w:ilvl w:val="0"/>
          <w:numId w:val="46"/>
        </w:numPr>
        <w:jc w:val="both"/>
        <w:rPr>
          <w:rFonts w:cstheme="minorHAnsi"/>
          <w:sz w:val="24"/>
          <w:szCs w:val="24"/>
        </w:rPr>
      </w:pPr>
      <w:r w:rsidRPr="00A54361">
        <w:rPr>
          <w:rFonts w:cstheme="minorHAnsi"/>
        </w:rPr>
        <w:t>In case of Hardware based Solutions, b</w:t>
      </w:r>
      <w:r w:rsidR="008338B7" w:rsidRPr="00A54361">
        <w:rPr>
          <w:rFonts w:cstheme="minorHAnsi"/>
        </w:rPr>
        <w:t>idder shall provide replacement component</w:t>
      </w:r>
      <w:r w:rsidR="0051688F" w:rsidRPr="00A54361">
        <w:rPr>
          <w:rFonts w:cstheme="minorHAnsi"/>
        </w:rPr>
        <w:t xml:space="preserve"> from the same OEM</w:t>
      </w:r>
      <w:r w:rsidR="008338B7" w:rsidRPr="00A54361">
        <w:rPr>
          <w:rFonts w:cstheme="minorHAnsi"/>
        </w:rPr>
        <w:t>, if any component is required to be taken out of the premises for repairs</w:t>
      </w:r>
      <w:r w:rsidR="00EA78D7" w:rsidRPr="00A54361">
        <w:rPr>
          <w:rFonts w:cstheme="minorHAnsi"/>
          <w:sz w:val="24"/>
          <w:szCs w:val="24"/>
        </w:rPr>
        <w:t>.</w:t>
      </w:r>
    </w:p>
    <w:p w14:paraId="084BAC1E" w14:textId="4F46059B" w:rsidR="008338B7" w:rsidRPr="00A54361" w:rsidRDefault="008338B7" w:rsidP="00A54361">
      <w:pPr>
        <w:pStyle w:val="ListParagraph"/>
        <w:numPr>
          <w:ilvl w:val="0"/>
          <w:numId w:val="46"/>
        </w:numPr>
        <w:jc w:val="both"/>
        <w:rPr>
          <w:rFonts w:cstheme="minorHAnsi"/>
        </w:rPr>
      </w:pPr>
      <w:r w:rsidRPr="00A54361">
        <w:rPr>
          <w:rFonts w:cstheme="minorHAnsi"/>
        </w:rPr>
        <w:t xml:space="preserve">Bidder </w:t>
      </w:r>
      <w:r w:rsidR="00A853AD" w:rsidRPr="00A54361">
        <w:rPr>
          <w:rFonts w:cstheme="minorHAnsi"/>
        </w:rPr>
        <w:t>must</w:t>
      </w:r>
      <w:r w:rsidRPr="00A54361">
        <w:rPr>
          <w:rFonts w:cstheme="minorHAnsi"/>
        </w:rPr>
        <w:t xml:space="preserve"> ensure that on call OEM support can be made available within one hour du</w:t>
      </w:r>
      <w:r w:rsidR="00EA78D7" w:rsidRPr="00A54361">
        <w:rPr>
          <w:rFonts w:cstheme="minorHAnsi"/>
        </w:rPr>
        <w:t>ring the tenure of the contract.</w:t>
      </w:r>
    </w:p>
    <w:p w14:paraId="5D81B350" w14:textId="66F10B2F" w:rsidR="008338B7" w:rsidRPr="00A54361" w:rsidRDefault="008338B7" w:rsidP="00A54361">
      <w:pPr>
        <w:pStyle w:val="ListParagraph"/>
        <w:numPr>
          <w:ilvl w:val="0"/>
          <w:numId w:val="46"/>
        </w:numPr>
        <w:jc w:val="both"/>
        <w:rPr>
          <w:rFonts w:cstheme="minorHAnsi"/>
        </w:rPr>
      </w:pPr>
      <w:r w:rsidRPr="00A54361">
        <w:rPr>
          <w:rFonts w:cstheme="minorHAnsi"/>
        </w:rPr>
        <w:t xml:space="preserve">Bidder should ensure Knowledge Transfer to the Bank throughout delivery of the service, which should include detailed overview of the implementation and configuration parameters and features and functionality of the proposed </w:t>
      </w:r>
      <w:r w:rsidR="004A58D1" w:rsidRPr="00A54361">
        <w:rPr>
          <w:rFonts w:cstheme="minorHAnsi"/>
        </w:rPr>
        <w:t>Cyber Security Solutions</w:t>
      </w:r>
      <w:r w:rsidR="00A853AD" w:rsidRPr="00A54361">
        <w:rPr>
          <w:rFonts w:cstheme="minorHAnsi"/>
        </w:rPr>
        <w:t>.</w:t>
      </w:r>
    </w:p>
    <w:p w14:paraId="19BF42BF" w14:textId="551FF329" w:rsidR="00244153" w:rsidRPr="00A54361" w:rsidRDefault="00244153" w:rsidP="00A54361">
      <w:pPr>
        <w:pStyle w:val="ListParagraph"/>
        <w:numPr>
          <w:ilvl w:val="0"/>
          <w:numId w:val="46"/>
        </w:numPr>
        <w:jc w:val="both"/>
        <w:rPr>
          <w:rFonts w:cstheme="minorHAnsi"/>
        </w:rPr>
      </w:pPr>
      <w:r w:rsidRPr="00A54361">
        <w:rPr>
          <w:rFonts w:cstheme="minorHAnsi"/>
        </w:rPr>
        <w:t>Bidder is required to provide acceptance of Purchase Order, within 7 days of issuance of PO to the Bank.</w:t>
      </w:r>
    </w:p>
    <w:p w14:paraId="6EBEF486" w14:textId="45C0553E" w:rsidR="00B168EF" w:rsidRPr="00A54361" w:rsidRDefault="00B168EF" w:rsidP="00A54361">
      <w:pPr>
        <w:pStyle w:val="ListParagraph"/>
        <w:numPr>
          <w:ilvl w:val="0"/>
          <w:numId w:val="46"/>
        </w:numPr>
        <w:jc w:val="both"/>
        <w:rPr>
          <w:rFonts w:cstheme="minorHAnsi"/>
        </w:rPr>
      </w:pPr>
      <w:r w:rsidRPr="00A54361">
        <w:rPr>
          <w:rFonts w:cstheme="minorHAnsi"/>
        </w:rPr>
        <w:t>All the components of this RFP should be covered under 24x7x</w:t>
      </w:r>
      <w:r w:rsidR="00EF623E" w:rsidRPr="00A54361">
        <w:rPr>
          <w:rFonts w:cstheme="minorHAnsi"/>
        </w:rPr>
        <w:t>365</w:t>
      </w:r>
      <w:r w:rsidRPr="00A54361">
        <w:rPr>
          <w:rFonts w:cstheme="minorHAnsi"/>
        </w:rPr>
        <w:t xml:space="preserve"> direct OEM support for the tenure of the contract</w:t>
      </w:r>
      <w:r w:rsidR="00156BDF" w:rsidRPr="00A54361">
        <w:rPr>
          <w:rFonts w:cstheme="minorHAnsi"/>
        </w:rPr>
        <w:t xml:space="preserve">; that is the </w:t>
      </w:r>
      <w:r w:rsidR="00B66274" w:rsidRPr="00A54361">
        <w:rPr>
          <w:rFonts w:cstheme="minorHAnsi"/>
        </w:rPr>
        <w:t xml:space="preserve">replacement of the </w:t>
      </w:r>
      <w:r w:rsidR="00156BDF" w:rsidRPr="00A54361">
        <w:rPr>
          <w:rFonts w:cstheme="minorHAnsi"/>
        </w:rPr>
        <w:t xml:space="preserve">defective components should be </w:t>
      </w:r>
      <w:r w:rsidR="00B66274" w:rsidRPr="00A54361">
        <w:rPr>
          <w:rFonts w:cstheme="minorHAnsi"/>
        </w:rPr>
        <w:t xml:space="preserve">delivered </w:t>
      </w:r>
      <w:r w:rsidR="00156BDF" w:rsidRPr="00A54361">
        <w:rPr>
          <w:rFonts w:cstheme="minorHAnsi"/>
        </w:rPr>
        <w:t>within four hours from the time call is logged</w:t>
      </w:r>
      <w:r w:rsidR="009F5AF0" w:rsidRPr="00A54361">
        <w:rPr>
          <w:rFonts w:cstheme="minorHAnsi"/>
        </w:rPr>
        <w:t>.</w:t>
      </w:r>
    </w:p>
    <w:p w14:paraId="6AB5495F" w14:textId="04B27944" w:rsidR="00472013" w:rsidRPr="00A54361" w:rsidRDefault="00472013" w:rsidP="00A54361">
      <w:pPr>
        <w:pStyle w:val="Heading1"/>
        <w:numPr>
          <w:ilvl w:val="0"/>
          <w:numId w:val="48"/>
        </w:numPr>
        <w:jc w:val="both"/>
        <w:rPr>
          <w:rFonts w:asciiTheme="minorHAnsi" w:hAnsiTheme="minorHAnsi" w:cstheme="minorHAnsi"/>
          <w:color w:val="auto"/>
        </w:rPr>
      </w:pPr>
      <w:bookmarkStart w:id="29" w:name="_Toc128522538"/>
      <w:bookmarkStart w:id="30" w:name="_Toc182233347"/>
      <w:r w:rsidRPr="00A54361">
        <w:rPr>
          <w:rFonts w:asciiTheme="minorHAnsi" w:hAnsiTheme="minorHAnsi" w:cstheme="minorHAnsi"/>
          <w:color w:val="auto"/>
        </w:rPr>
        <w:t>Project Timeline</w:t>
      </w:r>
      <w:bookmarkEnd w:id="29"/>
      <w:r w:rsidRPr="00A54361">
        <w:rPr>
          <w:rFonts w:asciiTheme="minorHAnsi" w:hAnsiTheme="minorHAnsi" w:cstheme="minorHAnsi"/>
          <w:color w:val="auto"/>
        </w:rPr>
        <w:t>s</w:t>
      </w:r>
      <w:bookmarkEnd w:id="30"/>
      <w:r w:rsidRPr="00A54361">
        <w:rPr>
          <w:rFonts w:asciiTheme="minorHAnsi" w:hAnsiTheme="minorHAnsi" w:cstheme="minorHAnsi"/>
          <w:color w:val="auto"/>
        </w:rPr>
        <w:t xml:space="preserve"> </w:t>
      </w:r>
    </w:p>
    <w:p w14:paraId="47CCA70A" w14:textId="73F0E142" w:rsidR="00472013" w:rsidRPr="00A54361" w:rsidRDefault="00472013" w:rsidP="00A54361">
      <w:pPr>
        <w:spacing w:before="120" w:after="120"/>
        <w:jc w:val="both"/>
      </w:pPr>
      <w:r w:rsidRPr="00A54361">
        <w:t xml:space="preserve">The successful Bidder is expected to adhere to the following timelines concerning the implementation of the </w:t>
      </w:r>
      <w:r w:rsidR="004A58D1" w:rsidRPr="00A54361">
        <w:rPr>
          <w:rFonts w:cstheme="minorHAnsi"/>
        </w:rPr>
        <w:t>Cyber Security Solutions</w:t>
      </w:r>
      <w:r w:rsidR="00074569" w:rsidRPr="00A54361">
        <w:rPr>
          <w:rFonts w:cstheme="minorHAnsi"/>
        </w:rPr>
        <w:t xml:space="preserve"> and associated hardware</w:t>
      </w:r>
      <w:r w:rsidRPr="00A54361">
        <w:t xml:space="preserve"> at Bank’s DC</w:t>
      </w:r>
      <w:r w:rsidR="00D05F19" w:rsidRPr="00A54361">
        <w:t xml:space="preserve"> and</w:t>
      </w:r>
      <w:r w:rsidRPr="00A54361">
        <w:t xml:space="preserve"> DRC:</w:t>
      </w:r>
    </w:p>
    <w:tbl>
      <w:tblPr>
        <w:tblW w:w="105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2766"/>
        <w:gridCol w:w="2445"/>
        <w:gridCol w:w="2446"/>
        <w:gridCol w:w="2446"/>
      </w:tblGrid>
      <w:tr w:rsidR="000D3DC1" w:rsidRPr="00A54361" w14:paraId="232396BD" w14:textId="2DB6F63F" w:rsidTr="005D16B3">
        <w:trPr>
          <w:tblHeader/>
        </w:trPr>
        <w:tc>
          <w:tcPr>
            <w:tcW w:w="495" w:type="dxa"/>
            <w:shd w:val="clear" w:color="auto" w:fill="1F3864" w:themeFill="accent1" w:themeFillShade="80"/>
          </w:tcPr>
          <w:p w14:paraId="11310932" w14:textId="77777777" w:rsidR="00D50BE4" w:rsidRPr="00A54361" w:rsidRDefault="00D50BE4" w:rsidP="00A54361">
            <w:pPr>
              <w:jc w:val="both"/>
              <w:rPr>
                <w:b/>
                <w:bCs/>
                <w:sz w:val="20"/>
                <w:szCs w:val="20"/>
              </w:rPr>
            </w:pPr>
            <w:r w:rsidRPr="00A54361">
              <w:rPr>
                <w:b/>
                <w:bCs/>
                <w:sz w:val="20"/>
                <w:szCs w:val="20"/>
              </w:rPr>
              <w:t>#</w:t>
            </w:r>
          </w:p>
        </w:tc>
        <w:tc>
          <w:tcPr>
            <w:tcW w:w="2766" w:type="dxa"/>
            <w:shd w:val="clear" w:color="auto" w:fill="1F3864" w:themeFill="accent1" w:themeFillShade="80"/>
          </w:tcPr>
          <w:p w14:paraId="213A7F7C" w14:textId="77777777" w:rsidR="00D50BE4" w:rsidRPr="00A54361" w:rsidRDefault="00D50BE4" w:rsidP="00A54361">
            <w:pPr>
              <w:jc w:val="both"/>
              <w:rPr>
                <w:b/>
                <w:bCs/>
                <w:sz w:val="20"/>
                <w:szCs w:val="20"/>
              </w:rPr>
            </w:pPr>
            <w:r w:rsidRPr="00A54361">
              <w:rPr>
                <w:b/>
                <w:bCs/>
                <w:sz w:val="20"/>
                <w:szCs w:val="20"/>
              </w:rPr>
              <w:t>Activity</w:t>
            </w:r>
          </w:p>
        </w:tc>
        <w:tc>
          <w:tcPr>
            <w:tcW w:w="2445" w:type="dxa"/>
            <w:shd w:val="clear" w:color="auto" w:fill="1F3864" w:themeFill="accent1" w:themeFillShade="80"/>
          </w:tcPr>
          <w:p w14:paraId="5C3973FD" w14:textId="1C73E55D" w:rsidR="00D50BE4" w:rsidRPr="00A54361" w:rsidRDefault="00D50BE4" w:rsidP="00A54361">
            <w:pPr>
              <w:jc w:val="both"/>
              <w:rPr>
                <w:b/>
                <w:bCs/>
                <w:sz w:val="20"/>
                <w:szCs w:val="20"/>
              </w:rPr>
            </w:pPr>
            <w:r w:rsidRPr="00A54361">
              <w:rPr>
                <w:b/>
                <w:bCs/>
                <w:sz w:val="20"/>
                <w:szCs w:val="20"/>
              </w:rPr>
              <w:t>Time for Delivery</w:t>
            </w:r>
          </w:p>
        </w:tc>
        <w:tc>
          <w:tcPr>
            <w:tcW w:w="2446" w:type="dxa"/>
            <w:shd w:val="clear" w:color="auto" w:fill="1F3864" w:themeFill="accent1" w:themeFillShade="80"/>
          </w:tcPr>
          <w:p w14:paraId="59091B18" w14:textId="7BB9A821" w:rsidR="00D50BE4" w:rsidRPr="00A54361" w:rsidRDefault="00D50BE4" w:rsidP="00A54361">
            <w:pPr>
              <w:jc w:val="both"/>
              <w:rPr>
                <w:b/>
                <w:bCs/>
                <w:sz w:val="20"/>
                <w:szCs w:val="20"/>
              </w:rPr>
            </w:pPr>
            <w:r w:rsidRPr="00A54361">
              <w:rPr>
                <w:b/>
                <w:bCs/>
                <w:sz w:val="20"/>
                <w:szCs w:val="20"/>
              </w:rPr>
              <w:t>Time for Installation</w:t>
            </w:r>
          </w:p>
        </w:tc>
        <w:tc>
          <w:tcPr>
            <w:tcW w:w="2446" w:type="dxa"/>
            <w:shd w:val="clear" w:color="auto" w:fill="1F3864" w:themeFill="accent1" w:themeFillShade="80"/>
          </w:tcPr>
          <w:p w14:paraId="5F118954" w14:textId="7A892E14" w:rsidR="00D50BE4" w:rsidRPr="00A54361" w:rsidRDefault="00D50BE4" w:rsidP="00A54361">
            <w:pPr>
              <w:jc w:val="both"/>
              <w:rPr>
                <w:b/>
                <w:bCs/>
                <w:sz w:val="20"/>
                <w:szCs w:val="20"/>
              </w:rPr>
            </w:pPr>
            <w:r w:rsidRPr="00A54361">
              <w:rPr>
                <w:b/>
                <w:bCs/>
                <w:sz w:val="20"/>
                <w:szCs w:val="20"/>
              </w:rPr>
              <w:t>Time for Go Live</w:t>
            </w:r>
          </w:p>
        </w:tc>
      </w:tr>
      <w:tr w:rsidR="000D3DC1" w:rsidRPr="00A54361" w14:paraId="79B2707C" w14:textId="60BD9246" w:rsidTr="005D16B3">
        <w:tc>
          <w:tcPr>
            <w:tcW w:w="495" w:type="dxa"/>
          </w:tcPr>
          <w:p w14:paraId="275AA4BB" w14:textId="77777777" w:rsidR="00D50BE4" w:rsidRPr="00A54361" w:rsidRDefault="00D50BE4" w:rsidP="00A54361">
            <w:pPr>
              <w:jc w:val="both"/>
              <w:rPr>
                <w:sz w:val="20"/>
                <w:szCs w:val="20"/>
              </w:rPr>
            </w:pPr>
            <w:r w:rsidRPr="00A54361">
              <w:rPr>
                <w:sz w:val="20"/>
                <w:szCs w:val="20"/>
              </w:rPr>
              <w:t>1</w:t>
            </w:r>
          </w:p>
        </w:tc>
        <w:tc>
          <w:tcPr>
            <w:tcW w:w="2766" w:type="dxa"/>
            <w:shd w:val="clear" w:color="auto" w:fill="auto"/>
          </w:tcPr>
          <w:p w14:paraId="5B6E6C21" w14:textId="488C7F1A" w:rsidR="00D50BE4" w:rsidRPr="00A54361" w:rsidRDefault="00D50BE4" w:rsidP="00A54361">
            <w:pPr>
              <w:jc w:val="both"/>
              <w:rPr>
                <w:sz w:val="20"/>
                <w:szCs w:val="20"/>
              </w:rPr>
            </w:pPr>
            <w:r w:rsidRPr="00A54361">
              <w:rPr>
                <w:sz w:val="20"/>
                <w:szCs w:val="20"/>
              </w:rPr>
              <w:t xml:space="preserve">Delivery, Installation and Go Live of </w:t>
            </w:r>
            <w:r w:rsidR="00196250" w:rsidRPr="00A54361">
              <w:rPr>
                <w:sz w:val="20"/>
                <w:szCs w:val="20"/>
              </w:rPr>
              <w:t>each of the indi</w:t>
            </w:r>
            <w:r w:rsidR="00164E20" w:rsidRPr="00A54361">
              <w:rPr>
                <w:sz w:val="20"/>
                <w:szCs w:val="20"/>
              </w:rPr>
              <w:t>vidual solutions part of the RFP</w:t>
            </w:r>
          </w:p>
        </w:tc>
        <w:tc>
          <w:tcPr>
            <w:tcW w:w="2445" w:type="dxa"/>
            <w:shd w:val="clear" w:color="auto" w:fill="auto"/>
          </w:tcPr>
          <w:p w14:paraId="363711CB" w14:textId="5EBF8A1B" w:rsidR="00D50BE4" w:rsidRPr="00A54361" w:rsidRDefault="00D50BE4" w:rsidP="00A54361">
            <w:pPr>
              <w:jc w:val="both"/>
              <w:rPr>
                <w:sz w:val="20"/>
                <w:szCs w:val="20"/>
              </w:rPr>
            </w:pPr>
            <w:r w:rsidRPr="00A54361">
              <w:rPr>
                <w:sz w:val="20"/>
                <w:szCs w:val="20"/>
              </w:rPr>
              <w:t>10 Weeks from the acceptance of Purchase Order.</w:t>
            </w:r>
          </w:p>
        </w:tc>
        <w:tc>
          <w:tcPr>
            <w:tcW w:w="2446" w:type="dxa"/>
            <w:shd w:val="clear" w:color="auto" w:fill="auto"/>
          </w:tcPr>
          <w:p w14:paraId="311348A4" w14:textId="3A2026DA" w:rsidR="00D50BE4" w:rsidRPr="00A54361" w:rsidRDefault="00D50BE4" w:rsidP="00A54361">
            <w:pPr>
              <w:jc w:val="both"/>
              <w:rPr>
                <w:sz w:val="20"/>
                <w:szCs w:val="20"/>
              </w:rPr>
            </w:pPr>
            <w:r w:rsidRPr="00A54361">
              <w:rPr>
                <w:sz w:val="20"/>
                <w:szCs w:val="20"/>
              </w:rPr>
              <w:t xml:space="preserve">14 Weeks from the </w:t>
            </w:r>
            <w:r w:rsidR="00196250" w:rsidRPr="00A54361">
              <w:rPr>
                <w:sz w:val="20"/>
                <w:szCs w:val="20"/>
              </w:rPr>
              <w:t>date of</w:t>
            </w:r>
            <w:r w:rsidR="007E1222" w:rsidRPr="00A54361">
              <w:rPr>
                <w:sz w:val="20"/>
                <w:szCs w:val="20"/>
              </w:rPr>
              <w:t xml:space="preserve"> acceptance of</w:t>
            </w:r>
            <w:r w:rsidR="00196250" w:rsidRPr="00A54361">
              <w:rPr>
                <w:sz w:val="20"/>
                <w:szCs w:val="20"/>
              </w:rPr>
              <w:t xml:space="preserve"> </w:t>
            </w:r>
            <w:r w:rsidR="000A7156" w:rsidRPr="00A54361">
              <w:rPr>
                <w:sz w:val="20"/>
                <w:szCs w:val="20"/>
              </w:rPr>
              <w:t>purchase order</w:t>
            </w:r>
            <w:r w:rsidR="00CE1AF4" w:rsidRPr="00A54361">
              <w:rPr>
                <w:sz w:val="20"/>
                <w:szCs w:val="20"/>
              </w:rPr>
              <w:t>.</w:t>
            </w:r>
          </w:p>
        </w:tc>
        <w:tc>
          <w:tcPr>
            <w:tcW w:w="2446" w:type="dxa"/>
          </w:tcPr>
          <w:p w14:paraId="63A164F0" w14:textId="221DAEFB" w:rsidR="00D50BE4" w:rsidRPr="00A54361" w:rsidRDefault="000D5400" w:rsidP="00A54361">
            <w:pPr>
              <w:jc w:val="both"/>
              <w:rPr>
                <w:sz w:val="20"/>
                <w:szCs w:val="20"/>
              </w:rPr>
            </w:pPr>
            <w:r w:rsidRPr="00A54361">
              <w:rPr>
                <w:sz w:val="20"/>
                <w:szCs w:val="20"/>
              </w:rPr>
              <w:t>2</w:t>
            </w:r>
            <w:r w:rsidR="007B565B" w:rsidRPr="00A54361">
              <w:rPr>
                <w:sz w:val="20"/>
                <w:szCs w:val="20"/>
              </w:rPr>
              <w:t>4</w:t>
            </w:r>
            <w:r w:rsidR="0044390E" w:rsidRPr="00A54361">
              <w:rPr>
                <w:sz w:val="20"/>
                <w:szCs w:val="20"/>
              </w:rPr>
              <w:t xml:space="preserve"> Weeks from the </w:t>
            </w:r>
            <w:r w:rsidR="00196250" w:rsidRPr="00A54361">
              <w:rPr>
                <w:sz w:val="20"/>
                <w:szCs w:val="20"/>
              </w:rPr>
              <w:t>date of</w:t>
            </w:r>
            <w:r w:rsidR="00A87FB7" w:rsidRPr="00A54361">
              <w:rPr>
                <w:sz w:val="20"/>
                <w:szCs w:val="20"/>
              </w:rPr>
              <w:t xml:space="preserve"> acceptance of purchase order</w:t>
            </w:r>
            <w:r w:rsidR="00CE1AF4" w:rsidRPr="00A54361">
              <w:rPr>
                <w:sz w:val="20"/>
                <w:szCs w:val="20"/>
              </w:rPr>
              <w:t>.</w:t>
            </w:r>
          </w:p>
        </w:tc>
      </w:tr>
    </w:tbl>
    <w:p w14:paraId="0F460433" w14:textId="2A949C6F" w:rsidR="00472013" w:rsidRPr="00A54361" w:rsidRDefault="00472013" w:rsidP="00A54361">
      <w:pPr>
        <w:spacing w:before="120" w:after="120"/>
        <w:jc w:val="both"/>
      </w:pPr>
      <w:r w:rsidRPr="00A54361">
        <w:t>The Bank, at its discretion, shall have the right to alter the delivery schedule and quantities based on the implementation plan. This will be communicated formally to the Bidder during the implementation, if need arises.</w:t>
      </w:r>
    </w:p>
    <w:p w14:paraId="64A54F51" w14:textId="4E225F46" w:rsidR="00997E33" w:rsidRPr="00A54361" w:rsidRDefault="00997E33" w:rsidP="00A54361">
      <w:pPr>
        <w:spacing w:before="120" w:after="120"/>
        <w:jc w:val="both"/>
      </w:pPr>
      <w:r w:rsidRPr="00A54361">
        <w:t>Bank can also prioritize the implementation of the offered solutions part of the RFP</w:t>
      </w:r>
      <w:r w:rsidR="005357A8" w:rsidRPr="00A54361">
        <w:t xml:space="preserve"> and the priority of the same will be informed to the successful bidder during the implementation. In such case, project timelines will start from the date of intimation by the Bank.</w:t>
      </w:r>
    </w:p>
    <w:p w14:paraId="4EEE1DBE" w14:textId="56115B02" w:rsidR="00CD0D8B" w:rsidRPr="00A54361" w:rsidRDefault="00174F34" w:rsidP="00A54361">
      <w:pPr>
        <w:pStyle w:val="Heading1"/>
        <w:numPr>
          <w:ilvl w:val="0"/>
          <w:numId w:val="48"/>
        </w:numPr>
        <w:jc w:val="both"/>
        <w:rPr>
          <w:rFonts w:asciiTheme="minorHAnsi" w:hAnsiTheme="minorHAnsi" w:cstheme="minorHAnsi"/>
          <w:color w:val="auto"/>
        </w:rPr>
      </w:pPr>
      <w:bookmarkStart w:id="31" w:name="_Toc182233348"/>
      <w:r w:rsidRPr="00A54361">
        <w:rPr>
          <w:rFonts w:asciiTheme="minorHAnsi" w:hAnsiTheme="minorHAnsi" w:cstheme="minorHAnsi"/>
          <w:color w:val="auto"/>
        </w:rPr>
        <w:t>Staggered</w:t>
      </w:r>
      <w:r w:rsidR="00CD0D8B" w:rsidRPr="00A54361">
        <w:rPr>
          <w:rFonts w:asciiTheme="minorHAnsi" w:hAnsiTheme="minorHAnsi" w:cstheme="minorHAnsi"/>
          <w:color w:val="auto"/>
        </w:rPr>
        <w:t xml:space="preserve"> delivery of the </w:t>
      </w:r>
      <w:r w:rsidRPr="00A54361">
        <w:rPr>
          <w:rFonts w:asciiTheme="minorHAnsi" w:hAnsiTheme="minorHAnsi" w:cstheme="minorHAnsi"/>
          <w:color w:val="auto"/>
        </w:rPr>
        <w:t>equipment’s</w:t>
      </w:r>
      <w:r w:rsidR="00CD0D8B" w:rsidRPr="00A54361">
        <w:rPr>
          <w:rFonts w:asciiTheme="minorHAnsi" w:hAnsiTheme="minorHAnsi" w:cstheme="minorHAnsi"/>
          <w:color w:val="auto"/>
        </w:rPr>
        <w:t>.</w:t>
      </w:r>
      <w:bookmarkEnd w:id="31"/>
    </w:p>
    <w:p w14:paraId="77F37ED3" w14:textId="2A8F3B9A" w:rsidR="00174F34" w:rsidRPr="00A54361" w:rsidRDefault="00174F34" w:rsidP="00A54361">
      <w:pPr>
        <w:autoSpaceDE w:val="0"/>
        <w:autoSpaceDN w:val="0"/>
        <w:adjustRightInd w:val="0"/>
        <w:spacing w:after="0" w:line="240" w:lineRule="auto"/>
        <w:jc w:val="both"/>
        <w:rPr>
          <w:rFonts w:cstheme="minorHAnsi"/>
          <w:sz w:val="23"/>
          <w:szCs w:val="23"/>
          <w:lang w:val="en-US"/>
        </w:rPr>
      </w:pPr>
      <w:r w:rsidRPr="00A54361">
        <w:rPr>
          <w:rFonts w:cstheme="minorHAnsi"/>
          <w:sz w:val="23"/>
          <w:szCs w:val="23"/>
          <w:lang w:val="en-US"/>
        </w:rPr>
        <w:t xml:space="preserve">Bank may ask for staggered delivery of some of the </w:t>
      </w:r>
      <w:r w:rsidR="004A58D1" w:rsidRPr="00A54361">
        <w:rPr>
          <w:rFonts w:cstheme="minorHAnsi"/>
        </w:rPr>
        <w:t>Cyber Security Solutions</w:t>
      </w:r>
      <w:r w:rsidR="00E86DED" w:rsidRPr="00A54361">
        <w:rPr>
          <w:rFonts w:cstheme="minorHAnsi"/>
        </w:rPr>
        <w:t xml:space="preserve"> and associated hardware</w:t>
      </w:r>
      <w:r w:rsidR="004A58D1" w:rsidRPr="00A54361">
        <w:rPr>
          <w:rFonts w:cstheme="minorHAnsi"/>
          <w:sz w:val="23"/>
          <w:szCs w:val="23"/>
          <w:lang w:val="en-US"/>
        </w:rPr>
        <w:t xml:space="preserve"> </w:t>
      </w:r>
      <w:r w:rsidRPr="00A54361">
        <w:rPr>
          <w:rFonts w:cstheme="minorHAnsi"/>
          <w:sz w:val="23"/>
          <w:szCs w:val="23"/>
          <w:lang w:val="en-US"/>
        </w:rPr>
        <w:t xml:space="preserve">mentioned in the RFP. Details of the same would be shared with the successful Bidder at </w:t>
      </w:r>
      <w:bookmarkStart w:id="32" w:name="_Hlk129962363"/>
      <w:r w:rsidRPr="00A54361">
        <w:rPr>
          <w:rFonts w:cstheme="minorHAnsi"/>
          <w:sz w:val="23"/>
          <w:szCs w:val="23"/>
          <w:lang w:val="en-US"/>
        </w:rPr>
        <w:t xml:space="preserve">a later stage. </w:t>
      </w:r>
      <w:bookmarkEnd w:id="32"/>
    </w:p>
    <w:p w14:paraId="1AF8DAA5" w14:textId="2C829D67" w:rsidR="009C72EF" w:rsidRPr="00A54361" w:rsidRDefault="009C72EF" w:rsidP="00A54361">
      <w:pPr>
        <w:pStyle w:val="Heading1"/>
        <w:numPr>
          <w:ilvl w:val="0"/>
          <w:numId w:val="48"/>
        </w:numPr>
        <w:jc w:val="both"/>
        <w:rPr>
          <w:rFonts w:asciiTheme="minorHAnsi" w:hAnsiTheme="minorHAnsi" w:cstheme="minorHAnsi"/>
          <w:color w:val="auto"/>
        </w:rPr>
      </w:pPr>
      <w:bookmarkStart w:id="33" w:name="_Toc182233349"/>
      <w:r w:rsidRPr="00A54361">
        <w:rPr>
          <w:rFonts w:asciiTheme="minorHAnsi" w:hAnsiTheme="minorHAnsi" w:cstheme="minorHAnsi"/>
          <w:color w:val="auto"/>
        </w:rPr>
        <w:t xml:space="preserve">Repeat </w:t>
      </w:r>
      <w:r w:rsidR="00C2283C" w:rsidRPr="00A54361">
        <w:rPr>
          <w:rFonts w:asciiTheme="minorHAnsi" w:hAnsiTheme="minorHAnsi" w:cstheme="minorHAnsi"/>
          <w:color w:val="auto"/>
        </w:rPr>
        <w:t>O</w:t>
      </w:r>
      <w:r w:rsidRPr="00A54361">
        <w:rPr>
          <w:rFonts w:asciiTheme="minorHAnsi" w:hAnsiTheme="minorHAnsi" w:cstheme="minorHAnsi"/>
          <w:color w:val="auto"/>
        </w:rPr>
        <w:t>rder</w:t>
      </w:r>
      <w:r w:rsidR="002B5B4B" w:rsidRPr="00A54361">
        <w:rPr>
          <w:rFonts w:asciiTheme="minorHAnsi" w:hAnsiTheme="minorHAnsi" w:cstheme="minorHAnsi"/>
          <w:color w:val="auto"/>
        </w:rPr>
        <w:t xml:space="preserve"> (Right to Alter Quantities)</w:t>
      </w:r>
      <w:bookmarkEnd w:id="33"/>
    </w:p>
    <w:p w14:paraId="038E5304" w14:textId="1739CCDB" w:rsidR="00C9382F" w:rsidRPr="00A54361" w:rsidRDefault="009C72EF" w:rsidP="00A54361">
      <w:pPr>
        <w:jc w:val="both"/>
        <w:rPr>
          <w:rFonts w:cstheme="minorHAnsi"/>
          <w:sz w:val="23"/>
          <w:szCs w:val="23"/>
          <w:lang w:val="en-US"/>
        </w:rPr>
      </w:pPr>
      <w:r w:rsidRPr="00A54361">
        <w:rPr>
          <w:rFonts w:cstheme="minorHAnsi"/>
          <w:sz w:val="23"/>
          <w:szCs w:val="23"/>
          <w:lang w:val="en-US"/>
        </w:rPr>
        <w:t xml:space="preserve">Bank may procure additional </w:t>
      </w:r>
      <w:r w:rsidR="00C070AF" w:rsidRPr="00A54361">
        <w:rPr>
          <w:rFonts w:cstheme="minorHAnsi"/>
          <w:sz w:val="23"/>
          <w:szCs w:val="23"/>
          <w:lang w:val="en-US"/>
        </w:rPr>
        <w:t xml:space="preserve">components </w:t>
      </w:r>
      <w:r w:rsidR="009042D0" w:rsidRPr="00A54361">
        <w:rPr>
          <w:rFonts w:cstheme="minorHAnsi"/>
          <w:sz w:val="23"/>
          <w:szCs w:val="23"/>
          <w:lang w:val="en-US"/>
        </w:rPr>
        <w:t>up to</w:t>
      </w:r>
      <w:r w:rsidR="00C070AF" w:rsidRPr="00A54361">
        <w:rPr>
          <w:rFonts w:cstheme="minorHAnsi"/>
          <w:sz w:val="23"/>
          <w:szCs w:val="23"/>
          <w:lang w:val="en-US"/>
        </w:rPr>
        <w:t xml:space="preserve"> 25% of the ordered quantity </w:t>
      </w:r>
      <w:r w:rsidR="00EF623E" w:rsidRPr="00A54361">
        <w:rPr>
          <w:rFonts w:cstheme="minorHAnsi"/>
          <w:sz w:val="23"/>
          <w:szCs w:val="23"/>
          <w:lang w:val="en-US"/>
        </w:rPr>
        <w:t xml:space="preserve">during the contract period </w:t>
      </w:r>
      <w:r w:rsidRPr="00A54361">
        <w:rPr>
          <w:rFonts w:cstheme="minorHAnsi"/>
          <w:sz w:val="23"/>
          <w:szCs w:val="23"/>
          <w:lang w:val="en-US"/>
        </w:rPr>
        <w:t xml:space="preserve">at the same cost mentioned in </w:t>
      </w:r>
      <w:r w:rsidR="00DB1349" w:rsidRPr="00A54361">
        <w:rPr>
          <w:rFonts w:cstheme="minorHAnsi"/>
          <w:sz w:val="23"/>
          <w:szCs w:val="23"/>
          <w:lang w:val="en-US"/>
        </w:rPr>
        <w:t>Annexure</w:t>
      </w:r>
      <w:r w:rsidR="00CE5408" w:rsidRPr="00A54361">
        <w:rPr>
          <w:rFonts w:cstheme="minorHAnsi"/>
          <w:sz w:val="23"/>
          <w:szCs w:val="23"/>
          <w:lang w:val="en-US"/>
        </w:rPr>
        <w:t xml:space="preserve"> </w:t>
      </w:r>
      <w:r w:rsidR="005F3CE5" w:rsidRPr="00A54361">
        <w:rPr>
          <w:rFonts w:cstheme="minorHAnsi"/>
          <w:sz w:val="23"/>
          <w:szCs w:val="23"/>
          <w:lang w:val="en-US"/>
        </w:rPr>
        <w:t>1</w:t>
      </w:r>
      <w:r w:rsidR="00CE5408" w:rsidRPr="00A54361">
        <w:rPr>
          <w:rFonts w:cstheme="minorHAnsi"/>
          <w:sz w:val="23"/>
          <w:szCs w:val="23"/>
          <w:lang w:val="en-US"/>
        </w:rPr>
        <w:t>:</w:t>
      </w:r>
      <w:r w:rsidR="005F3CE5" w:rsidRPr="00A54361">
        <w:rPr>
          <w:rFonts w:cstheme="minorHAnsi"/>
          <w:sz w:val="23"/>
          <w:szCs w:val="23"/>
          <w:lang w:val="en-US"/>
        </w:rPr>
        <w:t xml:space="preserve"> Bill of Material</w:t>
      </w:r>
      <w:r w:rsidR="00C070AF" w:rsidRPr="00A54361">
        <w:rPr>
          <w:rFonts w:cstheme="minorHAnsi"/>
          <w:sz w:val="23"/>
          <w:szCs w:val="23"/>
          <w:lang w:val="en-US"/>
        </w:rPr>
        <w:t>.</w:t>
      </w:r>
    </w:p>
    <w:p w14:paraId="0D1851EF" w14:textId="1D6D3FA5" w:rsidR="00B6670D" w:rsidRPr="00A54361" w:rsidRDefault="00336D99" w:rsidP="00A54361">
      <w:pPr>
        <w:pStyle w:val="Heading1"/>
        <w:numPr>
          <w:ilvl w:val="0"/>
          <w:numId w:val="48"/>
        </w:numPr>
        <w:jc w:val="both"/>
        <w:rPr>
          <w:rFonts w:asciiTheme="minorHAnsi" w:hAnsiTheme="minorHAnsi" w:cstheme="minorHAnsi"/>
          <w:color w:val="auto"/>
        </w:rPr>
      </w:pPr>
      <w:bookmarkStart w:id="34" w:name="_Toc182233350"/>
      <w:r w:rsidRPr="00A54361">
        <w:rPr>
          <w:rFonts w:asciiTheme="minorHAnsi" w:hAnsiTheme="minorHAnsi" w:cstheme="minorHAnsi"/>
          <w:color w:val="auto"/>
        </w:rPr>
        <w:t>Contract Renewal</w:t>
      </w:r>
      <w:bookmarkEnd w:id="34"/>
    </w:p>
    <w:p w14:paraId="48A2F0C0" w14:textId="668B139A" w:rsidR="00336D99" w:rsidRPr="00A54361" w:rsidRDefault="00561387" w:rsidP="00A54361">
      <w:pPr>
        <w:jc w:val="both"/>
        <w:rPr>
          <w:rFonts w:cstheme="minorHAnsi"/>
          <w:sz w:val="24"/>
          <w:szCs w:val="24"/>
        </w:rPr>
      </w:pPr>
      <w:r w:rsidRPr="00A54361">
        <w:rPr>
          <w:rFonts w:cstheme="minorHAnsi"/>
          <w:sz w:val="23"/>
          <w:szCs w:val="23"/>
          <w:lang w:val="en-US"/>
        </w:rPr>
        <w:t>Bank, at its discretion,</w:t>
      </w:r>
      <w:r w:rsidR="00336D99" w:rsidRPr="00A54361">
        <w:rPr>
          <w:rFonts w:cstheme="minorHAnsi"/>
          <w:sz w:val="23"/>
          <w:szCs w:val="23"/>
          <w:lang w:val="en-US"/>
        </w:rPr>
        <w:t xml:space="preserve"> can </w:t>
      </w:r>
      <w:r w:rsidR="000E3B5F" w:rsidRPr="00A54361">
        <w:rPr>
          <w:rFonts w:cstheme="minorHAnsi"/>
          <w:sz w:val="23"/>
          <w:szCs w:val="23"/>
          <w:lang w:val="en-US"/>
        </w:rPr>
        <w:t xml:space="preserve">opt to </w:t>
      </w:r>
      <w:r w:rsidR="006E76D2" w:rsidRPr="00A54361">
        <w:rPr>
          <w:rFonts w:cstheme="minorHAnsi"/>
          <w:sz w:val="23"/>
          <w:szCs w:val="23"/>
          <w:lang w:val="en-US"/>
        </w:rPr>
        <w:t>renew the contract for additional period</w:t>
      </w:r>
      <w:r w:rsidR="00942A83" w:rsidRPr="00A54361">
        <w:rPr>
          <w:rFonts w:cstheme="minorHAnsi"/>
          <w:sz w:val="23"/>
          <w:szCs w:val="23"/>
          <w:lang w:val="en-US"/>
        </w:rPr>
        <w:t xml:space="preserve"> of time</w:t>
      </w:r>
      <w:r w:rsidR="006E76D2" w:rsidRPr="00A54361">
        <w:rPr>
          <w:rFonts w:cstheme="minorHAnsi"/>
          <w:sz w:val="23"/>
          <w:szCs w:val="23"/>
          <w:lang w:val="en-US"/>
        </w:rPr>
        <w:t xml:space="preserve"> </w:t>
      </w:r>
      <w:r w:rsidR="009D1650" w:rsidRPr="00A54361">
        <w:rPr>
          <w:rFonts w:cstheme="minorHAnsi"/>
          <w:sz w:val="23"/>
          <w:szCs w:val="23"/>
          <w:lang w:val="en-US"/>
        </w:rPr>
        <w:t>on</w:t>
      </w:r>
      <w:r w:rsidR="006E76D2" w:rsidRPr="00A54361">
        <w:rPr>
          <w:rFonts w:cstheme="minorHAnsi"/>
          <w:sz w:val="23"/>
          <w:szCs w:val="23"/>
          <w:lang w:val="en-US"/>
        </w:rPr>
        <w:t xml:space="preserve"> mutually agreed terms</w:t>
      </w:r>
      <w:r w:rsidR="00942A83" w:rsidRPr="00A54361">
        <w:rPr>
          <w:rFonts w:cstheme="minorHAnsi"/>
          <w:sz w:val="23"/>
          <w:szCs w:val="23"/>
          <w:lang w:val="en-US"/>
        </w:rPr>
        <w:t xml:space="preserve"> with the Bidder.</w:t>
      </w:r>
    </w:p>
    <w:p w14:paraId="199C0687" w14:textId="06136193" w:rsidR="008338B7" w:rsidRPr="00A54361" w:rsidRDefault="008338B7" w:rsidP="00A54361">
      <w:pPr>
        <w:pStyle w:val="Heading1"/>
        <w:numPr>
          <w:ilvl w:val="0"/>
          <w:numId w:val="48"/>
        </w:numPr>
        <w:jc w:val="both"/>
        <w:rPr>
          <w:rFonts w:asciiTheme="minorHAnsi" w:hAnsiTheme="minorHAnsi" w:cstheme="minorHAnsi"/>
          <w:color w:val="auto"/>
        </w:rPr>
      </w:pPr>
      <w:bookmarkStart w:id="35" w:name="_Toc182233351"/>
      <w:r w:rsidRPr="00A54361">
        <w:rPr>
          <w:rFonts w:asciiTheme="minorHAnsi" w:hAnsiTheme="minorHAnsi" w:cstheme="minorHAnsi"/>
          <w:color w:val="auto"/>
        </w:rPr>
        <w:lastRenderedPageBreak/>
        <w:t>SLA compliance</w:t>
      </w:r>
      <w:bookmarkEnd w:id="35"/>
    </w:p>
    <w:p w14:paraId="11B31F12" w14:textId="4F0A02C5" w:rsidR="008338B7" w:rsidRPr="00A54361" w:rsidRDefault="008338B7" w:rsidP="00A54361">
      <w:pPr>
        <w:pStyle w:val="BodyText"/>
        <w:tabs>
          <w:tab w:val="left" w:pos="519"/>
        </w:tabs>
        <w:spacing w:after="100" w:afterAutospacing="1"/>
        <w:ind w:right="172"/>
        <w:rPr>
          <w:rFonts w:asciiTheme="minorHAnsi" w:hAnsiTheme="minorHAnsi" w:cstheme="minorHAnsi"/>
          <w:b/>
          <w:bCs/>
          <w:smallCaps/>
          <w:spacing w:val="-1"/>
          <w:sz w:val="24"/>
          <w:szCs w:val="24"/>
        </w:rPr>
      </w:pPr>
      <w:r w:rsidRPr="00A54361">
        <w:rPr>
          <w:rFonts w:asciiTheme="minorHAnsi" w:hAnsiTheme="minorHAnsi" w:cstheme="minorHAnsi"/>
          <w:spacing w:val="-1"/>
          <w:sz w:val="24"/>
          <w:szCs w:val="24"/>
        </w:rPr>
        <w:t xml:space="preserve">Bidder </w:t>
      </w:r>
      <w:r w:rsidR="008021E8" w:rsidRPr="00A54361">
        <w:rPr>
          <w:rFonts w:asciiTheme="minorHAnsi" w:hAnsiTheme="minorHAnsi" w:cstheme="minorHAnsi"/>
          <w:spacing w:val="-1"/>
          <w:sz w:val="24"/>
          <w:szCs w:val="24"/>
        </w:rPr>
        <w:t xml:space="preserve">should </w:t>
      </w:r>
      <w:r w:rsidRPr="00A54361">
        <w:rPr>
          <w:rFonts w:asciiTheme="minorHAnsi" w:hAnsiTheme="minorHAnsi" w:cstheme="minorHAnsi"/>
          <w:spacing w:val="-1"/>
          <w:sz w:val="24"/>
          <w:szCs w:val="24"/>
        </w:rPr>
        <w:t>ensure compliance with SLAs as defined in the RFP.</w:t>
      </w:r>
    </w:p>
    <w:p w14:paraId="679AF33F" w14:textId="77777777" w:rsidR="00561387" w:rsidRPr="00A54361" w:rsidRDefault="00561387" w:rsidP="00A54361">
      <w:pPr>
        <w:pStyle w:val="ListParagraph"/>
        <w:keepNext/>
        <w:keepLines/>
        <w:numPr>
          <w:ilvl w:val="0"/>
          <w:numId w:val="52"/>
        </w:numPr>
        <w:spacing w:before="240" w:after="0"/>
        <w:contextualSpacing w:val="0"/>
        <w:jc w:val="both"/>
        <w:outlineLvl w:val="0"/>
        <w:rPr>
          <w:rFonts w:asciiTheme="majorHAnsi" w:eastAsiaTheme="majorEastAsia" w:hAnsiTheme="majorHAnsi" w:cstheme="majorBidi"/>
          <w:b/>
          <w:bCs/>
          <w:vanish/>
          <w:sz w:val="32"/>
          <w:szCs w:val="32"/>
        </w:rPr>
      </w:pPr>
      <w:bookmarkStart w:id="36" w:name="_Toc131761551"/>
      <w:bookmarkStart w:id="37" w:name="_Toc131761636"/>
      <w:bookmarkStart w:id="38" w:name="_Toc131761876"/>
      <w:bookmarkStart w:id="39" w:name="_Toc131761982"/>
      <w:bookmarkStart w:id="40" w:name="_Toc131763287"/>
      <w:bookmarkStart w:id="41" w:name="_Toc132864311"/>
      <w:bookmarkStart w:id="42" w:name="_Toc132883008"/>
      <w:bookmarkStart w:id="43" w:name="_Toc132883101"/>
      <w:bookmarkStart w:id="44" w:name="_Toc132910640"/>
      <w:bookmarkStart w:id="45" w:name="_Toc132910726"/>
      <w:bookmarkStart w:id="46" w:name="_Toc132911529"/>
      <w:bookmarkStart w:id="47" w:name="_Toc132911713"/>
      <w:bookmarkStart w:id="48" w:name="_Toc133575570"/>
      <w:bookmarkStart w:id="49" w:name="_Toc134801178"/>
      <w:bookmarkStart w:id="50" w:name="_Toc168487446"/>
      <w:bookmarkStart w:id="51" w:name="_Toc170916019"/>
      <w:bookmarkStart w:id="52" w:name="_Toc172202472"/>
      <w:bookmarkStart w:id="53" w:name="_Toc172202581"/>
      <w:bookmarkStart w:id="54" w:name="_Toc172888727"/>
      <w:bookmarkStart w:id="55" w:name="_Toc173244849"/>
      <w:bookmarkStart w:id="56" w:name="_Toc173244947"/>
      <w:bookmarkStart w:id="57" w:name="_Toc173255920"/>
      <w:bookmarkStart w:id="58" w:name="_Toc173261310"/>
      <w:bookmarkStart w:id="59" w:name="_Toc173261410"/>
      <w:bookmarkStart w:id="60" w:name="_Toc173261511"/>
      <w:bookmarkStart w:id="61" w:name="_Toc173349286"/>
      <w:bookmarkStart w:id="62" w:name="_Toc173349389"/>
      <w:bookmarkStart w:id="63" w:name="_Toc173401803"/>
      <w:bookmarkStart w:id="64" w:name="_Toc173401907"/>
      <w:bookmarkStart w:id="65" w:name="_Toc173421236"/>
      <w:bookmarkStart w:id="66" w:name="_Toc177401320"/>
      <w:bookmarkStart w:id="67" w:name="_Toc177401423"/>
      <w:bookmarkStart w:id="68" w:name="_Toc181978434"/>
      <w:bookmarkStart w:id="69" w:name="_Toc182233352"/>
      <w:bookmarkStart w:id="70" w:name="_Toc516481199"/>
      <w:bookmarkStart w:id="71" w:name="_Toc129668486"/>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51E4DDD6" w14:textId="77777777" w:rsidR="00561387" w:rsidRPr="00A54361" w:rsidRDefault="00561387" w:rsidP="00A54361">
      <w:pPr>
        <w:pStyle w:val="ListParagraph"/>
        <w:keepNext/>
        <w:keepLines/>
        <w:numPr>
          <w:ilvl w:val="0"/>
          <w:numId w:val="52"/>
        </w:numPr>
        <w:spacing w:before="240" w:after="0"/>
        <w:contextualSpacing w:val="0"/>
        <w:jc w:val="both"/>
        <w:outlineLvl w:val="0"/>
        <w:rPr>
          <w:rFonts w:asciiTheme="majorHAnsi" w:eastAsiaTheme="majorEastAsia" w:hAnsiTheme="majorHAnsi" w:cstheme="majorBidi"/>
          <w:b/>
          <w:bCs/>
          <w:vanish/>
          <w:sz w:val="32"/>
          <w:szCs w:val="32"/>
        </w:rPr>
      </w:pPr>
      <w:bookmarkStart w:id="72" w:name="_Toc173261311"/>
      <w:bookmarkStart w:id="73" w:name="_Toc173261411"/>
      <w:bookmarkStart w:id="74" w:name="_Toc173261512"/>
      <w:bookmarkStart w:id="75" w:name="_Toc173349287"/>
      <w:bookmarkStart w:id="76" w:name="_Toc173349390"/>
      <w:bookmarkStart w:id="77" w:name="_Toc173401804"/>
      <w:bookmarkStart w:id="78" w:name="_Toc173401908"/>
      <w:bookmarkStart w:id="79" w:name="_Toc173421237"/>
      <w:bookmarkStart w:id="80" w:name="_Toc177401321"/>
      <w:bookmarkStart w:id="81" w:name="_Toc177401424"/>
      <w:bookmarkStart w:id="82" w:name="_Toc181978435"/>
      <w:bookmarkStart w:id="83" w:name="_Toc182233353"/>
      <w:bookmarkEnd w:id="72"/>
      <w:bookmarkEnd w:id="73"/>
      <w:bookmarkEnd w:id="74"/>
      <w:bookmarkEnd w:id="75"/>
      <w:bookmarkEnd w:id="76"/>
      <w:bookmarkEnd w:id="77"/>
      <w:bookmarkEnd w:id="78"/>
      <w:bookmarkEnd w:id="79"/>
      <w:bookmarkEnd w:id="80"/>
      <w:bookmarkEnd w:id="81"/>
      <w:bookmarkEnd w:id="82"/>
      <w:bookmarkEnd w:id="83"/>
    </w:p>
    <w:p w14:paraId="4F056936" w14:textId="77777777" w:rsidR="00561387" w:rsidRPr="00A54361" w:rsidRDefault="00561387" w:rsidP="00A54361">
      <w:pPr>
        <w:pStyle w:val="ListParagraph"/>
        <w:keepNext/>
        <w:keepLines/>
        <w:numPr>
          <w:ilvl w:val="0"/>
          <w:numId w:val="52"/>
        </w:numPr>
        <w:spacing w:before="240" w:after="0"/>
        <w:contextualSpacing w:val="0"/>
        <w:jc w:val="both"/>
        <w:outlineLvl w:val="0"/>
        <w:rPr>
          <w:rFonts w:asciiTheme="majorHAnsi" w:eastAsiaTheme="majorEastAsia" w:hAnsiTheme="majorHAnsi" w:cstheme="majorBidi"/>
          <w:b/>
          <w:bCs/>
          <w:vanish/>
          <w:sz w:val="32"/>
          <w:szCs w:val="32"/>
        </w:rPr>
      </w:pPr>
      <w:bookmarkStart w:id="84" w:name="_Toc173261312"/>
      <w:bookmarkStart w:id="85" w:name="_Toc173261412"/>
      <w:bookmarkStart w:id="86" w:name="_Toc173261513"/>
      <w:bookmarkStart w:id="87" w:name="_Toc173349288"/>
      <w:bookmarkStart w:id="88" w:name="_Toc173349391"/>
      <w:bookmarkStart w:id="89" w:name="_Toc173401805"/>
      <w:bookmarkStart w:id="90" w:name="_Toc173401909"/>
      <w:bookmarkStart w:id="91" w:name="_Toc173421238"/>
      <w:bookmarkStart w:id="92" w:name="_Toc177401322"/>
      <w:bookmarkStart w:id="93" w:name="_Toc177401425"/>
      <w:bookmarkStart w:id="94" w:name="_Toc181978436"/>
      <w:bookmarkStart w:id="95" w:name="_Toc182233354"/>
      <w:bookmarkEnd w:id="84"/>
      <w:bookmarkEnd w:id="85"/>
      <w:bookmarkEnd w:id="86"/>
      <w:bookmarkEnd w:id="87"/>
      <w:bookmarkEnd w:id="88"/>
      <w:bookmarkEnd w:id="89"/>
      <w:bookmarkEnd w:id="90"/>
      <w:bookmarkEnd w:id="91"/>
      <w:bookmarkEnd w:id="92"/>
      <w:bookmarkEnd w:id="93"/>
      <w:bookmarkEnd w:id="94"/>
      <w:bookmarkEnd w:id="95"/>
    </w:p>
    <w:p w14:paraId="6DCB9D9B" w14:textId="77777777" w:rsidR="00561387" w:rsidRPr="00A54361" w:rsidRDefault="00561387" w:rsidP="00A54361">
      <w:pPr>
        <w:pStyle w:val="ListParagraph"/>
        <w:keepNext/>
        <w:keepLines/>
        <w:numPr>
          <w:ilvl w:val="0"/>
          <w:numId w:val="52"/>
        </w:numPr>
        <w:spacing w:before="240" w:after="0"/>
        <w:contextualSpacing w:val="0"/>
        <w:jc w:val="both"/>
        <w:outlineLvl w:val="0"/>
        <w:rPr>
          <w:rFonts w:asciiTheme="majorHAnsi" w:eastAsiaTheme="majorEastAsia" w:hAnsiTheme="majorHAnsi" w:cstheme="majorBidi"/>
          <w:b/>
          <w:bCs/>
          <w:vanish/>
          <w:sz w:val="32"/>
          <w:szCs w:val="32"/>
        </w:rPr>
      </w:pPr>
      <w:bookmarkStart w:id="96" w:name="_Toc173261313"/>
      <w:bookmarkStart w:id="97" w:name="_Toc173261413"/>
      <w:bookmarkStart w:id="98" w:name="_Toc173261514"/>
      <w:bookmarkStart w:id="99" w:name="_Toc173349289"/>
      <w:bookmarkStart w:id="100" w:name="_Toc173349392"/>
      <w:bookmarkStart w:id="101" w:name="_Toc173401806"/>
      <w:bookmarkStart w:id="102" w:name="_Toc173401910"/>
      <w:bookmarkStart w:id="103" w:name="_Toc173421239"/>
      <w:bookmarkStart w:id="104" w:name="_Toc177401323"/>
      <w:bookmarkStart w:id="105" w:name="_Toc177401426"/>
      <w:bookmarkStart w:id="106" w:name="_Toc181978437"/>
      <w:bookmarkStart w:id="107" w:name="_Toc182233355"/>
      <w:bookmarkEnd w:id="96"/>
      <w:bookmarkEnd w:id="97"/>
      <w:bookmarkEnd w:id="98"/>
      <w:bookmarkEnd w:id="99"/>
      <w:bookmarkEnd w:id="100"/>
      <w:bookmarkEnd w:id="101"/>
      <w:bookmarkEnd w:id="102"/>
      <w:bookmarkEnd w:id="103"/>
      <w:bookmarkEnd w:id="104"/>
      <w:bookmarkEnd w:id="105"/>
      <w:bookmarkEnd w:id="106"/>
      <w:bookmarkEnd w:id="107"/>
    </w:p>
    <w:p w14:paraId="7FCCEB71" w14:textId="77777777" w:rsidR="00561387" w:rsidRPr="00A54361" w:rsidRDefault="00561387" w:rsidP="00A54361">
      <w:pPr>
        <w:pStyle w:val="ListParagraph"/>
        <w:keepNext/>
        <w:keepLines/>
        <w:numPr>
          <w:ilvl w:val="0"/>
          <w:numId w:val="52"/>
        </w:numPr>
        <w:spacing w:before="240" w:after="0"/>
        <w:contextualSpacing w:val="0"/>
        <w:jc w:val="both"/>
        <w:outlineLvl w:val="0"/>
        <w:rPr>
          <w:rFonts w:asciiTheme="majorHAnsi" w:eastAsiaTheme="majorEastAsia" w:hAnsiTheme="majorHAnsi" w:cstheme="majorBidi"/>
          <w:b/>
          <w:bCs/>
          <w:vanish/>
          <w:sz w:val="32"/>
          <w:szCs w:val="32"/>
        </w:rPr>
      </w:pPr>
      <w:bookmarkStart w:id="108" w:name="_Toc173261314"/>
      <w:bookmarkStart w:id="109" w:name="_Toc173261414"/>
      <w:bookmarkStart w:id="110" w:name="_Toc173261515"/>
      <w:bookmarkStart w:id="111" w:name="_Toc173349290"/>
      <w:bookmarkStart w:id="112" w:name="_Toc173349393"/>
      <w:bookmarkStart w:id="113" w:name="_Toc173401807"/>
      <w:bookmarkStart w:id="114" w:name="_Toc173401911"/>
      <w:bookmarkStart w:id="115" w:name="_Toc173421240"/>
      <w:bookmarkStart w:id="116" w:name="_Toc177401324"/>
      <w:bookmarkStart w:id="117" w:name="_Toc177401427"/>
      <w:bookmarkStart w:id="118" w:name="_Toc181978438"/>
      <w:bookmarkStart w:id="119" w:name="_Toc182233356"/>
      <w:bookmarkEnd w:id="108"/>
      <w:bookmarkEnd w:id="109"/>
      <w:bookmarkEnd w:id="110"/>
      <w:bookmarkEnd w:id="111"/>
      <w:bookmarkEnd w:id="112"/>
      <w:bookmarkEnd w:id="113"/>
      <w:bookmarkEnd w:id="114"/>
      <w:bookmarkEnd w:id="115"/>
      <w:bookmarkEnd w:id="116"/>
      <w:bookmarkEnd w:id="117"/>
      <w:bookmarkEnd w:id="118"/>
      <w:bookmarkEnd w:id="119"/>
    </w:p>
    <w:p w14:paraId="5AEE1B4A" w14:textId="77777777" w:rsidR="00561387" w:rsidRPr="00A54361" w:rsidRDefault="00561387" w:rsidP="00A54361">
      <w:pPr>
        <w:pStyle w:val="ListParagraph"/>
        <w:keepNext/>
        <w:keepLines/>
        <w:numPr>
          <w:ilvl w:val="0"/>
          <w:numId w:val="52"/>
        </w:numPr>
        <w:spacing w:before="240" w:after="0"/>
        <w:contextualSpacing w:val="0"/>
        <w:jc w:val="both"/>
        <w:outlineLvl w:val="0"/>
        <w:rPr>
          <w:rFonts w:asciiTheme="majorHAnsi" w:eastAsiaTheme="majorEastAsia" w:hAnsiTheme="majorHAnsi" w:cstheme="majorBidi"/>
          <w:b/>
          <w:bCs/>
          <w:vanish/>
          <w:sz w:val="32"/>
          <w:szCs w:val="32"/>
        </w:rPr>
      </w:pPr>
      <w:bookmarkStart w:id="120" w:name="_Toc173261315"/>
      <w:bookmarkStart w:id="121" w:name="_Toc173261415"/>
      <w:bookmarkStart w:id="122" w:name="_Toc173261516"/>
      <w:bookmarkStart w:id="123" w:name="_Toc173349291"/>
      <w:bookmarkStart w:id="124" w:name="_Toc173349394"/>
      <w:bookmarkStart w:id="125" w:name="_Toc173401808"/>
      <w:bookmarkStart w:id="126" w:name="_Toc173401912"/>
      <w:bookmarkStart w:id="127" w:name="_Toc173421241"/>
      <w:bookmarkStart w:id="128" w:name="_Toc177401325"/>
      <w:bookmarkStart w:id="129" w:name="_Toc177401428"/>
      <w:bookmarkStart w:id="130" w:name="_Toc181978439"/>
      <w:bookmarkStart w:id="131" w:name="_Toc182233357"/>
      <w:bookmarkEnd w:id="120"/>
      <w:bookmarkEnd w:id="121"/>
      <w:bookmarkEnd w:id="122"/>
      <w:bookmarkEnd w:id="123"/>
      <w:bookmarkEnd w:id="124"/>
      <w:bookmarkEnd w:id="125"/>
      <w:bookmarkEnd w:id="126"/>
      <w:bookmarkEnd w:id="127"/>
      <w:bookmarkEnd w:id="128"/>
      <w:bookmarkEnd w:id="129"/>
      <w:bookmarkEnd w:id="130"/>
      <w:bookmarkEnd w:id="131"/>
    </w:p>
    <w:p w14:paraId="57484C41" w14:textId="77777777" w:rsidR="00561387" w:rsidRPr="00A54361" w:rsidRDefault="00561387" w:rsidP="00A54361">
      <w:pPr>
        <w:pStyle w:val="ListParagraph"/>
        <w:keepNext/>
        <w:keepLines/>
        <w:numPr>
          <w:ilvl w:val="0"/>
          <w:numId w:val="52"/>
        </w:numPr>
        <w:spacing w:before="240" w:after="0"/>
        <w:contextualSpacing w:val="0"/>
        <w:jc w:val="both"/>
        <w:outlineLvl w:val="0"/>
        <w:rPr>
          <w:rFonts w:asciiTheme="majorHAnsi" w:eastAsiaTheme="majorEastAsia" w:hAnsiTheme="majorHAnsi" w:cstheme="majorBidi"/>
          <w:b/>
          <w:bCs/>
          <w:vanish/>
          <w:sz w:val="32"/>
          <w:szCs w:val="32"/>
        </w:rPr>
      </w:pPr>
      <w:bookmarkStart w:id="132" w:name="_Toc173261316"/>
      <w:bookmarkStart w:id="133" w:name="_Toc173261416"/>
      <w:bookmarkStart w:id="134" w:name="_Toc173261517"/>
      <w:bookmarkStart w:id="135" w:name="_Toc173349292"/>
      <w:bookmarkStart w:id="136" w:name="_Toc173349395"/>
      <w:bookmarkStart w:id="137" w:name="_Toc173401809"/>
      <w:bookmarkStart w:id="138" w:name="_Toc173401913"/>
      <w:bookmarkStart w:id="139" w:name="_Toc173421242"/>
      <w:bookmarkStart w:id="140" w:name="_Toc177401326"/>
      <w:bookmarkStart w:id="141" w:name="_Toc177401429"/>
      <w:bookmarkStart w:id="142" w:name="_Toc181978440"/>
      <w:bookmarkStart w:id="143" w:name="_Toc182233358"/>
      <w:bookmarkEnd w:id="132"/>
      <w:bookmarkEnd w:id="133"/>
      <w:bookmarkEnd w:id="134"/>
      <w:bookmarkEnd w:id="135"/>
      <w:bookmarkEnd w:id="136"/>
      <w:bookmarkEnd w:id="137"/>
      <w:bookmarkEnd w:id="138"/>
      <w:bookmarkEnd w:id="139"/>
      <w:bookmarkEnd w:id="140"/>
      <w:bookmarkEnd w:id="141"/>
      <w:bookmarkEnd w:id="142"/>
      <w:bookmarkEnd w:id="143"/>
    </w:p>
    <w:p w14:paraId="631144D7" w14:textId="77777777" w:rsidR="00E85EC1" w:rsidRPr="00A54361" w:rsidRDefault="00E85EC1" w:rsidP="00A54361">
      <w:pPr>
        <w:pStyle w:val="ListParagraph"/>
        <w:widowControl w:val="0"/>
        <w:numPr>
          <w:ilvl w:val="0"/>
          <w:numId w:val="49"/>
        </w:numPr>
        <w:autoSpaceDE w:val="0"/>
        <w:autoSpaceDN w:val="0"/>
        <w:spacing w:after="0" w:line="240" w:lineRule="auto"/>
        <w:contextualSpacing w:val="0"/>
        <w:jc w:val="both"/>
        <w:rPr>
          <w:rStyle w:val="Strong"/>
          <w:rFonts w:eastAsia="Times New Roman" w:cstheme="minorHAnsi"/>
          <w:b w:val="0"/>
          <w:bCs w:val="0"/>
          <w:vanish/>
          <w:lang w:val="en-US"/>
        </w:rPr>
      </w:pPr>
    </w:p>
    <w:p w14:paraId="6EAD8886" w14:textId="77777777" w:rsidR="00E85EC1" w:rsidRPr="00A54361" w:rsidRDefault="00E85EC1" w:rsidP="00A54361">
      <w:pPr>
        <w:pStyle w:val="ListParagraph"/>
        <w:widowControl w:val="0"/>
        <w:numPr>
          <w:ilvl w:val="0"/>
          <w:numId w:val="49"/>
        </w:numPr>
        <w:autoSpaceDE w:val="0"/>
        <w:autoSpaceDN w:val="0"/>
        <w:spacing w:after="0" w:line="240" w:lineRule="auto"/>
        <w:contextualSpacing w:val="0"/>
        <w:jc w:val="both"/>
        <w:rPr>
          <w:rStyle w:val="Strong"/>
          <w:rFonts w:eastAsia="Times New Roman" w:cstheme="minorHAnsi"/>
          <w:b w:val="0"/>
          <w:bCs w:val="0"/>
          <w:vanish/>
          <w:lang w:val="en-US"/>
        </w:rPr>
      </w:pPr>
    </w:p>
    <w:p w14:paraId="5885766F" w14:textId="77777777" w:rsidR="00E85EC1" w:rsidRPr="00A54361" w:rsidRDefault="00E85EC1" w:rsidP="00A54361">
      <w:pPr>
        <w:pStyle w:val="ListParagraph"/>
        <w:widowControl w:val="0"/>
        <w:numPr>
          <w:ilvl w:val="0"/>
          <w:numId w:val="49"/>
        </w:numPr>
        <w:autoSpaceDE w:val="0"/>
        <w:autoSpaceDN w:val="0"/>
        <w:spacing w:after="0" w:line="240" w:lineRule="auto"/>
        <w:contextualSpacing w:val="0"/>
        <w:jc w:val="both"/>
        <w:rPr>
          <w:rStyle w:val="Strong"/>
          <w:rFonts w:eastAsia="Times New Roman" w:cstheme="minorHAnsi"/>
          <w:b w:val="0"/>
          <w:bCs w:val="0"/>
          <w:vanish/>
          <w:lang w:val="en-US"/>
        </w:rPr>
      </w:pPr>
    </w:p>
    <w:p w14:paraId="6A3DD63A" w14:textId="77777777" w:rsidR="00E85EC1" w:rsidRPr="00A54361" w:rsidRDefault="00E85EC1" w:rsidP="00A54361">
      <w:pPr>
        <w:pStyle w:val="ListParagraph"/>
        <w:widowControl w:val="0"/>
        <w:numPr>
          <w:ilvl w:val="0"/>
          <w:numId w:val="49"/>
        </w:numPr>
        <w:autoSpaceDE w:val="0"/>
        <w:autoSpaceDN w:val="0"/>
        <w:spacing w:after="0" w:line="240" w:lineRule="auto"/>
        <w:contextualSpacing w:val="0"/>
        <w:jc w:val="both"/>
        <w:rPr>
          <w:rStyle w:val="Strong"/>
          <w:rFonts w:eastAsia="Times New Roman" w:cstheme="minorHAnsi"/>
          <w:b w:val="0"/>
          <w:bCs w:val="0"/>
          <w:vanish/>
          <w:lang w:val="en-US"/>
        </w:rPr>
      </w:pPr>
    </w:p>
    <w:p w14:paraId="62BEA526" w14:textId="77777777" w:rsidR="00E85EC1" w:rsidRPr="00A54361" w:rsidRDefault="00E85EC1" w:rsidP="00A54361">
      <w:pPr>
        <w:pStyle w:val="ListParagraph"/>
        <w:widowControl w:val="0"/>
        <w:numPr>
          <w:ilvl w:val="0"/>
          <w:numId w:val="49"/>
        </w:numPr>
        <w:autoSpaceDE w:val="0"/>
        <w:autoSpaceDN w:val="0"/>
        <w:spacing w:after="0" w:line="240" w:lineRule="auto"/>
        <w:contextualSpacing w:val="0"/>
        <w:jc w:val="both"/>
        <w:rPr>
          <w:rStyle w:val="Strong"/>
          <w:rFonts w:eastAsia="Times New Roman" w:cstheme="minorHAnsi"/>
          <w:b w:val="0"/>
          <w:bCs w:val="0"/>
          <w:vanish/>
          <w:lang w:val="en-US"/>
        </w:rPr>
      </w:pPr>
    </w:p>
    <w:p w14:paraId="14973105" w14:textId="77777777" w:rsidR="00E85EC1" w:rsidRPr="00A54361" w:rsidRDefault="00E85EC1" w:rsidP="00A54361">
      <w:pPr>
        <w:pStyle w:val="ListParagraph"/>
        <w:widowControl w:val="0"/>
        <w:numPr>
          <w:ilvl w:val="0"/>
          <w:numId w:val="49"/>
        </w:numPr>
        <w:autoSpaceDE w:val="0"/>
        <w:autoSpaceDN w:val="0"/>
        <w:spacing w:after="0" w:line="240" w:lineRule="auto"/>
        <w:contextualSpacing w:val="0"/>
        <w:jc w:val="both"/>
        <w:rPr>
          <w:rStyle w:val="Strong"/>
          <w:rFonts w:eastAsia="Times New Roman" w:cstheme="minorHAnsi"/>
          <w:b w:val="0"/>
          <w:bCs w:val="0"/>
          <w:vanish/>
          <w:lang w:val="en-US"/>
        </w:rPr>
      </w:pPr>
    </w:p>
    <w:p w14:paraId="49DD8D2A" w14:textId="77777777" w:rsidR="00E85EC1" w:rsidRPr="00A54361" w:rsidRDefault="00E85EC1" w:rsidP="00A54361">
      <w:pPr>
        <w:pStyle w:val="ListParagraph"/>
        <w:widowControl w:val="0"/>
        <w:numPr>
          <w:ilvl w:val="1"/>
          <w:numId w:val="49"/>
        </w:numPr>
        <w:autoSpaceDE w:val="0"/>
        <w:autoSpaceDN w:val="0"/>
        <w:spacing w:after="0" w:line="240" w:lineRule="auto"/>
        <w:contextualSpacing w:val="0"/>
        <w:jc w:val="both"/>
        <w:rPr>
          <w:rStyle w:val="Strong"/>
          <w:rFonts w:eastAsia="Times New Roman" w:cstheme="minorHAnsi"/>
          <w:b w:val="0"/>
          <w:bCs w:val="0"/>
          <w:vanish/>
          <w:lang w:val="en-US"/>
        </w:rPr>
      </w:pPr>
    </w:p>
    <w:p w14:paraId="1FBBA798" w14:textId="074053DA" w:rsidR="008338B7" w:rsidRPr="00A54361" w:rsidRDefault="008338B7" w:rsidP="00A54361">
      <w:pPr>
        <w:pStyle w:val="TableParagraph"/>
        <w:numPr>
          <w:ilvl w:val="2"/>
          <w:numId w:val="49"/>
        </w:numPr>
        <w:jc w:val="both"/>
        <w:rPr>
          <w:rStyle w:val="Strong"/>
          <w:rFonts w:asciiTheme="minorHAnsi" w:hAnsiTheme="minorHAnsi" w:cstheme="minorHAnsi"/>
        </w:rPr>
      </w:pPr>
      <w:r w:rsidRPr="00A54361">
        <w:rPr>
          <w:rStyle w:val="Strong"/>
          <w:rFonts w:asciiTheme="minorHAnsi" w:hAnsiTheme="minorHAnsi" w:cstheme="minorHAnsi"/>
        </w:rPr>
        <w:t>Service Level Agreements</w:t>
      </w:r>
      <w:bookmarkEnd w:id="70"/>
      <w:bookmarkEnd w:id="71"/>
      <w:r w:rsidR="00C30A55" w:rsidRPr="00A54361">
        <w:rPr>
          <w:rStyle w:val="Strong"/>
          <w:rFonts w:asciiTheme="minorHAnsi" w:hAnsiTheme="minorHAnsi" w:cstheme="minorHAnsi"/>
        </w:rPr>
        <w:t xml:space="preserve"> (SLA)</w:t>
      </w:r>
    </w:p>
    <w:p w14:paraId="4AB65917" w14:textId="6C91608E" w:rsidR="008338B7" w:rsidRPr="00A54361" w:rsidRDefault="008338B7" w:rsidP="00A54361">
      <w:pPr>
        <w:spacing w:after="0"/>
        <w:jc w:val="both"/>
        <w:rPr>
          <w:rFonts w:cstheme="minorHAnsi"/>
          <w:sz w:val="24"/>
          <w:szCs w:val="24"/>
        </w:rPr>
      </w:pPr>
      <w:r w:rsidRPr="00A54361">
        <w:rPr>
          <w:rFonts w:cstheme="minorHAnsi"/>
          <w:sz w:val="24"/>
          <w:szCs w:val="24"/>
        </w:rPr>
        <w:t xml:space="preserve">Bidder </w:t>
      </w:r>
      <w:r w:rsidR="008021E8" w:rsidRPr="00A54361">
        <w:rPr>
          <w:rFonts w:cstheme="minorHAnsi"/>
          <w:sz w:val="24"/>
          <w:szCs w:val="24"/>
        </w:rPr>
        <w:t xml:space="preserve">should </w:t>
      </w:r>
      <w:r w:rsidRPr="00A54361">
        <w:rPr>
          <w:rFonts w:cstheme="minorHAnsi"/>
          <w:sz w:val="24"/>
          <w:szCs w:val="24"/>
        </w:rPr>
        <w:t>monitor and maintain the stated service levels to provide quality customer service to the Bank.</w:t>
      </w:r>
    </w:p>
    <w:p w14:paraId="3ADD73CB" w14:textId="77777777" w:rsidR="004F5941" w:rsidRPr="00A54361" w:rsidRDefault="004F5941" w:rsidP="00A54361">
      <w:pPr>
        <w:spacing w:after="0"/>
        <w:jc w:val="both"/>
        <w:rPr>
          <w:rFonts w:cstheme="minorHAnsi"/>
          <w:sz w:val="24"/>
          <w:szCs w:val="24"/>
        </w:rPr>
      </w:pPr>
    </w:p>
    <w:p w14:paraId="13A558F8" w14:textId="50753835" w:rsidR="00E85EC1" w:rsidRPr="00A54361" w:rsidRDefault="00490714" w:rsidP="00A54361">
      <w:pPr>
        <w:pStyle w:val="TableParagraph"/>
        <w:numPr>
          <w:ilvl w:val="2"/>
          <w:numId w:val="49"/>
        </w:numPr>
        <w:jc w:val="both"/>
        <w:rPr>
          <w:rStyle w:val="Strong"/>
          <w:rFonts w:asciiTheme="minorHAnsi" w:hAnsiTheme="minorHAnsi" w:cstheme="minorHAnsi"/>
        </w:rPr>
      </w:pPr>
      <w:r w:rsidRPr="00A54361">
        <w:rPr>
          <w:rStyle w:val="Strong"/>
          <w:rFonts w:asciiTheme="minorHAnsi" w:hAnsiTheme="minorHAnsi" w:cstheme="minorHAnsi"/>
        </w:rPr>
        <w:t xml:space="preserve">Service </w:t>
      </w:r>
      <w:r w:rsidR="00233208" w:rsidRPr="00A54361">
        <w:rPr>
          <w:rStyle w:val="Strong"/>
          <w:rFonts w:asciiTheme="minorHAnsi" w:hAnsiTheme="minorHAnsi" w:cstheme="minorHAnsi"/>
        </w:rPr>
        <w:t>Level</w:t>
      </w:r>
      <w:r w:rsidR="009E3B2B" w:rsidRPr="00A54361">
        <w:rPr>
          <w:rStyle w:val="Strong"/>
          <w:rFonts w:asciiTheme="minorHAnsi" w:hAnsiTheme="minorHAnsi" w:cstheme="minorHAnsi"/>
        </w:rPr>
        <w:t xml:space="preserve">s </w:t>
      </w:r>
      <w:r w:rsidR="00E85EC1" w:rsidRPr="00A54361">
        <w:rPr>
          <w:rStyle w:val="Strong"/>
          <w:rFonts w:asciiTheme="minorHAnsi" w:hAnsiTheme="minorHAnsi" w:cstheme="minorHAnsi"/>
        </w:rPr>
        <w:t>During Implementation Phase</w:t>
      </w:r>
    </w:p>
    <w:p w14:paraId="468BBBE7" w14:textId="77777777" w:rsidR="00313925" w:rsidRPr="00A54361" w:rsidRDefault="00313925" w:rsidP="00A54361">
      <w:pPr>
        <w:pStyle w:val="TableParagraph"/>
        <w:jc w:val="both"/>
        <w:rPr>
          <w:rStyle w:val="Strong"/>
          <w:rFonts w:asciiTheme="minorHAnsi" w:hAnsiTheme="minorHAnsi" w:cstheme="minorHAnsi"/>
          <w:b w:val="0"/>
          <w:bCs w:val="0"/>
        </w:rPr>
      </w:pPr>
    </w:p>
    <w:p w14:paraId="6E96614D" w14:textId="77777777" w:rsidR="007401C6" w:rsidRPr="00A54361" w:rsidRDefault="007401C6" w:rsidP="00A54361">
      <w:pPr>
        <w:pStyle w:val="TableParagraph"/>
        <w:numPr>
          <w:ilvl w:val="0"/>
          <w:numId w:val="64"/>
        </w:numPr>
        <w:jc w:val="both"/>
        <w:rPr>
          <w:rStyle w:val="Strong"/>
          <w:rFonts w:asciiTheme="minorHAnsi" w:hAnsiTheme="minorHAnsi" w:cstheme="minorHAnsi"/>
          <w:b w:val="0"/>
          <w:bCs w:val="0"/>
        </w:rPr>
      </w:pPr>
      <w:r w:rsidRPr="00A54361">
        <w:rPr>
          <w:rStyle w:val="Strong"/>
          <w:rFonts w:asciiTheme="minorHAnsi" w:hAnsiTheme="minorHAnsi" w:cstheme="minorHAnsi"/>
          <w:b w:val="0"/>
          <w:bCs w:val="0"/>
        </w:rPr>
        <w:t>The Bidder is expected to complete the responsibilities that have been assigned as per the implementation timelines mentioned in Section 1.4 Project timelines.</w:t>
      </w:r>
    </w:p>
    <w:p w14:paraId="173904C6" w14:textId="7B7CD694" w:rsidR="00313925" w:rsidRPr="00A54361" w:rsidRDefault="007401C6" w:rsidP="00A54361">
      <w:pPr>
        <w:pStyle w:val="TableParagraph"/>
        <w:numPr>
          <w:ilvl w:val="0"/>
          <w:numId w:val="64"/>
        </w:numPr>
        <w:jc w:val="both"/>
        <w:rPr>
          <w:rStyle w:val="Strong"/>
          <w:rFonts w:asciiTheme="minorHAnsi" w:hAnsiTheme="minorHAnsi" w:cstheme="minorHAnsi"/>
          <w:b w:val="0"/>
          <w:bCs w:val="0"/>
        </w:rPr>
      </w:pPr>
      <w:r w:rsidRPr="00A54361">
        <w:rPr>
          <w:rStyle w:val="Strong"/>
          <w:rFonts w:asciiTheme="minorHAnsi" w:hAnsiTheme="minorHAnsi" w:cstheme="minorHAnsi"/>
          <w:b w:val="0"/>
          <w:bCs w:val="0"/>
        </w:rPr>
        <w:t xml:space="preserve">One percent of the total </w:t>
      </w:r>
      <w:r w:rsidR="00F024F4" w:rsidRPr="00A54361">
        <w:rPr>
          <w:rStyle w:val="Strong"/>
          <w:rFonts w:asciiTheme="minorHAnsi" w:hAnsiTheme="minorHAnsi" w:cstheme="minorHAnsi"/>
          <w:b w:val="0"/>
          <w:bCs w:val="0"/>
        </w:rPr>
        <w:t>product cost</w:t>
      </w:r>
      <w:r w:rsidRPr="00A54361">
        <w:rPr>
          <w:rStyle w:val="Strong"/>
          <w:rFonts w:asciiTheme="minorHAnsi" w:hAnsiTheme="minorHAnsi" w:cstheme="minorHAnsi"/>
          <w:b w:val="0"/>
          <w:bCs w:val="0"/>
        </w:rPr>
        <w:t xml:space="preserve"> for each solution would be levied as a penalty for every one-week delay as per implementation timelines per product/service.</w:t>
      </w:r>
    </w:p>
    <w:p w14:paraId="15F96FEF" w14:textId="77777777" w:rsidR="00313925" w:rsidRPr="00A54361" w:rsidRDefault="00313925" w:rsidP="00A54361">
      <w:pPr>
        <w:pStyle w:val="TableParagraph"/>
        <w:jc w:val="both"/>
        <w:rPr>
          <w:rStyle w:val="Strong"/>
          <w:rFonts w:asciiTheme="minorHAnsi" w:hAnsiTheme="minorHAnsi" w:cstheme="minorHAnsi"/>
        </w:rPr>
      </w:pPr>
    </w:p>
    <w:p w14:paraId="4FD8300A" w14:textId="5B6D49FD" w:rsidR="008910FB" w:rsidRPr="00A54361" w:rsidRDefault="008910FB" w:rsidP="00A54361">
      <w:pPr>
        <w:spacing w:after="0"/>
        <w:jc w:val="both"/>
        <w:rPr>
          <w:rFonts w:cstheme="minorHAnsi"/>
        </w:rPr>
      </w:pPr>
      <w:r w:rsidRPr="00A54361">
        <w:rPr>
          <w:rFonts w:cstheme="minorHAnsi"/>
        </w:rPr>
        <w:t xml:space="preserve">Penalty would be levied for </w:t>
      </w:r>
      <w:r w:rsidR="00583479" w:rsidRPr="00A54361">
        <w:rPr>
          <w:rFonts w:cstheme="minorHAnsi"/>
        </w:rPr>
        <w:t xml:space="preserve">delayed </w:t>
      </w:r>
      <w:r w:rsidRPr="00A54361">
        <w:rPr>
          <w:rFonts w:cstheme="minorHAnsi"/>
        </w:rPr>
        <w:t>delivery, installation, and implementation delays for each solution and shall be a maximum of 10% of the total cost of that solution from the finalized Bidder for the Bank</w:t>
      </w:r>
      <w:r w:rsidR="006C44EA" w:rsidRPr="00A54361">
        <w:rPr>
          <w:rFonts w:cstheme="minorHAnsi"/>
        </w:rPr>
        <w:t>.</w:t>
      </w:r>
      <w:r w:rsidRPr="00A54361">
        <w:rPr>
          <w:rFonts w:cstheme="minorHAnsi"/>
        </w:rPr>
        <w:t xml:space="preserve"> The Bidder is required to adhere to the Service Level Agreements as mentioned below for the operations phase.</w:t>
      </w:r>
    </w:p>
    <w:p w14:paraId="2E0FD4AF" w14:textId="77777777" w:rsidR="008910FB" w:rsidRPr="00A54361" w:rsidRDefault="008910FB" w:rsidP="00A54361">
      <w:pPr>
        <w:spacing w:after="0"/>
        <w:jc w:val="both"/>
        <w:rPr>
          <w:rFonts w:cstheme="minorHAnsi"/>
        </w:rPr>
      </w:pPr>
      <w:r w:rsidRPr="00A54361">
        <w:rPr>
          <w:rFonts w:cstheme="minorHAnsi"/>
        </w:rPr>
        <w:t>The Bidder is required to adhere to the Service Level Agreements as mentioned below for the operations phase.</w:t>
      </w:r>
    </w:p>
    <w:p w14:paraId="49B07F16" w14:textId="3D6091F4" w:rsidR="00116F62" w:rsidRPr="00A54361" w:rsidRDefault="00116F62" w:rsidP="00A54361">
      <w:pPr>
        <w:spacing w:after="0"/>
        <w:jc w:val="both"/>
        <w:rPr>
          <w:rFonts w:cstheme="minorHAnsi"/>
          <w:sz w:val="24"/>
          <w:szCs w:val="24"/>
        </w:rPr>
      </w:pPr>
    </w:p>
    <w:p w14:paraId="45216B56" w14:textId="77777777" w:rsidR="00F55C10" w:rsidRPr="00A54361" w:rsidRDefault="00B4685D" w:rsidP="00A54361">
      <w:pPr>
        <w:pStyle w:val="TableParagraph"/>
        <w:numPr>
          <w:ilvl w:val="2"/>
          <w:numId w:val="49"/>
        </w:numPr>
        <w:jc w:val="both"/>
        <w:rPr>
          <w:rStyle w:val="Strong"/>
        </w:rPr>
      </w:pPr>
      <w:r w:rsidRPr="00A54361">
        <w:rPr>
          <w:rStyle w:val="Strong"/>
        </w:rPr>
        <w:t xml:space="preserve">RMA (Return Merchandise Authorization): </w:t>
      </w:r>
    </w:p>
    <w:p w14:paraId="34EE79FB" w14:textId="2E1F8AA0" w:rsidR="00B4685D" w:rsidRPr="00A54361" w:rsidRDefault="00B4685D" w:rsidP="00A54361">
      <w:pPr>
        <w:pStyle w:val="TableParagraph"/>
        <w:ind w:left="720"/>
        <w:jc w:val="both"/>
        <w:rPr>
          <w:rStyle w:val="Strong"/>
          <w:b w:val="0"/>
        </w:rPr>
      </w:pPr>
      <w:r w:rsidRPr="00A54361">
        <w:rPr>
          <w:rStyle w:val="Strong"/>
          <w:b w:val="0"/>
        </w:rPr>
        <w:t>For devices at DC/DR: Replacement for faulty equipment’s must be done by bidder and follow up with OEM must be done by bidder only. RMA of Faulty equipment’s should be received within 4 hours from the date of call lodge. In case bidder fails to provide the RMA of faulty/ damage equipment’s penalty of 1% of equipment’s cost weekly or part thereof maximum 10% of total contract value. However maximum cap of penalty will be 10% of total contract value.</w:t>
      </w:r>
    </w:p>
    <w:p w14:paraId="094283D0" w14:textId="77777777" w:rsidR="00B4685D" w:rsidRPr="00A54361" w:rsidRDefault="00B4685D" w:rsidP="00A54361">
      <w:pPr>
        <w:pStyle w:val="TableParagraph"/>
        <w:ind w:left="720"/>
        <w:jc w:val="both"/>
        <w:rPr>
          <w:rStyle w:val="Strong"/>
        </w:rPr>
      </w:pPr>
    </w:p>
    <w:p w14:paraId="7D4705EF" w14:textId="1D20D7D6" w:rsidR="00116F62" w:rsidRPr="00A54361" w:rsidRDefault="00116F62" w:rsidP="00A54361">
      <w:pPr>
        <w:pStyle w:val="TableParagraph"/>
        <w:numPr>
          <w:ilvl w:val="2"/>
          <w:numId w:val="49"/>
        </w:numPr>
        <w:jc w:val="both"/>
        <w:rPr>
          <w:rStyle w:val="Strong"/>
        </w:rPr>
      </w:pPr>
      <w:r w:rsidRPr="00A54361">
        <w:rPr>
          <w:rStyle w:val="Strong"/>
          <w:rFonts w:asciiTheme="minorHAnsi" w:hAnsiTheme="minorHAnsi"/>
        </w:rPr>
        <w:t xml:space="preserve">Service </w:t>
      </w:r>
      <w:r w:rsidR="00FD47AB" w:rsidRPr="00A54361">
        <w:rPr>
          <w:rStyle w:val="Strong"/>
          <w:rFonts w:asciiTheme="minorHAnsi" w:hAnsiTheme="minorHAnsi"/>
        </w:rPr>
        <w:t>Levels post</w:t>
      </w:r>
      <w:r w:rsidR="00755735" w:rsidRPr="00A54361">
        <w:rPr>
          <w:rStyle w:val="Strong"/>
          <w:rFonts w:asciiTheme="minorHAnsi" w:hAnsiTheme="minorHAnsi"/>
        </w:rPr>
        <w:t xml:space="preserve"> acceptance of solutions by the Bank</w:t>
      </w:r>
    </w:p>
    <w:p w14:paraId="0B60E1CD" w14:textId="77777777" w:rsidR="001A0587" w:rsidRPr="00A54361" w:rsidRDefault="001A0587" w:rsidP="00A54361">
      <w:pPr>
        <w:pStyle w:val="TableParagraph"/>
        <w:ind w:left="720"/>
        <w:jc w:val="both"/>
        <w:rPr>
          <w:rStyle w:val="Strong"/>
        </w:rPr>
      </w:pPr>
    </w:p>
    <w:tbl>
      <w:tblPr>
        <w:tblW w:w="0" w:type="auto"/>
        <w:tblInd w:w="200" w:type="dxa"/>
        <w:tblLayout w:type="fixed"/>
        <w:tblCellMar>
          <w:left w:w="0" w:type="dxa"/>
          <w:right w:w="0" w:type="dxa"/>
        </w:tblCellMar>
        <w:tblLook w:val="01E0" w:firstRow="1" w:lastRow="1" w:firstColumn="1" w:lastColumn="1" w:noHBand="0" w:noVBand="0"/>
      </w:tblPr>
      <w:tblGrid>
        <w:gridCol w:w="722"/>
        <w:gridCol w:w="2432"/>
        <w:gridCol w:w="2765"/>
        <w:gridCol w:w="3461"/>
      </w:tblGrid>
      <w:tr w:rsidR="000D3DC1" w:rsidRPr="00A54361" w14:paraId="06EC0C18" w14:textId="77777777" w:rsidTr="000E3B5F">
        <w:trPr>
          <w:trHeight w:hRule="exact" w:val="329"/>
          <w:tblHeader/>
        </w:trPr>
        <w:tc>
          <w:tcPr>
            <w:tcW w:w="722" w:type="dxa"/>
            <w:tcBorders>
              <w:top w:val="single" w:sz="8" w:space="0" w:color="000000"/>
              <w:left w:val="single" w:sz="8" w:space="0" w:color="000000"/>
              <w:bottom w:val="single" w:sz="5" w:space="0" w:color="000000"/>
              <w:right w:val="single" w:sz="8" w:space="0" w:color="000000"/>
            </w:tcBorders>
            <w:shd w:val="clear" w:color="auto" w:fill="D9E2F3" w:themeFill="accent1" w:themeFillTint="33"/>
          </w:tcPr>
          <w:p w14:paraId="145B0570" w14:textId="4E45F194" w:rsidR="00DE0658" w:rsidRPr="00A54361" w:rsidRDefault="00DE0658" w:rsidP="00A54361">
            <w:pPr>
              <w:spacing w:line="240" w:lineRule="exact"/>
              <w:ind w:left="-1"/>
              <w:jc w:val="both"/>
              <w:rPr>
                <w:rFonts w:eastAsia="Arial" w:cstheme="minorHAnsi"/>
                <w:sz w:val="20"/>
                <w:szCs w:val="20"/>
              </w:rPr>
            </w:pPr>
            <w:r w:rsidRPr="00A54361">
              <w:rPr>
                <w:rFonts w:eastAsia="Arial" w:cstheme="minorHAnsi"/>
                <w:b/>
                <w:spacing w:val="-1"/>
                <w:sz w:val="20"/>
                <w:szCs w:val="20"/>
              </w:rPr>
              <w:t>S</w:t>
            </w:r>
            <w:r w:rsidR="000E3B5F" w:rsidRPr="00A54361">
              <w:rPr>
                <w:rFonts w:eastAsia="Arial" w:cstheme="minorHAnsi"/>
                <w:b/>
                <w:spacing w:val="1"/>
                <w:sz w:val="20"/>
                <w:szCs w:val="20"/>
              </w:rPr>
              <w:t>r</w:t>
            </w:r>
            <w:r w:rsidRPr="00A54361">
              <w:rPr>
                <w:rFonts w:eastAsia="Arial" w:cstheme="minorHAnsi"/>
                <w:b/>
                <w:sz w:val="20"/>
                <w:szCs w:val="20"/>
              </w:rPr>
              <w:t>.</w:t>
            </w:r>
            <w:r w:rsidRPr="00A54361">
              <w:rPr>
                <w:rFonts w:eastAsia="Arial" w:cstheme="minorHAnsi"/>
                <w:b/>
                <w:spacing w:val="2"/>
                <w:sz w:val="20"/>
                <w:szCs w:val="20"/>
              </w:rPr>
              <w:t xml:space="preserve"> </w:t>
            </w:r>
            <w:r w:rsidRPr="00A54361">
              <w:rPr>
                <w:rFonts w:eastAsia="Arial" w:cstheme="minorHAnsi"/>
                <w:b/>
                <w:spacing w:val="-3"/>
                <w:sz w:val="20"/>
                <w:szCs w:val="20"/>
              </w:rPr>
              <w:t>No</w:t>
            </w:r>
          </w:p>
        </w:tc>
        <w:tc>
          <w:tcPr>
            <w:tcW w:w="2432" w:type="dxa"/>
            <w:tcBorders>
              <w:top w:val="single" w:sz="8" w:space="0" w:color="000000"/>
              <w:left w:val="single" w:sz="8" w:space="0" w:color="000000"/>
              <w:bottom w:val="single" w:sz="5" w:space="0" w:color="000000"/>
              <w:right w:val="single" w:sz="8" w:space="0" w:color="000000"/>
            </w:tcBorders>
            <w:shd w:val="clear" w:color="auto" w:fill="D9E2F3" w:themeFill="accent1" w:themeFillTint="33"/>
          </w:tcPr>
          <w:p w14:paraId="02EC442D" w14:textId="77777777" w:rsidR="00DE0658" w:rsidRPr="00A54361" w:rsidRDefault="00DE0658" w:rsidP="00A54361">
            <w:pPr>
              <w:spacing w:line="240" w:lineRule="exact"/>
              <w:ind w:left="53" w:right="89"/>
              <w:jc w:val="both"/>
              <w:rPr>
                <w:rFonts w:eastAsia="Arial" w:cstheme="minorHAnsi"/>
                <w:sz w:val="20"/>
                <w:szCs w:val="20"/>
              </w:rPr>
            </w:pPr>
            <w:r w:rsidRPr="00A54361">
              <w:rPr>
                <w:rFonts w:eastAsia="Arial" w:cstheme="minorHAnsi"/>
                <w:b/>
                <w:spacing w:val="-1"/>
                <w:sz w:val="20"/>
                <w:szCs w:val="20"/>
              </w:rPr>
              <w:t>S</w:t>
            </w:r>
            <w:r w:rsidRPr="00A54361">
              <w:rPr>
                <w:rFonts w:eastAsia="Arial" w:cstheme="minorHAnsi"/>
                <w:b/>
                <w:sz w:val="20"/>
                <w:szCs w:val="20"/>
              </w:rPr>
              <w:t>er</w:t>
            </w:r>
            <w:r w:rsidRPr="00A54361">
              <w:rPr>
                <w:rFonts w:eastAsia="Arial" w:cstheme="minorHAnsi"/>
                <w:b/>
                <w:spacing w:val="-3"/>
                <w:sz w:val="20"/>
                <w:szCs w:val="20"/>
              </w:rPr>
              <w:t>v</w:t>
            </w:r>
            <w:r w:rsidRPr="00A54361">
              <w:rPr>
                <w:rFonts w:eastAsia="Arial" w:cstheme="minorHAnsi"/>
                <w:b/>
                <w:spacing w:val="1"/>
                <w:sz w:val="20"/>
                <w:szCs w:val="20"/>
              </w:rPr>
              <w:t>i</w:t>
            </w:r>
            <w:r w:rsidRPr="00A54361">
              <w:rPr>
                <w:rFonts w:eastAsia="Arial" w:cstheme="minorHAnsi"/>
                <w:b/>
                <w:sz w:val="20"/>
                <w:szCs w:val="20"/>
              </w:rPr>
              <w:t>ce</w:t>
            </w:r>
            <w:r w:rsidRPr="00A54361">
              <w:rPr>
                <w:rFonts w:eastAsia="Arial" w:cstheme="minorHAnsi"/>
                <w:b/>
                <w:spacing w:val="1"/>
                <w:sz w:val="20"/>
                <w:szCs w:val="20"/>
              </w:rPr>
              <w:t xml:space="preserve"> </w:t>
            </w:r>
            <w:r w:rsidRPr="00A54361">
              <w:rPr>
                <w:rFonts w:eastAsia="Arial" w:cstheme="minorHAnsi"/>
                <w:b/>
                <w:spacing w:val="-8"/>
                <w:sz w:val="20"/>
                <w:szCs w:val="20"/>
              </w:rPr>
              <w:t>A</w:t>
            </w:r>
            <w:r w:rsidRPr="00A54361">
              <w:rPr>
                <w:rFonts w:eastAsia="Arial" w:cstheme="minorHAnsi"/>
                <w:b/>
                <w:spacing w:val="-2"/>
                <w:sz w:val="20"/>
                <w:szCs w:val="20"/>
              </w:rPr>
              <w:t>r</w:t>
            </w:r>
            <w:r w:rsidRPr="00A54361">
              <w:rPr>
                <w:rFonts w:eastAsia="Arial" w:cstheme="minorHAnsi"/>
                <w:b/>
                <w:spacing w:val="-3"/>
                <w:sz w:val="20"/>
                <w:szCs w:val="20"/>
              </w:rPr>
              <w:t>e</w:t>
            </w:r>
            <w:r w:rsidRPr="00A54361">
              <w:rPr>
                <w:rFonts w:eastAsia="Arial" w:cstheme="minorHAnsi"/>
                <w:b/>
                <w:sz w:val="20"/>
                <w:szCs w:val="20"/>
              </w:rPr>
              <w:t>a</w:t>
            </w:r>
          </w:p>
        </w:tc>
        <w:tc>
          <w:tcPr>
            <w:tcW w:w="2765" w:type="dxa"/>
            <w:tcBorders>
              <w:top w:val="single" w:sz="8" w:space="0" w:color="000000"/>
              <w:left w:val="single" w:sz="8" w:space="0" w:color="000000"/>
              <w:bottom w:val="single" w:sz="5" w:space="0" w:color="000000"/>
              <w:right w:val="single" w:sz="8" w:space="0" w:color="000000"/>
            </w:tcBorders>
            <w:shd w:val="clear" w:color="auto" w:fill="D9E2F3" w:themeFill="accent1" w:themeFillTint="33"/>
          </w:tcPr>
          <w:p w14:paraId="3D002573" w14:textId="77777777" w:rsidR="00DE0658" w:rsidRPr="00A54361" w:rsidRDefault="00DE0658" w:rsidP="00A54361">
            <w:pPr>
              <w:spacing w:line="240" w:lineRule="exact"/>
              <w:ind w:left="32" w:right="166"/>
              <w:jc w:val="both"/>
              <w:rPr>
                <w:rFonts w:eastAsia="Arial" w:cstheme="minorHAnsi"/>
                <w:sz w:val="20"/>
                <w:szCs w:val="20"/>
              </w:rPr>
            </w:pPr>
            <w:r w:rsidRPr="00A54361">
              <w:rPr>
                <w:rFonts w:eastAsia="Arial" w:cstheme="minorHAnsi"/>
                <w:b/>
                <w:spacing w:val="-1"/>
                <w:sz w:val="20"/>
                <w:szCs w:val="20"/>
              </w:rPr>
              <w:t>S</w:t>
            </w:r>
            <w:r w:rsidRPr="00A54361">
              <w:rPr>
                <w:rFonts w:eastAsia="Arial" w:cstheme="minorHAnsi"/>
                <w:b/>
                <w:sz w:val="20"/>
                <w:szCs w:val="20"/>
              </w:rPr>
              <w:t>er</w:t>
            </w:r>
            <w:r w:rsidRPr="00A54361">
              <w:rPr>
                <w:rFonts w:eastAsia="Arial" w:cstheme="minorHAnsi"/>
                <w:b/>
                <w:spacing w:val="-3"/>
                <w:sz w:val="20"/>
                <w:szCs w:val="20"/>
              </w:rPr>
              <w:t>v</w:t>
            </w:r>
            <w:r w:rsidRPr="00A54361">
              <w:rPr>
                <w:rFonts w:eastAsia="Arial" w:cstheme="minorHAnsi"/>
                <w:b/>
                <w:spacing w:val="1"/>
                <w:sz w:val="20"/>
                <w:szCs w:val="20"/>
              </w:rPr>
              <w:t>i</w:t>
            </w:r>
            <w:r w:rsidRPr="00A54361">
              <w:rPr>
                <w:rFonts w:eastAsia="Arial" w:cstheme="minorHAnsi"/>
                <w:b/>
                <w:sz w:val="20"/>
                <w:szCs w:val="20"/>
              </w:rPr>
              <w:t>ce</w:t>
            </w:r>
            <w:r w:rsidRPr="00A54361">
              <w:rPr>
                <w:rFonts w:eastAsia="Arial" w:cstheme="minorHAnsi"/>
                <w:b/>
                <w:spacing w:val="-1"/>
                <w:sz w:val="20"/>
                <w:szCs w:val="20"/>
              </w:rPr>
              <w:t xml:space="preserve"> </w:t>
            </w:r>
            <w:r w:rsidRPr="00A54361">
              <w:rPr>
                <w:rFonts w:eastAsia="Arial" w:cstheme="minorHAnsi"/>
                <w:b/>
                <w:sz w:val="20"/>
                <w:szCs w:val="20"/>
              </w:rPr>
              <w:t>L</w:t>
            </w:r>
            <w:r w:rsidRPr="00A54361">
              <w:rPr>
                <w:rFonts w:eastAsia="Arial" w:cstheme="minorHAnsi"/>
                <w:b/>
                <w:spacing w:val="-1"/>
                <w:sz w:val="20"/>
                <w:szCs w:val="20"/>
              </w:rPr>
              <w:t>e</w:t>
            </w:r>
            <w:r w:rsidRPr="00A54361">
              <w:rPr>
                <w:rFonts w:eastAsia="Arial" w:cstheme="minorHAnsi"/>
                <w:b/>
                <w:spacing w:val="-3"/>
                <w:sz w:val="20"/>
                <w:szCs w:val="20"/>
              </w:rPr>
              <w:t>v</w:t>
            </w:r>
            <w:r w:rsidRPr="00A54361">
              <w:rPr>
                <w:rFonts w:eastAsia="Arial" w:cstheme="minorHAnsi"/>
                <w:b/>
                <w:sz w:val="20"/>
                <w:szCs w:val="20"/>
              </w:rPr>
              <w:t>el</w:t>
            </w:r>
          </w:p>
        </w:tc>
        <w:tc>
          <w:tcPr>
            <w:tcW w:w="3461" w:type="dxa"/>
            <w:tcBorders>
              <w:top w:val="single" w:sz="8" w:space="0" w:color="000000"/>
              <w:left w:val="single" w:sz="8" w:space="0" w:color="000000"/>
              <w:bottom w:val="single" w:sz="5" w:space="0" w:color="000000"/>
              <w:right w:val="single" w:sz="8" w:space="0" w:color="000000"/>
            </w:tcBorders>
            <w:shd w:val="clear" w:color="auto" w:fill="D9E2F3" w:themeFill="accent1" w:themeFillTint="33"/>
          </w:tcPr>
          <w:p w14:paraId="49A981F9" w14:textId="77777777" w:rsidR="00DE0658" w:rsidRPr="00A54361" w:rsidRDefault="00DE0658" w:rsidP="00A54361">
            <w:pPr>
              <w:spacing w:line="240" w:lineRule="exact"/>
              <w:ind w:left="97" w:right="82"/>
              <w:jc w:val="both"/>
              <w:rPr>
                <w:rFonts w:eastAsia="Arial" w:cstheme="minorHAnsi"/>
                <w:sz w:val="20"/>
                <w:szCs w:val="20"/>
              </w:rPr>
            </w:pPr>
            <w:r w:rsidRPr="00A54361">
              <w:rPr>
                <w:rFonts w:eastAsia="Arial" w:cstheme="minorHAnsi"/>
                <w:b/>
                <w:spacing w:val="-1"/>
                <w:sz w:val="20"/>
                <w:szCs w:val="20"/>
              </w:rPr>
              <w:t>P</w:t>
            </w:r>
            <w:r w:rsidRPr="00A54361">
              <w:rPr>
                <w:rFonts w:eastAsia="Arial" w:cstheme="minorHAnsi"/>
                <w:b/>
                <w:sz w:val="20"/>
                <w:szCs w:val="20"/>
              </w:rPr>
              <w:t>e</w:t>
            </w:r>
            <w:r w:rsidRPr="00A54361">
              <w:rPr>
                <w:rFonts w:eastAsia="Arial" w:cstheme="minorHAnsi"/>
                <w:b/>
                <w:spacing w:val="-1"/>
                <w:sz w:val="20"/>
                <w:szCs w:val="20"/>
              </w:rPr>
              <w:t>n</w:t>
            </w:r>
            <w:r w:rsidRPr="00A54361">
              <w:rPr>
                <w:rFonts w:eastAsia="Arial" w:cstheme="minorHAnsi"/>
                <w:b/>
                <w:sz w:val="20"/>
                <w:szCs w:val="20"/>
              </w:rPr>
              <w:t>al</w:t>
            </w:r>
            <w:r w:rsidRPr="00A54361">
              <w:rPr>
                <w:rFonts w:eastAsia="Arial" w:cstheme="minorHAnsi"/>
                <w:b/>
                <w:spacing w:val="1"/>
                <w:sz w:val="20"/>
                <w:szCs w:val="20"/>
              </w:rPr>
              <w:t>t</w:t>
            </w:r>
            <w:r w:rsidRPr="00A54361">
              <w:rPr>
                <w:rFonts w:eastAsia="Arial" w:cstheme="minorHAnsi"/>
                <w:b/>
                <w:sz w:val="20"/>
                <w:szCs w:val="20"/>
              </w:rPr>
              <w:t>y</w:t>
            </w:r>
          </w:p>
        </w:tc>
      </w:tr>
      <w:tr w:rsidR="000D3DC1" w:rsidRPr="00A54361" w14:paraId="4E308D1A" w14:textId="77777777" w:rsidTr="00715187">
        <w:trPr>
          <w:trHeight w:hRule="exact" w:val="2885"/>
        </w:trPr>
        <w:tc>
          <w:tcPr>
            <w:tcW w:w="722" w:type="dxa"/>
            <w:vMerge w:val="restart"/>
            <w:tcBorders>
              <w:top w:val="single" w:sz="5" w:space="0" w:color="000000"/>
              <w:left w:val="single" w:sz="8" w:space="0" w:color="000000"/>
              <w:right w:val="single" w:sz="8" w:space="0" w:color="000000"/>
            </w:tcBorders>
          </w:tcPr>
          <w:p w14:paraId="2898B802" w14:textId="77777777" w:rsidR="00DE0658" w:rsidRPr="00A54361" w:rsidRDefault="00DE0658" w:rsidP="00A54361">
            <w:pPr>
              <w:spacing w:line="240" w:lineRule="exact"/>
              <w:ind w:left="-1"/>
              <w:jc w:val="both"/>
              <w:rPr>
                <w:rFonts w:eastAsia="Arial" w:cstheme="minorHAnsi"/>
                <w:sz w:val="20"/>
                <w:szCs w:val="20"/>
              </w:rPr>
            </w:pPr>
            <w:r w:rsidRPr="00A54361">
              <w:rPr>
                <w:rFonts w:eastAsia="Arial" w:cstheme="minorHAnsi"/>
                <w:sz w:val="20"/>
                <w:szCs w:val="20"/>
              </w:rPr>
              <w:t>1</w:t>
            </w:r>
          </w:p>
        </w:tc>
        <w:tc>
          <w:tcPr>
            <w:tcW w:w="2432" w:type="dxa"/>
            <w:vMerge w:val="restart"/>
            <w:tcBorders>
              <w:top w:val="single" w:sz="5" w:space="0" w:color="000000"/>
              <w:left w:val="single" w:sz="8" w:space="0" w:color="000000"/>
              <w:right w:val="single" w:sz="8" w:space="0" w:color="000000"/>
            </w:tcBorders>
          </w:tcPr>
          <w:p w14:paraId="05D7DC8D" w14:textId="5C353B31" w:rsidR="00DE0658" w:rsidRPr="00A54361" w:rsidRDefault="00583479" w:rsidP="00A54361">
            <w:pPr>
              <w:spacing w:line="240" w:lineRule="exact"/>
              <w:ind w:left="53" w:right="89"/>
              <w:jc w:val="both"/>
              <w:rPr>
                <w:rFonts w:eastAsia="Arial" w:cstheme="minorHAnsi"/>
                <w:sz w:val="20"/>
                <w:szCs w:val="20"/>
              </w:rPr>
            </w:pPr>
            <w:r w:rsidRPr="00A54361">
              <w:rPr>
                <w:rFonts w:eastAsia="Arial" w:cstheme="minorHAnsi"/>
                <w:sz w:val="20"/>
                <w:szCs w:val="20"/>
              </w:rPr>
              <w:t>Individual</w:t>
            </w:r>
            <w:r w:rsidR="00DE0658" w:rsidRPr="00A54361">
              <w:rPr>
                <w:rFonts w:eastAsia="Arial" w:cstheme="minorHAnsi"/>
                <w:spacing w:val="-4"/>
                <w:sz w:val="20"/>
                <w:szCs w:val="20"/>
              </w:rPr>
              <w:t xml:space="preserve"> </w:t>
            </w:r>
            <w:r w:rsidR="00DE0658" w:rsidRPr="00A54361">
              <w:rPr>
                <w:rFonts w:eastAsia="Arial" w:cstheme="minorHAnsi"/>
                <w:spacing w:val="-3"/>
                <w:sz w:val="20"/>
                <w:szCs w:val="20"/>
              </w:rPr>
              <w:t>S</w:t>
            </w:r>
            <w:r w:rsidR="00DE0658" w:rsidRPr="00A54361">
              <w:rPr>
                <w:rFonts w:eastAsia="Arial" w:cstheme="minorHAnsi"/>
                <w:sz w:val="20"/>
                <w:szCs w:val="20"/>
              </w:rPr>
              <w:t>o</w:t>
            </w:r>
            <w:r w:rsidR="00DE0658" w:rsidRPr="00A54361">
              <w:rPr>
                <w:rFonts w:eastAsia="Arial" w:cstheme="minorHAnsi"/>
                <w:spacing w:val="-4"/>
                <w:sz w:val="20"/>
                <w:szCs w:val="20"/>
              </w:rPr>
              <w:t>l</w:t>
            </w:r>
            <w:r w:rsidR="00DE0658" w:rsidRPr="00A54361">
              <w:rPr>
                <w:rFonts w:eastAsia="Arial" w:cstheme="minorHAnsi"/>
                <w:spacing w:val="-3"/>
                <w:sz w:val="20"/>
                <w:szCs w:val="20"/>
              </w:rPr>
              <w:t>u</w:t>
            </w:r>
            <w:r w:rsidR="00DE0658" w:rsidRPr="00A54361">
              <w:rPr>
                <w:rFonts w:eastAsia="Arial" w:cstheme="minorHAnsi"/>
                <w:spacing w:val="-1"/>
                <w:sz w:val="20"/>
                <w:szCs w:val="20"/>
              </w:rPr>
              <w:t>t</w:t>
            </w:r>
            <w:r w:rsidR="00DE0658" w:rsidRPr="00A54361">
              <w:rPr>
                <w:rFonts w:eastAsia="Arial" w:cstheme="minorHAnsi"/>
                <w:spacing w:val="-3"/>
                <w:sz w:val="20"/>
                <w:szCs w:val="20"/>
              </w:rPr>
              <w:t>i</w:t>
            </w:r>
            <w:r w:rsidR="00DE0658" w:rsidRPr="00A54361">
              <w:rPr>
                <w:rFonts w:eastAsia="Arial" w:cstheme="minorHAnsi"/>
                <w:sz w:val="20"/>
                <w:szCs w:val="20"/>
              </w:rPr>
              <w:t>o</w:t>
            </w:r>
            <w:r w:rsidR="00DE0658" w:rsidRPr="00A54361">
              <w:rPr>
                <w:rFonts w:eastAsia="Arial" w:cstheme="minorHAnsi"/>
                <w:spacing w:val="-3"/>
                <w:sz w:val="20"/>
                <w:szCs w:val="20"/>
              </w:rPr>
              <w:t>n</w:t>
            </w:r>
            <w:r w:rsidR="00DE0658" w:rsidRPr="00A54361">
              <w:rPr>
                <w:rFonts w:eastAsia="Arial" w:cstheme="minorHAnsi"/>
                <w:sz w:val="20"/>
                <w:szCs w:val="20"/>
              </w:rPr>
              <w:t>s</w:t>
            </w:r>
            <w:r w:rsidR="00DE0658" w:rsidRPr="00A54361">
              <w:rPr>
                <w:rFonts w:eastAsia="Arial" w:cstheme="minorHAnsi"/>
                <w:spacing w:val="-1"/>
                <w:sz w:val="20"/>
                <w:szCs w:val="20"/>
              </w:rPr>
              <w:t xml:space="preserve"> </w:t>
            </w:r>
            <w:r w:rsidR="00DE0658" w:rsidRPr="00A54361">
              <w:rPr>
                <w:rFonts w:eastAsia="Arial" w:cstheme="minorHAnsi"/>
                <w:spacing w:val="-3"/>
                <w:sz w:val="20"/>
                <w:szCs w:val="20"/>
              </w:rPr>
              <w:t>Up</w:t>
            </w:r>
            <w:r w:rsidR="00DE0658" w:rsidRPr="00A54361">
              <w:rPr>
                <w:rFonts w:eastAsia="Arial" w:cstheme="minorHAnsi"/>
                <w:spacing w:val="-1"/>
                <w:sz w:val="20"/>
                <w:szCs w:val="20"/>
              </w:rPr>
              <w:t>t</w:t>
            </w:r>
            <w:r w:rsidR="00DE0658" w:rsidRPr="00A54361">
              <w:rPr>
                <w:rFonts w:eastAsia="Arial" w:cstheme="minorHAnsi"/>
                <w:spacing w:val="-3"/>
                <w:sz w:val="20"/>
                <w:szCs w:val="20"/>
              </w:rPr>
              <w:t>i</w:t>
            </w:r>
            <w:r w:rsidR="00DE0658" w:rsidRPr="00A54361">
              <w:rPr>
                <w:rFonts w:eastAsia="Arial" w:cstheme="minorHAnsi"/>
                <w:spacing w:val="-2"/>
                <w:sz w:val="20"/>
                <w:szCs w:val="20"/>
              </w:rPr>
              <w:t>m</w:t>
            </w:r>
            <w:r w:rsidR="00DE0658" w:rsidRPr="00A54361">
              <w:rPr>
                <w:rFonts w:eastAsia="Arial" w:cstheme="minorHAnsi"/>
                <w:sz w:val="20"/>
                <w:szCs w:val="20"/>
              </w:rPr>
              <w:t>e</w:t>
            </w:r>
          </w:p>
        </w:tc>
        <w:tc>
          <w:tcPr>
            <w:tcW w:w="2765" w:type="dxa"/>
            <w:tcBorders>
              <w:top w:val="single" w:sz="5" w:space="0" w:color="000000"/>
              <w:left w:val="single" w:sz="8" w:space="0" w:color="000000"/>
              <w:bottom w:val="single" w:sz="5" w:space="0" w:color="000000"/>
              <w:right w:val="single" w:sz="8" w:space="0" w:color="000000"/>
            </w:tcBorders>
          </w:tcPr>
          <w:p w14:paraId="4534CD10" w14:textId="77777777" w:rsidR="00DE0658" w:rsidRPr="00A54361" w:rsidRDefault="00DE0658" w:rsidP="00A54361">
            <w:pPr>
              <w:spacing w:line="240" w:lineRule="exact"/>
              <w:ind w:left="32" w:right="166"/>
              <w:jc w:val="both"/>
              <w:rPr>
                <w:rFonts w:eastAsia="Arial" w:cstheme="minorHAnsi"/>
                <w:sz w:val="20"/>
                <w:szCs w:val="20"/>
              </w:rPr>
            </w:pPr>
            <w:r w:rsidRPr="00A54361">
              <w:rPr>
                <w:rFonts w:eastAsia="Arial" w:cstheme="minorHAnsi"/>
                <w:spacing w:val="-1"/>
                <w:sz w:val="20"/>
                <w:szCs w:val="20"/>
              </w:rPr>
              <w:t>U</w:t>
            </w:r>
            <w:r w:rsidRPr="00A54361">
              <w:rPr>
                <w:rFonts w:eastAsia="Arial" w:cstheme="minorHAnsi"/>
                <w:sz w:val="20"/>
                <w:szCs w:val="20"/>
              </w:rPr>
              <w:t xml:space="preserve">ptime  </w:t>
            </w:r>
            <w:r w:rsidRPr="00A54361">
              <w:rPr>
                <w:rFonts w:eastAsia="Arial" w:cstheme="minorHAnsi"/>
                <w:spacing w:val="33"/>
                <w:sz w:val="20"/>
                <w:szCs w:val="20"/>
              </w:rPr>
              <w:t xml:space="preserve"> </w:t>
            </w:r>
            <w:r w:rsidRPr="00A54361">
              <w:rPr>
                <w:rFonts w:eastAsia="Arial" w:cstheme="minorHAnsi"/>
                <w:sz w:val="20"/>
                <w:szCs w:val="20"/>
              </w:rPr>
              <w:t xml:space="preserve">%  </w:t>
            </w:r>
            <w:r w:rsidRPr="00A54361">
              <w:rPr>
                <w:rFonts w:eastAsia="Arial" w:cstheme="minorHAnsi"/>
                <w:spacing w:val="31"/>
                <w:sz w:val="20"/>
                <w:szCs w:val="20"/>
              </w:rPr>
              <w:t xml:space="preserve"> </w:t>
            </w:r>
            <w:r w:rsidRPr="00A54361">
              <w:rPr>
                <w:rFonts w:eastAsia="Arial" w:cstheme="minorHAnsi"/>
                <w:spacing w:val="-2"/>
                <w:sz w:val="20"/>
                <w:szCs w:val="20"/>
              </w:rPr>
              <w:t>c</w:t>
            </w:r>
            <w:r w:rsidRPr="00A54361">
              <w:rPr>
                <w:rFonts w:eastAsia="Arial" w:cstheme="minorHAnsi"/>
                <w:spacing w:val="-3"/>
                <w:sz w:val="20"/>
                <w:szCs w:val="20"/>
              </w:rPr>
              <w:t>al</w:t>
            </w:r>
            <w:r w:rsidRPr="00A54361">
              <w:rPr>
                <w:rFonts w:eastAsia="Arial" w:cstheme="minorHAnsi"/>
                <w:spacing w:val="-2"/>
                <w:sz w:val="20"/>
                <w:szCs w:val="20"/>
              </w:rPr>
              <w:t>c</w:t>
            </w:r>
            <w:r w:rsidRPr="00A54361">
              <w:rPr>
                <w:rFonts w:eastAsia="Arial" w:cstheme="minorHAnsi"/>
                <w:spacing w:val="-3"/>
                <w:sz w:val="20"/>
                <w:szCs w:val="20"/>
              </w:rPr>
              <w:t>ula</w:t>
            </w:r>
            <w:r w:rsidRPr="00A54361">
              <w:rPr>
                <w:rFonts w:eastAsia="Arial" w:cstheme="minorHAnsi"/>
                <w:spacing w:val="-1"/>
                <w:sz w:val="20"/>
                <w:szCs w:val="20"/>
              </w:rPr>
              <w:t>t</w:t>
            </w:r>
            <w:r w:rsidRPr="00A54361">
              <w:rPr>
                <w:rFonts w:eastAsia="Arial" w:cstheme="minorHAnsi"/>
                <w:spacing w:val="-3"/>
                <w:sz w:val="20"/>
                <w:szCs w:val="20"/>
              </w:rPr>
              <w:t>e</w:t>
            </w:r>
            <w:r w:rsidRPr="00A54361">
              <w:rPr>
                <w:rFonts w:eastAsia="Arial" w:cstheme="minorHAnsi"/>
                <w:sz w:val="20"/>
                <w:szCs w:val="20"/>
              </w:rPr>
              <w:t xml:space="preserve">d  </w:t>
            </w:r>
            <w:r w:rsidRPr="00A54361">
              <w:rPr>
                <w:rFonts w:eastAsia="Arial" w:cstheme="minorHAnsi"/>
                <w:spacing w:val="33"/>
                <w:sz w:val="20"/>
                <w:szCs w:val="20"/>
              </w:rPr>
              <w:t xml:space="preserve"> </w:t>
            </w:r>
            <w:r w:rsidRPr="00A54361">
              <w:rPr>
                <w:rFonts w:eastAsia="Arial" w:cstheme="minorHAnsi"/>
                <w:sz w:val="20"/>
                <w:szCs w:val="20"/>
              </w:rPr>
              <w:t>on</w:t>
            </w:r>
          </w:p>
          <w:p w14:paraId="15ABAF5D" w14:textId="77777777" w:rsidR="00DE0658" w:rsidRPr="00A54361" w:rsidRDefault="00DE0658" w:rsidP="00A54361">
            <w:pPr>
              <w:spacing w:before="20"/>
              <w:ind w:left="32" w:right="166"/>
              <w:jc w:val="both"/>
              <w:rPr>
                <w:rFonts w:eastAsia="Arial" w:cstheme="minorHAnsi"/>
                <w:sz w:val="20"/>
                <w:szCs w:val="20"/>
              </w:rPr>
            </w:pPr>
            <w:r w:rsidRPr="00A54361">
              <w:rPr>
                <w:rFonts w:eastAsia="Arial" w:cstheme="minorHAnsi"/>
                <w:spacing w:val="1"/>
                <w:sz w:val="20"/>
                <w:szCs w:val="20"/>
              </w:rPr>
              <w:t>m</w:t>
            </w:r>
            <w:r w:rsidRPr="00A54361">
              <w:rPr>
                <w:rFonts w:eastAsia="Arial" w:cstheme="minorHAnsi"/>
                <w:sz w:val="20"/>
                <w:szCs w:val="20"/>
              </w:rPr>
              <w:t>o</w:t>
            </w:r>
            <w:r w:rsidRPr="00A54361">
              <w:rPr>
                <w:rFonts w:eastAsia="Arial" w:cstheme="minorHAnsi"/>
                <w:spacing w:val="-1"/>
                <w:sz w:val="20"/>
                <w:szCs w:val="20"/>
              </w:rPr>
              <w:t>n</w:t>
            </w:r>
            <w:r w:rsidRPr="00A54361">
              <w:rPr>
                <w:rFonts w:eastAsia="Arial" w:cstheme="minorHAnsi"/>
                <w:spacing w:val="1"/>
                <w:sz w:val="20"/>
                <w:szCs w:val="20"/>
              </w:rPr>
              <w:t>t</w:t>
            </w:r>
            <w:r w:rsidRPr="00A54361">
              <w:rPr>
                <w:rFonts w:eastAsia="Arial" w:cstheme="minorHAnsi"/>
                <w:sz w:val="20"/>
                <w:szCs w:val="20"/>
              </w:rPr>
              <w:t>h</w:t>
            </w:r>
            <w:r w:rsidRPr="00A54361">
              <w:rPr>
                <w:rFonts w:eastAsia="Arial" w:cstheme="minorHAnsi"/>
                <w:spacing w:val="-1"/>
                <w:sz w:val="20"/>
                <w:szCs w:val="20"/>
              </w:rPr>
              <w:t>l</w:t>
            </w:r>
            <w:r w:rsidRPr="00A54361">
              <w:rPr>
                <w:rFonts w:eastAsia="Arial" w:cstheme="minorHAnsi"/>
                <w:sz w:val="20"/>
                <w:szCs w:val="20"/>
              </w:rPr>
              <w:t xml:space="preserve">y </w:t>
            </w:r>
            <w:r w:rsidRPr="00A54361">
              <w:rPr>
                <w:rFonts w:eastAsia="Arial" w:cstheme="minorHAnsi"/>
                <w:spacing w:val="-3"/>
                <w:sz w:val="20"/>
                <w:szCs w:val="20"/>
              </w:rPr>
              <w:t>ba</w:t>
            </w:r>
            <w:r w:rsidRPr="00A54361">
              <w:rPr>
                <w:rFonts w:eastAsia="Arial" w:cstheme="minorHAnsi"/>
                <w:spacing w:val="-2"/>
                <w:sz w:val="20"/>
                <w:szCs w:val="20"/>
              </w:rPr>
              <w:t>s</w:t>
            </w:r>
            <w:r w:rsidRPr="00A54361">
              <w:rPr>
                <w:rFonts w:eastAsia="Arial" w:cstheme="minorHAnsi"/>
                <w:spacing w:val="-3"/>
                <w:sz w:val="20"/>
                <w:szCs w:val="20"/>
              </w:rPr>
              <w:t>i</w:t>
            </w:r>
            <w:r w:rsidRPr="00A54361">
              <w:rPr>
                <w:rFonts w:eastAsia="Arial" w:cstheme="minorHAnsi"/>
                <w:sz w:val="20"/>
                <w:szCs w:val="20"/>
              </w:rPr>
              <w:t xml:space="preserve">s </w:t>
            </w:r>
            <w:r w:rsidRPr="00A54361">
              <w:rPr>
                <w:rFonts w:eastAsia="Arial" w:cstheme="minorHAnsi"/>
                <w:spacing w:val="3"/>
                <w:sz w:val="20"/>
                <w:szCs w:val="20"/>
              </w:rPr>
              <w:t>f</w:t>
            </w:r>
            <w:r w:rsidRPr="00A54361">
              <w:rPr>
                <w:rFonts w:eastAsia="Arial" w:cstheme="minorHAnsi"/>
                <w:sz w:val="20"/>
                <w:szCs w:val="20"/>
              </w:rPr>
              <w:t>or</w:t>
            </w:r>
            <w:r w:rsidRPr="00A54361">
              <w:rPr>
                <w:rFonts w:eastAsia="Arial" w:cstheme="minorHAnsi"/>
                <w:spacing w:val="6"/>
                <w:sz w:val="20"/>
                <w:szCs w:val="20"/>
              </w:rPr>
              <w:t xml:space="preserve"> </w:t>
            </w:r>
            <w:r w:rsidRPr="00A54361">
              <w:rPr>
                <w:rFonts w:eastAsia="Arial" w:cstheme="minorHAnsi"/>
                <w:spacing w:val="-5"/>
                <w:sz w:val="20"/>
                <w:szCs w:val="20"/>
              </w:rPr>
              <w:t>e</w:t>
            </w:r>
            <w:r w:rsidRPr="00A54361">
              <w:rPr>
                <w:rFonts w:eastAsia="Arial" w:cstheme="minorHAnsi"/>
                <w:spacing w:val="-3"/>
                <w:sz w:val="20"/>
                <w:szCs w:val="20"/>
              </w:rPr>
              <w:t>a</w:t>
            </w:r>
            <w:r w:rsidRPr="00A54361">
              <w:rPr>
                <w:rFonts w:eastAsia="Arial" w:cstheme="minorHAnsi"/>
                <w:spacing w:val="-2"/>
                <w:sz w:val="20"/>
                <w:szCs w:val="20"/>
              </w:rPr>
              <w:t>c</w:t>
            </w:r>
            <w:r w:rsidRPr="00A54361">
              <w:rPr>
                <w:rFonts w:eastAsia="Arial" w:cstheme="minorHAnsi"/>
                <w:sz w:val="20"/>
                <w:szCs w:val="20"/>
              </w:rPr>
              <w:t xml:space="preserve">h </w:t>
            </w:r>
            <w:r w:rsidRPr="00A54361">
              <w:rPr>
                <w:rFonts w:eastAsia="Arial" w:cstheme="minorHAnsi"/>
                <w:spacing w:val="-2"/>
                <w:sz w:val="20"/>
                <w:szCs w:val="20"/>
              </w:rPr>
              <w:t>s</w:t>
            </w:r>
            <w:r w:rsidRPr="00A54361">
              <w:rPr>
                <w:rFonts w:eastAsia="Arial" w:cstheme="minorHAnsi"/>
                <w:spacing w:val="-3"/>
                <w:sz w:val="20"/>
                <w:szCs w:val="20"/>
              </w:rPr>
              <w:t>olu</w:t>
            </w:r>
            <w:r w:rsidRPr="00A54361">
              <w:rPr>
                <w:rFonts w:eastAsia="Arial" w:cstheme="minorHAnsi"/>
                <w:spacing w:val="-1"/>
                <w:sz w:val="20"/>
                <w:szCs w:val="20"/>
              </w:rPr>
              <w:t>t</w:t>
            </w:r>
            <w:r w:rsidRPr="00A54361">
              <w:rPr>
                <w:rFonts w:eastAsia="Arial" w:cstheme="minorHAnsi"/>
                <w:spacing w:val="-3"/>
                <w:sz w:val="20"/>
                <w:szCs w:val="20"/>
              </w:rPr>
              <w:t>ion</w:t>
            </w:r>
            <w:r w:rsidRPr="00A54361">
              <w:rPr>
                <w:rFonts w:eastAsia="Arial" w:cstheme="minorHAnsi"/>
                <w:sz w:val="20"/>
                <w:szCs w:val="20"/>
              </w:rPr>
              <w:t>.</w:t>
            </w:r>
          </w:p>
          <w:p w14:paraId="76734060" w14:textId="77777777" w:rsidR="00DE0658" w:rsidRPr="00A54361" w:rsidRDefault="00DE0658" w:rsidP="00A54361">
            <w:pPr>
              <w:spacing w:before="9" w:line="140" w:lineRule="exact"/>
              <w:ind w:left="32" w:right="166"/>
              <w:jc w:val="both"/>
              <w:rPr>
                <w:rFonts w:cstheme="minorHAnsi"/>
                <w:sz w:val="20"/>
                <w:szCs w:val="20"/>
              </w:rPr>
            </w:pPr>
          </w:p>
          <w:p w14:paraId="3E79888E" w14:textId="77777777" w:rsidR="00DE0658" w:rsidRPr="00A54361" w:rsidRDefault="00DE0658" w:rsidP="00A54361">
            <w:pPr>
              <w:ind w:left="32" w:right="166"/>
              <w:jc w:val="both"/>
              <w:rPr>
                <w:rFonts w:eastAsia="Arial" w:cstheme="minorHAnsi"/>
                <w:sz w:val="20"/>
                <w:szCs w:val="20"/>
              </w:rPr>
            </w:pPr>
            <w:r w:rsidRPr="00A54361">
              <w:rPr>
                <w:rFonts w:eastAsia="Arial" w:cstheme="minorHAnsi"/>
                <w:spacing w:val="1"/>
                <w:sz w:val="20"/>
                <w:szCs w:val="20"/>
              </w:rPr>
              <w:t>I</w:t>
            </w:r>
            <w:r w:rsidRPr="00A54361">
              <w:rPr>
                <w:rFonts w:eastAsia="Arial" w:cstheme="minorHAnsi"/>
                <w:sz w:val="20"/>
                <w:szCs w:val="20"/>
              </w:rPr>
              <w:t>n</w:t>
            </w:r>
            <w:r w:rsidRPr="00A54361">
              <w:rPr>
                <w:rFonts w:eastAsia="Arial" w:cstheme="minorHAnsi"/>
                <w:spacing w:val="5"/>
                <w:sz w:val="20"/>
                <w:szCs w:val="20"/>
              </w:rPr>
              <w:t xml:space="preserve"> </w:t>
            </w:r>
            <w:r w:rsidRPr="00A54361">
              <w:rPr>
                <w:rFonts w:eastAsia="Arial" w:cstheme="minorHAnsi"/>
                <w:sz w:val="20"/>
                <w:szCs w:val="20"/>
              </w:rPr>
              <w:t>case</w:t>
            </w:r>
            <w:r w:rsidRPr="00A54361">
              <w:rPr>
                <w:rFonts w:eastAsia="Arial" w:cstheme="minorHAnsi"/>
                <w:spacing w:val="2"/>
                <w:sz w:val="20"/>
                <w:szCs w:val="20"/>
              </w:rPr>
              <w:t xml:space="preserve"> </w:t>
            </w:r>
            <w:r w:rsidRPr="00A54361">
              <w:rPr>
                <w:rFonts w:eastAsia="Arial" w:cstheme="minorHAnsi"/>
                <w:spacing w:val="-3"/>
                <w:sz w:val="20"/>
                <w:szCs w:val="20"/>
              </w:rPr>
              <w:t>o</w:t>
            </w:r>
            <w:r w:rsidRPr="00A54361">
              <w:rPr>
                <w:rFonts w:eastAsia="Arial" w:cstheme="minorHAnsi"/>
                <w:sz w:val="20"/>
                <w:szCs w:val="20"/>
              </w:rPr>
              <w:t>f</w:t>
            </w:r>
            <w:r w:rsidRPr="00A54361">
              <w:rPr>
                <w:rFonts w:eastAsia="Arial" w:cstheme="minorHAnsi"/>
                <w:spacing w:val="11"/>
                <w:sz w:val="20"/>
                <w:szCs w:val="20"/>
              </w:rPr>
              <w:t xml:space="preserve"> </w:t>
            </w:r>
            <w:r w:rsidRPr="00A54361">
              <w:rPr>
                <w:rFonts w:eastAsia="Arial" w:cstheme="minorHAnsi"/>
                <w:spacing w:val="-3"/>
                <w:sz w:val="20"/>
                <w:szCs w:val="20"/>
              </w:rPr>
              <w:t>an</w:t>
            </w:r>
            <w:r w:rsidRPr="00A54361">
              <w:rPr>
                <w:rFonts w:eastAsia="Arial" w:cstheme="minorHAnsi"/>
                <w:sz w:val="20"/>
                <w:szCs w:val="20"/>
              </w:rPr>
              <w:t xml:space="preserve">y </w:t>
            </w:r>
            <w:r w:rsidRPr="00A54361">
              <w:rPr>
                <w:rFonts w:eastAsia="Arial" w:cstheme="minorHAnsi"/>
                <w:spacing w:val="-3"/>
                <w:sz w:val="20"/>
                <w:szCs w:val="20"/>
              </w:rPr>
              <w:t>ha</w:t>
            </w:r>
            <w:r w:rsidRPr="00A54361">
              <w:rPr>
                <w:rFonts w:eastAsia="Arial" w:cstheme="minorHAnsi"/>
                <w:spacing w:val="-2"/>
                <w:sz w:val="20"/>
                <w:szCs w:val="20"/>
              </w:rPr>
              <w:t>r</w:t>
            </w:r>
            <w:r w:rsidRPr="00A54361">
              <w:rPr>
                <w:rFonts w:eastAsia="Arial" w:cstheme="minorHAnsi"/>
                <w:sz w:val="20"/>
                <w:szCs w:val="20"/>
              </w:rPr>
              <w:t>d</w:t>
            </w:r>
            <w:r w:rsidRPr="00A54361">
              <w:rPr>
                <w:rFonts w:eastAsia="Arial" w:cstheme="minorHAnsi"/>
                <w:spacing w:val="-4"/>
                <w:sz w:val="20"/>
                <w:szCs w:val="20"/>
              </w:rPr>
              <w:t>w</w:t>
            </w:r>
            <w:r w:rsidRPr="00A54361">
              <w:rPr>
                <w:rFonts w:eastAsia="Arial" w:cstheme="minorHAnsi"/>
                <w:spacing w:val="-3"/>
                <w:sz w:val="20"/>
                <w:szCs w:val="20"/>
              </w:rPr>
              <w:t>a</w:t>
            </w:r>
            <w:r w:rsidRPr="00A54361">
              <w:rPr>
                <w:rFonts w:eastAsia="Arial" w:cstheme="minorHAnsi"/>
                <w:spacing w:val="-2"/>
                <w:sz w:val="20"/>
                <w:szCs w:val="20"/>
              </w:rPr>
              <w:t>r</w:t>
            </w:r>
            <w:r w:rsidRPr="00A54361">
              <w:rPr>
                <w:rFonts w:eastAsia="Arial" w:cstheme="minorHAnsi"/>
                <w:sz w:val="20"/>
                <w:szCs w:val="20"/>
              </w:rPr>
              <w:t>e prob</w:t>
            </w:r>
            <w:r w:rsidRPr="00A54361">
              <w:rPr>
                <w:rFonts w:eastAsia="Arial" w:cstheme="minorHAnsi"/>
                <w:spacing w:val="-1"/>
                <w:sz w:val="20"/>
                <w:szCs w:val="20"/>
              </w:rPr>
              <w:t>l</w:t>
            </w:r>
            <w:r w:rsidRPr="00A54361">
              <w:rPr>
                <w:rFonts w:eastAsia="Arial" w:cstheme="minorHAnsi"/>
                <w:sz w:val="20"/>
                <w:szCs w:val="20"/>
              </w:rPr>
              <w:t>ems,</w:t>
            </w:r>
            <w:r w:rsidRPr="00A54361">
              <w:rPr>
                <w:rFonts w:eastAsia="Arial" w:cstheme="minorHAnsi"/>
                <w:spacing w:val="2"/>
                <w:sz w:val="20"/>
                <w:szCs w:val="20"/>
              </w:rPr>
              <w:t xml:space="preserve"> </w:t>
            </w:r>
            <w:r w:rsidRPr="00A54361">
              <w:rPr>
                <w:rFonts w:eastAsia="Arial" w:cstheme="minorHAnsi"/>
                <w:spacing w:val="1"/>
                <w:sz w:val="20"/>
                <w:szCs w:val="20"/>
              </w:rPr>
              <w:t>t</w:t>
            </w:r>
            <w:r w:rsidRPr="00A54361">
              <w:rPr>
                <w:rFonts w:eastAsia="Arial" w:cstheme="minorHAnsi"/>
                <w:sz w:val="20"/>
                <w:szCs w:val="20"/>
              </w:rPr>
              <w:t xml:space="preserve">he </w:t>
            </w:r>
            <w:r w:rsidRPr="00A54361">
              <w:rPr>
                <w:rFonts w:eastAsia="Arial" w:cstheme="minorHAnsi"/>
                <w:spacing w:val="-1"/>
                <w:sz w:val="20"/>
                <w:szCs w:val="20"/>
              </w:rPr>
              <w:t>S</w:t>
            </w:r>
            <w:r w:rsidRPr="00A54361">
              <w:rPr>
                <w:rFonts w:eastAsia="Arial" w:cstheme="minorHAnsi"/>
                <w:sz w:val="20"/>
                <w:szCs w:val="20"/>
              </w:rPr>
              <w:t>I</w:t>
            </w:r>
            <w:r w:rsidRPr="00A54361">
              <w:rPr>
                <w:rFonts w:eastAsia="Arial" w:cstheme="minorHAnsi"/>
                <w:spacing w:val="4"/>
                <w:sz w:val="20"/>
                <w:szCs w:val="20"/>
              </w:rPr>
              <w:t xml:space="preserve"> </w:t>
            </w:r>
            <w:r w:rsidRPr="00A54361">
              <w:rPr>
                <w:rFonts w:eastAsia="Arial" w:cstheme="minorHAnsi"/>
                <w:spacing w:val="-2"/>
                <w:sz w:val="20"/>
                <w:szCs w:val="20"/>
              </w:rPr>
              <w:t>s</w:t>
            </w:r>
            <w:r w:rsidRPr="00A54361">
              <w:rPr>
                <w:rFonts w:eastAsia="Arial" w:cstheme="minorHAnsi"/>
                <w:spacing w:val="-5"/>
                <w:sz w:val="20"/>
                <w:szCs w:val="20"/>
              </w:rPr>
              <w:t>h</w:t>
            </w:r>
            <w:r w:rsidRPr="00A54361">
              <w:rPr>
                <w:rFonts w:eastAsia="Arial" w:cstheme="minorHAnsi"/>
                <w:spacing w:val="-3"/>
                <w:sz w:val="20"/>
                <w:szCs w:val="20"/>
              </w:rPr>
              <w:t>oul</w:t>
            </w:r>
            <w:r w:rsidRPr="00A54361">
              <w:rPr>
                <w:rFonts w:eastAsia="Arial" w:cstheme="minorHAnsi"/>
                <w:sz w:val="20"/>
                <w:szCs w:val="20"/>
              </w:rPr>
              <w:t xml:space="preserve">d </w:t>
            </w:r>
            <w:r w:rsidRPr="00A54361">
              <w:rPr>
                <w:rFonts w:eastAsia="Arial" w:cstheme="minorHAnsi"/>
                <w:spacing w:val="-3"/>
                <w:sz w:val="20"/>
                <w:szCs w:val="20"/>
              </w:rPr>
              <w:t>en</w:t>
            </w:r>
            <w:r w:rsidRPr="00A54361">
              <w:rPr>
                <w:rFonts w:eastAsia="Arial" w:cstheme="minorHAnsi"/>
                <w:spacing w:val="-2"/>
                <w:sz w:val="20"/>
                <w:szCs w:val="20"/>
              </w:rPr>
              <w:t>s</w:t>
            </w:r>
            <w:r w:rsidRPr="00A54361">
              <w:rPr>
                <w:rFonts w:eastAsia="Arial" w:cstheme="minorHAnsi"/>
                <w:spacing w:val="-3"/>
                <w:sz w:val="20"/>
                <w:szCs w:val="20"/>
              </w:rPr>
              <w:t>u</w:t>
            </w:r>
            <w:r w:rsidRPr="00A54361">
              <w:rPr>
                <w:rFonts w:eastAsia="Arial" w:cstheme="minorHAnsi"/>
                <w:spacing w:val="-2"/>
                <w:sz w:val="20"/>
                <w:szCs w:val="20"/>
              </w:rPr>
              <w:t>r</w:t>
            </w:r>
            <w:r w:rsidRPr="00A54361">
              <w:rPr>
                <w:rFonts w:eastAsia="Arial" w:cstheme="minorHAnsi"/>
                <w:sz w:val="20"/>
                <w:szCs w:val="20"/>
              </w:rPr>
              <w:t xml:space="preserve">e </w:t>
            </w:r>
            <w:r w:rsidRPr="00A54361">
              <w:rPr>
                <w:rFonts w:eastAsia="Arial" w:cstheme="minorHAnsi"/>
                <w:spacing w:val="-1"/>
                <w:sz w:val="20"/>
                <w:szCs w:val="20"/>
              </w:rPr>
              <w:t>t</w:t>
            </w:r>
            <w:r w:rsidRPr="00A54361">
              <w:rPr>
                <w:rFonts w:eastAsia="Arial" w:cstheme="minorHAnsi"/>
                <w:spacing w:val="-3"/>
                <w:sz w:val="20"/>
                <w:szCs w:val="20"/>
              </w:rPr>
              <w:t>ha</w:t>
            </w:r>
            <w:r w:rsidRPr="00A54361">
              <w:rPr>
                <w:rFonts w:eastAsia="Arial" w:cstheme="minorHAnsi"/>
                <w:sz w:val="20"/>
                <w:szCs w:val="20"/>
              </w:rPr>
              <w:t>t</w:t>
            </w:r>
            <w:r w:rsidRPr="00A54361">
              <w:rPr>
                <w:rFonts w:eastAsia="Arial" w:cstheme="minorHAnsi"/>
                <w:spacing w:val="1"/>
                <w:sz w:val="20"/>
                <w:szCs w:val="20"/>
              </w:rPr>
              <w:t xml:space="preserve"> </w:t>
            </w:r>
            <w:r w:rsidRPr="00A54361">
              <w:rPr>
                <w:rFonts w:eastAsia="Arial" w:cstheme="minorHAnsi"/>
                <w:spacing w:val="-2"/>
                <w:sz w:val="20"/>
                <w:szCs w:val="20"/>
              </w:rPr>
              <w:t>r</w:t>
            </w:r>
            <w:r w:rsidRPr="00A54361">
              <w:rPr>
                <w:rFonts w:eastAsia="Arial" w:cstheme="minorHAnsi"/>
                <w:spacing w:val="-3"/>
                <w:sz w:val="20"/>
                <w:szCs w:val="20"/>
              </w:rPr>
              <w:t>epl</w:t>
            </w:r>
            <w:r w:rsidRPr="00A54361">
              <w:rPr>
                <w:rFonts w:eastAsia="Arial" w:cstheme="minorHAnsi"/>
                <w:spacing w:val="-5"/>
                <w:sz w:val="20"/>
                <w:szCs w:val="20"/>
              </w:rPr>
              <w:t>a</w:t>
            </w:r>
            <w:r w:rsidRPr="00A54361">
              <w:rPr>
                <w:rFonts w:eastAsia="Arial" w:cstheme="minorHAnsi"/>
                <w:spacing w:val="-2"/>
                <w:sz w:val="20"/>
                <w:szCs w:val="20"/>
              </w:rPr>
              <w:t>c</w:t>
            </w:r>
            <w:r w:rsidRPr="00A54361">
              <w:rPr>
                <w:rFonts w:eastAsia="Arial" w:cstheme="minorHAnsi"/>
                <w:spacing w:val="-5"/>
                <w:sz w:val="20"/>
                <w:szCs w:val="20"/>
              </w:rPr>
              <w:t>e</w:t>
            </w:r>
            <w:r w:rsidRPr="00A54361">
              <w:rPr>
                <w:rFonts w:eastAsia="Arial" w:cstheme="minorHAnsi"/>
                <w:spacing w:val="-2"/>
                <w:sz w:val="20"/>
                <w:szCs w:val="20"/>
              </w:rPr>
              <w:t>m</w:t>
            </w:r>
            <w:r w:rsidRPr="00A54361">
              <w:rPr>
                <w:rFonts w:eastAsia="Arial" w:cstheme="minorHAnsi"/>
                <w:spacing w:val="-3"/>
                <w:sz w:val="20"/>
                <w:szCs w:val="20"/>
              </w:rPr>
              <w:t>e</w:t>
            </w:r>
            <w:r w:rsidRPr="00A54361">
              <w:rPr>
                <w:rFonts w:eastAsia="Arial" w:cstheme="minorHAnsi"/>
                <w:spacing w:val="-5"/>
                <w:sz w:val="20"/>
                <w:szCs w:val="20"/>
              </w:rPr>
              <w:t>n</w:t>
            </w:r>
            <w:r w:rsidRPr="00A54361">
              <w:rPr>
                <w:rFonts w:eastAsia="Arial" w:cstheme="minorHAnsi"/>
                <w:sz w:val="20"/>
                <w:szCs w:val="20"/>
              </w:rPr>
              <w:t xml:space="preserve">t </w:t>
            </w:r>
            <w:r w:rsidRPr="00A54361">
              <w:rPr>
                <w:rFonts w:eastAsia="Arial" w:cstheme="minorHAnsi"/>
                <w:spacing w:val="-3"/>
                <w:sz w:val="20"/>
                <w:szCs w:val="20"/>
              </w:rPr>
              <w:t>de</w:t>
            </w:r>
            <w:r w:rsidRPr="00A54361">
              <w:rPr>
                <w:rFonts w:eastAsia="Arial" w:cstheme="minorHAnsi"/>
                <w:spacing w:val="-2"/>
                <w:sz w:val="20"/>
                <w:szCs w:val="20"/>
              </w:rPr>
              <w:t>v</w:t>
            </w:r>
            <w:r w:rsidRPr="00A54361">
              <w:rPr>
                <w:rFonts w:eastAsia="Arial" w:cstheme="minorHAnsi"/>
                <w:spacing w:val="-3"/>
                <w:sz w:val="20"/>
                <w:szCs w:val="20"/>
              </w:rPr>
              <w:t>i</w:t>
            </w:r>
            <w:r w:rsidRPr="00A54361">
              <w:rPr>
                <w:rFonts w:eastAsia="Arial" w:cstheme="minorHAnsi"/>
                <w:spacing w:val="-2"/>
                <w:sz w:val="20"/>
                <w:szCs w:val="20"/>
              </w:rPr>
              <w:t>c</w:t>
            </w:r>
            <w:r w:rsidRPr="00A54361">
              <w:rPr>
                <w:rFonts w:eastAsia="Arial" w:cstheme="minorHAnsi"/>
                <w:spacing w:val="-3"/>
                <w:sz w:val="20"/>
                <w:szCs w:val="20"/>
              </w:rPr>
              <w:t>e</w:t>
            </w:r>
            <w:r w:rsidRPr="00A54361">
              <w:rPr>
                <w:rFonts w:eastAsia="Arial" w:cstheme="minorHAnsi"/>
                <w:sz w:val="20"/>
                <w:szCs w:val="20"/>
              </w:rPr>
              <w:t>s</w:t>
            </w:r>
            <w:r w:rsidRPr="00A54361">
              <w:rPr>
                <w:rFonts w:eastAsia="Arial" w:cstheme="minorHAnsi"/>
                <w:spacing w:val="8"/>
                <w:sz w:val="20"/>
                <w:szCs w:val="20"/>
              </w:rPr>
              <w:t xml:space="preserve"> </w:t>
            </w:r>
            <w:r w:rsidRPr="00A54361">
              <w:rPr>
                <w:rFonts w:eastAsia="Arial" w:cstheme="minorHAnsi"/>
                <w:spacing w:val="-3"/>
                <w:sz w:val="20"/>
                <w:szCs w:val="20"/>
              </w:rPr>
              <w:t>a</w:t>
            </w:r>
            <w:r w:rsidRPr="00A54361">
              <w:rPr>
                <w:rFonts w:eastAsia="Arial" w:cstheme="minorHAnsi"/>
                <w:spacing w:val="-2"/>
                <w:sz w:val="20"/>
                <w:szCs w:val="20"/>
              </w:rPr>
              <w:t>r</w:t>
            </w:r>
            <w:r w:rsidRPr="00A54361">
              <w:rPr>
                <w:rFonts w:eastAsia="Arial" w:cstheme="minorHAnsi"/>
                <w:sz w:val="20"/>
                <w:szCs w:val="20"/>
              </w:rPr>
              <w:t xml:space="preserve">e </w:t>
            </w:r>
            <w:r w:rsidRPr="00A54361">
              <w:rPr>
                <w:rFonts w:eastAsia="Arial" w:cstheme="minorHAnsi"/>
                <w:spacing w:val="1"/>
                <w:sz w:val="20"/>
                <w:szCs w:val="20"/>
              </w:rPr>
              <w:t>m</w:t>
            </w:r>
            <w:r w:rsidRPr="00A54361">
              <w:rPr>
                <w:rFonts w:eastAsia="Arial" w:cstheme="minorHAnsi"/>
                <w:sz w:val="20"/>
                <w:szCs w:val="20"/>
              </w:rPr>
              <w:t>a</w:t>
            </w:r>
            <w:r w:rsidRPr="00A54361">
              <w:rPr>
                <w:rFonts w:eastAsia="Arial" w:cstheme="minorHAnsi"/>
                <w:spacing w:val="-1"/>
                <w:sz w:val="20"/>
                <w:szCs w:val="20"/>
              </w:rPr>
              <w:t>d</w:t>
            </w:r>
            <w:r w:rsidRPr="00A54361">
              <w:rPr>
                <w:rFonts w:eastAsia="Arial" w:cstheme="minorHAnsi"/>
                <w:sz w:val="20"/>
                <w:szCs w:val="20"/>
              </w:rPr>
              <w:t>e</w:t>
            </w:r>
            <w:r w:rsidRPr="00A54361">
              <w:rPr>
                <w:rFonts w:eastAsia="Arial" w:cstheme="minorHAnsi"/>
                <w:spacing w:val="9"/>
                <w:sz w:val="20"/>
                <w:szCs w:val="20"/>
              </w:rPr>
              <w:t xml:space="preserve"> </w:t>
            </w:r>
            <w:r w:rsidRPr="00A54361">
              <w:rPr>
                <w:rFonts w:eastAsia="Arial" w:cstheme="minorHAnsi"/>
                <w:sz w:val="20"/>
                <w:szCs w:val="20"/>
              </w:rPr>
              <w:t>a</w:t>
            </w:r>
            <w:r w:rsidRPr="00A54361">
              <w:rPr>
                <w:rFonts w:eastAsia="Arial" w:cstheme="minorHAnsi"/>
                <w:spacing w:val="-5"/>
                <w:sz w:val="20"/>
                <w:szCs w:val="20"/>
              </w:rPr>
              <w:t>v</w:t>
            </w:r>
            <w:r w:rsidRPr="00A54361">
              <w:rPr>
                <w:rFonts w:eastAsia="Arial" w:cstheme="minorHAnsi"/>
                <w:spacing w:val="-3"/>
                <w:sz w:val="20"/>
                <w:szCs w:val="20"/>
              </w:rPr>
              <w:t>a</w:t>
            </w:r>
            <w:r w:rsidRPr="00A54361">
              <w:rPr>
                <w:rFonts w:eastAsia="Arial" w:cstheme="minorHAnsi"/>
                <w:spacing w:val="-1"/>
                <w:sz w:val="20"/>
                <w:szCs w:val="20"/>
              </w:rPr>
              <w:t>il</w:t>
            </w:r>
            <w:r w:rsidRPr="00A54361">
              <w:rPr>
                <w:rFonts w:eastAsia="Arial" w:cstheme="minorHAnsi"/>
                <w:spacing w:val="-3"/>
                <w:sz w:val="20"/>
                <w:szCs w:val="20"/>
              </w:rPr>
              <w:t>abl</w:t>
            </w:r>
            <w:r w:rsidRPr="00A54361">
              <w:rPr>
                <w:rFonts w:eastAsia="Arial" w:cstheme="minorHAnsi"/>
                <w:sz w:val="20"/>
                <w:szCs w:val="20"/>
              </w:rPr>
              <w:t xml:space="preserve">e </w:t>
            </w:r>
            <w:r w:rsidRPr="00A54361">
              <w:rPr>
                <w:rFonts w:eastAsia="Arial" w:cstheme="minorHAnsi"/>
                <w:spacing w:val="1"/>
                <w:sz w:val="20"/>
                <w:szCs w:val="20"/>
              </w:rPr>
              <w:t>t</w:t>
            </w:r>
            <w:r w:rsidRPr="00A54361">
              <w:rPr>
                <w:rFonts w:eastAsia="Arial" w:cstheme="minorHAnsi"/>
                <w:sz w:val="20"/>
                <w:szCs w:val="20"/>
              </w:rPr>
              <w:t>o</w:t>
            </w:r>
            <w:r w:rsidRPr="00A54361">
              <w:rPr>
                <w:rFonts w:eastAsia="Arial" w:cstheme="minorHAnsi"/>
                <w:spacing w:val="-4"/>
                <w:sz w:val="20"/>
                <w:szCs w:val="20"/>
              </w:rPr>
              <w:t xml:space="preserve"> </w:t>
            </w:r>
            <w:r w:rsidRPr="00A54361">
              <w:rPr>
                <w:rFonts w:eastAsia="Arial" w:cstheme="minorHAnsi"/>
                <w:spacing w:val="1"/>
                <w:sz w:val="20"/>
                <w:szCs w:val="20"/>
              </w:rPr>
              <w:t>m</w:t>
            </w:r>
            <w:r w:rsidRPr="00A54361">
              <w:rPr>
                <w:rFonts w:eastAsia="Arial" w:cstheme="minorHAnsi"/>
                <w:sz w:val="20"/>
                <w:szCs w:val="20"/>
              </w:rPr>
              <w:t>e</w:t>
            </w:r>
            <w:r w:rsidRPr="00A54361">
              <w:rPr>
                <w:rFonts w:eastAsia="Arial" w:cstheme="minorHAnsi"/>
                <w:spacing w:val="-3"/>
                <w:sz w:val="20"/>
                <w:szCs w:val="20"/>
              </w:rPr>
              <w:t>e</w:t>
            </w:r>
            <w:r w:rsidRPr="00A54361">
              <w:rPr>
                <w:rFonts w:eastAsia="Arial" w:cstheme="minorHAnsi"/>
                <w:sz w:val="20"/>
                <w:szCs w:val="20"/>
              </w:rPr>
              <w:t xml:space="preserve">t </w:t>
            </w:r>
            <w:r w:rsidRPr="00A54361">
              <w:rPr>
                <w:rFonts w:eastAsia="Arial" w:cstheme="minorHAnsi"/>
                <w:spacing w:val="1"/>
                <w:sz w:val="20"/>
                <w:szCs w:val="20"/>
              </w:rPr>
              <w:t>t</w:t>
            </w:r>
            <w:r w:rsidRPr="00A54361">
              <w:rPr>
                <w:rFonts w:eastAsia="Arial" w:cstheme="minorHAnsi"/>
                <w:sz w:val="20"/>
                <w:szCs w:val="20"/>
              </w:rPr>
              <w:t>he</w:t>
            </w:r>
            <w:r w:rsidRPr="00A54361">
              <w:rPr>
                <w:rFonts w:eastAsia="Arial" w:cstheme="minorHAnsi"/>
                <w:spacing w:val="-1"/>
                <w:sz w:val="20"/>
                <w:szCs w:val="20"/>
              </w:rPr>
              <w:t xml:space="preserve"> S</w:t>
            </w:r>
            <w:r w:rsidRPr="00A54361">
              <w:rPr>
                <w:rFonts w:eastAsia="Arial" w:cstheme="minorHAnsi"/>
                <w:sz w:val="20"/>
                <w:szCs w:val="20"/>
              </w:rPr>
              <w:t>L</w:t>
            </w:r>
            <w:r w:rsidRPr="00A54361">
              <w:rPr>
                <w:rFonts w:eastAsia="Arial" w:cstheme="minorHAnsi"/>
                <w:spacing w:val="-1"/>
                <w:sz w:val="20"/>
                <w:szCs w:val="20"/>
              </w:rPr>
              <w:t>A</w:t>
            </w:r>
            <w:r w:rsidRPr="00A54361">
              <w:rPr>
                <w:rFonts w:eastAsia="Arial" w:cstheme="minorHAnsi"/>
                <w:spacing w:val="-2"/>
                <w:sz w:val="20"/>
                <w:szCs w:val="20"/>
              </w:rPr>
              <w:t>s</w:t>
            </w:r>
            <w:r w:rsidRPr="00A54361">
              <w:rPr>
                <w:rFonts w:eastAsia="Arial" w:cstheme="minorHAnsi"/>
                <w:sz w:val="20"/>
                <w:szCs w:val="20"/>
              </w:rPr>
              <w:t>.</w:t>
            </w:r>
          </w:p>
        </w:tc>
        <w:tc>
          <w:tcPr>
            <w:tcW w:w="3461" w:type="dxa"/>
            <w:tcBorders>
              <w:top w:val="single" w:sz="5" w:space="0" w:color="000000"/>
              <w:left w:val="single" w:sz="8" w:space="0" w:color="000000"/>
              <w:bottom w:val="single" w:sz="5" w:space="0" w:color="000000"/>
              <w:right w:val="single" w:sz="8" w:space="0" w:color="000000"/>
            </w:tcBorders>
          </w:tcPr>
          <w:p w14:paraId="577875CB" w14:textId="77777777" w:rsidR="00DE0658" w:rsidRPr="00A54361" w:rsidRDefault="00DE0658" w:rsidP="00A54361">
            <w:pPr>
              <w:jc w:val="both"/>
              <w:rPr>
                <w:sz w:val="20"/>
                <w:szCs w:val="20"/>
              </w:rPr>
            </w:pPr>
            <w:r w:rsidRPr="00A54361">
              <w:rPr>
                <w:sz w:val="20"/>
                <w:szCs w:val="20"/>
              </w:rPr>
              <w:t>Penal</w:t>
            </w:r>
            <w:r w:rsidRPr="00A54361">
              <w:rPr>
                <w:spacing w:val="1"/>
                <w:sz w:val="20"/>
                <w:szCs w:val="20"/>
              </w:rPr>
              <w:t>t</w:t>
            </w:r>
            <w:r w:rsidRPr="00A54361">
              <w:rPr>
                <w:sz w:val="20"/>
                <w:szCs w:val="20"/>
              </w:rPr>
              <w:t xml:space="preserve">y </w:t>
            </w:r>
            <w:r w:rsidRPr="00A54361">
              <w:rPr>
                <w:spacing w:val="3"/>
                <w:sz w:val="20"/>
                <w:szCs w:val="20"/>
              </w:rPr>
              <w:t xml:space="preserve"> </w:t>
            </w:r>
            <w:r w:rsidRPr="00A54361">
              <w:rPr>
                <w:spacing w:val="-2"/>
                <w:sz w:val="20"/>
                <w:szCs w:val="20"/>
              </w:rPr>
              <w:t>(</w:t>
            </w:r>
            <w:r w:rsidRPr="00A54361">
              <w:rPr>
                <w:sz w:val="20"/>
                <w:szCs w:val="20"/>
              </w:rPr>
              <w:t xml:space="preserve">as </w:t>
            </w:r>
            <w:r w:rsidRPr="00A54361">
              <w:rPr>
                <w:spacing w:val="5"/>
                <w:sz w:val="20"/>
                <w:szCs w:val="20"/>
              </w:rPr>
              <w:t xml:space="preserve"> </w:t>
            </w:r>
            <w:r w:rsidRPr="00A54361">
              <w:rPr>
                <w:spacing w:val="-2"/>
                <w:sz w:val="20"/>
                <w:szCs w:val="20"/>
              </w:rPr>
              <w:t>m</w:t>
            </w:r>
            <w:r w:rsidRPr="00A54361">
              <w:rPr>
                <w:sz w:val="20"/>
                <w:szCs w:val="20"/>
              </w:rPr>
              <w:t>en</w:t>
            </w:r>
            <w:r w:rsidRPr="00A54361">
              <w:rPr>
                <w:spacing w:val="-1"/>
                <w:sz w:val="20"/>
                <w:szCs w:val="20"/>
              </w:rPr>
              <w:t>t</w:t>
            </w:r>
            <w:r w:rsidRPr="00A54361">
              <w:rPr>
                <w:sz w:val="20"/>
                <w:szCs w:val="20"/>
              </w:rPr>
              <w:t xml:space="preserve">ioned </w:t>
            </w:r>
            <w:r w:rsidRPr="00A54361">
              <w:rPr>
                <w:spacing w:val="32"/>
                <w:sz w:val="20"/>
                <w:szCs w:val="20"/>
              </w:rPr>
              <w:t xml:space="preserve"> </w:t>
            </w:r>
            <w:r w:rsidRPr="00A54361">
              <w:rPr>
                <w:sz w:val="20"/>
                <w:szCs w:val="20"/>
              </w:rPr>
              <w:t>Belo</w:t>
            </w:r>
            <w:r w:rsidRPr="00A54361">
              <w:rPr>
                <w:spacing w:val="-6"/>
                <w:sz w:val="20"/>
                <w:szCs w:val="20"/>
              </w:rPr>
              <w:t>w</w:t>
            </w:r>
            <w:r w:rsidRPr="00A54361">
              <w:rPr>
                <w:sz w:val="20"/>
                <w:szCs w:val="20"/>
              </w:rPr>
              <w:t xml:space="preserve">) </w:t>
            </w:r>
            <w:r w:rsidRPr="00A54361">
              <w:rPr>
                <w:spacing w:val="42"/>
                <w:sz w:val="20"/>
                <w:szCs w:val="20"/>
              </w:rPr>
              <w:t xml:space="preserve"> </w:t>
            </w:r>
            <w:r w:rsidRPr="00A54361">
              <w:rPr>
                <w:sz w:val="20"/>
                <w:szCs w:val="20"/>
              </w:rPr>
              <w:t>of</w:t>
            </w:r>
          </w:p>
          <w:p w14:paraId="434BCE27" w14:textId="2ED0CA8B" w:rsidR="00DE0658" w:rsidRPr="00A54361" w:rsidRDefault="00DE0658" w:rsidP="00A54361">
            <w:pPr>
              <w:jc w:val="both"/>
            </w:pPr>
            <w:r w:rsidRPr="00A54361">
              <w:rPr>
                <w:spacing w:val="1"/>
                <w:sz w:val="20"/>
                <w:szCs w:val="20"/>
              </w:rPr>
              <w:t>t</w:t>
            </w:r>
            <w:r w:rsidRPr="00A54361">
              <w:rPr>
                <w:sz w:val="20"/>
                <w:szCs w:val="20"/>
              </w:rPr>
              <w:t xml:space="preserve">he   </w:t>
            </w:r>
            <w:r w:rsidRPr="00A54361">
              <w:rPr>
                <w:spacing w:val="1"/>
                <w:sz w:val="20"/>
                <w:szCs w:val="20"/>
              </w:rPr>
              <w:t>m</w:t>
            </w:r>
            <w:r w:rsidRPr="00A54361">
              <w:rPr>
                <w:sz w:val="20"/>
                <w:szCs w:val="20"/>
              </w:rPr>
              <w:t>o</w:t>
            </w:r>
            <w:r w:rsidRPr="00A54361">
              <w:rPr>
                <w:spacing w:val="-1"/>
                <w:sz w:val="20"/>
                <w:szCs w:val="20"/>
              </w:rPr>
              <w:t>n</w:t>
            </w:r>
            <w:r w:rsidRPr="00A54361">
              <w:rPr>
                <w:spacing w:val="1"/>
                <w:sz w:val="20"/>
                <w:szCs w:val="20"/>
              </w:rPr>
              <w:t>t</w:t>
            </w:r>
            <w:r w:rsidRPr="00A54361">
              <w:rPr>
                <w:sz w:val="20"/>
                <w:szCs w:val="20"/>
              </w:rPr>
              <w:t>h</w:t>
            </w:r>
            <w:r w:rsidRPr="00A54361">
              <w:rPr>
                <w:spacing w:val="-1"/>
                <w:sz w:val="20"/>
                <w:szCs w:val="20"/>
              </w:rPr>
              <w:t>l</w:t>
            </w:r>
            <w:r w:rsidRPr="00A54361">
              <w:rPr>
                <w:sz w:val="20"/>
                <w:szCs w:val="20"/>
              </w:rPr>
              <w:t xml:space="preserve">y </w:t>
            </w:r>
            <w:r w:rsidR="003A7DC8" w:rsidRPr="00A54361">
              <w:rPr>
                <w:sz w:val="20"/>
                <w:szCs w:val="20"/>
              </w:rPr>
              <w:t>FMS charges</w:t>
            </w:r>
            <w:r w:rsidR="009B3F51" w:rsidRPr="00A54361">
              <w:rPr>
                <w:sz w:val="20"/>
                <w:szCs w:val="20"/>
              </w:rPr>
              <w:t>.</w:t>
            </w:r>
            <w:r w:rsidR="003A7DC8" w:rsidRPr="00A54361">
              <w:rPr>
                <w:sz w:val="20"/>
                <w:szCs w:val="20"/>
              </w:rPr>
              <w:t xml:space="preserve"> </w:t>
            </w:r>
            <w:r w:rsidRPr="00A54361">
              <w:rPr>
                <w:sz w:val="20"/>
                <w:szCs w:val="20"/>
              </w:rPr>
              <w:t>The</w:t>
            </w:r>
            <w:r w:rsidRPr="00A54361">
              <w:rPr>
                <w:spacing w:val="-2"/>
                <w:sz w:val="20"/>
                <w:szCs w:val="20"/>
              </w:rPr>
              <w:t>s</w:t>
            </w:r>
            <w:r w:rsidRPr="00A54361">
              <w:rPr>
                <w:sz w:val="20"/>
                <w:szCs w:val="20"/>
              </w:rPr>
              <w:t>e</w:t>
            </w:r>
            <w:r w:rsidRPr="00A54361">
              <w:rPr>
                <w:spacing w:val="4"/>
                <w:sz w:val="20"/>
                <w:szCs w:val="20"/>
              </w:rPr>
              <w:t xml:space="preserve"> </w:t>
            </w:r>
            <w:r w:rsidRPr="00A54361">
              <w:rPr>
                <w:sz w:val="20"/>
                <w:szCs w:val="20"/>
              </w:rPr>
              <w:t>p</w:t>
            </w:r>
            <w:r w:rsidRPr="00A54361">
              <w:rPr>
                <w:spacing w:val="-5"/>
                <w:sz w:val="20"/>
                <w:szCs w:val="20"/>
              </w:rPr>
              <w:t>e</w:t>
            </w:r>
            <w:r w:rsidRPr="00A54361">
              <w:rPr>
                <w:sz w:val="20"/>
                <w:szCs w:val="20"/>
              </w:rPr>
              <w:t>nal</w:t>
            </w:r>
            <w:r w:rsidRPr="00A54361">
              <w:rPr>
                <w:spacing w:val="-1"/>
                <w:sz w:val="20"/>
                <w:szCs w:val="20"/>
              </w:rPr>
              <w:t>t</w:t>
            </w:r>
            <w:r w:rsidRPr="00A54361">
              <w:rPr>
                <w:sz w:val="20"/>
                <w:szCs w:val="20"/>
              </w:rPr>
              <w:t>ies</w:t>
            </w:r>
            <w:r w:rsidRPr="00A54361">
              <w:rPr>
                <w:spacing w:val="9"/>
                <w:sz w:val="20"/>
                <w:szCs w:val="20"/>
              </w:rPr>
              <w:t xml:space="preserve"> </w:t>
            </w:r>
            <w:r w:rsidRPr="00A54361">
              <w:rPr>
                <w:sz w:val="20"/>
                <w:szCs w:val="20"/>
              </w:rPr>
              <w:t>w</w:t>
            </w:r>
            <w:r w:rsidRPr="00A54361">
              <w:rPr>
                <w:spacing w:val="-1"/>
                <w:sz w:val="20"/>
                <w:szCs w:val="20"/>
              </w:rPr>
              <w:t>i</w:t>
            </w:r>
            <w:r w:rsidRPr="00A54361">
              <w:rPr>
                <w:sz w:val="20"/>
                <w:szCs w:val="20"/>
              </w:rPr>
              <w:t xml:space="preserve">ll be </w:t>
            </w:r>
            <w:r w:rsidRPr="00A54361">
              <w:rPr>
                <w:spacing w:val="7"/>
                <w:sz w:val="20"/>
                <w:szCs w:val="20"/>
              </w:rPr>
              <w:t xml:space="preserve"> </w:t>
            </w:r>
            <w:r w:rsidRPr="00A54361">
              <w:rPr>
                <w:sz w:val="20"/>
                <w:szCs w:val="20"/>
              </w:rPr>
              <w:t>dedu</w:t>
            </w:r>
            <w:r w:rsidRPr="00A54361">
              <w:rPr>
                <w:spacing w:val="-2"/>
                <w:sz w:val="20"/>
                <w:szCs w:val="20"/>
              </w:rPr>
              <w:t>c</w:t>
            </w:r>
            <w:r w:rsidRPr="00A54361">
              <w:rPr>
                <w:spacing w:val="-1"/>
                <w:sz w:val="20"/>
                <w:szCs w:val="20"/>
              </w:rPr>
              <w:t>t</w:t>
            </w:r>
            <w:r w:rsidRPr="00A54361">
              <w:rPr>
                <w:sz w:val="20"/>
                <w:szCs w:val="20"/>
              </w:rPr>
              <w:t>ed  again</w:t>
            </w:r>
            <w:r w:rsidRPr="00A54361">
              <w:rPr>
                <w:spacing w:val="-2"/>
                <w:sz w:val="20"/>
                <w:szCs w:val="20"/>
              </w:rPr>
              <w:t>s</w:t>
            </w:r>
            <w:r w:rsidRPr="00A54361">
              <w:rPr>
                <w:sz w:val="20"/>
                <w:szCs w:val="20"/>
              </w:rPr>
              <w:t xml:space="preserve">t </w:t>
            </w:r>
            <w:r w:rsidRPr="00A54361">
              <w:rPr>
                <w:spacing w:val="4"/>
                <w:sz w:val="20"/>
                <w:szCs w:val="20"/>
              </w:rPr>
              <w:t xml:space="preserve"> </w:t>
            </w:r>
            <w:r w:rsidRPr="00A54361">
              <w:rPr>
                <w:sz w:val="20"/>
                <w:szCs w:val="20"/>
              </w:rPr>
              <w:t xml:space="preserve">any </w:t>
            </w:r>
            <w:r w:rsidR="003A7DC8" w:rsidRPr="00A54361">
              <w:rPr>
                <w:sz w:val="20"/>
                <w:szCs w:val="20"/>
              </w:rPr>
              <w:t xml:space="preserve">subsequent </w:t>
            </w:r>
            <w:r w:rsidRPr="00A54361">
              <w:rPr>
                <w:sz w:val="20"/>
                <w:szCs w:val="20"/>
              </w:rPr>
              <w:t>payable a</w:t>
            </w:r>
            <w:r w:rsidRPr="00A54361">
              <w:rPr>
                <w:spacing w:val="-2"/>
                <w:sz w:val="20"/>
                <w:szCs w:val="20"/>
              </w:rPr>
              <w:t>m</w:t>
            </w:r>
            <w:r w:rsidRPr="00A54361">
              <w:rPr>
                <w:sz w:val="20"/>
                <w:szCs w:val="20"/>
              </w:rPr>
              <w:t>ount by</w:t>
            </w:r>
            <w:r w:rsidRPr="00A54361">
              <w:rPr>
                <w:spacing w:val="-2"/>
                <w:sz w:val="20"/>
                <w:szCs w:val="20"/>
              </w:rPr>
              <w:t xml:space="preserve"> </w:t>
            </w:r>
            <w:r w:rsidRPr="00A54361">
              <w:rPr>
                <w:spacing w:val="1"/>
                <w:sz w:val="20"/>
                <w:szCs w:val="20"/>
              </w:rPr>
              <w:t>t</w:t>
            </w:r>
            <w:r w:rsidRPr="00A54361">
              <w:rPr>
                <w:sz w:val="20"/>
                <w:szCs w:val="20"/>
              </w:rPr>
              <w:t>he</w:t>
            </w:r>
            <w:r w:rsidRPr="00A54361">
              <w:rPr>
                <w:spacing w:val="-1"/>
                <w:sz w:val="20"/>
                <w:szCs w:val="20"/>
              </w:rPr>
              <w:t xml:space="preserve"> </w:t>
            </w:r>
            <w:r w:rsidRPr="00A54361">
              <w:rPr>
                <w:sz w:val="20"/>
                <w:szCs w:val="20"/>
              </w:rPr>
              <w:t>Ban</w:t>
            </w:r>
            <w:r w:rsidR="006F7C17" w:rsidRPr="00A54361">
              <w:rPr>
                <w:sz w:val="20"/>
                <w:szCs w:val="20"/>
              </w:rPr>
              <w:t>k like FMS / AMC / ATS etc.</w:t>
            </w:r>
            <w:r w:rsidR="00EA6980" w:rsidRPr="00A54361">
              <w:rPr>
                <w:sz w:val="20"/>
                <w:szCs w:val="20"/>
              </w:rPr>
              <w:t>whichever is higher</w:t>
            </w:r>
          </w:p>
        </w:tc>
      </w:tr>
      <w:tr w:rsidR="000D3DC1" w:rsidRPr="00A54361" w14:paraId="12B11C7F" w14:textId="77777777" w:rsidTr="00715187">
        <w:trPr>
          <w:trHeight w:hRule="exact" w:val="276"/>
        </w:trPr>
        <w:tc>
          <w:tcPr>
            <w:tcW w:w="722" w:type="dxa"/>
            <w:vMerge/>
            <w:tcBorders>
              <w:left w:val="single" w:sz="8" w:space="0" w:color="000000"/>
              <w:right w:val="single" w:sz="8" w:space="0" w:color="000000"/>
            </w:tcBorders>
          </w:tcPr>
          <w:p w14:paraId="37A1FD9B" w14:textId="77777777" w:rsidR="00DE0658" w:rsidRPr="00A54361" w:rsidRDefault="00DE0658" w:rsidP="00A54361">
            <w:pPr>
              <w:ind w:left="-1"/>
              <w:jc w:val="both"/>
              <w:rPr>
                <w:rFonts w:cstheme="minorHAnsi"/>
                <w:sz w:val="20"/>
                <w:szCs w:val="20"/>
              </w:rPr>
            </w:pPr>
          </w:p>
        </w:tc>
        <w:tc>
          <w:tcPr>
            <w:tcW w:w="2432" w:type="dxa"/>
            <w:vMerge/>
            <w:tcBorders>
              <w:left w:val="single" w:sz="8" w:space="0" w:color="000000"/>
              <w:right w:val="single" w:sz="8" w:space="0" w:color="000000"/>
            </w:tcBorders>
          </w:tcPr>
          <w:p w14:paraId="5C8AF102" w14:textId="77777777" w:rsidR="00DE0658" w:rsidRPr="00A54361" w:rsidRDefault="00DE0658" w:rsidP="00A54361">
            <w:pPr>
              <w:ind w:left="53" w:right="89"/>
              <w:jc w:val="both"/>
              <w:rPr>
                <w:rFonts w:cstheme="minorHAnsi"/>
                <w:sz w:val="20"/>
                <w:szCs w:val="20"/>
              </w:rPr>
            </w:pPr>
          </w:p>
        </w:tc>
        <w:tc>
          <w:tcPr>
            <w:tcW w:w="2765" w:type="dxa"/>
            <w:tcBorders>
              <w:top w:val="single" w:sz="5" w:space="0" w:color="000000"/>
              <w:left w:val="single" w:sz="8" w:space="0" w:color="000000"/>
              <w:bottom w:val="single" w:sz="8" w:space="0" w:color="000000"/>
              <w:right w:val="single" w:sz="8" w:space="0" w:color="000000"/>
            </w:tcBorders>
          </w:tcPr>
          <w:p w14:paraId="594CC16D" w14:textId="77777777" w:rsidR="00DE0658" w:rsidRPr="00A54361" w:rsidRDefault="00DE0658" w:rsidP="00A54361">
            <w:pPr>
              <w:spacing w:line="240" w:lineRule="exact"/>
              <w:ind w:left="32" w:right="166"/>
              <w:jc w:val="both"/>
              <w:rPr>
                <w:rFonts w:eastAsia="Arial" w:cstheme="minorHAnsi"/>
                <w:sz w:val="20"/>
                <w:szCs w:val="20"/>
              </w:rPr>
            </w:pPr>
            <w:r w:rsidRPr="00A54361">
              <w:rPr>
                <w:rFonts w:eastAsia="Arial" w:cstheme="minorHAnsi"/>
                <w:spacing w:val="-3"/>
                <w:sz w:val="20"/>
                <w:szCs w:val="20"/>
              </w:rPr>
              <w:t>99</w:t>
            </w:r>
            <w:r w:rsidRPr="00A54361">
              <w:rPr>
                <w:rFonts w:eastAsia="Arial" w:cstheme="minorHAnsi"/>
                <w:spacing w:val="-1"/>
                <w:sz w:val="20"/>
                <w:szCs w:val="20"/>
              </w:rPr>
              <w:t>.</w:t>
            </w:r>
            <w:r w:rsidRPr="00A54361">
              <w:rPr>
                <w:rFonts w:eastAsia="Arial" w:cstheme="minorHAnsi"/>
                <w:spacing w:val="-3"/>
                <w:sz w:val="20"/>
                <w:szCs w:val="20"/>
              </w:rPr>
              <w:t>9</w:t>
            </w:r>
            <w:r w:rsidRPr="00A54361">
              <w:rPr>
                <w:rFonts w:eastAsia="Arial" w:cstheme="minorHAnsi"/>
                <w:sz w:val="20"/>
                <w:szCs w:val="20"/>
              </w:rPr>
              <w:t xml:space="preserve">% </w:t>
            </w:r>
            <w:r w:rsidRPr="00A54361">
              <w:rPr>
                <w:rFonts w:eastAsia="Arial" w:cstheme="minorHAnsi"/>
                <w:spacing w:val="-3"/>
                <w:sz w:val="20"/>
                <w:szCs w:val="20"/>
              </w:rPr>
              <w:t>an</w:t>
            </w:r>
            <w:r w:rsidRPr="00A54361">
              <w:rPr>
                <w:rFonts w:eastAsia="Arial" w:cstheme="minorHAnsi"/>
                <w:sz w:val="20"/>
                <w:szCs w:val="20"/>
              </w:rPr>
              <w:t>d</w:t>
            </w:r>
            <w:r w:rsidRPr="00A54361">
              <w:rPr>
                <w:rFonts w:eastAsia="Arial" w:cstheme="minorHAnsi"/>
                <w:spacing w:val="-1"/>
                <w:sz w:val="20"/>
                <w:szCs w:val="20"/>
              </w:rPr>
              <w:t xml:space="preserve"> </w:t>
            </w:r>
            <w:r w:rsidRPr="00A54361">
              <w:rPr>
                <w:rFonts w:eastAsia="Arial" w:cstheme="minorHAnsi"/>
                <w:spacing w:val="-3"/>
                <w:sz w:val="20"/>
                <w:szCs w:val="20"/>
              </w:rPr>
              <w:t>abo</w:t>
            </w:r>
            <w:r w:rsidRPr="00A54361">
              <w:rPr>
                <w:rFonts w:eastAsia="Arial" w:cstheme="minorHAnsi"/>
                <w:spacing w:val="-5"/>
                <w:sz w:val="20"/>
                <w:szCs w:val="20"/>
              </w:rPr>
              <w:t>v</w:t>
            </w:r>
            <w:r w:rsidRPr="00A54361">
              <w:rPr>
                <w:rFonts w:eastAsia="Arial" w:cstheme="minorHAnsi"/>
                <w:sz w:val="20"/>
                <w:szCs w:val="20"/>
              </w:rPr>
              <w:t>e</w:t>
            </w:r>
          </w:p>
        </w:tc>
        <w:tc>
          <w:tcPr>
            <w:tcW w:w="3461" w:type="dxa"/>
            <w:tcBorders>
              <w:top w:val="single" w:sz="5" w:space="0" w:color="000000"/>
              <w:left w:val="single" w:sz="8" w:space="0" w:color="000000"/>
              <w:bottom w:val="single" w:sz="8" w:space="0" w:color="000000"/>
              <w:right w:val="single" w:sz="8" w:space="0" w:color="000000"/>
            </w:tcBorders>
          </w:tcPr>
          <w:p w14:paraId="70A55B6B" w14:textId="77777777" w:rsidR="00DE0658" w:rsidRPr="00A54361" w:rsidRDefault="00DE0658" w:rsidP="00A54361">
            <w:pPr>
              <w:spacing w:line="240" w:lineRule="exact"/>
              <w:ind w:left="97" w:right="82"/>
              <w:jc w:val="both"/>
              <w:rPr>
                <w:rFonts w:eastAsia="Arial" w:cstheme="minorHAnsi"/>
                <w:sz w:val="20"/>
                <w:szCs w:val="20"/>
              </w:rPr>
            </w:pPr>
            <w:r w:rsidRPr="00A54361">
              <w:rPr>
                <w:rFonts w:eastAsia="Arial" w:cstheme="minorHAnsi"/>
                <w:spacing w:val="-1"/>
                <w:sz w:val="20"/>
                <w:szCs w:val="20"/>
              </w:rPr>
              <w:t>NA</w:t>
            </w:r>
          </w:p>
        </w:tc>
      </w:tr>
      <w:tr w:rsidR="000D3DC1" w:rsidRPr="00A54361" w14:paraId="25BA5847" w14:textId="77777777" w:rsidTr="00715187">
        <w:trPr>
          <w:trHeight w:hRule="exact" w:val="271"/>
        </w:trPr>
        <w:tc>
          <w:tcPr>
            <w:tcW w:w="722" w:type="dxa"/>
            <w:vMerge/>
            <w:tcBorders>
              <w:left w:val="single" w:sz="8" w:space="0" w:color="000000"/>
              <w:right w:val="single" w:sz="8" w:space="0" w:color="000000"/>
            </w:tcBorders>
          </w:tcPr>
          <w:p w14:paraId="2F9EFB18" w14:textId="77777777" w:rsidR="00DE0658" w:rsidRPr="00A54361" w:rsidRDefault="00DE0658" w:rsidP="00A54361">
            <w:pPr>
              <w:ind w:left="-1"/>
              <w:jc w:val="both"/>
              <w:rPr>
                <w:rFonts w:cstheme="minorHAnsi"/>
                <w:sz w:val="20"/>
                <w:szCs w:val="20"/>
              </w:rPr>
            </w:pPr>
          </w:p>
        </w:tc>
        <w:tc>
          <w:tcPr>
            <w:tcW w:w="2432" w:type="dxa"/>
            <w:vMerge/>
            <w:tcBorders>
              <w:left w:val="single" w:sz="8" w:space="0" w:color="000000"/>
              <w:right w:val="single" w:sz="8" w:space="0" w:color="000000"/>
            </w:tcBorders>
          </w:tcPr>
          <w:p w14:paraId="0113A216" w14:textId="77777777" w:rsidR="00DE0658" w:rsidRPr="00A54361" w:rsidRDefault="00DE0658" w:rsidP="00A54361">
            <w:pPr>
              <w:ind w:left="53" w:right="89"/>
              <w:jc w:val="both"/>
              <w:rPr>
                <w:rFonts w:cstheme="minorHAnsi"/>
                <w:sz w:val="20"/>
                <w:szCs w:val="20"/>
              </w:rPr>
            </w:pPr>
          </w:p>
        </w:tc>
        <w:tc>
          <w:tcPr>
            <w:tcW w:w="2765" w:type="dxa"/>
            <w:tcBorders>
              <w:top w:val="single" w:sz="8" w:space="0" w:color="000000"/>
              <w:left w:val="single" w:sz="8" w:space="0" w:color="000000"/>
              <w:bottom w:val="single" w:sz="8" w:space="0" w:color="000000"/>
              <w:right w:val="single" w:sz="8" w:space="0" w:color="000000"/>
            </w:tcBorders>
          </w:tcPr>
          <w:p w14:paraId="693DDBB7" w14:textId="77777777" w:rsidR="00DE0658" w:rsidRPr="00A54361" w:rsidRDefault="00DE0658" w:rsidP="00A54361">
            <w:pPr>
              <w:spacing w:line="240" w:lineRule="exact"/>
              <w:ind w:left="32" w:right="166"/>
              <w:jc w:val="both"/>
              <w:rPr>
                <w:rFonts w:eastAsia="Arial" w:cstheme="minorHAnsi"/>
                <w:sz w:val="20"/>
                <w:szCs w:val="20"/>
              </w:rPr>
            </w:pPr>
            <w:r w:rsidRPr="00A54361">
              <w:rPr>
                <w:rFonts w:eastAsia="Arial" w:cstheme="minorHAnsi"/>
                <w:spacing w:val="-3"/>
                <w:position w:val="-1"/>
                <w:sz w:val="20"/>
                <w:szCs w:val="20"/>
              </w:rPr>
              <w:t>98</w:t>
            </w:r>
            <w:r w:rsidRPr="00A54361">
              <w:rPr>
                <w:rFonts w:eastAsia="Arial" w:cstheme="minorHAnsi"/>
                <w:position w:val="-1"/>
                <w:sz w:val="20"/>
                <w:szCs w:val="20"/>
              </w:rPr>
              <w:t>%</w:t>
            </w:r>
            <w:r w:rsidRPr="00A54361">
              <w:rPr>
                <w:rFonts w:eastAsia="Arial" w:cstheme="minorHAnsi"/>
                <w:spacing w:val="-3"/>
                <w:position w:val="-1"/>
                <w:sz w:val="20"/>
                <w:szCs w:val="20"/>
              </w:rPr>
              <w:t xml:space="preserve"> </w:t>
            </w:r>
            <w:r w:rsidRPr="00A54361">
              <w:rPr>
                <w:rFonts w:eastAsia="Arial" w:cstheme="minorHAnsi"/>
                <w:spacing w:val="-1"/>
                <w:position w:val="-1"/>
                <w:sz w:val="20"/>
                <w:szCs w:val="20"/>
              </w:rPr>
              <w:t>t</w:t>
            </w:r>
            <w:r w:rsidRPr="00A54361">
              <w:rPr>
                <w:rFonts w:eastAsia="Arial" w:cstheme="minorHAnsi"/>
                <w:position w:val="-1"/>
                <w:sz w:val="20"/>
                <w:szCs w:val="20"/>
              </w:rPr>
              <w:t>o</w:t>
            </w:r>
            <w:r w:rsidRPr="00A54361">
              <w:rPr>
                <w:rFonts w:eastAsia="Arial" w:cstheme="minorHAnsi"/>
                <w:spacing w:val="-4"/>
                <w:position w:val="-1"/>
                <w:sz w:val="20"/>
                <w:szCs w:val="20"/>
              </w:rPr>
              <w:t xml:space="preserve"> </w:t>
            </w:r>
            <w:r w:rsidRPr="00A54361">
              <w:rPr>
                <w:rFonts w:eastAsia="Arial" w:cstheme="minorHAnsi"/>
                <w:spacing w:val="-3"/>
                <w:position w:val="-1"/>
                <w:sz w:val="20"/>
                <w:szCs w:val="20"/>
              </w:rPr>
              <w:t>99</w:t>
            </w:r>
            <w:r w:rsidRPr="00A54361">
              <w:rPr>
                <w:rFonts w:eastAsia="Arial" w:cstheme="minorHAnsi"/>
                <w:spacing w:val="-1"/>
                <w:position w:val="-1"/>
                <w:sz w:val="20"/>
                <w:szCs w:val="20"/>
              </w:rPr>
              <w:t>.</w:t>
            </w:r>
            <w:r w:rsidRPr="00A54361">
              <w:rPr>
                <w:rFonts w:eastAsia="Arial" w:cstheme="minorHAnsi"/>
                <w:spacing w:val="-3"/>
                <w:position w:val="-1"/>
                <w:sz w:val="20"/>
                <w:szCs w:val="20"/>
              </w:rPr>
              <w:t>89</w:t>
            </w:r>
            <w:r w:rsidRPr="00A54361">
              <w:rPr>
                <w:rFonts w:eastAsia="Arial" w:cstheme="minorHAnsi"/>
                <w:position w:val="-1"/>
                <w:sz w:val="20"/>
                <w:szCs w:val="20"/>
              </w:rPr>
              <w:t>%</w:t>
            </w:r>
          </w:p>
        </w:tc>
        <w:tc>
          <w:tcPr>
            <w:tcW w:w="3461" w:type="dxa"/>
            <w:tcBorders>
              <w:top w:val="single" w:sz="8" w:space="0" w:color="000000"/>
              <w:left w:val="single" w:sz="8" w:space="0" w:color="000000"/>
              <w:bottom w:val="single" w:sz="8" w:space="0" w:color="000000"/>
              <w:right w:val="single" w:sz="8" w:space="0" w:color="000000"/>
            </w:tcBorders>
          </w:tcPr>
          <w:p w14:paraId="0522DE64" w14:textId="77777777" w:rsidR="00DE0658" w:rsidRPr="00A54361" w:rsidRDefault="00DE0658" w:rsidP="00A54361">
            <w:pPr>
              <w:spacing w:line="240" w:lineRule="exact"/>
              <w:ind w:left="97" w:right="82"/>
              <w:jc w:val="both"/>
              <w:rPr>
                <w:rFonts w:eastAsia="Arial" w:cstheme="minorHAnsi"/>
                <w:sz w:val="20"/>
                <w:szCs w:val="20"/>
              </w:rPr>
            </w:pPr>
            <w:r w:rsidRPr="00A54361">
              <w:rPr>
                <w:rFonts w:eastAsia="Arial" w:cstheme="minorHAnsi"/>
                <w:spacing w:val="-3"/>
                <w:position w:val="-1"/>
                <w:sz w:val="20"/>
                <w:szCs w:val="20"/>
              </w:rPr>
              <w:t>5%</w:t>
            </w:r>
          </w:p>
        </w:tc>
      </w:tr>
      <w:tr w:rsidR="000D3DC1" w:rsidRPr="00A54361" w14:paraId="73A0208E" w14:textId="77777777" w:rsidTr="00715187">
        <w:trPr>
          <w:trHeight w:hRule="exact" w:val="271"/>
        </w:trPr>
        <w:tc>
          <w:tcPr>
            <w:tcW w:w="722" w:type="dxa"/>
            <w:vMerge/>
            <w:tcBorders>
              <w:left w:val="single" w:sz="8" w:space="0" w:color="000000"/>
              <w:right w:val="single" w:sz="8" w:space="0" w:color="000000"/>
            </w:tcBorders>
          </w:tcPr>
          <w:p w14:paraId="78D96D3D" w14:textId="77777777" w:rsidR="00DE0658" w:rsidRPr="00A54361" w:rsidRDefault="00DE0658" w:rsidP="00A54361">
            <w:pPr>
              <w:ind w:left="-1"/>
              <w:jc w:val="both"/>
              <w:rPr>
                <w:rFonts w:cstheme="minorHAnsi"/>
                <w:sz w:val="20"/>
                <w:szCs w:val="20"/>
              </w:rPr>
            </w:pPr>
          </w:p>
        </w:tc>
        <w:tc>
          <w:tcPr>
            <w:tcW w:w="2432" w:type="dxa"/>
            <w:vMerge/>
            <w:tcBorders>
              <w:left w:val="single" w:sz="8" w:space="0" w:color="000000"/>
              <w:right w:val="single" w:sz="8" w:space="0" w:color="000000"/>
            </w:tcBorders>
          </w:tcPr>
          <w:p w14:paraId="4840A802" w14:textId="77777777" w:rsidR="00DE0658" w:rsidRPr="00A54361" w:rsidRDefault="00DE0658" w:rsidP="00A54361">
            <w:pPr>
              <w:ind w:left="53" w:right="89"/>
              <w:jc w:val="both"/>
              <w:rPr>
                <w:rFonts w:cstheme="minorHAnsi"/>
                <w:sz w:val="20"/>
                <w:szCs w:val="20"/>
              </w:rPr>
            </w:pPr>
          </w:p>
        </w:tc>
        <w:tc>
          <w:tcPr>
            <w:tcW w:w="2765" w:type="dxa"/>
            <w:tcBorders>
              <w:top w:val="single" w:sz="8" w:space="0" w:color="000000"/>
              <w:left w:val="single" w:sz="8" w:space="0" w:color="000000"/>
              <w:bottom w:val="single" w:sz="8" w:space="0" w:color="000000"/>
              <w:right w:val="single" w:sz="8" w:space="0" w:color="000000"/>
            </w:tcBorders>
          </w:tcPr>
          <w:p w14:paraId="737A2F76" w14:textId="77777777" w:rsidR="00DE0658" w:rsidRPr="00A54361" w:rsidRDefault="00DE0658" w:rsidP="00A54361">
            <w:pPr>
              <w:spacing w:line="240" w:lineRule="exact"/>
              <w:ind w:left="32" w:right="166"/>
              <w:jc w:val="both"/>
              <w:rPr>
                <w:rFonts w:eastAsia="Arial" w:cstheme="minorHAnsi"/>
                <w:sz w:val="20"/>
                <w:szCs w:val="20"/>
              </w:rPr>
            </w:pPr>
            <w:r w:rsidRPr="00A54361">
              <w:rPr>
                <w:rFonts w:eastAsia="Arial" w:cstheme="minorHAnsi"/>
                <w:spacing w:val="-3"/>
                <w:sz w:val="20"/>
                <w:szCs w:val="20"/>
              </w:rPr>
              <w:t>95</w:t>
            </w:r>
            <w:r w:rsidRPr="00A54361">
              <w:rPr>
                <w:rFonts w:eastAsia="Arial" w:cstheme="minorHAnsi"/>
                <w:sz w:val="20"/>
                <w:szCs w:val="20"/>
              </w:rPr>
              <w:t>%</w:t>
            </w:r>
            <w:r w:rsidRPr="00A54361">
              <w:rPr>
                <w:rFonts w:eastAsia="Arial" w:cstheme="minorHAnsi"/>
                <w:spacing w:val="-3"/>
                <w:sz w:val="20"/>
                <w:szCs w:val="20"/>
              </w:rPr>
              <w:t xml:space="preserve"> </w:t>
            </w:r>
            <w:r w:rsidRPr="00A54361">
              <w:rPr>
                <w:rFonts w:eastAsia="Arial" w:cstheme="minorHAnsi"/>
                <w:spacing w:val="-1"/>
                <w:sz w:val="20"/>
                <w:szCs w:val="20"/>
              </w:rPr>
              <w:t>t</w:t>
            </w:r>
            <w:r w:rsidRPr="00A54361">
              <w:rPr>
                <w:rFonts w:eastAsia="Arial" w:cstheme="minorHAnsi"/>
                <w:sz w:val="20"/>
                <w:szCs w:val="20"/>
              </w:rPr>
              <w:t>o</w:t>
            </w:r>
            <w:r w:rsidRPr="00A54361">
              <w:rPr>
                <w:rFonts w:eastAsia="Arial" w:cstheme="minorHAnsi"/>
                <w:spacing w:val="-4"/>
                <w:sz w:val="20"/>
                <w:szCs w:val="20"/>
              </w:rPr>
              <w:t xml:space="preserve"> </w:t>
            </w:r>
            <w:r w:rsidRPr="00A54361">
              <w:rPr>
                <w:rFonts w:eastAsia="Arial" w:cstheme="minorHAnsi"/>
                <w:spacing w:val="-3"/>
                <w:sz w:val="20"/>
                <w:szCs w:val="20"/>
              </w:rPr>
              <w:t>97</w:t>
            </w:r>
            <w:r w:rsidRPr="00A54361">
              <w:rPr>
                <w:rFonts w:eastAsia="Arial" w:cstheme="minorHAnsi"/>
                <w:spacing w:val="-1"/>
                <w:sz w:val="20"/>
                <w:szCs w:val="20"/>
              </w:rPr>
              <w:t>.</w:t>
            </w:r>
            <w:r w:rsidRPr="00A54361">
              <w:rPr>
                <w:rFonts w:eastAsia="Arial" w:cstheme="minorHAnsi"/>
                <w:spacing w:val="-3"/>
                <w:sz w:val="20"/>
                <w:szCs w:val="20"/>
              </w:rPr>
              <w:t>99</w:t>
            </w:r>
            <w:r w:rsidRPr="00A54361">
              <w:rPr>
                <w:rFonts w:eastAsia="Arial" w:cstheme="minorHAnsi"/>
                <w:sz w:val="20"/>
                <w:szCs w:val="20"/>
              </w:rPr>
              <w:t>%</w:t>
            </w:r>
          </w:p>
        </w:tc>
        <w:tc>
          <w:tcPr>
            <w:tcW w:w="3461" w:type="dxa"/>
            <w:tcBorders>
              <w:top w:val="single" w:sz="8" w:space="0" w:color="000000"/>
              <w:left w:val="single" w:sz="8" w:space="0" w:color="000000"/>
              <w:bottom w:val="single" w:sz="8" w:space="0" w:color="000000"/>
              <w:right w:val="single" w:sz="8" w:space="0" w:color="000000"/>
            </w:tcBorders>
          </w:tcPr>
          <w:p w14:paraId="317BC0CC" w14:textId="77777777" w:rsidR="00DE0658" w:rsidRPr="00A54361" w:rsidRDefault="00DE0658" w:rsidP="00A54361">
            <w:pPr>
              <w:spacing w:line="240" w:lineRule="exact"/>
              <w:ind w:left="97" w:right="82"/>
              <w:jc w:val="both"/>
              <w:rPr>
                <w:rFonts w:eastAsia="Arial" w:cstheme="minorHAnsi"/>
                <w:sz w:val="20"/>
                <w:szCs w:val="20"/>
              </w:rPr>
            </w:pPr>
            <w:r w:rsidRPr="00A54361">
              <w:rPr>
                <w:rFonts w:eastAsia="Arial" w:cstheme="minorHAnsi"/>
                <w:spacing w:val="-3"/>
                <w:sz w:val="20"/>
                <w:szCs w:val="20"/>
              </w:rPr>
              <w:t>8%</w:t>
            </w:r>
          </w:p>
        </w:tc>
      </w:tr>
      <w:tr w:rsidR="000D3DC1" w:rsidRPr="00A54361" w14:paraId="24FBBF57" w14:textId="77777777" w:rsidTr="00715187">
        <w:trPr>
          <w:trHeight w:hRule="exact" w:val="271"/>
        </w:trPr>
        <w:tc>
          <w:tcPr>
            <w:tcW w:w="722" w:type="dxa"/>
            <w:vMerge/>
            <w:tcBorders>
              <w:left w:val="single" w:sz="8" w:space="0" w:color="000000"/>
              <w:right w:val="single" w:sz="8" w:space="0" w:color="000000"/>
            </w:tcBorders>
          </w:tcPr>
          <w:p w14:paraId="610DEE9B" w14:textId="77777777" w:rsidR="00DE0658" w:rsidRPr="00A54361" w:rsidRDefault="00DE0658" w:rsidP="00A54361">
            <w:pPr>
              <w:ind w:left="-1"/>
              <w:jc w:val="both"/>
              <w:rPr>
                <w:rFonts w:cstheme="minorHAnsi"/>
                <w:sz w:val="20"/>
                <w:szCs w:val="20"/>
              </w:rPr>
            </w:pPr>
          </w:p>
        </w:tc>
        <w:tc>
          <w:tcPr>
            <w:tcW w:w="2432" w:type="dxa"/>
            <w:vMerge/>
            <w:tcBorders>
              <w:left w:val="single" w:sz="8" w:space="0" w:color="000000"/>
              <w:right w:val="single" w:sz="8" w:space="0" w:color="000000"/>
            </w:tcBorders>
          </w:tcPr>
          <w:p w14:paraId="6E87966F" w14:textId="77777777" w:rsidR="00DE0658" w:rsidRPr="00A54361" w:rsidRDefault="00DE0658" w:rsidP="00A54361">
            <w:pPr>
              <w:ind w:left="53" w:right="89"/>
              <w:jc w:val="both"/>
              <w:rPr>
                <w:rFonts w:cstheme="minorHAnsi"/>
                <w:sz w:val="20"/>
                <w:szCs w:val="20"/>
              </w:rPr>
            </w:pPr>
          </w:p>
        </w:tc>
        <w:tc>
          <w:tcPr>
            <w:tcW w:w="2765" w:type="dxa"/>
            <w:tcBorders>
              <w:top w:val="single" w:sz="8" w:space="0" w:color="000000"/>
              <w:left w:val="single" w:sz="8" w:space="0" w:color="000000"/>
              <w:bottom w:val="single" w:sz="8" w:space="0" w:color="000000"/>
              <w:right w:val="single" w:sz="8" w:space="0" w:color="000000"/>
            </w:tcBorders>
          </w:tcPr>
          <w:p w14:paraId="62A31044" w14:textId="77777777" w:rsidR="00DE0658" w:rsidRPr="00A54361" w:rsidRDefault="00DE0658" w:rsidP="00A54361">
            <w:pPr>
              <w:spacing w:line="240" w:lineRule="exact"/>
              <w:ind w:left="32" w:right="166"/>
              <w:jc w:val="both"/>
              <w:rPr>
                <w:rFonts w:eastAsia="Arial" w:cstheme="minorHAnsi"/>
                <w:sz w:val="20"/>
                <w:szCs w:val="20"/>
              </w:rPr>
            </w:pPr>
            <w:r w:rsidRPr="00A54361">
              <w:rPr>
                <w:rFonts w:eastAsia="Arial" w:cstheme="minorHAnsi"/>
                <w:spacing w:val="-3"/>
                <w:sz w:val="20"/>
                <w:szCs w:val="20"/>
              </w:rPr>
              <w:t>90</w:t>
            </w:r>
            <w:r w:rsidRPr="00A54361">
              <w:rPr>
                <w:rFonts w:eastAsia="Arial" w:cstheme="minorHAnsi"/>
                <w:sz w:val="20"/>
                <w:szCs w:val="20"/>
              </w:rPr>
              <w:t>%</w:t>
            </w:r>
            <w:r w:rsidRPr="00A54361">
              <w:rPr>
                <w:rFonts w:eastAsia="Arial" w:cstheme="minorHAnsi"/>
                <w:spacing w:val="-3"/>
                <w:sz w:val="20"/>
                <w:szCs w:val="20"/>
              </w:rPr>
              <w:t xml:space="preserve"> </w:t>
            </w:r>
            <w:r w:rsidRPr="00A54361">
              <w:rPr>
                <w:rFonts w:eastAsia="Arial" w:cstheme="minorHAnsi"/>
                <w:spacing w:val="-1"/>
                <w:sz w:val="20"/>
                <w:szCs w:val="20"/>
              </w:rPr>
              <w:t>t</w:t>
            </w:r>
            <w:r w:rsidRPr="00A54361">
              <w:rPr>
                <w:rFonts w:eastAsia="Arial" w:cstheme="minorHAnsi"/>
                <w:sz w:val="20"/>
                <w:szCs w:val="20"/>
              </w:rPr>
              <w:t>o</w:t>
            </w:r>
            <w:r w:rsidRPr="00A54361">
              <w:rPr>
                <w:rFonts w:eastAsia="Arial" w:cstheme="minorHAnsi"/>
                <w:spacing w:val="-4"/>
                <w:sz w:val="20"/>
                <w:szCs w:val="20"/>
              </w:rPr>
              <w:t xml:space="preserve"> </w:t>
            </w:r>
            <w:r w:rsidRPr="00A54361">
              <w:rPr>
                <w:rFonts w:eastAsia="Arial" w:cstheme="minorHAnsi"/>
                <w:spacing w:val="-3"/>
                <w:sz w:val="20"/>
                <w:szCs w:val="20"/>
              </w:rPr>
              <w:t>94</w:t>
            </w:r>
            <w:r w:rsidRPr="00A54361">
              <w:rPr>
                <w:rFonts w:eastAsia="Arial" w:cstheme="minorHAnsi"/>
                <w:spacing w:val="-1"/>
                <w:sz w:val="20"/>
                <w:szCs w:val="20"/>
              </w:rPr>
              <w:t>.</w:t>
            </w:r>
            <w:r w:rsidRPr="00A54361">
              <w:rPr>
                <w:rFonts w:eastAsia="Arial" w:cstheme="minorHAnsi"/>
                <w:spacing w:val="-3"/>
                <w:sz w:val="20"/>
                <w:szCs w:val="20"/>
              </w:rPr>
              <w:t>99</w:t>
            </w:r>
            <w:r w:rsidRPr="00A54361">
              <w:rPr>
                <w:rFonts w:eastAsia="Arial" w:cstheme="minorHAnsi"/>
                <w:sz w:val="20"/>
                <w:szCs w:val="20"/>
              </w:rPr>
              <w:t>%</w:t>
            </w:r>
          </w:p>
        </w:tc>
        <w:tc>
          <w:tcPr>
            <w:tcW w:w="3461" w:type="dxa"/>
            <w:tcBorders>
              <w:top w:val="single" w:sz="8" w:space="0" w:color="000000"/>
              <w:left w:val="single" w:sz="8" w:space="0" w:color="000000"/>
              <w:bottom w:val="single" w:sz="8" w:space="0" w:color="000000"/>
              <w:right w:val="single" w:sz="8" w:space="0" w:color="000000"/>
            </w:tcBorders>
          </w:tcPr>
          <w:p w14:paraId="24B3E8EE" w14:textId="77777777" w:rsidR="00DE0658" w:rsidRPr="00A54361" w:rsidRDefault="00DE0658" w:rsidP="00A54361">
            <w:pPr>
              <w:spacing w:line="240" w:lineRule="exact"/>
              <w:ind w:left="97" w:right="82"/>
              <w:jc w:val="both"/>
              <w:rPr>
                <w:rFonts w:eastAsia="Arial" w:cstheme="minorHAnsi"/>
                <w:sz w:val="20"/>
                <w:szCs w:val="20"/>
              </w:rPr>
            </w:pPr>
            <w:r w:rsidRPr="00A54361">
              <w:rPr>
                <w:rFonts w:eastAsia="Arial" w:cstheme="minorHAnsi"/>
                <w:spacing w:val="-3"/>
                <w:sz w:val="20"/>
                <w:szCs w:val="20"/>
              </w:rPr>
              <w:t>15%</w:t>
            </w:r>
          </w:p>
        </w:tc>
      </w:tr>
      <w:tr w:rsidR="000D3DC1" w:rsidRPr="00A54361" w14:paraId="00BB6D7B" w14:textId="77777777" w:rsidTr="00715187">
        <w:trPr>
          <w:trHeight w:hRule="exact" w:val="271"/>
        </w:trPr>
        <w:tc>
          <w:tcPr>
            <w:tcW w:w="722" w:type="dxa"/>
            <w:vMerge/>
            <w:tcBorders>
              <w:left w:val="single" w:sz="8" w:space="0" w:color="000000"/>
              <w:right w:val="single" w:sz="8" w:space="0" w:color="000000"/>
            </w:tcBorders>
          </w:tcPr>
          <w:p w14:paraId="68E82E04" w14:textId="77777777" w:rsidR="00DE0658" w:rsidRPr="00A54361" w:rsidRDefault="00DE0658" w:rsidP="00A54361">
            <w:pPr>
              <w:ind w:left="-1"/>
              <w:jc w:val="both"/>
              <w:rPr>
                <w:rFonts w:cstheme="minorHAnsi"/>
                <w:sz w:val="20"/>
                <w:szCs w:val="20"/>
              </w:rPr>
            </w:pPr>
          </w:p>
        </w:tc>
        <w:tc>
          <w:tcPr>
            <w:tcW w:w="2432" w:type="dxa"/>
            <w:vMerge/>
            <w:tcBorders>
              <w:left w:val="single" w:sz="8" w:space="0" w:color="000000"/>
              <w:right w:val="single" w:sz="8" w:space="0" w:color="000000"/>
            </w:tcBorders>
          </w:tcPr>
          <w:p w14:paraId="2E3A3F3F" w14:textId="77777777" w:rsidR="00DE0658" w:rsidRPr="00A54361" w:rsidRDefault="00DE0658" w:rsidP="00A54361">
            <w:pPr>
              <w:ind w:left="53" w:right="89"/>
              <w:jc w:val="both"/>
              <w:rPr>
                <w:rFonts w:cstheme="minorHAnsi"/>
                <w:sz w:val="20"/>
                <w:szCs w:val="20"/>
              </w:rPr>
            </w:pPr>
          </w:p>
        </w:tc>
        <w:tc>
          <w:tcPr>
            <w:tcW w:w="2765" w:type="dxa"/>
            <w:tcBorders>
              <w:top w:val="single" w:sz="8" w:space="0" w:color="000000"/>
              <w:left w:val="single" w:sz="8" w:space="0" w:color="000000"/>
              <w:bottom w:val="single" w:sz="8" w:space="0" w:color="000000"/>
              <w:right w:val="single" w:sz="8" w:space="0" w:color="000000"/>
            </w:tcBorders>
          </w:tcPr>
          <w:p w14:paraId="0B992E07" w14:textId="77777777" w:rsidR="00DE0658" w:rsidRPr="00A54361" w:rsidRDefault="00DE0658" w:rsidP="00A54361">
            <w:pPr>
              <w:spacing w:line="240" w:lineRule="exact"/>
              <w:ind w:left="32" w:right="166"/>
              <w:jc w:val="both"/>
              <w:rPr>
                <w:rFonts w:eastAsia="Arial" w:cstheme="minorHAnsi"/>
                <w:sz w:val="20"/>
                <w:szCs w:val="20"/>
              </w:rPr>
            </w:pPr>
            <w:r w:rsidRPr="00A54361">
              <w:rPr>
                <w:rFonts w:eastAsia="Arial" w:cstheme="minorHAnsi"/>
                <w:spacing w:val="-3"/>
                <w:sz w:val="20"/>
                <w:szCs w:val="20"/>
              </w:rPr>
              <w:t>80</w:t>
            </w:r>
            <w:r w:rsidRPr="00A54361">
              <w:rPr>
                <w:rFonts w:eastAsia="Arial" w:cstheme="minorHAnsi"/>
                <w:sz w:val="20"/>
                <w:szCs w:val="20"/>
              </w:rPr>
              <w:t>%</w:t>
            </w:r>
            <w:r w:rsidRPr="00A54361">
              <w:rPr>
                <w:rFonts w:eastAsia="Arial" w:cstheme="minorHAnsi"/>
                <w:spacing w:val="-3"/>
                <w:sz w:val="20"/>
                <w:szCs w:val="20"/>
              </w:rPr>
              <w:t xml:space="preserve"> </w:t>
            </w:r>
            <w:r w:rsidRPr="00A54361">
              <w:rPr>
                <w:rFonts w:eastAsia="Arial" w:cstheme="minorHAnsi"/>
                <w:spacing w:val="-1"/>
                <w:sz w:val="20"/>
                <w:szCs w:val="20"/>
              </w:rPr>
              <w:t>t</w:t>
            </w:r>
            <w:r w:rsidRPr="00A54361">
              <w:rPr>
                <w:rFonts w:eastAsia="Arial" w:cstheme="minorHAnsi"/>
                <w:sz w:val="20"/>
                <w:szCs w:val="20"/>
              </w:rPr>
              <w:t>o</w:t>
            </w:r>
            <w:r w:rsidRPr="00A54361">
              <w:rPr>
                <w:rFonts w:eastAsia="Arial" w:cstheme="minorHAnsi"/>
                <w:spacing w:val="-4"/>
                <w:sz w:val="20"/>
                <w:szCs w:val="20"/>
              </w:rPr>
              <w:t xml:space="preserve"> </w:t>
            </w:r>
            <w:r w:rsidRPr="00A54361">
              <w:rPr>
                <w:rFonts w:eastAsia="Arial" w:cstheme="minorHAnsi"/>
                <w:spacing w:val="-3"/>
                <w:sz w:val="20"/>
                <w:szCs w:val="20"/>
              </w:rPr>
              <w:t>89</w:t>
            </w:r>
            <w:r w:rsidRPr="00A54361">
              <w:rPr>
                <w:rFonts w:eastAsia="Arial" w:cstheme="minorHAnsi"/>
                <w:spacing w:val="-1"/>
                <w:sz w:val="20"/>
                <w:szCs w:val="20"/>
              </w:rPr>
              <w:t>.</w:t>
            </w:r>
            <w:r w:rsidRPr="00A54361">
              <w:rPr>
                <w:rFonts w:eastAsia="Arial" w:cstheme="minorHAnsi"/>
                <w:spacing w:val="-3"/>
                <w:sz w:val="20"/>
                <w:szCs w:val="20"/>
              </w:rPr>
              <w:t>99</w:t>
            </w:r>
            <w:r w:rsidRPr="00A54361">
              <w:rPr>
                <w:rFonts w:eastAsia="Arial" w:cstheme="minorHAnsi"/>
                <w:sz w:val="20"/>
                <w:szCs w:val="20"/>
              </w:rPr>
              <w:t>%</w:t>
            </w:r>
          </w:p>
        </w:tc>
        <w:tc>
          <w:tcPr>
            <w:tcW w:w="3461" w:type="dxa"/>
            <w:tcBorders>
              <w:top w:val="single" w:sz="8" w:space="0" w:color="000000"/>
              <w:left w:val="single" w:sz="8" w:space="0" w:color="000000"/>
              <w:bottom w:val="single" w:sz="8" w:space="0" w:color="000000"/>
              <w:right w:val="single" w:sz="8" w:space="0" w:color="000000"/>
            </w:tcBorders>
          </w:tcPr>
          <w:p w14:paraId="0E8789BA" w14:textId="77777777" w:rsidR="00DE0658" w:rsidRPr="00A54361" w:rsidRDefault="00DE0658" w:rsidP="00A54361">
            <w:pPr>
              <w:spacing w:line="240" w:lineRule="exact"/>
              <w:ind w:left="97" w:right="82"/>
              <w:jc w:val="both"/>
              <w:rPr>
                <w:rFonts w:eastAsia="Arial" w:cstheme="minorHAnsi"/>
                <w:sz w:val="20"/>
                <w:szCs w:val="20"/>
              </w:rPr>
            </w:pPr>
            <w:r w:rsidRPr="00A54361">
              <w:rPr>
                <w:rFonts w:eastAsia="Arial" w:cstheme="minorHAnsi"/>
                <w:spacing w:val="-3"/>
                <w:sz w:val="20"/>
                <w:szCs w:val="20"/>
              </w:rPr>
              <w:t>30%</w:t>
            </w:r>
          </w:p>
        </w:tc>
      </w:tr>
      <w:tr w:rsidR="000D3DC1" w:rsidRPr="00A54361" w14:paraId="051315A4" w14:textId="77777777" w:rsidTr="00715187">
        <w:trPr>
          <w:trHeight w:hRule="exact" w:val="271"/>
        </w:trPr>
        <w:tc>
          <w:tcPr>
            <w:tcW w:w="722" w:type="dxa"/>
            <w:vMerge/>
            <w:tcBorders>
              <w:left w:val="single" w:sz="8" w:space="0" w:color="000000"/>
              <w:right w:val="single" w:sz="8" w:space="0" w:color="000000"/>
            </w:tcBorders>
          </w:tcPr>
          <w:p w14:paraId="3163B10C" w14:textId="77777777" w:rsidR="00DE0658" w:rsidRPr="00A54361" w:rsidRDefault="00DE0658" w:rsidP="00A54361">
            <w:pPr>
              <w:ind w:left="-1"/>
              <w:jc w:val="both"/>
              <w:rPr>
                <w:rFonts w:cstheme="minorHAnsi"/>
                <w:sz w:val="20"/>
                <w:szCs w:val="20"/>
              </w:rPr>
            </w:pPr>
          </w:p>
        </w:tc>
        <w:tc>
          <w:tcPr>
            <w:tcW w:w="2432" w:type="dxa"/>
            <w:vMerge/>
            <w:tcBorders>
              <w:left w:val="single" w:sz="8" w:space="0" w:color="000000"/>
              <w:right w:val="single" w:sz="8" w:space="0" w:color="000000"/>
            </w:tcBorders>
          </w:tcPr>
          <w:p w14:paraId="588BD706" w14:textId="77777777" w:rsidR="00DE0658" w:rsidRPr="00A54361" w:rsidRDefault="00DE0658" w:rsidP="00A54361">
            <w:pPr>
              <w:ind w:left="53" w:right="89"/>
              <w:jc w:val="both"/>
              <w:rPr>
                <w:rFonts w:cstheme="minorHAnsi"/>
                <w:sz w:val="20"/>
                <w:szCs w:val="20"/>
              </w:rPr>
            </w:pPr>
          </w:p>
        </w:tc>
        <w:tc>
          <w:tcPr>
            <w:tcW w:w="2765" w:type="dxa"/>
            <w:tcBorders>
              <w:top w:val="single" w:sz="8" w:space="0" w:color="000000"/>
              <w:left w:val="single" w:sz="8" w:space="0" w:color="000000"/>
              <w:bottom w:val="single" w:sz="8" w:space="0" w:color="000000"/>
              <w:right w:val="single" w:sz="8" w:space="0" w:color="000000"/>
            </w:tcBorders>
          </w:tcPr>
          <w:p w14:paraId="07C4F955" w14:textId="77777777" w:rsidR="00DE0658" w:rsidRPr="00A54361" w:rsidRDefault="00DE0658" w:rsidP="00A54361">
            <w:pPr>
              <w:spacing w:line="240" w:lineRule="exact"/>
              <w:ind w:left="32" w:right="166"/>
              <w:jc w:val="both"/>
              <w:rPr>
                <w:rFonts w:eastAsia="Arial" w:cstheme="minorHAnsi"/>
                <w:sz w:val="20"/>
                <w:szCs w:val="20"/>
              </w:rPr>
            </w:pPr>
            <w:r w:rsidRPr="00A54361">
              <w:rPr>
                <w:rFonts w:eastAsia="Arial" w:cstheme="minorHAnsi"/>
                <w:spacing w:val="-3"/>
                <w:sz w:val="20"/>
                <w:szCs w:val="20"/>
              </w:rPr>
              <w:t>70</w:t>
            </w:r>
            <w:r w:rsidRPr="00A54361">
              <w:rPr>
                <w:rFonts w:eastAsia="Arial" w:cstheme="minorHAnsi"/>
                <w:sz w:val="20"/>
                <w:szCs w:val="20"/>
              </w:rPr>
              <w:t>%</w:t>
            </w:r>
            <w:r w:rsidRPr="00A54361">
              <w:rPr>
                <w:rFonts w:eastAsia="Arial" w:cstheme="minorHAnsi"/>
                <w:spacing w:val="-3"/>
                <w:sz w:val="20"/>
                <w:szCs w:val="20"/>
              </w:rPr>
              <w:t xml:space="preserve"> </w:t>
            </w:r>
            <w:r w:rsidRPr="00A54361">
              <w:rPr>
                <w:rFonts w:eastAsia="Arial" w:cstheme="minorHAnsi"/>
                <w:spacing w:val="-1"/>
                <w:sz w:val="20"/>
                <w:szCs w:val="20"/>
              </w:rPr>
              <w:t>t</w:t>
            </w:r>
            <w:r w:rsidRPr="00A54361">
              <w:rPr>
                <w:rFonts w:eastAsia="Arial" w:cstheme="minorHAnsi"/>
                <w:sz w:val="20"/>
                <w:szCs w:val="20"/>
              </w:rPr>
              <w:t>o</w:t>
            </w:r>
            <w:r w:rsidRPr="00A54361">
              <w:rPr>
                <w:rFonts w:eastAsia="Arial" w:cstheme="minorHAnsi"/>
                <w:spacing w:val="-4"/>
                <w:sz w:val="20"/>
                <w:szCs w:val="20"/>
              </w:rPr>
              <w:t xml:space="preserve"> </w:t>
            </w:r>
            <w:r w:rsidRPr="00A54361">
              <w:rPr>
                <w:rFonts w:eastAsia="Arial" w:cstheme="minorHAnsi"/>
                <w:spacing w:val="-3"/>
                <w:sz w:val="20"/>
                <w:szCs w:val="20"/>
              </w:rPr>
              <w:t>79</w:t>
            </w:r>
            <w:r w:rsidRPr="00A54361">
              <w:rPr>
                <w:rFonts w:eastAsia="Arial" w:cstheme="minorHAnsi"/>
                <w:spacing w:val="-1"/>
                <w:sz w:val="20"/>
                <w:szCs w:val="20"/>
              </w:rPr>
              <w:t>.</w:t>
            </w:r>
            <w:r w:rsidRPr="00A54361">
              <w:rPr>
                <w:rFonts w:eastAsia="Arial" w:cstheme="minorHAnsi"/>
                <w:spacing w:val="-3"/>
                <w:sz w:val="20"/>
                <w:szCs w:val="20"/>
              </w:rPr>
              <w:t>99</w:t>
            </w:r>
            <w:r w:rsidRPr="00A54361">
              <w:rPr>
                <w:rFonts w:eastAsia="Arial" w:cstheme="minorHAnsi"/>
                <w:sz w:val="20"/>
                <w:szCs w:val="20"/>
              </w:rPr>
              <w:t>%</w:t>
            </w:r>
          </w:p>
        </w:tc>
        <w:tc>
          <w:tcPr>
            <w:tcW w:w="3461" w:type="dxa"/>
            <w:tcBorders>
              <w:top w:val="single" w:sz="8" w:space="0" w:color="000000"/>
              <w:left w:val="single" w:sz="8" w:space="0" w:color="000000"/>
              <w:bottom w:val="single" w:sz="8" w:space="0" w:color="000000"/>
              <w:right w:val="single" w:sz="8" w:space="0" w:color="000000"/>
            </w:tcBorders>
          </w:tcPr>
          <w:p w14:paraId="2A9DDC24" w14:textId="77777777" w:rsidR="00DE0658" w:rsidRPr="00A54361" w:rsidRDefault="00DE0658" w:rsidP="00A54361">
            <w:pPr>
              <w:spacing w:line="240" w:lineRule="exact"/>
              <w:ind w:left="97" w:right="82"/>
              <w:jc w:val="both"/>
              <w:rPr>
                <w:rFonts w:eastAsia="Arial" w:cstheme="minorHAnsi"/>
                <w:sz w:val="20"/>
                <w:szCs w:val="20"/>
              </w:rPr>
            </w:pPr>
            <w:r w:rsidRPr="00A54361">
              <w:rPr>
                <w:rFonts w:eastAsia="Arial" w:cstheme="minorHAnsi"/>
                <w:spacing w:val="-3"/>
                <w:sz w:val="20"/>
                <w:szCs w:val="20"/>
              </w:rPr>
              <w:t>50%</w:t>
            </w:r>
          </w:p>
        </w:tc>
      </w:tr>
      <w:tr w:rsidR="000D3DC1" w:rsidRPr="00A54361" w14:paraId="28E70B23" w14:textId="77777777" w:rsidTr="00715187">
        <w:trPr>
          <w:trHeight w:hRule="exact" w:val="271"/>
        </w:trPr>
        <w:tc>
          <w:tcPr>
            <w:tcW w:w="722" w:type="dxa"/>
            <w:vMerge/>
            <w:tcBorders>
              <w:left w:val="single" w:sz="8" w:space="0" w:color="000000"/>
              <w:bottom w:val="single" w:sz="8" w:space="0" w:color="000000"/>
              <w:right w:val="single" w:sz="8" w:space="0" w:color="000000"/>
            </w:tcBorders>
          </w:tcPr>
          <w:p w14:paraId="4831EFC5" w14:textId="77777777" w:rsidR="00DE0658" w:rsidRPr="00A54361" w:rsidRDefault="00DE0658" w:rsidP="00A54361">
            <w:pPr>
              <w:ind w:left="-1"/>
              <w:jc w:val="both"/>
              <w:rPr>
                <w:rFonts w:cstheme="minorHAnsi"/>
                <w:sz w:val="20"/>
                <w:szCs w:val="20"/>
              </w:rPr>
            </w:pPr>
          </w:p>
        </w:tc>
        <w:tc>
          <w:tcPr>
            <w:tcW w:w="2432" w:type="dxa"/>
            <w:vMerge/>
            <w:tcBorders>
              <w:left w:val="single" w:sz="8" w:space="0" w:color="000000"/>
              <w:bottom w:val="single" w:sz="8" w:space="0" w:color="000000"/>
              <w:right w:val="single" w:sz="8" w:space="0" w:color="000000"/>
            </w:tcBorders>
          </w:tcPr>
          <w:p w14:paraId="3EC84570" w14:textId="77777777" w:rsidR="00DE0658" w:rsidRPr="00A54361" w:rsidRDefault="00DE0658" w:rsidP="00A54361">
            <w:pPr>
              <w:ind w:left="53" w:right="89"/>
              <w:jc w:val="both"/>
              <w:rPr>
                <w:rFonts w:cstheme="minorHAnsi"/>
                <w:sz w:val="20"/>
                <w:szCs w:val="20"/>
              </w:rPr>
            </w:pPr>
          </w:p>
        </w:tc>
        <w:tc>
          <w:tcPr>
            <w:tcW w:w="2765" w:type="dxa"/>
            <w:tcBorders>
              <w:top w:val="single" w:sz="8" w:space="0" w:color="000000"/>
              <w:left w:val="single" w:sz="8" w:space="0" w:color="000000"/>
              <w:bottom w:val="single" w:sz="8" w:space="0" w:color="000000"/>
              <w:right w:val="single" w:sz="8" w:space="0" w:color="000000"/>
            </w:tcBorders>
          </w:tcPr>
          <w:p w14:paraId="241CB09B" w14:textId="77777777" w:rsidR="00DE0658" w:rsidRPr="00A54361" w:rsidRDefault="00DE0658" w:rsidP="00A54361">
            <w:pPr>
              <w:spacing w:line="240" w:lineRule="exact"/>
              <w:ind w:left="32" w:right="166"/>
              <w:jc w:val="both"/>
              <w:rPr>
                <w:rFonts w:eastAsia="Arial" w:cstheme="minorHAnsi"/>
                <w:sz w:val="20"/>
                <w:szCs w:val="20"/>
              </w:rPr>
            </w:pPr>
            <w:r w:rsidRPr="00A54361">
              <w:rPr>
                <w:rFonts w:eastAsia="Arial" w:cstheme="minorHAnsi"/>
                <w:spacing w:val="-3"/>
                <w:sz w:val="20"/>
                <w:szCs w:val="20"/>
              </w:rPr>
              <w:t>Le</w:t>
            </w:r>
            <w:r w:rsidRPr="00A54361">
              <w:rPr>
                <w:rFonts w:eastAsia="Arial" w:cstheme="minorHAnsi"/>
                <w:spacing w:val="-2"/>
                <w:sz w:val="20"/>
                <w:szCs w:val="20"/>
              </w:rPr>
              <w:t>s</w:t>
            </w:r>
            <w:r w:rsidRPr="00A54361">
              <w:rPr>
                <w:rFonts w:eastAsia="Arial" w:cstheme="minorHAnsi"/>
                <w:sz w:val="20"/>
                <w:szCs w:val="20"/>
              </w:rPr>
              <w:t>s</w:t>
            </w:r>
            <w:r w:rsidRPr="00A54361">
              <w:rPr>
                <w:rFonts w:eastAsia="Arial" w:cstheme="minorHAnsi"/>
                <w:spacing w:val="-3"/>
                <w:sz w:val="20"/>
                <w:szCs w:val="20"/>
              </w:rPr>
              <w:t xml:space="preserve"> </w:t>
            </w:r>
            <w:r w:rsidRPr="00A54361">
              <w:rPr>
                <w:rFonts w:eastAsia="Arial" w:cstheme="minorHAnsi"/>
                <w:spacing w:val="-1"/>
                <w:sz w:val="20"/>
                <w:szCs w:val="20"/>
              </w:rPr>
              <w:t>t</w:t>
            </w:r>
            <w:r w:rsidRPr="00A54361">
              <w:rPr>
                <w:rFonts w:eastAsia="Arial" w:cstheme="minorHAnsi"/>
                <w:spacing w:val="-3"/>
                <w:sz w:val="20"/>
                <w:szCs w:val="20"/>
              </w:rPr>
              <w:t>ha</w:t>
            </w:r>
            <w:r w:rsidRPr="00A54361">
              <w:rPr>
                <w:rFonts w:eastAsia="Arial" w:cstheme="minorHAnsi"/>
                <w:sz w:val="20"/>
                <w:szCs w:val="20"/>
              </w:rPr>
              <w:t>n</w:t>
            </w:r>
            <w:r w:rsidRPr="00A54361">
              <w:rPr>
                <w:rFonts w:eastAsia="Arial" w:cstheme="minorHAnsi"/>
                <w:spacing w:val="-4"/>
                <w:sz w:val="20"/>
                <w:szCs w:val="20"/>
              </w:rPr>
              <w:t xml:space="preserve"> </w:t>
            </w:r>
            <w:r w:rsidRPr="00A54361">
              <w:rPr>
                <w:rFonts w:eastAsia="Arial" w:cstheme="minorHAnsi"/>
                <w:spacing w:val="-3"/>
                <w:sz w:val="20"/>
                <w:szCs w:val="20"/>
              </w:rPr>
              <w:t>70</w:t>
            </w:r>
            <w:r w:rsidRPr="00A54361">
              <w:rPr>
                <w:rFonts w:eastAsia="Arial" w:cstheme="minorHAnsi"/>
                <w:sz w:val="20"/>
                <w:szCs w:val="20"/>
              </w:rPr>
              <w:t>%</w:t>
            </w:r>
          </w:p>
        </w:tc>
        <w:tc>
          <w:tcPr>
            <w:tcW w:w="3461" w:type="dxa"/>
            <w:tcBorders>
              <w:top w:val="single" w:sz="8" w:space="0" w:color="000000"/>
              <w:left w:val="single" w:sz="8" w:space="0" w:color="000000"/>
              <w:bottom w:val="single" w:sz="8" w:space="0" w:color="000000"/>
              <w:right w:val="single" w:sz="8" w:space="0" w:color="000000"/>
            </w:tcBorders>
          </w:tcPr>
          <w:p w14:paraId="7BAFF8C1" w14:textId="77777777" w:rsidR="00DE0658" w:rsidRPr="00A54361" w:rsidRDefault="00DE0658" w:rsidP="00A54361">
            <w:pPr>
              <w:spacing w:line="240" w:lineRule="exact"/>
              <w:ind w:left="97" w:right="82"/>
              <w:jc w:val="both"/>
              <w:rPr>
                <w:rFonts w:eastAsia="Arial" w:cstheme="minorHAnsi"/>
                <w:sz w:val="20"/>
                <w:szCs w:val="20"/>
              </w:rPr>
            </w:pPr>
            <w:r w:rsidRPr="00A54361">
              <w:rPr>
                <w:rFonts w:eastAsia="Arial" w:cstheme="minorHAnsi"/>
                <w:spacing w:val="-3"/>
                <w:sz w:val="20"/>
                <w:szCs w:val="20"/>
              </w:rPr>
              <w:t>100%</w:t>
            </w:r>
          </w:p>
        </w:tc>
      </w:tr>
    </w:tbl>
    <w:p w14:paraId="2C7890DD" w14:textId="77777777" w:rsidR="00755735" w:rsidRPr="00A54361" w:rsidRDefault="00755735" w:rsidP="00A54361">
      <w:pPr>
        <w:pStyle w:val="TableParagraph"/>
        <w:jc w:val="both"/>
        <w:rPr>
          <w:rStyle w:val="Strong"/>
          <w:rFonts w:asciiTheme="minorHAnsi" w:hAnsiTheme="minorHAnsi"/>
        </w:rPr>
      </w:pPr>
    </w:p>
    <w:p w14:paraId="2AEF80E7" w14:textId="77777777" w:rsidR="00755735" w:rsidRPr="00A54361" w:rsidRDefault="00755735" w:rsidP="00A54361">
      <w:pPr>
        <w:pStyle w:val="TableParagraph"/>
        <w:jc w:val="both"/>
        <w:rPr>
          <w:rStyle w:val="Strong"/>
          <w:rFonts w:asciiTheme="minorHAnsi" w:hAnsiTheme="minorHAnsi"/>
        </w:rPr>
      </w:pPr>
    </w:p>
    <w:p w14:paraId="776F0E1A" w14:textId="77777777" w:rsidR="00755735" w:rsidRPr="00A54361" w:rsidRDefault="001A0587" w:rsidP="00A54361">
      <w:pPr>
        <w:pStyle w:val="TableParagraph"/>
        <w:numPr>
          <w:ilvl w:val="2"/>
          <w:numId w:val="49"/>
        </w:numPr>
        <w:jc w:val="both"/>
        <w:rPr>
          <w:rStyle w:val="Strong"/>
          <w:rFonts w:asciiTheme="minorHAnsi" w:hAnsiTheme="minorHAnsi"/>
        </w:rPr>
      </w:pPr>
      <w:r w:rsidRPr="00A54361">
        <w:rPr>
          <w:rStyle w:val="Strong"/>
          <w:rFonts w:asciiTheme="minorHAnsi" w:hAnsiTheme="minorHAnsi"/>
        </w:rPr>
        <w:t>Monitoring and Operations</w:t>
      </w:r>
    </w:p>
    <w:p w14:paraId="28C05631" w14:textId="77777777" w:rsidR="001A0587" w:rsidRPr="00A54361" w:rsidRDefault="001A0587" w:rsidP="00A54361">
      <w:pPr>
        <w:pStyle w:val="TableParagraph"/>
        <w:jc w:val="both"/>
        <w:rPr>
          <w:rStyle w:val="Strong"/>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2295"/>
        <w:gridCol w:w="2706"/>
        <w:gridCol w:w="3276"/>
      </w:tblGrid>
      <w:tr w:rsidR="000D3DC1" w:rsidRPr="00A54361" w14:paraId="44FE57B2" w14:textId="77777777" w:rsidTr="005D16B3">
        <w:tc>
          <w:tcPr>
            <w:tcW w:w="846" w:type="dxa"/>
            <w:shd w:val="clear" w:color="auto" w:fill="D9E2F3" w:themeFill="accent1" w:themeFillTint="33"/>
          </w:tcPr>
          <w:p w14:paraId="7EDF9D85" w14:textId="1201622F" w:rsidR="00FD1776" w:rsidRPr="00A54361" w:rsidRDefault="00350815" w:rsidP="00A54361">
            <w:pPr>
              <w:pStyle w:val="TableParagraph"/>
              <w:jc w:val="both"/>
              <w:rPr>
                <w:rStyle w:val="Strong"/>
                <w:rFonts w:asciiTheme="minorHAnsi" w:hAnsiTheme="minorHAnsi"/>
              </w:rPr>
            </w:pPr>
            <w:r w:rsidRPr="00A54361">
              <w:rPr>
                <w:rStyle w:val="Strong"/>
                <w:rFonts w:asciiTheme="minorHAnsi" w:hAnsiTheme="minorHAnsi"/>
              </w:rPr>
              <w:t>Sr. No</w:t>
            </w:r>
          </w:p>
        </w:tc>
        <w:tc>
          <w:tcPr>
            <w:tcW w:w="2551" w:type="dxa"/>
            <w:shd w:val="clear" w:color="auto" w:fill="D9E2F3" w:themeFill="accent1" w:themeFillTint="33"/>
          </w:tcPr>
          <w:p w14:paraId="63AAE77B" w14:textId="34B4BCD0" w:rsidR="00FD1776" w:rsidRPr="00A54361" w:rsidRDefault="00C441FA" w:rsidP="00A54361">
            <w:pPr>
              <w:pStyle w:val="TableParagraph"/>
              <w:jc w:val="both"/>
              <w:rPr>
                <w:rStyle w:val="Strong"/>
                <w:rFonts w:asciiTheme="minorHAnsi" w:hAnsiTheme="minorHAnsi"/>
              </w:rPr>
            </w:pPr>
            <w:r w:rsidRPr="00A54361">
              <w:rPr>
                <w:rStyle w:val="Strong"/>
                <w:rFonts w:asciiTheme="minorHAnsi" w:hAnsiTheme="minorHAnsi"/>
              </w:rPr>
              <w:t>Service Area</w:t>
            </w:r>
          </w:p>
        </w:tc>
        <w:tc>
          <w:tcPr>
            <w:tcW w:w="2835" w:type="dxa"/>
            <w:shd w:val="clear" w:color="auto" w:fill="D9E2F3" w:themeFill="accent1" w:themeFillTint="33"/>
          </w:tcPr>
          <w:p w14:paraId="2E7F56BE" w14:textId="5D31976B" w:rsidR="00FD1776" w:rsidRPr="00A54361" w:rsidRDefault="005F12B7" w:rsidP="00A54361">
            <w:pPr>
              <w:pStyle w:val="TableParagraph"/>
              <w:jc w:val="both"/>
              <w:rPr>
                <w:rStyle w:val="Strong"/>
                <w:rFonts w:asciiTheme="minorHAnsi" w:hAnsiTheme="minorHAnsi"/>
              </w:rPr>
            </w:pPr>
            <w:r w:rsidRPr="00A54361">
              <w:rPr>
                <w:rStyle w:val="Strong"/>
                <w:rFonts w:asciiTheme="minorHAnsi" w:hAnsiTheme="minorHAnsi"/>
              </w:rPr>
              <w:t>Expected Service Level</w:t>
            </w:r>
          </w:p>
        </w:tc>
        <w:tc>
          <w:tcPr>
            <w:tcW w:w="3402" w:type="dxa"/>
            <w:shd w:val="clear" w:color="auto" w:fill="D9E2F3" w:themeFill="accent1" w:themeFillTint="33"/>
          </w:tcPr>
          <w:p w14:paraId="662F7091" w14:textId="74F9F436" w:rsidR="00FD1776" w:rsidRPr="00A54361" w:rsidRDefault="005242BB" w:rsidP="00A54361">
            <w:pPr>
              <w:pStyle w:val="TableParagraph"/>
              <w:jc w:val="both"/>
              <w:rPr>
                <w:rStyle w:val="Strong"/>
                <w:rFonts w:asciiTheme="minorHAnsi" w:hAnsiTheme="minorHAnsi"/>
              </w:rPr>
            </w:pPr>
            <w:r w:rsidRPr="00A54361">
              <w:rPr>
                <w:rStyle w:val="Strong"/>
                <w:rFonts w:asciiTheme="minorHAnsi" w:hAnsiTheme="minorHAnsi"/>
              </w:rPr>
              <w:t>Penalty</w:t>
            </w:r>
          </w:p>
        </w:tc>
      </w:tr>
      <w:tr w:rsidR="000D3DC1" w:rsidRPr="00A54361" w14:paraId="6153A525" w14:textId="77777777" w:rsidTr="005D16B3">
        <w:tc>
          <w:tcPr>
            <w:tcW w:w="846" w:type="dxa"/>
          </w:tcPr>
          <w:p w14:paraId="6C772C84" w14:textId="25F8E36C" w:rsidR="00FD1776" w:rsidRPr="00A54361" w:rsidRDefault="0002442E" w:rsidP="00A54361">
            <w:pPr>
              <w:pStyle w:val="TableParagraph"/>
              <w:jc w:val="both"/>
              <w:rPr>
                <w:rStyle w:val="Strong"/>
                <w:rFonts w:asciiTheme="minorHAnsi" w:hAnsiTheme="minorHAnsi"/>
              </w:rPr>
            </w:pPr>
            <w:r w:rsidRPr="00A54361">
              <w:rPr>
                <w:rStyle w:val="Strong"/>
                <w:rFonts w:asciiTheme="minorHAnsi" w:hAnsiTheme="minorHAnsi"/>
              </w:rPr>
              <w:t>1</w:t>
            </w:r>
          </w:p>
        </w:tc>
        <w:tc>
          <w:tcPr>
            <w:tcW w:w="2551" w:type="dxa"/>
          </w:tcPr>
          <w:p w14:paraId="32F3B086" w14:textId="6C4C00FC" w:rsidR="00FD1776" w:rsidRPr="00A54361" w:rsidRDefault="0002442E" w:rsidP="00A54361">
            <w:pPr>
              <w:pStyle w:val="TableParagraph"/>
              <w:jc w:val="both"/>
              <w:rPr>
                <w:rStyle w:val="Strong"/>
                <w:rFonts w:asciiTheme="minorHAnsi" w:hAnsiTheme="minorHAnsi"/>
              </w:rPr>
            </w:pPr>
            <w:r w:rsidRPr="00A54361">
              <w:rPr>
                <w:rStyle w:val="Strong"/>
                <w:rFonts w:asciiTheme="minorHAnsi" w:hAnsiTheme="minorHAnsi"/>
              </w:rPr>
              <w:t xml:space="preserve">Incident Response </w:t>
            </w:r>
          </w:p>
        </w:tc>
        <w:tc>
          <w:tcPr>
            <w:tcW w:w="2835" w:type="dxa"/>
          </w:tcPr>
          <w:p w14:paraId="6E291D6A" w14:textId="77777777" w:rsidR="00C45FAA" w:rsidRPr="00A54361" w:rsidRDefault="00C45FAA" w:rsidP="00A54361">
            <w:pPr>
              <w:pStyle w:val="TableParagraph"/>
              <w:jc w:val="both"/>
              <w:rPr>
                <w:rStyle w:val="Strong"/>
                <w:rFonts w:asciiTheme="minorHAnsi" w:hAnsiTheme="minorHAnsi"/>
                <w:b w:val="0"/>
                <w:bCs w:val="0"/>
              </w:rPr>
            </w:pPr>
            <w:r w:rsidRPr="00A54361">
              <w:rPr>
                <w:rStyle w:val="Strong"/>
                <w:rFonts w:asciiTheme="minorHAnsi" w:hAnsiTheme="minorHAnsi"/>
                <w:b w:val="0"/>
                <w:bCs w:val="0"/>
              </w:rPr>
              <w:t>24x7 monitoring of all in- scope devices</w:t>
            </w:r>
          </w:p>
          <w:p w14:paraId="3A5A4CD7" w14:textId="77777777" w:rsidR="00C45FAA" w:rsidRPr="00A54361" w:rsidRDefault="00C45FAA" w:rsidP="00A54361">
            <w:pPr>
              <w:pStyle w:val="TableParagraph"/>
              <w:jc w:val="both"/>
              <w:rPr>
                <w:rStyle w:val="Strong"/>
                <w:rFonts w:asciiTheme="minorHAnsi" w:hAnsiTheme="minorHAnsi"/>
                <w:b w:val="0"/>
                <w:bCs w:val="0"/>
              </w:rPr>
            </w:pPr>
          </w:p>
          <w:p w14:paraId="49C7E629" w14:textId="3542AC26" w:rsidR="00FD1776" w:rsidRPr="00A54361" w:rsidRDefault="00C45FAA" w:rsidP="00A54361">
            <w:pPr>
              <w:pStyle w:val="TableParagraph"/>
              <w:jc w:val="both"/>
              <w:rPr>
                <w:rStyle w:val="Strong"/>
                <w:rFonts w:asciiTheme="minorHAnsi" w:hAnsiTheme="minorHAnsi"/>
              </w:rPr>
            </w:pPr>
            <w:r w:rsidRPr="00A54361">
              <w:rPr>
                <w:rStyle w:val="Strong"/>
                <w:rFonts w:asciiTheme="minorHAnsi" w:hAnsiTheme="minorHAnsi"/>
                <w:b w:val="0"/>
                <w:bCs w:val="0"/>
              </w:rPr>
              <w:t>Categorization of events into Critical, High, Medium and Low priority shall be carried out in consultation with the selected Bidder during the contracting phase.</w:t>
            </w:r>
          </w:p>
        </w:tc>
        <w:tc>
          <w:tcPr>
            <w:tcW w:w="3402" w:type="dxa"/>
          </w:tcPr>
          <w:p w14:paraId="5987A7BE" w14:textId="0F0942D3" w:rsidR="00BA1D0D" w:rsidRPr="00A54361" w:rsidRDefault="00BA1D0D" w:rsidP="00A54361">
            <w:pPr>
              <w:pStyle w:val="TableParagraph"/>
              <w:jc w:val="both"/>
              <w:rPr>
                <w:rStyle w:val="Strong"/>
                <w:rFonts w:asciiTheme="minorHAnsi" w:hAnsiTheme="minorHAnsi"/>
                <w:b w:val="0"/>
                <w:bCs w:val="0"/>
              </w:rPr>
            </w:pPr>
            <w:r w:rsidRPr="00A54361">
              <w:rPr>
                <w:rStyle w:val="Strong"/>
                <w:rFonts w:asciiTheme="minorHAnsi" w:hAnsiTheme="minorHAnsi"/>
                <w:b w:val="0"/>
                <w:bCs w:val="0"/>
              </w:rPr>
              <w:t>All Critical, High and Medium priority incident should  be logged as incident tickets and responded as per below SLAs:</w:t>
            </w:r>
          </w:p>
          <w:p w14:paraId="443B1684" w14:textId="77777777" w:rsidR="00BA1D0D" w:rsidRPr="00A54361" w:rsidRDefault="00BA1D0D" w:rsidP="00A54361">
            <w:pPr>
              <w:pStyle w:val="TableParagraph"/>
              <w:jc w:val="both"/>
              <w:rPr>
                <w:rStyle w:val="Strong"/>
                <w:rFonts w:asciiTheme="minorHAnsi" w:hAnsiTheme="minorHAnsi"/>
                <w:b w:val="0"/>
                <w:bCs w:val="0"/>
              </w:rPr>
            </w:pPr>
          </w:p>
          <w:p w14:paraId="71C64F1B" w14:textId="77777777" w:rsidR="00FD1776" w:rsidRPr="00A54361" w:rsidRDefault="00BA1D0D" w:rsidP="00A54361">
            <w:pPr>
              <w:pStyle w:val="TableParagraph"/>
              <w:jc w:val="both"/>
              <w:rPr>
                <w:rStyle w:val="Strong"/>
                <w:rFonts w:asciiTheme="minorHAnsi" w:hAnsiTheme="minorHAnsi"/>
                <w:b w:val="0"/>
                <w:bCs w:val="0"/>
              </w:rPr>
            </w:pPr>
            <w:r w:rsidRPr="00A54361">
              <w:rPr>
                <w:rStyle w:val="Strong"/>
                <w:rFonts w:asciiTheme="minorHAnsi" w:hAnsiTheme="minorHAnsi"/>
                <w:b w:val="0"/>
                <w:bCs w:val="0"/>
              </w:rPr>
              <w:t>Incident along with action plan/ mitigation steps should be alerted to designated Bank personnel as per the below SLA:</w:t>
            </w:r>
          </w:p>
          <w:p w14:paraId="008F5B9F" w14:textId="77777777" w:rsidR="00BA1D0D" w:rsidRPr="00A54361" w:rsidRDefault="00810E05" w:rsidP="00A54361">
            <w:pPr>
              <w:pStyle w:val="TableParagraph"/>
              <w:numPr>
                <w:ilvl w:val="0"/>
                <w:numId w:val="65"/>
              </w:numPr>
              <w:jc w:val="both"/>
              <w:rPr>
                <w:rStyle w:val="Strong"/>
                <w:rFonts w:asciiTheme="minorHAnsi" w:hAnsiTheme="minorHAnsi"/>
                <w:b w:val="0"/>
                <w:bCs w:val="0"/>
              </w:rPr>
            </w:pPr>
            <w:r w:rsidRPr="00A54361">
              <w:rPr>
                <w:rStyle w:val="Strong"/>
                <w:rFonts w:asciiTheme="minorHAnsi" w:hAnsiTheme="minorHAnsi"/>
                <w:b w:val="0"/>
                <w:bCs w:val="0"/>
              </w:rPr>
              <w:t>Critical    incidents    within    15 minutes of the incident identification. Update should be provided every 15 minutes till the closure of the incident.</w:t>
            </w:r>
          </w:p>
          <w:p w14:paraId="14441B4F" w14:textId="570ED61D" w:rsidR="00810E05" w:rsidRPr="00A54361" w:rsidRDefault="0070158A" w:rsidP="00A54361">
            <w:pPr>
              <w:pStyle w:val="TableParagraph"/>
              <w:numPr>
                <w:ilvl w:val="0"/>
                <w:numId w:val="65"/>
              </w:numPr>
              <w:jc w:val="both"/>
              <w:rPr>
                <w:rStyle w:val="Strong"/>
                <w:rFonts w:asciiTheme="minorHAnsi" w:hAnsiTheme="minorHAnsi"/>
                <w:b w:val="0"/>
                <w:bCs w:val="0"/>
              </w:rPr>
            </w:pPr>
            <w:r w:rsidRPr="00A54361">
              <w:rPr>
                <w:rStyle w:val="Strong"/>
                <w:rFonts w:asciiTheme="minorHAnsi" w:hAnsiTheme="minorHAnsi"/>
                <w:b w:val="0"/>
                <w:bCs w:val="0"/>
              </w:rPr>
              <w:t xml:space="preserve">High priority incidents within 30 minutes of the </w:t>
            </w:r>
            <w:r w:rsidR="00C106F4" w:rsidRPr="00A54361">
              <w:rPr>
                <w:rStyle w:val="Strong"/>
                <w:rFonts w:asciiTheme="minorHAnsi" w:hAnsiTheme="minorHAnsi"/>
                <w:b w:val="0"/>
                <w:bCs w:val="0"/>
              </w:rPr>
              <w:t>incident’s</w:t>
            </w:r>
            <w:r w:rsidRPr="00A54361">
              <w:rPr>
                <w:rStyle w:val="Strong"/>
                <w:rFonts w:asciiTheme="minorHAnsi" w:hAnsiTheme="minorHAnsi"/>
                <w:b w:val="0"/>
                <w:bCs w:val="0"/>
              </w:rPr>
              <w:t xml:space="preserve"> identification. Update should be provided every 1 hour till the closure of the incident</w:t>
            </w:r>
          </w:p>
          <w:p w14:paraId="5A1EDB7D" w14:textId="77777777" w:rsidR="00727C75" w:rsidRPr="00A54361" w:rsidRDefault="00727C75" w:rsidP="00A54361">
            <w:pPr>
              <w:pStyle w:val="TableParagraph"/>
              <w:numPr>
                <w:ilvl w:val="0"/>
                <w:numId w:val="65"/>
              </w:numPr>
              <w:jc w:val="both"/>
              <w:rPr>
                <w:rStyle w:val="Strong"/>
                <w:rFonts w:asciiTheme="minorHAnsi" w:hAnsiTheme="minorHAnsi"/>
                <w:b w:val="0"/>
                <w:bCs w:val="0"/>
              </w:rPr>
            </w:pPr>
            <w:r w:rsidRPr="00A54361">
              <w:rPr>
                <w:rStyle w:val="Strong"/>
                <w:rFonts w:asciiTheme="minorHAnsi" w:hAnsiTheme="minorHAnsi"/>
                <w:b w:val="0"/>
                <w:bCs w:val="0"/>
              </w:rPr>
              <w:t>Medium priority incidents within</w:t>
            </w:r>
          </w:p>
          <w:p w14:paraId="1ABE6755" w14:textId="77777777" w:rsidR="0070158A" w:rsidRPr="00A54361" w:rsidRDefault="00C106F4" w:rsidP="00A54361">
            <w:pPr>
              <w:pStyle w:val="TableParagraph"/>
              <w:numPr>
                <w:ilvl w:val="0"/>
                <w:numId w:val="65"/>
              </w:numPr>
              <w:jc w:val="both"/>
              <w:rPr>
                <w:rStyle w:val="Strong"/>
                <w:rFonts w:asciiTheme="minorHAnsi" w:hAnsiTheme="minorHAnsi"/>
                <w:b w:val="0"/>
                <w:bCs w:val="0"/>
              </w:rPr>
            </w:pPr>
            <w:r w:rsidRPr="00A54361">
              <w:rPr>
                <w:rStyle w:val="Strong"/>
                <w:rFonts w:asciiTheme="minorHAnsi" w:hAnsiTheme="minorHAnsi"/>
                <w:b w:val="0"/>
                <w:bCs w:val="0"/>
              </w:rPr>
              <w:t>60 minutes</w:t>
            </w:r>
            <w:r w:rsidR="00727C75" w:rsidRPr="00A54361">
              <w:rPr>
                <w:rStyle w:val="Strong"/>
                <w:rFonts w:asciiTheme="minorHAnsi" w:hAnsiTheme="minorHAnsi"/>
                <w:b w:val="0"/>
                <w:bCs w:val="0"/>
              </w:rPr>
              <w:t xml:space="preserve">  of   the  incidents</w:t>
            </w:r>
            <w:r w:rsidRPr="00A54361">
              <w:t xml:space="preserve"> </w:t>
            </w:r>
            <w:r w:rsidRPr="00A54361">
              <w:rPr>
                <w:rStyle w:val="Strong"/>
                <w:rFonts w:asciiTheme="minorHAnsi" w:hAnsiTheme="minorHAnsi"/>
                <w:b w:val="0"/>
                <w:bCs w:val="0"/>
              </w:rPr>
              <w:t>identification. Update should be provided every 4 hours till the closure of the incident.</w:t>
            </w:r>
          </w:p>
          <w:p w14:paraId="26FD4727" w14:textId="77777777" w:rsidR="006655EA" w:rsidRPr="00A54361" w:rsidRDefault="006655EA" w:rsidP="00A54361">
            <w:pPr>
              <w:pStyle w:val="TableParagraph"/>
              <w:jc w:val="both"/>
              <w:rPr>
                <w:rStyle w:val="Strong"/>
                <w:rFonts w:asciiTheme="minorHAnsi" w:hAnsiTheme="minorHAnsi"/>
                <w:b w:val="0"/>
                <w:bCs w:val="0"/>
              </w:rPr>
            </w:pPr>
          </w:p>
          <w:p w14:paraId="506B2CB9" w14:textId="77777777" w:rsidR="006655EA" w:rsidRPr="00A54361" w:rsidRDefault="006655EA" w:rsidP="00A54361">
            <w:pPr>
              <w:pStyle w:val="TableParagraph"/>
              <w:jc w:val="both"/>
              <w:rPr>
                <w:rStyle w:val="Strong"/>
                <w:rFonts w:asciiTheme="minorHAnsi" w:hAnsiTheme="minorHAnsi"/>
                <w:u w:val="single"/>
              </w:rPr>
            </w:pPr>
            <w:r w:rsidRPr="00A54361">
              <w:rPr>
                <w:rStyle w:val="Strong"/>
                <w:rFonts w:asciiTheme="minorHAnsi" w:hAnsiTheme="minorHAnsi"/>
                <w:u w:val="single"/>
              </w:rPr>
              <w:t>Penalty</w:t>
            </w:r>
            <w:r w:rsidR="00C354D5" w:rsidRPr="00A54361">
              <w:rPr>
                <w:rStyle w:val="Strong"/>
                <w:rFonts w:asciiTheme="minorHAnsi" w:hAnsiTheme="minorHAnsi"/>
                <w:u w:val="single"/>
              </w:rPr>
              <w:t>:</w:t>
            </w:r>
          </w:p>
          <w:p w14:paraId="1702C73B" w14:textId="40931CC6" w:rsidR="00C354D5" w:rsidRPr="00A54361" w:rsidRDefault="00D442CF" w:rsidP="00A54361">
            <w:pPr>
              <w:pStyle w:val="TableParagraph"/>
              <w:jc w:val="both"/>
              <w:rPr>
                <w:rStyle w:val="Strong"/>
                <w:rFonts w:asciiTheme="minorHAnsi" w:hAnsiTheme="minorHAnsi"/>
                <w:b w:val="0"/>
                <w:bCs w:val="0"/>
              </w:rPr>
            </w:pPr>
            <w:r w:rsidRPr="00A54361">
              <w:rPr>
                <w:rStyle w:val="Strong"/>
                <w:rFonts w:asciiTheme="minorHAnsi" w:hAnsiTheme="minorHAnsi"/>
                <w:b w:val="0"/>
                <w:bCs w:val="0"/>
              </w:rPr>
              <w:t>SLA is</w:t>
            </w:r>
            <w:r w:rsidR="00F54065" w:rsidRPr="00A54361">
              <w:rPr>
                <w:rStyle w:val="Strong"/>
                <w:rFonts w:asciiTheme="minorHAnsi" w:hAnsiTheme="minorHAnsi"/>
                <w:b w:val="0"/>
                <w:bCs w:val="0"/>
              </w:rPr>
              <w:t xml:space="preserve">  measured  on  a  monthly basis and the penalty is as follows:</w:t>
            </w:r>
          </w:p>
          <w:p w14:paraId="06319A87" w14:textId="77777777" w:rsidR="006325B4" w:rsidRPr="00A54361" w:rsidRDefault="006325B4" w:rsidP="00A54361">
            <w:pPr>
              <w:pStyle w:val="TableParagraph"/>
              <w:jc w:val="both"/>
              <w:rPr>
                <w:rStyle w:val="Strong"/>
                <w:rFonts w:asciiTheme="minorHAnsi" w:hAnsiTheme="minorHAnsi"/>
              </w:rPr>
            </w:pPr>
          </w:p>
          <w:p w14:paraId="3AEBA514" w14:textId="735E5D63" w:rsidR="00975CB9" w:rsidRPr="00A54361" w:rsidRDefault="00457249" w:rsidP="00A54361">
            <w:pPr>
              <w:pStyle w:val="TableParagraph"/>
              <w:jc w:val="both"/>
              <w:rPr>
                <w:rStyle w:val="Strong"/>
                <w:rFonts w:asciiTheme="minorHAnsi" w:hAnsiTheme="minorHAnsi"/>
              </w:rPr>
            </w:pPr>
            <w:r w:rsidRPr="00A54361">
              <w:rPr>
                <w:rStyle w:val="Strong"/>
                <w:rFonts w:asciiTheme="minorHAnsi" w:hAnsiTheme="minorHAnsi"/>
              </w:rPr>
              <w:t>Critical Events:</w:t>
            </w:r>
          </w:p>
          <w:p w14:paraId="316BC738" w14:textId="321E11B2" w:rsidR="00D442CF" w:rsidRPr="00A54361" w:rsidRDefault="00D442CF" w:rsidP="00A54361">
            <w:pPr>
              <w:pStyle w:val="TableParagraph"/>
              <w:numPr>
                <w:ilvl w:val="0"/>
                <w:numId w:val="66"/>
              </w:numPr>
              <w:jc w:val="both"/>
              <w:rPr>
                <w:rStyle w:val="Strong"/>
                <w:rFonts w:asciiTheme="minorHAnsi" w:hAnsiTheme="minorHAnsi"/>
                <w:b w:val="0"/>
                <w:bCs w:val="0"/>
              </w:rPr>
            </w:pPr>
            <w:r w:rsidRPr="00A54361">
              <w:rPr>
                <w:rStyle w:val="Strong"/>
                <w:rFonts w:asciiTheme="minorHAnsi" w:hAnsiTheme="minorHAnsi"/>
                <w:b w:val="0"/>
                <w:bCs w:val="0"/>
              </w:rPr>
              <w:t xml:space="preserve">95-99%: 10% of the </w:t>
            </w:r>
            <w:r w:rsidR="00494A79" w:rsidRPr="00A54361">
              <w:rPr>
                <w:rStyle w:val="Strong"/>
                <w:rFonts w:asciiTheme="minorHAnsi" w:hAnsiTheme="minorHAnsi"/>
                <w:b w:val="0"/>
                <w:bCs w:val="0"/>
              </w:rPr>
              <w:t>FMS cost</w:t>
            </w:r>
            <w:r w:rsidRPr="00A54361">
              <w:rPr>
                <w:rStyle w:val="Strong"/>
                <w:rFonts w:asciiTheme="minorHAnsi" w:hAnsiTheme="minorHAnsi"/>
                <w:b w:val="0"/>
                <w:bCs w:val="0"/>
              </w:rPr>
              <w:t xml:space="preserve"> for the Month</w:t>
            </w:r>
          </w:p>
          <w:p w14:paraId="6F227D6B" w14:textId="3659BDAC" w:rsidR="00D442CF" w:rsidRPr="00A54361" w:rsidRDefault="00D442CF" w:rsidP="00A54361">
            <w:pPr>
              <w:pStyle w:val="TableParagraph"/>
              <w:numPr>
                <w:ilvl w:val="0"/>
                <w:numId w:val="66"/>
              </w:numPr>
              <w:jc w:val="both"/>
              <w:rPr>
                <w:rStyle w:val="Strong"/>
                <w:rFonts w:asciiTheme="minorHAnsi" w:hAnsiTheme="minorHAnsi"/>
                <w:b w:val="0"/>
                <w:bCs w:val="0"/>
              </w:rPr>
            </w:pPr>
            <w:r w:rsidRPr="00A54361">
              <w:rPr>
                <w:rStyle w:val="Strong"/>
                <w:rFonts w:asciiTheme="minorHAnsi" w:hAnsiTheme="minorHAnsi"/>
                <w:b w:val="0"/>
                <w:bCs w:val="0"/>
              </w:rPr>
              <w:t xml:space="preserve">90-95%: 15% of the </w:t>
            </w:r>
            <w:r w:rsidR="00494A79" w:rsidRPr="00A54361">
              <w:rPr>
                <w:rStyle w:val="Strong"/>
                <w:rFonts w:asciiTheme="minorHAnsi" w:hAnsiTheme="minorHAnsi"/>
                <w:b w:val="0"/>
                <w:bCs w:val="0"/>
              </w:rPr>
              <w:t>FMS cost</w:t>
            </w:r>
            <w:r w:rsidRPr="00A54361">
              <w:rPr>
                <w:rStyle w:val="Strong"/>
                <w:rFonts w:asciiTheme="minorHAnsi" w:hAnsiTheme="minorHAnsi"/>
                <w:b w:val="0"/>
                <w:bCs w:val="0"/>
              </w:rPr>
              <w:t xml:space="preserve"> for the Month</w:t>
            </w:r>
          </w:p>
          <w:p w14:paraId="281A2DEC" w14:textId="41672292" w:rsidR="00457249" w:rsidRPr="00A54361" w:rsidRDefault="00D442CF" w:rsidP="00A54361">
            <w:pPr>
              <w:pStyle w:val="TableParagraph"/>
              <w:numPr>
                <w:ilvl w:val="0"/>
                <w:numId w:val="66"/>
              </w:numPr>
              <w:jc w:val="both"/>
              <w:rPr>
                <w:rStyle w:val="Strong"/>
                <w:rFonts w:asciiTheme="minorHAnsi" w:hAnsiTheme="minorHAnsi"/>
                <w:b w:val="0"/>
                <w:bCs w:val="0"/>
              </w:rPr>
            </w:pPr>
            <w:r w:rsidRPr="00A54361">
              <w:rPr>
                <w:rStyle w:val="Strong"/>
                <w:rFonts w:asciiTheme="minorHAnsi" w:hAnsiTheme="minorHAnsi"/>
                <w:b w:val="0"/>
                <w:bCs w:val="0"/>
              </w:rPr>
              <w:t xml:space="preserve">&lt;90%: 20% of the </w:t>
            </w:r>
            <w:r w:rsidR="00494A79" w:rsidRPr="00A54361">
              <w:rPr>
                <w:rStyle w:val="Strong"/>
                <w:rFonts w:asciiTheme="minorHAnsi" w:hAnsiTheme="minorHAnsi"/>
                <w:b w:val="0"/>
                <w:bCs w:val="0"/>
              </w:rPr>
              <w:t>FMS cost</w:t>
            </w:r>
            <w:r w:rsidRPr="00A54361">
              <w:rPr>
                <w:rStyle w:val="Strong"/>
                <w:rFonts w:asciiTheme="minorHAnsi" w:hAnsiTheme="minorHAnsi"/>
                <w:b w:val="0"/>
                <w:bCs w:val="0"/>
              </w:rPr>
              <w:t xml:space="preserve"> for the Month</w:t>
            </w:r>
          </w:p>
          <w:p w14:paraId="38577F49" w14:textId="77777777" w:rsidR="006325B4" w:rsidRPr="00A54361" w:rsidRDefault="006325B4" w:rsidP="00A54361">
            <w:pPr>
              <w:pStyle w:val="TableParagraph"/>
              <w:jc w:val="both"/>
              <w:rPr>
                <w:rStyle w:val="Strong"/>
                <w:rFonts w:asciiTheme="minorHAnsi" w:hAnsiTheme="minorHAnsi"/>
              </w:rPr>
            </w:pPr>
          </w:p>
          <w:p w14:paraId="40980214" w14:textId="3801CE63" w:rsidR="00697AE0" w:rsidRPr="00A54361" w:rsidRDefault="00697AE0" w:rsidP="00A54361">
            <w:pPr>
              <w:pStyle w:val="TableParagraph"/>
              <w:jc w:val="both"/>
              <w:rPr>
                <w:rStyle w:val="Strong"/>
                <w:rFonts w:asciiTheme="minorHAnsi" w:hAnsiTheme="minorHAnsi"/>
              </w:rPr>
            </w:pPr>
            <w:r w:rsidRPr="00A54361">
              <w:rPr>
                <w:rStyle w:val="Strong"/>
                <w:rFonts w:asciiTheme="minorHAnsi" w:hAnsiTheme="minorHAnsi"/>
              </w:rPr>
              <w:t>High Priority Events:</w:t>
            </w:r>
          </w:p>
          <w:p w14:paraId="159EAE94" w14:textId="43706824" w:rsidR="006325B4" w:rsidRPr="00A54361" w:rsidRDefault="00697AE0" w:rsidP="00A54361">
            <w:pPr>
              <w:pStyle w:val="TableParagraph"/>
              <w:numPr>
                <w:ilvl w:val="0"/>
                <w:numId w:val="67"/>
              </w:numPr>
              <w:jc w:val="both"/>
              <w:rPr>
                <w:rStyle w:val="Strong"/>
                <w:rFonts w:asciiTheme="minorHAnsi" w:hAnsiTheme="minorHAnsi"/>
                <w:b w:val="0"/>
                <w:bCs w:val="0"/>
              </w:rPr>
            </w:pPr>
            <w:r w:rsidRPr="00A54361">
              <w:rPr>
                <w:rStyle w:val="Strong"/>
                <w:rFonts w:asciiTheme="minorHAnsi" w:hAnsiTheme="minorHAnsi"/>
                <w:b w:val="0"/>
                <w:bCs w:val="0"/>
              </w:rPr>
              <w:t xml:space="preserve">95-99%: 5% of the </w:t>
            </w:r>
            <w:r w:rsidR="00494A79" w:rsidRPr="00A54361">
              <w:rPr>
                <w:rStyle w:val="Strong"/>
                <w:rFonts w:asciiTheme="minorHAnsi" w:hAnsiTheme="minorHAnsi"/>
                <w:b w:val="0"/>
                <w:bCs w:val="0"/>
              </w:rPr>
              <w:t>FMS cost</w:t>
            </w:r>
            <w:r w:rsidRPr="00A54361">
              <w:rPr>
                <w:rStyle w:val="Strong"/>
                <w:rFonts w:asciiTheme="minorHAnsi" w:hAnsiTheme="minorHAnsi"/>
                <w:b w:val="0"/>
                <w:bCs w:val="0"/>
              </w:rPr>
              <w:t xml:space="preserve"> for the Month</w:t>
            </w:r>
          </w:p>
          <w:p w14:paraId="11778A4E" w14:textId="2731E565" w:rsidR="006325B4" w:rsidRPr="00A54361" w:rsidRDefault="00697AE0" w:rsidP="00A54361">
            <w:pPr>
              <w:pStyle w:val="TableParagraph"/>
              <w:numPr>
                <w:ilvl w:val="0"/>
                <w:numId w:val="67"/>
              </w:numPr>
              <w:jc w:val="both"/>
              <w:rPr>
                <w:rStyle w:val="Strong"/>
                <w:rFonts w:asciiTheme="minorHAnsi" w:hAnsiTheme="minorHAnsi"/>
                <w:b w:val="0"/>
                <w:bCs w:val="0"/>
              </w:rPr>
            </w:pPr>
            <w:r w:rsidRPr="00A54361">
              <w:rPr>
                <w:rStyle w:val="Strong"/>
                <w:rFonts w:asciiTheme="minorHAnsi" w:hAnsiTheme="minorHAnsi"/>
                <w:b w:val="0"/>
                <w:bCs w:val="0"/>
              </w:rPr>
              <w:t xml:space="preserve">90-95%: 10% of the </w:t>
            </w:r>
            <w:r w:rsidR="00494A79" w:rsidRPr="00A54361">
              <w:rPr>
                <w:rStyle w:val="Strong"/>
                <w:rFonts w:asciiTheme="minorHAnsi" w:hAnsiTheme="minorHAnsi"/>
                <w:b w:val="0"/>
                <w:bCs w:val="0"/>
              </w:rPr>
              <w:t>FMS cost</w:t>
            </w:r>
            <w:r w:rsidRPr="00A54361">
              <w:rPr>
                <w:rStyle w:val="Strong"/>
                <w:rFonts w:asciiTheme="minorHAnsi" w:hAnsiTheme="minorHAnsi"/>
                <w:b w:val="0"/>
                <w:bCs w:val="0"/>
              </w:rPr>
              <w:t xml:space="preserve"> for the Month</w:t>
            </w:r>
          </w:p>
          <w:p w14:paraId="6465FFB0" w14:textId="015B1E9B" w:rsidR="00697AE0" w:rsidRPr="00A54361" w:rsidRDefault="00697AE0" w:rsidP="00A54361">
            <w:pPr>
              <w:pStyle w:val="TableParagraph"/>
              <w:numPr>
                <w:ilvl w:val="0"/>
                <w:numId w:val="67"/>
              </w:numPr>
              <w:jc w:val="both"/>
              <w:rPr>
                <w:rStyle w:val="Strong"/>
                <w:rFonts w:asciiTheme="minorHAnsi" w:hAnsiTheme="minorHAnsi"/>
                <w:b w:val="0"/>
                <w:bCs w:val="0"/>
              </w:rPr>
            </w:pPr>
            <w:r w:rsidRPr="00A54361">
              <w:rPr>
                <w:rStyle w:val="Strong"/>
                <w:rFonts w:asciiTheme="minorHAnsi" w:hAnsiTheme="minorHAnsi"/>
                <w:b w:val="0"/>
                <w:bCs w:val="0"/>
              </w:rPr>
              <w:t xml:space="preserve">&lt;90%: 15% of the </w:t>
            </w:r>
            <w:r w:rsidR="00494A79" w:rsidRPr="00A54361">
              <w:rPr>
                <w:rStyle w:val="Strong"/>
                <w:rFonts w:asciiTheme="minorHAnsi" w:hAnsiTheme="minorHAnsi"/>
                <w:b w:val="0"/>
                <w:bCs w:val="0"/>
              </w:rPr>
              <w:t>FMS cost</w:t>
            </w:r>
            <w:r w:rsidRPr="00A54361">
              <w:rPr>
                <w:rStyle w:val="Strong"/>
                <w:rFonts w:asciiTheme="minorHAnsi" w:hAnsiTheme="minorHAnsi"/>
                <w:b w:val="0"/>
                <w:bCs w:val="0"/>
              </w:rPr>
              <w:t xml:space="preserve"> for the Month</w:t>
            </w:r>
          </w:p>
          <w:p w14:paraId="174F6D0D" w14:textId="77777777" w:rsidR="007B32B3" w:rsidRPr="00A54361" w:rsidRDefault="007B32B3" w:rsidP="00A54361">
            <w:pPr>
              <w:pStyle w:val="TableParagraph"/>
              <w:jc w:val="both"/>
              <w:rPr>
                <w:rStyle w:val="Strong"/>
                <w:rFonts w:asciiTheme="minorHAnsi" w:hAnsiTheme="minorHAnsi"/>
                <w:b w:val="0"/>
                <w:bCs w:val="0"/>
              </w:rPr>
            </w:pPr>
          </w:p>
          <w:p w14:paraId="6D868A9F" w14:textId="77777777" w:rsidR="00026D11" w:rsidRPr="00A54361" w:rsidRDefault="00026D11" w:rsidP="00A54361">
            <w:pPr>
              <w:pStyle w:val="TableParagraph"/>
              <w:jc w:val="both"/>
              <w:rPr>
                <w:rStyle w:val="Strong"/>
                <w:rFonts w:asciiTheme="minorHAnsi" w:hAnsiTheme="minorHAnsi"/>
              </w:rPr>
            </w:pPr>
            <w:r w:rsidRPr="00A54361">
              <w:rPr>
                <w:rStyle w:val="Strong"/>
                <w:rFonts w:asciiTheme="minorHAnsi" w:hAnsiTheme="minorHAnsi"/>
              </w:rPr>
              <w:t>Medium Priority Events:</w:t>
            </w:r>
          </w:p>
          <w:p w14:paraId="37239975" w14:textId="7520D4D9" w:rsidR="00026D11" w:rsidRPr="00A54361" w:rsidRDefault="00026D11" w:rsidP="00A54361">
            <w:pPr>
              <w:pStyle w:val="TableParagraph"/>
              <w:numPr>
                <w:ilvl w:val="0"/>
                <w:numId w:val="67"/>
              </w:numPr>
              <w:jc w:val="both"/>
              <w:rPr>
                <w:rStyle w:val="Strong"/>
                <w:rFonts w:asciiTheme="minorHAnsi" w:hAnsiTheme="minorHAnsi"/>
                <w:b w:val="0"/>
                <w:bCs w:val="0"/>
              </w:rPr>
            </w:pPr>
            <w:r w:rsidRPr="00A54361">
              <w:rPr>
                <w:rStyle w:val="Strong"/>
                <w:rFonts w:asciiTheme="minorHAnsi" w:hAnsiTheme="minorHAnsi"/>
                <w:b w:val="0"/>
                <w:bCs w:val="0"/>
              </w:rPr>
              <w:t xml:space="preserve">95-99%: </w:t>
            </w:r>
            <w:r w:rsidR="006F7C17" w:rsidRPr="00A54361">
              <w:rPr>
                <w:rStyle w:val="Strong"/>
                <w:rFonts w:asciiTheme="minorHAnsi" w:hAnsiTheme="minorHAnsi"/>
                <w:b w:val="0"/>
                <w:bCs w:val="0"/>
              </w:rPr>
              <w:t>2</w:t>
            </w:r>
            <w:r w:rsidRPr="00A54361">
              <w:rPr>
                <w:rStyle w:val="Strong"/>
                <w:rFonts w:asciiTheme="minorHAnsi" w:hAnsiTheme="minorHAnsi"/>
                <w:b w:val="0"/>
                <w:bCs w:val="0"/>
              </w:rPr>
              <w:t xml:space="preserve">% of the </w:t>
            </w:r>
            <w:r w:rsidR="00494A79" w:rsidRPr="00A54361">
              <w:rPr>
                <w:rStyle w:val="Strong"/>
                <w:rFonts w:asciiTheme="minorHAnsi" w:hAnsiTheme="minorHAnsi"/>
                <w:b w:val="0"/>
                <w:bCs w:val="0"/>
              </w:rPr>
              <w:t>FMS cost</w:t>
            </w:r>
            <w:r w:rsidRPr="00A54361">
              <w:rPr>
                <w:rStyle w:val="Strong"/>
                <w:rFonts w:asciiTheme="minorHAnsi" w:hAnsiTheme="minorHAnsi"/>
                <w:b w:val="0"/>
                <w:bCs w:val="0"/>
              </w:rPr>
              <w:t xml:space="preserve"> for the Month</w:t>
            </w:r>
          </w:p>
          <w:p w14:paraId="34E3884F" w14:textId="491E2089" w:rsidR="00026D11" w:rsidRPr="00A54361" w:rsidRDefault="00026D11" w:rsidP="00A54361">
            <w:pPr>
              <w:pStyle w:val="TableParagraph"/>
              <w:numPr>
                <w:ilvl w:val="0"/>
                <w:numId w:val="67"/>
              </w:numPr>
              <w:jc w:val="both"/>
              <w:rPr>
                <w:rStyle w:val="Strong"/>
                <w:rFonts w:asciiTheme="minorHAnsi" w:hAnsiTheme="minorHAnsi"/>
                <w:b w:val="0"/>
                <w:bCs w:val="0"/>
              </w:rPr>
            </w:pPr>
            <w:r w:rsidRPr="00A54361">
              <w:rPr>
                <w:rStyle w:val="Strong"/>
                <w:rFonts w:asciiTheme="minorHAnsi" w:hAnsiTheme="minorHAnsi"/>
                <w:b w:val="0"/>
                <w:bCs w:val="0"/>
              </w:rPr>
              <w:t xml:space="preserve">90-95%: </w:t>
            </w:r>
            <w:r w:rsidR="00EA6980" w:rsidRPr="00A54361">
              <w:rPr>
                <w:rStyle w:val="Strong"/>
                <w:rFonts w:asciiTheme="minorHAnsi" w:hAnsiTheme="minorHAnsi"/>
                <w:b w:val="0"/>
                <w:bCs w:val="0"/>
              </w:rPr>
              <w:t>5</w:t>
            </w:r>
            <w:r w:rsidRPr="00A54361">
              <w:rPr>
                <w:rStyle w:val="Strong"/>
                <w:rFonts w:asciiTheme="minorHAnsi" w:hAnsiTheme="minorHAnsi"/>
                <w:b w:val="0"/>
                <w:bCs w:val="0"/>
              </w:rPr>
              <w:t xml:space="preserve">% of the </w:t>
            </w:r>
            <w:r w:rsidR="00494A79" w:rsidRPr="00A54361">
              <w:rPr>
                <w:rStyle w:val="Strong"/>
                <w:rFonts w:asciiTheme="minorHAnsi" w:hAnsiTheme="minorHAnsi"/>
                <w:b w:val="0"/>
                <w:bCs w:val="0"/>
              </w:rPr>
              <w:t>FMS cost</w:t>
            </w:r>
            <w:r w:rsidRPr="00A54361">
              <w:rPr>
                <w:rStyle w:val="Strong"/>
                <w:rFonts w:asciiTheme="minorHAnsi" w:hAnsiTheme="minorHAnsi"/>
                <w:b w:val="0"/>
                <w:bCs w:val="0"/>
              </w:rPr>
              <w:t xml:space="preserve"> for the Month</w:t>
            </w:r>
          </w:p>
          <w:p w14:paraId="5ED7E518" w14:textId="0802CB86" w:rsidR="007B32B3" w:rsidRPr="00A54361" w:rsidRDefault="00026D11" w:rsidP="00A54361">
            <w:pPr>
              <w:pStyle w:val="TableParagraph"/>
              <w:numPr>
                <w:ilvl w:val="0"/>
                <w:numId w:val="67"/>
              </w:numPr>
              <w:jc w:val="both"/>
              <w:rPr>
                <w:rStyle w:val="Strong"/>
                <w:rFonts w:asciiTheme="minorHAnsi" w:hAnsiTheme="minorHAnsi"/>
                <w:b w:val="0"/>
                <w:bCs w:val="0"/>
              </w:rPr>
            </w:pPr>
            <w:r w:rsidRPr="00A54361">
              <w:rPr>
                <w:rStyle w:val="Strong"/>
                <w:rFonts w:asciiTheme="minorHAnsi" w:hAnsiTheme="minorHAnsi"/>
                <w:b w:val="0"/>
                <w:bCs w:val="0"/>
              </w:rPr>
              <w:t xml:space="preserve">&lt;90%:  </w:t>
            </w:r>
            <w:r w:rsidR="00EA6980" w:rsidRPr="00A54361">
              <w:rPr>
                <w:rStyle w:val="Strong"/>
                <w:rFonts w:asciiTheme="minorHAnsi" w:hAnsiTheme="minorHAnsi"/>
                <w:b w:val="0"/>
                <w:bCs w:val="0"/>
              </w:rPr>
              <w:t>10</w:t>
            </w:r>
            <w:r w:rsidR="007900AA" w:rsidRPr="00A54361">
              <w:rPr>
                <w:rStyle w:val="Strong"/>
                <w:rFonts w:asciiTheme="minorHAnsi" w:hAnsiTheme="minorHAnsi"/>
                <w:b w:val="0"/>
                <w:bCs w:val="0"/>
              </w:rPr>
              <w:t>% of</w:t>
            </w:r>
            <w:r w:rsidRPr="00A54361">
              <w:rPr>
                <w:rStyle w:val="Strong"/>
                <w:rFonts w:asciiTheme="minorHAnsi" w:hAnsiTheme="minorHAnsi"/>
                <w:b w:val="0"/>
                <w:bCs w:val="0"/>
              </w:rPr>
              <w:t xml:space="preserve">  the  </w:t>
            </w:r>
            <w:r w:rsidR="00494A79" w:rsidRPr="00A54361">
              <w:rPr>
                <w:rStyle w:val="Strong"/>
                <w:rFonts w:asciiTheme="minorHAnsi" w:hAnsiTheme="minorHAnsi"/>
                <w:b w:val="0"/>
                <w:bCs w:val="0"/>
              </w:rPr>
              <w:t>FMS cost</w:t>
            </w:r>
            <w:r w:rsidRPr="00A54361">
              <w:rPr>
                <w:rStyle w:val="Strong"/>
                <w:rFonts w:asciiTheme="minorHAnsi" w:hAnsiTheme="minorHAnsi"/>
                <w:b w:val="0"/>
                <w:bCs w:val="0"/>
              </w:rPr>
              <w:t xml:space="preserve"> for the Month</w:t>
            </w:r>
          </w:p>
          <w:p w14:paraId="71236AC6" w14:textId="77777777" w:rsidR="007900AA" w:rsidRPr="00A54361" w:rsidRDefault="007900AA" w:rsidP="00A54361">
            <w:pPr>
              <w:pStyle w:val="TableParagraph"/>
              <w:jc w:val="both"/>
              <w:rPr>
                <w:rStyle w:val="Strong"/>
                <w:rFonts w:asciiTheme="minorHAnsi" w:hAnsiTheme="minorHAnsi"/>
                <w:b w:val="0"/>
                <w:bCs w:val="0"/>
              </w:rPr>
            </w:pPr>
          </w:p>
          <w:p w14:paraId="5FE85790" w14:textId="4203606D" w:rsidR="007900AA" w:rsidRPr="00A54361" w:rsidRDefault="007900AA" w:rsidP="00A54361">
            <w:pPr>
              <w:pStyle w:val="TableParagraph"/>
              <w:jc w:val="both"/>
              <w:rPr>
                <w:rStyle w:val="Strong"/>
                <w:rFonts w:asciiTheme="minorHAnsi" w:hAnsiTheme="minorHAnsi"/>
                <w:b w:val="0"/>
                <w:bCs w:val="0"/>
              </w:rPr>
            </w:pPr>
            <w:r w:rsidRPr="00A54361">
              <w:rPr>
                <w:rStyle w:val="Strong"/>
                <w:rFonts w:asciiTheme="minorHAnsi" w:hAnsiTheme="minorHAnsi"/>
              </w:rPr>
              <w:t>Low Priority/ Operational Incidents</w:t>
            </w:r>
            <w:r w:rsidRPr="00A54361">
              <w:rPr>
                <w:rStyle w:val="Strong"/>
                <w:rFonts w:asciiTheme="minorHAnsi" w:hAnsiTheme="minorHAnsi"/>
                <w:b w:val="0"/>
                <w:bCs w:val="0"/>
              </w:rPr>
              <w:t xml:space="preserve"> need to be logged and maintained for reference. An incident ticket need not be raised for such incidents. </w:t>
            </w:r>
            <w:r w:rsidR="00C111B4" w:rsidRPr="00A54361">
              <w:rPr>
                <w:rStyle w:val="Strong"/>
                <w:rFonts w:asciiTheme="minorHAnsi" w:hAnsiTheme="minorHAnsi"/>
                <w:b w:val="0"/>
                <w:bCs w:val="0"/>
              </w:rPr>
              <w:t>However,</w:t>
            </w:r>
            <w:r w:rsidRPr="00A54361">
              <w:rPr>
                <w:rStyle w:val="Strong"/>
                <w:rFonts w:asciiTheme="minorHAnsi" w:hAnsiTheme="minorHAnsi"/>
                <w:b w:val="0"/>
                <w:bCs w:val="0"/>
              </w:rPr>
              <w:t xml:space="preserve"> these need to be included in the daily reports.</w:t>
            </w:r>
          </w:p>
          <w:p w14:paraId="14D598CD" w14:textId="062D2D3A" w:rsidR="00975CB9" w:rsidRPr="00A54361" w:rsidRDefault="00975CB9" w:rsidP="00A54361">
            <w:pPr>
              <w:pStyle w:val="TableParagraph"/>
              <w:jc w:val="both"/>
              <w:rPr>
                <w:rStyle w:val="Strong"/>
                <w:rFonts w:asciiTheme="minorHAnsi" w:hAnsiTheme="minorHAnsi"/>
                <w:b w:val="0"/>
                <w:bCs w:val="0"/>
              </w:rPr>
            </w:pPr>
          </w:p>
        </w:tc>
      </w:tr>
      <w:tr w:rsidR="000D3DC1" w:rsidRPr="00A54361" w14:paraId="0CBF5F7A" w14:textId="77777777" w:rsidTr="005D16B3">
        <w:tc>
          <w:tcPr>
            <w:tcW w:w="846" w:type="dxa"/>
          </w:tcPr>
          <w:p w14:paraId="60F370E1" w14:textId="30110821" w:rsidR="00FD1776" w:rsidRPr="00A54361" w:rsidRDefault="00FA4B83" w:rsidP="00A54361">
            <w:pPr>
              <w:pStyle w:val="TableParagraph"/>
              <w:jc w:val="both"/>
              <w:rPr>
                <w:rStyle w:val="Strong"/>
                <w:rFonts w:asciiTheme="minorHAnsi" w:hAnsiTheme="minorHAnsi"/>
              </w:rPr>
            </w:pPr>
            <w:r w:rsidRPr="00A54361">
              <w:rPr>
                <w:rStyle w:val="Strong"/>
                <w:rFonts w:asciiTheme="minorHAnsi" w:hAnsiTheme="minorHAnsi"/>
              </w:rPr>
              <w:lastRenderedPageBreak/>
              <w:t>2</w:t>
            </w:r>
          </w:p>
        </w:tc>
        <w:tc>
          <w:tcPr>
            <w:tcW w:w="2551" w:type="dxa"/>
          </w:tcPr>
          <w:p w14:paraId="763E4BEA" w14:textId="1D8098E5" w:rsidR="00FD1776" w:rsidRPr="00A54361" w:rsidRDefault="00FA4B83" w:rsidP="00A54361">
            <w:pPr>
              <w:pStyle w:val="TableParagraph"/>
              <w:jc w:val="both"/>
              <w:rPr>
                <w:rStyle w:val="Strong"/>
                <w:rFonts w:asciiTheme="minorHAnsi" w:hAnsiTheme="minorHAnsi"/>
              </w:rPr>
            </w:pPr>
            <w:r w:rsidRPr="00A54361">
              <w:rPr>
                <w:rStyle w:val="Strong"/>
                <w:rFonts w:asciiTheme="minorHAnsi" w:hAnsiTheme="minorHAnsi"/>
              </w:rPr>
              <w:t>Incident Response</w:t>
            </w:r>
          </w:p>
        </w:tc>
        <w:tc>
          <w:tcPr>
            <w:tcW w:w="2835" w:type="dxa"/>
          </w:tcPr>
          <w:p w14:paraId="0FE78ABE" w14:textId="77777777" w:rsidR="00C02D0E" w:rsidRPr="00A54361" w:rsidRDefault="00C02D0E" w:rsidP="00A54361">
            <w:pPr>
              <w:pStyle w:val="TableParagraph"/>
              <w:jc w:val="both"/>
              <w:rPr>
                <w:rStyle w:val="Strong"/>
                <w:rFonts w:asciiTheme="minorHAnsi" w:hAnsiTheme="minorHAnsi"/>
                <w:b w:val="0"/>
                <w:bCs w:val="0"/>
              </w:rPr>
            </w:pPr>
            <w:r w:rsidRPr="00A54361">
              <w:rPr>
                <w:rStyle w:val="Strong"/>
                <w:rFonts w:asciiTheme="minorHAnsi" w:hAnsiTheme="minorHAnsi"/>
                <w:b w:val="0"/>
                <w:bCs w:val="0"/>
              </w:rPr>
              <w:t>Response and resolution of</w:t>
            </w:r>
          </w:p>
          <w:p w14:paraId="40C24309" w14:textId="77777777" w:rsidR="00C02D0E" w:rsidRPr="00A54361" w:rsidRDefault="00C02D0E" w:rsidP="00A54361">
            <w:pPr>
              <w:pStyle w:val="TableParagraph"/>
              <w:jc w:val="both"/>
              <w:rPr>
                <w:rStyle w:val="Strong"/>
                <w:rFonts w:asciiTheme="minorHAnsi" w:hAnsiTheme="minorHAnsi"/>
                <w:b w:val="0"/>
                <w:bCs w:val="0"/>
              </w:rPr>
            </w:pPr>
            <w:r w:rsidRPr="00A54361">
              <w:rPr>
                <w:rStyle w:val="Strong"/>
                <w:rFonts w:asciiTheme="minorHAnsi" w:hAnsiTheme="minorHAnsi"/>
                <w:b w:val="0"/>
                <w:bCs w:val="0"/>
              </w:rPr>
              <w:t>the identified incidents.</w:t>
            </w:r>
          </w:p>
          <w:p w14:paraId="779289F5" w14:textId="77777777" w:rsidR="00C02D0E" w:rsidRPr="00A54361" w:rsidRDefault="00C02D0E" w:rsidP="00A54361">
            <w:pPr>
              <w:pStyle w:val="TableParagraph"/>
              <w:jc w:val="both"/>
              <w:rPr>
                <w:rStyle w:val="Strong"/>
                <w:rFonts w:asciiTheme="minorHAnsi" w:hAnsiTheme="minorHAnsi"/>
                <w:b w:val="0"/>
                <w:bCs w:val="0"/>
              </w:rPr>
            </w:pPr>
          </w:p>
          <w:p w14:paraId="4EF34A97" w14:textId="4BC3661A" w:rsidR="00FD1776" w:rsidRPr="00A54361" w:rsidRDefault="00C02D0E" w:rsidP="00A54361">
            <w:pPr>
              <w:pStyle w:val="TableParagraph"/>
              <w:jc w:val="both"/>
              <w:rPr>
                <w:rStyle w:val="Strong"/>
                <w:rFonts w:asciiTheme="minorHAnsi" w:hAnsiTheme="minorHAnsi"/>
                <w:b w:val="0"/>
                <w:bCs w:val="0"/>
              </w:rPr>
            </w:pPr>
            <w:r w:rsidRPr="00A54361">
              <w:rPr>
                <w:rStyle w:val="Strong"/>
                <w:rFonts w:asciiTheme="minorHAnsi" w:hAnsiTheme="minorHAnsi"/>
                <w:b w:val="0"/>
                <w:bCs w:val="0"/>
              </w:rPr>
              <w:t>Managing the devices and fine-tuning them so as to avoid and prevent further attacks.</w:t>
            </w:r>
          </w:p>
        </w:tc>
        <w:tc>
          <w:tcPr>
            <w:tcW w:w="3402" w:type="dxa"/>
          </w:tcPr>
          <w:p w14:paraId="68AED8A3" w14:textId="77777777" w:rsidR="0075793C" w:rsidRPr="00A54361" w:rsidRDefault="0075793C" w:rsidP="00A54361">
            <w:pPr>
              <w:pStyle w:val="TableParagraph"/>
              <w:jc w:val="both"/>
              <w:rPr>
                <w:rStyle w:val="Strong"/>
                <w:rFonts w:asciiTheme="minorHAnsi" w:hAnsiTheme="minorHAnsi"/>
                <w:b w:val="0"/>
                <w:bCs w:val="0"/>
              </w:rPr>
            </w:pPr>
            <w:r w:rsidRPr="00A54361">
              <w:rPr>
                <w:rStyle w:val="Strong"/>
                <w:rFonts w:asciiTheme="minorHAnsi" w:hAnsiTheme="minorHAnsi"/>
                <w:b w:val="0"/>
                <w:bCs w:val="0"/>
              </w:rPr>
              <w:t>The      timelines      required      for</w:t>
            </w:r>
          </w:p>
          <w:p w14:paraId="16B9D888" w14:textId="64D4347C" w:rsidR="0075793C" w:rsidRPr="00A54361" w:rsidRDefault="0075793C" w:rsidP="00A54361">
            <w:pPr>
              <w:pStyle w:val="TableParagraph"/>
              <w:jc w:val="both"/>
              <w:rPr>
                <w:rStyle w:val="Strong"/>
                <w:rFonts w:asciiTheme="minorHAnsi" w:hAnsiTheme="minorHAnsi"/>
                <w:b w:val="0"/>
                <w:bCs w:val="0"/>
              </w:rPr>
            </w:pPr>
            <w:r w:rsidRPr="00A54361">
              <w:rPr>
                <w:rStyle w:val="Strong"/>
                <w:rFonts w:asciiTheme="minorHAnsi" w:hAnsiTheme="minorHAnsi"/>
                <w:b w:val="0"/>
                <w:bCs w:val="0"/>
              </w:rPr>
              <w:t xml:space="preserve">resolution   of   </w:t>
            </w:r>
            <w:r w:rsidR="00A842F2" w:rsidRPr="00A54361">
              <w:rPr>
                <w:rStyle w:val="Strong"/>
                <w:rFonts w:asciiTheme="minorHAnsi" w:hAnsiTheme="minorHAnsi"/>
                <w:b w:val="0"/>
                <w:bCs w:val="0"/>
              </w:rPr>
              <w:t>Critical, High</w:t>
            </w:r>
            <w:r w:rsidRPr="00A54361">
              <w:rPr>
                <w:rStyle w:val="Strong"/>
                <w:rFonts w:asciiTheme="minorHAnsi" w:hAnsiTheme="minorHAnsi"/>
                <w:b w:val="0"/>
                <w:bCs w:val="0"/>
              </w:rPr>
              <w:t xml:space="preserve">   and</w:t>
            </w:r>
          </w:p>
          <w:p w14:paraId="76F80C8A" w14:textId="77777777" w:rsidR="00FD1776" w:rsidRPr="00A54361" w:rsidRDefault="0075793C" w:rsidP="00A54361">
            <w:pPr>
              <w:pStyle w:val="TableParagraph"/>
              <w:jc w:val="both"/>
              <w:rPr>
                <w:rStyle w:val="Strong"/>
                <w:rFonts w:asciiTheme="minorHAnsi" w:hAnsiTheme="minorHAnsi"/>
                <w:b w:val="0"/>
                <w:bCs w:val="0"/>
              </w:rPr>
            </w:pPr>
            <w:r w:rsidRPr="00A54361">
              <w:rPr>
                <w:rStyle w:val="Strong"/>
                <w:rFonts w:asciiTheme="minorHAnsi" w:hAnsiTheme="minorHAnsi"/>
                <w:b w:val="0"/>
                <w:bCs w:val="0"/>
              </w:rPr>
              <w:t>Medium priority mentioned below:</w:t>
            </w:r>
          </w:p>
          <w:p w14:paraId="60C7A36A" w14:textId="4C4EC8B2" w:rsidR="00A842F2" w:rsidRPr="00A54361" w:rsidRDefault="00720C90" w:rsidP="00A54361">
            <w:pPr>
              <w:pStyle w:val="TableParagraph"/>
              <w:numPr>
                <w:ilvl w:val="0"/>
                <w:numId w:val="68"/>
              </w:numPr>
              <w:jc w:val="both"/>
              <w:rPr>
                <w:rStyle w:val="Strong"/>
                <w:rFonts w:asciiTheme="minorHAnsi" w:hAnsiTheme="minorHAnsi"/>
                <w:b w:val="0"/>
                <w:bCs w:val="0"/>
              </w:rPr>
            </w:pPr>
            <w:r w:rsidRPr="00A54361">
              <w:rPr>
                <w:rStyle w:val="Strong"/>
                <w:rFonts w:asciiTheme="minorHAnsi" w:hAnsiTheme="minorHAnsi"/>
                <w:b w:val="0"/>
                <w:bCs w:val="0"/>
              </w:rPr>
              <w:t xml:space="preserve">Disaster   or   Critical   incidents within    60    minutes    of    the </w:t>
            </w:r>
            <w:r w:rsidR="00B267F9" w:rsidRPr="00A54361">
              <w:rPr>
                <w:rStyle w:val="Strong"/>
                <w:rFonts w:asciiTheme="minorHAnsi" w:hAnsiTheme="minorHAnsi"/>
                <w:b w:val="0"/>
                <w:bCs w:val="0"/>
              </w:rPr>
              <w:t>incident identification</w:t>
            </w:r>
            <w:r w:rsidRPr="00A54361">
              <w:rPr>
                <w:rStyle w:val="Strong"/>
                <w:rFonts w:asciiTheme="minorHAnsi" w:hAnsiTheme="minorHAnsi"/>
                <w:b w:val="0"/>
                <w:bCs w:val="0"/>
              </w:rPr>
              <w:t xml:space="preserve">.  Update </w:t>
            </w:r>
            <w:r w:rsidR="00B267F9" w:rsidRPr="00A54361">
              <w:rPr>
                <w:rStyle w:val="Strong"/>
                <w:rFonts w:asciiTheme="minorHAnsi" w:hAnsiTheme="minorHAnsi"/>
                <w:b w:val="0"/>
                <w:bCs w:val="0"/>
              </w:rPr>
              <w:t>should be</w:t>
            </w:r>
            <w:r w:rsidRPr="00A54361">
              <w:rPr>
                <w:rStyle w:val="Strong"/>
                <w:rFonts w:asciiTheme="minorHAnsi" w:hAnsiTheme="minorHAnsi"/>
                <w:b w:val="0"/>
                <w:bCs w:val="0"/>
              </w:rPr>
              <w:t xml:space="preserve">  provided  every  15 minutes till  the  closure of  the incident</w:t>
            </w:r>
          </w:p>
          <w:p w14:paraId="054157EB" w14:textId="77777777" w:rsidR="00720C90" w:rsidRPr="00A54361" w:rsidRDefault="00064F74" w:rsidP="00A54361">
            <w:pPr>
              <w:pStyle w:val="TableParagraph"/>
              <w:numPr>
                <w:ilvl w:val="0"/>
                <w:numId w:val="68"/>
              </w:numPr>
              <w:jc w:val="both"/>
              <w:rPr>
                <w:rStyle w:val="Strong"/>
                <w:rFonts w:asciiTheme="minorHAnsi" w:hAnsiTheme="minorHAnsi"/>
                <w:b w:val="0"/>
                <w:bCs w:val="0"/>
              </w:rPr>
            </w:pPr>
            <w:r w:rsidRPr="00A54361">
              <w:rPr>
                <w:rStyle w:val="Strong"/>
                <w:rFonts w:asciiTheme="minorHAnsi" w:hAnsiTheme="minorHAnsi"/>
                <w:b w:val="0"/>
                <w:bCs w:val="0"/>
              </w:rPr>
              <w:t>High priority incidents within 90 minutes of the event identification. Update should be provided every 1 hour till the closure of the incident.</w:t>
            </w:r>
          </w:p>
          <w:p w14:paraId="6E18F1B0" w14:textId="77777777" w:rsidR="00064F74" w:rsidRPr="00A54361" w:rsidRDefault="00B267F9" w:rsidP="00A54361">
            <w:pPr>
              <w:pStyle w:val="TableParagraph"/>
              <w:numPr>
                <w:ilvl w:val="0"/>
                <w:numId w:val="68"/>
              </w:numPr>
              <w:jc w:val="both"/>
              <w:rPr>
                <w:rStyle w:val="Strong"/>
                <w:rFonts w:asciiTheme="minorHAnsi" w:hAnsiTheme="minorHAnsi"/>
                <w:b w:val="0"/>
                <w:bCs w:val="0"/>
              </w:rPr>
            </w:pPr>
            <w:r w:rsidRPr="00A54361">
              <w:rPr>
                <w:rStyle w:val="Strong"/>
                <w:rFonts w:asciiTheme="minorHAnsi" w:hAnsiTheme="minorHAnsi"/>
                <w:b w:val="0"/>
                <w:bCs w:val="0"/>
              </w:rPr>
              <w:t>Medium priority incidents within</w:t>
            </w:r>
            <w:r w:rsidR="00185140" w:rsidRPr="00A54361">
              <w:rPr>
                <w:rStyle w:val="Strong"/>
                <w:rFonts w:asciiTheme="minorHAnsi" w:hAnsiTheme="minorHAnsi"/>
                <w:b w:val="0"/>
                <w:bCs w:val="0"/>
              </w:rPr>
              <w:t xml:space="preserve"> </w:t>
            </w:r>
            <w:r w:rsidRPr="00A54361">
              <w:rPr>
                <w:rStyle w:val="Strong"/>
                <w:rFonts w:asciiTheme="minorHAnsi" w:hAnsiTheme="minorHAnsi"/>
                <w:b w:val="0"/>
                <w:bCs w:val="0"/>
              </w:rPr>
              <w:t xml:space="preserve">120 minutes of the event identification. Update should be provided </w:t>
            </w:r>
            <w:r w:rsidRPr="00A54361">
              <w:rPr>
                <w:rStyle w:val="Strong"/>
                <w:rFonts w:asciiTheme="minorHAnsi" w:hAnsiTheme="minorHAnsi"/>
                <w:b w:val="0"/>
                <w:bCs w:val="0"/>
              </w:rPr>
              <w:lastRenderedPageBreak/>
              <w:t>every 4 hours till the closure of the incident.</w:t>
            </w:r>
          </w:p>
          <w:p w14:paraId="4B598725" w14:textId="77777777" w:rsidR="00827C1B" w:rsidRPr="00A54361" w:rsidRDefault="00827C1B" w:rsidP="00A54361">
            <w:pPr>
              <w:pStyle w:val="TableParagraph"/>
              <w:jc w:val="both"/>
              <w:rPr>
                <w:rStyle w:val="Strong"/>
                <w:rFonts w:asciiTheme="minorHAnsi" w:hAnsiTheme="minorHAnsi"/>
                <w:b w:val="0"/>
                <w:bCs w:val="0"/>
              </w:rPr>
            </w:pPr>
          </w:p>
          <w:p w14:paraId="29918B1C" w14:textId="77777777" w:rsidR="00827C1B" w:rsidRPr="00A54361" w:rsidRDefault="00827C1B" w:rsidP="00A54361">
            <w:pPr>
              <w:pStyle w:val="TableParagraph"/>
              <w:jc w:val="both"/>
              <w:rPr>
                <w:rStyle w:val="Strong"/>
                <w:rFonts w:asciiTheme="minorHAnsi" w:hAnsiTheme="minorHAnsi"/>
              </w:rPr>
            </w:pPr>
            <w:r w:rsidRPr="00A54361">
              <w:rPr>
                <w:rStyle w:val="Strong"/>
                <w:rFonts w:asciiTheme="minorHAnsi" w:hAnsiTheme="minorHAnsi"/>
              </w:rPr>
              <w:t>Penalty:</w:t>
            </w:r>
          </w:p>
          <w:p w14:paraId="3AE2B6E0" w14:textId="47C25248" w:rsidR="00827C1B" w:rsidRPr="00A54361" w:rsidRDefault="00383751" w:rsidP="00A54361">
            <w:pPr>
              <w:pStyle w:val="TableParagraph"/>
              <w:numPr>
                <w:ilvl w:val="0"/>
                <w:numId w:val="69"/>
              </w:numPr>
              <w:jc w:val="both"/>
              <w:rPr>
                <w:rStyle w:val="Strong"/>
                <w:rFonts w:asciiTheme="minorHAnsi" w:hAnsiTheme="minorHAnsi"/>
                <w:b w:val="0"/>
                <w:bCs w:val="0"/>
              </w:rPr>
            </w:pPr>
            <w:r w:rsidRPr="00A54361">
              <w:rPr>
                <w:rStyle w:val="Strong"/>
                <w:rFonts w:asciiTheme="minorHAnsi" w:hAnsiTheme="minorHAnsi"/>
                <w:b w:val="0"/>
                <w:bCs w:val="0"/>
              </w:rPr>
              <w:t>Any  violation  in  meeting  the SLA requirements which leads to Critical incident,  Bank shall impose a penalty 10% of the overall monthly operation charges for each 30 minutes delay up to 2 hours, beyond 2 hours penalty would be 10% of the overall monthly operation charges for each 20 minutes delay.</w:t>
            </w:r>
          </w:p>
          <w:p w14:paraId="668162FD" w14:textId="067C4E8F" w:rsidR="00383751" w:rsidRPr="00A54361" w:rsidRDefault="004B629A" w:rsidP="00A54361">
            <w:pPr>
              <w:pStyle w:val="TableParagraph"/>
              <w:numPr>
                <w:ilvl w:val="0"/>
                <w:numId w:val="69"/>
              </w:numPr>
              <w:jc w:val="both"/>
              <w:rPr>
                <w:rStyle w:val="Strong"/>
                <w:rFonts w:asciiTheme="minorHAnsi" w:hAnsiTheme="minorHAnsi"/>
                <w:b w:val="0"/>
                <w:bCs w:val="0"/>
              </w:rPr>
            </w:pPr>
            <w:r w:rsidRPr="00A54361">
              <w:rPr>
                <w:rStyle w:val="Strong"/>
                <w:rFonts w:asciiTheme="minorHAnsi" w:hAnsiTheme="minorHAnsi"/>
                <w:b w:val="0"/>
                <w:bCs w:val="0"/>
              </w:rPr>
              <w:t>Any  violation  in  meeting  the SLA requirements which leads to High or Medium incident, Bank shall impose a penalty of 5% of the overall monthly operation charges for each 45 minutes delay up to 3 hours, beyond 3 hours penalty would be  10%</w:t>
            </w:r>
            <w:r w:rsidR="00BB697F">
              <w:rPr>
                <w:rStyle w:val="Strong"/>
                <w:rFonts w:asciiTheme="minorHAnsi" w:hAnsiTheme="minorHAnsi"/>
                <w:b w:val="0"/>
                <w:bCs w:val="0"/>
              </w:rPr>
              <w:t xml:space="preserve"> </w:t>
            </w:r>
            <w:r w:rsidRPr="00A54361">
              <w:rPr>
                <w:rStyle w:val="Strong"/>
                <w:rFonts w:asciiTheme="minorHAnsi" w:hAnsiTheme="minorHAnsi"/>
                <w:b w:val="0"/>
                <w:bCs w:val="0"/>
              </w:rPr>
              <w:t>of  the  overall  monthly charges for each 30 minutes delay.</w:t>
            </w:r>
          </w:p>
        </w:tc>
      </w:tr>
      <w:tr w:rsidR="000D3DC1" w:rsidRPr="00A54361" w14:paraId="2D0EC29B" w14:textId="77777777" w:rsidTr="005D16B3">
        <w:tc>
          <w:tcPr>
            <w:tcW w:w="846" w:type="dxa"/>
          </w:tcPr>
          <w:p w14:paraId="24BE7D73" w14:textId="33A66CEE" w:rsidR="00FD1776" w:rsidRPr="00A54361" w:rsidRDefault="00733DCA" w:rsidP="00A54361">
            <w:pPr>
              <w:pStyle w:val="TableParagraph"/>
              <w:jc w:val="both"/>
              <w:rPr>
                <w:rStyle w:val="Strong"/>
                <w:rFonts w:asciiTheme="minorHAnsi" w:hAnsiTheme="minorHAnsi"/>
              </w:rPr>
            </w:pPr>
            <w:r w:rsidRPr="00A54361">
              <w:rPr>
                <w:rStyle w:val="Strong"/>
                <w:rFonts w:asciiTheme="minorHAnsi" w:hAnsiTheme="minorHAnsi"/>
              </w:rPr>
              <w:lastRenderedPageBreak/>
              <w:t>3</w:t>
            </w:r>
          </w:p>
        </w:tc>
        <w:tc>
          <w:tcPr>
            <w:tcW w:w="2551" w:type="dxa"/>
          </w:tcPr>
          <w:p w14:paraId="3ADF6C1C" w14:textId="6187DCB5" w:rsidR="00FD1776" w:rsidRPr="00A54361" w:rsidRDefault="000751A0" w:rsidP="00A54361">
            <w:pPr>
              <w:pStyle w:val="TableParagraph"/>
              <w:jc w:val="both"/>
              <w:rPr>
                <w:rStyle w:val="Strong"/>
                <w:rFonts w:asciiTheme="minorHAnsi" w:hAnsiTheme="minorHAnsi"/>
              </w:rPr>
            </w:pPr>
            <w:r w:rsidRPr="00A54361">
              <w:rPr>
                <w:rStyle w:val="Strong"/>
                <w:rFonts w:asciiTheme="minorHAnsi" w:hAnsiTheme="minorHAnsi"/>
              </w:rPr>
              <w:t>Report and Dashboard</w:t>
            </w:r>
          </w:p>
        </w:tc>
        <w:tc>
          <w:tcPr>
            <w:tcW w:w="2835" w:type="dxa"/>
          </w:tcPr>
          <w:p w14:paraId="28434504" w14:textId="20BC496D" w:rsidR="00FD1776" w:rsidRPr="00A54361" w:rsidRDefault="00027E84" w:rsidP="00A54361">
            <w:pPr>
              <w:pStyle w:val="TableParagraph"/>
              <w:jc w:val="both"/>
              <w:rPr>
                <w:rStyle w:val="Strong"/>
                <w:rFonts w:asciiTheme="minorHAnsi" w:hAnsiTheme="minorHAnsi"/>
                <w:b w:val="0"/>
                <w:bCs w:val="0"/>
              </w:rPr>
            </w:pPr>
            <w:r w:rsidRPr="00A54361">
              <w:rPr>
                <w:rStyle w:val="Strong"/>
                <w:rFonts w:asciiTheme="minorHAnsi" w:hAnsiTheme="minorHAnsi"/>
                <w:b w:val="0"/>
                <w:bCs w:val="0"/>
              </w:rPr>
              <w:t>Periodic    reports    to    be provided to Bank</w:t>
            </w:r>
          </w:p>
        </w:tc>
        <w:tc>
          <w:tcPr>
            <w:tcW w:w="3402" w:type="dxa"/>
          </w:tcPr>
          <w:p w14:paraId="3423C214" w14:textId="77777777" w:rsidR="00F016D2" w:rsidRPr="00A54361" w:rsidRDefault="00F016D2" w:rsidP="00A54361">
            <w:pPr>
              <w:pStyle w:val="TableParagraph"/>
              <w:jc w:val="both"/>
              <w:rPr>
                <w:rStyle w:val="Strong"/>
                <w:rFonts w:asciiTheme="minorHAnsi" w:hAnsiTheme="minorHAnsi"/>
                <w:b w:val="0"/>
                <w:bCs w:val="0"/>
              </w:rPr>
            </w:pPr>
            <w:r w:rsidRPr="00A54361">
              <w:rPr>
                <w:rStyle w:val="Strong"/>
                <w:rFonts w:asciiTheme="minorHAnsi" w:hAnsiTheme="minorHAnsi"/>
              </w:rPr>
              <w:t>Daily   Reports:</w:t>
            </w:r>
            <w:r w:rsidRPr="00A54361">
              <w:rPr>
                <w:rStyle w:val="Strong"/>
                <w:rFonts w:asciiTheme="minorHAnsi" w:hAnsiTheme="minorHAnsi"/>
                <w:b w:val="0"/>
                <w:bCs w:val="0"/>
              </w:rPr>
              <w:t xml:space="preserve">   Critical   reports</w:t>
            </w:r>
          </w:p>
          <w:p w14:paraId="5AD95B0C" w14:textId="77777777" w:rsidR="00F016D2" w:rsidRPr="00A54361" w:rsidRDefault="00F016D2" w:rsidP="00A54361">
            <w:pPr>
              <w:pStyle w:val="TableParagraph"/>
              <w:jc w:val="both"/>
              <w:rPr>
                <w:rStyle w:val="Strong"/>
                <w:rFonts w:asciiTheme="minorHAnsi" w:hAnsiTheme="minorHAnsi"/>
                <w:b w:val="0"/>
                <w:bCs w:val="0"/>
              </w:rPr>
            </w:pPr>
            <w:r w:rsidRPr="00A54361">
              <w:rPr>
                <w:rStyle w:val="Strong"/>
                <w:rFonts w:asciiTheme="minorHAnsi" w:hAnsiTheme="minorHAnsi"/>
                <w:b w:val="0"/>
                <w:bCs w:val="0"/>
              </w:rPr>
              <w:t>should be submitted as and when required. Timings will be mutually decided.</w:t>
            </w:r>
          </w:p>
          <w:p w14:paraId="5F86B6C5" w14:textId="77777777" w:rsidR="00F016D2" w:rsidRPr="00A54361" w:rsidRDefault="00F016D2" w:rsidP="00A54361">
            <w:pPr>
              <w:pStyle w:val="TableParagraph"/>
              <w:jc w:val="both"/>
              <w:rPr>
                <w:rStyle w:val="Strong"/>
                <w:rFonts w:asciiTheme="minorHAnsi" w:hAnsiTheme="minorHAnsi"/>
                <w:u w:val="single"/>
              </w:rPr>
            </w:pPr>
            <w:r w:rsidRPr="00A54361">
              <w:rPr>
                <w:rStyle w:val="Strong"/>
                <w:rFonts w:asciiTheme="minorHAnsi" w:hAnsiTheme="minorHAnsi"/>
                <w:u w:val="single"/>
              </w:rPr>
              <w:t>Penalty</w:t>
            </w:r>
          </w:p>
          <w:p w14:paraId="4E1E947C" w14:textId="24346A43" w:rsidR="00F016D2" w:rsidRPr="00A54361" w:rsidRDefault="00F016D2" w:rsidP="00A54361">
            <w:pPr>
              <w:pStyle w:val="TableParagraph"/>
              <w:jc w:val="both"/>
              <w:rPr>
                <w:rStyle w:val="Strong"/>
                <w:rFonts w:asciiTheme="minorHAnsi" w:hAnsiTheme="minorHAnsi"/>
                <w:b w:val="0"/>
                <w:bCs w:val="0"/>
              </w:rPr>
            </w:pPr>
            <w:r w:rsidRPr="00A54361">
              <w:rPr>
                <w:rStyle w:val="Strong"/>
                <w:rFonts w:asciiTheme="minorHAnsi" w:hAnsiTheme="minorHAnsi"/>
                <w:b w:val="0"/>
                <w:bCs w:val="0"/>
              </w:rPr>
              <w:t xml:space="preserve">Delay in reporting for daily report for more than 1 hour shall incur a penalty of </w:t>
            </w:r>
            <w:r w:rsidR="00EA6980" w:rsidRPr="00A54361">
              <w:rPr>
                <w:rStyle w:val="Strong"/>
                <w:rFonts w:asciiTheme="minorHAnsi" w:hAnsiTheme="minorHAnsi"/>
                <w:b w:val="0"/>
                <w:bCs w:val="0"/>
              </w:rPr>
              <w:t>5</w:t>
            </w:r>
            <w:r w:rsidRPr="00A54361">
              <w:rPr>
                <w:rStyle w:val="Strong"/>
                <w:rFonts w:asciiTheme="minorHAnsi" w:hAnsiTheme="minorHAnsi"/>
                <w:b w:val="0"/>
                <w:bCs w:val="0"/>
              </w:rPr>
              <w:t xml:space="preserve">% of </w:t>
            </w:r>
            <w:r w:rsidR="00494A79" w:rsidRPr="00A54361">
              <w:rPr>
                <w:rStyle w:val="Strong"/>
                <w:rFonts w:asciiTheme="minorHAnsi" w:hAnsiTheme="minorHAnsi"/>
                <w:b w:val="0"/>
                <w:bCs w:val="0"/>
              </w:rPr>
              <w:t>FMS cost</w:t>
            </w:r>
            <w:r w:rsidRPr="00A54361">
              <w:rPr>
                <w:rStyle w:val="Strong"/>
                <w:rFonts w:asciiTheme="minorHAnsi" w:hAnsiTheme="minorHAnsi"/>
                <w:b w:val="0"/>
                <w:bCs w:val="0"/>
              </w:rPr>
              <w:t xml:space="preserve"> for the Month</w:t>
            </w:r>
          </w:p>
          <w:p w14:paraId="42C6436B" w14:textId="77777777" w:rsidR="009256A5" w:rsidRPr="00A54361" w:rsidRDefault="009256A5" w:rsidP="00A54361">
            <w:pPr>
              <w:pStyle w:val="TableParagraph"/>
              <w:jc w:val="both"/>
              <w:rPr>
                <w:rStyle w:val="Strong"/>
                <w:rFonts w:asciiTheme="minorHAnsi" w:hAnsiTheme="minorHAnsi"/>
              </w:rPr>
            </w:pPr>
          </w:p>
          <w:p w14:paraId="063328A0" w14:textId="2D62CFAF" w:rsidR="00F016D2" w:rsidRPr="00A54361" w:rsidRDefault="00F016D2" w:rsidP="00A54361">
            <w:pPr>
              <w:pStyle w:val="TableParagraph"/>
              <w:jc w:val="both"/>
              <w:rPr>
                <w:rStyle w:val="Strong"/>
                <w:rFonts w:asciiTheme="minorHAnsi" w:hAnsiTheme="minorHAnsi"/>
                <w:b w:val="0"/>
                <w:bCs w:val="0"/>
              </w:rPr>
            </w:pPr>
            <w:r w:rsidRPr="00A54361">
              <w:rPr>
                <w:rStyle w:val="Strong"/>
                <w:rFonts w:asciiTheme="minorHAnsi" w:hAnsiTheme="minorHAnsi"/>
              </w:rPr>
              <w:t>Weekly Reports:</w:t>
            </w:r>
            <w:r w:rsidRPr="00A54361">
              <w:rPr>
                <w:rStyle w:val="Strong"/>
                <w:rFonts w:asciiTheme="minorHAnsi" w:hAnsiTheme="minorHAnsi"/>
                <w:b w:val="0"/>
                <w:bCs w:val="0"/>
              </w:rPr>
              <w:t xml:space="preserve"> To be decided mutually</w:t>
            </w:r>
          </w:p>
          <w:p w14:paraId="73AA31DA" w14:textId="77777777" w:rsidR="00F016D2" w:rsidRPr="00A54361" w:rsidRDefault="00F016D2" w:rsidP="00A54361">
            <w:pPr>
              <w:pStyle w:val="TableParagraph"/>
              <w:jc w:val="both"/>
              <w:rPr>
                <w:rStyle w:val="Strong"/>
                <w:rFonts w:asciiTheme="minorHAnsi" w:hAnsiTheme="minorHAnsi"/>
                <w:u w:val="single"/>
              </w:rPr>
            </w:pPr>
            <w:r w:rsidRPr="00A54361">
              <w:rPr>
                <w:rStyle w:val="Strong"/>
                <w:rFonts w:asciiTheme="minorHAnsi" w:hAnsiTheme="minorHAnsi"/>
                <w:u w:val="single"/>
              </w:rPr>
              <w:t>Penalty</w:t>
            </w:r>
          </w:p>
          <w:p w14:paraId="697380F2" w14:textId="09DD6309" w:rsidR="00A8615B" w:rsidRPr="00A54361" w:rsidRDefault="00F016D2" w:rsidP="00A54361">
            <w:pPr>
              <w:pStyle w:val="TableParagraph"/>
              <w:jc w:val="both"/>
              <w:rPr>
                <w:rStyle w:val="Strong"/>
                <w:rFonts w:asciiTheme="minorHAnsi" w:hAnsiTheme="minorHAnsi"/>
                <w:b w:val="0"/>
                <w:bCs w:val="0"/>
              </w:rPr>
            </w:pPr>
            <w:r w:rsidRPr="00A54361">
              <w:rPr>
                <w:rStyle w:val="Strong"/>
                <w:rFonts w:asciiTheme="minorHAnsi" w:hAnsiTheme="minorHAnsi"/>
                <w:b w:val="0"/>
                <w:bCs w:val="0"/>
              </w:rPr>
              <w:t>Delay in reporting by more than 3 days for weekly reports shall incur</w:t>
            </w:r>
            <w:r w:rsidR="00A8615B" w:rsidRPr="00A54361">
              <w:rPr>
                <w:rStyle w:val="Strong"/>
                <w:rFonts w:asciiTheme="minorHAnsi" w:hAnsiTheme="minorHAnsi"/>
                <w:b w:val="0"/>
                <w:bCs w:val="0"/>
              </w:rPr>
              <w:t xml:space="preserve"> a penalty  of  </w:t>
            </w:r>
            <w:r w:rsidR="00292F2C" w:rsidRPr="00A54361">
              <w:rPr>
                <w:rStyle w:val="Strong"/>
                <w:rFonts w:asciiTheme="minorHAnsi" w:hAnsiTheme="minorHAnsi"/>
                <w:b w:val="0"/>
                <w:bCs w:val="0"/>
              </w:rPr>
              <w:t>3</w:t>
            </w:r>
            <w:r w:rsidR="00A8615B" w:rsidRPr="00A54361">
              <w:rPr>
                <w:rStyle w:val="Strong"/>
                <w:rFonts w:asciiTheme="minorHAnsi" w:hAnsiTheme="minorHAnsi"/>
                <w:b w:val="0"/>
                <w:bCs w:val="0"/>
              </w:rPr>
              <w:t>%  of  Operations</w:t>
            </w:r>
          </w:p>
          <w:p w14:paraId="0F26BCC7" w14:textId="77777777" w:rsidR="00A8615B" w:rsidRPr="00A54361" w:rsidRDefault="00A8615B" w:rsidP="00A54361">
            <w:pPr>
              <w:pStyle w:val="TableParagraph"/>
              <w:jc w:val="both"/>
              <w:rPr>
                <w:rStyle w:val="Strong"/>
                <w:rFonts w:asciiTheme="minorHAnsi" w:hAnsiTheme="minorHAnsi"/>
                <w:b w:val="0"/>
                <w:bCs w:val="0"/>
              </w:rPr>
            </w:pPr>
            <w:r w:rsidRPr="00A54361">
              <w:rPr>
                <w:rStyle w:val="Strong"/>
                <w:rFonts w:asciiTheme="minorHAnsi" w:hAnsiTheme="minorHAnsi"/>
                <w:b w:val="0"/>
                <w:bCs w:val="0"/>
              </w:rPr>
              <w:lastRenderedPageBreak/>
              <w:t>Cost for the Month</w:t>
            </w:r>
          </w:p>
          <w:p w14:paraId="06D14D77" w14:textId="77777777" w:rsidR="00A8615B" w:rsidRPr="00A54361" w:rsidRDefault="00A8615B" w:rsidP="00A54361">
            <w:pPr>
              <w:pStyle w:val="TableParagraph"/>
              <w:jc w:val="both"/>
              <w:rPr>
                <w:rStyle w:val="Strong"/>
                <w:rFonts w:asciiTheme="minorHAnsi" w:hAnsiTheme="minorHAnsi"/>
                <w:b w:val="0"/>
                <w:bCs w:val="0"/>
              </w:rPr>
            </w:pPr>
          </w:p>
          <w:p w14:paraId="5C24D13E" w14:textId="2F9BCB41" w:rsidR="00A8615B" w:rsidRPr="00A54361" w:rsidRDefault="00A8615B" w:rsidP="00A54361">
            <w:pPr>
              <w:pStyle w:val="TableParagraph"/>
              <w:jc w:val="both"/>
              <w:rPr>
                <w:rStyle w:val="Strong"/>
                <w:rFonts w:asciiTheme="minorHAnsi" w:hAnsiTheme="minorHAnsi"/>
                <w:b w:val="0"/>
                <w:bCs w:val="0"/>
              </w:rPr>
            </w:pPr>
            <w:r w:rsidRPr="00A54361">
              <w:rPr>
                <w:rStyle w:val="Strong"/>
                <w:rFonts w:asciiTheme="minorHAnsi" w:hAnsiTheme="minorHAnsi"/>
              </w:rPr>
              <w:t xml:space="preserve">Monthly   Reports:  </w:t>
            </w:r>
            <w:r w:rsidRPr="00A54361">
              <w:rPr>
                <w:rStyle w:val="Strong"/>
                <w:rFonts w:asciiTheme="minorHAnsi" w:hAnsiTheme="minorHAnsi"/>
                <w:b w:val="0"/>
                <w:bCs w:val="0"/>
              </w:rPr>
              <w:t xml:space="preserve"> 5th   of   each</w:t>
            </w:r>
          </w:p>
          <w:p w14:paraId="0B7C2526" w14:textId="77777777" w:rsidR="00A8615B" w:rsidRPr="00A54361" w:rsidRDefault="00A8615B" w:rsidP="00A54361">
            <w:pPr>
              <w:pStyle w:val="TableParagraph"/>
              <w:jc w:val="both"/>
              <w:rPr>
                <w:rStyle w:val="Strong"/>
                <w:rFonts w:asciiTheme="minorHAnsi" w:hAnsiTheme="minorHAnsi"/>
                <w:b w:val="0"/>
                <w:bCs w:val="0"/>
              </w:rPr>
            </w:pPr>
            <w:r w:rsidRPr="00A54361">
              <w:rPr>
                <w:rStyle w:val="Strong"/>
                <w:rFonts w:asciiTheme="minorHAnsi" w:hAnsiTheme="minorHAnsi"/>
                <w:b w:val="0"/>
                <w:bCs w:val="0"/>
              </w:rPr>
              <w:t>month</w:t>
            </w:r>
          </w:p>
          <w:p w14:paraId="34A9CC51" w14:textId="77777777" w:rsidR="00A8615B" w:rsidRPr="00A54361" w:rsidRDefault="00A8615B" w:rsidP="00A54361">
            <w:pPr>
              <w:pStyle w:val="TableParagraph"/>
              <w:jc w:val="both"/>
              <w:rPr>
                <w:rStyle w:val="Strong"/>
                <w:rFonts w:asciiTheme="minorHAnsi" w:hAnsiTheme="minorHAnsi"/>
                <w:u w:val="single"/>
              </w:rPr>
            </w:pPr>
            <w:r w:rsidRPr="00A54361">
              <w:rPr>
                <w:rStyle w:val="Strong"/>
                <w:rFonts w:asciiTheme="minorHAnsi" w:hAnsiTheme="minorHAnsi"/>
                <w:u w:val="single"/>
              </w:rPr>
              <w:t>Penalty</w:t>
            </w:r>
          </w:p>
          <w:p w14:paraId="37BB71F0" w14:textId="13DE5D96" w:rsidR="00FD1776" w:rsidRPr="00A54361" w:rsidRDefault="00A8615B" w:rsidP="00A54361">
            <w:pPr>
              <w:pStyle w:val="TableParagraph"/>
              <w:jc w:val="both"/>
              <w:rPr>
                <w:rStyle w:val="Strong"/>
                <w:rFonts w:asciiTheme="minorHAnsi" w:hAnsiTheme="minorHAnsi"/>
                <w:b w:val="0"/>
                <w:bCs w:val="0"/>
              </w:rPr>
            </w:pPr>
            <w:r w:rsidRPr="00A54361">
              <w:rPr>
                <w:rStyle w:val="Strong"/>
                <w:rFonts w:asciiTheme="minorHAnsi" w:hAnsiTheme="minorHAnsi"/>
                <w:b w:val="0"/>
                <w:bCs w:val="0"/>
              </w:rPr>
              <w:t xml:space="preserve">Delay in reporting by more than 3 days for monthly reports shall incur </w:t>
            </w:r>
            <w:r w:rsidR="003E41C2" w:rsidRPr="00A54361">
              <w:rPr>
                <w:rStyle w:val="Strong"/>
                <w:rFonts w:asciiTheme="minorHAnsi" w:hAnsiTheme="minorHAnsi"/>
                <w:b w:val="0"/>
                <w:bCs w:val="0"/>
              </w:rPr>
              <w:t>a penalty</w:t>
            </w:r>
            <w:r w:rsidRPr="00A54361">
              <w:rPr>
                <w:rStyle w:val="Strong"/>
                <w:rFonts w:asciiTheme="minorHAnsi" w:hAnsiTheme="minorHAnsi"/>
                <w:b w:val="0"/>
                <w:bCs w:val="0"/>
              </w:rPr>
              <w:t xml:space="preserve">  of  </w:t>
            </w:r>
            <w:r w:rsidR="00292F2C" w:rsidRPr="00A54361">
              <w:rPr>
                <w:rStyle w:val="Strong"/>
                <w:rFonts w:asciiTheme="minorHAnsi" w:hAnsiTheme="minorHAnsi"/>
                <w:b w:val="0"/>
                <w:bCs w:val="0"/>
              </w:rPr>
              <w:t>5</w:t>
            </w:r>
            <w:r w:rsidRPr="00A54361">
              <w:rPr>
                <w:rStyle w:val="Strong"/>
                <w:rFonts w:asciiTheme="minorHAnsi" w:hAnsiTheme="minorHAnsi"/>
                <w:b w:val="0"/>
                <w:bCs w:val="0"/>
              </w:rPr>
              <w:t xml:space="preserve">%  of  </w:t>
            </w:r>
            <w:r w:rsidR="00494A79" w:rsidRPr="00A54361">
              <w:rPr>
                <w:rStyle w:val="Strong"/>
                <w:rFonts w:asciiTheme="minorHAnsi" w:hAnsiTheme="minorHAnsi"/>
                <w:b w:val="0"/>
                <w:bCs w:val="0"/>
              </w:rPr>
              <w:t>FMS cost</w:t>
            </w:r>
            <w:r w:rsidRPr="00A54361">
              <w:rPr>
                <w:rStyle w:val="Strong"/>
                <w:rFonts w:asciiTheme="minorHAnsi" w:hAnsiTheme="minorHAnsi"/>
                <w:b w:val="0"/>
                <w:bCs w:val="0"/>
              </w:rPr>
              <w:t xml:space="preserve"> for the Month</w:t>
            </w:r>
          </w:p>
        </w:tc>
      </w:tr>
      <w:tr w:rsidR="000D3DC1" w:rsidRPr="00A54361" w14:paraId="2CBAFDCE" w14:textId="77777777" w:rsidTr="005D16B3">
        <w:tc>
          <w:tcPr>
            <w:tcW w:w="846" w:type="dxa"/>
          </w:tcPr>
          <w:p w14:paraId="2A4C738D" w14:textId="1132684A" w:rsidR="00FD1776" w:rsidRPr="00A54361" w:rsidRDefault="002E1F0E" w:rsidP="00A54361">
            <w:pPr>
              <w:pStyle w:val="TableParagraph"/>
              <w:jc w:val="both"/>
              <w:rPr>
                <w:rStyle w:val="Strong"/>
                <w:rFonts w:asciiTheme="minorHAnsi" w:hAnsiTheme="minorHAnsi"/>
              </w:rPr>
            </w:pPr>
            <w:r w:rsidRPr="00A54361">
              <w:rPr>
                <w:rStyle w:val="Strong"/>
                <w:rFonts w:asciiTheme="minorHAnsi" w:hAnsiTheme="minorHAnsi"/>
              </w:rPr>
              <w:lastRenderedPageBreak/>
              <w:t>4</w:t>
            </w:r>
          </w:p>
        </w:tc>
        <w:tc>
          <w:tcPr>
            <w:tcW w:w="2551" w:type="dxa"/>
          </w:tcPr>
          <w:p w14:paraId="51F9A763" w14:textId="25B6BF3D" w:rsidR="00FD1776" w:rsidRPr="00A54361" w:rsidRDefault="00B1082A" w:rsidP="00A54361">
            <w:pPr>
              <w:pStyle w:val="TableParagraph"/>
              <w:jc w:val="both"/>
              <w:rPr>
                <w:rStyle w:val="Strong"/>
                <w:rFonts w:asciiTheme="minorHAnsi" w:hAnsiTheme="minorHAnsi"/>
              </w:rPr>
            </w:pPr>
            <w:r w:rsidRPr="00A54361">
              <w:rPr>
                <w:rStyle w:val="Strong"/>
                <w:rFonts w:asciiTheme="minorHAnsi" w:hAnsiTheme="minorHAnsi"/>
              </w:rPr>
              <w:t>Continual Improvement</w:t>
            </w:r>
          </w:p>
        </w:tc>
        <w:tc>
          <w:tcPr>
            <w:tcW w:w="2835" w:type="dxa"/>
          </w:tcPr>
          <w:p w14:paraId="69CC5E0A" w14:textId="63F2FFF1" w:rsidR="00802EC9" w:rsidRPr="00A54361" w:rsidRDefault="00802EC9" w:rsidP="00A54361">
            <w:pPr>
              <w:pStyle w:val="TableParagraph"/>
              <w:numPr>
                <w:ilvl w:val="0"/>
                <w:numId w:val="70"/>
              </w:numPr>
              <w:jc w:val="both"/>
              <w:rPr>
                <w:rStyle w:val="Strong"/>
                <w:rFonts w:asciiTheme="minorHAnsi" w:hAnsiTheme="minorHAnsi"/>
                <w:b w:val="0"/>
                <w:bCs w:val="0"/>
              </w:rPr>
            </w:pPr>
            <w:r w:rsidRPr="00A54361">
              <w:rPr>
                <w:rStyle w:val="Strong"/>
                <w:rFonts w:asciiTheme="minorHAnsi" w:hAnsiTheme="minorHAnsi"/>
                <w:b w:val="0"/>
                <w:bCs w:val="0"/>
              </w:rPr>
              <w:t xml:space="preserve">The </w:t>
            </w:r>
            <w:r w:rsidR="00CC26E2" w:rsidRPr="00A54361">
              <w:rPr>
                <w:rStyle w:val="Strong"/>
                <w:rFonts w:asciiTheme="minorHAnsi" w:hAnsiTheme="minorHAnsi"/>
                <w:b w:val="0"/>
                <w:bCs w:val="0"/>
              </w:rPr>
              <w:t>Bidder is expected</w:t>
            </w:r>
            <w:r w:rsidRPr="00A54361">
              <w:rPr>
                <w:rStyle w:val="Strong"/>
                <w:rFonts w:asciiTheme="minorHAnsi" w:hAnsiTheme="minorHAnsi"/>
                <w:b w:val="0"/>
                <w:bCs w:val="0"/>
              </w:rPr>
              <w:t xml:space="preserve"> </w:t>
            </w:r>
            <w:r w:rsidR="00CC26E2" w:rsidRPr="00A54361">
              <w:rPr>
                <w:rStyle w:val="Strong"/>
                <w:rFonts w:asciiTheme="minorHAnsi" w:hAnsiTheme="minorHAnsi"/>
                <w:b w:val="0"/>
                <w:bCs w:val="0"/>
              </w:rPr>
              <w:t>to improve</w:t>
            </w:r>
            <w:r w:rsidRPr="00A54361">
              <w:rPr>
                <w:rStyle w:val="Strong"/>
                <w:rFonts w:asciiTheme="minorHAnsi" w:hAnsiTheme="minorHAnsi"/>
                <w:b w:val="0"/>
                <w:bCs w:val="0"/>
              </w:rPr>
              <w:t xml:space="preserve"> the operations on an on- going basis.</w:t>
            </w:r>
          </w:p>
          <w:p w14:paraId="24DCE572" w14:textId="7B5422E9" w:rsidR="00802EC9" w:rsidRPr="00A54361" w:rsidRDefault="00802EC9" w:rsidP="00A54361">
            <w:pPr>
              <w:pStyle w:val="TableParagraph"/>
              <w:numPr>
                <w:ilvl w:val="0"/>
                <w:numId w:val="70"/>
              </w:numPr>
              <w:jc w:val="both"/>
              <w:rPr>
                <w:rStyle w:val="Strong"/>
                <w:rFonts w:asciiTheme="minorHAnsi" w:hAnsiTheme="minorHAnsi"/>
                <w:b w:val="0"/>
                <w:bCs w:val="0"/>
              </w:rPr>
            </w:pPr>
            <w:r w:rsidRPr="00A54361">
              <w:rPr>
                <w:rStyle w:val="Strong"/>
                <w:rFonts w:asciiTheme="minorHAnsi" w:hAnsiTheme="minorHAnsi"/>
                <w:b w:val="0"/>
                <w:bCs w:val="0"/>
              </w:rPr>
              <w:t xml:space="preserve">The Bidder </w:t>
            </w:r>
            <w:r w:rsidR="00CC26E2" w:rsidRPr="00A54361">
              <w:rPr>
                <w:rStyle w:val="Strong"/>
                <w:rFonts w:asciiTheme="minorHAnsi" w:hAnsiTheme="minorHAnsi"/>
                <w:b w:val="0"/>
                <w:bCs w:val="0"/>
              </w:rPr>
              <w:t>is expected</w:t>
            </w:r>
            <w:r w:rsidRPr="00A54361">
              <w:rPr>
                <w:rStyle w:val="Strong"/>
                <w:rFonts w:asciiTheme="minorHAnsi" w:hAnsiTheme="minorHAnsi"/>
                <w:b w:val="0"/>
                <w:bCs w:val="0"/>
              </w:rPr>
              <w:t xml:space="preserve"> to provide a quarterly report of the new improvements suggested, action plans, and the status of these Improvements    to    the Bank.</w:t>
            </w:r>
          </w:p>
          <w:p w14:paraId="71975F86" w14:textId="6AD44613" w:rsidR="00FD1776" w:rsidRPr="00A54361" w:rsidRDefault="00802EC9" w:rsidP="00A54361">
            <w:pPr>
              <w:pStyle w:val="TableParagraph"/>
              <w:numPr>
                <w:ilvl w:val="0"/>
                <w:numId w:val="70"/>
              </w:numPr>
              <w:jc w:val="both"/>
              <w:rPr>
                <w:rStyle w:val="Strong"/>
                <w:rFonts w:asciiTheme="minorHAnsi" w:hAnsiTheme="minorHAnsi"/>
                <w:b w:val="0"/>
                <w:bCs w:val="0"/>
              </w:rPr>
            </w:pPr>
            <w:r w:rsidRPr="00A54361">
              <w:rPr>
                <w:rStyle w:val="Strong"/>
                <w:rFonts w:asciiTheme="minorHAnsi" w:hAnsiTheme="minorHAnsi"/>
                <w:b w:val="0"/>
                <w:bCs w:val="0"/>
              </w:rPr>
              <w:t xml:space="preserve">Improvement          areas could   include:   process changes/             training resulting                        in efficiency/SLA </w:t>
            </w:r>
            <w:r w:rsidR="00CC26E2" w:rsidRPr="00A54361">
              <w:rPr>
                <w:rStyle w:val="Strong"/>
                <w:rFonts w:asciiTheme="minorHAnsi" w:hAnsiTheme="minorHAnsi"/>
                <w:b w:val="0"/>
                <w:bCs w:val="0"/>
              </w:rPr>
              <w:t xml:space="preserve">improvement, </w:t>
            </w:r>
            <w:r w:rsidRPr="00A54361">
              <w:rPr>
                <w:rStyle w:val="Strong"/>
                <w:rFonts w:asciiTheme="minorHAnsi" w:hAnsiTheme="minorHAnsi"/>
                <w:b w:val="0"/>
                <w:bCs w:val="0"/>
              </w:rPr>
              <w:t>new correlation      rules      to identify   threat   patterns etc.</w:t>
            </w:r>
          </w:p>
        </w:tc>
        <w:tc>
          <w:tcPr>
            <w:tcW w:w="3402" w:type="dxa"/>
          </w:tcPr>
          <w:p w14:paraId="4037EC1E" w14:textId="43CB24C6" w:rsidR="00505AAB" w:rsidRPr="00A54361" w:rsidRDefault="00505AAB" w:rsidP="00A54361">
            <w:pPr>
              <w:pStyle w:val="TableParagraph"/>
              <w:jc w:val="both"/>
              <w:rPr>
                <w:rStyle w:val="Strong"/>
                <w:rFonts w:asciiTheme="minorHAnsi" w:hAnsiTheme="minorHAnsi"/>
                <w:b w:val="0"/>
                <w:bCs w:val="0"/>
              </w:rPr>
            </w:pPr>
            <w:r w:rsidRPr="00A54361">
              <w:rPr>
                <w:rStyle w:val="Strong"/>
                <w:rFonts w:asciiTheme="minorHAnsi" w:hAnsiTheme="minorHAnsi"/>
                <w:b w:val="0"/>
                <w:bCs w:val="0"/>
              </w:rPr>
              <w:t>Quarterly reports need to be provided by the 5th day of each quarter beginning</w:t>
            </w:r>
          </w:p>
          <w:p w14:paraId="3C6A011B" w14:textId="77777777" w:rsidR="00505AAB" w:rsidRPr="00A54361" w:rsidRDefault="00505AAB" w:rsidP="00A54361">
            <w:pPr>
              <w:pStyle w:val="TableParagraph"/>
              <w:jc w:val="both"/>
              <w:rPr>
                <w:rStyle w:val="Strong"/>
                <w:rFonts w:asciiTheme="minorHAnsi" w:hAnsiTheme="minorHAnsi"/>
                <w:b w:val="0"/>
                <w:bCs w:val="0"/>
              </w:rPr>
            </w:pPr>
          </w:p>
          <w:p w14:paraId="49B94A37" w14:textId="77777777" w:rsidR="00505AAB" w:rsidRPr="00A54361" w:rsidRDefault="00505AAB" w:rsidP="00A54361">
            <w:pPr>
              <w:pStyle w:val="TableParagraph"/>
              <w:jc w:val="both"/>
              <w:rPr>
                <w:rStyle w:val="Strong"/>
                <w:rFonts w:asciiTheme="minorHAnsi" w:hAnsiTheme="minorHAnsi"/>
                <w:u w:val="single"/>
              </w:rPr>
            </w:pPr>
            <w:r w:rsidRPr="00A54361">
              <w:rPr>
                <w:rStyle w:val="Strong"/>
                <w:rFonts w:asciiTheme="minorHAnsi" w:hAnsiTheme="minorHAnsi"/>
                <w:u w:val="single"/>
              </w:rPr>
              <w:t>Penalty:</w:t>
            </w:r>
          </w:p>
          <w:p w14:paraId="57387A5C" w14:textId="200F6269" w:rsidR="00FD1776" w:rsidRPr="00A54361" w:rsidRDefault="00505AAB" w:rsidP="00A54361">
            <w:pPr>
              <w:pStyle w:val="TableParagraph"/>
              <w:jc w:val="both"/>
              <w:rPr>
                <w:rStyle w:val="Strong"/>
                <w:rFonts w:asciiTheme="minorHAnsi" w:hAnsiTheme="minorHAnsi"/>
                <w:b w:val="0"/>
                <w:bCs w:val="0"/>
              </w:rPr>
            </w:pPr>
            <w:r w:rsidRPr="00A54361">
              <w:rPr>
                <w:rStyle w:val="Strong"/>
                <w:rFonts w:asciiTheme="minorHAnsi" w:hAnsiTheme="minorHAnsi"/>
                <w:b w:val="0"/>
                <w:bCs w:val="0"/>
              </w:rPr>
              <w:t xml:space="preserve">Delay   in   providing   quarterly reports shall lead to </w:t>
            </w:r>
            <w:r w:rsidR="00292F2C" w:rsidRPr="00A54361">
              <w:rPr>
                <w:rStyle w:val="Strong"/>
                <w:rFonts w:asciiTheme="minorHAnsi" w:hAnsiTheme="minorHAnsi"/>
                <w:b w:val="0"/>
                <w:bCs w:val="0"/>
              </w:rPr>
              <w:t>5</w:t>
            </w:r>
            <w:r w:rsidRPr="00A54361">
              <w:rPr>
                <w:rStyle w:val="Strong"/>
                <w:rFonts w:asciiTheme="minorHAnsi" w:hAnsiTheme="minorHAnsi"/>
                <w:b w:val="0"/>
                <w:bCs w:val="0"/>
              </w:rPr>
              <w:t>%</w:t>
            </w:r>
            <w:r w:rsidR="00292F2C" w:rsidRPr="00A54361">
              <w:rPr>
                <w:rStyle w:val="Strong"/>
                <w:rFonts w:asciiTheme="minorHAnsi" w:hAnsiTheme="minorHAnsi"/>
                <w:b w:val="0"/>
                <w:bCs w:val="0"/>
              </w:rPr>
              <w:t xml:space="preserve"> penalty</w:t>
            </w:r>
            <w:r w:rsidRPr="00A54361">
              <w:rPr>
                <w:rStyle w:val="Strong"/>
                <w:rFonts w:asciiTheme="minorHAnsi" w:hAnsiTheme="minorHAnsi"/>
                <w:b w:val="0"/>
                <w:bCs w:val="0"/>
              </w:rPr>
              <w:t xml:space="preserve"> of the monthly </w:t>
            </w:r>
            <w:r w:rsidR="00310DDC" w:rsidRPr="00A54361">
              <w:rPr>
                <w:rStyle w:val="Strong"/>
                <w:rFonts w:asciiTheme="minorHAnsi" w:hAnsiTheme="minorHAnsi"/>
                <w:b w:val="0"/>
                <w:bCs w:val="0"/>
              </w:rPr>
              <w:t xml:space="preserve">FMS </w:t>
            </w:r>
            <w:r w:rsidRPr="00A54361">
              <w:rPr>
                <w:rStyle w:val="Strong"/>
                <w:rFonts w:asciiTheme="minorHAnsi" w:hAnsiTheme="minorHAnsi"/>
                <w:b w:val="0"/>
                <w:bCs w:val="0"/>
              </w:rPr>
              <w:t xml:space="preserve"> </w:t>
            </w:r>
            <w:r w:rsidR="000B24D1" w:rsidRPr="00A54361">
              <w:rPr>
                <w:rStyle w:val="Strong"/>
                <w:rFonts w:asciiTheme="minorHAnsi" w:hAnsiTheme="minorHAnsi"/>
                <w:b w:val="0"/>
                <w:bCs w:val="0"/>
              </w:rPr>
              <w:t>charges Reduction</w:t>
            </w:r>
            <w:r w:rsidRPr="00A54361">
              <w:rPr>
                <w:rStyle w:val="Strong"/>
                <w:rFonts w:asciiTheme="minorHAnsi" w:hAnsiTheme="minorHAnsi"/>
                <w:b w:val="0"/>
                <w:bCs w:val="0"/>
              </w:rPr>
              <w:t xml:space="preserve">  by    in the time for event response, quarter on quarter.</w:t>
            </w:r>
          </w:p>
        </w:tc>
      </w:tr>
      <w:tr w:rsidR="000D3DC1" w:rsidRPr="00A54361" w14:paraId="06A2035F" w14:textId="77777777" w:rsidTr="005D16B3">
        <w:tc>
          <w:tcPr>
            <w:tcW w:w="846" w:type="dxa"/>
          </w:tcPr>
          <w:p w14:paraId="1CA78E45" w14:textId="30B1923E" w:rsidR="00FD1776" w:rsidRPr="00A54361" w:rsidRDefault="008C12A7" w:rsidP="00A54361">
            <w:pPr>
              <w:pStyle w:val="TableParagraph"/>
              <w:jc w:val="both"/>
              <w:rPr>
                <w:rStyle w:val="Strong"/>
                <w:rFonts w:asciiTheme="minorHAnsi" w:hAnsiTheme="minorHAnsi"/>
              </w:rPr>
            </w:pPr>
            <w:r w:rsidRPr="00A54361">
              <w:rPr>
                <w:rStyle w:val="Strong"/>
                <w:rFonts w:asciiTheme="minorHAnsi" w:hAnsiTheme="minorHAnsi"/>
              </w:rPr>
              <w:t>5</w:t>
            </w:r>
          </w:p>
        </w:tc>
        <w:tc>
          <w:tcPr>
            <w:tcW w:w="2551" w:type="dxa"/>
          </w:tcPr>
          <w:p w14:paraId="6309BD03" w14:textId="6A480CA0" w:rsidR="00FD1776" w:rsidRPr="00A54361" w:rsidRDefault="00E36FEC" w:rsidP="00A54361">
            <w:pPr>
              <w:pStyle w:val="TableParagraph"/>
              <w:jc w:val="both"/>
              <w:rPr>
                <w:rStyle w:val="Strong"/>
                <w:rFonts w:asciiTheme="minorHAnsi" w:hAnsiTheme="minorHAnsi"/>
              </w:rPr>
            </w:pPr>
            <w:r w:rsidRPr="00A54361">
              <w:rPr>
                <w:rStyle w:val="Strong"/>
                <w:rFonts w:asciiTheme="minorHAnsi" w:hAnsiTheme="minorHAnsi"/>
              </w:rPr>
              <w:t>Periodic Review</w:t>
            </w:r>
          </w:p>
        </w:tc>
        <w:tc>
          <w:tcPr>
            <w:tcW w:w="2835" w:type="dxa"/>
          </w:tcPr>
          <w:p w14:paraId="07A51507" w14:textId="564EFD2B" w:rsidR="00FD1776" w:rsidRPr="00A54361" w:rsidRDefault="00512C65" w:rsidP="00A54361">
            <w:pPr>
              <w:pStyle w:val="TableParagraph"/>
              <w:jc w:val="both"/>
              <w:rPr>
                <w:rStyle w:val="Strong"/>
                <w:rFonts w:asciiTheme="minorHAnsi" w:hAnsiTheme="minorHAnsi"/>
                <w:b w:val="0"/>
                <w:bCs w:val="0"/>
              </w:rPr>
            </w:pPr>
            <w:r w:rsidRPr="00A54361">
              <w:rPr>
                <w:rStyle w:val="Strong"/>
                <w:rFonts w:asciiTheme="minorHAnsi" w:hAnsiTheme="minorHAnsi"/>
                <w:b w:val="0"/>
                <w:bCs w:val="0"/>
              </w:rPr>
              <w:t>The  project sponsor</w:t>
            </w:r>
            <w:r w:rsidR="00B33970" w:rsidRPr="00A54361">
              <w:rPr>
                <w:rStyle w:val="Strong"/>
                <w:rFonts w:asciiTheme="minorHAnsi" w:hAnsiTheme="minorHAnsi"/>
                <w:b w:val="0"/>
                <w:bCs w:val="0"/>
              </w:rPr>
              <w:t xml:space="preserve"> or locational delegate from the Bidder is expected to conduct a monthly review meeting with Bank officials resulting in a report covering details about current SLAs, status of operations, key threats and new threats identified, issues and challenges etc.</w:t>
            </w:r>
          </w:p>
        </w:tc>
        <w:tc>
          <w:tcPr>
            <w:tcW w:w="3402" w:type="dxa"/>
          </w:tcPr>
          <w:p w14:paraId="582A53AF" w14:textId="1CAA1A76" w:rsidR="00621DD8" w:rsidRPr="00A54361" w:rsidRDefault="00D56413" w:rsidP="00A54361">
            <w:pPr>
              <w:pStyle w:val="TableParagraph"/>
              <w:jc w:val="both"/>
              <w:rPr>
                <w:rStyle w:val="Strong"/>
                <w:rFonts w:asciiTheme="minorHAnsi" w:hAnsiTheme="minorHAnsi"/>
                <w:b w:val="0"/>
                <w:bCs w:val="0"/>
              </w:rPr>
            </w:pPr>
            <w:r w:rsidRPr="00A54361">
              <w:rPr>
                <w:rStyle w:val="Strong"/>
                <w:rFonts w:asciiTheme="minorHAnsi" w:hAnsiTheme="minorHAnsi"/>
                <w:b w:val="0"/>
                <w:bCs w:val="0"/>
              </w:rPr>
              <w:t xml:space="preserve">Monthly  </w:t>
            </w:r>
            <w:r w:rsidR="00101369" w:rsidRPr="00A54361">
              <w:rPr>
                <w:rStyle w:val="Strong"/>
                <w:rFonts w:asciiTheme="minorHAnsi" w:hAnsiTheme="minorHAnsi"/>
                <w:b w:val="0"/>
                <w:bCs w:val="0"/>
              </w:rPr>
              <w:t xml:space="preserve">review </w:t>
            </w:r>
            <w:r w:rsidRPr="00A54361">
              <w:rPr>
                <w:rStyle w:val="Strong"/>
                <w:rFonts w:asciiTheme="minorHAnsi" w:hAnsiTheme="minorHAnsi"/>
                <w:b w:val="0"/>
                <w:bCs w:val="0"/>
              </w:rPr>
              <w:t xml:space="preserve">meeting  </w:t>
            </w:r>
            <w:r w:rsidR="00621DD8" w:rsidRPr="00A54361">
              <w:rPr>
                <w:rStyle w:val="Strong"/>
                <w:rFonts w:asciiTheme="minorHAnsi" w:hAnsiTheme="minorHAnsi"/>
                <w:b w:val="0"/>
                <w:bCs w:val="0"/>
              </w:rPr>
              <w:t xml:space="preserve"> to be conducted on the</w:t>
            </w:r>
          </w:p>
          <w:p w14:paraId="1FA1AA73" w14:textId="77777777" w:rsidR="00FD1776" w:rsidRPr="00A54361" w:rsidRDefault="00621DD8" w:rsidP="00A54361">
            <w:pPr>
              <w:pStyle w:val="TableParagraph"/>
              <w:jc w:val="both"/>
              <w:rPr>
                <w:rStyle w:val="Strong"/>
                <w:rFonts w:asciiTheme="minorHAnsi" w:hAnsiTheme="minorHAnsi"/>
                <w:b w:val="0"/>
                <w:bCs w:val="0"/>
              </w:rPr>
            </w:pPr>
            <w:r w:rsidRPr="00A54361">
              <w:rPr>
                <w:rStyle w:val="Strong"/>
                <w:rFonts w:asciiTheme="minorHAnsi" w:hAnsiTheme="minorHAnsi"/>
                <w:b w:val="0"/>
                <w:bCs w:val="0"/>
              </w:rPr>
              <w:t>5th (tentatively) of each month during the operations phase.</w:t>
            </w:r>
          </w:p>
          <w:p w14:paraId="70C64F68" w14:textId="77777777" w:rsidR="00984B40" w:rsidRPr="00A54361" w:rsidRDefault="00984B40" w:rsidP="00A54361">
            <w:pPr>
              <w:pStyle w:val="TableParagraph"/>
              <w:jc w:val="both"/>
              <w:rPr>
                <w:rStyle w:val="Strong"/>
                <w:rFonts w:asciiTheme="minorHAnsi" w:hAnsiTheme="minorHAnsi"/>
                <w:b w:val="0"/>
                <w:bCs w:val="0"/>
              </w:rPr>
            </w:pPr>
          </w:p>
          <w:p w14:paraId="61740BEF" w14:textId="77777777" w:rsidR="00480F89" w:rsidRPr="00A54361" w:rsidRDefault="00480F89" w:rsidP="00A54361">
            <w:pPr>
              <w:pStyle w:val="TableParagraph"/>
              <w:jc w:val="both"/>
              <w:rPr>
                <w:rStyle w:val="Strong"/>
                <w:rFonts w:asciiTheme="minorHAnsi" w:hAnsiTheme="minorHAnsi"/>
                <w:u w:val="single"/>
              </w:rPr>
            </w:pPr>
            <w:r w:rsidRPr="00A54361">
              <w:rPr>
                <w:rStyle w:val="Strong"/>
                <w:rFonts w:asciiTheme="minorHAnsi" w:hAnsiTheme="minorHAnsi"/>
                <w:u w:val="single"/>
              </w:rPr>
              <w:t>Penalty:</w:t>
            </w:r>
          </w:p>
          <w:p w14:paraId="63246776" w14:textId="571726A9" w:rsidR="00984B40" w:rsidRPr="00A54361" w:rsidRDefault="00480F89" w:rsidP="00A54361">
            <w:pPr>
              <w:pStyle w:val="TableParagraph"/>
              <w:jc w:val="both"/>
              <w:rPr>
                <w:rStyle w:val="Strong"/>
                <w:rFonts w:asciiTheme="minorHAnsi" w:hAnsiTheme="minorHAnsi"/>
                <w:b w:val="0"/>
                <w:bCs w:val="0"/>
              </w:rPr>
            </w:pPr>
            <w:r w:rsidRPr="00A54361">
              <w:rPr>
                <w:rStyle w:val="Strong"/>
                <w:rFonts w:asciiTheme="minorHAnsi" w:hAnsiTheme="minorHAnsi"/>
                <w:b w:val="0"/>
                <w:bCs w:val="0"/>
              </w:rPr>
              <w:t xml:space="preserve">A  delay  of  more  than  three days will incur a penalty of </w:t>
            </w:r>
            <w:r w:rsidR="00101369" w:rsidRPr="00A54361">
              <w:rPr>
                <w:rStyle w:val="Strong"/>
                <w:rFonts w:asciiTheme="minorHAnsi" w:hAnsiTheme="minorHAnsi"/>
                <w:b w:val="0"/>
                <w:bCs w:val="0"/>
              </w:rPr>
              <w:t>5</w:t>
            </w:r>
            <w:r w:rsidRPr="00A54361">
              <w:rPr>
                <w:rStyle w:val="Strong"/>
                <w:rFonts w:asciiTheme="minorHAnsi" w:hAnsiTheme="minorHAnsi"/>
                <w:b w:val="0"/>
                <w:bCs w:val="0"/>
              </w:rPr>
              <w:t xml:space="preserve">% of </w:t>
            </w:r>
            <w:r w:rsidR="00494A79" w:rsidRPr="00A54361">
              <w:rPr>
                <w:rStyle w:val="Strong"/>
                <w:rFonts w:asciiTheme="minorHAnsi" w:hAnsiTheme="minorHAnsi"/>
                <w:b w:val="0"/>
                <w:bCs w:val="0"/>
              </w:rPr>
              <w:t>FMS cost</w:t>
            </w:r>
            <w:r w:rsidRPr="00A54361">
              <w:rPr>
                <w:rStyle w:val="Strong"/>
                <w:rFonts w:asciiTheme="minorHAnsi" w:hAnsiTheme="minorHAnsi"/>
                <w:b w:val="0"/>
                <w:bCs w:val="0"/>
              </w:rPr>
              <w:t xml:space="preserve"> for that month.</w:t>
            </w:r>
          </w:p>
        </w:tc>
      </w:tr>
      <w:tr w:rsidR="000D3DC1" w:rsidRPr="00A54361" w14:paraId="0CEF45A5" w14:textId="77777777" w:rsidTr="005D16B3">
        <w:tc>
          <w:tcPr>
            <w:tcW w:w="846" w:type="dxa"/>
          </w:tcPr>
          <w:p w14:paraId="7888D689" w14:textId="2C15F10F" w:rsidR="008C12A7" w:rsidRPr="00A54361" w:rsidRDefault="007B6DEB" w:rsidP="00A54361">
            <w:pPr>
              <w:pStyle w:val="TableParagraph"/>
              <w:jc w:val="both"/>
              <w:rPr>
                <w:rStyle w:val="Strong"/>
                <w:rFonts w:asciiTheme="minorHAnsi" w:hAnsiTheme="minorHAnsi"/>
              </w:rPr>
            </w:pPr>
            <w:r w:rsidRPr="00A54361">
              <w:rPr>
                <w:rStyle w:val="Strong"/>
                <w:rFonts w:asciiTheme="minorHAnsi" w:hAnsiTheme="minorHAnsi"/>
              </w:rPr>
              <w:t>6</w:t>
            </w:r>
          </w:p>
        </w:tc>
        <w:tc>
          <w:tcPr>
            <w:tcW w:w="2551" w:type="dxa"/>
          </w:tcPr>
          <w:p w14:paraId="349B3809" w14:textId="2D9B4FD1" w:rsidR="008C12A7" w:rsidRPr="00A54361" w:rsidRDefault="00BF0CF0" w:rsidP="00A54361">
            <w:pPr>
              <w:pStyle w:val="TableParagraph"/>
              <w:jc w:val="both"/>
              <w:rPr>
                <w:rStyle w:val="Strong"/>
                <w:rFonts w:asciiTheme="minorHAnsi" w:hAnsiTheme="minorHAnsi"/>
              </w:rPr>
            </w:pPr>
            <w:r w:rsidRPr="00A54361">
              <w:rPr>
                <w:rStyle w:val="Strong"/>
                <w:rFonts w:asciiTheme="minorHAnsi" w:hAnsiTheme="minorHAnsi"/>
              </w:rPr>
              <w:t xml:space="preserve">Security Device Management and </w:t>
            </w:r>
            <w:r w:rsidRPr="00A54361">
              <w:rPr>
                <w:rStyle w:val="Strong"/>
                <w:rFonts w:asciiTheme="minorHAnsi" w:hAnsiTheme="minorHAnsi"/>
              </w:rPr>
              <w:lastRenderedPageBreak/>
              <w:t>Administration</w:t>
            </w:r>
          </w:p>
        </w:tc>
        <w:tc>
          <w:tcPr>
            <w:tcW w:w="2835" w:type="dxa"/>
          </w:tcPr>
          <w:p w14:paraId="19649536" w14:textId="77777777" w:rsidR="00605D3F" w:rsidRPr="00A54361" w:rsidRDefault="00605D3F" w:rsidP="00A54361">
            <w:pPr>
              <w:pStyle w:val="TableParagraph"/>
              <w:jc w:val="both"/>
              <w:rPr>
                <w:rStyle w:val="Strong"/>
                <w:rFonts w:asciiTheme="minorHAnsi" w:hAnsiTheme="minorHAnsi"/>
                <w:b w:val="0"/>
                <w:bCs w:val="0"/>
              </w:rPr>
            </w:pPr>
            <w:r w:rsidRPr="00A54361">
              <w:rPr>
                <w:rStyle w:val="Strong"/>
                <w:rFonts w:asciiTheme="minorHAnsi" w:hAnsiTheme="minorHAnsi"/>
                <w:b w:val="0"/>
                <w:bCs w:val="0"/>
              </w:rPr>
              <w:lastRenderedPageBreak/>
              <w:t xml:space="preserve">Bidder  is  expected  to provide this service 24/7 </w:t>
            </w:r>
            <w:r w:rsidRPr="00A54361">
              <w:rPr>
                <w:rStyle w:val="Strong"/>
                <w:rFonts w:asciiTheme="minorHAnsi" w:hAnsiTheme="minorHAnsi"/>
                <w:b w:val="0"/>
                <w:bCs w:val="0"/>
              </w:rPr>
              <w:lastRenderedPageBreak/>
              <w:t>basis.    Management    and</w:t>
            </w:r>
          </w:p>
          <w:p w14:paraId="42BCF443" w14:textId="77777777" w:rsidR="00605D3F" w:rsidRPr="00A54361" w:rsidRDefault="00605D3F" w:rsidP="00A54361">
            <w:pPr>
              <w:pStyle w:val="TableParagraph"/>
              <w:jc w:val="both"/>
              <w:rPr>
                <w:rStyle w:val="Strong"/>
                <w:rFonts w:asciiTheme="minorHAnsi" w:hAnsiTheme="minorHAnsi"/>
                <w:b w:val="0"/>
                <w:bCs w:val="0"/>
              </w:rPr>
            </w:pPr>
            <w:r w:rsidRPr="00A54361">
              <w:rPr>
                <w:rStyle w:val="Strong"/>
                <w:rFonts w:asciiTheme="minorHAnsi" w:hAnsiTheme="minorHAnsi"/>
                <w:b w:val="0"/>
                <w:bCs w:val="0"/>
              </w:rPr>
              <w:t>administration of all existing and       in-scope       security</w:t>
            </w:r>
          </w:p>
          <w:p w14:paraId="41C18B42" w14:textId="65F3784B" w:rsidR="008C12A7" w:rsidRPr="00A54361" w:rsidRDefault="00605D3F" w:rsidP="00A54361">
            <w:pPr>
              <w:pStyle w:val="TableParagraph"/>
              <w:jc w:val="both"/>
              <w:rPr>
                <w:rStyle w:val="Strong"/>
                <w:rFonts w:asciiTheme="minorHAnsi" w:hAnsiTheme="minorHAnsi"/>
                <w:b w:val="0"/>
                <w:bCs w:val="0"/>
              </w:rPr>
            </w:pPr>
            <w:r w:rsidRPr="00A54361">
              <w:rPr>
                <w:rStyle w:val="Strong"/>
                <w:rFonts w:asciiTheme="minorHAnsi" w:hAnsiTheme="minorHAnsi"/>
                <w:b w:val="0"/>
                <w:bCs w:val="0"/>
              </w:rPr>
              <w:t>devices / solutions</w:t>
            </w:r>
          </w:p>
        </w:tc>
        <w:tc>
          <w:tcPr>
            <w:tcW w:w="3402" w:type="dxa"/>
          </w:tcPr>
          <w:p w14:paraId="65360AEA" w14:textId="77777777" w:rsidR="008C12A7" w:rsidRPr="00A54361" w:rsidRDefault="005F73F1" w:rsidP="00A54361">
            <w:pPr>
              <w:pStyle w:val="TableParagraph"/>
              <w:jc w:val="both"/>
              <w:rPr>
                <w:rStyle w:val="Strong"/>
                <w:rFonts w:asciiTheme="minorHAnsi" w:hAnsiTheme="minorHAnsi"/>
                <w:u w:val="single"/>
              </w:rPr>
            </w:pPr>
            <w:r w:rsidRPr="00A54361">
              <w:rPr>
                <w:rStyle w:val="Strong"/>
                <w:rFonts w:asciiTheme="minorHAnsi" w:hAnsiTheme="minorHAnsi"/>
                <w:u w:val="single"/>
              </w:rPr>
              <w:lastRenderedPageBreak/>
              <w:t>Penalty:</w:t>
            </w:r>
          </w:p>
          <w:p w14:paraId="2F7B6479" w14:textId="02752B45" w:rsidR="005F73F1" w:rsidRPr="00A54361" w:rsidRDefault="00FE7AF8" w:rsidP="00A54361">
            <w:pPr>
              <w:pStyle w:val="TableParagraph"/>
              <w:numPr>
                <w:ilvl w:val="0"/>
                <w:numId w:val="71"/>
              </w:numPr>
              <w:jc w:val="both"/>
              <w:rPr>
                <w:rStyle w:val="Strong"/>
                <w:rFonts w:asciiTheme="minorHAnsi" w:hAnsiTheme="minorHAnsi"/>
                <w:b w:val="0"/>
                <w:bCs w:val="0"/>
              </w:rPr>
            </w:pPr>
            <w:r w:rsidRPr="00A54361">
              <w:rPr>
                <w:rStyle w:val="Strong"/>
                <w:rFonts w:asciiTheme="minorHAnsi" w:hAnsiTheme="minorHAnsi"/>
                <w:b w:val="0"/>
                <w:bCs w:val="0"/>
              </w:rPr>
              <w:t xml:space="preserve">For  more  than  1  hour  </w:t>
            </w:r>
            <w:r w:rsidRPr="00A54361">
              <w:rPr>
                <w:rStyle w:val="Strong"/>
                <w:rFonts w:asciiTheme="minorHAnsi" w:hAnsiTheme="minorHAnsi"/>
                <w:b w:val="0"/>
                <w:bCs w:val="0"/>
              </w:rPr>
              <w:lastRenderedPageBreak/>
              <w:t xml:space="preserve">delay (after  the  Banks  confirmation) for rule modification in any of the security devices / solutions will incur a penalty of </w:t>
            </w:r>
            <w:r w:rsidR="00101369" w:rsidRPr="00A54361">
              <w:rPr>
                <w:rStyle w:val="Strong"/>
                <w:rFonts w:asciiTheme="minorHAnsi" w:hAnsiTheme="minorHAnsi"/>
                <w:b w:val="0"/>
                <w:bCs w:val="0"/>
              </w:rPr>
              <w:t>2</w:t>
            </w:r>
            <w:r w:rsidRPr="00A54361">
              <w:rPr>
                <w:rStyle w:val="Strong"/>
                <w:rFonts w:asciiTheme="minorHAnsi" w:hAnsiTheme="minorHAnsi"/>
                <w:b w:val="0"/>
                <w:bCs w:val="0"/>
              </w:rPr>
              <w:t xml:space="preserve">% of monthly </w:t>
            </w:r>
            <w:r w:rsidR="00494A79" w:rsidRPr="00A54361">
              <w:rPr>
                <w:rStyle w:val="Strong"/>
                <w:rFonts w:asciiTheme="minorHAnsi" w:hAnsiTheme="minorHAnsi"/>
                <w:b w:val="0"/>
                <w:bCs w:val="0"/>
              </w:rPr>
              <w:t>FMS cost</w:t>
            </w:r>
            <w:r w:rsidRPr="00A54361">
              <w:rPr>
                <w:rStyle w:val="Strong"/>
                <w:rFonts w:asciiTheme="minorHAnsi" w:hAnsiTheme="minorHAnsi"/>
                <w:b w:val="0"/>
                <w:bCs w:val="0"/>
              </w:rPr>
              <w:t xml:space="preserve"> per instance.</w:t>
            </w:r>
          </w:p>
          <w:p w14:paraId="47EBEDCC" w14:textId="61E80919" w:rsidR="00FE7AF8" w:rsidRPr="00A54361" w:rsidRDefault="003D5710" w:rsidP="00A54361">
            <w:pPr>
              <w:pStyle w:val="TableParagraph"/>
              <w:numPr>
                <w:ilvl w:val="0"/>
                <w:numId w:val="71"/>
              </w:numPr>
              <w:jc w:val="both"/>
              <w:rPr>
                <w:rStyle w:val="Strong"/>
                <w:rFonts w:asciiTheme="minorHAnsi" w:hAnsiTheme="minorHAnsi"/>
                <w:b w:val="0"/>
                <w:bCs w:val="0"/>
              </w:rPr>
            </w:pPr>
            <w:r w:rsidRPr="00A54361">
              <w:rPr>
                <w:rStyle w:val="Strong"/>
                <w:rFonts w:asciiTheme="minorHAnsi" w:hAnsiTheme="minorHAnsi"/>
                <w:b w:val="0"/>
                <w:bCs w:val="0"/>
              </w:rPr>
              <w:t xml:space="preserve">For wrong rule modification in any of the security solutions will incur a penalty of </w:t>
            </w:r>
            <w:r w:rsidR="00101369" w:rsidRPr="00A54361">
              <w:rPr>
                <w:rStyle w:val="Strong"/>
                <w:rFonts w:asciiTheme="minorHAnsi" w:hAnsiTheme="minorHAnsi"/>
                <w:b w:val="0"/>
                <w:bCs w:val="0"/>
              </w:rPr>
              <w:t>5</w:t>
            </w:r>
            <w:r w:rsidRPr="00A54361">
              <w:rPr>
                <w:rStyle w:val="Strong"/>
                <w:rFonts w:asciiTheme="minorHAnsi" w:hAnsiTheme="minorHAnsi"/>
                <w:b w:val="0"/>
                <w:bCs w:val="0"/>
              </w:rPr>
              <w:t xml:space="preserve">% of the monthly  </w:t>
            </w:r>
            <w:r w:rsidR="00494A79" w:rsidRPr="00A54361">
              <w:rPr>
                <w:rStyle w:val="Strong"/>
                <w:rFonts w:asciiTheme="minorHAnsi" w:hAnsiTheme="minorHAnsi"/>
                <w:b w:val="0"/>
                <w:bCs w:val="0"/>
              </w:rPr>
              <w:t>FMS</w:t>
            </w:r>
            <w:r w:rsidRPr="00A54361">
              <w:rPr>
                <w:rStyle w:val="Strong"/>
                <w:rFonts w:asciiTheme="minorHAnsi" w:hAnsiTheme="minorHAnsi"/>
                <w:b w:val="0"/>
                <w:bCs w:val="0"/>
              </w:rPr>
              <w:t xml:space="preserve">  cost  per instance.</w:t>
            </w:r>
          </w:p>
          <w:p w14:paraId="39084296" w14:textId="15325B72" w:rsidR="00AE7FB4" w:rsidRPr="00A54361" w:rsidRDefault="00AE7FB4" w:rsidP="00A54361">
            <w:pPr>
              <w:pStyle w:val="TableParagraph"/>
              <w:numPr>
                <w:ilvl w:val="0"/>
                <w:numId w:val="71"/>
              </w:numPr>
              <w:jc w:val="both"/>
              <w:rPr>
                <w:rStyle w:val="Strong"/>
                <w:rFonts w:asciiTheme="minorHAnsi" w:hAnsiTheme="minorHAnsi"/>
                <w:b w:val="0"/>
                <w:bCs w:val="0"/>
              </w:rPr>
            </w:pPr>
            <w:r w:rsidRPr="00A54361">
              <w:rPr>
                <w:rStyle w:val="Strong"/>
                <w:rFonts w:asciiTheme="minorHAnsi" w:hAnsiTheme="minorHAnsi"/>
                <w:b w:val="0"/>
                <w:bCs w:val="0"/>
              </w:rPr>
              <w:t>For a wrong rule modification in any of the security solutions by</w:t>
            </w:r>
            <w:r w:rsidR="00AE20C4" w:rsidRPr="00A54361">
              <w:rPr>
                <w:rStyle w:val="Strong"/>
                <w:rFonts w:asciiTheme="minorHAnsi" w:hAnsiTheme="minorHAnsi"/>
                <w:b w:val="0"/>
                <w:bCs w:val="0"/>
              </w:rPr>
              <w:t xml:space="preserve"> </w:t>
            </w:r>
            <w:r w:rsidRPr="00A54361">
              <w:rPr>
                <w:rStyle w:val="Strong"/>
                <w:rFonts w:asciiTheme="minorHAnsi" w:hAnsiTheme="minorHAnsi"/>
                <w:b w:val="0"/>
                <w:bCs w:val="0"/>
              </w:rPr>
              <w:t>which  Bank  incur  any  service</w:t>
            </w:r>
            <w:r w:rsidR="00AE20C4" w:rsidRPr="00A54361">
              <w:rPr>
                <w:rStyle w:val="Strong"/>
                <w:rFonts w:asciiTheme="minorHAnsi" w:hAnsiTheme="minorHAnsi"/>
                <w:b w:val="0"/>
                <w:bCs w:val="0"/>
              </w:rPr>
              <w:t xml:space="preserve"> </w:t>
            </w:r>
            <w:r w:rsidRPr="00A54361">
              <w:rPr>
                <w:rStyle w:val="Strong"/>
                <w:rFonts w:asciiTheme="minorHAnsi" w:hAnsiTheme="minorHAnsi"/>
                <w:b w:val="0"/>
                <w:bCs w:val="0"/>
              </w:rPr>
              <w:t xml:space="preserve">disturbance will incur a penalty of  </w:t>
            </w:r>
            <w:r w:rsidR="00101369" w:rsidRPr="00A54361">
              <w:rPr>
                <w:rStyle w:val="Strong"/>
                <w:rFonts w:asciiTheme="minorHAnsi" w:hAnsiTheme="minorHAnsi"/>
                <w:b w:val="0"/>
                <w:bCs w:val="0"/>
              </w:rPr>
              <w:t>10</w:t>
            </w:r>
            <w:r w:rsidRPr="00A54361">
              <w:rPr>
                <w:rStyle w:val="Strong"/>
                <w:rFonts w:asciiTheme="minorHAnsi" w:hAnsiTheme="minorHAnsi"/>
                <w:b w:val="0"/>
                <w:bCs w:val="0"/>
              </w:rPr>
              <w:t xml:space="preserve">%  of  monthly </w:t>
            </w:r>
            <w:r w:rsidR="00494A79" w:rsidRPr="00A54361">
              <w:rPr>
                <w:rStyle w:val="Strong"/>
                <w:rFonts w:asciiTheme="minorHAnsi" w:hAnsiTheme="minorHAnsi"/>
                <w:b w:val="0"/>
                <w:bCs w:val="0"/>
              </w:rPr>
              <w:t>FMS cost</w:t>
            </w:r>
            <w:r w:rsidR="00CF2FD2" w:rsidRPr="00A54361">
              <w:rPr>
                <w:rStyle w:val="Strong"/>
                <w:rFonts w:asciiTheme="minorHAnsi" w:hAnsiTheme="minorHAnsi"/>
                <w:b w:val="0"/>
                <w:bCs w:val="0"/>
              </w:rPr>
              <w:t xml:space="preserve"> per instance.</w:t>
            </w:r>
          </w:p>
        </w:tc>
      </w:tr>
      <w:tr w:rsidR="000D3DC1" w:rsidRPr="00A54361" w14:paraId="60486508" w14:textId="77777777" w:rsidTr="005D16B3">
        <w:tc>
          <w:tcPr>
            <w:tcW w:w="846" w:type="dxa"/>
          </w:tcPr>
          <w:p w14:paraId="18DD948D" w14:textId="6476ABDC" w:rsidR="008C12A7" w:rsidRPr="00A54361" w:rsidRDefault="006325F2" w:rsidP="00A54361">
            <w:pPr>
              <w:pStyle w:val="TableParagraph"/>
              <w:jc w:val="both"/>
              <w:rPr>
                <w:rStyle w:val="Strong"/>
                <w:rFonts w:asciiTheme="minorHAnsi" w:hAnsiTheme="minorHAnsi"/>
              </w:rPr>
            </w:pPr>
            <w:r w:rsidRPr="00A54361">
              <w:rPr>
                <w:rStyle w:val="Strong"/>
                <w:rFonts w:asciiTheme="minorHAnsi" w:hAnsiTheme="minorHAnsi"/>
              </w:rPr>
              <w:lastRenderedPageBreak/>
              <w:t>7</w:t>
            </w:r>
          </w:p>
        </w:tc>
        <w:tc>
          <w:tcPr>
            <w:tcW w:w="2551" w:type="dxa"/>
          </w:tcPr>
          <w:p w14:paraId="3AA37A19" w14:textId="77777777" w:rsidR="00AC322C" w:rsidRPr="00A54361" w:rsidRDefault="00AC322C" w:rsidP="00A54361">
            <w:pPr>
              <w:pStyle w:val="TableParagraph"/>
              <w:jc w:val="both"/>
              <w:rPr>
                <w:rStyle w:val="Strong"/>
                <w:rFonts w:asciiTheme="minorHAnsi" w:hAnsiTheme="minorHAnsi"/>
              </w:rPr>
            </w:pPr>
            <w:r w:rsidRPr="00A54361">
              <w:rPr>
                <w:rStyle w:val="Strong"/>
                <w:rFonts w:asciiTheme="minorHAnsi" w:hAnsiTheme="minorHAnsi"/>
              </w:rPr>
              <w:t>IT      Governance</w:t>
            </w:r>
          </w:p>
          <w:p w14:paraId="2C8FDFC2" w14:textId="77777777" w:rsidR="00AC322C" w:rsidRPr="00A54361" w:rsidRDefault="00AC322C" w:rsidP="00A54361">
            <w:pPr>
              <w:pStyle w:val="TableParagraph"/>
              <w:jc w:val="both"/>
              <w:rPr>
                <w:rStyle w:val="Strong"/>
                <w:rFonts w:asciiTheme="minorHAnsi" w:hAnsiTheme="minorHAnsi"/>
              </w:rPr>
            </w:pPr>
            <w:r w:rsidRPr="00A54361">
              <w:rPr>
                <w:rStyle w:val="Strong"/>
                <w:rFonts w:asciiTheme="minorHAnsi" w:hAnsiTheme="minorHAnsi"/>
              </w:rPr>
              <w:t>Risk                and</w:t>
            </w:r>
          </w:p>
          <w:p w14:paraId="0798ACA2" w14:textId="2687E4AD" w:rsidR="008C12A7" w:rsidRPr="00A54361" w:rsidRDefault="00AC322C" w:rsidP="00A54361">
            <w:pPr>
              <w:pStyle w:val="TableParagraph"/>
              <w:jc w:val="both"/>
              <w:rPr>
                <w:rStyle w:val="Strong"/>
                <w:rFonts w:asciiTheme="minorHAnsi" w:hAnsiTheme="minorHAnsi"/>
              </w:rPr>
            </w:pPr>
            <w:r w:rsidRPr="00A54361">
              <w:rPr>
                <w:rStyle w:val="Strong"/>
                <w:rFonts w:asciiTheme="minorHAnsi" w:hAnsiTheme="minorHAnsi"/>
              </w:rPr>
              <w:t>Compliance</w:t>
            </w:r>
          </w:p>
        </w:tc>
        <w:tc>
          <w:tcPr>
            <w:tcW w:w="2835" w:type="dxa"/>
          </w:tcPr>
          <w:p w14:paraId="415096E4" w14:textId="77777777" w:rsidR="0027376A" w:rsidRPr="00A54361" w:rsidRDefault="0027376A" w:rsidP="00A54361">
            <w:pPr>
              <w:pStyle w:val="TableParagraph"/>
              <w:jc w:val="both"/>
              <w:rPr>
                <w:rStyle w:val="Strong"/>
                <w:rFonts w:asciiTheme="minorHAnsi" w:hAnsiTheme="minorHAnsi"/>
                <w:b w:val="0"/>
                <w:bCs w:val="0"/>
              </w:rPr>
            </w:pPr>
            <w:r w:rsidRPr="00A54361">
              <w:rPr>
                <w:rStyle w:val="Strong"/>
                <w:rFonts w:asciiTheme="minorHAnsi" w:hAnsiTheme="minorHAnsi"/>
                <w:b w:val="0"/>
                <w:bCs w:val="0"/>
              </w:rPr>
              <w:t>The Bidder is expected to provide  reports  dashboards</w:t>
            </w:r>
          </w:p>
          <w:p w14:paraId="4BB979D3" w14:textId="77777777" w:rsidR="0027376A" w:rsidRPr="00A54361" w:rsidRDefault="0027376A" w:rsidP="00A54361">
            <w:pPr>
              <w:pStyle w:val="TableParagraph"/>
              <w:jc w:val="both"/>
              <w:rPr>
                <w:rStyle w:val="Strong"/>
                <w:rFonts w:asciiTheme="minorHAnsi" w:hAnsiTheme="minorHAnsi"/>
                <w:b w:val="0"/>
                <w:bCs w:val="0"/>
              </w:rPr>
            </w:pPr>
            <w:r w:rsidRPr="00A54361">
              <w:rPr>
                <w:rStyle w:val="Strong"/>
                <w:rFonts w:asciiTheme="minorHAnsi" w:hAnsiTheme="minorHAnsi"/>
                <w:b w:val="0"/>
                <w:bCs w:val="0"/>
              </w:rPr>
              <w:t>on   ad-hoc   basis   as   and when required by Bank. Bidder    must    provide    a</w:t>
            </w:r>
          </w:p>
          <w:p w14:paraId="25837B0E" w14:textId="77777777" w:rsidR="0027376A" w:rsidRPr="00A54361" w:rsidRDefault="0027376A" w:rsidP="00A54361">
            <w:pPr>
              <w:pStyle w:val="TableParagraph"/>
              <w:jc w:val="both"/>
              <w:rPr>
                <w:rStyle w:val="Strong"/>
                <w:rFonts w:asciiTheme="minorHAnsi" w:hAnsiTheme="minorHAnsi"/>
                <w:b w:val="0"/>
                <w:bCs w:val="0"/>
              </w:rPr>
            </w:pPr>
            <w:r w:rsidRPr="00A54361">
              <w:rPr>
                <w:rStyle w:val="Strong"/>
                <w:rFonts w:asciiTheme="minorHAnsi" w:hAnsiTheme="minorHAnsi"/>
                <w:b w:val="0"/>
                <w:bCs w:val="0"/>
              </w:rPr>
              <w:t>written/email  based response  to  the  requested</w:t>
            </w:r>
          </w:p>
          <w:p w14:paraId="4014950A" w14:textId="77777777" w:rsidR="0027376A" w:rsidRPr="00A54361" w:rsidRDefault="0027376A" w:rsidP="00A54361">
            <w:pPr>
              <w:pStyle w:val="TableParagraph"/>
              <w:jc w:val="both"/>
              <w:rPr>
                <w:rStyle w:val="Strong"/>
                <w:rFonts w:asciiTheme="minorHAnsi" w:hAnsiTheme="minorHAnsi"/>
                <w:b w:val="0"/>
                <w:bCs w:val="0"/>
              </w:rPr>
            </w:pPr>
            <w:r w:rsidRPr="00A54361">
              <w:rPr>
                <w:rStyle w:val="Strong"/>
                <w:rFonts w:asciiTheme="minorHAnsi" w:hAnsiTheme="minorHAnsi"/>
                <w:b w:val="0"/>
                <w:bCs w:val="0"/>
              </w:rPr>
              <w:t>dashboard/report mentioning the    time   of    delivery    of</w:t>
            </w:r>
          </w:p>
          <w:p w14:paraId="70A66903" w14:textId="77777777" w:rsidR="0027376A" w:rsidRPr="00A54361" w:rsidRDefault="0027376A" w:rsidP="00A54361">
            <w:pPr>
              <w:pStyle w:val="TableParagraph"/>
              <w:jc w:val="both"/>
              <w:rPr>
                <w:rStyle w:val="Strong"/>
                <w:rFonts w:asciiTheme="minorHAnsi" w:hAnsiTheme="minorHAnsi"/>
                <w:b w:val="0"/>
                <w:bCs w:val="0"/>
              </w:rPr>
            </w:pPr>
            <w:r w:rsidRPr="00A54361">
              <w:rPr>
                <w:rStyle w:val="Strong"/>
                <w:rFonts w:asciiTheme="minorHAnsi" w:hAnsiTheme="minorHAnsi"/>
                <w:b w:val="0"/>
                <w:bCs w:val="0"/>
              </w:rPr>
              <w:t>report/dashboard      Service</w:t>
            </w:r>
          </w:p>
          <w:p w14:paraId="07237A4D" w14:textId="3B1783C3" w:rsidR="008C12A7" w:rsidRPr="00A54361" w:rsidRDefault="0027376A" w:rsidP="00A54361">
            <w:pPr>
              <w:pStyle w:val="TableParagraph"/>
              <w:jc w:val="both"/>
              <w:rPr>
                <w:rStyle w:val="Strong"/>
                <w:rFonts w:asciiTheme="minorHAnsi" w:hAnsiTheme="minorHAnsi"/>
                <w:b w:val="0"/>
                <w:bCs w:val="0"/>
              </w:rPr>
            </w:pPr>
            <w:r w:rsidRPr="00A54361">
              <w:rPr>
                <w:rStyle w:val="Strong"/>
                <w:rFonts w:asciiTheme="minorHAnsi" w:hAnsiTheme="minorHAnsi"/>
                <w:b w:val="0"/>
                <w:bCs w:val="0"/>
              </w:rPr>
              <w:t>uptime SLA shall apply after the time of delivery as declared by the Bidder.</w:t>
            </w:r>
          </w:p>
        </w:tc>
        <w:tc>
          <w:tcPr>
            <w:tcW w:w="3402" w:type="dxa"/>
          </w:tcPr>
          <w:p w14:paraId="64A34E18" w14:textId="77777777" w:rsidR="0046523B" w:rsidRPr="00A54361" w:rsidRDefault="0046523B" w:rsidP="00A54361">
            <w:pPr>
              <w:pStyle w:val="TableParagraph"/>
              <w:jc w:val="both"/>
              <w:rPr>
                <w:rStyle w:val="Strong"/>
                <w:rFonts w:asciiTheme="minorHAnsi" w:hAnsiTheme="minorHAnsi"/>
              </w:rPr>
            </w:pPr>
            <w:r w:rsidRPr="00A54361">
              <w:rPr>
                <w:rStyle w:val="Strong"/>
                <w:rFonts w:asciiTheme="minorHAnsi" w:hAnsiTheme="minorHAnsi"/>
              </w:rPr>
              <w:t>Penalty:</w:t>
            </w:r>
          </w:p>
          <w:p w14:paraId="77179F55" w14:textId="162A05DC" w:rsidR="008C12A7" w:rsidRPr="00A54361" w:rsidRDefault="0046523B" w:rsidP="00A54361">
            <w:pPr>
              <w:pStyle w:val="TableParagraph"/>
              <w:jc w:val="both"/>
              <w:rPr>
                <w:rStyle w:val="Strong"/>
                <w:rFonts w:asciiTheme="minorHAnsi" w:hAnsiTheme="minorHAnsi"/>
                <w:b w:val="0"/>
                <w:bCs w:val="0"/>
              </w:rPr>
            </w:pPr>
            <w:r w:rsidRPr="00A54361">
              <w:rPr>
                <w:rStyle w:val="Strong"/>
                <w:rFonts w:asciiTheme="minorHAnsi" w:hAnsiTheme="minorHAnsi"/>
                <w:b w:val="0"/>
                <w:bCs w:val="0"/>
              </w:rPr>
              <w:t xml:space="preserve">Bidder failing to respond back with details of dashboard/report availability shall be penalty of 5% of the monthly </w:t>
            </w:r>
            <w:r w:rsidR="00310DDC" w:rsidRPr="00A54361">
              <w:rPr>
                <w:rStyle w:val="Strong"/>
                <w:rFonts w:asciiTheme="minorHAnsi" w:hAnsiTheme="minorHAnsi"/>
                <w:b w:val="0"/>
                <w:bCs w:val="0"/>
              </w:rPr>
              <w:t xml:space="preserve">FMS </w:t>
            </w:r>
            <w:r w:rsidRPr="00A54361">
              <w:rPr>
                <w:rStyle w:val="Strong"/>
                <w:rFonts w:asciiTheme="minorHAnsi" w:hAnsiTheme="minorHAnsi"/>
                <w:b w:val="0"/>
                <w:bCs w:val="0"/>
              </w:rPr>
              <w:t>charges.</w:t>
            </w:r>
          </w:p>
        </w:tc>
      </w:tr>
      <w:tr w:rsidR="000D3DC1" w:rsidRPr="00A54361" w14:paraId="16E029D5" w14:textId="77777777" w:rsidTr="005D16B3">
        <w:tc>
          <w:tcPr>
            <w:tcW w:w="846" w:type="dxa"/>
          </w:tcPr>
          <w:p w14:paraId="5458C623" w14:textId="3D9DFA3B" w:rsidR="008C12A7" w:rsidRPr="00A54361" w:rsidRDefault="002F419E" w:rsidP="00A54361">
            <w:pPr>
              <w:pStyle w:val="TableParagraph"/>
              <w:jc w:val="both"/>
              <w:rPr>
                <w:rStyle w:val="Strong"/>
                <w:rFonts w:asciiTheme="minorHAnsi" w:hAnsiTheme="minorHAnsi"/>
              </w:rPr>
            </w:pPr>
            <w:r w:rsidRPr="00A54361">
              <w:rPr>
                <w:rStyle w:val="Strong"/>
                <w:rFonts w:asciiTheme="minorHAnsi" w:hAnsiTheme="minorHAnsi"/>
              </w:rPr>
              <w:t>8</w:t>
            </w:r>
          </w:p>
        </w:tc>
        <w:tc>
          <w:tcPr>
            <w:tcW w:w="2551" w:type="dxa"/>
          </w:tcPr>
          <w:p w14:paraId="041F5E67" w14:textId="77777777" w:rsidR="002F419E" w:rsidRPr="00A54361" w:rsidRDefault="002F419E" w:rsidP="00A54361">
            <w:pPr>
              <w:pStyle w:val="TableParagraph"/>
              <w:jc w:val="both"/>
              <w:rPr>
                <w:rStyle w:val="Strong"/>
                <w:rFonts w:asciiTheme="minorHAnsi" w:hAnsiTheme="minorHAnsi"/>
              </w:rPr>
            </w:pPr>
            <w:r w:rsidRPr="00A54361">
              <w:rPr>
                <w:rStyle w:val="Strong"/>
                <w:rFonts w:asciiTheme="minorHAnsi" w:hAnsiTheme="minorHAnsi"/>
              </w:rPr>
              <w:t>Proactive</w:t>
            </w:r>
          </w:p>
          <w:p w14:paraId="6CB60B92" w14:textId="4275528F" w:rsidR="008C12A7" w:rsidRPr="00A54361" w:rsidRDefault="002F419E" w:rsidP="00A54361">
            <w:pPr>
              <w:pStyle w:val="TableParagraph"/>
              <w:jc w:val="both"/>
              <w:rPr>
                <w:rStyle w:val="Strong"/>
                <w:rFonts w:asciiTheme="minorHAnsi" w:hAnsiTheme="minorHAnsi"/>
              </w:rPr>
            </w:pPr>
            <w:r w:rsidRPr="00A54361">
              <w:rPr>
                <w:rStyle w:val="Strong"/>
                <w:rFonts w:asciiTheme="minorHAnsi" w:hAnsiTheme="minorHAnsi"/>
              </w:rPr>
              <w:t>monitoring against           any security incident/breach</w:t>
            </w:r>
          </w:p>
        </w:tc>
        <w:tc>
          <w:tcPr>
            <w:tcW w:w="2835" w:type="dxa"/>
          </w:tcPr>
          <w:p w14:paraId="2CFA2274" w14:textId="77777777" w:rsidR="00035E2F" w:rsidRPr="00A54361" w:rsidRDefault="00035E2F" w:rsidP="00A54361">
            <w:pPr>
              <w:pStyle w:val="TableParagraph"/>
              <w:jc w:val="both"/>
              <w:rPr>
                <w:rStyle w:val="Strong"/>
                <w:rFonts w:asciiTheme="minorHAnsi" w:hAnsiTheme="minorHAnsi"/>
                <w:b w:val="0"/>
                <w:bCs w:val="0"/>
              </w:rPr>
            </w:pPr>
            <w:r w:rsidRPr="00A54361">
              <w:rPr>
                <w:rStyle w:val="Strong"/>
                <w:rFonts w:asciiTheme="minorHAnsi" w:hAnsiTheme="minorHAnsi"/>
                <w:b w:val="0"/>
                <w:bCs w:val="0"/>
              </w:rPr>
              <w:t>Bidder     is     expected     to</w:t>
            </w:r>
          </w:p>
          <w:p w14:paraId="1EE6DE98" w14:textId="22A3AC20" w:rsidR="008C12A7" w:rsidRPr="00A54361" w:rsidRDefault="00035E2F" w:rsidP="00A54361">
            <w:pPr>
              <w:pStyle w:val="TableParagraph"/>
              <w:jc w:val="both"/>
              <w:rPr>
                <w:rStyle w:val="Strong"/>
                <w:rFonts w:asciiTheme="minorHAnsi" w:hAnsiTheme="minorHAnsi"/>
                <w:b w:val="0"/>
                <w:bCs w:val="0"/>
              </w:rPr>
            </w:pPr>
            <w:r w:rsidRPr="00A54361">
              <w:rPr>
                <w:rStyle w:val="Strong"/>
                <w:rFonts w:asciiTheme="minorHAnsi" w:hAnsiTheme="minorHAnsi"/>
                <w:b w:val="0"/>
                <w:bCs w:val="0"/>
              </w:rPr>
              <w:t>proactively monitor Bank</w:t>
            </w:r>
            <w:r w:rsidR="00571877" w:rsidRPr="00A54361">
              <w:rPr>
                <w:rStyle w:val="Strong"/>
                <w:rFonts w:asciiTheme="minorHAnsi" w:hAnsiTheme="minorHAnsi"/>
                <w:b w:val="0"/>
                <w:bCs w:val="0"/>
              </w:rPr>
              <w:t>’</w:t>
            </w:r>
            <w:r w:rsidRPr="00A54361">
              <w:rPr>
                <w:rStyle w:val="Strong"/>
                <w:rFonts w:asciiTheme="minorHAnsi" w:hAnsiTheme="minorHAnsi"/>
                <w:b w:val="0"/>
                <w:bCs w:val="0"/>
              </w:rPr>
              <w:t>s network  to  defend  against any cyber incident/breach</w:t>
            </w:r>
          </w:p>
        </w:tc>
        <w:tc>
          <w:tcPr>
            <w:tcW w:w="3402" w:type="dxa"/>
          </w:tcPr>
          <w:p w14:paraId="03825BB0" w14:textId="77777777" w:rsidR="00571877" w:rsidRPr="00A54361" w:rsidRDefault="00571877" w:rsidP="00A54361">
            <w:pPr>
              <w:pStyle w:val="TableParagraph"/>
              <w:jc w:val="both"/>
              <w:rPr>
                <w:rStyle w:val="Strong"/>
                <w:rFonts w:asciiTheme="minorHAnsi" w:hAnsiTheme="minorHAnsi"/>
                <w:u w:val="single"/>
              </w:rPr>
            </w:pPr>
            <w:r w:rsidRPr="00A54361">
              <w:rPr>
                <w:rStyle w:val="Strong"/>
                <w:rFonts w:asciiTheme="minorHAnsi" w:hAnsiTheme="minorHAnsi"/>
                <w:u w:val="single"/>
              </w:rPr>
              <w:t>Penalty:</w:t>
            </w:r>
          </w:p>
          <w:p w14:paraId="3B041DEB" w14:textId="77777777" w:rsidR="00571877" w:rsidRPr="00A54361" w:rsidRDefault="00571877" w:rsidP="00A54361">
            <w:pPr>
              <w:pStyle w:val="TableParagraph"/>
              <w:jc w:val="both"/>
              <w:rPr>
                <w:rStyle w:val="Strong"/>
                <w:rFonts w:asciiTheme="minorHAnsi" w:hAnsiTheme="minorHAnsi"/>
                <w:b w:val="0"/>
                <w:bCs w:val="0"/>
              </w:rPr>
            </w:pPr>
            <w:r w:rsidRPr="00A54361">
              <w:rPr>
                <w:rStyle w:val="Strong"/>
                <w:rFonts w:asciiTheme="minorHAnsi" w:hAnsiTheme="minorHAnsi"/>
                <w:b w:val="0"/>
                <w:bCs w:val="0"/>
              </w:rPr>
              <w:t>If any security breach happens in Bank's network during contract period because any of below given reasons, Penalties will be levied @</w:t>
            </w:r>
          </w:p>
          <w:p w14:paraId="27FC95F1" w14:textId="77777777" w:rsidR="00571877" w:rsidRPr="00A54361" w:rsidRDefault="00571877" w:rsidP="00A54361">
            <w:pPr>
              <w:pStyle w:val="TableParagraph"/>
              <w:jc w:val="both"/>
              <w:rPr>
                <w:rStyle w:val="Strong"/>
                <w:rFonts w:asciiTheme="minorHAnsi" w:hAnsiTheme="minorHAnsi"/>
                <w:b w:val="0"/>
                <w:bCs w:val="0"/>
              </w:rPr>
            </w:pPr>
            <w:r w:rsidRPr="00A54361">
              <w:rPr>
                <w:rStyle w:val="Strong"/>
                <w:rFonts w:asciiTheme="minorHAnsi" w:hAnsiTheme="minorHAnsi"/>
                <w:b w:val="0"/>
                <w:bCs w:val="0"/>
              </w:rPr>
              <w:t>₹ 1,00,000/- per instance or equal to   the   loss   of   amount,   if   any</w:t>
            </w:r>
          </w:p>
          <w:p w14:paraId="201102AA" w14:textId="77777777" w:rsidR="00571877" w:rsidRPr="00A54361" w:rsidRDefault="00571877" w:rsidP="00A54361">
            <w:pPr>
              <w:pStyle w:val="TableParagraph"/>
              <w:jc w:val="both"/>
              <w:rPr>
                <w:rStyle w:val="Strong"/>
                <w:rFonts w:asciiTheme="minorHAnsi" w:hAnsiTheme="minorHAnsi"/>
                <w:b w:val="0"/>
                <w:bCs w:val="0"/>
              </w:rPr>
            </w:pPr>
            <w:r w:rsidRPr="00A54361">
              <w:rPr>
                <w:rStyle w:val="Strong"/>
                <w:rFonts w:asciiTheme="minorHAnsi" w:hAnsiTheme="minorHAnsi"/>
                <w:b w:val="0"/>
                <w:bCs w:val="0"/>
              </w:rPr>
              <w:t>(whichever is higher):</w:t>
            </w:r>
          </w:p>
          <w:p w14:paraId="479FEB81" w14:textId="1D99883C" w:rsidR="00571877" w:rsidRPr="00A54361" w:rsidRDefault="00571877" w:rsidP="00A54361">
            <w:pPr>
              <w:pStyle w:val="TableParagraph"/>
              <w:numPr>
                <w:ilvl w:val="0"/>
                <w:numId w:val="71"/>
              </w:numPr>
              <w:jc w:val="both"/>
              <w:rPr>
                <w:rStyle w:val="Strong"/>
                <w:rFonts w:asciiTheme="minorHAnsi" w:hAnsiTheme="minorHAnsi"/>
                <w:b w:val="0"/>
                <w:bCs w:val="0"/>
              </w:rPr>
            </w:pPr>
            <w:r w:rsidRPr="00A54361">
              <w:rPr>
                <w:rStyle w:val="Strong"/>
                <w:rFonts w:asciiTheme="minorHAnsi" w:hAnsiTheme="minorHAnsi"/>
                <w:b w:val="0"/>
                <w:bCs w:val="0"/>
              </w:rPr>
              <w:t>Lack of proactive monitoring</w:t>
            </w:r>
          </w:p>
          <w:p w14:paraId="5D1A9318" w14:textId="260C27E3" w:rsidR="00571877" w:rsidRPr="00A54361" w:rsidRDefault="00571877" w:rsidP="00A54361">
            <w:pPr>
              <w:pStyle w:val="TableParagraph"/>
              <w:numPr>
                <w:ilvl w:val="0"/>
                <w:numId w:val="71"/>
              </w:numPr>
              <w:jc w:val="both"/>
              <w:rPr>
                <w:rStyle w:val="Strong"/>
                <w:rFonts w:asciiTheme="minorHAnsi" w:hAnsiTheme="minorHAnsi"/>
                <w:b w:val="0"/>
                <w:bCs w:val="0"/>
              </w:rPr>
            </w:pPr>
            <w:r w:rsidRPr="00A54361">
              <w:rPr>
                <w:rStyle w:val="Strong"/>
                <w:rFonts w:asciiTheme="minorHAnsi" w:hAnsiTheme="minorHAnsi"/>
                <w:b w:val="0"/>
                <w:bCs w:val="0"/>
              </w:rPr>
              <w:t>Improper  configuration  of  in- scope devices</w:t>
            </w:r>
          </w:p>
          <w:p w14:paraId="5F89FAC0" w14:textId="3B62EAE2" w:rsidR="00571877" w:rsidRPr="00A54361" w:rsidRDefault="00571877" w:rsidP="00A54361">
            <w:pPr>
              <w:pStyle w:val="TableParagraph"/>
              <w:numPr>
                <w:ilvl w:val="0"/>
                <w:numId w:val="71"/>
              </w:numPr>
              <w:jc w:val="both"/>
              <w:rPr>
                <w:rStyle w:val="Strong"/>
                <w:rFonts w:asciiTheme="minorHAnsi" w:hAnsiTheme="minorHAnsi"/>
                <w:b w:val="0"/>
                <w:bCs w:val="0"/>
              </w:rPr>
            </w:pPr>
            <w:r w:rsidRPr="00A54361">
              <w:rPr>
                <w:rStyle w:val="Strong"/>
                <w:rFonts w:asciiTheme="minorHAnsi" w:hAnsiTheme="minorHAnsi"/>
                <w:b w:val="0"/>
                <w:bCs w:val="0"/>
              </w:rPr>
              <w:lastRenderedPageBreak/>
              <w:t>Violation in defined policies</w:t>
            </w:r>
          </w:p>
          <w:p w14:paraId="4B657B54" w14:textId="27FB8182" w:rsidR="00571877" w:rsidRPr="00A54361" w:rsidRDefault="00571877" w:rsidP="00A54361">
            <w:pPr>
              <w:pStyle w:val="TableParagraph"/>
              <w:numPr>
                <w:ilvl w:val="0"/>
                <w:numId w:val="72"/>
              </w:numPr>
              <w:jc w:val="both"/>
              <w:rPr>
                <w:rStyle w:val="Strong"/>
                <w:rFonts w:asciiTheme="minorHAnsi" w:hAnsiTheme="minorHAnsi"/>
                <w:b w:val="0"/>
                <w:bCs w:val="0"/>
              </w:rPr>
            </w:pPr>
            <w:r w:rsidRPr="00A54361">
              <w:rPr>
                <w:rStyle w:val="Strong"/>
                <w:rFonts w:asciiTheme="minorHAnsi" w:hAnsiTheme="minorHAnsi"/>
                <w:b w:val="0"/>
                <w:bCs w:val="0"/>
              </w:rPr>
              <w:t>Alert       not       handled/closed properly</w:t>
            </w:r>
          </w:p>
          <w:p w14:paraId="701C25E8" w14:textId="5D8D96D2" w:rsidR="00571877" w:rsidRPr="00A54361" w:rsidRDefault="00571877" w:rsidP="00A54361">
            <w:pPr>
              <w:pStyle w:val="TableParagraph"/>
              <w:numPr>
                <w:ilvl w:val="0"/>
                <w:numId w:val="72"/>
              </w:numPr>
              <w:jc w:val="both"/>
              <w:rPr>
                <w:rStyle w:val="Strong"/>
                <w:rFonts w:asciiTheme="minorHAnsi" w:hAnsiTheme="minorHAnsi"/>
                <w:b w:val="0"/>
                <w:bCs w:val="0"/>
              </w:rPr>
            </w:pPr>
            <w:r w:rsidRPr="00A54361">
              <w:rPr>
                <w:rStyle w:val="Strong"/>
                <w:rFonts w:asciiTheme="minorHAnsi" w:hAnsiTheme="minorHAnsi"/>
                <w:b w:val="0"/>
                <w:bCs w:val="0"/>
              </w:rPr>
              <w:t>Any fraud/data theft/misconduct committed by Bidder</w:t>
            </w:r>
            <w:r w:rsidR="009A5E66" w:rsidRPr="00A54361">
              <w:rPr>
                <w:rStyle w:val="Strong"/>
                <w:rFonts w:asciiTheme="minorHAnsi" w:hAnsiTheme="minorHAnsi"/>
                <w:b w:val="0"/>
                <w:bCs w:val="0"/>
              </w:rPr>
              <w:t>’</w:t>
            </w:r>
            <w:r w:rsidRPr="00A54361">
              <w:rPr>
                <w:rStyle w:val="Strong"/>
                <w:rFonts w:asciiTheme="minorHAnsi" w:hAnsiTheme="minorHAnsi"/>
                <w:b w:val="0"/>
                <w:bCs w:val="0"/>
              </w:rPr>
              <w:t>s resource</w:t>
            </w:r>
            <w:r w:rsidR="002E0F84" w:rsidRPr="00A54361">
              <w:rPr>
                <w:rStyle w:val="Strong"/>
                <w:rFonts w:asciiTheme="minorHAnsi" w:hAnsiTheme="minorHAnsi"/>
                <w:b w:val="0"/>
                <w:bCs w:val="0"/>
              </w:rPr>
              <w:t xml:space="preserve"> </w:t>
            </w:r>
            <w:r w:rsidRPr="00A54361">
              <w:rPr>
                <w:rStyle w:val="Strong"/>
                <w:rFonts w:asciiTheme="minorHAnsi" w:hAnsiTheme="minorHAnsi"/>
                <w:b w:val="0"/>
                <w:bCs w:val="0"/>
              </w:rPr>
              <w:t>causing      business/reputation/</w:t>
            </w:r>
            <w:r w:rsidR="002E0F84" w:rsidRPr="00A54361">
              <w:rPr>
                <w:rStyle w:val="Strong"/>
                <w:rFonts w:asciiTheme="minorHAnsi" w:hAnsiTheme="minorHAnsi"/>
                <w:b w:val="0"/>
                <w:bCs w:val="0"/>
              </w:rPr>
              <w:t xml:space="preserve"> </w:t>
            </w:r>
            <w:r w:rsidRPr="00A54361">
              <w:rPr>
                <w:rStyle w:val="Strong"/>
                <w:rFonts w:asciiTheme="minorHAnsi" w:hAnsiTheme="minorHAnsi"/>
                <w:b w:val="0"/>
                <w:bCs w:val="0"/>
              </w:rPr>
              <w:t>operation loss to Bank.</w:t>
            </w:r>
          </w:p>
          <w:p w14:paraId="15B4369D" w14:textId="77777777" w:rsidR="002E0F84" w:rsidRPr="00A54361" w:rsidRDefault="002E0F84" w:rsidP="00A54361">
            <w:pPr>
              <w:pStyle w:val="TableParagraph"/>
              <w:jc w:val="both"/>
              <w:rPr>
                <w:rStyle w:val="Strong"/>
                <w:rFonts w:asciiTheme="minorHAnsi" w:hAnsiTheme="minorHAnsi"/>
                <w:b w:val="0"/>
                <w:bCs w:val="0"/>
              </w:rPr>
            </w:pPr>
          </w:p>
          <w:p w14:paraId="02E729F3" w14:textId="66C1039B" w:rsidR="00571877" w:rsidRPr="00A54361" w:rsidRDefault="00571877" w:rsidP="00A54361">
            <w:pPr>
              <w:pStyle w:val="TableParagraph"/>
              <w:jc w:val="both"/>
              <w:rPr>
                <w:rStyle w:val="Strong"/>
                <w:rFonts w:asciiTheme="minorHAnsi" w:hAnsiTheme="minorHAnsi"/>
              </w:rPr>
            </w:pPr>
            <w:r w:rsidRPr="00A54361">
              <w:rPr>
                <w:rStyle w:val="Strong"/>
                <w:rFonts w:asciiTheme="minorHAnsi" w:hAnsiTheme="minorHAnsi"/>
              </w:rPr>
              <w:t>The penalty will be restricted to</w:t>
            </w:r>
          </w:p>
          <w:p w14:paraId="19F63F1E" w14:textId="7940FBB5" w:rsidR="008C12A7" w:rsidRPr="00A54361" w:rsidRDefault="00571877" w:rsidP="00A54361">
            <w:pPr>
              <w:pStyle w:val="TableParagraph"/>
              <w:jc w:val="both"/>
              <w:rPr>
                <w:rStyle w:val="Strong"/>
                <w:rFonts w:asciiTheme="minorHAnsi" w:hAnsiTheme="minorHAnsi"/>
                <w:b w:val="0"/>
                <w:bCs w:val="0"/>
              </w:rPr>
            </w:pPr>
            <w:r w:rsidRPr="00A54361">
              <w:rPr>
                <w:rStyle w:val="Strong"/>
                <w:rFonts w:asciiTheme="minorHAnsi" w:hAnsiTheme="minorHAnsi"/>
              </w:rPr>
              <w:t>the yearly payout value.</w:t>
            </w:r>
          </w:p>
        </w:tc>
      </w:tr>
    </w:tbl>
    <w:p w14:paraId="0501F33B" w14:textId="77777777" w:rsidR="008910FB" w:rsidRDefault="008910FB" w:rsidP="00A54361">
      <w:pPr>
        <w:pStyle w:val="TableParagraph"/>
        <w:jc w:val="both"/>
        <w:rPr>
          <w:rStyle w:val="Strong"/>
          <w:rFonts w:asciiTheme="minorHAnsi" w:hAnsiTheme="minorHAnsi" w:cstheme="minorHAnsi"/>
          <w:b w:val="0"/>
        </w:rPr>
      </w:pPr>
    </w:p>
    <w:p w14:paraId="65F1C909" w14:textId="06986D55" w:rsidR="00A75523" w:rsidRDefault="00A75523" w:rsidP="00A75523">
      <w:pPr>
        <w:pStyle w:val="TableParagraph"/>
        <w:numPr>
          <w:ilvl w:val="0"/>
          <w:numId w:val="66"/>
        </w:numPr>
        <w:jc w:val="both"/>
        <w:rPr>
          <w:rStyle w:val="Strong"/>
          <w:rFonts w:asciiTheme="minorHAnsi" w:hAnsiTheme="minorHAnsi" w:cstheme="minorHAnsi"/>
          <w:b w:val="0"/>
        </w:rPr>
      </w:pPr>
      <w:r>
        <w:rPr>
          <w:rStyle w:val="Strong"/>
          <w:rFonts w:asciiTheme="minorHAnsi" w:hAnsiTheme="minorHAnsi" w:cstheme="minorHAnsi"/>
          <w:b w:val="0"/>
        </w:rPr>
        <w:t>Note : During the contract period, if any other requirement not mentioned above but part of the contract if not fulfilled by bidder / OEM within the timeline will be considered as non-compliance and liable for penalty of flat 0.5% of the TCO of that solution.</w:t>
      </w:r>
    </w:p>
    <w:p w14:paraId="20A7139F" w14:textId="77777777" w:rsidR="00A75523" w:rsidRPr="00A54361" w:rsidRDefault="00A75523" w:rsidP="00A75523">
      <w:pPr>
        <w:pStyle w:val="TableParagraph"/>
        <w:ind w:left="720"/>
        <w:jc w:val="both"/>
        <w:rPr>
          <w:rStyle w:val="Strong"/>
          <w:rFonts w:asciiTheme="minorHAnsi" w:hAnsiTheme="minorHAnsi" w:cstheme="minorHAnsi"/>
          <w:b w:val="0"/>
        </w:rPr>
      </w:pPr>
    </w:p>
    <w:p w14:paraId="6DA0DE31" w14:textId="412D43A3" w:rsidR="00962892" w:rsidRPr="00A54361" w:rsidRDefault="00C9256B" w:rsidP="00A54361">
      <w:pPr>
        <w:pStyle w:val="TableParagraph"/>
        <w:numPr>
          <w:ilvl w:val="2"/>
          <w:numId w:val="49"/>
        </w:numPr>
        <w:jc w:val="both"/>
        <w:rPr>
          <w:rStyle w:val="Strong"/>
          <w:rFonts w:asciiTheme="minorHAnsi" w:hAnsiTheme="minorHAnsi"/>
          <w:bCs w:val="0"/>
        </w:rPr>
      </w:pPr>
      <w:r w:rsidRPr="00A54361">
        <w:rPr>
          <w:rStyle w:val="Strong"/>
          <w:rFonts w:asciiTheme="minorHAnsi" w:hAnsiTheme="minorHAnsi"/>
          <w:bCs w:val="0"/>
        </w:rPr>
        <w:t>Responsibility Matrix</w:t>
      </w:r>
    </w:p>
    <w:p w14:paraId="150A466A" w14:textId="652F7906" w:rsidR="00C9256B" w:rsidRPr="00A54361" w:rsidRDefault="005E50D4" w:rsidP="00A54361">
      <w:pPr>
        <w:pStyle w:val="TableParagraph"/>
        <w:jc w:val="both"/>
        <w:rPr>
          <w:rStyle w:val="Strong"/>
          <w:rFonts w:asciiTheme="minorHAnsi" w:hAnsiTheme="minorHAnsi"/>
          <w:b w:val="0"/>
        </w:rPr>
      </w:pPr>
      <w:r w:rsidRPr="00A54361">
        <w:rPr>
          <w:rStyle w:val="Strong"/>
          <w:rFonts w:asciiTheme="minorHAnsi" w:hAnsiTheme="minorHAnsi"/>
          <w:b w:val="0"/>
        </w:rPr>
        <w:t>The following table describes the responsibilities of the Bidder, Bank and original equipment manufacturer for problem management and issue resolution related to the applications and tools hosted on the hardware and software proposed by the Bidder.</w:t>
      </w:r>
    </w:p>
    <w:p w14:paraId="4521BE45" w14:textId="77777777" w:rsidR="00BE5902" w:rsidRPr="00A54361" w:rsidRDefault="00BE5902" w:rsidP="00A54361">
      <w:pPr>
        <w:pStyle w:val="TableParagraph"/>
        <w:jc w:val="both"/>
        <w:rPr>
          <w:rStyle w:val="Strong"/>
          <w:rFonts w:asciiTheme="minorHAnsi" w:hAnsiTheme="minorHAnsi"/>
          <w:b w:val="0"/>
        </w:rPr>
      </w:pPr>
    </w:p>
    <w:p w14:paraId="5671D499" w14:textId="77777777" w:rsidR="00BE5902" w:rsidRPr="00A54361" w:rsidRDefault="00BE5902" w:rsidP="00A54361">
      <w:pPr>
        <w:pStyle w:val="TableParagraph"/>
        <w:jc w:val="both"/>
        <w:rPr>
          <w:rStyle w:val="Strong"/>
          <w:rFonts w:asciiTheme="minorHAnsi" w:hAnsiTheme="minorHAnsi"/>
          <w:b w:val="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110"/>
        <w:gridCol w:w="1418"/>
        <w:gridCol w:w="1580"/>
        <w:gridCol w:w="1538"/>
      </w:tblGrid>
      <w:tr w:rsidR="000D3DC1" w:rsidRPr="00A54361" w14:paraId="02E161CA" w14:textId="77777777" w:rsidTr="005D16B3">
        <w:tc>
          <w:tcPr>
            <w:tcW w:w="988" w:type="dxa"/>
            <w:shd w:val="clear" w:color="auto" w:fill="D9E2F3" w:themeFill="accent1" w:themeFillTint="33"/>
            <w:vAlign w:val="center"/>
          </w:tcPr>
          <w:p w14:paraId="2B73C296" w14:textId="22F33EAC" w:rsidR="00DE663D" w:rsidRPr="00A54361" w:rsidRDefault="005E1184" w:rsidP="00A54361">
            <w:pPr>
              <w:pStyle w:val="TableParagraph"/>
              <w:jc w:val="both"/>
              <w:rPr>
                <w:rStyle w:val="Strong"/>
                <w:rFonts w:asciiTheme="minorHAnsi" w:hAnsiTheme="minorHAnsi" w:cstheme="minorHAnsi"/>
                <w:bCs w:val="0"/>
              </w:rPr>
            </w:pPr>
            <w:r w:rsidRPr="00A54361">
              <w:rPr>
                <w:rStyle w:val="Strong"/>
                <w:rFonts w:asciiTheme="minorHAnsi" w:hAnsiTheme="minorHAnsi" w:cstheme="minorHAnsi"/>
                <w:bCs w:val="0"/>
              </w:rPr>
              <w:t>Sr. No</w:t>
            </w:r>
          </w:p>
        </w:tc>
        <w:tc>
          <w:tcPr>
            <w:tcW w:w="4110" w:type="dxa"/>
            <w:shd w:val="clear" w:color="auto" w:fill="D9E2F3" w:themeFill="accent1" w:themeFillTint="33"/>
            <w:vAlign w:val="center"/>
          </w:tcPr>
          <w:p w14:paraId="12FCBAC7" w14:textId="1F784813" w:rsidR="00DE663D" w:rsidRPr="00A54361" w:rsidRDefault="009764BA" w:rsidP="00A54361">
            <w:pPr>
              <w:pStyle w:val="TableParagraph"/>
              <w:jc w:val="both"/>
              <w:rPr>
                <w:rStyle w:val="Strong"/>
                <w:rFonts w:asciiTheme="minorHAnsi" w:hAnsiTheme="minorHAnsi" w:cstheme="minorHAnsi"/>
                <w:bCs w:val="0"/>
              </w:rPr>
            </w:pPr>
            <w:r w:rsidRPr="00A54361">
              <w:rPr>
                <w:rStyle w:val="Strong"/>
                <w:rFonts w:asciiTheme="minorHAnsi" w:hAnsiTheme="minorHAnsi" w:cstheme="minorHAnsi"/>
                <w:bCs w:val="0"/>
              </w:rPr>
              <w:t>Activity</w:t>
            </w:r>
          </w:p>
        </w:tc>
        <w:tc>
          <w:tcPr>
            <w:tcW w:w="1418" w:type="dxa"/>
            <w:shd w:val="clear" w:color="auto" w:fill="D9E2F3" w:themeFill="accent1" w:themeFillTint="33"/>
            <w:vAlign w:val="center"/>
          </w:tcPr>
          <w:p w14:paraId="0496264F" w14:textId="24F24078" w:rsidR="00DE663D" w:rsidRPr="00A54361" w:rsidRDefault="009764BA" w:rsidP="00A54361">
            <w:pPr>
              <w:pStyle w:val="TableParagraph"/>
              <w:jc w:val="both"/>
              <w:rPr>
                <w:rStyle w:val="Strong"/>
                <w:rFonts w:asciiTheme="minorHAnsi" w:hAnsiTheme="minorHAnsi" w:cstheme="minorHAnsi"/>
                <w:bCs w:val="0"/>
              </w:rPr>
            </w:pPr>
            <w:r w:rsidRPr="00A54361">
              <w:rPr>
                <w:rStyle w:val="Strong"/>
                <w:rFonts w:asciiTheme="minorHAnsi" w:hAnsiTheme="minorHAnsi" w:cstheme="minorHAnsi"/>
                <w:bCs w:val="0"/>
              </w:rPr>
              <w:t xml:space="preserve">Bank </w:t>
            </w:r>
          </w:p>
        </w:tc>
        <w:tc>
          <w:tcPr>
            <w:tcW w:w="1580" w:type="dxa"/>
            <w:shd w:val="clear" w:color="auto" w:fill="D9E2F3" w:themeFill="accent1" w:themeFillTint="33"/>
            <w:vAlign w:val="center"/>
          </w:tcPr>
          <w:p w14:paraId="0F485927" w14:textId="369AE16C" w:rsidR="00DE663D" w:rsidRPr="00A54361" w:rsidRDefault="00AF51C1" w:rsidP="00A54361">
            <w:pPr>
              <w:pStyle w:val="TableParagraph"/>
              <w:jc w:val="both"/>
              <w:rPr>
                <w:rStyle w:val="Strong"/>
                <w:rFonts w:asciiTheme="minorHAnsi" w:hAnsiTheme="minorHAnsi" w:cstheme="minorHAnsi"/>
                <w:bCs w:val="0"/>
              </w:rPr>
            </w:pPr>
            <w:r w:rsidRPr="00A54361">
              <w:rPr>
                <w:rStyle w:val="Strong"/>
                <w:rFonts w:asciiTheme="minorHAnsi" w:hAnsiTheme="minorHAnsi" w:cstheme="minorHAnsi"/>
                <w:bCs w:val="0"/>
              </w:rPr>
              <w:t>Bidder</w:t>
            </w:r>
          </w:p>
        </w:tc>
        <w:tc>
          <w:tcPr>
            <w:tcW w:w="1538" w:type="dxa"/>
            <w:shd w:val="clear" w:color="auto" w:fill="D9E2F3" w:themeFill="accent1" w:themeFillTint="33"/>
            <w:vAlign w:val="center"/>
          </w:tcPr>
          <w:p w14:paraId="6590E656" w14:textId="4EFB9562" w:rsidR="00DE663D" w:rsidRPr="00A54361" w:rsidRDefault="00AF51C1" w:rsidP="00A54361">
            <w:pPr>
              <w:pStyle w:val="TableParagraph"/>
              <w:jc w:val="both"/>
              <w:rPr>
                <w:rStyle w:val="Strong"/>
                <w:rFonts w:asciiTheme="minorHAnsi" w:hAnsiTheme="minorHAnsi" w:cstheme="minorHAnsi"/>
                <w:bCs w:val="0"/>
              </w:rPr>
            </w:pPr>
            <w:r w:rsidRPr="00A54361">
              <w:rPr>
                <w:rStyle w:val="Strong"/>
                <w:rFonts w:asciiTheme="minorHAnsi" w:hAnsiTheme="minorHAnsi" w:cstheme="minorHAnsi"/>
                <w:bCs w:val="0"/>
              </w:rPr>
              <w:t>OEM</w:t>
            </w:r>
          </w:p>
        </w:tc>
      </w:tr>
      <w:tr w:rsidR="000D3DC1" w:rsidRPr="00A54361" w14:paraId="60D10A58" w14:textId="77777777" w:rsidTr="005D16B3">
        <w:tc>
          <w:tcPr>
            <w:tcW w:w="988" w:type="dxa"/>
            <w:vAlign w:val="center"/>
          </w:tcPr>
          <w:p w14:paraId="1B712F1E" w14:textId="422CB5C4" w:rsidR="00BE5902" w:rsidRPr="00A54361" w:rsidRDefault="00BE5902" w:rsidP="00A54361">
            <w:pPr>
              <w:pStyle w:val="TableParagraph"/>
              <w:jc w:val="both"/>
              <w:rPr>
                <w:rStyle w:val="Strong"/>
                <w:rFonts w:asciiTheme="minorHAnsi" w:hAnsiTheme="minorHAnsi" w:cstheme="minorHAnsi"/>
                <w:b w:val="0"/>
              </w:rPr>
            </w:pPr>
            <w:r w:rsidRPr="00A54361">
              <w:rPr>
                <w:rStyle w:val="Strong"/>
                <w:rFonts w:asciiTheme="minorHAnsi" w:hAnsiTheme="minorHAnsi" w:cstheme="minorHAnsi"/>
                <w:b w:val="0"/>
              </w:rPr>
              <w:t>1</w:t>
            </w:r>
          </w:p>
        </w:tc>
        <w:tc>
          <w:tcPr>
            <w:tcW w:w="4110" w:type="dxa"/>
            <w:vAlign w:val="center"/>
          </w:tcPr>
          <w:p w14:paraId="6029563C" w14:textId="4359DA55" w:rsidR="00BE5902" w:rsidRPr="00A54361" w:rsidRDefault="00BE5902" w:rsidP="00A54361">
            <w:pPr>
              <w:pStyle w:val="TableParagraph"/>
              <w:jc w:val="both"/>
              <w:rPr>
                <w:rStyle w:val="Strong"/>
                <w:rFonts w:asciiTheme="minorHAnsi" w:hAnsiTheme="minorHAnsi" w:cstheme="minorHAnsi"/>
                <w:b w:val="0"/>
              </w:rPr>
            </w:pPr>
            <w:r w:rsidRPr="00A54361">
              <w:rPr>
                <w:rFonts w:asciiTheme="minorHAnsi" w:eastAsia="Arial" w:hAnsiTheme="minorHAnsi" w:cstheme="minorHAnsi"/>
                <w:spacing w:val="-1"/>
              </w:rPr>
              <w:t>S</w:t>
            </w:r>
            <w:r w:rsidRPr="00A54361">
              <w:rPr>
                <w:rFonts w:asciiTheme="minorHAnsi" w:eastAsia="Arial" w:hAnsiTheme="minorHAnsi" w:cstheme="minorHAnsi"/>
              </w:rPr>
              <w:t>o</w:t>
            </w:r>
            <w:r w:rsidRPr="00A54361">
              <w:rPr>
                <w:rFonts w:asciiTheme="minorHAnsi" w:eastAsia="Arial" w:hAnsiTheme="minorHAnsi" w:cstheme="minorHAnsi"/>
                <w:spacing w:val="-1"/>
              </w:rPr>
              <w:t>l</w:t>
            </w:r>
            <w:r w:rsidRPr="00A54361">
              <w:rPr>
                <w:rFonts w:asciiTheme="minorHAnsi" w:eastAsia="Arial" w:hAnsiTheme="minorHAnsi" w:cstheme="minorHAnsi"/>
              </w:rPr>
              <w:t>uti</w:t>
            </w:r>
            <w:r w:rsidRPr="00A54361">
              <w:rPr>
                <w:rFonts w:asciiTheme="minorHAnsi" w:eastAsia="Arial" w:hAnsiTheme="minorHAnsi" w:cstheme="minorHAnsi"/>
                <w:spacing w:val="-1"/>
              </w:rPr>
              <w:t>o</w:t>
            </w:r>
            <w:r w:rsidRPr="00A54361">
              <w:rPr>
                <w:rFonts w:asciiTheme="minorHAnsi" w:eastAsia="Arial" w:hAnsiTheme="minorHAnsi" w:cstheme="minorHAnsi"/>
              </w:rPr>
              <w:t>n D</w:t>
            </w:r>
            <w:r w:rsidRPr="00A54361">
              <w:rPr>
                <w:rFonts w:asciiTheme="minorHAnsi" w:eastAsia="Arial" w:hAnsiTheme="minorHAnsi" w:cstheme="minorHAnsi"/>
                <w:spacing w:val="-1"/>
              </w:rPr>
              <w:t>e</w:t>
            </w:r>
            <w:r w:rsidRPr="00A54361">
              <w:rPr>
                <w:rFonts w:asciiTheme="minorHAnsi" w:eastAsia="Arial" w:hAnsiTheme="minorHAnsi" w:cstheme="minorHAnsi"/>
              </w:rPr>
              <w:t>s</w:t>
            </w:r>
            <w:r w:rsidRPr="00A54361">
              <w:rPr>
                <w:rFonts w:asciiTheme="minorHAnsi" w:eastAsia="Arial" w:hAnsiTheme="minorHAnsi" w:cstheme="minorHAnsi"/>
                <w:spacing w:val="-1"/>
              </w:rPr>
              <w:t>i</w:t>
            </w:r>
            <w:r w:rsidRPr="00A54361">
              <w:rPr>
                <w:rFonts w:asciiTheme="minorHAnsi" w:eastAsia="Arial" w:hAnsiTheme="minorHAnsi" w:cstheme="minorHAnsi"/>
                <w:spacing w:val="2"/>
              </w:rPr>
              <w:t>g</w:t>
            </w:r>
            <w:r w:rsidRPr="00A54361">
              <w:rPr>
                <w:rFonts w:asciiTheme="minorHAnsi" w:eastAsia="Arial" w:hAnsiTheme="minorHAnsi" w:cstheme="minorHAnsi"/>
              </w:rPr>
              <w:t>n</w:t>
            </w:r>
            <w:r w:rsidRPr="00A54361">
              <w:rPr>
                <w:rFonts w:asciiTheme="minorHAnsi" w:eastAsia="Arial" w:hAnsiTheme="minorHAnsi" w:cstheme="minorHAnsi"/>
                <w:spacing w:val="-1"/>
              </w:rPr>
              <w:t>i</w:t>
            </w:r>
            <w:r w:rsidRPr="00A54361">
              <w:rPr>
                <w:rFonts w:asciiTheme="minorHAnsi" w:eastAsia="Arial" w:hAnsiTheme="minorHAnsi" w:cstheme="minorHAnsi"/>
                <w:spacing w:val="-3"/>
              </w:rPr>
              <w:t>ng</w:t>
            </w:r>
          </w:p>
        </w:tc>
        <w:tc>
          <w:tcPr>
            <w:tcW w:w="1418" w:type="dxa"/>
            <w:vAlign w:val="center"/>
          </w:tcPr>
          <w:p w14:paraId="2CDE1F74" w14:textId="6C25D9C6" w:rsidR="00BE5902" w:rsidRPr="00A54361" w:rsidRDefault="008F12E7" w:rsidP="00A54361">
            <w:pPr>
              <w:pStyle w:val="TableParagraph"/>
              <w:jc w:val="both"/>
              <w:rPr>
                <w:rStyle w:val="Strong"/>
                <w:rFonts w:asciiTheme="minorHAnsi" w:hAnsiTheme="minorHAnsi" w:cstheme="minorHAnsi"/>
                <w:b w:val="0"/>
              </w:rPr>
            </w:pPr>
            <w:r w:rsidRPr="00A54361">
              <w:rPr>
                <w:rStyle w:val="Strong"/>
                <w:rFonts w:asciiTheme="minorHAnsi" w:hAnsiTheme="minorHAnsi" w:cstheme="minorHAnsi"/>
                <w:b w:val="0"/>
              </w:rPr>
              <w:t>S</w:t>
            </w:r>
          </w:p>
        </w:tc>
        <w:tc>
          <w:tcPr>
            <w:tcW w:w="1580" w:type="dxa"/>
            <w:vAlign w:val="center"/>
          </w:tcPr>
          <w:p w14:paraId="60696EF1" w14:textId="49F7D62D" w:rsidR="00BE5902" w:rsidRPr="00A54361" w:rsidRDefault="00751AAE" w:rsidP="00A54361">
            <w:pPr>
              <w:pStyle w:val="TableParagraph"/>
              <w:jc w:val="both"/>
              <w:rPr>
                <w:rStyle w:val="Strong"/>
                <w:rFonts w:asciiTheme="minorHAnsi" w:hAnsiTheme="minorHAnsi" w:cstheme="minorHAnsi"/>
                <w:b w:val="0"/>
              </w:rPr>
            </w:pPr>
            <w:r w:rsidRPr="00A54361">
              <w:rPr>
                <w:rStyle w:val="Strong"/>
                <w:rFonts w:asciiTheme="minorHAnsi" w:hAnsiTheme="minorHAnsi" w:cstheme="minorHAnsi"/>
                <w:b w:val="0"/>
              </w:rPr>
              <w:t>P</w:t>
            </w:r>
          </w:p>
        </w:tc>
        <w:tc>
          <w:tcPr>
            <w:tcW w:w="1538" w:type="dxa"/>
            <w:vAlign w:val="center"/>
          </w:tcPr>
          <w:p w14:paraId="47D21088" w14:textId="566CD0D1" w:rsidR="00BE5902" w:rsidRPr="00A54361" w:rsidRDefault="00463526" w:rsidP="00A54361">
            <w:pPr>
              <w:pStyle w:val="TableParagraph"/>
              <w:jc w:val="both"/>
              <w:rPr>
                <w:rStyle w:val="Strong"/>
                <w:rFonts w:asciiTheme="minorHAnsi" w:hAnsiTheme="minorHAnsi" w:cstheme="minorHAnsi"/>
                <w:b w:val="0"/>
              </w:rPr>
            </w:pPr>
            <w:r w:rsidRPr="00A54361">
              <w:rPr>
                <w:rStyle w:val="Strong"/>
                <w:rFonts w:asciiTheme="minorHAnsi" w:hAnsiTheme="minorHAnsi" w:cstheme="minorHAnsi"/>
                <w:b w:val="0"/>
              </w:rPr>
              <w:t>V &amp; M</w:t>
            </w:r>
          </w:p>
        </w:tc>
      </w:tr>
      <w:tr w:rsidR="000D3DC1" w:rsidRPr="00A54361" w14:paraId="40224F8B" w14:textId="77777777" w:rsidTr="005D16B3">
        <w:tc>
          <w:tcPr>
            <w:tcW w:w="988" w:type="dxa"/>
            <w:vAlign w:val="center"/>
          </w:tcPr>
          <w:p w14:paraId="4E86C31C" w14:textId="4845F4DF" w:rsidR="00BE5902" w:rsidRPr="00A54361" w:rsidRDefault="00BE5902" w:rsidP="00A54361">
            <w:pPr>
              <w:pStyle w:val="TableParagraph"/>
              <w:jc w:val="both"/>
              <w:rPr>
                <w:rStyle w:val="Strong"/>
                <w:rFonts w:asciiTheme="minorHAnsi" w:hAnsiTheme="minorHAnsi" w:cstheme="minorHAnsi"/>
                <w:b w:val="0"/>
              </w:rPr>
            </w:pPr>
            <w:r w:rsidRPr="00A54361">
              <w:rPr>
                <w:rStyle w:val="Strong"/>
                <w:rFonts w:asciiTheme="minorHAnsi" w:hAnsiTheme="minorHAnsi" w:cstheme="minorHAnsi"/>
                <w:b w:val="0"/>
              </w:rPr>
              <w:t>2</w:t>
            </w:r>
          </w:p>
        </w:tc>
        <w:tc>
          <w:tcPr>
            <w:tcW w:w="4110" w:type="dxa"/>
            <w:vAlign w:val="center"/>
          </w:tcPr>
          <w:p w14:paraId="22F7EDA7" w14:textId="6919C7AB" w:rsidR="00BE5902" w:rsidRPr="00A54361" w:rsidRDefault="00BE5902" w:rsidP="00A54361">
            <w:pPr>
              <w:pStyle w:val="TableParagraph"/>
              <w:jc w:val="both"/>
              <w:rPr>
                <w:rStyle w:val="Strong"/>
                <w:rFonts w:asciiTheme="minorHAnsi" w:hAnsiTheme="minorHAnsi" w:cstheme="minorHAnsi"/>
                <w:b w:val="0"/>
              </w:rPr>
            </w:pPr>
            <w:r w:rsidRPr="00A54361">
              <w:rPr>
                <w:rFonts w:asciiTheme="minorHAnsi" w:eastAsia="Arial" w:hAnsiTheme="minorHAnsi" w:cstheme="minorHAnsi"/>
                <w:spacing w:val="1"/>
              </w:rPr>
              <w:t>I</w:t>
            </w:r>
            <w:r w:rsidRPr="00A54361">
              <w:rPr>
                <w:rFonts w:asciiTheme="minorHAnsi" w:eastAsia="Arial" w:hAnsiTheme="minorHAnsi" w:cstheme="minorHAnsi"/>
              </w:rPr>
              <w:t>nsta</w:t>
            </w:r>
            <w:r w:rsidRPr="00A54361">
              <w:rPr>
                <w:rFonts w:asciiTheme="minorHAnsi" w:eastAsia="Arial" w:hAnsiTheme="minorHAnsi" w:cstheme="minorHAnsi"/>
                <w:spacing w:val="-1"/>
              </w:rPr>
              <w:t>ll</w:t>
            </w:r>
            <w:r w:rsidRPr="00A54361">
              <w:rPr>
                <w:rFonts w:asciiTheme="minorHAnsi" w:eastAsia="Arial" w:hAnsiTheme="minorHAnsi" w:cstheme="minorHAnsi"/>
              </w:rPr>
              <w:t>ati</w:t>
            </w:r>
            <w:r w:rsidRPr="00A54361">
              <w:rPr>
                <w:rFonts w:asciiTheme="minorHAnsi" w:eastAsia="Arial" w:hAnsiTheme="minorHAnsi" w:cstheme="minorHAnsi"/>
                <w:spacing w:val="-1"/>
              </w:rPr>
              <w:t>o</w:t>
            </w:r>
            <w:r w:rsidRPr="00A54361">
              <w:rPr>
                <w:rFonts w:asciiTheme="minorHAnsi" w:eastAsia="Arial" w:hAnsiTheme="minorHAnsi" w:cstheme="minorHAnsi"/>
              </w:rPr>
              <w:t>n</w:t>
            </w:r>
            <w:r w:rsidRPr="00A54361">
              <w:rPr>
                <w:rFonts w:asciiTheme="minorHAnsi" w:eastAsia="Arial" w:hAnsiTheme="minorHAnsi" w:cstheme="minorHAnsi"/>
                <w:spacing w:val="6"/>
              </w:rPr>
              <w:t xml:space="preserve"> </w:t>
            </w:r>
            <w:r w:rsidRPr="00A54361">
              <w:rPr>
                <w:rFonts w:asciiTheme="minorHAnsi" w:eastAsia="Arial" w:hAnsiTheme="minorHAnsi" w:cstheme="minorHAnsi"/>
                <w:spacing w:val="-3"/>
              </w:rPr>
              <w:t>o</w:t>
            </w:r>
            <w:r w:rsidRPr="00A54361">
              <w:rPr>
                <w:rFonts w:asciiTheme="minorHAnsi" w:eastAsia="Arial" w:hAnsiTheme="minorHAnsi" w:cstheme="minorHAnsi"/>
              </w:rPr>
              <w:t>f</w:t>
            </w:r>
            <w:r w:rsidRPr="00A54361">
              <w:rPr>
                <w:rFonts w:asciiTheme="minorHAnsi" w:eastAsia="Arial" w:hAnsiTheme="minorHAnsi" w:cstheme="minorHAnsi"/>
                <w:spacing w:val="9"/>
              </w:rPr>
              <w:t xml:space="preserve"> </w:t>
            </w:r>
            <w:r w:rsidRPr="00A54361">
              <w:rPr>
                <w:rFonts w:asciiTheme="minorHAnsi" w:eastAsia="Arial" w:hAnsiTheme="minorHAnsi" w:cstheme="minorHAnsi"/>
                <w:spacing w:val="1"/>
              </w:rPr>
              <w:t>t</w:t>
            </w:r>
            <w:r w:rsidRPr="00A54361">
              <w:rPr>
                <w:rFonts w:asciiTheme="minorHAnsi" w:eastAsia="Arial" w:hAnsiTheme="minorHAnsi" w:cstheme="minorHAnsi"/>
              </w:rPr>
              <w:t>he</w:t>
            </w:r>
            <w:r w:rsidRPr="00A54361">
              <w:rPr>
                <w:rFonts w:asciiTheme="minorHAnsi" w:eastAsia="Arial" w:hAnsiTheme="minorHAnsi" w:cstheme="minorHAnsi"/>
                <w:spacing w:val="5"/>
              </w:rPr>
              <w:t xml:space="preserve"> </w:t>
            </w:r>
            <w:r w:rsidRPr="00A54361">
              <w:rPr>
                <w:rFonts w:asciiTheme="minorHAnsi" w:eastAsia="Arial" w:hAnsiTheme="minorHAnsi" w:cstheme="minorHAnsi"/>
              </w:rPr>
              <w:t>prop</w:t>
            </w:r>
            <w:r w:rsidRPr="00A54361">
              <w:rPr>
                <w:rFonts w:asciiTheme="minorHAnsi" w:eastAsia="Arial" w:hAnsiTheme="minorHAnsi" w:cstheme="minorHAnsi"/>
                <w:spacing w:val="-3"/>
              </w:rPr>
              <w:t>o</w:t>
            </w:r>
            <w:r w:rsidRPr="00A54361">
              <w:rPr>
                <w:rFonts w:asciiTheme="minorHAnsi" w:eastAsia="Arial" w:hAnsiTheme="minorHAnsi" w:cstheme="minorHAnsi"/>
                <w:spacing w:val="-2"/>
              </w:rPr>
              <w:t>s</w:t>
            </w:r>
            <w:r w:rsidRPr="00A54361">
              <w:rPr>
                <w:rFonts w:asciiTheme="minorHAnsi" w:eastAsia="Arial" w:hAnsiTheme="minorHAnsi" w:cstheme="minorHAnsi"/>
              </w:rPr>
              <w:t>ed</w:t>
            </w:r>
            <w:r w:rsidRPr="00A54361">
              <w:rPr>
                <w:rFonts w:asciiTheme="minorHAnsi" w:eastAsia="Arial" w:hAnsiTheme="minorHAnsi" w:cstheme="minorHAnsi"/>
                <w:spacing w:val="5"/>
              </w:rPr>
              <w:t xml:space="preserve"> </w:t>
            </w:r>
            <w:r w:rsidRPr="00A54361">
              <w:rPr>
                <w:rFonts w:asciiTheme="minorHAnsi" w:eastAsia="Arial" w:hAnsiTheme="minorHAnsi" w:cstheme="minorHAnsi"/>
              </w:rPr>
              <w:t>h</w:t>
            </w:r>
            <w:r w:rsidRPr="00A54361">
              <w:rPr>
                <w:rFonts w:asciiTheme="minorHAnsi" w:eastAsia="Arial" w:hAnsiTheme="minorHAnsi" w:cstheme="minorHAnsi"/>
                <w:spacing w:val="-1"/>
              </w:rPr>
              <w:t>a</w:t>
            </w:r>
            <w:r w:rsidRPr="00A54361">
              <w:rPr>
                <w:rFonts w:asciiTheme="minorHAnsi" w:eastAsia="Arial" w:hAnsiTheme="minorHAnsi" w:cstheme="minorHAnsi"/>
                <w:spacing w:val="1"/>
              </w:rPr>
              <w:t>r</w:t>
            </w:r>
            <w:r w:rsidRPr="00A54361">
              <w:rPr>
                <w:rFonts w:asciiTheme="minorHAnsi" w:eastAsia="Arial" w:hAnsiTheme="minorHAnsi" w:cstheme="minorHAnsi"/>
              </w:rPr>
              <w:t>d</w:t>
            </w:r>
            <w:r w:rsidRPr="00A54361">
              <w:rPr>
                <w:rFonts w:asciiTheme="minorHAnsi" w:eastAsia="Arial" w:hAnsiTheme="minorHAnsi" w:cstheme="minorHAnsi"/>
                <w:spacing w:val="-4"/>
              </w:rPr>
              <w:t>w</w:t>
            </w:r>
            <w:r w:rsidRPr="00A54361">
              <w:rPr>
                <w:rFonts w:asciiTheme="minorHAnsi" w:eastAsia="Arial" w:hAnsiTheme="minorHAnsi" w:cstheme="minorHAnsi"/>
              </w:rPr>
              <w:t>are</w:t>
            </w:r>
            <w:r w:rsidRPr="00A54361">
              <w:rPr>
                <w:rFonts w:asciiTheme="minorHAnsi" w:eastAsia="Arial" w:hAnsiTheme="minorHAnsi" w:cstheme="minorHAnsi"/>
                <w:spacing w:val="6"/>
              </w:rPr>
              <w:t xml:space="preserve"> </w:t>
            </w:r>
            <w:r w:rsidRPr="00A54361">
              <w:rPr>
                <w:rFonts w:asciiTheme="minorHAnsi" w:eastAsia="Arial" w:hAnsiTheme="minorHAnsi" w:cstheme="minorHAnsi"/>
              </w:rPr>
              <w:t>a</w:t>
            </w:r>
            <w:r w:rsidRPr="00A54361">
              <w:rPr>
                <w:rFonts w:asciiTheme="minorHAnsi" w:eastAsia="Arial" w:hAnsiTheme="minorHAnsi" w:cstheme="minorHAnsi"/>
                <w:spacing w:val="-1"/>
              </w:rPr>
              <w:t>n</w:t>
            </w:r>
            <w:r w:rsidRPr="00A54361">
              <w:rPr>
                <w:rFonts w:asciiTheme="minorHAnsi" w:eastAsia="Arial" w:hAnsiTheme="minorHAnsi" w:cstheme="minorHAnsi"/>
              </w:rPr>
              <w:t>d</w:t>
            </w:r>
            <w:r w:rsidRPr="00A54361">
              <w:rPr>
                <w:rFonts w:asciiTheme="minorHAnsi" w:eastAsia="Arial" w:hAnsiTheme="minorHAnsi" w:cstheme="minorHAnsi"/>
                <w:spacing w:val="6"/>
              </w:rPr>
              <w:t xml:space="preserve"> </w:t>
            </w:r>
            <w:r w:rsidRPr="00A54361">
              <w:rPr>
                <w:rFonts w:asciiTheme="minorHAnsi" w:eastAsia="Arial" w:hAnsiTheme="minorHAnsi" w:cstheme="minorHAnsi"/>
              </w:rPr>
              <w:t>so</w:t>
            </w:r>
            <w:r w:rsidRPr="00A54361">
              <w:rPr>
                <w:rFonts w:asciiTheme="minorHAnsi" w:eastAsia="Arial" w:hAnsiTheme="minorHAnsi" w:cstheme="minorHAnsi"/>
                <w:spacing w:val="3"/>
              </w:rPr>
              <w:t>f</w:t>
            </w:r>
            <w:r w:rsidRPr="00A54361">
              <w:rPr>
                <w:rFonts w:asciiTheme="minorHAnsi" w:eastAsia="Arial" w:hAnsiTheme="minorHAnsi" w:cstheme="minorHAnsi"/>
                <w:spacing w:val="1"/>
              </w:rPr>
              <w:t>t</w:t>
            </w:r>
            <w:r w:rsidRPr="00A54361">
              <w:rPr>
                <w:rFonts w:asciiTheme="minorHAnsi" w:eastAsia="Arial" w:hAnsiTheme="minorHAnsi" w:cstheme="minorHAnsi"/>
                <w:spacing w:val="-3"/>
              </w:rPr>
              <w:t>w</w:t>
            </w:r>
            <w:r w:rsidRPr="00A54361">
              <w:rPr>
                <w:rFonts w:asciiTheme="minorHAnsi" w:eastAsia="Arial" w:hAnsiTheme="minorHAnsi" w:cstheme="minorHAnsi"/>
              </w:rPr>
              <w:t xml:space="preserve">are </w:t>
            </w:r>
            <w:r w:rsidRPr="00A54361">
              <w:rPr>
                <w:rFonts w:asciiTheme="minorHAnsi" w:eastAsia="Arial" w:hAnsiTheme="minorHAnsi" w:cstheme="minorHAnsi"/>
                <w:spacing w:val="-1"/>
              </w:rPr>
              <w:t>i</w:t>
            </w:r>
            <w:r w:rsidRPr="00A54361">
              <w:rPr>
                <w:rFonts w:asciiTheme="minorHAnsi" w:eastAsia="Arial" w:hAnsiTheme="minorHAnsi" w:cstheme="minorHAnsi"/>
              </w:rPr>
              <w:t>nc</w:t>
            </w:r>
            <w:r w:rsidRPr="00A54361">
              <w:rPr>
                <w:rFonts w:asciiTheme="minorHAnsi" w:eastAsia="Arial" w:hAnsiTheme="minorHAnsi" w:cstheme="minorHAnsi"/>
                <w:spacing w:val="-1"/>
              </w:rPr>
              <w:t>l</w:t>
            </w:r>
            <w:r w:rsidRPr="00A54361">
              <w:rPr>
                <w:rFonts w:asciiTheme="minorHAnsi" w:eastAsia="Arial" w:hAnsiTheme="minorHAnsi" w:cstheme="minorHAnsi"/>
              </w:rPr>
              <w:t>u</w:t>
            </w:r>
            <w:r w:rsidRPr="00A54361">
              <w:rPr>
                <w:rFonts w:asciiTheme="minorHAnsi" w:eastAsia="Arial" w:hAnsiTheme="minorHAnsi" w:cstheme="minorHAnsi"/>
                <w:spacing w:val="-1"/>
              </w:rPr>
              <w:t>di</w:t>
            </w:r>
            <w:r w:rsidRPr="00A54361">
              <w:rPr>
                <w:rFonts w:asciiTheme="minorHAnsi" w:eastAsia="Arial" w:hAnsiTheme="minorHAnsi" w:cstheme="minorHAnsi"/>
              </w:rPr>
              <w:t>ng</w:t>
            </w:r>
            <w:r w:rsidRPr="00A54361">
              <w:rPr>
                <w:rFonts w:asciiTheme="minorHAnsi" w:eastAsia="Arial" w:hAnsiTheme="minorHAnsi" w:cstheme="minorHAnsi"/>
                <w:spacing w:val="3"/>
              </w:rPr>
              <w:t xml:space="preserve"> </w:t>
            </w:r>
            <w:r w:rsidRPr="00A54361">
              <w:rPr>
                <w:rFonts w:asciiTheme="minorHAnsi" w:eastAsia="Arial" w:hAnsiTheme="minorHAnsi" w:cstheme="minorHAnsi"/>
              </w:rPr>
              <w:t>co</w:t>
            </w:r>
            <w:r w:rsidRPr="00A54361">
              <w:rPr>
                <w:rFonts w:asciiTheme="minorHAnsi" w:eastAsia="Arial" w:hAnsiTheme="minorHAnsi" w:cstheme="minorHAnsi"/>
                <w:spacing w:val="-3"/>
              </w:rPr>
              <w:t>n</w:t>
            </w:r>
            <w:r w:rsidRPr="00A54361">
              <w:rPr>
                <w:rFonts w:asciiTheme="minorHAnsi" w:eastAsia="Arial" w:hAnsiTheme="minorHAnsi" w:cstheme="minorHAnsi"/>
                <w:spacing w:val="3"/>
              </w:rPr>
              <w:t>f</w:t>
            </w:r>
            <w:r w:rsidRPr="00A54361">
              <w:rPr>
                <w:rFonts w:asciiTheme="minorHAnsi" w:eastAsia="Arial" w:hAnsiTheme="minorHAnsi" w:cstheme="minorHAnsi"/>
                <w:spacing w:val="-3"/>
              </w:rPr>
              <w:t>i</w:t>
            </w:r>
            <w:r w:rsidRPr="00A54361">
              <w:rPr>
                <w:rFonts w:asciiTheme="minorHAnsi" w:eastAsia="Arial" w:hAnsiTheme="minorHAnsi" w:cstheme="minorHAnsi"/>
                <w:spacing w:val="2"/>
              </w:rPr>
              <w:t>g</w:t>
            </w:r>
            <w:r w:rsidRPr="00A54361">
              <w:rPr>
                <w:rFonts w:asciiTheme="minorHAnsi" w:eastAsia="Arial" w:hAnsiTheme="minorHAnsi" w:cstheme="minorHAnsi"/>
                <w:spacing w:val="-3"/>
              </w:rPr>
              <w:t>u</w:t>
            </w:r>
            <w:r w:rsidRPr="00A54361">
              <w:rPr>
                <w:rFonts w:asciiTheme="minorHAnsi" w:eastAsia="Arial" w:hAnsiTheme="minorHAnsi" w:cstheme="minorHAnsi"/>
                <w:spacing w:val="1"/>
              </w:rPr>
              <w:t>r</w:t>
            </w:r>
            <w:r w:rsidRPr="00A54361">
              <w:rPr>
                <w:rFonts w:asciiTheme="minorHAnsi" w:eastAsia="Arial" w:hAnsiTheme="minorHAnsi" w:cstheme="minorHAnsi"/>
              </w:rPr>
              <w:t>ati</w:t>
            </w:r>
            <w:r w:rsidRPr="00A54361">
              <w:rPr>
                <w:rFonts w:asciiTheme="minorHAnsi" w:eastAsia="Arial" w:hAnsiTheme="minorHAnsi" w:cstheme="minorHAnsi"/>
                <w:spacing w:val="-1"/>
              </w:rPr>
              <w:t>o</w:t>
            </w:r>
            <w:r w:rsidRPr="00A54361">
              <w:rPr>
                <w:rFonts w:asciiTheme="minorHAnsi" w:eastAsia="Arial" w:hAnsiTheme="minorHAnsi" w:cstheme="minorHAnsi"/>
              </w:rPr>
              <w:t xml:space="preserve">n </w:t>
            </w:r>
            <w:r w:rsidRPr="00A54361">
              <w:rPr>
                <w:rFonts w:asciiTheme="minorHAnsi" w:eastAsia="Arial" w:hAnsiTheme="minorHAnsi" w:cstheme="minorHAnsi"/>
                <w:spacing w:val="-2"/>
              </w:rPr>
              <w:t>a</w:t>
            </w:r>
            <w:r w:rsidRPr="00A54361">
              <w:rPr>
                <w:rFonts w:asciiTheme="minorHAnsi" w:eastAsia="Arial" w:hAnsiTheme="minorHAnsi" w:cstheme="minorHAnsi"/>
              </w:rPr>
              <w:t>s</w:t>
            </w:r>
            <w:r w:rsidRPr="00A54361">
              <w:rPr>
                <w:rFonts w:asciiTheme="minorHAnsi" w:eastAsia="Arial" w:hAnsiTheme="minorHAnsi" w:cstheme="minorHAnsi"/>
                <w:spacing w:val="1"/>
              </w:rPr>
              <w:t xml:space="preserve"> </w:t>
            </w:r>
            <w:r w:rsidRPr="00A54361">
              <w:rPr>
                <w:rFonts w:asciiTheme="minorHAnsi" w:eastAsia="Arial" w:hAnsiTheme="minorHAnsi" w:cstheme="minorHAnsi"/>
              </w:rPr>
              <w:t>p</w:t>
            </w:r>
            <w:r w:rsidRPr="00A54361">
              <w:rPr>
                <w:rFonts w:asciiTheme="minorHAnsi" w:eastAsia="Arial" w:hAnsiTheme="minorHAnsi" w:cstheme="minorHAnsi"/>
                <w:spacing w:val="-1"/>
              </w:rPr>
              <w:t>e</w:t>
            </w:r>
            <w:r w:rsidRPr="00A54361">
              <w:rPr>
                <w:rFonts w:asciiTheme="minorHAnsi" w:eastAsia="Arial" w:hAnsiTheme="minorHAnsi" w:cstheme="minorHAnsi"/>
              </w:rPr>
              <w:t xml:space="preserve">r </w:t>
            </w:r>
            <w:r w:rsidRPr="00A54361">
              <w:rPr>
                <w:rFonts w:asciiTheme="minorHAnsi" w:eastAsia="Arial" w:hAnsiTheme="minorHAnsi" w:cstheme="minorHAnsi"/>
                <w:spacing w:val="1"/>
              </w:rPr>
              <w:t>t</w:t>
            </w:r>
            <w:r w:rsidRPr="00A54361">
              <w:rPr>
                <w:rFonts w:asciiTheme="minorHAnsi" w:eastAsia="Arial" w:hAnsiTheme="minorHAnsi" w:cstheme="minorHAnsi"/>
              </w:rPr>
              <w:t>he</w:t>
            </w:r>
            <w:r w:rsidRPr="00A54361">
              <w:rPr>
                <w:rFonts w:asciiTheme="minorHAnsi" w:eastAsia="Arial" w:hAnsiTheme="minorHAnsi" w:cstheme="minorHAnsi"/>
                <w:spacing w:val="-2"/>
              </w:rPr>
              <w:t xml:space="preserve"> </w:t>
            </w:r>
            <w:r w:rsidRPr="00A54361">
              <w:rPr>
                <w:rFonts w:asciiTheme="minorHAnsi" w:eastAsia="Arial" w:hAnsiTheme="minorHAnsi" w:cstheme="minorHAnsi"/>
              </w:rPr>
              <w:t>so</w:t>
            </w:r>
            <w:r w:rsidRPr="00A54361">
              <w:rPr>
                <w:rFonts w:asciiTheme="minorHAnsi" w:eastAsia="Arial" w:hAnsiTheme="minorHAnsi" w:cstheme="minorHAnsi"/>
                <w:spacing w:val="-1"/>
              </w:rPr>
              <w:t>l</w:t>
            </w:r>
            <w:r w:rsidRPr="00A54361">
              <w:rPr>
                <w:rFonts w:asciiTheme="minorHAnsi" w:eastAsia="Arial" w:hAnsiTheme="minorHAnsi" w:cstheme="minorHAnsi"/>
              </w:rPr>
              <w:t>uti</w:t>
            </w:r>
            <w:r w:rsidRPr="00A54361">
              <w:rPr>
                <w:rFonts w:asciiTheme="minorHAnsi" w:eastAsia="Arial" w:hAnsiTheme="minorHAnsi" w:cstheme="minorHAnsi"/>
                <w:spacing w:val="-1"/>
              </w:rPr>
              <w:t>o</w:t>
            </w:r>
            <w:r w:rsidRPr="00A54361">
              <w:rPr>
                <w:rFonts w:asciiTheme="minorHAnsi" w:eastAsia="Arial" w:hAnsiTheme="minorHAnsi" w:cstheme="minorHAnsi"/>
              </w:rPr>
              <w:t>n d</w:t>
            </w:r>
            <w:r w:rsidRPr="00A54361">
              <w:rPr>
                <w:rFonts w:asciiTheme="minorHAnsi" w:eastAsia="Arial" w:hAnsiTheme="minorHAnsi" w:cstheme="minorHAnsi"/>
                <w:spacing w:val="-2"/>
              </w:rPr>
              <w:t>e</w:t>
            </w:r>
            <w:r w:rsidRPr="00A54361">
              <w:rPr>
                <w:rFonts w:asciiTheme="minorHAnsi" w:eastAsia="Arial" w:hAnsiTheme="minorHAnsi" w:cstheme="minorHAnsi"/>
              </w:rPr>
              <w:t>s</w:t>
            </w:r>
            <w:r w:rsidRPr="00A54361">
              <w:rPr>
                <w:rFonts w:asciiTheme="minorHAnsi" w:eastAsia="Arial" w:hAnsiTheme="minorHAnsi" w:cstheme="minorHAnsi"/>
                <w:spacing w:val="-1"/>
              </w:rPr>
              <w:t>i</w:t>
            </w:r>
            <w:r w:rsidRPr="00A54361">
              <w:rPr>
                <w:rFonts w:asciiTheme="minorHAnsi" w:eastAsia="Arial" w:hAnsiTheme="minorHAnsi" w:cstheme="minorHAnsi"/>
                <w:spacing w:val="2"/>
              </w:rPr>
              <w:t>g</w:t>
            </w:r>
            <w:r w:rsidRPr="00A54361">
              <w:rPr>
                <w:rFonts w:asciiTheme="minorHAnsi" w:eastAsia="Arial" w:hAnsiTheme="minorHAnsi" w:cstheme="minorHAnsi"/>
              </w:rPr>
              <w:t>n</w:t>
            </w:r>
          </w:p>
        </w:tc>
        <w:tc>
          <w:tcPr>
            <w:tcW w:w="1418" w:type="dxa"/>
            <w:vAlign w:val="center"/>
          </w:tcPr>
          <w:p w14:paraId="1C64E966" w14:textId="03206D94" w:rsidR="00BE5902" w:rsidRPr="00A54361" w:rsidRDefault="008F12E7" w:rsidP="00A54361">
            <w:pPr>
              <w:pStyle w:val="TableParagraph"/>
              <w:jc w:val="both"/>
              <w:rPr>
                <w:rStyle w:val="Strong"/>
                <w:rFonts w:asciiTheme="minorHAnsi" w:hAnsiTheme="minorHAnsi" w:cstheme="minorHAnsi"/>
                <w:b w:val="0"/>
              </w:rPr>
            </w:pPr>
            <w:r w:rsidRPr="00A54361">
              <w:rPr>
                <w:rStyle w:val="Strong"/>
                <w:rFonts w:asciiTheme="minorHAnsi" w:hAnsiTheme="minorHAnsi" w:cstheme="minorHAnsi"/>
                <w:b w:val="0"/>
              </w:rPr>
              <w:t>S</w:t>
            </w:r>
          </w:p>
        </w:tc>
        <w:tc>
          <w:tcPr>
            <w:tcW w:w="1580" w:type="dxa"/>
            <w:vAlign w:val="center"/>
          </w:tcPr>
          <w:p w14:paraId="665ABDB4" w14:textId="43E05164" w:rsidR="00BE5902" w:rsidRPr="00A54361" w:rsidRDefault="00751AAE" w:rsidP="00A54361">
            <w:pPr>
              <w:pStyle w:val="TableParagraph"/>
              <w:jc w:val="both"/>
              <w:rPr>
                <w:rStyle w:val="Strong"/>
                <w:rFonts w:asciiTheme="minorHAnsi" w:hAnsiTheme="minorHAnsi" w:cstheme="minorHAnsi"/>
                <w:b w:val="0"/>
              </w:rPr>
            </w:pPr>
            <w:r w:rsidRPr="00A54361">
              <w:rPr>
                <w:rStyle w:val="Strong"/>
                <w:rFonts w:asciiTheme="minorHAnsi" w:hAnsiTheme="minorHAnsi" w:cstheme="minorHAnsi"/>
                <w:b w:val="0"/>
              </w:rPr>
              <w:t>P</w:t>
            </w:r>
          </w:p>
        </w:tc>
        <w:tc>
          <w:tcPr>
            <w:tcW w:w="1538" w:type="dxa"/>
            <w:vAlign w:val="center"/>
          </w:tcPr>
          <w:p w14:paraId="422C7F74" w14:textId="6C997D37" w:rsidR="00BE5902" w:rsidRPr="00A54361" w:rsidRDefault="00463526" w:rsidP="00A54361">
            <w:pPr>
              <w:pStyle w:val="TableParagraph"/>
              <w:jc w:val="both"/>
              <w:rPr>
                <w:rStyle w:val="Strong"/>
                <w:rFonts w:asciiTheme="minorHAnsi" w:hAnsiTheme="minorHAnsi" w:cstheme="minorHAnsi"/>
                <w:b w:val="0"/>
              </w:rPr>
            </w:pPr>
            <w:r w:rsidRPr="00A54361">
              <w:rPr>
                <w:rStyle w:val="Strong"/>
                <w:rFonts w:asciiTheme="minorHAnsi" w:hAnsiTheme="minorHAnsi" w:cstheme="minorHAnsi"/>
                <w:b w:val="0"/>
              </w:rPr>
              <w:t>V &amp; M</w:t>
            </w:r>
          </w:p>
        </w:tc>
      </w:tr>
      <w:tr w:rsidR="000D3DC1" w:rsidRPr="00A54361" w14:paraId="315AEF25" w14:textId="77777777" w:rsidTr="005D16B3">
        <w:tc>
          <w:tcPr>
            <w:tcW w:w="988" w:type="dxa"/>
            <w:vAlign w:val="center"/>
          </w:tcPr>
          <w:p w14:paraId="7F526F7E" w14:textId="3ECFF298" w:rsidR="00BE5902" w:rsidRPr="00A54361" w:rsidRDefault="00BE5902" w:rsidP="00A54361">
            <w:pPr>
              <w:pStyle w:val="TableParagraph"/>
              <w:jc w:val="both"/>
              <w:rPr>
                <w:rStyle w:val="Strong"/>
                <w:rFonts w:asciiTheme="minorHAnsi" w:hAnsiTheme="minorHAnsi" w:cstheme="minorHAnsi"/>
                <w:b w:val="0"/>
              </w:rPr>
            </w:pPr>
            <w:r w:rsidRPr="00A54361">
              <w:rPr>
                <w:rStyle w:val="Strong"/>
                <w:rFonts w:asciiTheme="minorHAnsi" w:hAnsiTheme="minorHAnsi" w:cstheme="minorHAnsi"/>
                <w:b w:val="0"/>
              </w:rPr>
              <w:t>3</w:t>
            </w:r>
          </w:p>
        </w:tc>
        <w:tc>
          <w:tcPr>
            <w:tcW w:w="4110" w:type="dxa"/>
            <w:vAlign w:val="center"/>
          </w:tcPr>
          <w:p w14:paraId="188C3979" w14:textId="1D0DCE54" w:rsidR="00BE5902" w:rsidRPr="00A54361" w:rsidRDefault="00BE5902" w:rsidP="00A54361">
            <w:pPr>
              <w:pStyle w:val="TableParagraph"/>
              <w:jc w:val="both"/>
              <w:rPr>
                <w:rStyle w:val="Strong"/>
                <w:rFonts w:asciiTheme="minorHAnsi" w:hAnsiTheme="minorHAnsi" w:cstheme="minorHAnsi"/>
                <w:b w:val="0"/>
              </w:rPr>
            </w:pPr>
            <w:r w:rsidRPr="00A54361">
              <w:rPr>
                <w:rFonts w:asciiTheme="minorHAnsi" w:eastAsia="Arial" w:hAnsiTheme="minorHAnsi" w:cstheme="minorHAnsi"/>
                <w:spacing w:val="-1"/>
              </w:rPr>
              <w:t>A</w:t>
            </w:r>
            <w:r w:rsidRPr="00A54361">
              <w:rPr>
                <w:rFonts w:asciiTheme="minorHAnsi" w:eastAsia="Arial" w:hAnsiTheme="minorHAnsi" w:cstheme="minorHAnsi"/>
              </w:rPr>
              <w:t>cce</w:t>
            </w:r>
            <w:r w:rsidRPr="00A54361">
              <w:rPr>
                <w:rFonts w:asciiTheme="minorHAnsi" w:eastAsia="Arial" w:hAnsiTheme="minorHAnsi" w:cstheme="minorHAnsi"/>
                <w:spacing w:val="-1"/>
              </w:rPr>
              <w:t>p</w:t>
            </w:r>
            <w:r w:rsidRPr="00A54361">
              <w:rPr>
                <w:rFonts w:asciiTheme="minorHAnsi" w:eastAsia="Arial" w:hAnsiTheme="minorHAnsi" w:cstheme="minorHAnsi"/>
                <w:spacing w:val="1"/>
              </w:rPr>
              <w:t>t</w:t>
            </w:r>
            <w:r w:rsidRPr="00A54361">
              <w:rPr>
                <w:rFonts w:asciiTheme="minorHAnsi" w:eastAsia="Arial" w:hAnsiTheme="minorHAnsi" w:cstheme="minorHAnsi"/>
              </w:rPr>
              <w:t>a</w:t>
            </w:r>
            <w:r w:rsidRPr="00A54361">
              <w:rPr>
                <w:rFonts w:asciiTheme="minorHAnsi" w:eastAsia="Arial" w:hAnsiTheme="minorHAnsi" w:cstheme="minorHAnsi"/>
                <w:spacing w:val="-1"/>
              </w:rPr>
              <w:t>n</w:t>
            </w:r>
            <w:r w:rsidRPr="00A54361">
              <w:rPr>
                <w:rFonts w:asciiTheme="minorHAnsi" w:eastAsia="Arial" w:hAnsiTheme="minorHAnsi" w:cstheme="minorHAnsi"/>
              </w:rPr>
              <w:t xml:space="preserve">ce </w:t>
            </w:r>
            <w:r w:rsidRPr="00A54361">
              <w:rPr>
                <w:rFonts w:asciiTheme="minorHAnsi" w:eastAsia="Arial" w:hAnsiTheme="minorHAnsi" w:cstheme="minorHAnsi"/>
                <w:spacing w:val="-2"/>
              </w:rPr>
              <w:t>o</w:t>
            </w:r>
            <w:r w:rsidRPr="00A54361">
              <w:rPr>
                <w:rFonts w:asciiTheme="minorHAnsi" w:eastAsia="Arial" w:hAnsiTheme="minorHAnsi" w:cstheme="minorHAnsi"/>
              </w:rPr>
              <w:t xml:space="preserve">f </w:t>
            </w:r>
            <w:r w:rsidRPr="00A54361">
              <w:rPr>
                <w:rFonts w:asciiTheme="minorHAnsi" w:eastAsia="Arial" w:hAnsiTheme="minorHAnsi" w:cstheme="minorHAnsi"/>
                <w:spacing w:val="1"/>
              </w:rPr>
              <w:t>t</w:t>
            </w:r>
            <w:r w:rsidRPr="00A54361">
              <w:rPr>
                <w:rFonts w:asciiTheme="minorHAnsi" w:eastAsia="Arial" w:hAnsiTheme="minorHAnsi" w:cstheme="minorHAnsi"/>
              </w:rPr>
              <w:t>he</w:t>
            </w:r>
            <w:r w:rsidRPr="00A54361">
              <w:rPr>
                <w:rFonts w:asciiTheme="minorHAnsi" w:eastAsia="Arial" w:hAnsiTheme="minorHAnsi" w:cstheme="minorHAnsi"/>
                <w:spacing w:val="-2"/>
              </w:rPr>
              <w:t xml:space="preserve"> </w:t>
            </w:r>
            <w:r w:rsidRPr="00A54361">
              <w:rPr>
                <w:rFonts w:asciiTheme="minorHAnsi" w:eastAsia="Arial" w:hAnsiTheme="minorHAnsi" w:cstheme="minorHAnsi"/>
              </w:rPr>
              <w:t>so</w:t>
            </w:r>
            <w:r w:rsidRPr="00A54361">
              <w:rPr>
                <w:rFonts w:asciiTheme="minorHAnsi" w:eastAsia="Arial" w:hAnsiTheme="minorHAnsi" w:cstheme="minorHAnsi"/>
                <w:spacing w:val="-1"/>
              </w:rPr>
              <w:t>l</w:t>
            </w:r>
            <w:r w:rsidRPr="00A54361">
              <w:rPr>
                <w:rFonts w:asciiTheme="minorHAnsi" w:eastAsia="Arial" w:hAnsiTheme="minorHAnsi" w:cstheme="minorHAnsi"/>
              </w:rPr>
              <w:t>ut</w:t>
            </w:r>
            <w:r w:rsidRPr="00A54361">
              <w:rPr>
                <w:rFonts w:asciiTheme="minorHAnsi" w:eastAsia="Arial" w:hAnsiTheme="minorHAnsi" w:cstheme="minorHAnsi"/>
                <w:spacing w:val="-3"/>
              </w:rPr>
              <w:t>i</w:t>
            </w:r>
            <w:r w:rsidRPr="00A54361">
              <w:rPr>
                <w:rFonts w:asciiTheme="minorHAnsi" w:eastAsia="Arial" w:hAnsiTheme="minorHAnsi" w:cstheme="minorHAnsi"/>
              </w:rPr>
              <w:t>on</w:t>
            </w:r>
          </w:p>
        </w:tc>
        <w:tc>
          <w:tcPr>
            <w:tcW w:w="1418" w:type="dxa"/>
            <w:vAlign w:val="center"/>
          </w:tcPr>
          <w:p w14:paraId="5685A4CE" w14:textId="0E1888EE" w:rsidR="00BE5902" w:rsidRPr="00A54361" w:rsidRDefault="008F12E7" w:rsidP="00A54361">
            <w:pPr>
              <w:pStyle w:val="TableParagraph"/>
              <w:jc w:val="both"/>
              <w:rPr>
                <w:rStyle w:val="Strong"/>
                <w:rFonts w:asciiTheme="minorHAnsi" w:hAnsiTheme="minorHAnsi" w:cstheme="minorHAnsi"/>
                <w:b w:val="0"/>
              </w:rPr>
            </w:pPr>
            <w:r w:rsidRPr="00A54361">
              <w:rPr>
                <w:rStyle w:val="Strong"/>
                <w:rFonts w:asciiTheme="minorHAnsi" w:hAnsiTheme="minorHAnsi" w:cstheme="minorHAnsi"/>
                <w:b w:val="0"/>
              </w:rPr>
              <w:t>S</w:t>
            </w:r>
          </w:p>
        </w:tc>
        <w:tc>
          <w:tcPr>
            <w:tcW w:w="1580" w:type="dxa"/>
            <w:vAlign w:val="center"/>
          </w:tcPr>
          <w:p w14:paraId="60106879" w14:textId="0F9F4964" w:rsidR="00BE5902" w:rsidRPr="00A54361" w:rsidRDefault="00751AAE" w:rsidP="00A54361">
            <w:pPr>
              <w:pStyle w:val="TableParagraph"/>
              <w:jc w:val="both"/>
              <w:rPr>
                <w:rStyle w:val="Strong"/>
                <w:rFonts w:asciiTheme="minorHAnsi" w:hAnsiTheme="minorHAnsi" w:cstheme="minorHAnsi"/>
                <w:b w:val="0"/>
              </w:rPr>
            </w:pPr>
            <w:r w:rsidRPr="00A54361">
              <w:rPr>
                <w:rStyle w:val="Strong"/>
                <w:rFonts w:asciiTheme="minorHAnsi" w:hAnsiTheme="minorHAnsi" w:cstheme="minorHAnsi"/>
                <w:b w:val="0"/>
              </w:rPr>
              <w:t>P</w:t>
            </w:r>
          </w:p>
        </w:tc>
        <w:tc>
          <w:tcPr>
            <w:tcW w:w="1538" w:type="dxa"/>
            <w:vAlign w:val="center"/>
          </w:tcPr>
          <w:p w14:paraId="7084CA89" w14:textId="3B755BBC" w:rsidR="00BE5902" w:rsidRPr="00A54361" w:rsidRDefault="00005524" w:rsidP="00A54361">
            <w:pPr>
              <w:pStyle w:val="TableParagraph"/>
              <w:jc w:val="both"/>
              <w:rPr>
                <w:rStyle w:val="Strong"/>
                <w:rFonts w:asciiTheme="minorHAnsi" w:hAnsiTheme="minorHAnsi" w:cstheme="minorHAnsi"/>
                <w:b w:val="0"/>
              </w:rPr>
            </w:pPr>
            <w:r w:rsidRPr="00A54361">
              <w:rPr>
                <w:rStyle w:val="Strong"/>
                <w:rFonts w:asciiTheme="minorHAnsi" w:hAnsiTheme="minorHAnsi" w:cstheme="minorHAnsi"/>
                <w:b w:val="0"/>
              </w:rPr>
              <w:t>-</w:t>
            </w:r>
          </w:p>
        </w:tc>
      </w:tr>
      <w:tr w:rsidR="000D3DC1" w:rsidRPr="00A54361" w14:paraId="02C2FC39" w14:textId="77777777" w:rsidTr="005D16B3">
        <w:tc>
          <w:tcPr>
            <w:tcW w:w="988" w:type="dxa"/>
            <w:vAlign w:val="center"/>
          </w:tcPr>
          <w:p w14:paraId="08951E36" w14:textId="1F1CBD6B" w:rsidR="001870AA" w:rsidRPr="00A54361" w:rsidRDefault="001870AA" w:rsidP="00A54361">
            <w:pPr>
              <w:pStyle w:val="TableParagraph"/>
              <w:jc w:val="both"/>
              <w:rPr>
                <w:rStyle w:val="Strong"/>
                <w:rFonts w:asciiTheme="minorHAnsi" w:hAnsiTheme="minorHAnsi" w:cstheme="minorHAnsi"/>
                <w:b w:val="0"/>
              </w:rPr>
            </w:pPr>
            <w:r w:rsidRPr="00A54361">
              <w:rPr>
                <w:rStyle w:val="Strong"/>
                <w:rFonts w:asciiTheme="minorHAnsi" w:hAnsiTheme="minorHAnsi" w:cstheme="minorHAnsi"/>
                <w:b w:val="0"/>
              </w:rPr>
              <w:t>4</w:t>
            </w:r>
          </w:p>
        </w:tc>
        <w:tc>
          <w:tcPr>
            <w:tcW w:w="4110" w:type="dxa"/>
            <w:vAlign w:val="center"/>
          </w:tcPr>
          <w:p w14:paraId="5BB4A0D5" w14:textId="46FFD1A0" w:rsidR="001870AA" w:rsidRPr="00A54361" w:rsidRDefault="001870AA" w:rsidP="00A54361">
            <w:pPr>
              <w:pStyle w:val="TableParagraph"/>
              <w:jc w:val="both"/>
              <w:rPr>
                <w:rStyle w:val="Strong"/>
                <w:rFonts w:asciiTheme="minorHAnsi" w:hAnsiTheme="minorHAnsi" w:cstheme="minorHAnsi"/>
                <w:b w:val="0"/>
              </w:rPr>
            </w:pPr>
            <w:r w:rsidRPr="00A54361">
              <w:rPr>
                <w:rFonts w:asciiTheme="minorHAnsi" w:eastAsia="Arial" w:hAnsiTheme="minorHAnsi" w:cstheme="minorHAnsi"/>
                <w:spacing w:val="-1"/>
              </w:rPr>
              <w:t>S</w:t>
            </w:r>
            <w:r w:rsidRPr="00A54361">
              <w:rPr>
                <w:rFonts w:asciiTheme="minorHAnsi" w:eastAsia="Arial" w:hAnsiTheme="minorHAnsi" w:cstheme="minorHAnsi"/>
              </w:rPr>
              <w:t xml:space="preserve">LA </w:t>
            </w:r>
            <w:r w:rsidRPr="00A54361">
              <w:rPr>
                <w:rFonts w:asciiTheme="minorHAnsi" w:eastAsia="Arial" w:hAnsiTheme="minorHAnsi" w:cstheme="minorHAnsi"/>
                <w:spacing w:val="-1"/>
              </w:rPr>
              <w:t>R</w:t>
            </w:r>
            <w:r w:rsidRPr="00A54361">
              <w:rPr>
                <w:rFonts w:asciiTheme="minorHAnsi" w:eastAsia="Arial" w:hAnsiTheme="minorHAnsi" w:cstheme="minorHAnsi"/>
              </w:rPr>
              <w:t>e</w:t>
            </w:r>
            <w:r w:rsidRPr="00A54361">
              <w:rPr>
                <w:rFonts w:asciiTheme="minorHAnsi" w:eastAsia="Arial" w:hAnsiTheme="minorHAnsi" w:cstheme="minorHAnsi"/>
                <w:spacing w:val="-1"/>
              </w:rPr>
              <w:t>p</w:t>
            </w:r>
            <w:r w:rsidRPr="00A54361">
              <w:rPr>
                <w:rFonts w:asciiTheme="minorHAnsi" w:eastAsia="Arial" w:hAnsiTheme="minorHAnsi" w:cstheme="minorHAnsi"/>
              </w:rPr>
              <w:t>or</w:t>
            </w:r>
            <w:r w:rsidRPr="00A54361">
              <w:rPr>
                <w:rFonts w:asciiTheme="minorHAnsi" w:eastAsia="Arial" w:hAnsiTheme="minorHAnsi" w:cstheme="minorHAnsi"/>
                <w:spacing w:val="1"/>
              </w:rPr>
              <w:t>t</w:t>
            </w:r>
            <w:r w:rsidRPr="00A54361">
              <w:rPr>
                <w:rFonts w:asciiTheme="minorHAnsi" w:eastAsia="Arial" w:hAnsiTheme="minorHAnsi" w:cstheme="minorHAnsi"/>
              </w:rPr>
              <w:t>s</w:t>
            </w:r>
          </w:p>
        </w:tc>
        <w:tc>
          <w:tcPr>
            <w:tcW w:w="1418" w:type="dxa"/>
            <w:vAlign w:val="center"/>
          </w:tcPr>
          <w:p w14:paraId="3B8AF374" w14:textId="65386A72" w:rsidR="001870AA" w:rsidRPr="00A54361" w:rsidRDefault="000F3C52" w:rsidP="00A54361">
            <w:pPr>
              <w:pStyle w:val="TableParagraph"/>
              <w:jc w:val="both"/>
              <w:rPr>
                <w:rStyle w:val="Strong"/>
                <w:rFonts w:asciiTheme="minorHAnsi" w:hAnsiTheme="minorHAnsi" w:cstheme="minorHAnsi"/>
                <w:b w:val="0"/>
              </w:rPr>
            </w:pPr>
            <w:r w:rsidRPr="00A54361">
              <w:rPr>
                <w:rStyle w:val="Strong"/>
                <w:rFonts w:asciiTheme="minorHAnsi" w:hAnsiTheme="minorHAnsi" w:cstheme="minorHAnsi"/>
                <w:b w:val="0"/>
              </w:rPr>
              <w:t>S</w:t>
            </w:r>
          </w:p>
        </w:tc>
        <w:tc>
          <w:tcPr>
            <w:tcW w:w="1580" w:type="dxa"/>
            <w:vAlign w:val="center"/>
          </w:tcPr>
          <w:p w14:paraId="5CAA8E71" w14:textId="093423E0" w:rsidR="001870AA" w:rsidRPr="00A54361" w:rsidRDefault="00B960B7" w:rsidP="00A54361">
            <w:pPr>
              <w:pStyle w:val="TableParagraph"/>
              <w:jc w:val="both"/>
              <w:rPr>
                <w:rStyle w:val="Strong"/>
                <w:rFonts w:asciiTheme="minorHAnsi" w:hAnsiTheme="minorHAnsi" w:cstheme="minorHAnsi"/>
                <w:b w:val="0"/>
              </w:rPr>
            </w:pPr>
            <w:r w:rsidRPr="00A54361">
              <w:rPr>
                <w:rStyle w:val="Strong"/>
                <w:rFonts w:asciiTheme="minorHAnsi" w:hAnsiTheme="minorHAnsi" w:cstheme="minorHAnsi"/>
                <w:b w:val="0"/>
              </w:rPr>
              <w:t>P</w:t>
            </w:r>
          </w:p>
        </w:tc>
        <w:tc>
          <w:tcPr>
            <w:tcW w:w="1538" w:type="dxa"/>
            <w:vAlign w:val="center"/>
          </w:tcPr>
          <w:p w14:paraId="16277512" w14:textId="2B0AACBA" w:rsidR="001870AA" w:rsidRPr="00A54361" w:rsidRDefault="004F5CC5" w:rsidP="00A54361">
            <w:pPr>
              <w:pStyle w:val="TableParagraph"/>
              <w:jc w:val="both"/>
              <w:rPr>
                <w:rStyle w:val="Strong"/>
                <w:rFonts w:asciiTheme="minorHAnsi" w:hAnsiTheme="minorHAnsi" w:cstheme="minorHAnsi"/>
                <w:b w:val="0"/>
              </w:rPr>
            </w:pPr>
            <w:r w:rsidRPr="00A54361">
              <w:rPr>
                <w:rStyle w:val="Strong"/>
                <w:rFonts w:asciiTheme="minorHAnsi" w:hAnsiTheme="minorHAnsi" w:cstheme="minorHAnsi"/>
                <w:b w:val="0"/>
              </w:rPr>
              <w:t>-</w:t>
            </w:r>
          </w:p>
        </w:tc>
      </w:tr>
      <w:tr w:rsidR="000D3DC1" w:rsidRPr="00A54361" w14:paraId="0C537FDE" w14:textId="77777777" w:rsidTr="005D16B3">
        <w:tc>
          <w:tcPr>
            <w:tcW w:w="988" w:type="dxa"/>
            <w:vAlign w:val="center"/>
          </w:tcPr>
          <w:p w14:paraId="0D52D187" w14:textId="226317D4" w:rsidR="001870AA" w:rsidRPr="00A54361" w:rsidRDefault="001870AA" w:rsidP="00A54361">
            <w:pPr>
              <w:pStyle w:val="TableParagraph"/>
              <w:jc w:val="both"/>
              <w:rPr>
                <w:rStyle w:val="Strong"/>
                <w:rFonts w:asciiTheme="minorHAnsi" w:hAnsiTheme="minorHAnsi" w:cstheme="minorHAnsi"/>
                <w:b w:val="0"/>
              </w:rPr>
            </w:pPr>
            <w:r w:rsidRPr="00A54361">
              <w:rPr>
                <w:rStyle w:val="Strong"/>
                <w:rFonts w:asciiTheme="minorHAnsi" w:hAnsiTheme="minorHAnsi" w:cstheme="minorHAnsi"/>
                <w:b w:val="0"/>
              </w:rPr>
              <w:t>5</w:t>
            </w:r>
          </w:p>
        </w:tc>
        <w:tc>
          <w:tcPr>
            <w:tcW w:w="4110" w:type="dxa"/>
            <w:vAlign w:val="center"/>
          </w:tcPr>
          <w:p w14:paraId="3D3CF213" w14:textId="5F19AF0E" w:rsidR="001870AA" w:rsidRPr="00A54361" w:rsidRDefault="001870AA" w:rsidP="00A54361">
            <w:pPr>
              <w:pStyle w:val="TableParagraph"/>
              <w:jc w:val="both"/>
              <w:rPr>
                <w:rStyle w:val="Strong"/>
                <w:rFonts w:asciiTheme="minorHAnsi" w:hAnsiTheme="minorHAnsi" w:cstheme="minorHAnsi"/>
                <w:b w:val="0"/>
              </w:rPr>
            </w:pPr>
            <w:r w:rsidRPr="00A54361">
              <w:rPr>
                <w:rFonts w:asciiTheme="minorHAnsi" w:eastAsia="Arial" w:hAnsiTheme="minorHAnsi" w:cstheme="minorHAnsi"/>
                <w:spacing w:val="1"/>
              </w:rPr>
              <w:t>I</w:t>
            </w:r>
            <w:r w:rsidRPr="00A54361">
              <w:rPr>
                <w:rFonts w:asciiTheme="minorHAnsi" w:eastAsia="Arial" w:hAnsiTheme="minorHAnsi" w:cstheme="minorHAnsi"/>
              </w:rPr>
              <w:t>nc</w:t>
            </w:r>
            <w:r w:rsidRPr="00A54361">
              <w:rPr>
                <w:rFonts w:asciiTheme="minorHAnsi" w:eastAsia="Arial" w:hAnsiTheme="minorHAnsi" w:cstheme="minorHAnsi"/>
                <w:spacing w:val="-1"/>
              </w:rPr>
              <w:t>i</w:t>
            </w:r>
            <w:r w:rsidRPr="00A54361">
              <w:rPr>
                <w:rFonts w:asciiTheme="minorHAnsi" w:eastAsia="Arial" w:hAnsiTheme="minorHAnsi" w:cstheme="minorHAnsi"/>
              </w:rPr>
              <w:t>d</w:t>
            </w:r>
            <w:r w:rsidRPr="00A54361">
              <w:rPr>
                <w:rFonts w:asciiTheme="minorHAnsi" w:eastAsia="Arial" w:hAnsiTheme="minorHAnsi" w:cstheme="minorHAnsi"/>
                <w:spacing w:val="-1"/>
              </w:rPr>
              <w:t>e</w:t>
            </w:r>
            <w:r w:rsidRPr="00A54361">
              <w:rPr>
                <w:rFonts w:asciiTheme="minorHAnsi" w:eastAsia="Arial" w:hAnsiTheme="minorHAnsi" w:cstheme="minorHAnsi"/>
              </w:rPr>
              <w:t>nt</w:t>
            </w:r>
            <w:r w:rsidRPr="00A54361">
              <w:rPr>
                <w:rFonts w:asciiTheme="minorHAnsi" w:eastAsia="Arial" w:hAnsiTheme="minorHAnsi" w:cstheme="minorHAnsi"/>
                <w:spacing w:val="2"/>
              </w:rPr>
              <w:t xml:space="preserve"> </w:t>
            </w:r>
            <w:r w:rsidRPr="00A54361">
              <w:rPr>
                <w:rFonts w:asciiTheme="minorHAnsi" w:eastAsia="Arial" w:hAnsiTheme="minorHAnsi" w:cstheme="minorHAnsi"/>
                <w:spacing w:val="-4"/>
              </w:rPr>
              <w:t>M</w:t>
            </w:r>
            <w:r w:rsidRPr="00A54361">
              <w:rPr>
                <w:rFonts w:asciiTheme="minorHAnsi" w:eastAsia="Arial" w:hAnsiTheme="minorHAnsi" w:cstheme="minorHAnsi"/>
              </w:rPr>
              <w:t>a</w:t>
            </w:r>
            <w:r w:rsidRPr="00A54361">
              <w:rPr>
                <w:rFonts w:asciiTheme="minorHAnsi" w:eastAsia="Arial" w:hAnsiTheme="minorHAnsi" w:cstheme="minorHAnsi"/>
                <w:spacing w:val="-1"/>
              </w:rPr>
              <w:t>n</w:t>
            </w:r>
            <w:r w:rsidRPr="00A54361">
              <w:rPr>
                <w:rFonts w:asciiTheme="minorHAnsi" w:eastAsia="Arial" w:hAnsiTheme="minorHAnsi" w:cstheme="minorHAnsi"/>
              </w:rPr>
              <w:t>a</w:t>
            </w:r>
            <w:r w:rsidRPr="00A54361">
              <w:rPr>
                <w:rFonts w:asciiTheme="minorHAnsi" w:eastAsia="Arial" w:hAnsiTheme="minorHAnsi" w:cstheme="minorHAnsi"/>
                <w:spacing w:val="2"/>
              </w:rPr>
              <w:t>g</w:t>
            </w:r>
            <w:r w:rsidRPr="00A54361">
              <w:rPr>
                <w:rFonts w:asciiTheme="minorHAnsi" w:eastAsia="Arial" w:hAnsiTheme="minorHAnsi" w:cstheme="minorHAnsi"/>
                <w:spacing w:val="-3"/>
              </w:rPr>
              <w:t>e</w:t>
            </w:r>
            <w:r w:rsidRPr="00A54361">
              <w:rPr>
                <w:rFonts w:asciiTheme="minorHAnsi" w:eastAsia="Arial" w:hAnsiTheme="minorHAnsi" w:cstheme="minorHAnsi"/>
                <w:spacing w:val="1"/>
              </w:rPr>
              <w:t>m</w:t>
            </w:r>
            <w:r w:rsidRPr="00A54361">
              <w:rPr>
                <w:rFonts w:asciiTheme="minorHAnsi" w:eastAsia="Arial" w:hAnsiTheme="minorHAnsi" w:cstheme="minorHAnsi"/>
              </w:rPr>
              <w:t>e</w:t>
            </w:r>
            <w:r w:rsidRPr="00A54361">
              <w:rPr>
                <w:rFonts w:asciiTheme="minorHAnsi" w:eastAsia="Arial" w:hAnsiTheme="minorHAnsi" w:cstheme="minorHAnsi"/>
                <w:spacing w:val="-1"/>
              </w:rPr>
              <w:t>n</w:t>
            </w:r>
            <w:r w:rsidRPr="00A54361">
              <w:rPr>
                <w:rFonts w:asciiTheme="minorHAnsi" w:eastAsia="Arial" w:hAnsiTheme="minorHAnsi" w:cstheme="minorHAnsi"/>
              </w:rPr>
              <w:t>t</w:t>
            </w:r>
          </w:p>
        </w:tc>
        <w:tc>
          <w:tcPr>
            <w:tcW w:w="1418" w:type="dxa"/>
            <w:vAlign w:val="center"/>
          </w:tcPr>
          <w:p w14:paraId="661F9F0E" w14:textId="40588629" w:rsidR="001870AA" w:rsidRPr="00A54361" w:rsidRDefault="000F3C52" w:rsidP="00A54361">
            <w:pPr>
              <w:pStyle w:val="TableParagraph"/>
              <w:jc w:val="both"/>
              <w:rPr>
                <w:rStyle w:val="Strong"/>
                <w:rFonts w:asciiTheme="minorHAnsi" w:hAnsiTheme="minorHAnsi" w:cstheme="minorHAnsi"/>
                <w:b w:val="0"/>
              </w:rPr>
            </w:pPr>
            <w:r w:rsidRPr="00A54361">
              <w:rPr>
                <w:rStyle w:val="Strong"/>
                <w:rFonts w:asciiTheme="minorHAnsi" w:hAnsiTheme="minorHAnsi" w:cstheme="minorHAnsi"/>
                <w:b w:val="0"/>
              </w:rPr>
              <w:t>S</w:t>
            </w:r>
          </w:p>
        </w:tc>
        <w:tc>
          <w:tcPr>
            <w:tcW w:w="1580" w:type="dxa"/>
            <w:vAlign w:val="center"/>
          </w:tcPr>
          <w:p w14:paraId="6625B6AC" w14:textId="30510AEA" w:rsidR="001870AA" w:rsidRPr="00A54361" w:rsidRDefault="00B960B7" w:rsidP="00A54361">
            <w:pPr>
              <w:pStyle w:val="TableParagraph"/>
              <w:jc w:val="both"/>
              <w:rPr>
                <w:rStyle w:val="Strong"/>
                <w:rFonts w:asciiTheme="minorHAnsi" w:hAnsiTheme="minorHAnsi" w:cstheme="minorHAnsi"/>
                <w:b w:val="0"/>
              </w:rPr>
            </w:pPr>
            <w:r w:rsidRPr="00A54361">
              <w:rPr>
                <w:rStyle w:val="Strong"/>
                <w:rFonts w:asciiTheme="minorHAnsi" w:hAnsiTheme="minorHAnsi" w:cstheme="minorHAnsi"/>
                <w:b w:val="0"/>
              </w:rPr>
              <w:t>P</w:t>
            </w:r>
          </w:p>
        </w:tc>
        <w:tc>
          <w:tcPr>
            <w:tcW w:w="1538" w:type="dxa"/>
            <w:vAlign w:val="center"/>
          </w:tcPr>
          <w:p w14:paraId="4FDDD57A" w14:textId="53912599" w:rsidR="001870AA" w:rsidRPr="00A54361" w:rsidRDefault="004F5CC5" w:rsidP="00A54361">
            <w:pPr>
              <w:pStyle w:val="TableParagraph"/>
              <w:jc w:val="both"/>
              <w:rPr>
                <w:rStyle w:val="Strong"/>
                <w:rFonts w:asciiTheme="minorHAnsi" w:hAnsiTheme="minorHAnsi" w:cstheme="minorHAnsi"/>
                <w:b w:val="0"/>
              </w:rPr>
            </w:pPr>
            <w:r w:rsidRPr="00A54361">
              <w:rPr>
                <w:rStyle w:val="Strong"/>
                <w:rFonts w:asciiTheme="minorHAnsi" w:hAnsiTheme="minorHAnsi" w:cstheme="minorHAnsi"/>
                <w:b w:val="0"/>
              </w:rPr>
              <w:t>P</w:t>
            </w:r>
          </w:p>
        </w:tc>
      </w:tr>
      <w:tr w:rsidR="000D3DC1" w:rsidRPr="00A54361" w14:paraId="669470BB" w14:textId="77777777" w:rsidTr="005D16B3">
        <w:tc>
          <w:tcPr>
            <w:tcW w:w="988" w:type="dxa"/>
            <w:vAlign w:val="center"/>
          </w:tcPr>
          <w:p w14:paraId="7A5D1341" w14:textId="025C4A1C" w:rsidR="00061F24" w:rsidRPr="00A54361" w:rsidRDefault="00061F24" w:rsidP="00A54361">
            <w:pPr>
              <w:pStyle w:val="TableParagraph"/>
              <w:jc w:val="both"/>
              <w:rPr>
                <w:rStyle w:val="Strong"/>
                <w:rFonts w:asciiTheme="minorHAnsi" w:hAnsiTheme="minorHAnsi" w:cstheme="minorHAnsi"/>
                <w:b w:val="0"/>
              </w:rPr>
            </w:pPr>
          </w:p>
        </w:tc>
        <w:tc>
          <w:tcPr>
            <w:tcW w:w="8646" w:type="dxa"/>
            <w:gridSpan w:val="4"/>
            <w:vAlign w:val="center"/>
          </w:tcPr>
          <w:p w14:paraId="53F35FAA" w14:textId="77777777" w:rsidR="00061F24" w:rsidRPr="00A54361" w:rsidRDefault="00061F24" w:rsidP="00A54361">
            <w:pPr>
              <w:pStyle w:val="TableParagraph"/>
              <w:jc w:val="both"/>
              <w:rPr>
                <w:rStyle w:val="Strong"/>
                <w:rFonts w:asciiTheme="minorHAnsi" w:hAnsiTheme="minorHAnsi" w:cstheme="minorHAnsi"/>
                <w:b w:val="0"/>
              </w:rPr>
            </w:pPr>
            <w:r w:rsidRPr="00A54361">
              <w:rPr>
                <w:rStyle w:val="Strong"/>
                <w:rFonts w:asciiTheme="minorHAnsi" w:hAnsiTheme="minorHAnsi" w:cstheme="minorHAnsi"/>
                <w:bCs w:val="0"/>
              </w:rPr>
              <w:t>S</w:t>
            </w:r>
            <w:r w:rsidRPr="00A54361">
              <w:rPr>
                <w:rStyle w:val="Strong"/>
                <w:rFonts w:asciiTheme="minorHAnsi" w:hAnsiTheme="minorHAnsi" w:cstheme="minorHAnsi"/>
                <w:b w:val="0"/>
              </w:rPr>
              <w:t xml:space="preserve"> – Signed Off (Responsible for providing the go-ahead)</w:t>
            </w:r>
          </w:p>
          <w:p w14:paraId="3AA9E7E8" w14:textId="77777777" w:rsidR="00061F24" w:rsidRPr="00A54361" w:rsidRDefault="00061F24" w:rsidP="00A54361">
            <w:pPr>
              <w:pStyle w:val="TableParagraph"/>
              <w:jc w:val="both"/>
              <w:rPr>
                <w:rStyle w:val="Strong"/>
                <w:rFonts w:asciiTheme="minorHAnsi" w:hAnsiTheme="minorHAnsi" w:cstheme="minorHAnsi"/>
                <w:b w:val="0"/>
              </w:rPr>
            </w:pPr>
            <w:r w:rsidRPr="00A54361">
              <w:rPr>
                <w:rStyle w:val="Strong"/>
                <w:rFonts w:asciiTheme="minorHAnsi" w:hAnsiTheme="minorHAnsi" w:cstheme="minorHAnsi"/>
                <w:bCs w:val="0"/>
              </w:rPr>
              <w:t>P</w:t>
            </w:r>
            <w:r w:rsidRPr="00A54361">
              <w:rPr>
                <w:rStyle w:val="Strong"/>
                <w:rFonts w:asciiTheme="minorHAnsi" w:hAnsiTheme="minorHAnsi" w:cstheme="minorHAnsi"/>
                <w:b w:val="0"/>
              </w:rPr>
              <w:t xml:space="preserve"> – Performed (Primary responsibility for executing the activity)</w:t>
            </w:r>
          </w:p>
          <w:p w14:paraId="23327F62" w14:textId="77777777" w:rsidR="00061F24" w:rsidRPr="00A54361" w:rsidRDefault="00061F24" w:rsidP="00A54361">
            <w:pPr>
              <w:pStyle w:val="TableParagraph"/>
              <w:jc w:val="both"/>
              <w:rPr>
                <w:rStyle w:val="Strong"/>
                <w:rFonts w:asciiTheme="minorHAnsi" w:hAnsiTheme="minorHAnsi" w:cstheme="minorHAnsi"/>
                <w:b w:val="0"/>
              </w:rPr>
            </w:pPr>
            <w:r w:rsidRPr="00A54361">
              <w:rPr>
                <w:rStyle w:val="Strong"/>
                <w:rFonts w:asciiTheme="minorHAnsi" w:hAnsiTheme="minorHAnsi" w:cstheme="minorHAnsi"/>
                <w:bCs w:val="0"/>
              </w:rPr>
              <w:t>V</w:t>
            </w:r>
            <w:r w:rsidRPr="00A54361">
              <w:rPr>
                <w:rStyle w:val="Strong"/>
                <w:rFonts w:asciiTheme="minorHAnsi" w:hAnsiTheme="minorHAnsi" w:cstheme="minorHAnsi"/>
                <w:b w:val="0"/>
              </w:rPr>
              <w:t xml:space="preserve"> – Validated (Responsible for Validating the activity)</w:t>
            </w:r>
          </w:p>
          <w:p w14:paraId="268F67F9" w14:textId="6FDAC2C0" w:rsidR="00061F24" w:rsidRPr="00A54361" w:rsidRDefault="00061F24" w:rsidP="00A54361">
            <w:pPr>
              <w:pStyle w:val="TableParagraph"/>
              <w:jc w:val="both"/>
              <w:rPr>
                <w:rStyle w:val="Strong"/>
                <w:rFonts w:asciiTheme="minorHAnsi" w:hAnsiTheme="minorHAnsi" w:cstheme="minorHAnsi"/>
                <w:b w:val="0"/>
              </w:rPr>
            </w:pPr>
            <w:r w:rsidRPr="00A54361">
              <w:rPr>
                <w:rStyle w:val="Strong"/>
                <w:rFonts w:asciiTheme="minorHAnsi" w:hAnsiTheme="minorHAnsi" w:cstheme="minorHAnsi"/>
                <w:bCs w:val="0"/>
              </w:rPr>
              <w:t>M</w:t>
            </w:r>
            <w:r w:rsidRPr="00A54361">
              <w:rPr>
                <w:rStyle w:val="Strong"/>
                <w:rFonts w:asciiTheme="minorHAnsi" w:hAnsiTheme="minorHAnsi" w:cstheme="minorHAnsi"/>
                <w:b w:val="0"/>
              </w:rPr>
              <w:t xml:space="preserve"> – Monitoring (Responsible for continuous monitoring of activity)</w:t>
            </w:r>
          </w:p>
        </w:tc>
      </w:tr>
    </w:tbl>
    <w:p w14:paraId="38BFC6F1" w14:textId="02257710" w:rsidR="005E50D4" w:rsidRPr="00A54361" w:rsidRDefault="005E50D4" w:rsidP="00A54361">
      <w:pPr>
        <w:pStyle w:val="TableParagraph"/>
        <w:jc w:val="both"/>
        <w:rPr>
          <w:rStyle w:val="Strong"/>
          <w:rFonts w:asciiTheme="minorHAnsi" w:hAnsiTheme="minorHAnsi"/>
          <w:b w:val="0"/>
        </w:rPr>
      </w:pPr>
    </w:p>
    <w:p w14:paraId="09B65D9A" w14:textId="77777777" w:rsidR="00C9256B" w:rsidRPr="00A54361" w:rsidRDefault="00C9256B" w:rsidP="00A54361">
      <w:pPr>
        <w:pStyle w:val="TableParagraph"/>
        <w:jc w:val="both"/>
        <w:rPr>
          <w:rStyle w:val="Strong"/>
          <w:rFonts w:asciiTheme="minorHAnsi" w:hAnsiTheme="minorHAnsi"/>
          <w:bCs w:val="0"/>
        </w:rPr>
      </w:pPr>
    </w:p>
    <w:p w14:paraId="1E67F540" w14:textId="4BCF5FF4" w:rsidR="008338B7" w:rsidRPr="00A54361" w:rsidRDefault="008338B7" w:rsidP="00A54361">
      <w:pPr>
        <w:pStyle w:val="TableParagraph"/>
        <w:numPr>
          <w:ilvl w:val="2"/>
          <w:numId w:val="49"/>
        </w:numPr>
        <w:jc w:val="both"/>
        <w:rPr>
          <w:rStyle w:val="Strong"/>
          <w:rFonts w:asciiTheme="minorHAnsi" w:hAnsiTheme="minorHAnsi"/>
          <w:bCs w:val="0"/>
        </w:rPr>
      </w:pPr>
      <w:r w:rsidRPr="00A54361">
        <w:rPr>
          <w:rStyle w:val="Strong"/>
          <w:rFonts w:asciiTheme="minorHAnsi" w:hAnsiTheme="minorHAnsi"/>
          <w:bCs w:val="0"/>
        </w:rPr>
        <w:t>Penalty Computation</w:t>
      </w:r>
    </w:p>
    <w:p w14:paraId="15384CC7" w14:textId="77777777" w:rsidR="008338B7" w:rsidRPr="00A54361" w:rsidRDefault="008338B7" w:rsidP="00A54361">
      <w:pPr>
        <w:jc w:val="both"/>
        <w:rPr>
          <w:rFonts w:cstheme="minorHAnsi"/>
        </w:rPr>
      </w:pPr>
      <w:r w:rsidRPr="00A54361">
        <w:rPr>
          <w:rFonts w:cstheme="minorHAnsi"/>
        </w:rPr>
        <w:t>In the event of Service Level Default, Bidder shall pay the Bank a penalty that will be computed in accordance with the following formula:</w:t>
      </w:r>
    </w:p>
    <w:p w14:paraId="2BE62E6F" w14:textId="77777777" w:rsidR="008338B7" w:rsidRPr="00A54361" w:rsidRDefault="008338B7" w:rsidP="00A54361">
      <w:pPr>
        <w:jc w:val="both"/>
        <w:rPr>
          <w:rFonts w:cstheme="minorHAnsi"/>
          <w:b/>
        </w:rPr>
      </w:pPr>
      <w:r w:rsidRPr="00A54361">
        <w:rPr>
          <w:rFonts w:cstheme="minorHAnsi"/>
          <w:b/>
        </w:rPr>
        <w:t>Monthly Service Level Default = Minimum Service Level (for a month) – Actual Service Level (for a month)</w:t>
      </w:r>
    </w:p>
    <w:p w14:paraId="076031C1" w14:textId="0B145428" w:rsidR="004F5941" w:rsidRPr="00A54361" w:rsidRDefault="008338B7" w:rsidP="00A54361">
      <w:pPr>
        <w:jc w:val="both"/>
        <w:rPr>
          <w:rFonts w:cstheme="minorHAnsi"/>
        </w:rPr>
      </w:pPr>
      <w:r w:rsidRPr="00A54361">
        <w:rPr>
          <w:rFonts w:cstheme="minorHAnsi"/>
        </w:rPr>
        <w:t>Total amount of penalty Bidder is obligated to pay the Bank shall be reflected on the invoice provided to the Bank in the quarter, after the quarter in which the Service Levels were assessed. The Bank shall be entitled to deduct the penalty amount from the amounts payable by the Bank to the selected Bidder as per the invoice.</w:t>
      </w:r>
    </w:p>
    <w:p w14:paraId="0BEA6913" w14:textId="0A4580D9" w:rsidR="008338B7" w:rsidRPr="00A54361" w:rsidRDefault="008338B7" w:rsidP="00A54361">
      <w:pPr>
        <w:pStyle w:val="BodyText"/>
        <w:spacing w:before="100" w:beforeAutospacing="1" w:after="100" w:afterAutospacing="1"/>
        <w:ind w:right="116"/>
        <w:rPr>
          <w:rFonts w:asciiTheme="minorHAnsi" w:hAnsiTheme="minorHAnsi" w:cstheme="minorHAnsi"/>
          <w:b/>
          <w:spacing w:val="-1"/>
          <w:sz w:val="24"/>
          <w:szCs w:val="24"/>
        </w:rPr>
      </w:pPr>
      <w:r w:rsidRPr="00A54361">
        <w:rPr>
          <w:rFonts w:asciiTheme="minorHAnsi" w:hAnsiTheme="minorHAnsi" w:cstheme="minorHAnsi"/>
          <w:b/>
          <w:spacing w:val="-1"/>
          <w:sz w:val="24"/>
          <w:szCs w:val="24"/>
        </w:rPr>
        <w:lastRenderedPageBreak/>
        <w:t>Example: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6267"/>
      </w:tblGrid>
      <w:tr w:rsidR="000D3DC1" w:rsidRPr="00A54361" w14:paraId="469E0F92" w14:textId="77777777" w:rsidTr="005D16B3">
        <w:tc>
          <w:tcPr>
            <w:tcW w:w="2948" w:type="dxa"/>
            <w:shd w:val="clear" w:color="auto" w:fill="E7E6E6" w:themeFill="background2"/>
          </w:tcPr>
          <w:p w14:paraId="3ACDBEB7" w14:textId="77777777" w:rsidR="008338B7" w:rsidRPr="00A54361" w:rsidRDefault="008338B7" w:rsidP="00A54361">
            <w:pPr>
              <w:pStyle w:val="BodyText"/>
              <w:spacing w:before="100" w:beforeAutospacing="1" w:after="100" w:afterAutospacing="1"/>
              <w:ind w:right="116"/>
              <w:rPr>
                <w:rFonts w:asciiTheme="minorHAnsi" w:hAnsiTheme="minorHAnsi" w:cstheme="minorHAnsi"/>
                <w:spacing w:val="-1"/>
                <w:sz w:val="24"/>
                <w:szCs w:val="24"/>
              </w:rPr>
            </w:pPr>
            <w:r w:rsidRPr="00A54361">
              <w:rPr>
                <w:rFonts w:asciiTheme="minorHAnsi" w:hAnsiTheme="minorHAnsi" w:cstheme="minorHAnsi"/>
                <w:spacing w:val="-1"/>
                <w:sz w:val="24"/>
                <w:szCs w:val="24"/>
              </w:rPr>
              <w:t>Scenario</w:t>
            </w:r>
          </w:p>
        </w:tc>
        <w:tc>
          <w:tcPr>
            <w:tcW w:w="6946" w:type="dxa"/>
            <w:shd w:val="clear" w:color="auto" w:fill="E7E6E6" w:themeFill="background2"/>
          </w:tcPr>
          <w:p w14:paraId="021A50E5" w14:textId="77777777" w:rsidR="008338B7" w:rsidRPr="00A54361" w:rsidRDefault="008338B7" w:rsidP="00A54361">
            <w:pPr>
              <w:pStyle w:val="BodyText"/>
              <w:spacing w:before="100" w:beforeAutospacing="1" w:after="100" w:afterAutospacing="1"/>
              <w:ind w:right="116"/>
              <w:rPr>
                <w:rFonts w:asciiTheme="minorHAnsi" w:hAnsiTheme="minorHAnsi" w:cstheme="minorHAnsi"/>
                <w:spacing w:val="-1"/>
                <w:sz w:val="24"/>
                <w:szCs w:val="24"/>
              </w:rPr>
            </w:pPr>
            <w:r w:rsidRPr="00A54361">
              <w:rPr>
                <w:rFonts w:asciiTheme="minorHAnsi" w:hAnsiTheme="minorHAnsi" w:cstheme="minorHAnsi"/>
                <w:spacing w:val="-1"/>
                <w:sz w:val="24"/>
                <w:szCs w:val="24"/>
              </w:rPr>
              <w:t>Result</w:t>
            </w:r>
          </w:p>
        </w:tc>
      </w:tr>
      <w:tr w:rsidR="000D3DC1" w:rsidRPr="00A54361" w14:paraId="30431A5E" w14:textId="77777777" w:rsidTr="005D16B3">
        <w:trPr>
          <w:trHeight w:val="5516"/>
        </w:trPr>
        <w:tc>
          <w:tcPr>
            <w:tcW w:w="2948" w:type="dxa"/>
          </w:tcPr>
          <w:p w14:paraId="38C83E97" w14:textId="77777777" w:rsidR="008338B7" w:rsidRPr="00A54361" w:rsidRDefault="008338B7" w:rsidP="00A54361">
            <w:pPr>
              <w:jc w:val="both"/>
              <w:rPr>
                <w:rFonts w:cstheme="minorHAnsi"/>
              </w:rPr>
            </w:pPr>
            <w:r w:rsidRPr="00A54361">
              <w:rPr>
                <w:rFonts w:cstheme="minorHAnsi"/>
              </w:rPr>
              <w:t>The achieved availability of Network Infrastructure has been measured to be 98% in a particular assessment month.</w:t>
            </w:r>
          </w:p>
        </w:tc>
        <w:tc>
          <w:tcPr>
            <w:tcW w:w="6946" w:type="dxa"/>
          </w:tcPr>
          <w:p w14:paraId="7515FC92" w14:textId="6B9D6EE5" w:rsidR="008338B7" w:rsidRPr="00A54361" w:rsidRDefault="008338B7" w:rsidP="00A54361">
            <w:pPr>
              <w:pStyle w:val="BodyText"/>
              <w:spacing w:before="100" w:beforeAutospacing="1" w:after="100" w:afterAutospacing="1"/>
              <w:ind w:right="116"/>
              <w:rPr>
                <w:rFonts w:asciiTheme="minorHAnsi" w:hAnsiTheme="minorHAnsi" w:cstheme="minorHAnsi"/>
                <w:spacing w:val="-1"/>
                <w:sz w:val="22"/>
                <w:szCs w:val="22"/>
              </w:rPr>
            </w:pPr>
            <w:r w:rsidRPr="00A54361">
              <w:rPr>
                <w:rFonts w:asciiTheme="minorHAnsi" w:hAnsiTheme="minorHAnsi" w:cstheme="minorHAnsi"/>
                <w:spacing w:val="-1"/>
                <w:sz w:val="22"/>
                <w:szCs w:val="22"/>
              </w:rPr>
              <w:t xml:space="preserve">The expected Availability service level for </w:t>
            </w:r>
            <w:r w:rsidR="00A836BA" w:rsidRPr="00A54361">
              <w:rPr>
                <w:rFonts w:asciiTheme="minorHAnsi" w:hAnsiTheme="minorHAnsi" w:cstheme="minorHAnsi"/>
                <w:spacing w:val="-1"/>
                <w:sz w:val="22"/>
                <w:szCs w:val="22"/>
              </w:rPr>
              <w:t>Cyber Security Solutions</w:t>
            </w:r>
            <w:r w:rsidR="00E86DED" w:rsidRPr="00A54361">
              <w:rPr>
                <w:rFonts w:asciiTheme="minorHAnsi" w:hAnsiTheme="minorHAnsi" w:cstheme="minorHAnsi"/>
                <w:spacing w:val="-1"/>
                <w:sz w:val="22"/>
                <w:szCs w:val="22"/>
              </w:rPr>
              <w:t xml:space="preserve"> </w:t>
            </w:r>
            <w:r w:rsidR="00E86DED" w:rsidRPr="00A54361">
              <w:rPr>
                <w:rFonts w:cstheme="minorHAnsi"/>
              </w:rPr>
              <w:t>and associated hardware</w:t>
            </w:r>
            <w:r w:rsidRPr="00A54361">
              <w:rPr>
                <w:rFonts w:asciiTheme="minorHAnsi" w:hAnsiTheme="minorHAnsi" w:cstheme="minorHAnsi"/>
                <w:spacing w:val="-1"/>
                <w:sz w:val="22"/>
                <w:szCs w:val="22"/>
              </w:rPr>
              <w:t xml:space="preserve"> is 99.95%.</w:t>
            </w:r>
          </w:p>
          <w:p w14:paraId="67876572" w14:textId="77777777" w:rsidR="008338B7" w:rsidRPr="00A54361" w:rsidRDefault="008338B7" w:rsidP="00A54361">
            <w:pPr>
              <w:pStyle w:val="BodyText"/>
              <w:spacing w:before="100" w:beforeAutospacing="1" w:after="100" w:afterAutospacing="1"/>
              <w:ind w:right="116"/>
              <w:rPr>
                <w:rFonts w:asciiTheme="minorHAnsi" w:hAnsiTheme="minorHAnsi" w:cstheme="minorHAnsi"/>
                <w:spacing w:val="-1"/>
                <w:sz w:val="22"/>
                <w:szCs w:val="22"/>
              </w:rPr>
            </w:pPr>
            <w:r w:rsidRPr="00A54361">
              <w:rPr>
                <w:rFonts w:asciiTheme="minorHAnsi" w:hAnsiTheme="minorHAnsi" w:cstheme="minorHAnsi"/>
                <w:spacing w:val="-1"/>
                <w:sz w:val="22"/>
                <w:szCs w:val="22"/>
              </w:rPr>
              <w:t>The achieved service level in the assessment month was calculated to be 98%</w:t>
            </w:r>
          </w:p>
          <w:p w14:paraId="504BC2B8" w14:textId="77777777" w:rsidR="008338B7" w:rsidRPr="00A54361" w:rsidRDefault="008338B7" w:rsidP="00A54361">
            <w:pPr>
              <w:pStyle w:val="BodyText"/>
              <w:spacing w:before="100" w:beforeAutospacing="1" w:after="100" w:afterAutospacing="1"/>
              <w:ind w:right="116"/>
              <w:rPr>
                <w:rFonts w:asciiTheme="minorHAnsi" w:hAnsiTheme="minorHAnsi" w:cstheme="minorHAnsi"/>
                <w:spacing w:val="-1"/>
                <w:sz w:val="22"/>
                <w:szCs w:val="22"/>
                <w:u w:val="single"/>
              </w:rPr>
            </w:pPr>
            <w:r w:rsidRPr="00A54361">
              <w:rPr>
                <w:rFonts w:asciiTheme="minorHAnsi" w:hAnsiTheme="minorHAnsi" w:cstheme="minorHAnsi"/>
                <w:spacing w:val="-1"/>
                <w:sz w:val="22"/>
                <w:szCs w:val="22"/>
                <w:u w:val="single"/>
              </w:rPr>
              <w:t>Cost Reference for 5 year tenure</w:t>
            </w:r>
          </w:p>
          <w:p w14:paraId="0579F3CD" w14:textId="202E24B9" w:rsidR="008338B7" w:rsidRPr="00A54361" w:rsidRDefault="00A836BA" w:rsidP="00A54361">
            <w:pPr>
              <w:pStyle w:val="BodyText"/>
              <w:spacing w:before="100" w:beforeAutospacing="1" w:after="100" w:afterAutospacing="1"/>
              <w:ind w:right="116"/>
              <w:rPr>
                <w:rFonts w:asciiTheme="minorHAnsi" w:hAnsiTheme="minorHAnsi" w:cstheme="minorHAnsi"/>
                <w:spacing w:val="-1"/>
                <w:sz w:val="22"/>
                <w:szCs w:val="22"/>
              </w:rPr>
            </w:pPr>
            <w:r w:rsidRPr="00A54361">
              <w:rPr>
                <w:rFonts w:asciiTheme="minorHAnsi" w:hAnsiTheme="minorHAnsi" w:cstheme="minorHAnsi"/>
                <w:spacing w:val="-1"/>
                <w:sz w:val="22"/>
                <w:szCs w:val="22"/>
              </w:rPr>
              <w:t>Cyber Security Solutions</w:t>
            </w:r>
            <w:r w:rsidR="008338B7" w:rsidRPr="00A54361">
              <w:rPr>
                <w:rFonts w:asciiTheme="minorHAnsi" w:hAnsiTheme="minorHAnsi" w:cstheme="minorHAnsi"/>
                <w:spacing w:val="-1"/>
                <w:sz w:val="22"/>
                <w:szCs w:val="22"/>
              </w:rPr>
              <w:t xml:space="preserve"> </w:t>
            </w:r>
            <w:r w:rsidR="00F804B7" w:rsidRPr="00A54361">
              <w:rPr>
                <w:rFonts w:asciiTheme="minorHAnsi" w:hAnsiTheme="minorHAnsi" w:cstheme="minorHAnsi"/>
                <w:spacing w:val="-1"/>
                <w:sz w:val="22"/>
                <w:szCs w:val="22"/>
              </w:rPr>
              <w:t>cost =</w:t>
            </w:r>
            <w:r w:rsidR="008338B7" w:rsidRPr="00A54361">
              <w:rPr>
                <w:rFonts w:asciiTheme="minorHAnsi" w:hAnsiTheme="minorHAnsi" w:cstheme="minorHAnsi"/>
                <w:spacing w:val="-1"/>
                <w:sz w:val="22"/>
                <w:szCs w:val="22"/>
              </w:rPr>
              <w:t xml:space="preserve"> INR 1 crores (approximately) </w:t>
            </w:r>
          </w:p>
          <w:p w14:paraId="328AA29D" w14:textId="3ED0A968" w:rsidR="008338B7" w:rsidRPr="00A54361" w:rsidRDefault="00A836BA" w:rsidP="00A54361">
            <w:pPr>
              <w:pStyle w:val="BodyText"/>
              <w:spacing w:before="100" w:beforeAutospacing="1" w:after="100" w:afterAutospacing="1"/>
              <w:ind w:right="116"/>
              <w:rPr>
                <w:rFonts w:asciiTheme="minorHAnsi" w:hAnsiTheme="minorHAnsi" w:cstheme="minorHAnsi"/>
                <w:spacing w:val="-1"/>
                <w:sz w:val="22"/>
                <w:szCs w:val="22"/>
              </w:rPr>
            </w:pPr>
            <w:r w:rsidRPr="00A54361">
              <w:rPr>
                <w:rFonts w:asciiTheme="minorHAnsi" w:hAnsiTheme="minorHAnsi" w:cstheme="minorHAnsi"/>
                <w:spacing w:val="-1"/>
                <w:sz w:val="22"/>
                <w:szCs w:val="22"/>
              </w:rPr>
              <w:t>Cyber Security Solutions</w:t>
            </w:r>
            <w:r w:rsidR="008338B7" w:rsidRPr="00A54361">
              <w:rPr>
                <w:rFonts w:asciiTheme="minorHAnsi" w:hAnsiTheme="minorHAnsi" w:cstheme="minorHAnsi"/>
                <w:spacing w:val="-1"/>
                <w:sz w:val="22"/>
                <w:szCs w:val="22"/>
              </w:rPr>
              <w:t xml:space="preserve"> AMC cost (till date) = INR 30,00,000 (approximately) </w:t>
            </w:r>
          </w:p>
          <w:p w14:paraId="0B8D4225" w14:textId="46CCF5AF" w:rsidR="008338B7" w:rsidRPr="00A54361" w:rsidRDefault="008338B7" w:rsidP="00A54361">
            <w:pPr>
              <w:pStyle w:val="BodyText"/>
              <w:spacing w:before="100" w:beforeAutospacing="1" w:after="100" w:afterAutospacing="1"/>
              <w:ind w:right="116"/>
              <w:rPr>
                <w:rFonts w:asciiTheme="minorHAnsi" w:hAnsiTheme="minorHAnsi" w:cstheme="minorHAnsi"/>
                <w:spacing w:val="-1"/>
                <w:sz w:val="22"/>
                <w:szCs w:val="22"/>
              </w:rPr>
            </w:pPr>
            <w:r w:rsidRPr="00A54361">
              <w:rPr>
                <w:rFonts w:asciiTheme="minorHAnsi" w:hAnsiTheme="minorHAnsi" w:cstheme="minorHAnsi"/>
                <w:spacing w:val="-1"/>
                <w:sz w:val="22"/>
                <w:szCs w:val="22"/>
              </w:rPr>
              <w:t xml:space="preserve">Total cost of product and services for a </w:t>
            </w:r>
            <w:r w:rsidR="00A836BA" w:rsidRPr="00A54361">
              <w:rPr>
                <w:rFonts w:asciiTheme="minorHAnsi" w:hAnsiTheme="minorHAnsi" w:cstheme="minorHAnsi"/>
                <w:spacing w:val="-1"/>
                <w:sz w:val="22"/>
                <w:szCs w:val="22"/>
              </w:rPr>
              <w:t>Cyber security Solutions</w:t>
            </w:r>
            <w:r w:rsidRPr="00A54361">
              <w:rPr>
                <w:rFonts w:asciiTheme="minorHAnsi" w:hAnsiTheme="minorHAnsi" w:cstheme="minorHAnsi"/>
                <w:spacing w:val="-1"/>
                <w:sz w:val="22"/>
                <w:szCs w:val="22"/>
              </w:rPr>
              <w:t xml:space="preserve"> = 1,30,00,000</w:t>
            </w:r>
          </w:p>
          <w:p w14:paraId="452F4881" w14:textId="234577F2" w:rsidR="008338B7" w:rsidRPr="00A54361" w:rsidRDefault="008338B7" w:rsidP="00A54361">
            <w:pPr>
              <w:pStyle w:val="BodyText"/>
              <w:spacing w:before="100" w:beforeAutospacing="1" w:after="100" w:afterAutospacing="1"/>
              <w:ind w:right="116"/>
              <w:rPr>
                <w:rFonts w:asciiTheme="minorHAnsi" w:hAnsiTheme="minorHAnsi" w:cstheme="minorHAnsi"/>
                <w:spacing w:val="-1"/>
                <w:sz w:val="22"/>
                <w:szCs w:val="22"/>
              </w:rPr>
            </w:pPr>
            <w:r w:rsidRPr="00A54361">
              <w:rPr>
                <w:rFonts w:asciiTheme="minorHAnsi" w:hAnsiTheme="minorHAnsi" w:cstheme="minorHAnsi"/>
                <w:spacing w:val="-1"/>
                <w:sz w:val="22"/>
                <w:szCs w:val="22"/>
              </w:rPr>
              <w:t>As per</w:t>
            </w:r>
            <w:r w:rsidR="00367F08" w:rsidRPr="00A54361">
              <w:rPr>
                <w:rFonts w:asciiTheme="minorHAnsi" w:hAnsiTheme="minorHAnsi" w:cstheme="minorHAnsi"/>
                <w:spacing w:val="-1"/>
                <w:sz w:val="22"/>
                <w:szCs w:val="22"/>
              </w:rPr>
              <w:t xml:space="preserve"> </w:t>
            </w:r>
            <w:r w:rsidR="00F804B7" w:rsidRPr="00A54361">
              <w:rPr>
                <w:rFonts w:asciiTheme="minorHAnsi" w:hAnsiTheme="minorHAnsi" w:cstheme="minorHAnsi"/>
                <w:spacing w:val="-1"/>
                <w:sz w:val="22"/>
                <w:szCs w:val="22"/>
              </w:rPr>
              <w:t>above table</w:t>
            </w:r>
            <w:r w:rsidRPr="00A54361">
              <w:rPr>
                <w:rFonts w:asciiTheme="minorHAnsi" w:hAnsiTheme="minorHAnsi" w:cstheme="minorHAnsi"/>
                <w:spacing w:val="-1"/>
                <w:sz w:val="22"/>
                <w:szCs w:val="22"/>
              </w:rPr>
              <w:t>, for Availability Service level default of more than 99.5% and less than 98%, a penalty of 2% would be levied of the total cost of products and services calculated above.</w:t>
            </w:r>
          </w:p>
          <w:p w14:paraId="2C78C5A5" w14:textId="15C38C04" w:rsidR="008338B7" w:rsidRPr="00A54361" w:rsidRDefault="008338B7" w:rsidP="00A54361">
            <w:pPr>
              <w:pStyle w:val="BodyText"/>
              <w:spacing w:before="100" w:beforeAutospacing="1" w:after="100" w:afterAutospacing="1"/>
              <w:ind w:right="116"/>
              <w:rPr>
                <w:rFonts w:asciiTheme="minorHAnsi" w:hAnsiTheme="minorHAnsi" w:cstheme="minorHAnsi"/>
                <w:spacing w:val="-1"/>
                <w:sz w:val="22"/>
                <w:szCs w:val="22"/>
              </w:rPr>
            </w:pPr>
            <w:r w:rsidRPr="00A54361">
              <w:rPr>
                <w:rFonts w:asciiTheme="minorHAnsi" w:hAnsiTheme="minorHAnsi" w:cstheme="minorHAnsi"/>
                <w:spacing w:val="-1"/>
                <w:sz w:val="22"/>
                <w:szCs w:val="22"/>
              </w:rPr>
              <w:t>Thus, 2% of 1,30,00,000 i.e. INR 2,60,000.</w:t>
            </w:r>
          </w:p>
        </w:tc>
      </w:tr>
    </w:tbl>
    <w:p w14:paraId="5F8022A1" w14:textId="0D137D02" w:rsidR="00E31688" w:rsidRPr="00A54361" w:rsidRDefault="00F26816" w:rsidP="00A54361">
      <w:pPr>
        <w:pStyle w:val="Heading1"/>
        <w:numPr>
          <w:ilvl w:val="0"/>
          <w:numId w:val="48"/>
        </w:numPr>
        <w:jc w:val="both"/>
        <w:rPr>
          <w:rFonts w:asciiTheme="minorHAnsi" w:hAnsiTheme="minorHAnsi" w:cstheme="minorHAnsi"/>
          <w:color w:val="auto"/>
        </w:rPr>
      </w:pPr>
      <w:bookmarkStart w:id="144" w:name="_Toc129668487"/>
      <w:bookmarkStart w:id="145" w:name="_Toc182233359"/>
      <w:r w:rsidRPr="00A54361">
        <w:rPr>
          <w:rFonts w:asciiTheme="minorHAnsi" w:hAnsiTheme="minorHAnsi" w:cstheme="minorHAnsi"/>
          <w:color w:val="auto"/>
        </w:rPr>
        <w:t>Liquidated damage</w:t>
      </w:r>
      <w:bookmarkEnd w:id="144"/>
      <w:bookmarkEnd w:id="145"/>
    </w:p>
    <w:p w14:paraId="1809AA0C" w14:textId="1B97D950" w:rsidR="00E31688" w:rsidRPr="00A54361" w:rsidRDefault="00E31688" w:rsidP="00A54361">
      <w:pPr>
        <w:spacing w:before="120" w:after="120"/>
        <w:jc w:val="both"/>
        <w:rPr>
          <w:rFonts w:cstheme="minorHAnsi"/>
        </w:rPr>
      </w:pPr>
      <w:r w:rsidRPr="00A54361">
        <w:rPr>
          <w:rFonts w:cstheme="minorHAnsi"/>
        </w:rPr>
        <w:t xml:space="preserve">The successful bidder must strictly adhere to the schedules for completing the assignments. Failure to meet these Implementation schedule, unless it is due to reasons entirely attributable to the bank, may constitute a material breach of the successful bidder's performance. In the event that the Bank is forced to cancel an awarded contract (relative to this RFP) due to the successful bidder's inability to meet the established delivery dates, </w:t>
      </w:r>
      <w:r w:rsidR="0099035A" w:rsidRPr="00A54361">
        <w:rPr>
          <w:rFonts w:cstheme="minorHAnsi"/>
        </w:rPr>
        <w:t xml:space="preserve">and also </w:t>
      </w:r>
      <w:r w:rsidRPr="00A54361">
        <w:rPr>
          <w:rFonts w:cstheme="minorHAnsi"/>
        </w:rPr>
        <w:t>the bank may take suita</w:t>
      </w:r>
      <w:r w:rsidR="00780A8B" w:rsidRPr="00A54361">
        <w:rPr>
          <w:rFonts w:cstheme="minorHAnsi"/>
        </w:rPr>
        <w:t>ble penal actions as deemed fit.</w:t>
      </w:r>
    </w:p>
    <w:p w14:paraId="6D696BAA" w14:textId="791124AC" w:rsidR="00E31688" w:rsidRPr="00A54361" w:rsidRDefault="00E31688" w:rsidP="00A54361">
      <w:pPr>
        <w:spacing w:before="120" w:after="120"/>
        <w:jc w:val="both"/>
        <w:rPr>
          <w:rFonts w:cstheme="minorHAnsi"/>
        </w:rPr>
      </w:pPr>
      <w:r w:rsidRPr="00A54361">
        <w:rPr>
          <w:rFonts w:cstheme="minorHAnsi"/>
          <w:b/>
          <w:bCs/>
        </w:rPr>
        <w:t>Penalty:</w:t>
      </w:r>
      <w:r w:rsidRPr="00A54361">
        <w:rPr>
          <w:rFonts w:cstheme="minorHAnsi"/>
        </w:rPr>
        <w:t xml:space="preserve"> The successful bidder shall agree </w:t>
      </w:r>
      <w:r w:rsidR="00213D67" w:rsidRPr="00A54361">
        <w:rPr>
          <w:rFonts w:cstheme="minorHAnsi"/>
        </w:rPr>
        <w:t xml:space="preserve">to the </w:t>
      </w:r>
      <w:r w:rsidRPr="00A54361">
        <w:rPr>
          <w:rFonts w:cstheme="minorHAnsi"/>
        </w:rPr>
        <w:t xml:space="preserve">penalties structure in accordance with the following: </w:t>
      </w:r>
    </w:p>
    <w:p w14:paraId="763988BF" w14:textId="230744A6" w:rsidR="00EA47BE" w:rsidRPr="00A54361" w:rsidRDefault="00B20870" w:rsidP="00A54361">
      <w:pPr>
        <w:jc w:val="both"/>
        <w:rPr>
          <w:rFonts w:cstheme="minorHAnsi"/>
        </w:rPr>
      </w:pPr>
      <w:r w:rsidRPr="00A54361">
        <w:rPr>
          <w:rFonts w:cstheme="minorHAnsi"/>
        </w:rPr>
        <w:t xml:space="preserve">The Liquidated Damages (LD) shall be </w:t>
      </w:r>
      <w:r w:rsidR="00B6595F" w:rsidRPr="00A54361">
        <w:rPr>
          <w:rFonts w:cstheme="minorHAnsi"/>
        </w:rPr>
        <w:t>1</w:t>
      </w:r>
      <w:r w:rsidRPr="00A54361">
        <w:rPr>
          <w:rFonts w:cstheme="minorHAnsi"/>
        </w:rPr>
        <w:t xml:space="preserve"> % of </w:t>
      </w:r>
      <w:r w:rsidR="008952CC" w:rsidRPr="00A54361">
        <w:rPr>
          <w:rFonts w:cstheme="minorHAnsi"/>
        </w:rPr>
        <w:t xml:space="preserve">TCO </w:t>
      </w:r>
      <w:r w:rsidR="00FF06BD" w:rsidRPr="00A54361">
        <w:rPr>
          <w:rFonts w:cstheme="minorHAnsi"/>
        </w:rPr>
        <w:t>amount</w:t>
      </w:r>
      <w:r w:rsidR="00531EAF" w:rsidRPr="00A54361">
        <w:rPr>
          <w:rFonts w:cstheme="minorHAnsi"/>
        </w:rPr>
        <w:t xml:space="preserve"> (excluding FMS)</w:t>
      </w:r>
      <w:r w:rsidR="00FF06BD" w:rsidRPr="00A54361">
        <w:rPr>
          <w:rFonts w:cstheme="minorHAnsi"/>
        </w:rPr>
        <w:t xml:space="preserve"> for</w:t>
      </w:r>
      <w:r w:rsidRPr="00A54361">
        <w:rPr>
          <w:rFonts w:cstheme="minorHAnsi"/>
        </w:rPr>
        <w:t xml:space="preserve"> </w:t>
      </w:r>
      <w:r w:rsidR="00531EAF" w:rsidRPr="00A54361">
        <w:rPr>
          <w:rFonts w:cstheme="minorHAnsi"/>
        </w:rPr>
        <w:t>the respective solution,</w:t>
      </w:r>
      <w:r w:rsidRPr="00A54361">
        <w:rPr>
          <w:rFonts w:cstheme="minorHAnsi"/>
        </w:rPr>
        <w:t xml:space="preserve"> which have been delayed for each week or part thereof for delay until actual delivery or performance. However, the total amount of Liquidated Damages deducted will be pegged at 10% of </w:t>
      </w:r>
      <w:r w:rsidR="00E316D4" w:rsidRPr="00A54361">
        <w:rPr>
          <w:rFonts w:cstheme="minorHAnsi"/>
        </w:rPr>
        <w:t>the contract</w:t>
      </w:r>
      <w:r w:rsidR="00A41026" w:rsidRPr="00A54361">
        <w:rPr>
          <w:rFonts w:cstheme="minorHAnsi"/>
        </w:rPr>
        <w:t xml:space="preserve"> </w:t>
      </w:r>
      <w:r w:rsidR="00E316D4" w:rsidRPr="00A54361">
        <w:rPr>
          <w:rFonts w:cstheme="minorHAnsi"/>
        </w:rPr>
        <w:t>value. Once</w:t>
      </w:r>
      <w:r w:rsidR="00EA47BE" w:rsidRPr="00A54361">
        <w:rPr>
          <w:rFonts w:cstheme="minorHAnsi"/>
        </w:rPr>
        <w:t xml:space="preserve"> the maximum is reached, the Bank may consider termination of the contract and other penal measure will be taken like forfeiture of EMD, Foreclosure of BG etc.</w:t>
      </w:r>
    </w:p>
    <w:p w14:paraId="315B0540" w14:textId="3409961D" w:rsidR="00846F02" w:rsidRPr="00A54361" w:rsidRDefault="00846F02" w:rsidP="00A54361">
      <w:pPr>
        <w:spacing w:before="120" w:after="120"/>
        <w:jc w:val="both"/>
        <w:rPr>
          <w:rFonts w:cstheme="minorHAnsi"/>
        </w:rPr>
      </w:pPr>
      <w:r w:rsidRPr="00A54361">
        <w:rPr>
          <w:rFonts w:cstheme="minorHAnsi"/>
        </w:rPr>
        <w:t xml:space="preserve">In this context Bank may exercise both the rights simultaneously </w:t>
      </w:r>
      <w:r w:rsidR="00E316D4" w:rsidRPr="00A54361">
        <w:rPr>
          <w:rFonts w:cstheme="minorHAnsi"/>
        </w:rPr>
        <w:t>and</w:t>
      </w:r>
      <w:r w:rsidRPr="00A54361">
        <w:rPr>
          <w:rFonts w:cstheme="minorHAnsi"/>
        </w:rPr>
        <w:t xml:space="preserve"> severally. In case the Bank exercises its right to invoke the Bank guarantee and not to terminate the contract, the Bank may instruct to concerned bidder to submit fresh Bank guarantee for the same amount in this regard.</w:t>
      </w:r>
    </w:p>
    <w:p w14:paraId="7D71D51B" w14:textId="4173A4D1" w:rsidR="00787D36" w:rsidRPr="00A54361" w:rsidRDefault="00EA47BE" w:rsidP="00A54361">
      <w:pPr>
        <w:spacing w:before="120" w:after="120"/>
        <w:jc w:val="both"/>
        <w:rPr>
          <w:rFonts w:cstheme="minorHAnsi"/>
        </w:rPr>
      </w:pPr>
      <w:r w:rsidRPr="00A54361">
        <w:rPr>
          <w:rFonts w:cstheme="minorHAnsi"/>
        </w:rPr>
        <w:t>In case delay is attributable to Bank, proper evidence should be produced by Bidder.</w:t>
      </w:r>
    </w:p>
    <w:p w14:paraId="2A597177" w14:textId="4EA74B96" w:rsidR="00793EAC" w:rsidRPr="00A54361" w:rsidRDefault="00793EAC" w:rsidP="00A54361">
      <w:pPr>
        <w:pStyle w:val="Heading1"/>
        <w:numPr>
          <w:ilvl w:val="0"/>
          <w:numId w:val="48"/>
        </w:numPr>
        <w:jc w:val="both"/>
        <w:rPr>
          <w:rFonts w:asciiTheme="minorHAnsi" w:hAnsiTheme="minorHAnsi" w:cstheme="minorHAnsi"/>
          <w:color w:val="auto"/>
        </w:rPr>
      </w:pPr>
      <w:bookmarkStart w:id="146" w:name="_Toc129668488"/>
      <w:bookmarkStart w:id="147" w:name="_Toc182233360"/>
      <w:r w:rsidRPr="00A54361">
        <w:rPr>
          <w:rFonts w:asciiTheme="minorHAnsi" w:hAnsiTheme="minorHAnsi" w:cstheme="minorHAnsi"/>
          <w:color w:val="auto"/>
        </w:rPr>
        <w:lastRenderedPageBreak/>
        <w:t>Land Border Sharing Clause</w:t>
      </w:r>
      <w:bookmarkEnd w:id="146"/>
      <w:bookmarkEnd w:id="147"/>
    </w:p>
    <w:p w14:paraId="78990F62" w14:textId="3BA24649" w:rsidR="00793EAC" w:rsidRPr="00A54361" w:rsidRDefault="00793EAC" w:rsidP="00A54361">
      <w:pPr>
        <w:spacing w:before="120" w:after="120"/>
        <w:jc w:val="both"/>
        <w:rPr>
          <w:rFonts w:cstheme="minorHAnsi"/>
        </w:rPr>
      </w:pPr>
      <w:r w:rsidRPr="00A54361">
        <w:rPr>
          <w:rFonts w:cstheme="minorHAnsi"/>
        </w:rPr>
        <w:t>The Bidder must comply with the requirements contained in O.M. No. 6/18/2019-PPD, dated 23.07.2020 Order (Public Procurement No. 1), Order (Public Procurement No. 2) dated 23.07.2020 and Order (Public Procurement No. 3) dated 24.07.2020. Bidder should submit the undertaking in Annexure</w:t>
      </w:r>
      <w:r w:rsidR="00BE0ED1" w:rsidRPr="00A54361">
        <w:rPr>
          <w:rFonts w:cstheme="minorHAnsi"/>
        </w:rPr>
        <w:t xml:space="preserve"> 1</w:t>
      </w:r>
      <w:r w:rsidR="0041596E" w:rsidRPr="00A54361">
        <w:rPr>
          <w:rFonts w:cstheme="minorHAnsi"/>
        </w:rPr>
        <w:t>8</w:t>
      </w:r>
      <w:r w:rsidRPr="00A54361">
        <w:rPr>
          <w:rFonts w:cstheme="minorHAnsi"/>
        </w:rPr>
        <w:t xml:space="preserve"> in this regard and also provide copy of registration certificate issued by competent authority wherever applicable.</w:t>
      </w:r>
    </w:p>
    <w:p w14:paraId="572855DF" w14:textId="5BE95D85" w:rsidR="00793EAC" w:rsidRPr="00A54361" w:rsidRDefault="00793EAC" w:rsidP="00A54361">
      <w:pPr>
        <w:spacing w:before="120" w:after="120"/>
        <w:jc w:val="both"/>
        <w:rPr>
          <w:rFonts w:cstheme="minorHAnsi"/>
        </w:rPr>
      </w:pPr>
      <w:r w:rsidRPr="00A54361">
        <w:rPr>
          <w:rFonts w:cstheme="minorHAnsi"/>
        </w:rPr>
        <w:t>Para 1 of Order (Public Procurement No. 1) dated 23-7-2020 and other relevant provisions are as follows:</w:t>
      </w:r>
    </w:p>
    <w:p w14:paraId="101606FB" w14:textId="3816748B" w:rsidR="00793EAC" w:rsidRPr="00A54361" w:rsidRDefault="00793EAC" w:rsidP="00A54361">
      <w:pPr>
        <w:pStyle w:val="ListParagraph"/>
        <w:numPr>
          <w:ilvl w:val="0"/>
          <w:numId w:val="4"/>
        </w:numPr>
        <w:spacing w:before="120" w:after="120"/>
        <w:jc w:val="both"/>
        <w:rPr>
          <w:rFonts w:cstheme="minorHAnsi"/>
        </w:rPr>
      </w:pPr>
      <w:r w:rsidRPr="00A54361">
        <w:rPr>
          <w:rFonts w:cstheme="minorHAnsi"/>
        </w:rPr>
        <w:t xml:space="preserve">Any bidder from a country which shares a land border with India will be eligible to bid in this tender only if the bidder is registered with Competent Authority. </w:t>
      </w:r>
    </w:p>
    <w:p w14:paraId="69DFD88F" w14:textId="30C3C9B7" w:rsidR="00793EAC" w:rsidRPr="00A54361" w:rsidRDefault="00793EAC" w:rsidP="00A54361">
      <w:pPr>
        <w:pStyle w:val="ListParagraph"/>
        <w:numPr>
          <w:ilvl w:val="0"/>
          <w:numId w:val="4"/>
        </w:numPr>
        <w:spacing w:before="120" w:after="120"/>
        <w:jc w:val="both"/>
        <w:rPr>
          <w:rFonts w:cstheme="minorHAnsi"/>
        </w:rPr>
      </w:pPr>
      <w:r w:rsidRPr="00A54361">
        <w:rPr>
          <w:rFonts w:cstheme="minorHAnsi"/>
        </w:rPr>
        <w:t xml:space="preserve">“Bidder” (including the term ‘tenderer’, ‘consultant’ or ‘service provider’ in certain contexts) means any person or firm or company, including any member of a consortium or joint venture (that is an association of several persons, or firms or companies), every artificial juridical person not falling in any of the descriptions of bidders stated hereinbefore, including any agency branch or office controlled by such persons, participating in a procurement process. </w:t>
      </w:r>
    </w:p>
    <w:p w14:paraId="253EB784" w14:textId="4D1ACBA6" w:rsidR="00793EAC" w:rsidRPr="00A54361" w:rsidRDefault="00793EAC" w:rsidP="00A54361">
      <w:pPr>
        <w:pStyle w:val="ListParagraph"/>
        <w:numPr>
          <w:ilvl w:val="0"/>
          <w:numId w:val="4"/>
        </w:numPr>
        <w:spacing w:before="120" w:after="120"/>
        <w:jc w:val="both"/>
        <w:rPr>
          <w:rFonts w:cstheme="minorHAnsi"/>
        </w:rPr>
      </w:pPr>
      <w:r w:rsidRPr="00A54361">
        <w:rPr>
          <w:rFonts w:cstheme="minorHAnsi"/>
        </w:rPr>
        <w:t xml:space="preserve">“Bidder from a country which shares a land border with India” for the purpose of this Order means:  </w:t>
      </w:r>
    </w:p>
    <w:p w14:paraId="61363593" w14:textId="2223B82F" w:rsidR="00793EAC" w:rsidRPr="00A54361" w:rsidRDefault="00793EAC" w:rsidP="00A54361">
      <w:pPr>
        <w:pStyle w:val="ListParagraph"/>
        <w:numPr>
          <w:ilvl w:val="0"/>
          <w:numId w:val="5"/>
        </w:numPr>
        <w:spacing w:before="120" w:after="120"/>
        <w:jc w:val="both"/>
        <w:rPr>
          <w:rFonts w:cstheme="minorHAnsi"/>
        </w:rPr>
      </w:pPr>
      <w:r w:rsidRPr="00A54361">
        <w:rPr>
          <w:rFonts w:cstheme="minorHAnsi"/>
        </w:rPr>
        <w:t xml:space="preserve">An entity incorporated, established, or registered in such a country; or </w:t>
      </w:r>
    </w:p>
    <w:p w14:paraId="0856F082" w14:textId="4F5D9B0C" w:rsidR="00793EAC" w:rsidRPr="00A54361" w:rsidRDefault="00793EAC" w:rsidP="00A54361">
      <w:pPr>
        <w:pStyle w:val="ListParagraph"/>
        <w:numPr>
          <w:ilvl w:val="0"/>
          <w:numId w:val="5"/>
        </w:numPr>
        <w:spacing w:before="120" w:after="120"/>
        <w:jc w:val="both"/>
        <w:rPr>
          <w:rFonts w:cstheme="minorHAnsi"/>
        </w:rPr>
      </w:pPr>
      <w:r w:rsidRPr="00A54361">
        <w:rPr>
          <w:rFonts w:cstheme="minorHAnsi"/>
        </w:rPr>
        <w:t xml:space="preserve">A subsidiary of an entity incorporated, established or registered in such a country; or </w:t>
      </w:r>
    </w:p>
    <w:p w14:paraId="09A5DF7A" w14:textId="5511E922" w:rsidR="00793EAC" w:rsidRPr="00A54361" w:rsidRDefault="00793EAC" w:rsidP="00A54361">
      <w:pPr>
        <w:pStyle w:val="ListParagraph"/>
        <w:numPr>
          <w:ilvl w:val="0"/>
          <w:numId w:val="5"/>
        </w:numPr>
        <w:spacing w:before="120" w:after="120"/>
        <w:jc w:val="both"/>
        <w:rPr>
          <w:rFonts w:cstheme="minorHAnsi"/>
        </w:rPr>
      </w:pPr>
      <w:r w:rsidRPr="00A54361">
        <w:rPr>
          <w:rFonts w:cstheme="minorHAnsi"/>
        </w:rPr>
        <w:t xml:space="preserve">An entity substantially controlled through entities incorporated, established or registered in such a country; or </w:t>
      </w:r>
    </w:p>
    <w:p w14:paraId="7ABB50B0" w14:textId="2B29AC06" w:rsidR="00793EAC" w:rsidRPr="00A54361" w:rsidRDefault="00793EAC" w:rsidP="00A54361">
      <w:pPr>
        <w:pStyle w:val="ListParagraph"/>
        <w:numPr>
          <w:ilvl w:val="0"/>
          <w:numId w:val="5"/>
        </w:numPr>
        <w:spacing w:before="120" w:after="120"/>
        <w:jc w:val="both"/>
        <w:rPr>
          <w:rFonts w:cstheme="minorHAnsi"/>
        </w:rPr>
      </w:pPr>
      <w:r w:rsidRPr="00A54361">
        <w:rPr>
          <w:rFonts w:cstheme="minorHAnsi"/>
        </w:rPr>
        <w:t xml:space="preserve">An entity whose beneficial owner is situated in such a country; or </w:t>
      </w:r>
    </w:p>
    <w:p w14:paraId="07C7A57B" w14:textId="78B92084" w:rsidR="00793EAC" w:rsidRPr="00A54361" w:rsidRDefault="00793EAC" w:rsidP="00A54361">
      <w:pPr>
        <w:pStyle w:val="ListParagraph"/>
        <w:numPr>
          <w:ilvl w:val="0"/>
          <w:numId w:val="5"/>
        </w:numPr>
        <w:spacing w:before="120" w:after="120"/>
        <w:jc w:val="both"/>
        <w:rPr>
          <w:rFonts w:cstheme="minorHAnsi"/>
        </w:rPr>
      </w:pPr>
      <w:r w:rsidRPr="00A54361">
        <w:rPr>
          <w:rFonts w:cstheme="minorHAnsi"/>
        </w:rPr>
        <w:t xml:space="preserve">An Indian (or other) agent of such an entity; or </w:t>
      </w:r>
    </w:p>
    <w:p w14:paraId="289C5CFF" w14:textId="71216CF3" w:rsidR="00793EAC" w:rsidRPr="00A54361" w:rsidRDefault="00793EAC" w:rsidP="00A54361">
      <w:pPr>
        <w:pStyle w:val="ListParagraph"/>
        <w:numPr>
          <w:ilvl w:val="0"/>
          <w:numId w:val="5"/>
        </w:numPr>
        <w:spacing w:before="120" w:after="120"/>
        <w:jc w:val="both"/>
        <w:rPr>
          <w:rFonts w:cstheme="minorHAnsi"/>
        </w:rPr>
      </w:pPr>
      <w:r w:rsidRPr="00A54361">
        <w:rPr>
          <w:rFonts w:cstheme="minorHAnsi"/>
        </w:rPr>
        <w:t xml:space="preserve">A natural person who is a citizen of such a country; or </w:t>
      </w:r>
    </w:p>
    <w:p w14:paraId="22B5ADDB" w14:textId="0EB4DFB3" w:rsidR="00793EAC" w:rsidRPr="00A54361" w:rsidRDefault="00793EAC" w:rsidP="00A54361">
      <w:pPr>
        <w:pStyle w:val="ListParagraph"/>
        <w:numPr>
          <w:ilvl w:val="0"/>
          <w:numId w:val="5"/>
        </w:numPr>
        <w:spacing w:before="120" w:after="120"/>
        <w:jc w:val="both"/>
        <w:rPr>
          <w:rFonts w:cstheme="minorHAnsi"/>
        </w:rPr>
      </w:pPr>
      <w:r w:rsidRPr="00A54361">
        <w:rPr>
          <w:rFonts w:cstheme="minorHAnsi"/>
        </w:rPr>
        <w:t>A consortium or joint venture where any member of the consortium or joint venture falls under any of the above.</w:t>
      </w:r>
    </w:p>
    <w:p w14:paraId="4BF6968A" w14:textId="76FCBB2A" w:rsidR="00793EAC" w:rsidRPr="00A54361" w:rsidRDefault="00793EAC" w:rsidP="00A54361">
      <w:pPr>
        <w:spacing w:before="120" w:after="120"/>
        <w:jc w:val="both"/>
        <w:rPr>
          <w:rFonts w:cstheme="minorHAnsi"/>
        </w:rPr>
      </w:pPr>
      <w:r w:rsidRPr="00A54361">
        <w:rPr>
          <w:rFonts w:cstheme="minorHAnsi"/>
        </w:rPr>
        <w:t>The beneficial owner for the purpose of (iii) above will be as under.</w:t>
      </w:r>
    </w:p>
    <w:p w14:paraId="58A53CEE" w14:textId="7B87F8C1" w:rsidR="00793EAC" w:rsidRPr="00A54361" w:rsidRDefault="00793EAC" w:rsidP="00A54361">
      <w:pPr>
        <w:pStyle w:val="ListParagraph"/>
        <w:numPr>
          <w:ilvl w:val="0"/>
          <w:numId w:val="6"/>
        </w:numPr>
        <w:spacing w:before="120" w:after="120"/>
        <w:jc w:val="both"/>
        <w:rPr>
          <w:rFonts w:cstheme="minorHAnsi"/>
        </w:rPr>
      </w:pPr>
      <w:r w:rsidRPr="00A54361">
        <w:rPr>
          <w:rFonts w:cstheme="minorHAnsi"/>
        </w:rPr>
        <w:t>In case of a company or limited liability partnership, the beneficial owner is the natural person(s). who, whether acting alone or together, or though one or more judicial person, has a controlling ownership interest or who exercises control through other means.</w:t>
      </w:r>
    </w:p>
    <w:p w14:paraId="2A5EF302" w14:textId="5CD99D8A" w:rsidR="00793EAC" w:rsidRPr="00A54361" w:rsidRDefault="00793EAC" w:rsidP="00A54361">
      <w:pPr>
        <w:spacing w:before="120" w:after="120"/>
        <w:jc w:val="both"/>
        <w:rPr>
          <w:rFonts w:cstheme="minorHAnsi"/>
          <w:b/>
          <w:bCs/>
        </w:rPr>
      </w:pPr>
      <w:r w:rsidRPr="00A54361">
        <w:rPr>
          <w:rFonts w:cstheme="minorHAnsi"/>
          <w:b/>
          <w:bCs/>
        </w:rPr>
        <w:t>Explanation</w:t>
      </w:r>
    </w:p>
    <w:p w14:paraId="588ED86A" w14:textId="77777777" w:rsidR="00793EAC" w:rsidRPr="00A54361" w:rsidRDefault="00793EAC" w:rsidP="00A54361">
      <w:pPr>
        <w:pStyle w:val="ListParagraph"/>
        <w:numPr>
          <w:ilvl w:val="0"/>
          <w:numId w:val="7"/>
        </w:numPr>
        <w:spacing w:before="120" w:after="120"/>
        <w:jc w:val="both"/>
        <w:rPr>
          <w:rFonts w:cstheme="minorHAnsi"/>
        </w:rPr>
      </w:pPr>
      <w:r w:rsidRPr="00A54361">
        <w:rPr>
          <w:rFonts w:cstheme="minorHAnsi"/>
        </w:rPr>
        <w:t xml:space="preserve">“Controlling ownership interests” means ownership of or entitlement to more than twenty five per-cent of shares or capital or profits of the company. </w:t>
      </w:r>
    </w:p>
    <w:p w14:paraId="237D8F67" w14:textId="6F1C682D" w:rsidR="00793EAC" w:rsidRPr="00A54361" w:rsidRDefault="00793EAC" w:rsidP="00A54361">
      <w:pPr>
        <w:pStyle w:val="ListParagraph"/>
        <w:numPr>
          <w:ilvl w:val="0"/>
          <w:numId w:val="7"/>
        </w:numPr>
        <w:spacing w:before="120" w:after="120"/>
        <w:jc w:val="both"/>
        <w:rPr>
          <w:rFonts w:cstheme="minorHAnsi"/>
        </w:rPr>
      </w:pPr>
      <w:r w:rsidRPr="00A54361">
        <w:rPr>
          <w:rFonts w:cstheme="minorHAnsi"/>
        </w:rPr>
        <w:t xml:space="preserve">“Control” shall include the right to appoint majority of the directors or to control the management or policy decisions including by virtue of their </w:t>
      </w:r>
      <w:r w:rsidR="000032C0" w:rsidRPr="00A54361">
        <w:rPr>
          <w:rFonts w:cstheme="minorHAnsi"/>
        </w:rPr>
        <w:t>shareholding or management rights or shareholder’s agreements or voting agreements.</w:t>
      </w:r>
    </w:p>
    <w:p w14:paraId="478A313A" w14:textId="2B4DDA7F" w:rsidR="000032C0" w:rsidRPr="00A54361" w:rsidRDefault="000032C0" w:rsidP="00A54361">
      <w:pPr>
        <w:pStyle w:val="ListParagraph"/>
        <w:numPr>
          <w:ilvl w:val="0"/>
          <w:numId w:val="6"/>
        </w:numPr>
        <w:spacing w:before="120" w:after="120"/>
        <w:jc w:val="both"/>
        <w:rPr>
          <w:rFonts w:cstheme="minorHAnsi"/>
        </w:rPr>
      </w:pPr>
      <w:r w:rsidRPr="00A54361">
        <w:rPr>
          <w:rFonts w:cstheme="minorHAnsi"/>
        </w:rPr>
        <w:t xml:space="preserve">In case of partnership firm, the beneficial owner is the natural person(s), who, whether acting alone or together or through one or more judicial person, has ownership of entitlement to more than fifteen per-cent of capital or profits of the partnership. </w:t>
      </w:r>
    </w:p>
    <w:p w14:paraId="63A28908" w14:textId="29D1381C" w:rsidR="000032C0" w:rsidRPr="00A54361" w:rsidRDefault="000032C0" w:rsidP="00A54361">
      <w:pPr>
        <w:pStyle w:val="ListParagraph"/>
        <w:numPr>
          <w:ilvl w:val="0"/>
          <w:numId w:val="6"/>
        </w:numPr>
        <w:spacing w:before="120" w:after="120"/>
        <w:jc w:val="both"/>
        <w:rPr>
          <w:rFonts w:cstheme="minorHAnsi"/>
        </w:rPr>
      </w:pPr>
      <w:r w:rsidRPr="00A54361">
        <w:rPr>
          <w:rFonts w:cstheme="minorHAnsi"/>
        </w:rPr>
        <w:t xml:space="preserve">In case of an unincorporated association or body of individuals, the beneficial owner is the natural person(s), who, whether acting alone or together or through one or more judicial person, has </w:t>
      </w:r>
      <w:r w:rsidRPr="00A54361">
        <w:rPr>
          <w:rFonts w:cstheme="minorHAnsi"/>
        </w:rPr>
        <w:lastRenderedPageBreak/>
        <w:t xml:space="preserve">ownership of or entitlement to more than fifteen per-cent of the property or capital or profits of such association or body of individuals. </w:t>
      </w:r>
    </w:p>
    <w:p w14:paraId="79DC0F5E" w14:textId="43FECEF1" w:rsidR="000032C0" w:rsidRPr="00A54361" w:rsidRDefault="000032C0" w:rsidP="00A54361">
      <w:pPr>
        <w:pStyle w:val="ListParagraph"/>
        <w:numPr>
          <w:ilvl w:val="0"/>
          <w:numId w:val="6"/>
        </w:numPr>
        <w:spacing w:before="120" w:after="120"/>
        <w:jc w:val="both"/>
        <w:rPr>
          <w:rFonts w:cstheme="minorHAnsi"/>
        </w:rPr>
      </w:pPr>
      <w:r w:rsidRPr="00A54361">
        <w:rPr>
          <w:rFonts w:cstheme="minorHAnsi"/>
        </w:rPr>
        <w:t xml:space="preserve">Where no natural person is identified under (1) or (2) or (3) above, the beneficial owner is the relevant natural person(s), who hold the position of senior managing official. </w:t>
      </w:r>
    </w:p>
    <w:p w14:paraId="2FD5771E" w14:textId="21EE99A2" w:rsidR="000032C0" w:rsidRPr="00A54361" w:rsidRDefault="000032C0" w:rsidP="00A54361">
      <w:pPr>
        <w:pStyle w:val="ListParagraph"/>
        <w:numPr>
          <w:ilvl w:val="0"/>
          <w:numId w:val="6"/>
        </w:numPr>
        <w:spacing w:before="120" w:after="120"/>
        <w:jc w:val="both"/>
        <w:rPr>
          <w:rFonts w:cstheme="minorHAnsi"/>
        </w:rPr>
      </w:pPr>
      <w:r w:rsidRPr="00A54361">
        <w:rPr>
          <w:rFonts w:cstheme="minorHAnsi"/>
        </w:rPr>
        <w:t>In case of trust, the identification of beneficial owner(s) shall include identification of the author of the trust, the trustee, the beneficiaries with fifteen per-cent or more interest in the trust and any other natural person exercising ultimate effective control over the trust through a chain of control or ownership.</w:t>
      </w:r>
    </w:p>
    <w:p w14:paraId="5988A608" w14:textId="2C170206" w:rsidR="000032C0" w:rsidRPr="00A54361" w:rsidRDefault="000032C0" w:rsidP="00A54361">
      <w:pPr>
        <w:pStyle w:val="ListParagraph"/>
        <w:numPr>
          <w:ilvl w:val="0"/>
          <w:numId w:val="4"/>
        </w:numPr>
        <w:spacing w:before="120" w:after="120"/>
        <w:jc w:val="both"/>
        <w:rPr>
          <w:rFonts w:cstheme="minorHAnsi"/>
        </w:rPr>
      </w:pPr>
      <w:r w:rsidRPr="00A54361">
        <w:rPr>
          <w:rFonts w:cstheme="minorHAnsi"/>
        </w:rPr>
        <w:t>An agent is a person employed to do any act for another, or to represent another in dealings with third persons.</w:t>
      </w:r>
    </w:p>
    <w:p w14:paraId="0D02C66A" w14:textId="791B2043" w:rsidR="000032C0" w:rsidRPr="00A54361" w:rsidRDefault="000032C0" w:rsidP="00A54361">
      <w:pPr>
        <w:pStyle w:val="Heading1"/>
        <w:numPr>
          <w:ilvl w:val="0"/>
          <w:numId w:val="48"/>
        </w:numPr>
        <w:jc w:val="both"/>
        <w:rPr>
          <w:rFonts w:asciiTheme="minorHAnsi" w:hAnsiTheme="minorHAnsi" w:cstheme="minorHAnsi"/>
          <w:color w:val="auto"/>
        </w:rPr>
      </w:pPr>
      <w:bookmarkStart w:id="148" w:name="_Toc129668489"/>
      <w:bookmarkStart w:id="149" w:name="_Toc182233361"/>
      <w:r w:rsidRPr="00A54361">
        <w:rPr>
          <w:rFonts w:asciiTheme="minorHAnsi" w:hAnsiTheme="minorHAnsi" w:cstheme="minorHAnsi"/>
          <w:color w:val="auto"/>
        </w:rPr>
        <w:t>Monitoring &amp; Audit</w:t>
      </w:r>
      <w:bookmarkEnd w:id="148"/>
      <w:bookmarkEnd w:id="149"/>
    </w:p>
    <w:p w14:paraId="36C46081" w14:textId="1B1E87ED" w:rsidR="0066172A" w:rsidRPr="00A54361" w:rsidRDefault="000032C0" w:rsidP="00A54361">
      <w:pPr>
        <w:spacing w:before="120" w:after="120"/>
        <w:jc w:val="both"/>
        <w:rPr>
          <w:rFonts w:asciiTheme="majorHAnsi" w:hAnsiTheme="majorHAnsi"/>
          <w:sz w:val="24"/>
          <w:szCs w:val="24"/>
        </w:rPr>
      </w:pPr>
      <w:r w:rsidRPr="00A54361">
        <w:rPr>
          <w:rFonts w:cstheme="minorHAnsi"/>
        </w:rPr>
        <w:t xml:space="preserve">Compliance with security best practices may be monitored by periodic computer security audits / </w:t>
      </w:r>
      <w:r w:rsidR="006149E8" w:rsidRPr="00A54361">
        <w:rPr>
          <w:rFonts w:cstheme="minorHAnsi"/>
        </w:rPr>
        <w:t>/</w:t>
      </w:r>
      <w:r w:rsidRPr="00A54361">
        <w:rPr>
          <w:rFonts w:cstheme="minorHAnsi"/>
        </w:rPr>
        <w:t>Information Security Audits</w:t>
      </w:r>
      <w:r w:rsidR="006149E8" w:rsidRPr="00A54361">
        <w:rPr>
          <w:rFonts w:cstheme="minorHAnsi"/>
        </w:rPr>
        <w:t>/</w:t>
      </w:r>
      <w:r w:rsidR="00C66ECD" w:rsidRPr="00A54361">
        <w:rPr>
          <w:rFonts w:cstheme="minorHAnsi"/>
        </w:rPr>
        <w:t>Statutory and Regulatory audit</w:t>
      </w:r>
      <w:r w:rsidRPr="00A54361">
        <w:rPr>
          <w:rFonts w:cstheme="minorHAnsi"/>
        </w:rPr>
        <w:t xml:space="preserve"> performed by or on behalf of the Bank. The periodicity of these audits will be decided at the discretion of the </w:t>
      </w:r>
      <w:r w:rsidR="00145FB3" w:rsidRPr="00A54361">
        <w:rPr>
          <w:rFonts w:cstheme="minorHAnsi"/>
        </w:rPr>
        <w:t>Bank. These</w:t>
      </w:r>
      <w:r w:rsidRPr="00A54361">
        <w:rPr>
          <w:rFonts w:cstheme="minorHAnsi"/>
        </w:rPr>
        <w:t xml:space="preserve"> audits may include, but are not limited to, a review of: access and authorization procedures, backup and recovery procedures, network security controls and program change controls. The successful bidder must provide the Bank access to various monitoring and performance measurement systems. The successful bidder has to remedy all discrepancies observed by the auditors at no additional cost to the bank</w:t>
      </w:r>
      <w:r w:rsidR="002A1E63" w:rsidRPr="00A54361">
        <w:rPr>
          <w:rFonts w:cstheme="minorHAnsi"/>
        </w:rPr>
        <w:t>, within the timeline provided by auditors/Bank</w:t>
      </w:r>
      <w:r w:rsidRPr="00A54361">
        <w:rPr>
          <w:rFonts w:cstheme="minorHAnsi"/>
        </w:rPr>
        <w:t xml:space="preserve">. </w:t>
      </w:r>
      <w:r w:rsidR="00095E1E" w:rsidRPr="00A54361">
        <w:rPr>
          <w:rFonts w:cstheme="minorHAnsi"/>
        </w:rPr>
        <w:t>The monthly uptime (previous month) report needs to be submitted by the successful bidder before 5</w:t>
      </w:r>
      <w:r w:rsidR="00095E1E" w:rsidRPr="00A54361">
        <w:rPr>
          <w:rFonts w:cstheme="minorHAnsi"/>
          <w:vertAlign w:val="superscript"/>
        </w:rPr>
        <w:t>th</w:t>
      </w:r>
      <w:r w:rsidR="00095E1E" w:rsidRPr="00A54361">
        <w:rPr>
          <w:rFonts w:cstheme="minorHAnsi"/>
        </w:rPr>
        <w:t xml:space="preserve"> of Every month to Bank at no additional cost to the Bank.</w:t>
      </w:r>
      <w:r w:rsidR="00095E1E" w:rsidRPr="00A54361">
        <w:rPr>
          <w:rFonts w:cstheme="minorHAnsi"/>
          <w:strike/>
        </w:rPr>
        <w:t xml:space="preserve"> </w:t>
      </w:r>
    </w:p>
    <w:p w14:paraId="581F298C" w14:textId="77777777" w:rsidR="0066172A" w:rsidRPr="00A54361" w:rsidRDefault="0066172A" w:rsidP="00A54361">
      <w:pPr>
        <w:spacing w:before="120" w:after="120"/>
        <w:jc w:val="both"/>
        <w:rPr>
          <w:rFonts w:cstheme="minorHAnsi"/>
        </w:rPr>
      </w:pPr>
    </w:p>
    <w:p w14:paraId="4CDF1AC1" w14:textId="58112909" w:rsidR="000032C0" w:rsidRPr="00A54361" w:rsidRDefault="000032C0" w:rsidP="00A54361">
      <w:pPr>
        <w:pStyle w:val="Heading1"/>
        <w:numPr>
          <w:ilvl w:val="0"/>
          <w:numId w:val="48"/>
        </w:numPr>
        <w:jc w:val="both"/>
        <w:rPr>
          <w:rFonts w:asciiTheme="minorHAnsi" w:hAnsiTheme="minorHAnsi" w:cstheme="minorHAnsi"/>
          <w:color w:val="auto"/>
        </w:rPr>
      </w:pPr>
      <w:bookmarkStart w:id="150" w:name="_Toc129668490"/>
      <w:bookmarkStart w:id="151" w:name="_Toc182233362"/>
      <w:r w:rsidRPr="00A54361">
        <w:rPr>
          <w:rFonts w:asciiTheme="minorHAnsi" w:hAnsiTheme="minorHAnsi" w:cstheme="minorHAnsi"/>
          <w:color w:val="auto"/>
        </w:rPr>
        <w:t>Bid Submission</w:t>
      </w:r>
      <w:bookmarkEnd w:id="150"/>
      <w:bookmarkEnd w:id="151"/>
    </w:p>
    <w:p w14:paraId="05AEB829" w14:textId="56D6A6F7" w:rsidR="000032C0" w:rsidRPr="00A54361" w:rsidRDefault="000032C0" w:rsidP="00A54361">
      <w:pPr>
        <w:pStyle w:val="ListParagraph"/>
        <w:numPr>
          <w:ilvl w:val="0"/>
          <w:numId w:val="8"/>
        </w:numPr>
        <w:spacing w:before="120" w:after="120"/>
        <w:jc w:val="both"/>
        <w:rPr>
          <w:rFonts w:cstheme="minorHAnsi"/>
        </w:rPr>
      </w:pPr>
      <w:r w:rsidRPr="00A54361">
        <w:rPr>
          <w:rFonts w:cstheme="minorHAnsi"/>
        </w:rPr>
        <w:t xml:space="preserve">All responses received after the due date/time be considered late and would be liable to be rejected. E-procurement portal will not allow lodgement of RFP response after the deadline. It should be clearly noted that the Bank has no obligation to accept or act on any reason for a late submitted response to RFP. The Bank has no liability to any Respondent who lodges a late RFP response for any reason whatsoever, including RFP responses taken to be late only because of another condition while responding. </w:t>
      </w:r>
    </w:p>
    <w:p w14:paraId="7AA7EB8F" w14:textId="30CBBD28" w:rsidR="000032C0" w:rsidRPr="00A54361" w:rsidRDefault="000032C0" w:rsidP="00A54361">
      <w:pPr>
        <w:pStyle w:val="ListParagraph"/>
        <w:numPr>
          <w:ilvl w:val="0"/>
          <w:numId w:val="8"/>
        </w:numPr>
        <w:spacing w:before="120" w:after="120"/>
        <w:jc w:val="both"/>
        <w:rPr>
          <w:rFonts w:cstheme="minorHAnsi"/>
        </w:rPr>
      </w:pPr>
      <w:r w:rsidRPr="00A54361">
        <w:rPr>
          <w:rFonts w:cstheme="minorHAnsi"/>
        </w:rPr>
        <w:t>“Cost of Tender Document” may be paid through RTGS (Real Time Gross Settlement) / NEFT favouring CENTRAL BANK OF INDIA, BANK ACCOUNT NO.-3287810289, IFSC CODE - CBIN0283154 or by way of Bankers Cheque/Demand Draft/Pay Order favouring Central Bank of India, payable at Mumbai, which is non-refundable, must be submitted separately along with RFP response. The RFP response without proof of payment of application money or cost of tender document shall not be considered and shall be rejected, exce</w:t>
      </w:r>
      <w:r w:rsidR="00840CFE" w:rsidRPr="00A54361">
        <w:rPr>
          <w:rFonts w:cstheme="minorHAnsi"/>
        </w:rPr>
        <w:t>pt in case of bidder being MSME as per the exemption applicable to it.</w:t>
      </w:r>
      <w:r w:rsidRPr="00A54361">
        <w:rPr>
          <w:rFonts w:cstheme="minorHAnsi"/>
        </w:rPr>
        <w:t xml:space="preserve"> </w:t>
      </w:r>
    </w:p>
    <w:p w14:paraId="718664F4" w14:textId="2F93917B" w:rsidR="000032C0" w:rsidRPr="00A54361" w:rsidRDefault="000032C0" w:rsidP="00A54361">
      <w:pPr>
        <w:pStyle w:val="ListParagraph"/>
        <w:numPr>
          <w:ilvl w:val="0"/>
          <w:numId w:val="8"/>
        </w:numPr>
        <w:spacing w:before="120" w:after="120"/>
        <w:jc w:val="both"/>
        <w:rPr>
          <w:rFonts w:cstheme="minorHAnsi"/>
        </w:rPr>
      </w:pPr>
      <w:r w:rsidRPr="00A54361">
        <w:rPr>
          <w:rFonts w:cstheme="minorHAnsi"/>
        </w:rPr>
        <w:t xml:space="preserve">The details of the transaction viz. scanned copy of the receipt of making transaction </w:t>
      </w:r>
      <w:r w:rsidR="00E316D4" w:rsidRPr="00A54361">
        <w:rPr>
          <w:rFonts w:cstheme="minorHAnsi"/>
        </w:rPr>
        <w:t>are</w:t>
      </w:r>
      <w:r w:rsidRPr="00A54361">
        <w:rPr>
          <w:rFonts w:cstheme="minorHAnsi"/>
        </w:rPr>
        <w:t xml:space="preserve"> required to be uploaded on e-procurement website at the time of “final online bid submission The RFP response without proof of amount paid towards Application Money / Bid Security are liable to be rejected.</w:t>
      </w:r>
    </w:p>
    <w:p w14:paraId="132A3218" w14:textId="58C194FA" w:rsidR="000032C0" w:rsidRPr="00A54361" w:rsidRDefault="000032C0" w:rsidP="00A54361">
      <w:pPr>
        <w:spacing w:before="120" w:after="120"/>
        <w:jc w:val="both"/>
        <w:rPr>
          <w:rFonts w:cstheme="minorHAnsi"/>
          <w:b/>
          <w:bCs/>
          <w:u w:val="single"/>
        </w:rPr>
      </w:pPr>
      <w:r w:rsidRPr="00A54361">
        <w:rPr>
          <w:rFonts w:cstheme="minorHAnsi"/>
          <w:b/>
          <w:bCs/>
          <w:u w:val="single"/>
        </w:rPr>
        <w:t>Instructions to Bidders: e-tendering</w:t>
      </w:r>
    </w:p>
    <w:p w14:paraId="563BAE46" w14:textId="68E14754" w:rsidR="002A2025" w:rsidRPr="00A54361" w:rsidRDefault="002A2025" w:rsidP="00A54361">
      <w:pPr>
        <w:spacing w:before="120" w:after="120"/>
        <w:jc w:val="both"/>
        <w:rPr>
          <w:rFonts w:cstheme="minorHAnsi"/>
          <w:b/>
          <w:bCs/>
          <w:u w:val="single"/>
        </w:rPr>
      </w:pPr>
      <w:r w:rsidRPr="00A54361">
        <w:rPr>
          <w:rFonts w:cstheme="minorHAnsi"/>
          <w:b/>
          <w:bCs/>
          <w:u w:val="single"/>
        </w:rPr>
        <w:lastRenderedPageBreak/>
        <w:t>E-tendering will be done through GEM portal.  Bidders are required to get registered in GEM portal  well in time.</w:t>
      </w:r>
    </w:p>
    <w:p w14:paraId="10EB61DC" w14:textId="24220CF3" w:rsidR="000032C0" w:rsidRPr="00A54361" w:rsidRDefault="003C58EE" w:rsidP="00A54361">
      <w:pPr>
        <w:spacing w:before="120" w:after="120"/>
        <w:jc w:val="both"/>
        <w:rPr>
          <w:rFonts w:cstheme="minorHAnsi"/>
          <w:b/>
          <w:bCs/>
          <w:u w:val="single"/>
        </w:rPr>
      </w:pPr>
      <w:r w:rsidRPr="00A54361">
        <w:rPr>
          <w:rFonts w:cstheme="minorHAnsi"/>
          <w:b/>
          <w:bCs/>
          <w:u w:val="single"/>
        </w:rPr>
        <w:t>Preparation &amp; Submission of Bids</w:t>
      </w:r>
    </w:p>
    <w:p w14:paraId="49579481" w14:textId="6273504A" w:rsidR="003C58EE" w:rsidRPr="00A54361" w:rsidRDefault="003C58EE" w:rsidP="00A54361">
      <w:pPr>
        <w:spacing w:before="120" w:after="120"/>
        <w:jc w:val="both"/>
        <w:rPr>
          <w:rFonts w:cstheme="minorHAnsi"/>
        </w:rPr>
      </w:pPr>
      <w:r w:rsidRPr="00A54361">
        <w:rPr>
          <w:rFonts w:cstheme="minorHAnsi"/>
        </w:rPr>
        <w:t xml:space="preserve">The Bids (Eligibility Cum Technical as well as Commercial) shall have to be prepared and subsequently submitted online </w:t>
      </w:r>
      <w:r w:rsidR="00C83238" w:rsidRPr="00A54361">
        <w:rPr>
          <w:rFonts w:cstheme="minorHAnsi"/>
        </w:rPr>
        <w:t xml:space="preserve">on GeM portal </w:t>
      </w:r>
      <w:r w:rsidRPr="00A54361">
        <w:rPr>
          <w:rFonts w:cstheme="minorHAnsi"/>
        </w:rPr>
        <w:t xml:space="preserve">only. Bids not submitted </w:t>
      </w:r>
      <w:r w:rsidR="00C83238" w:rsidRPr="00A54361">
        <w:rPr>
          <w:rFonts w:cstheme="minorHAnsi"/>
        </w:rPr>
        <w:t xml:space="preserve">on GeM portal </w:t>
      </w:r>
      <w:r w:rsidRPr="00A54361">
        <w:rPr>
          <w:rFonts w:cstheme="minorHAnsi"/>
        </w:rPr>
        <w:t>shall be summarily rejected. No other form of submission shall be permitted.</w:t>
      </w:r>
    </w:p>
    <w:p w14:paraId="05099C4E" w14:textId="0A7F9C1C" w:rsidR="003C58EE" w:rsidRPr="00A54361" w:rsidRDefault="003C58EE" w:rsidP="00A54361">
      <w:pPr>
        <w:spacing w:before="120" w:after="120"/>
        <w:jc w:val="both"/>
        <w:rPr>
          <w:rFonts w:cstheme="minorHAnsi"/>
          <w:b/>
          <w:bCs/>
          <w:u w:val="single"/>
        </w:rPr>
      </w:pPr>
      <w:r w:rsidRPr="00A54361">
        <w:rPr>
          <w:rFonts w:cstheme="minorHAnsi"/>
          <w:b/>
          <w:bCs/>
          <w:u w:val="single"/>
        </w:rPr>
        <w:t>Do</w:t>
      </w:r>
      <w:r w:rsidR="00387C7C" w:rsidRPr="00A54361">
        <w:rPr>
          <w:rFonts w:cstheme="minorHAnsi"/>
          <w:b/>
          <w:bCs/>
          <w:u w:val="single"/>
        </w:rPr>
        <w:t>’</w:t>
      </w:r>
      <w:r w:rsidRPr="00A54361">
        <w:rPr>
          <w:rFonts w:cstheme="minorHAnsi"/>
          <w:b/>
          <w:bCs/>
          <w:u w:val="single"/>
        </w:rPr>
        <w:t xml:space="preserve">s and </w:t>
      </w:r>
      <w:r w:rsidR="005A3C14" w:rsidRPr="00A54361">
        <w:rPr>
          <w:rFonts w:cstheme="minorHAnsi"/>
          <w:b/>
          <w:bCs/>
          <w:u w:val="single"/>
        </w:rPr>
        <w:t>Do</w:t>
      </w:r>
      <w:r w:rsidR="00387C7C" w:rsidRPr="00A54361">
        <w:rPr>
          <w:rFonts w:cstheme="minorHAnsi"/>
          <w:b/>
          <w:bCs/>
          <w:u w:val="single"/>
        </w:rPr>
        <w:t xml:space="preserve"> </w:t>
      </w:r>
      <w:r w:rsidR="005A3C14" w:rsidRPr="00A54361">
        <w:rPr>
          <w:rFonts w:cstheme="minorHAnsi"/>
          <w:b/>
          <w:bCs/>
          <w:u w:val="single"/>
        </w:rPr>
        <w:t>n</w:t>
      </w:r>
      <w:r w:rsidR="00387C7C" w:rsidRPr="00A54361">
        <w:rPr>
          <w:rFonts w:cstheme="minorHAnsi"/>
          <w:b/>
          <w:bCs/>
          <w:u w:val="single"/>
        </w:rPr>
        <w:t>o</w:t>
      </w:r>
      <w:r w:rsidR="005A3C14" w:rsidRPr="00A54361">
        <w:rPr>
          <w:rFonts w:cstheme="minorHAnsi"/>
          <w:b/>
          <w:bCs/>
          <w:u w:val="single"/>
        </w:rPr>
        <w:t>t</w:t>
      </w:r>
      <w:r w:rsidR="00387C7C" w:rsidRPr="00A54361">
        <w:rPr>
          <w:rFonts w:cstheme="minorHAnsi"/>
          <w:b/>
          <w:bCs/>
          <w:u w:val="single"/>
        </w:rPr>
        <w:t>’</w:t>
      </w:r>
      <w:r w:rsidR="005A3C14" w:rsidRPr="00A54361">
        <w:rPr>
          <w:rFonts w:cstheme="minorHAnsi"/>
          <w:b/>
          <w:bCs/>
          <w:u w:val="single"/>
        </w:rPr>
        <w:t>s</w:t>
      </w:r>
      <w:r w:rsidRPr="00A54361">
        <w:rPr>
          <w:rFonts w:cstheme="minorHAnsi"/>
          <w:b/>
          <w:bCs/>
          <w:u w:val="single"/>
        </w:rPr>
        <w:t xml:space="preserve"> for Bidder</w:t>
      </w:r>
    </w:p>
    <w:p w14:paraId="2984558C" w14:textId="334C21A0" w:rsidR="00395581" w:rsidRPr="00A54361" w:rsidRDefault="00395581" w:rsidP="00A54361">
      <w:pPr>
        <w:pStyle w:val="ListParagraph"/>
        <w:numPr>
          <w:ilvl w:val="0"/>
          <w:numId w:val="10"/>
        </w:numPr>
        <w:spacing w:before="120" w:after="120"/>
        <w:jc w:val="both"/>
        <w:rPr>
          <w:rFonts w:cstheme="minorHAnsi"/>
        </w:rPr>
      </w:pPr>
      <w:r w:rsidRPr="00A54361">
        <w:rPr>
          <w:rFonts w:cstheme="minorHAnsi"/>
        </w:rPr>
        <w:t xml:space="preserve">Registration process for new Bidder’s should be completed at the earliest </w:t>
      </w:r>
    </w:p>
    <w:p w14:paraId="624E6C38" w14:textId="44F37B86" w:rsidR="00395581" w:rsidRPr="00A54361" w:rsidRDefault="00395581" w:rsidP="00A54361">
      <w:pPr>
        <w:pStyle w:val="ListParagraph"/>
        <w:numPr>
          <w:ilvl w:val="0"/>
          <w:numId w:val="10"/>
        </w:numPr>
        <w:spacing w:before="120" w:after="120"/>
        <w:jc w:val="both"/>
        <w:rPr>
          <w:rFonts w:cstheme="minorHAnsi"/>
        </w:rPr>
      </w:pPr>
      <w:r w:rsidRPr="00A54361">
        <w:rPr>
          <w:rFonts w:cstheme="minorHAnsi"/>
        </w:rPr>
        <w:t xml:space="preserve">Bidder has to prepare for submission of their bid documents online well in advance as the upload process of soft copy of the bid documents </w:t>
      </w:r>
      <w:r w:rsidR="008952CC" w:rsidRPr="00A54361">
        <w:rPr>
          <w:rFonts w:cstheme="minorHAnsi"/>
        </w:rPr>
        <w:t xml:space="preserve">may </w:t>
      </w:r>
      <w:r w:rsidRPr="00A54361">
        <w:rPr>
          <w:rFonts w:cstheme="minorHAnsi"/>
        </w:rPr>
        <w:t xml:space="preserve">require encryption (large files take longer time to encrypt) and upload of these files to </w:t>
      </w:r>
      <w:r w:rsidR="008952CC" w:rsidRPr="00A54361">
        <w:rPr>
          <w:rFonts w:cstheme="minorHAnsi"/>
        </w:rPr>
        <w:t xml:space="preserve">GeM </w:t>
      </w:r>
      <w:r w:rsidRPr="00A54361">
        <w:rPr>
          <w:rFonts w:cstheme="minorHAnsi"/>
        </w:rPr>
        <w:t xml:space="preserve">portal depends upon bidder’s infrastructure and connectivity. </w:t>
      </w:r>
    </w:p>
    <w:p w14:paraId="0F997DFF" w14:textId="600AE45D" w:rsidR="00395581" w:rsidRPr="00A54361" w:rsidRDefault="00395581" w:rsidP="00A54361">
      <w:pPr>
        <w:pStyle w:val="ListParagraph"/>
        <w:numPr>
          <w:ilvl w:val="0"/>
          <w:numId w:val="10"/>
        </w:numPr>
        <w:spacing w:before="120" w:after="120"/>
        <w:jc w:val="both"/>
        <w:rPr>
          <w:rFonts w:cstheme="minorHAnsi"/>
        </w:rPr>
      </w:pPr>
      <w:r w:rsidRPr="00A54361">
        <w:rPr>
          <w:rFonts w:cstheme="minorHAnsi"/>
        </w:rPr>
        <w:t xml:space="preserve">To avoid last minute rush for upload bidder is required to start the upload for all the documents required for online submission of bid one week in advance </w:t>
      </w:r>
    </w:p>
    <w:p w14:paraId="43D51D28" w14:textId="4BD69C8B" w:rsidR="00395581" w:rsidRPr="00A54361" w:rsidRDefault="00395581" w:rsidP="00A54361">
      <w:pPr>
        <w:pStyle w:val="ListParagraph"/>
        <w:numPr>
          <w:ilvl w:val="0"/>
          <w:numId w:val="10"/>
        </w:numPr>
        <w:spacing w:before="120" w:after="120"/>
        <w:jc w:val="both"/>
        <w:rPr>
          <w:rFonts w:cstheme="minorHAnsi"/>
        </w:rPr>
      </w:pPr>
      <w:r w:rsidRPr="00A54361">
        <w:rPr>
          <w:rFonts w:cstheme="minorHAnsi"/>
        </w:rPr>
        <w:t xml:space="preserve">Bidder to initiate few documents uploads during the start of the RFP submission and help required for uploading the documents / understanding the system should be taken up with </w:t>
      </w:r>
      <w:r w:rsidR="008952CC" w:rsidRPr="00A54361">
        <w:rPr>
          <w:rFonts w:cstheme="minorHAnsi"/>
        </w:rPr>
        <w:t xml:space="preserve"> GeM portal support </w:t>
      </w:r>
      <w:r w:rsidRPr="00A54361">
        <w:rPr>
          <w:rFonts w:cstheme="minorHAnsi"/>
        </w:rPr>
        <w:t xml:space="preserve">well in advance. </w:t>
      </w:r>
    </w:p>
    <w:p w14:paraId="09E4CA87" w14:textId="622D2490" w:rsidR="00395581" w:rsidRPr="00A54361" w:rsidRDefault="00395581" w:rsidP="00A54361">
      <w:pPr>
        <w:pStyle w:val="ListParagraph"/>
        <w:numPr>
          <w:ilvl w:val="0"/>
          <w:numId w:val="10"/>
        </w:numPr>
        <w:spacing w:before="120" w:after="120"/>
        <w:jc w:val="both"/>
        <w:rPr>
          <w:rFonts w:cstheme="minorHAnsi"/>
        </w:rPr>
      </w:pPr>
      <w:r w:rsidRPr="00A54361">
        <w:rPr>
          <w:rFonts w:cstheme="minorHAnsi"/>
        </w:rPr>
        <w:t>Bidder should not raise request for offline submission or late submission since only online submission is accepted</w:t>
      </w:r>
      <w:r w:rsidR="008952CC" w:rsidRPr="00A54361">
        <w:rPr>
          <w:rFonts w:cstheme="minorHAnsi"/>
        </w:rPr>
        <w:t xml:space="preserve"> on GeM portal</w:t>
      </w:r>
      <w:r w:rsidRPr="00A54361">
        <w:rPr>
          <w:rFonts w:cstheme="minorHAnsi"/>
        </w:rPr>
        <w:t xml:space="preserve">. </w:t>
      </w:r>
    </w:p>
    <w:p w14:paraId="0D94B2C2" w14:textId="42161B34" w:rsidR="00395581" w:rsidRPr="00A54361" w:rsidRDefault="00395581" w:rsidP="00A54361">
      <w:pPr>
        <w:pStyle w:val="ListParagraph"/>
        <w:numPr>
          <w:ilvl w:val="0"/>
          <w:numId w:val="10"/>
        </w:numPr>
        <w:spacing w:before="120" w:after="120"/>
        <w:jc w:val="both"/>
        <w:rPr>
          <w:rFonts w:cstheme="minorHAnsi"/>
        </w:rPr>
      </w:pPr>
      <w:r w:rsidRPr="00A54361">
        <w:rPr>
          <w:rFonts w:cstheme="minorHAnsi"/>
        </w:rPr>
        <w:t>Part submission of bids by the Bidder’s will not be processed and will be rejected</w:t>
      </w:r>
      <w:r w:rsidR="005437CF" w:rsidRPr="00A54361">
        <w:rPr>
          <w:rFonts w:cstheme="minorHAnsi"/>
        </w:rPr>
        <w:t>.</w:t>
      </w:r>
    </w:p>
    <w:p w14:paraId="50464EF0" w14:textId="77777777" w:rsidR="00032EB0" w:rsidRPr="00A54361" w:rsidRDefault="00032EB0" w:rsidP="00A54361">
      <w:pPr>
        <w:spacing w:before="120" w:after="120"/>
        <w:jc w:val="both"/>
        <w:rPr>
          <w:rFonts w:cstheme="minorHAnsi"/>
          <w:b/>
          <w:bCs/>
          <w:u w:val="single"/>
        </w:rPr>
      </w:pPr>
    </w:p>
    <w:p w14:paraId="344F3590" w14:textId="77777777" w:rsidR="00032EB0" w:rsidRPr="00A54361" w:rsidRDefault="00032EB0" w:rsidP="00A54361">
      <w:pPr>
        <w:spacing w:before="120" w:after="120"/>
        <w:jc w:val="both"/>
        <w:rPr>
          <w:rFonts w:cstheme="minorHAnsi"/>
          <w:b/>
          <w:bCs/>
          <w:u w:val="single"/>
        </w:rPr>
      </w:pPr>
    </w:p>
    <w:p w14:paraId="36349E4B" w14:textId="038CE6E9" w:rsidR="00395581" w:rsidRPr="00A54361" w:rsidRDefault="00395581" w:rsidP="00A54361">
      <w:pPr>
        <w:spacing w:before="120" w:after="120"/>
        <w:jc w:val="both"/>
        <w:rPr>
          <w:rFonts w:cstheme="minorHAnsi"/>
          <w:b/>
          <w:bCs/>
          <w:u w:val="single"/>
        </w:rPr>
      </w:pPr>
      <w:r w:rsidRPr="00A54361">
        <w:rPr>
          <w:rFonts w:cstheme="minorHAnsi"/>
          <w:b/>
          <w:bCs/>
          <w:u w:val="single"/>
        </w:rPr>
        <w:t>Terms &amp; Conditions of Online Submission</w:t>
      </w:r>
    </w:p>
    <w:p w14:paraId="25714D28" w14:textId="518C95BE" w:rsidR="00395581" w:rsidRPr="00A54361" w:rsidRDefault="00395581" w:rsidP="00A54361">
      <w:pPr>
        <w:pStyle w:val="ListParagraph"/>
        <w:numPr>
          <w:ilvl w:val="0"/>
          <w:numId w:val="11"/>
        </w:numPr>
        <w:spacing w:before="120" w:after="120"/>
        <w:jc w:val="both"/>
        <w:rPr>
          <w:rFonts w:cstheme="minorHAnsi"/>
        </w:rPr>
      </w:pPr>
      <w:r w:rsidRPr="00A54361">
        <w:rPr>
          <w:rFonts w:cstheme="minorHAnsi"/>
        </w:rPr>
        <w:t xml:space="preserve">Bank has decided to determine L1 through bids submitted on </w:t>
      </w:r>
      <w:r w:rsidR="0018614B" w:rsidRPr="00A54361">
        <w:rPr>
          <w:rFonts w:cstheme="minorHAnsi"/>
        </w:rPr>
        <w:t>GeM portal</w:t>
      </w:r>
      <w:r w:rsidR="00971BA7">
        <w:rPr>
          <w:rFonts w:cstheme="minorHAnsi"/>
        </w:rPr>
        <w:t xml:space="preserve">. </w:t>
      </w:r>
      <w:r w:rsidRPr="00A54361">
        <w:rPr>
          <w:rFonts w:cstheme="minorHAnsi"/>
        </w:rPr>
        <w:t xml:space="preserve">Bidders shall bear the cost of registration on the </w:t>
      </w:r>
      <w:r w:rsidR="0018614B" w:rsidRPr="00A54361">
        <w:rPr>
          <w:rFonts w:cstheme="minorHAnsi"/>
        </w:rPr>
        <w:t xml:space="preserve">GeM </w:t>
      </w:r>
      <w:r w:rsidRPr="00A54361">
        <w:rPr>
          <w:rFonts w:cstheme="minorHAnsi"/>
        </w:rPr>
        <w:t xml:space="preserve">portal. </w:t>
      </w:r>
      <w:r w:rsidR="0018614B" w:rsidRPr="00A54361">
        <w:rPr>
          <w:rFonts w:cstheme="minorHAnsi"/>
        </w:rPr>
        <w:t>Bidder is bound to follow rules of GeM portal as per Government guidelines.</w:t>
      </w:r>
      <w:r w:rsidRPr="00A54361">
        <w:rPr>
          <w:rFonts w:cstheme="minorHAnsi"/>
        </w:rPr>
        <w:t xml:space="preserve"> </w:t>
      </w:r>
    </w:p>
    <w:p w14:paraId="397C1616" w14:textId="00CD8027" w:rsidR="00395581" w:rsidRPr="00A54361" w:rsidRDefault="00395581" w:rsidP="00A54361">
      <w:pPr>
        <w:pStyle w:val="ListParagraph"/>
        <w:numPr>
          <w:ilvl w:val="0"/>
          <w:numId w:val="11"/>
        </w:numPr>
        <w:spacing w:before="120" w:after="120"/>
        <w:jc w:val="both"/>
        <w:rPr>
          <w:rFonts w:cstheme="minorHAnsi"/>
        </w:rPr>
      </w:pPr>
      <w:r w:rsidRPr="00A54361">
        <w:rPr>
          <w:rFonts w:cstheme="minorHAnsi"/>
        </w:rPr>
        <w:t xml:space="preserve">Bidders at their own responsibility are advised to conduct a mock drill </w:t>
      </w:r>
      <w:r w:rsidR="0018614B" w:rsidRPr="00A54361">
        <w:rPr>
          <w:rFonts w:cstheme="minorHAnsi"/>
        </w:rPr>
        <w:t xml:space="preserve">if required.  </w:t>
      </w:r>
    </w:p>
    <w:p w14:paraId="54B9AC8C" w14:textId="62693CC8" w:rsidR="00395581" w:rsidRPr="00A54361" w:rsidRDefault="00395581" w:rsidP="00A54361">
      <w:pPr>
        <w:pStyle w:val="ListParagraph"/>
        <w:numPr>
          <w:ilvl w:val="0"/>
          <w:numId w:val="11"/>
        </w:numPr>
        <w:spacing w:before="120" w:after="120"/>
        <w:jc w:val="both"/>
        <w:rPr>
          <w:rFonts w:cstheme="minorHAnsi"/>
        </w:rPr>
      </w:pPr>
      <w:r w:rsidRPr="00A54361">
        <w:rPr>
          <w:rFonts w:cstheme="minorHAnsi"/>
        </w:rPr>
        <w:t xml:space="preserve">In the event of failure of the internet connectivity (due to any reason whatsoever it may be) Bank </w:t>
      </w:r>
      <w:r w:rsidR="0018614B" w:rsidRPr="00A54361">
        <w:rPr>
          <w:rFonts w:cstheme="minorHAnsi"/>
        </w:rPr>
        <w:t xml:space="preserve">will </w:t>
      </w:r>
      <w:r w:rsidRPr="00A54361">
        <w:rPr>
          <w:rFonts w:cstheme="minorHAnsi"/>
        </w:rPr>
        <w:t xml:space="preserve"> not </w:t>
      </w:r>
      <w:r w:rsidR="00620D45">
        <w:rPr>
          <w:rFonts w:cstheme="minorHAnsi"/>
        </w:rPr>
        <w:t xml:space="preserve">be </w:t>
      </w:r>
      <w:r w:rsidRPr="00A54361">
        <w:rPr>
          <w:rFonts w:cstheme="minorHAnsi"/>
        </w:rPr>
        <w:t xml:space="preserve">responsible. </w:t>
      </w:r>
    </w:p>
    <w:p w14:paraId="6896E13E" w14:textId="065BF6F8" w:rsidR="00395581" w:rsidRPr="00A54361" w:rsidRDefault="00395581" w:rsidP="00A54361">
      <w:pPr>
        <w:pStyle w:val="ListParagraph"/>
        <w:numPr>
          <w:ilvl w:val="0"/>
          <w:numId w:val="11"/>
        </w:numPr>
        <w:spacing w:before="120" w:after="120"/>
        <w:jc w:val="both"/>
        <w:rPr>
          <w:rFonts w:cstheme="minorHAnsi"/>
        </w:rPr>
      </w:pPr>
      <w:r w:rsidRPr="00A54361">
        <w:rPr>
          <w:rFonts w:cstheme="minorHAnsi"/>
        </w:rPr>
        <w:t xml:space="preserve">In order to ward-off such contingent situation, Bidders are advised to make all the necessary arrangements / alternatives such as back –up power supply, connectivity whatever required so that they are able to circumvent such situation and still be able to participate in the Auction successfully. </w:t>
      </w:r>
    </w:p>
    <w:p w14:paraId="58D0317D" w14:textId="3909C7A6" w:rsidR="00395581" w:rsidRPr="00A54361" w:rsidRDefault="00395581" w:rsidP="00A54361">
      <w:pPr>
        <w:pStyle w:val="ListParagraph"/>
        <w:numPr>
          <w:ilvl w:val="0"/>
          <w:numId w:val="11"/>
        </w:numPr>
        <w:spacing w:before="120" w:after="120"/>
        <w:jc w:val="both"/>
        <w:rPr>
          <w:rFonts w:cstheme="minorHAnsi"/>
        </w:rPr>
      </w:pPr>
      <w:r w:rsidRPr="00A54361">
        <w:rPr>
          <w:rFonts w:cstheme="minorHAnsi"/>
        </w:rPr>
        <w:t xml:space="preserve">However, the </w:t>
      </w:r>
      <w:r w:rsidR="00137EC6" w:rsidRPr="00A54361">
        <w:rPr>
          <w:rFonts w:cstheme="minorHAnsi"/>
        </w:rPr>
        <w:t>bidder</w:t>
      </w:r>
      <w:r w:rsidRPr="00A54361">
        <w:rPr>
          <w:rFonts w:cstheme="minorHAnsi"/>
        </w:rPr>
        <w:t xml:space="preserve">s are requested to not to wait till the last moment to quote their bids to avoid any such complex situations. </w:t>
      </w:r>
    </w:p>
    <w:p w14:paraId="1F6D234D" w14:textId="2DC7151D" w:rsidR="00395581" w:rsidRPr="00A54361" w:rsidRDefault="00395581" w:rsidP="00A54361">
      <w:pPr>
        <w:pStyle w:val="ListParagraph"/>
        <w:numPr>
          <w:ilvl w:val="0"/>
          <w:numId w:val="11"/>
        </w:numPr>
        <w:spacing w:before="120" w:after="120"/>
        <w:jc w:val="both"/>
        <w:rPr>
          <w:rFonts w:cstheme="minorHAnsi"/>
        </w:rPr>
      </w:pPr>
      <w:r w:rsidRPr="00A54361">
        <w:rPr>
          <w:rFonts w:cstheme="minorHAnsi"/>
        </w:rPr>
        <w:t xml:space="preserve">Failure of power at the premises of bidders during the E-Tendering cannot be the cause for not participating in the E-Tendering. </w:t>
      </w:r>
    </w:p>
    <w:p w14:paraId="6AFA14FF" w14:textId="465B340E" w:rsidR="00395581" w:rsidRPr="00A54361" w:rsidRDefault="00395581" w:rsidP="00A54361">
      <w:pPr>
        <w:pStyle w:val="ListParagraph"/>
        <w:numPr>
          <w:ilvl w:val="0"/>
          <w:numId w:val="11"/>
        </w:numPr>
        <w:spacing w:before="120" w:after="120"/>
        <w:jc w:val="both"/>
        <w:rPr>
          <w:rFonts w:cstheme="minorHAnsi"/>
        </w:rPr>
      </w:pPr>
      <w:r w:rsidRPr="00A54361">
        <w:rPr>
          <w:rFonts w:cstheme="minorHAnsi"/>
        </w:rPr>
        <w:t xml:space="preserve">On account of this, the time for the E-Tendering cannot be extended and BANK is not responsible for such eventualities. </w:t>
      </w:r>
    </w:p>
    <w:p w14:paraId="1E34C688" w14:textId="111E2ED6" w:rsidR="00395581" w:rsidRPr="00A54361" w:rsidRDefault="00395581" w:rsidP="00A54361">
      <w:pPr>
        <w:pStyle w:val="ListParagraph"/>
        <w:numPr>
          <w:ilvl w:val="0"/>
          <w:numId w:val="11"/>
        </w:numPr>
        <w:spacing w:before="120" w:after="120"/>
        <w:jc w:val="both"/>
        <w:rPr>
          <w:rFonts w:cstheme="minorHAnsi"/>
        </w:rPr>
      </w:pPr>
      <w:r w:rsidRPr="00A54361">
        <w:rPr>
          <w:rFonts w:cstheme="minorHAnsi"/>
        </w:rPr>
        <w:t xml:space="preserve">Bank will not have any liability to Bidders for any interruption or delay in access to site of E-Tendering irrespective of the cause. </w:t>
      </w:r>
    </w:p>
    <w:p w14:paraId="1CC37535" w14:textId="472301EC" w:rsidR="007730D1" w:rsidRPr="00A54361" w:rsidRDefault="007730D1" w:rsidP="00A54361">
      <w:pPr>
        <w:spacing w:before="120" w:after="120"/>
        <w:jc w:val="both"/>
        <w:rPr>
          <w:rFonts w:cstheme="minorHAnsi"/>
          <w:b/>
          <w:bCs/>
        </w:rPr>
      </w:pPr>
      <w:r w:rsidRPr="00A54361">
        <w:rPr>
          <w:rFonts w:cstheme="minorHAnsi"/>
          <w:b/>
          <w:bCs/>
        </w:rPr>
        <w:t>Tender Schedule (Key Dates)</w:t>
      </w:r>
    </w:p>
    <w:p w14:paraId="250D9B8B" w14:textId="15C54FB0" w:rsidR="007730D1" w:rsidRPr="00A54361" w:rsidRDefault="007730D1" w:rsidP="00A54361">
      <w:pPr>
        <w:spacing w:before="120" w:after="120"/>
        <w:jc w:val="both"/>
        <w:rPr>
          <w:rFonts w:cstheme="minorHAnsi"/>
        </w:rPr>
      </w:pPr>
      <w:r w:rsidRPr="00A54361">
        <w:rPr>
          <w:rFonts w:cstheme="minorHAnsi"/>
        </w:rPr>
        <w:lastRenderedPageBreak/>
        <w:t>The Bidders are strictly advised to follow the Dates and Times as indicated in the Time Schedule in the detailed tender Notice for the Tender. All the online activities are time tracked and the electronic Tendering System enforces time-locks that ensure that no activity or transaction can take place outside the Start and End Dates and time of the stage as defined in the Tender Schedule.</w:t>
      </w:r>
    </w:p>
    <w:p w14:paraId="4D8EC883" w14:textId="675FA5D8" w:rsidR="007730D1" w:rsidRPr="00A54361" w:rsidRDefault="007730D1" w:rsidP="00A54361">
      <w:pPr>
        <w:spacing w:before="120" w:after="120"/>
        <w:jc w:val="both"/>
        <w:rPr>
          <w:rFonts w:cstheme="minorHAnsi"/>
        </w:rPr>
      </w:pPr>
      <w:r w:rsidRPr="00A54361">
        <w:rPr>
          <w:rFonts w:cstheme="minorHAnsi"/>
        </w:rPr>
        <w:t>At the sole discretion of the tender Authority, the time schedule of the Tender stages may be extended.</w:t>
      </w:r>
    </w:p>
    <w:p w14:paraId="5B6A4A5A" w14:textId="5BF52AE9" w:rsidR="007730D1" w:rsidRPr="00A54361" w:rsidRDefault="007730D1" w:rsidP="00A54361">
      <w:pPr>
        <w:pStyle w:val="Heading1"/>
        <w:numPr>
          <w:ilvl w:val="0"/>
          <w:numId w:val="48"/>
        </w:numPr>
        <w:jc w:val="both"/>
        <w:rPr>
          <w:rFonts w:asciiTheme="minorHAnsi" w:hAnsiTheme="minorHAnsi" w:cstheme="minorHAnsi"/>
          <w:color w:val="auto"/>
        </w:rPr>
      </w:pPr>
      <w:bookmarkStart w:id="152" w:name="_Toc129668491"/>
      <w:bookmarkStart w:id="153" w:name="_Toc182233363"/>
      <w:r w:rsidRPr="00A54361">
        <w:rPr>
          <w:rFonts w:asciiTheme="minorHAnsi" w:hAnsiTheme="minorHAnsi" w:cstheme="minorHAnsi"/>
          <w:color w:val="auto"/>
        </w:rPr>
        <w:t>Integrity Pact</w:t>
      </w:r>
      <w:bookmarkEnd w:id="152"/>
      <w:bookmarkEnd w:id="153"/>
    </w:p>
    <w:p w14:paraId="3077F39C" w14:textId="30C2E0A5" w:rsidR="007730D1" w:rsidRPr="00A54361" w:rsidRDefault="007730D1" w:rsidP="00A54361">
      <w:pPr>
        <w:spacing w:before="120" w:after="120"/>
        <w:jc w:val="both"/>
        <w:rPr>
          <w:rFonts w:cstheme="minorHAnsi"/>
        </w:rPr>
      </w:pPr>
      <w:r w:rsidRPr="00A54361">
        <w:rPr>
          <w:rFonts w:cstheme="minorHAnsi"/>
        </w:rPr>
        <w:t>Each Participating bidder/s shall submit Integrity Pact as per attached Annexure</w:t>
      </w:r>
      <w:r w:rsidR="00BE0ED1" w:rsidRPr="00A54361">
        <w:rPr>
          <w:rFonts w:cstheme="minorHAnsi"/>
        </w:rPr>
        <w:t xml:space="preserve"> </w:t>
      </w:r>
      <w:r w:rsidR="0041596E" w:rsidRPr="00A54361">
        <w:rPr>
          <w:rFonts w:cstheme="minorHAnsi"/>
        </w:rPr>
        <w:t>9</w:t>
      </w:r>
      <w:r w:rsidR="005A513D" w:rsidRPr="00A54361">
        <w:rPr>
          <w:rFonts w:cstheme="minorHAnsi"/>
        </w:rPr>
        <w:t xml:space="preserve"> </w:t>
      </w:r>
      <w:r w:rsidRPr="00A54361">
        <w:rPr>
          <w:rFonts w:cstheme="minorHAnsi"/>
        </w:rPr>
        <w:t>duly stamped for ₹</w:t>
      </w:r>
      <w:r w:rsidR="003F114E" w:rsidRPr="00A54361">
        <w:rPr>
          <w:rFonts w:cstheme="minorHAnsi"/>
        </w:rPr>
        <w:t>5</w:t>
      </w:r>
      <w:r w:rsidRPr="00A54361">
        <w:rPr>
          <w:rFonts w:cstheme="minorHAnsi"/>
        </w:rPr>
        <w:t>00. Integrity pact should be submitted by all participating bidders at the time of submission of bid documents or as per satisfaction of the Bank. The Non submission of Integrity Pact as per time schedule prescribed by Bank may be relevant ground of disqualification for participating in Bid process.</w:t>
      </w:r>
    </w:p>
    <w:p w14:paraId="417B54B0" w14:textId="022289D3" w:rsidR="007730D1" w:rsidRPr="00A54361" w:rsidRDefault="007730D1" w:rsidP="00A54361">
      <w:pPr>
        <w:spacing w:before="120" w:after="120"/>
        <w:jc w:val="both"/>
        <w:rPr>
          <w:rFonts w:cstheme="minorHAnsi"/>
        </w:rPr>
      </w:pPr>
      <w:r w:rsidRPr="00A54361">
        <w:rPr>
          <w:rFonts w:cstheme="minorHAnsi"/>
        </w:rPr>
        <w:t>Bank has appointed Independent External Monitor (hereinafter referred to as IEM) for this pact, whose name and e-mail ID are as follows:</w:t>
      </w:r>
    </w:p>
    <w:p w14:paraId="020E1D5A" w14:textId="2F4DE814" w:rsidR="007730D1" w:rsidRPr="00A54361" w:rsidRDefault="007730D1" w:rsidP="00A54361">
      <w:pPr>
        <w:spacing w:before="120" w:after="120"/>
        <w:jc w:val="both"/>
        <w:rPr>
          <w:rFonts w:cstheme="minorHAnsi"/>
        </w:rPr>
      </w:pPr>
      <w:r w:rsidRPr="00A54361">
        <w:rPr>
          <w:rFonts w:cstheme="minorHAnsi"/>
        </w:rPr>
        <w:t xml:space="preserve">Sri </w:t>
      </w:r>
      <w:r w:rsidR="005E1537" w:rsidRPr="00A54361">
        <w:rPr>
          <w:rFonts w:cstheme="minorHAnsi"/>
        </w:rPr>
        <w:t>Anant Kumar</w:t>
      </w:r>
      <w:r w:rsidRPr="00A54361">
        <w:rPr>
          <w:rFonts w:cstheme="minorHAnsi"/>
        </w:rPr>
        <w:t xml:space="preserve"> [mail: </w:t>
      </w:r>
      <w:hyperlink r:id="rId16" w:history="1">
        <w:r w:rsidR="005917FD" w:rsidRPr="00A54361">
          <w:rPr>
            <w:rStyle w:val="Hyperlink"/>
            <w:rFonts w:cstheme="minorHAnsi"/>
            <w:color w:val="auto"/>
          </w:rPr>
          <w:t>mailto:anant_in@yahoo.com</w:t>
        </w:r>
      </w:hyperlink>
      <w:r w:rsidR="00627CCA" w:rsidRPr="00A54361">
        <w:rPr>
          <w:rFonts w:cstheme="minorHAnsi"/>
        </w:rPr>
        <w:t xml:space="preserve"> </w:t>
      </w:r>
      <w:r w:rsidRPr="00A54361">
        <w:rPr>
          <w:rFonts w:cstheme="minorHAnsi"/>
        </w:rPr>
        <w:t>]</w:t>
      </w:r>
    </w:p>
    <w:p w14:paraId="59FCA3B2" w14:textId="30DF1BC4" w:rsidR="00627CCA" w:rsidRPr="00A54361" w:rsidRDefault="00711D2C" w:rsidP="00A54361">
      <w:pPr>
        <w:pStyle w:val="ListParagraph"/>
        <w:numPr>
          <w:ilvl w:val="0"/>
          <w:numId w:val="43"/>
        </w:numPr>
        <w:spacing w:before="120" w:after="120"/>
        <w:jc w:val="both"/>
        <w:rPr>
          <w:rFonts w:cstheme="minorHAnsi"/>
        </w:rPr>
      </w:pPr>
      <w:r w:rsidRPr="00A54361">
        <w:rPr>
          <w:rFonts w:cstheme="minorHAnsi"/>
        </w:rPr>
        <w:t>For any clarifications/issues, b</w:t>
      </w:r>
      <w:r w:rsidR="00627CCA" w:rsidRPr="00A54361">
        <w:rPr>
          <w:rFonts w:cstheme="minorHAnsi"/>
        </w:rPr>
        <w:t>idders are requested to contact with Bank’s personnel in the below mail</w:t>
      </w:r>
      <w:r w:rsidR="00B416BE" w:rsidRPr="00A54361">
        <w:rPr>
          <w:rFonts w:cstheme="minorHAnsi"/>
        </w:rPr>
        <w:t>-</w:t>
      </w:r>
      <w:r w:rsidR="00627CCA" w:rsidRPr="00A54361">
        <w:rPr>
          <w:rFonts w:cstheme="minorHAnsi"/>
        </w:rPr>
        <w:t>id before contacting with IEM.</w:t>
      </w:r>
    </w:p>
    <w:p w14:paraId="35796FD9" w14:textId="1BA4DB54" w:rsidR="00711D2C" w:rsidRPr="00A54361" w:rsidRDefault="00000000" w:rsidP="00A54361">
      <w:pPr>
        <w:pStyle w:val="ListParagraph"/>
        <w:spacing w:before="120" w:after="120"/>
        <w:jc w:val="both"/>
        <w:rPr>
          <w:rFonts w:cstheme="minorHAnsi"/>
        </w:rPr>
      </w:pPr>
      <w:hyperlink r:id="rId17" w:history="1">
        <w:r w:rsidR="00C61AA7" w:rsidRPr="00A54361">
          <w:rPr>
            <w:rStyle w:val="Hyperlink"/>
            <w:rFonts w:cstheme="minorHAnsi"/>
            <w:color w:val="auto"/>
          </w:rPr>
          <w:t>ciso@centralbank.co.in</w:t>
        </w:r>
      </w:hyperlink>
    </w:p>
    <w:p w14:paraId="364A4DD1" w14:textId="2AECC098" w:rsidR="00627CCA" w:rsidRPr="00A54361" w:rsidRDefault="00000000" w:rsidP="00A54361">
      <w:pPr>
        <w:pStyle w:val="ListParagraph"/>
        <w:spacing w:before="120" w:after="120"/>
        <w:jc w:val="both"/>
        <w:rPr>
          <w:rFonts w:cstheme="minorHAnsi"/>
        </w:rPr>
      </w:pPr>
      <w:hyperlink r:id="rId18" w:history="1">
        <w:r w:rsidR="006C2E27" w:rsidRPr="00A54361">
          <w:rPr>
            <w:rStyle w:val="Hyperlink"/>
            <w:rFonts w:cstheme="minorHAnsi"/>
            <w:color w:val="auto"/>
          </w:rPr>
          <w:t>smitpurchase@centralbank.co.in</w:t>
        </w:r>
      </w:hyperlink>
    </w:p>
    <w:p w14:paraId="4D104406" w14:textId="3CF307FF" w:rsidR="007730D1" w:rsidRPr="00A54361" w:rsidRDefault="007730D1" w:rsidP="00A54361">
      <w:pPr>
        <w:pStyle w:val="ListParagraph"/>
        <w:numPr>
          <w:ilvl w:val="0"/>
          <w:numId w:val="43"/>
        </w:numPr>
        <w:spacing w:before="120" w:after="120"/>
        <w:jc w:val="both"/>
        <w:rPr>
          <w:rFonts w:cstheme="minorHAnsi"/>
        </w:rPr>
      </w:pPr>
      <w:r w:rsidRPr="00A54361">
        <w:rPr>
          <w:rFonts w:cstheme="minorHAnsi"/>
        </w:rPr>
        <w:t>IEM</w:t>
      </w:r>
      <w:r w:rsidR="006014AC" w:rsidRPr="00A54361">
        <w:rPr>
          <w:rFonts w:cstheme="minorHAnsi"/>
        </w:rPr>
        <w:t>’</w:t>
      </w:r>
      <w:r w:rsidRPr="00A54361">
        <w:rPr>
          <w:rFonts w:cstheme="minorHAnsi"/>
        </w:rPr>
        <w:t xml:space="preserve">s task shall be to review – independently and objectively, whether and to what extent the parties comply with the obligations under this pact </w:t>
      </w:r>
    </w:p>
    <w:p w14:paraId="389A0018" w14:textId="11E1FF26" w:rsidR="007730D1" w:rsidRPr="00A54361" w:rsidRDefault="007730D1" w:rsidP="00A54361">
      <w:pPr>
        <w:pStyle w:val="ListParagraph"/>
        <w:numPr>
          <w:ilvl w:val="0"/>
          <w:numId w:val="43"/>
        </w:numPr>
        <w:spacing w:before="120" w:after="120"/>
        <w:jc w:val="both"/>
        <w:rPr>
          <w:rFonts w:cstheme="minorHAnsi"/>
        </w:rPr>
      </w:pPr>
      <w:r w:rsidRPr="00A54361">
        <w:rPr>
          <w:rFonts w:cstheme="minorHAnsi"/>
        </w:rPr>
        <w:t xml:space="preserve">IEM shall not be subjected to instructions by the representatives of the parties and perform his functions neutrally and independently </w:t>
      </w:r>
    </w:p>
    <w:p w14:paraId="01E3C6A3" w14:textId="1E289677" w:rsidR="007730D1" w:rsidRPr="00A54361" w:rsidRDefault="007730D1" w:rsidP="00A54361">
      <w:pPr>
        <w:pStyle w:val="ListParagraph"/>
        <w:numPr>
          <w:ilvl w:val="0"/>
          <w:numId w:val="43"/>
        </w:numPr>
        <w:spacing w:before="120" w:after="120"/>
        <w:jc w:val="both"/>
        <w:rPr>
          <w:rFonts w:cstheme="minorHAnsi"/>
        </w:rPr>
      </w:pPr>
      <w:r w:rsidRPr="00A54361">
        <w:rPr>
          <w:rFonts w:cstheme="minorHAnsi"/>
        </w:rPr>
        <w:t>Both the parities accept that the IEM has the right to access all the documents relating to the project/procurement, including minutes of meetings.</w:t>
      </w:r>
    </w:p>
    <w:p w14:paraId="6FB7F40B" w14:textId="5E2DDAD7" w:rsidR="007730D1" w:rsidRPr="00A54361" w:rsidRDefault="007730D1" w:rsidP="00A54361">
      <w:pPr>
        <w:pStyle w:val="Heading1"/>
        <w:numPr>
          <w:ilvl w:val="0"/>
          <w:numId w:val="48"/>
        </w:numPr>
        <w:jc w:val="both"/>
        <w:rPr>
          <w:rFonts w:asciiTheme="minorHAnsi" w:hAnsiTheme="minorHAnsi" w:cstheme="minorHAnsi"/>
          <w:color w:val="auto"/>
        </w:rPr>
      </w:pPr>
      <w:bookmarkStart w:id="154" w:name="_Toc129668492"/>
      <w:bookmarkStart w:id="155" w:name="_Toc182233364"/>
      <w:r w:rsidRPr="00A54361">
        <w:rPr>
          <w:rFonts w:asciiTheme="minorHAnsi" w:hAnsiTheme="minorHAnsi" w:cstheme="minorHAnsi"/>
          <w:color w:val="auto"/>
        </w:rPr>
        <w:t>Commercial Offer</w:t>
      </w:r>
      <w:r w:rsidR="003E528E" w:rsidRPr="00A54361">
        <w:rPr>
          <w:rFonts w:asciiTheme="minorHAnsi" w:hAnsiTheme="minorHAnsi" w:cstheme="minorHAnsi"/>
          <w:color w:val="auto"/>
        </w:rPr>
        <w:t>s</w:t>
      </w:r>
      <w:bookmarkEnd w:id="154"/>
      <w:bookmarkEnd w:id="155"/>
    </w:p>
    <w:p w14:paraId="77D3274A" w14:textId="63FE6829" w:rsidR="007730D1" w:rsidRPr="00A54361" w:rsidRDefault="005954F1" w:rsidP="00A54361">
      <w:pPr>
        <w:spacing w:before="120" w:after="120"/>
        <w:jc w:val="both"/>
        <w:rPr>
          <w:rFonts w:cstheme="minorHAnsi"/>
        </w:rPr>
      </w:pPr>
      <w:r w:rsidRPr="00A54361">
        <w:rPr>
          <w:rFonts w:cstheme="minorHAnsi"/>
        </w:rPr>
        <w:t xml:space="preserve">Commercial Bids of only technically qualified Bidders shall be opened </w:t>
      </w:r>
      <w:r w:rsidR="00BC7A98" w:rsidRPr="00A54361">
        <w:rPr>
          <w:rFonts w:cstheme="minorHAnsi"/>
        </w:rPr>
        <w:t>based on</w:t>
      </w:r>
      <w:r w:rsidRPr="00A54361">
        <w:rPr>
          <w:rFonts w:cstheme="minorHAnsi"/>
        </w:rPr>
        <w:t xml:space="preserve"> technical proposal</w:t>
      </w:r>
      <w:r w:rsidR="008E170E" w:rsidRPr="00A54361">
        <w:rPr>
          <w:rFonts w:cstheme="minorHAnsi"/>
        </w:rPr>
        <w:t>.</w:t>
      </w:r>
    </w:p>
    <w:p w14:paraId="13E6FD92" w14:textId="74969F9A" w:rsidR="005954F1" w:rsidRPr="00A54361" w:rsidRDefault="005954F1" w:rsidP="00A54361">
      <w:pPr>
        <w:spacing w:before="120" w:after="120"/>
        <w:jc w:val="both"/>
        <w:rPr>
          <w:rFonts w:cstheme="minorHAnsi"/>
        </w:rPr>
      </w:pPr>
      <w:r w:rsidRPr="00A54361">
        <w:rPr>
          <w:rFonts w:cstheme="minorHAnsi"/>
        </w:rPr>
        <w:t>The Commercial Offer (CO) should be complete in all respect. It should contain only the pric</w:t>
      </w:r>
      <w:r w:rsidR="00B248AC" w:rsidRPr="00A54361">
        <w:rPr>
          <w:rFonts w:cstheme="minorHAnsi"/>
        </w:rPr>
        <w:t>e information as per Bill of Material</w:t>
      </w:r>
    </w:p>
    <w:p w14:paraId="136020A3" w14:textId="028FEB23" w:rsidR="005954F1" w:rsidRPr="00A54361" w:rsidRDefault="005954F1" w:rsidP="00A54361">
      <w:pPr>
        <w:pStyle w:val="ListParagraph"/>
        <w:numPr>
          <w:ilvl w:val="0"/>
          <w:numId w:val="14"/>
        </w:numPr>
        <w:spacing w:before="120" w:after="120"/>
        <w:jc w:val="both"/>
        <w:rPr>
          <w:rFonts w:cstheme="minorHAnsi"/>
        </w:rPr>
      </w:pPr>
      <w:r w:rsidRPr="00A54361">
        <w:rPr>
          <w:rFonts w:cstheme="minorHAnsi"/>
        </w:rPr>
        <w:t xml:space="preserve">The commercial offer should be in compliance with </w:t>
      </w:r>
      <w:r w:rsidR="00BC7A98" w:rsidRPr="00A54361">
        <w:rPr>
          <w:rFonts w:cstheme="minorHAnsi"/>
        </w:rPr>
        <w:t>technical</w:t>
      </w:r>
      <w:r w:rsidRPr="00A54361">
        <w:rPr>
          <w:rFonts w:cstheme="minorHAnsi"/>
        </w:rPr>
        <w:t xml:space="preserve"> configuration / specificatio</w:t>
      </w:r>
      <w:r w:rsidR="006D0D06" w:rsidRPr="00A54361">
        <w:rPr>
          <w:rFonts w:cstheme="minorHAnsi"/>
        </w:rPr>
        <w:t xml:space="preserve">ns as per </w:t>
      </w:r>
      <w:r w:rsidR="00B248AC" w:rsidRPr="00A54361">
        <w:rPr>
          <w:rFonts w:cstheme="minorHAnsi"/>
        </w:rPr>
        <w:t>Technical Specifications</w:t>
      </w:r>
      <w:r w:rsidRPr="00A54361">
        <w:rPr>
          <w:rFonts w:cstheme="minorHAnsi"/>
        </w:rPr>
        <w:t xml:space="preserve">. </w:t>
      </w:r>
    </w:p>
    <w:p w14:paraId="40F0A2E9" w14:textId="14AAE816" w:rsidR="005954F1" w:rsidRPr="00A54361" w:rsidRDefault="005954F1" w:rsidP="00A54361">
      <w:pPr>
        <w:pStyle w:val="ListParagraph"/>
        <w:numPr>
          <w:ilvl w:val="0"/>
          <w:numId w:val="14"/>
        </w:numPr>
        <w:spacing w:before="120" w:after="120"/>
        <w:jc w:val="both"/>
        <w:rPr>
          <w:rFonts w:cstheme="minorHAnsi"/>
        </w:rPr>
      </w:pPr>
      <w:r w:rsidRPr="00A54361">
        <w:rPr>
          <w:rFonts w:cstheme="minorHAnsi"/>
        </w:rPr>
        <w:t xml:space="preserve">The price to be quoted for all individual items and it should be unit price in Indian rupees. </w:t>
      </w:r>
    </w:p>
    <w:p w14:paraId="0B8AF4CD" w14:textId="527DD0A2" w:rsidR="005954F1" w:rsidRPr="00A54361" w:rsidRDefault="005954F1" w:rsidP="00A54361">
      <w:pPr>
        <w:pStyle w:val="ListParagraph"/>
        <w:numPr>
          <w:ilvl w:val="0"/>
          <w:numId w:val="14"/>
        </w:numPr>
        <w:spacing w:before="120" w:after="120"/>
        <w:jc w:val="both"/>
        <w:rPr>
          <w:rFonts w:cstheme="minorHAnsi"/>
        </w:rPr>
      </w:pPr>
      <w:r w:rsidRPr="00A54361">
        <w:rPr>
          <w:rFonts w:cstheme="minorHAnsi"/>
        </w:rPr>
        <w:t xml:space="preserve">In case there is a variation between numbers and words, the value mentioned in words would be considered. The Bidder is expected to quote unit price in Indian Rupees (without decimal places) for all components and services on a fixed price basis, as per the commercial Bid inclusive of all costs. GST (Goods and Services Taxes) shall be payable as per applicable structure laid down under GST Law. The Bank will not pay any other taxes, </w:t>
      </w:r>
      <w:r w:rsidR="00841A82" w:rsidRPr="00A54361">
        <w:rPr>
          <w:rFonts w:cstheme="minorHAnsi"/>
        </w:rPr>
        <w:t>cost,</w:t>
      </w:r>
      <w:r w:rsidRPr="00A54361">
        <w:rPr>
          <w:rFonts w:cstheme="minorHAnsi"/>
        </w:rPr>
        <w:t xml:space="preserve"> or charges. The price would be inclusive of all applicable taxes under the Indian law like customs duty, freight, forwarding, insurance, delivery, etc. but exclusive of only applicable GST, which shall be paid/ reimbursed on actual basis on production of bills with GSTIN. Any increase in GST will be paid in actuals by the Bank or any </w:t>
      </w:r>
      <w:r w:rsidRPr="00A54361">
        <w:rPr>
          <w:rFonts w:cstheme="minorHAnsi"/>
        </w:rPr>
        <w:lastRenderedPageBreak/>
        <w:t xml:space="preserve">new tax introduced by the government will also be paid by the Bank. The entire benefits/ advantages, arising out of fall in prices, taxes, duties or any other reason, must be passed on to Bank. The price quoted by the Bidder should not change due to exchange rate fluctuations, inflation, market conditions, and increase in custom duty. The Bank will not pay any </w:t>
      </w:r>
      <w:r w:rsidR="00841A82" w:rsidRPr="00A54361">
        <w:rPr>
          <w:rFonts w:cstheme="minorHAnsi"/>
        </w:rPr>
        <w:t>out-of-pocket</w:t>
      </w:r>
      <w:r w:rsidRPr="00A54361">
        <w:rPr>
          <w:rFonts w:cstheme="minorHAnsi"/>
        </w:rPr>
        <w:t xml:space="preserve"> expense. The Selected Bidder will be entirely responsible for licens</w:t>
      </w:r>
      <w:r w:rsidR="00B248AC" w:rsidRPr="00A54361">
        <w:rPr>
          <w:rFonts w:cstheme="minorHAnsi"/>
        </w:rPr>
        <w:t xml:space="preserve">e fee, road permits, </w:t>
      </w:r>
      <w:r w:rsidRPr="00A54361">
        <w:rPr>
          <w:rFonts w:cstheme="minorHAnsi"/>
        </w:rPr>
        <w:t xml:space="preserve">insurance etc. in connection with the delivery of products at site advised by the Bank including incidental services and commissioning. </w:t>
      </w:r>
    </w:p>
    <w:p w14:paraId="35D42096" w14:textId="54D2C468" w:rsidR="005954F1" w:rsidRPr="00620D45" w:rsidRDefault="005954F1" w:rsidP="00A54361">
      <w:pPr>
        <w:pStyle w:val="ListParagraph"/>
        <w:numPr>
          <w:ilvl w:val="0"/>
          <w:numId w:val="14"/>
        </w:numPr>
        <w:spacing w:before="120" w:after="120"/>
        <w:jc w:val="both"/>
        <w:rPr>
          <w:rFonts w:cstheme="minorHAnsi"/>
        </w:rPr>
      </w:pPr>
      <w:r w:rsidRPr="00620D45">
        <w:rPr>
          <w:rFonts w:cstheme="minorHAnsi"/>
        </w:rPr>
        <w:t>The p</w:t>
      </w:r>
      <w:r w:rsidR="00380C7D" w:rsidRPr="00620D45">
        <w:rPr>
          <w:rFonts w:cstheme="minorHAnsi"/>
        </w:rPr>
        <w:t xml:space="preserve">rice is exclusive of taxes i.e. </w:t>
      </w:r>
      <w:r w:rsidRPr="00620D45">
        <w:rPr>
          <w:rFonts w:cstheme="minorHAnsi"/>
        </w:rPr>
        <w:t>Goods and Services Tax, which shall be paid as per actuals.</w:t>
      </w:r>
    </w:p>
    <w:p w14:paraId="0BFCBC78" w14:textId="79D704F5" w:rsidR="009932CE" w:rsidRPr="00620D45" w:rsidRDefault="009932CE" w:rsidP="00A54361">
      <w:pPr>
        <w:pStyle w:val="ListParagraph"/>
        <w:numPr>
          <w:ilvl w:val="0"/>
          <w:numId w:val="14"/>
        </w:numPr>
        <w:spacing w:before="120" w:after="120"/>
        <w:jc w:val="both"/>
        <w:rPr>
          <w:rFonts w:cstheme="minorHAnsi"/>
        </w:rPr>
      </w:pPr>
      <w:r w:rsidRPr="00620D45">
        <w:rPr>
          <w:rFonts w:cstheme="minorHAnsi"/>
          <w:lang w:eastAsia="en-GB"/>
        </w:rPr>
        <w:t>Bank will award the contract to the successful Bidder, whose bid has been determined as the Lowest Commercial bid (L1) through</w:t>
      </w:r>
      <w:r w:rsidRPr="00620D45">
        <w:rPr>
          <w:rFonts w:cstheme="minorHAnsi"/>
        </w:rPr>
        <w:t xml:space="preserve"> the </w:t>
      </w:r>
      <w:r w:rsidRPr="00620D45">
        <w:rPr>
          <w:rFonts w:cstheme="minorHAnsi"/>
          <w:lang w:eastAsia="en-GB"/>
        </w:rPr>
        <w:t>Reverse Auction process of this commercial evaluation through GeM Portal.</w:t>
      </w:r>
    </w:p>
    <w:p w14:paraId="04E1A2BB" w14:textId="486BA5E4" w:rsidR="005954F1" w:rsidRPr="00A54361" w:rsidRDefault="005954F1" w:rsidP="00A54361">
      <w:pPr>
        <w:pStyle w:val="Heading1"/>
        <w:numPr>
          <w:ilvl w:val="0"/>
          <w:numId w:val="48"/>
        </w:numPr>
        <w:jc w:val="both"/>
        <w:rPr>
          <w:rFonts w:asciiTheme="minorHAnsi" w:hAnsiTheme="minorHAnsi" w:cstheme="minorHAnsi"/>
          <w:color w:val="auto"/>
        </w:rPr>
      </w:pPr>
      <w:bookmarkStart w:id="156" w:name="_Toc129668493"/>
      <w:bookmarkStart w:id="157" w:name="_Toc182233365"/>
      <w:r w:rsidRPr="00A54361">
        <w:rPr>
          <w:rFonts w:asciiTheme="minorHAnsi" w:hAnsiTheme="minorHAnsi" w:cstheme="minorHAnsi"/>
          <w:color w:val="auto"/>
        </w:rPr>
        <w:t>Evaluation &amp; Acceptance</w:t>
      </w:r>
      <w:bookmarkEnd w:id="156"/>
      <w:bookmarkEnd w:id="157"/>
    </w:p>
    <w:p w14:paraId="57158BBD" w14:textId="1A9AA527" w:rsidR="005954F1" w:rsidRPr="00A54361" w:rsidRDefault="005954F1" w:rsidP="00A54361">
      <w:pPr>
        <w:pStyle w:val="ListParagraph"/>
        <w:numPr>
          <w:ilvl w:val="0"/>
          <w:numId w:val="15"/>
        </w:numPr>
        <w:spacing w:before="120" w:after="120"/>
        <w:jc w:val="both"/>
        <w:rPr>
          <w:rFonts w:cstheme="minorHAnsi"/>
        </w:rPr>
      </w:pPr>
      <w:r w:rsidRPr="00A54361">
        <w:rPr>
          <w:rFonts w:cstheme="minorHAnsi"/>
        </w:rPr>
        <w:t xml:space="preserve">Technical offers will be evaluated on the basis of compliance with eligibility criteria, technical specification, other terms &amp; conditions stipulated in the RFP. Only those bidders who qualify in the technical evaluation would be considered for evaluating the commercial bid. Bank may, at its sole discretion, waive any non-conformity or deviations. </w:t>
      </w:r>
    </w:p>
    <w:p w14:paraId="03803303" w14:textId="3A7CE665" w:rsidR="005954F1" w:rsidRPr="00A54361" w:rsidRDefault="005954F1" w:rsidP="00A54361">
      <w:pPr>
        <w:pStyle w:val="ListParagraph"/>
        <w:numPr>
          <w:ilvl w:val="0"/>
          <w:numId w:val="15"/>
        </w:numPr>
        <w:spacing w:before="120" w:after="120"/>
        <w:jc w:val="both"/>
        <w:rPr>
          <w:rFonts w:cstheme="minorHAnsi"/>
        </w:rPr>
      </w:pPr>
      <w:r w:rsidRPr="00A54361">
        <w:rPr>
          <w:rFonts w:cstheme="minorHAnsi"/>
        </w:rPr>
        <w:t xml:space="preserve">Bank reserves the right to reject </w:t>
      </w:r>
      <w:r w:rsidR="006513F4" w:rsidRPr="00A54361">
        <w:rPr>
          <w:rFonts w:cstheme="minorHAnsi"/>
        </w:rPr>
        <w:t>t</w:t>
      </w:r>
      <w:r w:rsidR="00A94B34" w:rsidRPr="00A54361">
        <w:rPr>
          <w:rFonts w:cstheme="minorHAnsi"/>
        </w:rPr>
        <w:t>he</w:t>
      </w:r>
      <w:r w:rsidRPr="00A54361">
        <w:rPr>
          <w:rFonts w:cstheme="minorHAnsi"/>
        </w:rPr>
        <w:t xml:space="preserve"> bid offer under any of the following circumstances: a) If the bid offer is incomplete and / or not accompanied by all stipulated documents. b) If the bid offer is not in conformity with the terms and conditions stipulated in the RFP. c) If there is a deviation in respect to the technical specifications of hardware items. </w:t>
      </w:r>
    </w:p>
    <w:p w14:paraId="65C959A2" w14:textId="335BFAE5" w:rsidR="005954F1" w:rsidRPr="00A54361" w:rsidRDefault="005954F1" w:rsidP="00A54361">
      <w:pPr>
        <w:pStyle w:val="ListParagraph"/>
        <w:numPr>
          <w:ilvl w:val="0"/>
          <w:numId w:val="15"/>
        </w:numPr>
        <w:spacing w:before="120" w:after="120"/>
        <w:jc w:val="both"/>
        <w:rPr>
          <w:rFonts w:cstheme="minorHAnsi"/>
        </w:rPr>
      </w:pPr>
      <w:r w:rsidRPr="00A54361">
        <w:rPr>
          <w:rFonts w:cstheme="minorHAnsi"/>
        </w:rPr>
        <w:t>The Bank shall be under no obligation to mandatorily accept the lowest or any other offer received and shall be entitled to reject any or all offers without assigning reasons</w:t>
      </w:r>
    </w:p>
    <w:p w14:paraId="7063FA7F" w14:textId="76417F7F" w:rsidR="009B10F0" w:rsidRPr="00A54361" w:rsidRDefault="009B10F0" w:rsidP="00A54361">
      <w:pPr>
        <w:pStyle w:val="Heading1"/>
        <w:numPr>
          <w:ilvl w:val="0"/>
          <w:numId w:val="48"/>
        </w:numPr>
        <w:jc w:val="both"/>
        <w:rPr>
          <w:rFonts w:asciiTheme="minorHAnsi" w:hAnsiTheme="minorHAnsi" w:cstheme="minorHAnsi"/>
          <w:color w:val="auto"/>
        </w:rPr>
      </w:pPr>
      <w:bookmarkStart w:id="158" w:name="_Toc129668494"/>
      <w:bookmarkStart w:id="159" w:name="_Toc182233366"/>
      <w:r w:rsidRPr="00A54361">
        <w:rPr>
          <w:rFonts w:asciiTheme="minorHAnsi" w:hAnsiTheme="minorHAnsi" w:cstheme="minorHAnsi"/>
          <w:color w:val="auto"/>
        </w:rPr>
        <w:t>Evaluation Process</w:t>
      </w:r>
      <w:bookmarkEnd w:id="158"/>
      <w:bookmarkEnd w:id="159"/>
    </w:p>
    <w:p w14:paraId="27D8A494" w14:textId="77777777" w:rsidR="009B10F0" w:rsidRPr="00A54361" w:rsidRDefault="009B10F0" w:rsidP="00A54361">
      <w:pPr>
        <w:jc w:val="both"/>
        <w:rPr>
          <w:rFonts w:cstheme="minorHAnsi"/>
        </w:rPr>
      </w:pPr>
      <w:r w:rsidRPr="00A54361">
        <w:rPr>
          <w:rFonts w:cstheme="minorHAnsi"/>
        </w:rPr>
        <w:t xml:space="preserve">The competitive bids shall be evaluated in three phases: </w:t>
      </w:r>
    </w:p>
    <w:p w14:paraId="37D00BF3" w14:textId="77777777" w:rsidR="009E39D4" w:rsidRPr="00A54361" w:rsidRDefault="009B10F0" w:rsidP="00A54361">
      <w:pPr>
        <w:pStyle w:val="ListParagraph"/>
        <w:numPr>
          <w:ilvl w:val="0"/>
          <w:numId w:val="27"/>
        </w:numPr>
        <w:jc w:val="both"/>
        <w:rPr>
          <w:rFonts w:cstheme="minorHAnsi"/>
        </w:rPr>
      </w:pPr>
      <w:r w:rsidRPr="00A54361">
        <w:rPr>
          <w:rFonts w:cstheme="minorHAnsi"/>
        </w:rPr>
        <w:t xml:space="preserve">Stage 1 – </w:t>
      </w:r>
      <w:r w:rsidR="009E39D4" w:rsidRPr="00A54361">
        <w:rPr>
          <w:rFonts w:cstheme="minorHAnsi"/>
        </w:rPr>
        <w:t xml:space="preserve">Eligibility Criteria Evaluation Stage - Bidder have to qualify each and every criteria as mentioned in the section 2 of the RFP, to qualify for the next stage of evaluation. </w:t>
      </w:r>
    </w:p>
    <w:p w14:paraId="1CBBB03F" w14:textId="4E5CD0D1" w:rsidR="009B10F0" w:rsidRPr="00A54361" w:rsidRDefault="009B10F0" w:rsidP="00A54361">
      <w:pPr>
        <w:pStyle w:val="ListParagraph"/>
        <w:numPr>
          <w:ilvl w:val="0"/>
          <w:numId w:val="27"/>
        </w:numPr>
        <w:jc w:val="both"/>
        <w:rPr>
          <w:rFonts w:cstheme="minorHAnsi"/>
        </w:rPr>
      </w:pPr>
      <w:r w:rsidRPr="00A54361">
        <w:rPr>
          <w:rFonts w:cstheme="minorHAnsi"/>
        </w:rPr>
        <w:t xml:space="preserve">Stage 2 – </w:t>
      </w:r>
      <w:r w:rsidR="00726A97" w:rsidRPr="00A54361">
        <w:rPr>
          <w:rFonts w:cstheme="minorHAnsi"/>
        </w:rPr>
        <w:t>Technical Evaluation Stage - Bidders Qualify in Stage 1 have to score minimum 70% marks in technical evaluation as per section 20.2 of the RFP to qualify for stage 3</w:t>
      </w:r>
    </w:p>
    <w:p w14:paraId="2A620E2B" w14:textId="015FC418" w:rsidR="009B10F0" w:rsidRPr="00A54361" w:rsidRDefault="009B10F0" w:rsidP="00A54361">
      <w:pPr>
        <w:pStyle w:val="ListParagraph"/>
        <w:numPr>
          <w:ilvl w:val="0"/>
          <w:numId w:val="27"/>
        </w:numPr>
        <w:jc w:val="both"/>
        <w:rPr>
          <w:rFonts w:cstheme="minorHAnsi"/>
        </w:rPr>
      </w:pPr>
      <w:r w:rsidRPr="00A54361">
        <w:rPr>
          <w:rFonts w:cstheme="minorHAnsi"/>
        </w:rPr>
        <w:t xml:space="preserve">Stage 3 – </w:t>
      </w:r>
      <w:r w:rsidR="00085ACA" w:rsidRPr="00A54361">
        <w:rPr>
          <w:rFonts w:cstheme="minorHAnsi"/>
        </w:rPr>
        <w:t>Commercial Bid process</w:t>
      </w:r>
      <w:r w:rsidR="00B26038" w:rsidRPr="00A54361">
        <w:rPr>
          <w:rFonts w:cstheme="minorHAnsi"/>
        </w:rPr>
        <w:t xml:space="preserve"> / Reverse Auction</w:t>
      </w:r>
    </w:p>
    <w:p w14:paraId="5B050420" w14:textId="717DC359" w:rsidR="008952CC" w:rsidRPr="00A54361" w:rsidRDefault="008952CC" w:rsidP="00A54361">
      <w:pPr>
        <w:pStyle w:val="ListParagraph"/>
        <w:numPr>
          <w:ilvl w:val="0"/>
          <w:numId w:val="27"/>
        </w:numPr>
        <w:jc w:val="both"/>
        <w:rPr>
          <w:rFonts w:cstheme="minorHAnsi"/>
        </w:rPr>
      </w:pPr>
    </w:p>
    <w:p w14:paraId="6FC8AC1D" w14:textId="77777777" w:rsidR="004D5AFF" w:rsidRPr="00A54361" w:rsidRDefault="004D5AFF" w:rsidP="00A54361">
      <w:pPr>
        <w:pStyle w:val="ListParagraph"/>
        <w:keepNext/>
        <w:keepLines/>
        <w:numPr>
          <w:ilvl w:val="0"/>
          <w:numId w:val="50"/>
        </w:numPr>
        <w:spacing w:before="240" w:after="0"/>
        <w:contextualSpacing w:val="0"/>
        <w:jc w:val="both"/>
        <w:outlineLvl w:val="0"/>
        <w:rPr>
          <w:rFonts w:eastAsiaTheme="majorEastAsia" w:cstheme="minorHAnsi"/>
          <w:vanish/>
          <w:sz w:val="32"/>
          <w:szCs w:val="32"/>
        </w:rPr>
      </w:pPr>
      <w:bookmarkStart w:id="160" w:name="_Toc173349301"/>
      <w:bookmarkStart w:id="161" w:name="_Toc173349404"/>
      <w:bookmarkStart w:id="162" w:name="_Toc173401818"/>
      <w:bookmarkStart w:id="163" w:name="_Toc173401922"/>
      <w:bookmarkStart w:id="164" w:name="_Toc173421251"/>
      <w:bookmarkStart w:id="165" w:name="_Toc177401335"/>
      <w:bookmarkStart w:id="166" w:name="_Toc177401438"/>
      <w:bookmarkStart w:id="167" w:name="_Toc181978449"/>
      <w:bookmarkStart w:id="168" w:name="_Toc182233367"/>
      <w:bookmarkEnd w:id="160"/>
      <w:bookmarkEnd w:id="161"/>
      <w:bookmarkEnd w:id="162"/>
      <w:bookmarkEnd w:id="163"/>
      <w:bookmarkEnd w:id="164"/>
      <w:bookmarkEnd w:id="165"/>
      <w:bookmarkEnd w:id="166"/>
      <w:bookmarkEnd w:id="167"/>
      <w:bookmarkEnd w:id="168"/>
    </w:p>
    <w:p w14:paraId="4305A8ED" w14:textId="77777777" w:rsidR="004D5AFF" w:rsidRPr="00A54361" w:rsidRDefault="004D5AFF" w:rsidP="00A54361">
      <w:pPr>
        <w:pStyle w:val="ListParagraph"/>
        <w:keepNext/>
        <w:keepLines/>
        <w:numPr>
          <w:ilvl w:val="0"/>
          <w:numId w:val="50"/>
        </w:numPr>
        <w:spacing w:before="240" w:after="0"/>
        <w:contextualSpacing w:val="0"/>
        <w:jc w:val="both"/>
        <w:outlineLvl w:val="0"/>
        <w:rPr>
          <w:rFonts w:eastAsiaTheme="majorEastAsia" w:cstheme="minorHAnsi"/>
          <w:vanish/>
          <w:sz w:val="32"/>
          <w:szCs w:val="32"/>
        </w:rPr>
      </w:pPr>
      <w:bookmarkStart w:id="169" w:name="_Toc173349302"/>
      <w:bookmarkStart w:id="170" w:name="_Toc173349405"/>
      <w:bookmarkStart w:id="171" w:name="_Toc173401819"/>
      <w:bookmarkStart w:id="172" w:name="_Toc173401923"/>
      <w:bookmarkStart w:id="173" w:name="_Toc173421252"/>
      <w:bookmarkStart w:id="174" w:name="_Toc177401336"/>
      <w:bookmarkStart w:id="175" w:name="_Toc177401439"/>
      <w:bookmarkStart w:id="176" w:name="_Toc181978450"/>
      <w:bookmarkStart w:id="177" w:name="_Toc182233368"/>
      <w:bookmarkEnd w:id="169"/>
      <w:bookmarkEnd w:id="170"/>
      <w:bookmarkEnd w:id="171"/>
      <w:bookmarkEnd w:id="172"/>
      <w:bookmarkEnd w:id="173"/>
      <w:bookmarkEnd w:id="174"/>
      <w:bookmarkEnd w:id="175"/>
      <w:bookmarkEnd w:id="176"/>
      <w:bookmarkEnd w:id="177"/>
    </w:p>
    <w:p w14:paraId="2885AF5A" w14:textId="39BBDC07" w:rsidR="008E57C4" w:rsidRPr="00A54361" w:rsidRDefault="009B10F0" w:rsidP="00A54361">
      <w:pPr>
        <w:pStyle w:val="Heading1"/>
        <w:numPr>
          <w:ilvl w:val="1"/>
          <w:numId w:val="50"/>
        </w:numPr>
        <w:ind w:left="1778"/>
        <w:jc w:val="both"/>
        <w:rPr>
          <w:rFonts w:asciiTheme="minorHAnsi" w:hAnsiTheme="minorHAnsi" w:cstheme="minorHAnsi"/>
          <w:color w:val="auto"/>
        </w:rPr>
      </w:pPr>
      <w:bookmarkStart w:id="178" w:name="_Toc182233369"/>
      <w:r w:rsidRPr="00A54361">
        <w:rPr>
          <w:rFonts w:asciiTheme="minorHAnsi" w:hAnsiTheme="minorHAnsi" w:cstheme="minorHAnsi"/>
          <w:color w:val="auto"/>
        </w:rPr>
        <w:t>Eligibility</w:t>
      </w:r>
      <w:r w:rsidR="00085ACA" w:rsidRPr="00A54361">
        <w:rPr>
          <w:rFonts w:asciiTheme="minorHAnsi" w:hAnsiTheme="minorHAnsi" w:cstheme="minorHAnsi"/>
          <w:color w:val="auto"/>
        </w:rPr>
        <w:t xml:space="preserve"> Criteria Evaluation</w:t>
      </w:r>
      <w:bookmarkEnd w:id="178"/>
    </w:p>
    <w:p w14:paraId="339CC7E3" w14:textId="1069E31C" w:rsidR="00A702C0" w:rsidRPr="00A54361" w:rsidRDefault="00A702C0" w:rsidP="00A54361">
      <w:pPr>
        <w:spacing w:before="120" w:after="120"/>
        <w:jc w:val="both"/>
      </w:pPr>
      <w:r w:rsidRPr="00A54361">
        <w:t>Central Bank of India is looking for Supply, Installation and Maintenance of Cybersecurity Solutions</w:t>
      </w:r>
      <w:r w:rsidR="00E86DED" w:rsidRPr="00A54361">
        <w:t xml:space="preserve"> </w:t>
      </w:r>
      <w:r w:rsidR="00E86DED" w:rsidRPr="00A54361">
        <w:rPr>
          <w:rFonts w:cstheme="minorHAnsi"/>
        </w:rPr>
        <w:t>and associated hardware</w:t>
      </w:r>
      <w:r w:rsidRPr="00A54361">
        <w:t xml:space="preserve"> at the Bank. It includes supply, installation, Implementation and maintenance of the Solution(s). </w:t>
      </w:r>
    </w:p>
    <w:p w14:paraId="20AD23D6" w14:textId="77777777" w:rsidR="00A702C0" w:rsidRPr="00A54361" w:rsidRDefault="00A702C0" w:rsidP="00A54361">
      <w:pPr>
        <w:spacing w:before="120" w:after="120"/>
        <w:jc w:val="both"/>
      </w:pPr>
      <w:r w:rsidRPr="00A54361">
        <w:t>Only those Bidders who fulfil the following criteria are eligible to respond to the RFP. Offers received from Bidders who do not fulfil any of the following eligibility criteria will be summarily rejected.</w:t>
      </w:r>
    </w:p>
    <w:p w14:paraId="354311E2" w14:textId="77777777" w:rsidR="005C7ED4" w:rsidRPr="00A54361" w:rsidRDefault="00A702C0" w:rsidP="00A54361">
      <w:pPr>
        <w:spacing w:before="120" w:after="120"/>
        <w:jc w:val="both"/>
      </w:pPr>
      <w:r w:rsidRPr="00A54361">
        <w:t xml:space="preserve">Bidder will be responsible for delivering the end-to-end solution and will be the single point of contact for the implementation, integration, support and maintenance for the entire project. Bidder will also be solely responsible for ensuring adherence to the Service Levels, terms &amp; condition and Service </w:t>
      </w:r>
      <w:r w:rsidRPr="00A54361">
        <w:lastRenderedPageBreak/>
        <w:t xml:space="preserve">Quality for each of the deliverables executed. However, OEM or its authorized service partners will be responsible for implementation. </w:t>
      </w:r>
    </w:p>
    <w:p w14:paraId="6A4A341B" w14:textId="77777777" w:rsidR="005C7ED4" w:rsidRPr="00A54361" w:rsidRDefault="005C7ED4" w:rsidP="00A54361">
      <w:pPr>
        <w:spacing w:before="120" w:after="120"/>
        <w:jc w:val="both"/>
      </w:pPr>
    </w:p>
    <w:p w14:paraId="12662F49" w14:textId="77777777" w:rsidR="005C7ED4" w:rsidRPr="00A54361" w:rsidRDefault="005C7ED4" w:rsidP="00A54361">
      <w:pPr>
        <w:spacing w:before="120" w:after="120"/>
        <w:jc w:val="both"/>
      </w:pPr>
      <w:r w:rsidRPr="00A54361">
        <w:t>The bidder must fulfil the criteria mentioned in the Section2 of this RFP:</w:t>
      </w:r>
    </w:p>
    <w:p w14:paraId="7530C621" w14:textId="77777777" w:rsidR="005C7ED4" w:rsidRPr="00A54361" w:rsidRDefault="005C7ED4" w:rsidP="00A54361">
      <w:pPr>
        <w:spacing w:before="120" w:after="120"/>
        <w:jc w:val="both"/>
        <w:rPr>
          <w:b/>
          <w:bCs/>
        </w:rPr>
      </w:pPr>
      <w:r w:rsidRPr="00A54361">
        <w:rPr>
          <w:b/>
          <w:bCs/>
        </w:rPr>
        <w:t>Note:</w:t>
      </w:r>
    </w:p>
    <w:p w14:paraId="2FC0025A" w14:textId="77777777" w:rsidR="005C7ED4" w:rsidRPr="00A54361" w:rsidRDefault="005C7ED4" w:rsidP="00A54361">
      <w:pPr>
        <w:pStyle w:val="ListParagraph"/>
        <w:numPr>
          <w:ilvl w:val="0"/>
          <w:numId w:val="72"/>
        </w:numPr>
        <w:spacing w:before="120" w:after="120"/>
        <w:jc w:val="both"/>
      </w:pPr>
      <w:r w:rsidRPr="00A54361">
        <w:t>All relevant documents / certificates should be attached as proof in support of the claims made. The bidder should provide relevant additional information wherever required in the eligibility criteria. Central Bank of India reserves the right to verify /evaluate the claims made by the Bidder independently. Any decision of Central Bank of India in this regard shall be final, conclusive, and binding upon the Bidder.</w:t>
      </w:r>
    </w:p>
    <w:p w14:paraId="1EEAB2B4" w14:textId="77777777" w:rsidR="005C7ED4" w:rsidRPr="00A54361" w:rsidRDefault="005C7ED4" w:rsidP="00A54361">
      <w:pPr>
        <w:pStyle w:val="ListParagraph"/>
        <w:numPr>
          <w:ilvl w:val="0"/>
          <w:numId w:val="72"/>
        </w:numPr>
        <w:spacing w:before="120" w:after="120"/>
        <w:jc w:val="both"/>
      </w:pPr>
      <w:r w:rsidRPr="00A54361">
        <w:t xml:space="preserve">In case of business transfer where bidder has acquired a Business from an entity (“Seller”), work experience credentials of the Seller in relation to the acquired business may be considered. </w:t>
      </w:r>
    </w:p>
    <w:p w14:paraId="4526C9B3" w14:textId="0F5DDCC2" w:rsidR="00193533" w:rsidRPr="00A54361" w:rsidRDefault="005C7ED4" w:rsidP="00A54361">
      <w:pPr>
        <w:pStyle w:val="ListParagraph"/>
        <w:numPr>
          <w:ilvl w:val="0"/>
          <w:numId w:val="72"/>
        </w:numPr>
        <w:spacing w:before="120" w:after="120"/>
        <w:jc w:val="both"/>
      </w:pPr>
      <w:r w:rsidRPr="00A54361">
        <w:t>In-case of corporate restructuring the earlier entity’s incorporation certificate, financial statements, Credentials, etc. may be considered.</w:t>
      </w:r>
      <w:r w:rsidR="00C62DD7" w:rsidRPr="00A54361">
        <w:t xml:space="preserve"> </w:t>
      </w:r>
    </w:p>
    <w:p w14:paraId="51034974" w14:textId="194D4A44" w:rsidR="008E57C4" w:rsidRPr="00A54361" w:rsidRDefault="008E57C4" w:rsidP="00A54361">
      <w:pPr>
        <w:pStyle w:val="Heading1"/>
        <w:numPr>
          <w:ilvl w:val="1"/>
          <w:numId w:val="50"/>
        </w:numPr>
        <w:ind w:firstLine="698"/>
        <w:jc w:val="both"/>
        <w:rPr>
          <w:rFonts w:asciiTheme="minorHAnsi" w:hAnsiTheme="minorHAnsi" w:cstheme="minorHAnsi"/>
          <w:color w:val="auto"/>
        </w:rPr>
      </w:pPr>
      <w:bookmarkStart w:id="179" w:name="_Toc182233370"/>
      <w:r w:rsidRPr="00A54361">
        <w:rPr>
          <w:rFonts w:asciiTheme="minorHAnsi" w:hAnsiTheme="minorHAnsi" w:cstheme="minorHAnsi"/>
          <w:color w:val="auto"/>
        </w:rPr>
        <w:t>Technical Evaluation Criteria</w:t>
      </w:r>
      <w:bookmarkEnd w:id="179"/>
    </w:p>
    <w:p w14:paraId="2AEBDE67" w14:textId="77777777" w:rsidR="00653B99" w:rsidRPr="00A54361" w:rsidRDefault="00653B99" w:rsidP="00A54361">
      <w:pPr>
        <w:spacing w:before="120" w:after="120"/>
        <w:jc w:val="both"/>
        <w:rPr>
          <w:rFonts w:cstheme="minorHAnsi"/>
        </w:rPr>
      </w:pPr>
      <w:r w:rsidRPr="00A54361">
        <w:rPr>
          <w:rFonts w:cstheme="minorHAnsi"/>
        </w:rPr>
        <w:t>The bidder must fulfil the criteria mentioned in the Section2 of this RFP:</w:t>
      </w:r>
    </w:p>
    <w:p w14:paraId="35BFDACD" w14:textId="77777777" w:rsidR="00653B99" w:rsidRPr="00A54361" w:rsidRDefault="00653B99" w:rsidP="00A54361">
      <w:pPr>
        <w:spacing w:after="120" w:line="276" w:lineRule="auto"/>
        <w:jc w:val="both"/>
        <w:rPr>
          <w:rFonts w:cstheme="minorHAnsi"/>
          <w:b/>
        </w:rPr>
      </w:pPr>
      <w:r w:rsidRPr="00A54361">
        <w:rPr>
          <w:rFonts w:cstheme="minorHAnsi"/>
          <w:b/>
        </w:rPr>
        <w:t>Note:</w:t>
      </w:r>
    </w:p>
    <w:p w14:paraId="1C39CBF5" w14:textId="77777777" w:rsidR="00653B99" w:rsidRPr="00A54361" w:rsidRDefault="00653B99" w:rsidP="00A54361">
      <w:pPr>
        <w:pStyle w:val="ListParagraph"/>
        <w:numPr>
          <w:ilvl w:val="0"/>
          <w:numId w:val="73"/>
        </w:numPr>
        <w:spacing w:before="120" w:after="240" w:line="276" w:lineRule="auto"/>
        <w:ind w:left="0"/>
        <w:jc w:val="both"/>
        <w:rPr>
          <w:rFonts w:cstheme="minorHAnsi"/>
        </w:rPr>
      </w:pPr>
      <w:r w:rsidRPr="00A54361">
        <w:rPr>
          <w:rFonts w:cstheme="minorHAnsi"/>
        </w:rPr>
        <w:t>All relevant documents / certificates should be attached as proof in support of the claims made. The bidder should provide relevant additional information wherever required in the eligibility criteria. Central Bank of India reserves the right to verify /evaluate the claims made by the Bidder independently. Any decision of Central Bank of India in this regard shall be final, conclusive, and binding upon the Bidder.</w:t>
      </w:r>
    </w:p>
    <w:p w14:paraId="7052358A" w14:textId="77777777" w:rsidR="00653B99" w:rsidRPr="00A54361" w:rsidRDefault="00653B99" w:rsidP="00A54361">
      <w:pPr>
        <w:pStyle w:val="ListParagraph"/>
        <w:numPr>
          <w:ilvl w:val="0"/>
          <w:numId w:val="74"/>
        </w:numPr>
        <w:spacing w:before="120" w:after="240" w:line="276" w:lineRule="auto"/>
        <w:ind w:left="0"/>
        <w:jc w:val="both"/>
        <w:rPr>
          <w:rFonts w:cstheme="minorHAnsi"/>
        </w:rPr>
      </w:pPr>
      <w:r w:rsidRPr="00A54361">
        <w:rPr>
          <w:rFonts w:cstheme="minorHAnsi"/>
        </w:rPr>
        <w:t xml:space="preserve">In case of business transfer where bidder has acquired a Business from an entity (“Seller”), work experience credentials of the Seller in relation to the acquired business may be considered. </w:t>
      </w:r>
    </w:p>
    <w:p w14:paraId="1CDCF089" w14:textId="77777777" w:rsidR="00653B99" w:rsidRPr="00A54361" w:rsidRDefault="00653B99" w:rsidP="00A54361">
      <w:pPr>
        <w:pStyle w:val="ListParagraph"/>
        <w:numPr>
          <w:ilvl w:val="0"/>
          <w:numId w:val="74"/>
        </w:numPr>
        <w:spacing w:before="120" w:after="240" w:line="276" w:lineRule="auto"/>
        <w:ind w:left="0"/>
        <w:jc w:val="both"/>
        <w:rPr>
          <w:rFonts w:cstheme="minorHAnsi"/>
        </w:rPr>
      </w:pPr>
      <w:r w:rsidRPr="00A54361">
        <w:rPr>
          <w:rFonts w:cstheme="minorHAnsi"/>
        </w:rPr>
        <w:t>In-case of corporate restructuring the earlier entity’s incorporation certificate, financial statements, Credentials, etc. may be considered.</w:t>
      </w:r>
    </w:p>
    <w:p w14:paraId="5BCFF56B" w14:textId="1D0E6504" w:rsidR="00C97D30" w:rsidRPr="00A54361" w:rsidRDefault="00C97D30" w:rsidP="00A54361">
      <w:pPr>
        <w:spacing w:before="120" w:after="120"/>
        <w:jc w:val="both"/>
        <w:rPr>
          <w:rFonts w:cstheme="minorHAnsi"/>
          <w:b/>
          <w:bCs/>
        </w:rPr>
      </w:pPr>
      <w:r w:rsidRPr="00A54361">
        <w:rPr>
          <w:rFonts w:cstheme="minorHAnsi"/>
          <w:b/>
          <w:bCs/>
        </w:rPr>
        <w:t>Detailed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5764"/>
        <w:gridCol w:w="1247"/>
        <w:gridCol w:w="1307"/>
      </w:tblGrid>
      <w:tr w:rsidR="000D3DC1" w:rsidRPr="00A54361" w14:paraId="1A32F364" w14:textId="77777777" w:rsidTr="005D16B3">
        <w:tc>
          <w:tcPr>
            <w:tcW w:w="734" w:type="dxa"/>
            <w:shd w:val="clear" w:color="auto" w:fill="D9E2F3" w:themeFill="accent1" w:themeFillTint="33"/>
          </w:tcPr>
          <w:p w14:paraId="50F7CC7D" w14:textId="77777777" w:rsidR="007A3508" w:rsidRPr="00A54361" w:rsidRDefault="007A3508" w:rsidP="00A54361">
            <w:pPr>
              <w:spacing w:before="120" w:after="120"/>
              <w:jc w:val="both"/>
              <w:rPr>
                <w:rFonts w:cstheme="minorHAnsi"/>
                <w:b/>
                <w:bCs/>
                <w:sz w:val="20"/>
                <w:szCs w:val="20"/>
              </w:rPr>
            </w:pPr>
            <w:r w:rsidRPr="00A54361">
              <w:rPr>
                <w:rFonts w:cstheme="minorHAnsi"/>
                <w:b/>
                <w:bCs/>
                <w:sz w:val="20"/>
                <w:szCs w:val="20"/>
              </w:rPr>
              <w:t>S. No</w:t>
            </w:r>
          </w:p>
        </w:tc>
        <w:tc>
          <w:tcPr>
            <w:tcW w:w="6349" w:type="dxa"/>
            <w:shd w:val="clear" w:color="auto" w:fill="D9E2F3" w:themeFill="accent1" w:themeFillTint="33"/>
          </w:tcPr>
          <w:p w14:paraId="4D6CCA6D" w14:textId="77777777" w:rsidR="007A3508" w:rsidRPr="00A54361" w:rsidRDefault="007A3508" w:rsidP="00A54361">
            <w:pPr>
              <w:spacing w:before="120" w:after="120"/>
              <w:jc w:val="both"/>
              <w:rPr>
                <w:rFonts w:cstheme="minorHAnsi"/>
                <w:b/>
                <w:bCs/>
                <w:sz w:val="20"/>
                <w:szCs w:val="20"/>
              </w:rPr>
            </w:pPr>
            <w:r w:rsidRPr="00A54361">
              <w:rPr>
                <w:rFonts w:cstheme="minorHAnsi"/>
                <w:b/>
                <w:bCs/>
                <w:sz w:val="20"/>
                <w:szCs w:val="20"/>
              </w:rPr>
              <w:t>Criteria</w:t>
            </w:r>
          </w:p>
        </w:tc>
        <w:tc>
          <w:tcPr>
            <w:tcW w:w="1334" w:type="dxa"/>
            <w:shd w:val="clear" w:color="auto" w:fill="D9E2F3" w:themeFill="accent1" w:themeFillTint="33"/>
          </w:tcPr>
          <w:p w14:paraId="303C7BAA" w14:textId="4BD244A4" w:rsidR="007A3508" w:rsidRPr="00A54361" w:rsidRDefault="007A3508" w:rsidP="00A54361">
            <w:pPr>
              <w:spacing w:before="120" w:after="120"/>
              <w:jc w:val="both"/>
              <w:rPr>
                <w:rFonts w:cstheme="minorHAnsi"/>
                <w:b/>
                <w:bCs/>
                <w:sz w:val="20"/>
                <w:szCs w:val="20"/>
              </w:rPr>
            </w:pPr>
            <w:r w:rsidRPr="00A54361">
              <w:rPr>
                <w:rFonts w:cstheme="minorHAnsi"/>
                <w:b/>
                <w:bCs/>
                <w:sz w:val="20"/>
                <w:szCs w:val="20"/>
              </w:rPr>
              <w:t>Min Score</w:t>
            </w:r>
          </w:p>
        </w:tc>
        <w:tc>
          <w:tcPr>
            <w:tcW w:w="1403" w:type="dxa"/>
            <w:shd w:val="clear" w:color="auto" w:fill="D9E2F3" w:themeFill="accent1" w:themeFillTint="33"/>
          </w:tcPr>
          <w:p w14:paraId="619E8A77" w14:textId="388DBA9A" w:rsidR="007A3508" w:rsidRPr="00A54361" w:rsidRDefault="007A3508" w:rsidP="00A54361">
            <w:pPr>
              <w:spacing w:before="120" w:after="120"/>
              <w:jc w:val="both"/>
              <w:rPr>
                <w:rFonts w:cstheme="minorHAnsi"/>
                <w:b/>
                <w:bCs/>
                <w:sz w:val="20"/>
                <w:szCs w:val="20"/>
              </w:rPr>
            </w:pPr>
            <w:r w:rsidRPr="00A54361">
              <w:rPr>
                <w:rFonts w:cstheme="minorHAnsi"/>
                <w:b/>
                <w:bCs/>
                <w:sz w:val="20"/>
                <w:szCs w:val="20"/>
              </w:rPr>
              <w:t>Max Score</w:t>
            </w:r>
          </w:p>
        </w:tc>
      </w:tr>
      <w:tr w:rsidR="000D3DC1" w:rsidRPr="00A54361" w14:paraId="63AB40A9" w14:textId="77777777" w:rsidTr="005D16B3">
        <w:tc>
          <w:tcPr>
            <w:tcW w:w="734" w:type="dxa"/>
          </w:tcPr>
          <w:p w14:paraId="2FAFF5FB" w14:textId="1693FCE0" w:rsidR="007A3508" w:rsidRPr="00A54361" w:rsidRDefault="007A3508" w:rsidP="00A54361">
            <w:pPr>
              <w:spacing w:before="120" w:after="120"/>
              <w:jc w:val="both"/>
              <w:rPr>
                <w:rFonts w:cstheme="minorHAnsi"/>
                <w:sz w:val="20"/>
                <w:szCs w:val="20"/>
              </w:rPr>
            </w:pPr>
            <w:r w:rsidRPr="00A54361">
              <w:rPr>
                <w:rFonts w:cstheme="minorHAnsi"/>
                <w:sz w:val="20"/>
                <w:szCs w:val="20"/>
              </w:rPr>
              <w:t>1.</w:t>
            </w:r>
          </w:p>
        </w:tc>
        <w:tc>
          <w:tcPr>
            <w:tcW w:w="6349" w:type="dxa"/>
          </w:tcPr>
          <w:p w14:paraId="4658DD24" w14:textId="77777777" w:rsidR="007A3508" w:rsidRPr="00A54361" w:rsidRDefault="007A3508" w:rsidP="00A54361">
            <w:pPr>
              <w:spacing w:before="120" w:after="120"/>
              <w:jc w:val="both"/>
              <w:rPr>
                <w:rFonts w:cstheme="minorHAnsi"/>
                <w:sz w:val="20"/>
                <w:szCs w:val="20"/>
              </w:rPr>
            </w:pPr>
            <w:r w:rsidRPr="00A54361">
              <w:rPr>
                <w:rFonts w:cstheme="minorHAnsi"/>
                <w:sz w:val="20"/>
                <w:szCs w:val="20"/>
              </w:rPr>
              <w:t>The bidding entity should have minimum annual average turnover of ₹ 500 Crores (Rupees Five Hundred crores) in last three financial years with audited reports (i.e. 2021-22, 2022-23, 2023-24)</w:t>
            </w:r>
          </w:p>
          <w:p w14:paraId="5A2877A8" w14:textId="77777777" w:rsidR="007A3508" w:rsidRPr="00A54361" w:rsidRDefault="007A3508" w:rsidP="00A54361">
            <w:pPr>
              <w:spacing w:before="120" w:after="120"/>
              <w:jc w:val="both"/>
              <w:rPr>
                <w:rFonts w:cstheme="minorHAnsi"/>
                <w:sz w:val="20"/>
                <w:szCs w:val="20"/>
              </w:rPr>
            </w:pPr>
            <w:r w:rsidRPr="00A54361">
              <w:rPr>
                <w:rFonts w:cstheme="minorHAnsi"/>
                <w:sz w:val="20"/>
                <w:szCs w:val="20"/>
              </w:rPr>
              <w:t>Turnover 500-750 Cr - 5 Marks</w:t>
            </w:r>
          </w:p>
          <w:p w14:paraId="5D83501B" w14:textId="77777777" w:rsidR="007A3508" w:rsidRPr="00A54361" w:rsidRDefault="007A3508" w:rsidP="00A54361">
            <w:pPr>
              <w:spacing w:before="120" w:after="120"/>
              <w:jc w:val="both"/>
              <w:rPr>
                <w:rFonts w:cstheme="minorHAnsi"/>
                <w:sz w:val="20"/>
                <w:szCs w:val="20"/>
              </w:rPr>
            </w:pPr>
            <w:r w:rsidRPr="00A54361">
              <w:rPr>
                <w:rFonts w:cstheme="minorHAnsi"/>
                <w:sz w:val="20"/>
                <w:szCs w:val="20"/>
              </w:rPr>
              <w:t>Turnover 751-1000 Cr - 7 Marks</w:t>
            </w:r>
          </w:p>
          <w:p w14:paraId="23206DD2" w14:textId="11A5011D" w:rsidR="007A3508" w:rsidRPr="00A54361" w:rsidRDefault="007A3508" w:rsidP="00A54361">
            <w:pPr>
              <w:spacing w:before="120" w:after="120"/>
              <w:jc w:val="both"/>
              <w:rPr>
                <w:rFonts w:cstheme="minorHAnsi"/>
                <w:sz w:val="20"/>
                <w:szCs w:val="20"/>
              </w:rPr>
            </w:pPr>
            <w:r w:rsidRPr="00A54361">
              <w:rPr>
                <w:rFonts w:cstheme="minorHAnsi"/>
                <w:sz w:val="20"/>
                <w:szCs w:val="20"/>
              </w:rPr>
              <w:t>Turnover above 1000 Cr - 10 Marks</w:t>
            </w:r>
          </w:p>
        </w:tc>
        <w:tc>
          <w:tcPr>
            <w:tcW w:w="1334" w:type="dxa"/>
          </w:tcPr>
          <w:p w14:paraId="22343B94" w14:textId="5CA0271C" w:rsidR="007A3508" w:rsidRPr="00A54361" w:rsidRDefault="007A3508" w:rsidP="00A54361">
            <w:pPr>
              <w:spacing w:before="120" w:after="120"/>
              <w:jc w:val="both"/>
              <w:rPr>
                <w:rFonts w:cstheme="minorHAnsi"/>
                <w:sz w:val="20"/>
                <w:szCs w:val="20"/>
              </w:rPr>
            </w:pPr>
            <w:r w:rsidRPr="00A54361">
              <w:rPr>
                <w:rFonts w:cstheme="minorHAnsi"/>
                <w:sz w:val="20"/>
                <w:szCs w:val="20"/>
              </w:rPr>
              <w:t>5</w:t>
            </w:r>
          </w:p>
        </w:tc>
        <w:tc>
          <w:tcPr>
            <w:tcW w:w="1403" w:type="dxa"/>
          </w:tcPr>
          <w:p w14:paraId="2E21D9BF" w14:textId="14768760" w:rsidR="007A3508" w:rsidRPr="00A54361" w:rsidRDefault="007A3508" w:rsidP="00A54361">
            <w:pPr>
              <w:spacing w:before="120" w:after="120"/>
              <w:jc w:val="both"/>
              <w:rPr>
                <w:rFonts w:cstheme="minorHAnsi"/>
                <w:sz w:val="20"/>
                <w:szCs w:val="20"/>
              </w:rPr>
            </w:pPr>
            <w:r w:rsidRPr="00A54361">
              <w:rPr>
                <w:rFonts w:cstheme="minorHAnsi"/>
                <w:sz w:val="20"/>
                <w:szCs w:val="20"/>
              </w:rPr>
              <w:t>10</w:t>
            </w:r>
          </w:p>
        </w:tc>
      </w:tr>
      <w:tr w:rsidR="000D3DC1" w:rsidRPr="00A54361" w14:paraId="10303C44" w14:textId="77777777" w:rsidTr="005D16B3">
        <w:tc>
          <w:tcPr>
            <w:tcW w:w="734" w:type="dxa"/>
          </w:tcPr>
          <w:p w14:paraId="3BDC9027" w14:textId="66A4437B" w:rsidR="007A3508" w:rsidRPr="00A54361" w:rsidRDefault="007A3508" w:rsidP="00A54361">
            <w:pPr>
              <w:spacing w:before="120" w:after="120"/>
              <w:jc w:val="both"/>
              <w:rPr>
                <w:rFonts w:cstheme="minorHAnsi"/>
                <w:sz w:val="20"/>
                <w:szCs w:val="20"/>
              </w:rPr>
            </w:pPr>
            <w:r w:rsidRPr="00A54361">
              <w:rPr>
                <w:rFonts w:cstheme="minorHAnsi"/>
                <w:sz w:val="20"/>
                <w:szCs w:val="20"/>
              </w:rPr>
              <w:t>2.</w:t>
            </w:r>
          </w:p>
        </w:tc>
        <w:tc>
          <w:tcPr>
            <w:tcW w:w="6349" w:type="dxa"/>
          </w:tcPr>
          <w:p w14:paraId="1792EC35" w14:textId="46BDA6DE" w:rsidR="007A3508" w:rsidRPr="00A54361" w:rsidRDefault="007A3508" w:rsidP="00A54361">
            <w:pPr>
              <w:spacing w:before="120" w:after="120"/>
              <w:jc w:val="both"/>
              <w:rPr>
                <w:rFonts w:cstheme="minorHAnsi"/>
                <w:sz w:val="20"/>
                <w:szCs w:val="20"/>
              </w:rPr>
            </w:pPr>
            <w:r w:rsidRPr="00A54361">
              <w:rPr>
                <w:rFonts w:cstheme="minorHAnsi"/>
                <w:sz w:val="20"/>
                <w:szCs w:val="20"/>
              </w:rPr>
              <w:t xml:space="preserve">100% Compliance to Technical Specifications </w:t>
            </w:r>
          </w:p>
        </w:tc>
        <w:tc>
          <w:tcPr>
            <w:tcW w:w="1334" w:type="dxa"/>
          </w:tcPr>
          <w:p w14:paraId="5E753252" w14:textId="0AF73894" w:rsidR="007A3508" w:rsidRPr="00A54361" w:rsidRDefault="007A3508" w:rsidP="00A54361">
            <w:pPr>
              <w:spacing w:before="120" w:after="120"/>
              <w:jc w:val="both"/>
              <w:rPr>
                <w:rFonts w:cstheme="minorHAnsi"/>
                <w:sz w:val="20"/>
                <w:szCs w:val="20"/>
              </w:rPr>
            </w:pPr>
            <w:r w:rsidRPr="00A54361">
              <w:rPr>
                <w:rFonts w:cstheme="minorHAnsi"/>
                <w:sz w:val="20"/>
                <w:szCs w:val="20"/>
              </w:rPr>
              <w:t>30</w:t>
            </w:r>
          </w:p>
        </w:tc>
        <w:tc>
          <w:tcPr>
            <w:tcW w:w="1403" w:type="dxa"/>
          </w:tcPr>
          <w:p w14:paraId="7A7C5E07" w14:textId="72C3D953" w:rsidR="007A3508" w:rsidRPr="00A54361" w:rsidRDefault="007A3508" w:rsidP="00A54361">
            <w:pPr>
              <w:spacing w:before="120" w:after="120"/>
              <w:jc w:val="both"/>
              <w:rPr>
                <w:rFonts w:cstheme="minorHAnsi"/>
                <w:sz w:val="20"/>
                <w:szCs w:val="20"/>
              </w:rPr>
            </w:pPr>
            <w:r w:rsidRPr="00A54361">
              <w:rPr>
                <w:rFonts w:cstheme="minorHAnsi"/>
                <w:sz w:val="20"/>
                <w:szCs w:val="20"/>
              </w:rPr>
              <w:t>30</w:t>
            </w:r>
          </w:p>
        </w:tc>
      </w:tr>
      <w:tr w:rsidR="000D3DC1" w:rsidRPr="00A54361" w14:paraId="3F690816" w14:textId="77777777" w:rsidTr="005D16B3">
        <w:tc>
          <w:tcPr>
            <w:tcW w:w="734" w:type="dxa"/>
          </w:tcPr>
          <w:p w14:paraId="2584AAC9" w14:textId="3CDDBCAB" w:rsidR="007A3508" w:rsidRPr="00A54361" w:rsidRDefault="007A3508" w:rsidP="00A54361">
            <w:pPr>
              <w:spacing w:before="120" w:after="120"/>
              <w:jc w:val="both"/>
              <w:rPr>
                <w:rFonts w:cstheme="minorHAnsi"/>
                <w:sz w:val="20"/>
                <w:szCs w:val="20"/>
              </w:rPr>
            </w:pPr>
            <w:r w:rsidRPr="00A54361">
              <w:rPr>
                <w:rFonts w:cstheme="minorHAnsi"/>
                <w:sz w:val="20"/>
                <w:szCs w:val="20"/>
              </w:rPr>
              <w:lastRenderedPageBreak/>
              <w:t>3.</w:t>
            </w:r>
          </w:p>
        </w:tc>
        <w:tc>
          <w:tcPr>
            <w:tcW w:w="6349" w:type="dxa"/>
            <w:shd w:val="clear" w:color="auto" w:fill="auto"/>
          </w:tcPr>
          <w:p w14:paraId="095C7039" w14:textId="5731DBB5" w:rsidR="007A3508" w:rsidRPr="00A54361" w:rsidRDefault="007A3508" w:rsidP="00A54361">
            <w:pPr>
              <w:spacing w:before="120" w:after="120"/>
              <w:jc w:val="both"/>
              <w:rPr>
                <w:rFonts w:cstheme="minorHAnsi"/>
                <w:sz w:val="20"/>
                <w:szCs w:val="20"/>
              </w:rPr>
            </w:pPr>
            <w:r w:rsidRPr="00A54361">
              <w:rPr>
                <w:rFonts w:cstheme="minorHAnsi"/>
                <w:sz w:val="20"/>
                <w:szCs w:val="20"/>
              </w:rPr>
              <w:t xml:space="preserve">100% Compliance to Scope of Work </w:t>
            </w:r>
          </w:p>
        </w:tc>
        <w:tc>
          <w:tcPr>
            <w:tcW w:w="1334" w:type="dxa"/>
          </w:tcPr>
          <w:p w14:paraId="3D902B78" w14:textId="19849A1D" w:rsidR="007A3508" w:rsidRPr="00A54361" w:rsidRDefault="00130C9C" w:rsidP="00A54361">
            <w:pPr>
              <w:spacing w:before="120" w:after="120"/>
              <w:jc w:val="both"/>
              <w:rPr>
                <w:rFonts w:cstheme="minorHAnsi"/>
                <w:sz w:val="20"/>
                <w:szCs w:val="20"/>
              </w:rPr>
            </w:pPr>
            <w:r w:rsidRPr="00A54361">
              <w:rPr>
                <w:rFonts w:cstheme="minorHAnsi"/>
                <w:sz w:val="20"/>
                <w:szCs w:val="20"/>
              </w:rPr>
              <w:t>10</w:t>
            </w:r>
          </w:p>
        </w:tc>
        <w:tc>
          <w:tcPr>
            <w:tcW w:w="1403" w:type="dxa"/>
          </w:tcPr>
          <w:p w14:paraId="3A49E1D2" w14:textId="633684C3" w:rsidR="007A3508" w:rsidRPr="00A54361" w:rsidRDefault="007A3508" w:rsidP="00A54361">
            <w:pPr>
              <w:spacing w:before="120" w:after="120"/>
              <w:jc w:val="both"/>
              <w:rPr>
                <w:rFonts w:cstheme="minorHAnsi"/>
                <w:sz w:val="20"/>
                <w:szCs w:val="20"/>
              </w:rPr>
            </w:pPr>
            <w:r w:rsidRPr="00A54361">
              <w:rPr>
                <w:rFonts w:cstheme="minorHAnsi"/>
                <w:sz w:val="20"/>
                <w:szCs w:val="20"/>
              </w:rPr>
              <w:t>10</w:t>
            </w:r>
          </w:p>
        </w:tc>
      </w:tr>
      <w:tr w:rsidR="000D3DC1" w:rsidRPr="00A54361" w14:paraId="47C0DAF4" w14:textId="77777777" w:rsidTr="005D16B3">
        <w:tc>
          <w:tcPr>
            <w:tcW w:w="734" w:type="dxa"/>
          </w:tcPr>
          <w:p w14:paraId="3B6802D1" w14:textId="7586EC69" w:rsidR="007A3508" w:rsidRPr="00A54361" w:rsidRDefault="007A3508" w:rsidP="00A54361">
            <w:pPr>
              <w:spacing w:before="120" w:after="120"/>
              <w:jc w:val="both"/>
              <w:rPr>
                <w:rFonts w:cstheme="minorHAnsi"/>
                <w:sz w:val="20"/>
                <w:szCs w:val="20"/>
              </w:rPr>
            </w:pPr>
            <w:r w:rsidRPr="00A54361">
              <w:rPr>
                <w:rFonts w:cstheme="minorHAnsi"/>
                <w:sz w:val="20"/>
                <w:szCs w:val="20"/>
              </w:rPr>
              <w:t>4.</w:t>
            </w:r>
          </w:p>
        </w:tc>
        <w:tc>
          <w:tcPr>
            <w:tcW w:w="6349" w:type="dxa"/>
          </w:tcPr>
          <w:p w14:paraId="542880F6" w14:textId="66C8323D" w:rsidR="007A3508" w:rsidRPr="00A54361" w:rsidRDefault="007A3508" w:rsidP="00A54361">
            <w:pPr>
              <w:spacing w:before="120" w:after="120"/>
              <w:jc w:val="both"/>
              <w:rPr>
                <w:rFonts w:cstheme="minorHAnsi"/>
                <w:sz w:val="20"/>
                <w:szCs w:val="20"/>
              </w:rPr>
            </w:pPr>
            <w:r w:rsidRPr="00A54361">
              <w:rPr>
                <w:rFonts w:cstheme="minorHAnsi"/>
                <w:sz w:val="20"/>
                <w:szCs w:val="20"/>
              </w:rPr>
              <w:t xml:space="preserve">Bidder Implementation Experience - Number of Successful deployments by </w:t>
            </w:r>
            <w:r w:rsidR="001B0A49" w:rsidRPr="00A54361">
              <w:rPr>
                <w:rFonts w:cstheme="minorHAnsi"/>
                <w:sz w:val="20"/>
                <w:szCs w:val="20"/>
              </w:rPr>
              <w:t xml:space="preserve">the </w:t>
            </w:r>
            <w:r w:rsidR="0038288E" w:rsidRPr="00A54361">
              <w:rPr>
                <w:rFonts w:cstheme="minorHAnsi"/>
                <w:sz w:val="20"/>
                <w:szCs w:val="20"/>
              </w:rPr>
              <w:t>Bidder</w:t>
            </w:r>
            <w:r w:rsidRPr="00A54361">
              <w:rPr>
                <w:rFonts w:cstheme="minorHAnsi"/>
                <w:sz w:val="20"/>
                <w:szCs w:val="20"/>
              </w:rPr>
              <w:t xml:space="preserve"> for </w:t>
            </w:r>
            <w:r w:rsidR="001B0A49" w:rsidRPr="00A54361">
              <w:rPr>
                <w:rFonts w:cstheme="minorHAnsi"/>
                <w:sz w:val="20"/>
                <w:szCs w:val="20"/>
              </w:rPr>
              <w:t xml:space="preserve">solutions </w:t>
            </w:r>
            <w:r w:rsidRPr="00A54361">
              <w:rPr>
                <w:rFonts w:cstheme="minorHAnsi"/>
                <w:sz w:val="20"/>
                <w:szCs w:val="20"/>
              </w:rPr>
              <w:t>offered</w:t>
            </w:r>
            <w:r w:rsidR="00A363C9" w:rsidRPr="00A54361">
              <w:rPr>
                <w:rFonts w:cstheme="minorHAnsi"/>
                <w:sz w:val="20"/>
                <w:szCs w:val="20"/>
              </w:rPr>
              <w:t xml:space="preserve"> in Scheduled Commercial Banks / BFSI </w:t>
            </w:r>
            <w:r w:rsidR="00A45223" w:rsidRPr="00A54361">
              <w:rPr>
                <w:rFonts w:cstheme="minorHAnsi"/>
                <w:sz w:val="20"/>
                <w:szCs w:val="20"/>
              </w:rPr>
              <w:t xml:space="preserve">having minimum 500 branches / offices </w:t>
            </w:r>
            <w:r w:rsidR="00AE7F90" w:rsidRPr="00A54361">
              <w:rPr>
                <w:rFonts w:cstheme="minorHAnsi"/>
                <w:sz w:val="20"/>
                <w:szCs w:val="20"/>
              </w:rPr>
              <w:t xml:space="preserve">in </w:t>
            </w:r>
            <w:r w:rsidRPr="00A54361">
              <w:rPr>
                <w:rFonts w:cstheme="minorHAnsi"/>
                <w:sz w:val="20"/>
                <w:szCs w:val="20"/>
              </w:rPr>
              <w:t>India:</w:t>
            </w:r>
          </w:p>
          <w:p w14:paraId="30E85148" w14:textId="77777777" w:rsidR="007A3508" w:rsidRPr="00A54361" w:rsidRDefault="007A3508" w:rsidP="00A54361">
            <w:pPr>
              <w:spacing w:before="120" w:after="120"/>
              <w:jc w:val="both"/>
              <w:rPr>
                <w:rFonts w:cstheme="minorHAnsi"/>
                <w:sz w:val="20"/>
                <w:szCs w:val="20"/>
              </w:rPr>
            </w:pPr>
            <w:r w:rsidRPr="00A54361">
              <w:rPr>
                <w:rFonts w:cstheme="minorHAnsi"/>
                <w:sz w:val="20"/>
                <w:szCs w:val="20"/>
              </w:rPr>
              <w:t xml:space="preserve">The bidder should have the experience of executing Purchase Orders/ Work Orders/ Contracts/ Reference </w:t>
            </w:r>
          </w:p>
          <w:p w14:paraId="5B8310EB" w14:textId="464D6039" w:rsidR="007A3508" w:rsidRPr="00A54361" w:rsidRDefault="00521BB4" w:rsidP="00A54361">
            <w:pPr>
              <w:spacing w:before="120" w:after="120"/>
              <w:jc w:val="both"/>
              <w:rPr>
                <w:rFonts w:cstheme="minorHAnsi"/>
                <w:sz w:val="20"/>
                <w:szCs w:val="20"/>
              </w:rPr>
            </w:pPr>
            <w:r w:rsidRPr="00A54361">
              <w:rPr>
                <w:rFonts w:cstheme="minorHAnsi"/>
                <w:sz w:val="20"/>
                <w:szCs w:val="20"/>
              </w:rPr>
              <w:t xml:space="preserve">4 – 5 </w:t>
            </w:r>
            <w:r w:rsidR="007A3508" w:rsidRPr="00A54361">
              <w:rPr>
                <w:rFonts w:cstheme="minorHAnsi"/>
                <w:sz w:val="20"/>
                <w:szCs w:val="20"/>
              </w:rPr>
              <w:t>Number of Solution – 10 Marks</w:t>
            </w:r>
          </w:p>
          <w:p w14:paraId="4E2CF870" w14:textId="5AFF4AD5" w:rsidR="007A3508" w:rsidRPr="00A54361" w:rsidRDefault="00830FF2" w:rsidP="00A54361">
            <w:pPr>
              <w:spacing w:before="120" w:after="120"/>
              <w:jc w:val="both"/>
              <w:rPr>
                <w:rFonts w:cstheme="minorHAnsi"/>
                <w:sz w:val="20"/>
                <w:szCs w:val="20"/>
              </w:rPr>
            </w:pPr>
            <w:r w:rsidRPr="00A54361">
              <w:rPr>
                <w:rFonts w:cstheme="minorHAnsi"/>
                <w:sz w:val="20"/>
                <w:szCs w:val="20"/>
              </w:rPr>
              <w:t xml:space="preserve">6 – 7 </w:t>
            </w:r>
            <w:r w:rsidR="007A3508" w:rsidRPr="00A54361">
              <w:rPr>
                <w:rFonts w:cstheme="minorHAnsi"/>
                <w:sz w:val="20"/>
                <w:szCs w:val="20"/>
              </w:rPr>
              <w:t>Number of Solution – 15 Marks</w:t>
            </w:r>
          </w:p>
          <w:p w14:paraId="2040E910" w14:textId="559B121E" w:rsidR="007A3508" w:rsidRPr="00A54361" w:rsidRDefault="00830FF2" w:rsidP="00A54361">
            <w:pPr>
              <w:spacing w:before="120" w:after="120"/>
              <w:jc w:val="both"/>
              <w:rPr>
                <w:rFonts w:cstheme="minorHAnsi"/>
                <w:sz w:val="20"/>
                <w:szCs w:val="20"/>
              </w:rPr>
            </w:pPr>
            <w:r w:rsidRPr="00A54361">
              <w:rPr>
                <w:rFonts w:cstheme="minorHAnsi"/>
                <w:sz w:val="20"/>
                <w:szCs w:val="20"/>
              </w:rPr>
              <w:t>More than 7</w:t>
            </w:r>
            <w:r w:rsidR="007A3508" w:rsidRPr="00A54361">
              <w:rPr>
                <w:rFonts w:cstheme="minorHAnsi"/>
                <w:sz w:val="20"/>
                <w:szCs w:val="20"/>
              </w:rPr>
              <w:t xml:space="preserve"> Number of Solution – 20 Marks</w:t>
            </w:r>
          </w:p>
        </w:tc>
        <w:tc>
          <w:tcPr>
            <w:tcW w:w="1334" w:type="dxa"/>
          </w:tcPr>
          <w:p w14:paraId="08D6D6EF" w14:textId="4F706CC2" w:rsidR="007A3508" w:rsidRPr="00A54361" w:rsidRDefault="00130C9C" w:rsidP="00A54361">
            <w:pPr>
              <w:spacing w:before="120" w:after="120"/>
              <w:jc w:val="both"/>
              <w:rPr>
                <w:rFonts w:cstheme="minorHAnsi"/>
                <w:sz w:val="20"/>
                <w:szCs w:val="20"/>
              </w:rPr>
            </w:pPr>
            <w:r w:rsidRPr="00A54361">
              <w:rPr>
                <w:rFonts w:cstheme="minorHAnsi"/>
                <w:sz w:val="20"/>
                <w:szCs w:val="20"/>
              </w:rPr>
              <w:t>10</w:t>
            </w:r>
          </w:p>
        </w:tc>
        <w:tc>
          <w:tcPr>
            <w:tcW w:w="1403" w:type="dxa"/>
          </w:tcPr>
          <w:p w14:paraId="7539DC2F" w14:textId="0BFD208F" w:rsidR="007A3508" w:rsidRPr="00A54361" w:rsidRDefault="007A3508" w:rsidP="00A54361">
            <w:pPr>
              <w:spacing w:before="120" w:after="120"/>
              <w:jc w:val="both"/>
              <w:rPr>
                <w:rFonts w:cstheme="minorHAnsi"/>
                <w:sz w:val="20"/>
                <w:szCs w:val="20"/>
              </w:rPr>
            </w:pPr>
            <w:r w:rsidRPr="00A54361">
              <w:rPr>
                <w:rFonts w:cstheme="minorHAnsi"/>
                <w:sz w:val="20"/>
                <w:szCs w:val="20"/>
              </w:rPr>
              <w:t>20</w:t>
            </w:r>
          </w:p>
        </w:tc>
      </w:tr>
      <w:tr w:rsidR="000D3DC1" w:rsidRPr="00A54361" w14:paraId="7182CA73" w14:textId="77777777" w:rsidTr="005D16B3">
        <w:tc>
          <w:tcPr>
            <w:tcW w:w="734" w:type="dxa"/>
          </w:tcPr>
          <w:p w14:paraId="4C9CA16D" w14:textId="431B4096" w:rsidR="007A3508" w:rsidRPr="00A54361" w:rsidRDefault="007A3508" w:rsidP="00A54361">
            <w:pPr>
              <w:spacing w:before="120" w:after="120"/>
              <w:jc w:val="both"/>
              <w:rPr>
                <w:rFonts w:cstheme="minorHAnsi"/>
                <w:sz w:val="20"/>
                <w:szCs w:val="20"/>
              </w:rPr>
            </w:pPr>
            <w:r w:rsidRPr="00A54361">
              <w:rPr>
                <w:rFonts w:cstheme="minorHAnsi"/>
                <w:sz w:val="20"/>
                <w:szCs w:val="20"/>
              </w:rPr>
              <w:t>5.</w:t>
            </w:r>
          </w:p>
        </w:tc>
        <w:tc>
          <w:tcPr>
            <w:tcW w:w="6349" w:type="dxa"/>
          </w:tcPr>
          <w:p w14:paraId="0789A1BF" w14:textId="77777777" w:rsidR="007A3508" w:rsidRPr="00A54361" w:rsidRDefault="007A3508" w:rsidP="00A54361">
            <w:pPr>
              <w:spacing w:before="120" w:after="120"/>
              <w:jc w:val="both"/>
              <w:rPr>
                <w:rFonts w:cstheme="minorHAnsi"/>
                <w:sz w:val="20"/>
                <w:szCs w:val="20"/>
              </w:rPr>
            </w:pPr>
            <w:r w:rsidRPr="00A54361">
              <w:rPr>
                <w:rFonts w:cstheme="minorHAnsi"/>
                <w:sz w:val="20"/>
                <w:szCs w:val="20"/>
              </w:rPr>
              <w:t xml:space="preserve">Presentation by bidders on the following but not limited to - </w:t>
            </w:r>
          </w:p>
          <w:p w14:paraId="460EDB67" w14:textId="77777777" w:rsidR="007A3508" w:rsidRPr="00A54361" w:rsidRDefault="007A3508" w:rsidP="00A54361">
            <w:pPr>
              <w:pStyle w:val="ListParagraph"/>
              <w:numPr>
                <w:ilvl w:val="0"/>
                <w:numId w:val="76"/>
              </w:numPr>
              <w:spacing w:before="120" w:after="120"/>
              <w:jc w:val="both"/>
              <w:rPr>
                <w:rFonts w:cstheme="minorHAnsi"/>
                <w:sz w:val="20"/>
                <w:szCs w:val="20"/>
              </w:rPr>
            </w:pPr>
            <w:r w:rsidRPr="00A54361">
              <w:rPr>
                <w:rFonts w:cstheme="minorHAnsi"/>
                <w:sz w:val="20"/>
                <w:szCs w:val="20"/>
              </w:rPr>
              <w:t>Approach and Methodology for Implementation</w:t>
            </w:r>
          </w:p>
          <w:p w14:paraId="4303CF0A" w14:textId="77777777" w:rsidR="007A3508" w:rsidRPr="00A54361" w:rsidRDefault="007A3508" w:rsidP="00A54361">
            <w:pPr>
              <w:pStyle w:val="ListParagraph"/>
              <w:numPr>
                <w:ilvl w:val="0"/>
                <w:numId w:val="76"/>
              </w:numPr>
              <w:spacing w:before="120" w:after="120"/>
              <w:jc w:val="both"/>
              <w:rPr>
                <w:rFonts w:cstheme="minorHAnsi"/>
                <w:sz w:val="20"/>
                <w:szCs w:val="20"/>
              </w:rPr>
            </w:pPr>
            <w:r w:rsidRPr="00A54361">
              <w:rPr>
                <w:rFonts w:cstheme="minorHAnsi"/>
                <w:sz w:val="20"/>
                <w:szCs w:val="20"/>
              </w:rPr>
              <w:t>Solution Design</w:t>
            </w:r>
          </w:p>
          <w:p w14:paraId="042A9D8F" w14:textId="77777777" w:rsidR="007A3508" w:rsidRPr="00A54361" w:rsidRDefault="007A3508" w:rsidP="00A54361">
            <w:pPr>
              <w:pStyle w:val="ListParagraph"/>
              <w:numPr>
                <w:ilvl w:val="0"/>
                <w:numId w:val="76"/>
              </w:numPr>
              <w:spacing w:before="120" w:after="120"/>
              <w:jc w:val="both"/>
              <w:rPr>
                <w:rFonts w:cstheme="minorHAnsi"/>
                <w:sz w:val="20"/>
                <w:szCs w:val="20"/>
              </w:rPr>
            </w:pPr>
            <w:r w:rsidRPr="00A54361">
              <w:rPr>
                <w:rFonts w:cstheme="minorHAnsi"/>
                <w:sz w:val="20"/>
                <w:szCs w:val="20"/>
              </w:rPr>
              <w:t>Resource Deployment Plan</w:t>
            </w:r>
          </w:p>
          <w:p w14:paraId="71EB3224" w14:textId="77777777" w:rsidR="007A3508" w:rsidRPr="00A54361" w:rsidRDefault="007A3508" w:rsidP="00A54361">
            <w:pPr>
              <w:pStyle w:val="ListParagraph"/>
              <w:numPr>
                <w:ilvl w:val="0"/>
                <w:numId w:val="76"/>
              </w:numPr>
              <w:spacing w:before="120" w:after="120"/>
              <w:jc w:val="both"/>
              <w:rPr>
                <w:rFonts w:cstheme="minorHAnsi"/>
                <w:sz w:val="20"/>
                <w:szCs w:val="20"/>
              </w:rPr>
            </w:pPr>
            <w:r w:rsidRPr="00A54361">
              <w:rPr>
                <w:rFonts w:cstheme="minorHAnsi"/>
                <w:sz w:val="20"/>
                <w:szCs w:val="20"/>
              </w:rPr>
              <w:t>Support Strategy</w:t>
            </w:r>
          </w:p>
          <w:p w14:paraId="397D1278" w14:textId="76BC1AF5" w:rsidR="007A3508" w:rsidRPr="00A54361" w:rsidRDefault="007A3508" w:rsidP="00A54361">
            <w:pPr>
              <w:spacing w:before="120"/>
              <w:jc w:val="both"/>
              <w:rPr>
                <w:rFonts w:cstheme="minorHAnsi"/>
                <w:sz w:val="20"/>
                <w:szCs w:val="20"/>
              </w:rPr>
            </w:pPr>
          </w:p>
        </w:tc>
        <w:tc>
          <w:tcPr>
            <w:tcW w:w="1334" w:type="dxa"/>
          </w:tcPr>
          <w:p w14:paraId="49EC8696" w14:textId="0D9211C2" w:rsidR="007A3508" w:rsidRPr="00A54361" w:rsidRDefault="00130C9C" w:rsidP="00A54361">
            <w:pPr>
              <w:spacing w:before="120" w:after="120"/>
              <w:jc w:val="both"/>
              <w:rPr>
                <w:rFonts w:cstheme="minorHAnsi"/>
                <w:sz w:val="20"/>
                <w:szCs w:val="20"/>
              </w:rPr>
            </w:pPr>
            <w:r w:rsidRPr="00A54361">
              <w:rPr>
                <w:rFonts w:cstheme="minorHAnsi"/>
                <w:sz w:val="20"/>
                <w:szCs w:val="20"/>
              </w:rPr>
              <w:t>10</w:t>
            </w:r>
          </w:p>
        </w:tc>
        <w:tc>
          <w:tcPr>
            <w:tcW w:w="1403" w:type="dxa"/>
          </w:tcPr>
          <w:p w14:paraId="0E3A66B4" w14:textId="04E114ED" w:rsidR="007A3508" w:rsidRPr="00A54361" w:rsidRDefault="007A3508" w:rsidP="00A54361">
            <w:pPr>
              <w:spacing w:before="120" w:after="120"/>
              <w:jc w:val="both"/>
              <w:rPr>
                <w:rFonts w:cstheme="minorHAnsi"/>
                <w:sz w:val="20"/>
                <w:szCs w:val="20"/>
              </w:rPr>
            </w:pPr>
            <w:r w:rsidRPr="00A54361">
              <w:rPr>
                <w:rFonts w:cstheme="minorHAnsi"/>
                <w:sz w:val="20"/>
                <w:szCs w:val="20"/>
              </w:rPr>
              <w:t>20</w:t>
            </w:r>
          </w:p>
        </w:tc>
      </w:tr>
      <w:tr w:rsidR="000D3DC1" w:rsidRPr="00A54361" w14:paraId="39BFD04D" w14:textId="77777777" w:rsidTr="005D16B3">
        <w:tc>
          <w:tcPr>
            <w:tcW w:w="734" w:type="dxa"/>
          </w:tcPr>
          <w:p w14:paraId="54473496" w14:textId="0C72F046" w:rsidR="007A3508" w:rsidRPr="00A54361" w:rsidRDefault="007A3508" w:rsidP="00A54361">
            <w:pPr>
              <w:spacing w:before="120" w:after="120"/>
              <w:jc w:val="both"/>
              <w:rPr>
                <w:rFonts w:cstheme="minorHAnsi"/>
                <w:sz w:val="20"/>
                <w:szCs w:val="20"/>
              </w:rPr>
            </w:pPr>
            <w:r w:rsidRPr="00A54361">
              <w:rPr>
                <w:rFonts w:cstheme="minorHAnsi"/>
                <w:sz w:val="20"/>
                <w:szCs w:val="20"/>
              </w:rPr>
              <w:t>6.</w:t>
            </w:r>
          </w:p>
        </w:tc>
        <w:tc>
          <w:tcPr>
            <w:tcW w:w="6349" w:type="dxa"/>
          </w:tcPr>
          <w:p w14:paraId="30785C7C" w14:textId="77777777" w:rsidR="007A3508" w:rsidRPr="00A54361" w:rsidRDefault="007A3508" w:rsidP="00A54361">
            <w:pPr>
              <w:spacing w:before="120" w:after="120"/>
              <w:jc w:val="both"/>
              <w:rPr>
                <w:rFonts w:cstheme="minorHAnsi"/>
                <w:sz w:val="20"/>
                <w:szCs w:val="20"/>
              </w:rPr>
            </w:pPr>
            <w:r w:rsidRPr="00A54361">
              <w:rPr>
                <w:rFonts w:cstheme="minorHAnsi"/>
                <w:sz w:val="20"/>
                <w:szCs w:val="20"/>
              </w:rPr>
              <w:t xml:space="preserve">The bidder must have minimum of 10 certified resources having certifications such as CISSP, CISA, CISM, CEH. </w:t>
            </w:r>
          </w:p>
          <w:p w14:paraId="1480DD96" w14:textId="5E441ED8" w:rsidR="007A3508" w:rsidRPr="00A54361" w:rsidRDefault="007A3508" w:rsidP="00A54361">
            <w:pPr>
              <w:spacing w:before="120"/>
              <w:jc w:val="both"/>
              <w:rPr>
                <w:rFonts w:cstheme="minorHAnsi"/>
                <w:sz w:val="20"/>
                <w:szCs w:val="20"/>
              </w:rPr>
            </w:pPr>
            <w:r w:rsidRPr="00A54361">
              <w:rPr>
                <w:rFonts w:cstheme="minorHAnsi"/>
                <w:sz w:val="20"/>
                <w:szCs w:val="20"/>
              </w:rPr>
              <w:br/>
            </w:r>
            <w:r w:rsidR="00521BB4" w:rsidRPr="00A54361">
              <w:rPr>
                <w:rFonts w:cstheme="minorHAnsi"/>
                <w:sz w:val="20"/>
                <w:szCs w:val="20"/>
              </w:rPr>
              <w:t xml:space="preserve">10 – 20 </w:t>
            </w:r>
            <w:r w:rsidRPr="00A54361">
              <w:rPr>
                <w:rFonts w:cstheme="minorHAnsi"/>
                <w:sz w:val="20"/>
                <w:szCs w:val="20"/>
              </w:rPr>
              <w:t>certified resources - 5 marks</w:t>
            </w:r>
          </w:p>
          <w:p w14:paraId="2EC1837B" w14:textId="3AA98EF8" w:rsidR="007A3508" w:rsidRPr="00A54361" w:rsidRDefault="00521BB4" w:rsidP="00A54361">
            <w:pPr>
              <w:spacing w:before="120"/>
              <w:jc w:val="both"/>
              <w:rPr>
                <w:rFonts w:cstheme="minorHAnsi"/>
                <w:sz w:val="20"/>
                <w:szCs w:val="20"/>
              </w:rPr>
            </w:pPr>
            <w:r w:rsidRPr="00A54361">
              <w:rPr>
                <w:rFonts w:cstheme="minorHAnsi"/>
                <w:sz w:val="20"/>
                <w:szCs w:val="20"/>
              </w:rPr>
              <w:t xml:space="preserve">21 – 30 </w:t>
            </w:r>
            <w:r w:rsidR="007A3508" w:rsidRPr="00A54361">
              <w:rPr>
                <w:rFonts w:cstheme="minorHAnsi"/>
                <w:sz w:val="20"/>
                <w:szCs w:val="20"/>
              </w:rPr>
              <w:t>certified resources - 7 marks</w:t>
            </w:r>
          </w:p>
          <w:p w14:paraId="04DF76CB" w14:textId="1308697E" w:rsidR="007A3508" w:rsidRPr="00A54361" w:rsidRDefault="00521BB4" w:rsidP="00A54361">
            <w:pPr>
              <w:spacing w:before="120"/>
              <w:jc w:val="both"/>
              <w:rPr>
                <w:rFonts w:cstheme="minorHAnsi"/>
                <w:sz w:val="20"/>
                <w:szCs w:val="20"/>
              </w:rPr>
            </w:pPr>
            <w:r w:rsidRPr="00A54361">
              <w:rPr>
                <w:rFonts w:cstheme="minorHAnsi"/>
                <w:sz w:val="20"/>
                <w:szCs w:val="20"/>
              </w:rPr>
              <w:t xml:space="preserve">More than </w:t>
            </w:r>
            <w:r w:rsidR="007A3508" w:rsidRPr="00A54361">
              <w:rPr>
                <w:rFonts w:cstheme="minorHAnsi"/>
                <w:sz w:val="20"/>
                <w:szCs w:val="20"/>
              </w:rPr>
              <w:t>30 certified resources - 10 marks</w:t>
            </w:r>
          </w:p>
        </w:tc>
        <w:tc>
          <w:tcPr>
            <w:tcW w:w="1334" w:type="dxa"/>
          </w:tcPr>
          <w:p w14:paraId="725901F3" w14:textId="27092ADD" w:rsidR="007A3508" w:rsidRPr="00A54361" w:rsidRDefault="00130C9C" w:rsidP="00A54361">
            <w:pPr>
              <w:spacing w:before="120" w:after="120"/>
              <w:jc w:val="both"/>
              <w:rPr>
                <w:rFonts w:cstheme="minorHAnsi"/>
                <w:sz w:val="20"/>
                <w:szCs w:val="20"/>
              </w:rPr>
            </w:pPr>
            <w:r w:rsidRPr="00A54361">
              <w:rPr>
                <w:rFonts w:cstheme="minorHAnsi"/>
                <w:sz w:val="20"/>
                <w:szCs w:val="20"/>
              </w:rPr>
              <w:t>5</w:t>
            </w:r>
          </w:p>
        </w:tc>
        <w:tc>
          <w:tcPr>
            <w:tcW w:w="1403" w:type="dxa"/>
          </w:tcPr>
          <w:p w14:paraId="0BDD0970" w14:textId="2B518B48" w:rsidR="007A3508" w:rsidRPr="00A54361" w:rsidRDefault="007A3508" w:rsidP="00A54361">
            <w:pPr>
              <w:spacing w:before="120" w:after="120"/>
              <w:jc w:val="both"/>
              <w:rPr>
                <w:rFonts w:cstheme="minorHAnsi"/>
                <w:sz w:val="20"/>
                <w:szCs w:val="20"/>
              </w:rPr>
            </w:pPr>
            <w:r w:rsidRPr="00A54361">
              <w:rPr>
                <w:rFonts w:cstheme="minorHAnsi"/>
                <w:sz w:val="20"/>
                <w:szCs w:val="20"/>
              </w:rPr>
              <w:t>10</w:t>
            </w:r>
          </w:p>
        </w:tc>
      </w:tr>
      <w:tr w:rsidR="000D3DC1" w:rsidRPr="00A54361" w14:paraId="51C2D886" w14:textId="77777777" w:rsidTr="005D16B3">
        <w:tc>
          <w:tcPr>
            <w:tcW w:w="734" w:type="dxa"/>
          </w:tcPr>
          <w:p w14:paraId="0EA6DFCF" w14:textId="77777777" w:rsidR="007A3508" w:rsidRPr="00A54361" w:rsidRDefault="007A3508" w:rsidP="00A54361">
            <w:pPr>
              <w:spacing w:before="120" w:after="120"/>
              <w:jc w:val="both"/>
              <w:rPr>
                <w:rFonts w:cstheme="minorHAnsi"/>
                <w:sz w:val="20"/>
                <w:szCs w:val="20"/>
              </w:rPr>
            </w:pPr>
          </w:p>
        </w:tc>
        <w:tc>
          <w:tcPr>
            <w:tcW w:w="6349" w:type="dxa"/>
          </w:tcPr>
          <w:p w14:paraId="32E4C6C4" w14:textId="77777777" w:rsidR="007A3508" w:rsidRPr="00A54361" w:rsidRDefault="007A3508" w:rsidP="00A54361">
            <w:pPr>
              <w:spacing w:before="120" w:after="120"/>
              <w:jc w:val="both"/>
              <w:rPr>
                <w:rFonts w:cstheme="minorHAnsi"/>
                <w:b/>
                <w:bCs/>
                <w:sz w:val="20"/>
                <w:szCs w:val="20"/>
              </w:rPr>
            </w:pPr>
            <w:r w:rsidRPr="00A54361">
              <w:rPr>
                <w:rFonts w:cstheme="minorHAnsi"/>
                <w:b/>
                <w:bCs/>
                <w:sz w:val="20"/>
                <w:szCs w:val="20"/>
              </w:rPr>
              <w:t>TOTAL</w:t>
            </w:r>
          </w:p>
        </w:tc>
        <w:tc>
          <w:tcPr>
            <w:tcW w:w="1334" w:type="dxa"/>
          </w:tcPr>
          <w:p w14:paraId="22C1E20C" w14:textId="5A036A5F" w:rsidR="007A3508" w:rsidRPr="00A54361" w:rsidRDefault="00130C9C" w:rsidP="00A54361">
            <w:pPr>
              <w:spacing w:before="120" w:after="120"/>
              <w:jc w:val="both"/>
              <w:rPr>
                <w:rFonts w:cstheme="minorHAnsi"/>
                <w:b/>
                <w:bCs/>
                <w:sz w:val="20"/>
                <w:szCs w:val="20"/>
              </w:rPr>
            </w:pPr>
            <w:r w:rsidRPr="00A54361">
              <w:rPr>
                <w:rFonts w:cstheme="minorHAnsi"/>
                <w:b/>
                <w:bCs/>
                <w:sz w:val="20"/>
                <w:szCs w:val="20"/>
              </w:rPr>
              <w:t>70</w:t>
            </w:r>
          </w:p>
        </w:tc>
        <w:tc>
          <w:tcPr>
            <w:tcW w:w="1403" w:type="dxa"/>
          </w:tcPr>
          <w:p w14:paraId="0DAA1A62" w14:textId="52FBD908" w:rsidR="007A3508" w:rsidRPr="00A54361" w:rsidRDefault="007A3508" w:rsidP="00A54361">
            <w:pPr>
              <w:spacing w:before="120" w:after="120"/>
              <w:jc w:val="both"/>
              <w:rPr>
                <w:rFonts w:cstheme="minorHAnsi"/>
                <w:b/>
                <w:bCs/>
                <w:sz w:val="20"/>
                <w:szCs w:val="20"/>
              </w:rPr>
            </w:pPr>
            <w:r w:rsidRPr="00A54361">
              <w:rPr>
                <w:rFonts w:cstheme="minorHAnsi"/>
                <w:b/>
                <w:bCs/>
                <w:sz w:val="20"/>
                <w:szCs w:val="20"/>
              </w:rPr>
              <w:t>100</w:t>
            </w:r>
          </w:p>
        </w:tc>
      </w:tr>
    </w:tbl>
    <w:p w14:paraId="70233749" w14:textId="7C3D3B15" w:rsidR="008C7CD9" w:rsidRPr="00A54361" w:rsidRDefault="008C7CD9" w:rsidP="00A54361">
      <w:pPr>
        <w:spacing w:before="120" w:after="120"/>
        <w:jc w:val="both"/>
        <w:rPr>
          <w:rFonts w:cstheme="minorHAnsi"/>
        </w:rPr>
      </w:pPr>
      <w:r w:rsidRPr="00A54361">
        <w:rPr>
          <w:rFonts w:cstheme="minorHAnsi"/>
        </w:rPr>
        <w:t xml:space="preserve">The Minimum Qualifying Marks for Next Stage of evaluation is </w:t>
      </w:r>
      <w:r w:rsidR="00423B38" w:rsidRPr="00A54361">
        <w:rPr>
          <w:rFonts w:cstheme="minorHAnsi"/>
        </w:rPr>
        <w:t>7</w:t>
      </w:r>
      <w:r w:rsidRPr="00A54361">
        <w:rPr>
          <w:rFonts w:cstheme="minorHAnsi"/>
        </w:rPr>
        <w:t xml:space="preserve">0% i.e. </w:t>
      </w:r>
      <w:r w:rsidR="00423B38" w:rsidRPr="00A54361">
        <w:rPr>
          <w:rFonts w:cstheme="minorHAnsi"/>
        </w:rPr>
        <w:t>7</w:t>
      </w:r>
      <w:r w:rsidRPr="00A54361">
        <w:rPr>
          <w:rFonts w:cstheme="minorHAnsi"/>
        </w:rPr>
        <w:t>0 out of 100.</w:t>
      </w:r>
    </w:p>
    <w:p w14:paraId="41BE1B57" w14:textId="3CC0F79B" w:rsidR="00D05470" w:rsidRPr="00A54361" w:rsidRDefault="00D05470" w:rsidP="00A54361">
      <w:pPr>
        <w:spacing w:before="120" w:after="120"/>
        <w:jc w:val="both"/>
        <w:rPr>
          <w:rFonts w:cstheme="minorHAnsi"/>
        </w:rPr>
      </w:pPr>
      <w:r w:rsidRPr="00A54361">
        <w:rPr>
          <w:rFonts w:cstheme="minorHAnsi"/>
        </w:rPr>
        <w:t>The Bank at its sole discretion may relax the cut-off score to a lower value</w:t>
      </w:r>
      <w:r w:rsidR="00751523" w:rsidRPr="00A54361">
        <w:rPr>
          <w:rFonts w:cstheme="minorHAnsi"/>
        </w:rPr>
        <w:t>, if required.</w:t>
      </w:r>
    </w:p>
    <w:p w14:paraId="6D3A6381" w14:textId="77777777" w:rsidR="005D5012" w:rsidRPr="00A54361" w:rsidRDefault="005D5012" w:rsidP="00A54361">
      <w:pPr>
        <w:spacing w:before="120" w:after="120"/>
        <w:jc w:val="both"/>
        <w:rPr>
          <w:rFonts w:cstheme="minorHAnsi"/>
          <w:b/>
          <w:bCs/>
        </w:rPr>
      </w:pPr>
      <w:r w:rsidRPr="00A54361">
        <w:rPr>
          <w:rFonts w:cstheme="minorHAnsi"/>
          <w:b/>
          <w:bCs/>
        </w:rPr>
        <w:t xml:space="preserve">Note: </w:t>
      </w:r>
    </w:p>
    <w:p w14:paraId="635DE38C" w14:textId="00BC10C4" w:rsidR="005D5012" w:rsidRPr="00A54361" w:rsidRDefault="005D5012" w:rsidP="00A54361">
      <w:pPr>
        <w:pStyle w:val="ListParagraph"/>
        <w:numPr>
          <w:ilvl w:val="0"/>
          <w:numId w:val="75"/>
        </w:numPr>
        <w:spacing w:before="120" w:after="120"/>
        <w:jc w:val="both"/>
        <w:rPr>
          <w:rFonts w:cstheme="minorHAnsi"/>
        </w:rPr>
      </w:pPr>
      <w:r w:rsidRPr="00A54361">
        <w:rPr>
          <w:rFonts w:cstheme="minorHAnsi"/>
        </w:rPr>
        <w:t xml:space="preserve">Bank </w:t>
      </w:r>
      <w:r w:rsidR="0074175E" w:rsidRPr="00A54361">
        <w:rPr>
          <w:rFonts w:cstheme="minorHAnsi"/>
        </w:rPr>
        <w:t xml:space="preserve">may </w:t>
      </w:r>
      <w:r w:rsidRPr="00A54361">
        <w:rPr>
          <w:rFonts w:cstheme="minorHAnsi"/>
        </w:rPr>
        <w:t xml:space="preserve">call for presentation(s), product walkthroughs, on the features of the solution offered etc., from the bidders based on the technical bids submitted by them. </w:t>
      </w:r>
    </w:p>
    <w:p w14:paraId="2DE56808" w14:textId="03939955" w:rsidR="005D5012" w:rsidRPr="00A54361" w:rsidRDefault="005D5012" w:rsidP="00A54361">
      <w:pPr>
        <w:pStyle w:val="ListParagraph"/>
        <w:numPr>
          <w:ilvl w:val="0"/>
          <w:numId w:val="75"/>
        </w:numPr>
        <w:spacing w:before="120" w:after="120"/>
        <w:jc w:val="both"/>
        <w:rPr>
          <w:rFonts w:cstheme="minorHAnsi"/>
        </w:rPr>
      </w:pPr>
      <w:r w:rsidRPr="00A54361">
        <w:rPr>
          <w:rFonts w:cstheme="minorHAnsi"/>
        </w:rPr>
        <w:t xml:space="preserve">Based upon the compliance of the minimum technical specifications of the proposed product / solution,  shortlisting would be made of the eligible bidders for final commercial bidding. </w:t>
      </w:r>
    </w:p>
    <w:p w14:paraId="7FF76558" w14:textId="2533D186" w:rsidR="007C71A6" w:rsidRDefault="005D5012" w:rsidP="00A54361">
      <w:pPr>
        <w:pStyle w:val="ListParagraph"/>
        <w:numPr>
          <w:ilvl w:val="0"/>
          <w:numId w:val="75"/>
        </w:numPr>
        <w:spacing w:before="120" w:after="120"/>
        <w:jc w:val="both"/>
        <w:rPr>
          <w:rFonts w:cstheme="minorHAnsi"/>
        </w:rPr>
      </w:pPr>
      <w:r w:rsidRPr="00A54361">
        <w:rPr>
          <w:rFonts w:cstheme="minorHAnsi"/>
        </w:rPr>
        <w:t>Bank reserves the right to conduct reference site visits at the Bidder's client sites</w:t>
      </w:r>
      <w:r w:rsidR="00BB697F">
        <w:rPr>
          <w:rFonts w:cstheme="minorHAnsi"/>
        </w:rPr>
        <w:t xml:space="preserve"> for verification of the compliance submitted by the bidder.</w:t>
      </w:r>
    </w:p>
    <w:p w14:paraId="69DE68F6" w14:textId="69AD8558" w:rsidR="00BB697F" w:rsidRDefault="00BB697F" w:rsidP="00A54361">
      <w:pPr>
        <w:pStyle w:val="ListParagraph"/>
        <w:numPr>
          <w:ilvl w:val="0"/>
          <w:numId w:val="75"/>
        </w:numPr>
        <w:spacing w:before="120" w:after="120"/>
        <w:jc w:val="both"/>
        <w:rPr>
          <w:rFonts w:cstheme="minorHAnsi"/>
        </w:rPr>
      </w:pPr>
      <w:r>
        <w:rPr>
          <w:rFonts w:cstheme="minorHAnsi"/>
        </w:rPr>
        <w:t>Bank reserves the right to conduct Proof of Concept for the offered solution without any additional cost to the Bank.</w:t>
      </w:r>
    </w:p>
    <w:p w14:paraId="4FF9B59B" w14:textId="4489039E" w:rsidR="00BB697F" w:rsidRPr="00A54361" w:rsidRDefault="00BB697F" w:rsidP="00A54361">
      <w:pPr>
        <w:pStyle w:val="ListParagraph"/>
        <w:numPr>
          <w:ilvl w:val="0"/>
          <w:numId w:val="75"/>
        </w:numPr>
        <w:spacing w:before="120" w:after="120"/>
        <w:jc w:val="both"/>
        <w:rPr>
          <w:rFonts w:cstheme="minorHAnsi"/>
        </w:rPr>
      </w:pPr>
      <w:r>
        <w:rPr>
          <w:rFonts w:cstheme="minorHAnsi"/>
        </w:rPr>
        <w:t>Bank reserves the right to disqualify the bidder / solution based on any of the above.</w:t>
      </w:r>
    </w:p>
    <w:p w14:paraId="002F3FAF" w14:textId="5B35263B" w:rsidR="008E57C4" w:rsidRPr="00A54361" w:rsidRDefault="008E57C4" w:rsidP="00A54361">
      <w:pPr>
        <w:pStyle w:val="Heading1"/>
        <w:numPr>
          <w:ilvl w:val="1"/>
          <w:numId w:val="50"/>
        </w:numPr>
        <w:ind w:firstLine="698"/>
        <w:jc w:val="both"/>
        <w:rPr>
          <w:rFonts w:asciiTheme="minorHAnsi" w:hAnsiTheme="minorHAnsi" w:cstheme="minorHAnsi"/>
          <w:color w:val="auto"/>
        </w:rPr>
      </w:pPr>
      <w:bookmarkStart w:id="180" w:name="_Toc182233371"/>
      <w:r w:rsidRPr="00A54361">
        <w:rPr>
          <w:rFonts w:asciiTheme="minorHAnsi" w:hAnsiTheme="minorHAnsi" w:cstheme="minorHAnsi"/>
          <w:color w:val="auto"/>
        </w:rPr>
        <w:lastRenderedPageBreak/>
        <w:t>Commercial Evaluation Criteria</w:t>
      </w:r>
      <w:bookmarkEnd w:id="180"/>
    </w:p>
    <w:p w14:paraId="5B5EFBAE" w14:textId="77777777" w:rsidR="001262A0" w:rsidRPr="00A54361" w:rsidRDefault="001262A0" w:rsidP="00A54361">
      <w:pPr>
        <w:spacing w:before="120" w:after="120"/>
        <w:jc w:val="both"/>
        <w:rPr>
          <w:rFonts w:cstheme="minorHAnsi"/>
        </w:rPr>
      </w:pPr>
      <w:r w:rsidRPr="00A54361">
        <w:rPr>
          <w:rFonts w:cstheme="minorHAnsi"/>
        </w:rPr>
        <w:t>The commercial bid of only technically qualified bidders shall be opened. These technically qualified bidders as per technical evaluation process will participate in Reverse Auction process. The Bank will notify the date and time for participating in the online reverse auction process to the technically qualified bidders.</w:t>
      </w:r>
    </w:p>
    <w:p w14:paraId="65EA391F" w14:textId="77777777" w:rsidR="001262A0" w:rsidRPr="00A54361" w:rsidRDefault="001262A0" w:rsidP="00A54361">
      <w:pPr>
        <w:spacing w:before="120" w:after="120"/>
        <w:jc w:val="both"/>
        <w:rPr>
          <w:rFonts w:cstheme="minorHAnsi"/>
        </w:rPr>
      </w:pPr>
      <w:r w:rsidRPr="00A54361">
        <w:rPr>
          <w:rFonts w:cstheme="minorHAnsi"/>
        </w:rPr>
        <w:t>The Commercial offers of only those Bidders, who are short-listed after technical evaluation, would be opened. The format for quoting commercial bid set out in Appendix 2-Commercial Bill of Material. The commercial offer should consist of comprehensive cost for required solution. Bidder must provide detailed cost breakdown, for each and every category mentioned in the commercial bid. The Bank will determine whether the Commercial Bids are complete, unqualified and unconditional. Omissions, if any, in costing any item shall not entitle the firm to be compensated and the liability to fulfil its obligations as per the Scope of the RFP within the total quoted price shall be that of the Bidder.</w:t>
      </w:r>
    </w:p>
    <w:p w14:paraId="659E3E37" w14:textId="77777777" w:rsidR="001262A0" w:rsidRPr="00A54361" w:rsidRDefault="001262A0" w:rsidP="00A54361">
      <w:pPr>
        <w:spacing w:before="120" w:after="120"/>
        <w:jc w:val="both"/>
        <w:rPr>
          <w:rFonts w:cstheme="minorHAnsi"/>
        </w:rPr>
      </w:pPr>
      <w:r w:rsidRPr="00A54361">
        <w:rPr>
          <w:rFonts w:cstheme="minorHAnsi"/>
        </w:rPr>
        <w:t>Bank will notify the name of the technically eligible bidders for participating in Reverse Auction.</w:t>
      </w:r>
    </w:p>
    <w:p w14:paraId="270F5CC4" w14:textId="77CA66F9" w:rsidR="001262A0" w:rsidRPr="00A54361" w:rsidRDefault="001262A0" w:rsidP="00A54361">
      <w:pPr>
        <w:spacing w:before="120" w:after="120"/>
        <w:jc w:val="both"/>
        <w:rPr>
          <w:rFonts w:cstheme="minorHAnsi"/>
        </w:rPr>
      </w:pPr>
      <w:r w:rsidRPr="00A54361">
        <w:rPr>
          <w:rFonts w:cstheme="minorHAnsi"/>
        </w:rPr>
        <w:t>At the end of reverse auction process, Bidder (L1) quoting the lowest bid will be selected on the basis of Total Price.</w:t>
      </w:r>
    </w:p>
    <w:p w14:paraId="633C9F96" w14:textId="4DB5A724" w:rsidR="001262A0" w:rsidRPr="00A54361" w:rsidRDefault="001262A0" w:rsidP="00A54361">
      <w:pPr>
        <w:spacing w:before="120" w:after="120"/>
        <w:jc w:val="both"/>
        <w:rPr>
          <w:rFonts w:cstheme="minorHAnsi"/>
          <w:b/>
          <w:bCs/>
        </w:rPr>
      </w:pPr>
      <w:r w:rsidRPr="00A54361">
        <w:rPr>
          <w:rFonts w:cstheme="minorHAnsi"/>
          <w:b/>
          <w:bCs/>
        </w:rPr>
        <w:t>Reverse Auction</w:t>
      </w:r>
    </w:p>
    <w:p w14:paraId="667D79A4" w14:textId="77777777" w:rsidR="009D1805" w:rsidRPr="00A54361" w:rsidRDefault="009D1805" w:rsidP="00A54361">
      <w:pPr>
        <w:spacing w:before="120" w:after="120"/>
        <w:jc w:val="both"/>
        <w:rPr>
          <w:rFonts w:cstheme="minorHAnsi"/>
        </w:rPr>
      </w:pPr>
      <w:r w:rsidRPr="00A54361">
        <w:rPr>
          <w:rFonts w:cstheme="minorHAnsi"/>
        </w:rPr>
        <w:t xml:space="preserve">The Bank shall conduct the reverse auction on total cost of project and the price so obtained after closure of Reverse Auction shall be taken into account for Commercial Evaluation. </w:t>
      </w:r>
    </w:p>
    <w:p w14:paraId="7B08E285" w14:textId="76B0651D" w:rsidR="00AD092F" w:rsidRPr="00A54361" w:rsidRDefault="009D1805" w:rsidP="00A54361">
      <w:pPr>
        <w:spacing w:before="120" w:after="120"/>
        <w:jc w:val="both"/>
        <w:rPr>
          <w:rFonts w:cstheme="minorHAnsi"/>
        </w:rPr>
      </w:pPr>
      <w:r w:rsidRPr="00A54361">
        <w:rPr>
          <w:rFonts w:cstheme="minorHAnsi"/>
        </w:rPr>
        <w:t>The L1 bidder should submit the detailed break up as per the BOQ format within 48 hours of closure of the reverse auction. The price breakup should contain not only the rates but also the value of each item of works/goods entered in a separate column and all the items as per the Bank. BOQ format totalled up in order to show the L1 aggregate value of the amount. Please note that bidder have to quote for the individual items mentioned in the tender as well as proposed by the bidder in there technical BOQ. L1 vendor, immediately on completion of the reverse auction activity, has to provide the unit-wise prices of all the items in the tender.</w:t>
      </w:r>
    </w:p>
    <w:p w14:paraId="7FEC208B" w14:textId="77777777" w:rsidR="00C03070" w:rsidRPr="00A54361" w:rsidRDefault="00C03070" w:rsidP="00A54361">
      <w:pPr>
        <w:spacing w:before="120" w:after="120"/>
        <w:jc w:val="both"/>
        <w:rPr>
          <w:rFonts w:cstheme="minorHAnsi"/>
        </w:rPr>
      </w:pPr>
      <w:r w:rsidRPr="00A54361">
        <w:rPr>
          <w:rFonts w:cstheme="minorHAnsi"/>
        </w:rPr>
        <w:t>In case any technically qualified bidder does not take part in reverse action, then he will not be considered for commercial evaluation.</w:t>
      </w:r>
    </w:p>
    <w:p w14:paraId="7C481C39" w14:textId="20A95FDF" w:rsidR="009D1805" w:rsidRPr="00A54361" w:rsidRDefault="00C03070" w:rsidP="00A54361">
      <w:pPr>
        <w:spacing w:before="120" w:after="120"/>
        <w:jc w:val="both"/>
        <w:rPr>
          <w:rFonts w:cstheme="minorHAnsi"/>
        </w:rPr>
      </w:pPr>
      <w:r w:rsidRPr="00A54361">
        <w:rPr>
          <w:rFonts w:cstheme="minorHAnsi"/>
        </w:rPr>
        <w:t>The procedure of reverse auction will be notified to the shortlisted bidders (Technically Qualified bidders) separately.</w:t>
      </w:r>
    </w:p>
    <w:p w14:paraId="2B949CB0" w14:textId="49DBE42D" w:rsidR="00C41CEB" w:rsidRPr="00620D45" w:rsidRDefault="00506C88" w:rsidP="00A54361">
      <w:pPr>
        <w:widowControl w:val="0"/>
        <w:autoSpaceDE w:val="0"/>
        <w:autoSpaceDN w:val="0"/>
        <w:adjustRightInd w:val="0"/>
        <w:spacing w:after="0" w:line="240" w:lineRule="auto"/>
        <w:jc w:val="both"/>
        <w:rPr>
          <w:rFonts w:cstheme="minorHAnsi"/>
        </w:rPr>
      </w:pPr>
      <w:r w:rsidRPr="00620D45">
        <w:rPr>
          <w:rFonts w:cstheme="minorHAnsi"/>
        </w:rPr>
        <w:t>As per the GeM portal rules, t</w:t>
      </w:r>
      <w:r w:rsidR="00C41CEB" w:rsidRPr="00620D45">
        <w:rPr>
          <w:rFonts w:cstheme="minorHAnsi"/>
        </w:rPr>
        <w:t>he technically qualified Highest Quoting bidder will not be allowed to participate in Reverse Auction. However, H-1 will also be allowed to participate in RA in following cases:</w:t>
      </w:r>
    </w:p>
    <w:p w14:paraId="7F4BE89F" w14:textId="77777777" w:rsidR="00C41CEB" w:rsidRPr="00620D45" w:rsidRDefault="00C41CEB" w:rsidP="00A54361">
      <w:pPr>
        <w:widowControl w:val="0"/>
        <w:autoSpaceDE w:val="0"/>
        <w:autoSpaceDN w:val="0"/>
        <w:adjustRightInd w:val="0"/>
        <w:spacing w:after="0" w:line="240" w:lineRule="auto"/>
        <w:jc w:val="both"/>
        <w:rPr>
          <w:rFonts w:cstheme="minorHAnsi"/>
        </w:rPr>
      </w:pPr>
    </w:p>
    <w:p w14:paraId="1E28100E" w14:textId="77777777" w:rsidR="00C41CEB" w:rsidRPr="00620D45" w:rsidRDefault="00C41CEB" w:rsidP="00A54361">
      <w:pPr>
        <w:pStyle w:val="ListParagraph"/>
        <w:widowControl w:val="0"/>
        <w:numPr>
          <w:ilvl w:val="1"/>
          <w:numId w:val="94"/>
        </w:numPr>
        <w:autoSpaceDE w:val="0"/>
        <w:autoSpaceDN w:val="0"/>
        <w:adjustRightInd w:val="0"/>
        <w:spacing w:after="0" w:line="240" w:lineRule="auto"/>
        <w:ind w:left="207" w:hanging="141"/>
        <w:jc w:val="both"/>
        <w:rPr>
          <w:rFonts w:cstheme="minorHAnsi"/>
        </w:rPr>
      </w:pPr>
      <w:r w:rsidRPr="00620D45">
        <w:rPr>
          <w:rFonts w:cstheme="minorHAnsi"/>
        </w:rPr>
        <w:t>If number of technically qualified bidders are only 2 or 3.</w:t>
      </w:r>
    </w:p>
    <w:p w14:paraId="01FC98F8" w14:textId="77777777" w:rsidR="00C41CEB" w:rsidRPr="00620D45" w:rsidRDefault="00C41CEB" w:rsidP="00A54361">
      <w:pPr>
        <w:pStyle w:val="ListParagraph"/>
        <w:widowControl w:val="0"/>
        <w:numPr>
          <w:ilvl w:val="1"/>
          <w:numId w:val="94"/>
        </w:numPr>
        <w:autoSpaceDE w:val="0"/>
        <w:autoSpaceDN w:val="0"/>
        <w:adjustRightInd w:val="0"/>
        <w:spacing w:after="0" w:line="240" w:lineRule="auto"/>
        <w:ind w:left="349" w:hanging="283"/>
        <w:jc w:val="both"/>
        <w:rPr>
          <w:rFonts w:cstheme="minorHAnsi"/>
        </w:rPr>
      </w:pPr>
      <w:r w:rsidRPr="00620D45">
        <w:rPr>
          <w:rFonts w:cstheme="minorHAnsi"/>
        </w:rPr>
        <w:t>If Buyer has chosen to split the bid amongst N sellers, and H1 bid is coming within N sellers.</w:t>
      </w:r>
    </w:p>
    <w:p w14:paraId="52851831" w14:textId="77777777" w:rsidR="00C41CEB" w:rsidRPr="00620D45" w:rsidRDefault="00C41CEB" w:rsidP="00A54361">
      <w:pPr>
        <w:pStyle w:val="ListParagraph"/>
        <w:widowControl w:val="0"/>
        <w:numPr>
          <w:ilvl w:val="1"/>
          <w:numId w:val="94"/>
        </w:numPr>
        <w:autoSpaceDE w:val="0"/>
        <w:autoSpaceDN w:val="0"/>
        <w:adjustRightInd w:val="0"/>
        <w:spacing w:after="0" w:line="240" w:lineRule="auto"/>
        <w:ind w:left="349" w:hanging="283"/>
        <w:jc w:val="both"/>
        <w:rPr>
          <w:rFonts w:cstheme="minorHAnsi"/>
        </w:rPr>
      </w:pPr>
      <w:r w:rsidRPr="00620D45">
        <w:rPr>
          <w:rFonts w:cstheme="minorHAnsi"/>
        </w:rPr>
        <w:t>In case Primary product of only one OEM is left in contention for participation in RA on elimination of H-1.</w:t>
      </w:r>
    </w:p>
    <w:p w14:paraId="56FDEF30" w14:textId="13CD7C4D" w:rsidR="00C41CEB" w:rsidRPr="00620D45" w:rsidRDefault="00C41CEB" w:rsidP="00A54361">
      <w:pPr>
        <w:pStyle w:val="ListParagraph"/>
        <w:widowControl w:val="0"/>
        <w:numPr>
          <w:ilvl w:val="1"/>
          <w:numId w:val="94"/>
        </w:numPr>
        <w:autoSpaceDE w:val="0"/>
        <w:autoSpaceDN w:val="0"/>
        <w:adjustRightInd w:val="0"/>
        <w:spacing w:after="0" w:line="240" w:lineRule="auto"/>
        <w:ind w:left="349" w:hanging="283"/>
        <w:jc w:val="both"/>
        <w:rPr>
          <w:rFonts w:cstheme="minorHAnsi"/>
        </w:rPr>
      </w:pPr>
      <w:r w:rsidRPr="00620D45">
        <w:rPr>
          <w:rFonts w:cstheme="minorHAnsi"/>
        </w:rPr>
        <w:t>If L-1 is non-MSE and H-1 is eligible MSE and H-1 price is coming within price band of 15% of Non-MSE L-1</w:t>
      </w:r>
      <w:r w:rsidR="00506C88" w:rsidRPr="00620D45">
        <w:rPr>
          <w:rFonts w:cstheme="minorHAnsi"/>
        </w:rPr>
        <w:t xml:space="preserve"> as per applicability</w:t>
      </w:r>
    </w:p>
    <w:p w14:paraId="66CDD7AE" w14:textId="19E3EECE" w:rsidR="00C41CEB" w:rsidRPr="00620D45" w:rsidRDefault="00C41CEB" w:rsidP="00A54361">
      <w:pPr>
        <w:pStyle w:val="ListParagraph"/>
        <w:widowControl w:val="0"/>
        <w:numPr>
          <w:ilvl w:val="1"/>
          <w:numId w:val="94"/>
        </w:numPr>
        <w:autoSpaceDE w:val="0"/>
        <w:autoSpaceDN w:val="0"/>
        <w:adjustRightInd w:val="0"/>
        <w:spacing w:after="0" w:line="240" w:lineRule="auto"/>
        <w:ind w:left="349" w:hanging="283"/>
        <w:jc w:val="both"/>
        <w:rPr>
          <w:rFonts w:cstheme="minorHAnsi"/>
        </w:rPr>
      </w:pPr>
      <w:r w:rsidRPr="00620D45">
        <w:rPr>
          <w:rFonts w:cstheme="minorHAnsi"/>
        </w:rPr>
        <w:t>If L-1 is non-MII and H-1 is eligible MII and H-1 price is coming within price band of 20% of Non-MII L-1</w:t>
      </w:r>
      <w:r w:rsidR="00506C88" w:rsidRPr="00620D45">
        <w:rPr>
          <w:rFonts w:cstheme="minorHAnsi"/>
        </w:rPr>
        <w:t xml:space="preserve"> as per applicability.</w:t>
      </w:r>
    </w:p>
    <w:p w14:paraId="006C73C3" w14:textId="77777777" w:rsidR="00C83238" w:rsidRPr="00A54361" w:rsidRDefault="00C83238" w:rsidP="00A54361">
      <w:pPr>
        <w:pStyle w:val="ListParagraph"/>
        <w:widowControl w:val="0"/>
        <w:autoSpaceDE w:val="0"/>
        <w:autoSpaceDN w:val="0"/>
        <w:adjustRightInd w:val="0"/>
        <w:spacing w:after="0" w:line="240" w:lineRule="auto"/>
        <w:ind w:left="349"/>
        <w:jc w:val="both"/>
        <w:rPr>
          <w:rFonts w:asciiTheme="majorHAnsi" w:hAnsiTheme="majorHAnsi" w:cs="Times New Roman"/>
          <w:sz w:val="24"/>
          <w:szCs w:val="24"/>
        </w:rPr>
      </w:pPr>
    </w:p>
    <w:p w14:paraId="4CD33246" w14:textId="77777777" w:rsidR="00E51A68" w:rsidRPr="00A54361" w:rsidRDefault="00E51A68" w:rsidP="00A54361">
      <w:pPr>
        <w:jc w:val="both"/>
        <w:rPr>
          <w:rFonts w:cstheme="minorHAnsi"/>
          <w:b/>
          <w:bCs/>
          <w:lang w:bidi="hi-IN"/>
        </w:rPr>
      </w:pPr>
      <w:r w:rsidRPr="00A54361">
        <w:rPr>
          <w:rFonts w:cstheme="minorHAnsi"/>
          <w:b/>
          <w:bCs/>
          <w:lang w:bidi="hi-IN"/>
        </w:rPr>
        <w:lastRenderedPageBreak/>
        <w:t>Date/time of reverse auction</w:t>
      </w:r>
    </w:p>
    <w:p w14:paraId="2B786933" w14:textId="77777777" w:rsidR="00714FA8" w:rsidRPr="00A54361" w:rsidRDefault="00714FA8" w:rsidP="00A54361">
      <w:pPr>
        <w:pStyle w:val="ListParagraph"/>
        <w:numPr>
          <w:ilvl w:val="1"/>
          <w:numId w:val="4"/>
        </w:numPr>
        <w:ind w:left="0"/>
        <w:jc w:val="both"/>
        <w:rPr>
          <w:rFonts w:cstheme="minorHAnsi"/>
          <w:lang w:bidi="hi-IN"/>
        </w:rPr>
      </w:pPr>
      <w:r w:rsidRPr="00A54361">
        <w:rPr>
          <w:rFonts w:cstheme="minorHAnsi"/>
          <w:lang w:bidi="hi-IN"/>
        </w:rPr>
        <w:t>The date and time of commencement of reverse auction also duration of ‘Reverse Auction Time’ shall be communicated to technically qualified bidders.</w:t>
      </w:r>
    </w:p>
    <w:p w14:paraId="45689F18" w14:textId="77777777" w:rsidR="00714FA8" w:rsidRPr="00A54361" w:rsidRDefault="00714FA8" w:rsidP="00A54361">
      <w:pPr>
        <w:pStyle w:val="ListParagraph"/>
        <w:numPr>
          <w:ilvl w:val="1"/>
          <w:numId w:val="4"/>
        </w:numPr>
        <w:ind w:left="0"/>
        <w:jc w:val="both"/>
        <w:rPr>
          <w:rFonts w:cstheme="minorHAnsi"/>
          <w:lang w:bidi="hi-IN"/>
        </w:rPr>
      </w:pPr>
      <w:r w:rsidRPr="00A54361">
        <w:rPr>
          <w:rFonts w:cstheme="minorHAnsi"/>
          <w:lang w:bidi="hi-IN"/>
        </w:rPr>
        <w:t>Any force majeure or other condition leading to postponement of auction shall entitle the Bank to postponement of auction even after communication, but Bank shall be obliged to communicate to all participating bidders the ‘postponement’ prior to commencement of such ‘Reverse Auction’.</w:t>
      </w:r>
    </w:p>
    <w:p w14:paraId="12531F97" w14:textId="77777777" w:rsidR="00707D4F" w:rsidRPr="00A54361" w:rsidRDefault="00707D4F" w:rsidP="00A54361">
      <w:pPr>
        <w:jc w:val="both"/>
        <w:rPr>
          <w:rFonts w:cstheme="minorHAnsi"/>
          <w:b/>
          <w:bCs/>
          <w:lang w:bidi="hi-IN"/>
        </w:rPr>
      </w:pPr>
      <w:r w:rsidRPr="00A54361">
        <w:rPr>
          <w:rFonts w:cstheme="minorHAnsi"/>
          <w:b/>
          <w:bCs/>
          <w:lang w:bidi="hi-IN"/>
        </w:rPr>
        <w:t xml:space="preserve">Conduct of Reverse Auction </w:t>
      </w:r>
    </w:p>
    <w:p w14:paraId="3036C535" w14:textId="77777777" w:rsidR="001C0E12" w:rsidRPr="00A54361" w:rsidRDefault="001C0E12" w:rsidP="00A54361">
      <w:pPr>
        <w:jc w:val="both"/>
        <w:rPr>
          <w:rFonts w:cstheme="minorHAnsi"/>
          <w:lang w:bidi="hi-IN"/>
        </w:rPr>
      </w:pPr>
      <w:r w:rsidRPr="00A54361">
        <w:rPr>
          <w:rFonts w:cstheme="minorHAnsi"/>
          <w:lang w:bidi="hi-IN"/>
        </w:rPr>
        <w:t xml:space="preserve">The reverse auction shall be conducted as deemed fit by the Bank meant for this purpose. </w:t>
      </w:r>
    </w:p>
    <w:p w14:paraId="46889933" w14:textId="77777777" w:rsidR="000E5507" w:rsidRPr="00A54361" w:rsidRDefault="000E5507" w:rsidP="00A54361">
      <w:pPr>
        <w:jc w:val="both"/>
        <w:rPr>
          <w:rFonts w:cstheme="minorHAnsi"/>
          <w:b/>
          <w:bCs/>
          <w:lang w:bidi="hi-IN"/>
        </w:rPr>
      </w:pPr>
      <w:r w:rsidRPr="00A54361">
        <w:rPr>
          <w:rFonts w:cstheme="minorHAnsi"/>
          <w:b/>
          <w:bCs/>
          <w:lang w:bidi="hi-IN"/>
        </w:rPr>
        <w:t>Business Rules</w:t>
      </w:r>
    </w:p>
    <w:p w14:paraId="7080CC21" w14:textId="77777777" w:rsidR="006546CC" w:rsidRPr="00A54361" w:rsidRDefault="006546CC" w:rsidP="00A54361">
      <w:pPr>
        <w:pStyle w:val="ListParagraph"/>
        <w:ind w:left="0"/>
        <w:jc w:val="both"/>
        <w:rPr>
          <w:rFonts w:cstheme="minorHAnsi"/>
          <w:lang w:bidi="hi-IN"/>
        </w:rPr>
      </w:pPr>
      <w:r w:rsidRPr="00A54361">
        <w:rPr>
          <w:rFonts w:cstheme="minorHAnsi"/>
          <w:lang w:bidi="hi-IN"/>
        </w:rPr>
        <w:t>Business Rules as may become emergent and based on the experience gained may be made by the Bank. Business rules shall be provided to the technically qualified bidders.</w:t>
      </w:r>
    </w:p>
    <w:p w14:paraId="6ED952C0" w14:textId="2A41EC81" w:rsidR="00F24130" w:rsidRPr="00A54361" w:rsidRDefault="00F24130" w:rsidP="00A54361">
      <w:pPr>
        <w:pStyle w:val="Heading1"/>
        <w:numPr>
          <w:ilvl w:val="0"/>
          <w:numId w:val="48"/>
        </w:numPr>
        <w:jc w:val="both"/>
        <w:rPr>
          <w:rFonts w:asciiTheme="minorHAnsi" w:hAnsiTheme="minorHAnsi" w:cstheme="minorHAnsi"/>
          <w:color w:val="auto"/>
        </w:rPr>
      </w:pPr>
      <w:bookmarkStart w:id="181" w:name="_Toc129668495"/>
      <w:bookmarkStart w:id="182" w:name="_Toc182233372"/>
      <w:r w:rsidRPr="00A54361">
        <w:rPr>
          <w:rFonts w:asciiTheme="minorHAnsi" w:hAnsiTheme="minorHAnsi" w:cstheme="minorHAnsi"/>
          <w:color w:val="auto"/>
        </w:rPr>
        <w:t>Payment Terms</w:t>
      </w:r>
      <w:bookmarkEnd w:id="181"/>
      <w:bookmarkEnd w:id="182"/>
    </w:p>
    <w:p w14:paraId="7670D400" w14:textId="4D264EC5" w:rsidR="008470F9" w:rsidRPr="00A54361" w:rsidRDefault="00AD3F29" w:rsidP="00A54361">
      <w:pPr>
        <w:jc w:val="both"/>
      </w:pPr>
      <w:r w:rsidRPr="00A54361">
        <w:t xml:space="preserve">The term of the contract will be 5 years. Hardware to be provided for execution of project should be sized for 5 years by considering functional &amp; technical requirements as per in-scope solutions. However, if it is found that the hardware is not sized adequately or the hardware utilization goes beyond the threshold limit of </w:t>
      </w:r>
      <w:r w:rsidR="008E15DF" w:rsidRPr="00A54361">
        <w:t>7</w:t>
      </w:r>
      <w:r w:rsidRPr="00A54361">
        <w:t>0%, the Bidder has to provide additional hardware at no additional cost to meet the performance parameters set by the Bank. The Bidder must accept the payment terms proposed by the Bank as proposed in this Section. The financial offer submitted by the Bidder after the reverse auction process must be in conformity with the payment terms proposed by the Bank. Any deviation from the proposed payment terms would not be accepted.</w:t>
      </w:r>
    </w:p>
    <w:p w14:paraId="268714F4" w14:textId="77777777" w:rsidR="0038735B" w:rsidRPr="00A54361" w:rsidRDefault="0038735B" w:rsidP="00A54361">
      <w:pPr>
        <w:jc w:val="both"/>
      </w:pPr>
      <w:r w:rsidRPr="00A54361">
        <w:t>The scope of work is divided in different areas and the payment would be linked to delivery and acceptance. All / any payments will be made subject to compliance of Service Levels defined in the RFP document. The Bank shall have the right to withhold any payment due to the Bidder, in case of delays or defaults on the part of the Bidder. Such withholding of payment shall not amount to a default on the part of the Bank. If any of the items / activities as mentioned in the price bid is not taken up by the Bank during the course of the assignment, the Bank will not pay the fees quoted by the Bidder in the price bid against such activity / item.</w:t>
      </w:r>
    </w:p>
    <w:p w14:paraId="6CC16CDF" w14:textId="32D04DD6" w:rsidR="0038735B" w:rsidRPr="00A54361" w:rsidRDefault="0038735B" w:rsidP="00A54361">
      <w:pPr>
        <w:jc w:val="both"/>
      </w:pPr>
      <w:r w:rsidRPr="00A54361">
        <w:t>Payment for the Supply of required HW, SW, Design, Installation, Implementation, and Commission of the solutions shall be made by Bank as per the solutions in scope as mentioned in the Scope of Work.</w:t>
      </w:r>
    </w:p>
    <w:p w14:paraId="34BD1159" w14:textId="77777777" w:rsidR="00A5235C" w:rsidRPr="00A54361" w:rsidRDefault="00A5235C" w:rsidP="00A54361">
      <w:pPr>
        <w:pStyle w:val="ListParagraph"/>
        <w:keepNext/>
        <w:keepLines/>
        <w:numPr>
          <w:ilvl w:val="0"/>
          <w:numId w:val="50"/>
        </w:numPr>
        <w:spacing w:before="240" w:after="0"/>
        <w:contextualSpacing w:val="0"/>
        <w:jc w:val="both"/>
        <w:outlineLvl w:val="0"/>
        <w:rPr>
          <w:rFonts w:eastAsiaTheme="majorEastAsia" w:cstheme="minorHAnsi"/>
          <w:vanish/>
          <w:sz w:val="32"/>
          <w:szCs w:val="32"/>
        </w:rPr>
      </w:pPr>
      <w:bookmarkStart w:id="183" w:name="_Toc173349307"/>
      <w:bookmarkStart w:id="184" w:name="_Toc173349410"/>
      <w:bookmarkStart w:id="185" w:name="_Toc173401824"/>
      <w:bookmarkStart w:id="186" w:name="_Toc173401928"/>
      <w:bookmarkStart w:id="187" w:name="_Toc173421257"/>
      <w:bookmarkStart w:id="188" w:name="_Toc177401341"/>
      <w:bookmarkStart w:id="189" w:name="_Toc177401444"/>
      <w:bookmarkStart w:id="190" w:name="_Toc181978455"/>
      <w:bookmarkStart w:id="191" w:name="_Toc182233373"/>
      <w:bookmarkEnd w:id="183"/>
      <w:bookmarkEnd w:id="184"/>
      <w:bookmarkEnd w:id="185"/>
      <w:bookmarkEnd w:id="186"/>
      <w:bookmarkEnd w:id="187"/>
      <w:bookmarkEnd w:id="188"/>
      <w:bookmarkEnd w:id="189"/>
      <w:bookmarkEnd w:id="190"/>
      <w:bookmarkEnd w:id="191"/>
    </w:p>
    <w:p w14:paraId="7F9FBDDE" w14:textId="155D3B6A" w:rsidR="001B7EEF" w:rsidRPr="00A54361" w:rsidRDefault="00CB044F" w:rsidP="00A54361">
      <w:pPr>
        <w:pStyle w:val="Heading1"/>
        <w:numPr>
          <w:ilvl w:val="1"/>
          <w:numId w:val="50"/>
        </w:numPr>
        <w:ind w:left="1778"/>
        <w:jc w:val="both"/>
        <w:rPr>
          <w:rFonts w:asciiTheme="minorHAnsi" w:hAnsiTheme="minorHAnsi" w:cstheme="minorHAnsi"/>
          <w:color w:val="auto"/>
        </w:rPr>
      </w:pPr>
      <w:bookmarkStart w:id="192" w:name="_Toc182233374"/>
      <w:r w:rsidRPr="00A54361">
        <w:rPr>
          <w:rFonts w:asciiTheme="minorHAnsi" w:hAnsiTheme="minorHAnsi" w:cstheme="minorHAnsi"/>
          <w:color w:val="auto"/>
        </w:rPr>
        <w:t xml:space="preserve">Procedure for </w:t>
      </w:r>
      <w:r w:rsidR="00A5235C" w:rsidRPr="00A54361">
        <w:rPr>
          <w:rFonts w:asciiTheme="minorHAnsi" w:hAnsiTheme="minorHAnsi" w:cstheme="minorHAnsi"/>
          <w:color w:val="auto"/>
        </w:rPr>
        <w:t>Claiming Payments</w:t>
      </w:r>
      <w:bookmarkEnd w:id="192"/>
    </w:p>
    <w:p w14:paraId="741188BB" w14:textId="6546842F" w:rsidR="00117427" w:rsidRPr="00A54361" w:rsidRDefault="00117427" w:rsidP="00A54361">
      <w:pPr>
        <w:jc w:val="both"/>
      </w:pPr>
      <w:r w:rsidRPr="00A54361">
        <w:t>The Bidder’s requests for payment shall be made to the Bank in writing accompanied by Original Invoice detailing the systems, software delivered, installed and accepted by the  Bank. The payment after deducting applicable TDS will be released by the Bank. All payments will be made only by electronic transfer of funds either by NEFT or RTGS. The Bidder therefore has to furnish the Bank account number to where the funds have to be transferred for effecting payments. Payments as per the schedule given below will be released only on acceptance of the order and on signing the agreement / contract by the selected Bidder and also on submission of performance guarantee through a DD or Bank Guarantee in lieu of DD towards EMD.</w:t>
      </w:r>
    </w:p>
    <w:p w14:paraId="7F871040" w14:textId="1BA9FF39" w:rsidR="001B7EEF" w:rsidRPr="00A54361" w:rsidRDefault="00117427" w:rsidP="00A54361">
      <w:pPr>
        <w:jc w:val="both"/>
      </w:pPr>
      <w:r w:rsidRPr="00A54361">
        <w:lastRenderedPageBreak/>
        <w:t>The Bidder will have to submit a document explaining the AMC / ATS costs. The scope of work is divided in different areas, the payment would be linked to delivery, and acceptance of each area as explained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2250"/>
        <w:gridCol w:w="1530"/>
        <w:gridCol w:w="4855"/>
      </w:tblGrid>
      <w:tr w:rsidR="000D3DC1" w:rsidRPr="00A54361" w14:paraId="6FEE953D" w14:textId="77777777" w:rsidTr="005D16B3">
        <w:trPr>
          <w:trHeight w:val="537"/>
          <w:tblHeader/>
        </w:trPr>
        <w:tc>
          <w:tcPr>
            <w:tcW w:w="715" w:type="dxa"/>
            <w:shd w:val="clear" w:color="auto" w:fill="E7E6E6" w:themeFill="background2"/>
          </w:tcPr>
          <w:p w14:paraId="22487C79" w14:textId="65BA0B86" w:rsidR="00F24130" w:rsidRPr="00A54361" w:rsidRDefault="00A4133E" w:rsidP="00A54361">
            <w:pPr>
              <w:jc w:val="both"/>
              <w:rPr>
                <w:rFonts w:cstheme="minorHAnsi"/>
                <w:b/>
                <w:bCs/>
              </w:rPr>
            </w:pPr>
            <w:r w:rsidRPr="00A54361">
              <w:rPr>
                <w:rFonts w:cstheme="minorHAnsi"/>
                <w:b/>
                <w:bCs/>
              </w:rPr>
              <w:t>S. No</w:t>
            </w:r>
          </w:p>
        </w:tc>
        <w:tc>
          <w:tcPr>
            <w:tcW w:w="2250" w:type="dxa"/>
            <w:shd w:val="clear" w:color="auto" w:fill="E7E6E6" w:themeFill="background2"/>
          </w:tcPr>
          <w:p w14:paraId="51DBF703" w14:textId="77777777" w:rsidR="00F24130" w:rsidRPr="00A54361" w:rsidRDefault="00F24130" w:rsidP="00A54361">
            <w:pPr>
              <w:jc w:val="both"/>
              <w:rPr>
                <w:rFonts w:cstheme="minorHAnsi"/>
                <w:b/>
                <w:bCs/>
              </w:rPr>
            </w:pPr>
            <w:r w:rsidRPr="00A54361">
              <w:rPr>
                <w:rFonts w:cstheme="minorHAnsi"/>
                <w:b/>
                <w:bCs/>
              </w:rPr>
              <w:t>Deliverables</w:t>
            </w:r>
          </w:p>
        </w:tc>
        <w:tc>
          <w:tcPr>
            <w:tcW w:w="1530" w:type="dxa"/>
            <w:shd w:val="clear" w:color="auto" w:fill="E7E6E6" w:themeFill="background2"/>
          </w:tcPr>
          <w:p w14:paraId="7EA00BBF" w14:textId="710BD344" w:rsidR="00F24130" w:rsidRPr="00A54361" w:rsidRDefault="00F24130" w:rsidP="00A54361">
            <w:pPr>
              <w:jc w:val="both"/>
              <w:rPr>
                <w:rFonts w:cstheme="minorHAnsi"/>
                <w:b/>
                <w:bCs/>
              </w:rPr>
            </w:pPr>
            <w:r w:rsidRPr="00A54361">
              <w:rPr>
                <w:rFonts w:cstheme="minorHAnsi"/>
                <w:b/>
                <w:bCs/>
              </w:rPr>
              <w:t xml:space="preserve">% </w:t>
            </w:r>
            <w:r w:rsidR="003147EA" w:rsidRPr="00A54361">
              <w:rPr>
                <w:rFonts w:cstheme="minorHAnsi"/>
                <w:b/>
                <w:bCs/>
              </w:rPr>
              <w:t>Of</w:t>
            </w:r>
            <w:r w:rsidRPr="00A54361">
              <w:rPr>
                <w:rFonts w:cstheme="minorHAnsi"/>
                <w:b/>
                <w:bCs/>
              </w:rPr>
              <w:t xml:space="preserve"> Payment</w:t>
            </w:r>
          </w:p>
        </w:tc>
        <w:tc>
          <w:tcPr>
            <w:tcW w:w="4855" w:type="dxa"/>
            <w:shd w:val="clear" w:color="auto" w:fill="E7E6E6" w:themeFill="background2"/>
          </w:tcPr>
          <w:p w14:paraId="5CEFA089" w14:textId="77777777" w:rsidR="00F24130" w:rsidRPr="00A54361" w:rsidRDefault="00F24130" w:rsidP="00A54361">
            <w:pPr>
              <w:jc w:val="both"/>
              <w:rPr>
                <w:rFonts w:cstheme="minorHAnsi"/>
                <w:b/>
                <w:bCs/>
              </w:rPr>
            </w:pPr>
            <w:r w:rsidRPr="00A54361">
              <w:rPr>
                <w:rFonts w:cstheme="minorHAnsi"/>
                <w:b/>
                <w:bCs/>
              </w:rPr>
              <w:t xml:space="preserve">Payment Milestone (On completion of the activities) </w:t>
            </w:r>
          </w:p>
        </w:tc>
      </w:tr>
      <w:tr w:rsidR="000D3DC1" w:rsidRPr="00A54361" w14:paraId="7EBD4128" w14:textId="77777777" w:rsidTr="005D16B3">
        <w:trPr>
          <w:trHeight w:val="537"/>
        </w:trPr>
        <w:tc>
          <w:tcPr>
            <w:tcW w:w="715" w:type="dxa"/>
            <w:vMerge w:val="restart"/>
          </w:tcPr>
          <w:p w14:paraId="0CEA20F2" w14:textId="2D59026D" w:rsidR="00A4133E" w:rsidRPr="00A54361" w:rsidRDefault="00A4133E" w:rsidP="00A54361">
            <w:pPr>
              <w:jc w:val="both"/>
              <w:rPr>
                <w:rFonts w:cstheme="minorHAnsi"/>
              </w:rPr>
            </w:pPr>
            <w:r w:rsidRPr="00A54361">
              <w:rPr>
                <w:rFonts w:cstheme="minorHAnsi"/>
              </w:rPr>
              <w:t>1</w:t>
            </w:r>
          </w:p>
        </w:tc>
        <w:tc>
          <w:tcPr>
            <w:tcW w:w="2250" w:type="dxa"/>
            <w:vMerge w:val="restart"/>
          </w:tcPr>
          <w:p w14:paraId="0CFE979E" w14:textId="4F6122E9" w:rsidR="00A4133E" w:rsidRPr="00A54361" w:rsidRDefault="00A4133E" w:rsidP="00A54361">
            <w:pPr>
              <w:pStyle w:val="Default"/>
              <w:jc w:val="both"/>
              <w:rPr>
                <w:rFonts w:asciiTheme="minorHAnsi" w:hAnsiTheme="minorHAnsi" w:cstheme="minorHAnsi"/>
                <w:color w:val="auto"/>
                <w:sz w:val="22"/>
                <w:szCs w:val="22"/>
              </w:rPr>
            </w:pPr>
            <w:r w:rsidRPr="00A54361">
              <w:rPr>
                <w:rFonts w:asciiTheme="minorHAnsi" w:hAnsiTheme="minorHAnsi" w:cstheme="minorHAnsi"/>
                <w:color w:val="auto"/>
                <w:sz w:val="22"/>
                <w:szCs w:val="22"/>
              </w:rPr>
              <w:t>For Hardware of each Security Solutions at the Bank</w:t>
            </w:r>
          </w:p>
        </w:tc>
        <w:tc>
          <w:tcPr>
            <w:tcW w:w="1530" w:type="dxa"/>
          </w:tcPr>
          <w:p w14:paraId="1E0B489D" w14:textId="2DC2D01B" w:rsidR="00A4133E" w:rsidRPr="00A54361" w:rsidRDefault="00A4133E" w:rsidP="00A54361">
            <w:pPr>
              <w:jc w:val="both"/>
              <w:rPr>
                <w:rFonts w:cstheme="minorHAnsi"/>
              </w:rPr>
            </w:pPr>
            <w:r w:rsidRPr="00A54361">
              <w:rPr>
                <w:rFonts w:cstheme="minorHAnsi"/>
              </w:rPr>
              <w:t>70%</w:t>
            </w:r>
          </w:p>
        </w:tc>
        <w:tc>
          <w:tcPr>
            <w:tcW w:w="4855" w:type="dxa"/>
          </w:tcPr>
          <w:p w14:paraId="31ED7C10" w14:textId="0465CD51" w:rsidR="00A4133E" w:rsidRPr="00A54361" w:rsidRDefault="005846EF" w:rsidP="00A54361">
            <w:pPr>
              <w:jc w:val="both"/>
              <w:rPr>
                <w:rFonts w:cstheme="minorHAnsi"/>
              </w:rPr>
            </w:pPr>
            <w:r w:rsidRPr="00A54361">
              <w:rPr>
                <w:rFonts w:cstheme="minorHAnsi"/>
              </w:rPr>
              <w:t>On post-delivery inspection of the product</w:t>
            </w:r>
          </w:p>
        </w:tc>
      </w:tr>
      <w:tr w:rsidR="000D3DC1" w:rsidRPr="00A54361" w14:paraId="775D6BDA" w14:textId="77777777" w:rsidTr="005D16B3">
        <w:trPr>
          <w:trHeight w:val="537"/>
        </w:trPr>
        <w:tc>
          <w:tcPr>
            <w:tcW w:w="715" w:type="dxa"/>
            <w:vMerge/>
          </w:tcPr>
          <w:p w14:paraId="3D79A972" w14:textId="77777777" w:rsidR="00A4133E" w:rsidRPr="00A54361" w:rsidRDefault="00A4133E" w:rsidP="00A54361">
            <w:pPr>
              <w:jc w:val="both"/>
              <w:rPr>
                <w:rFonts w:cstheme="minorHAnsi"/>
              </w:rPr>
            </w:pPr>
          </w:p>
        </w:tc>
        <w:tc>
          <w:tcPr>
            <w:tcW w:w="2250" w:type="dxa"/>
            <w:vMerge/>
          </w:tcPr>
          <w:p w14:paraId="7F665573" w14:textId="77777777" w:rsidR="00A4133E" w:rsidRPr="00A54361" w:rsidRDefault="00A4133E" w:rsidP="00A54361">
            <w:pPr>
              <w:pStyle w:val="Default"/>
              <w:jc w:val="both"/>
              <w:rPr>
                <w:rFonts w:asciiTheme="minorHAnsi" w:hAnsiTheme="minorHAnsi" w:cstheme="minorHAnsi"/>
                <w:color w:val="auto"/>
                <w:sz w:val="22"/>
                <w:szCs w:val="22"/>
              </w:rPr>
            </w:pPr>
          </w:p>
        </w:tc>
        <w:tc>
          <w:tcPr>
            <w:tcW w:w="1530" w:type="dxa"/>
          </w:tcPr>
          <w:p w14:paraId="13E91138" w14:textId="29D55D51" w:rsidR="00A4133E" w:rsidRPr="00A54361" w:rsidRDefault="00A4133E" w:rsidP="00A54361">
            <w:pPr>
              <w:jc w:val="both"/>
              <w:rPr>
                <w:rFonts w:cstheme="minorHAnsi"/>
              </w:rPr>
            </w:pPr>
            <w:r w:rsidRPr="00A54361">
              <w:rPr>
                <w:rFonts w:cstheme="minorHAnsi"/>
              </w:rPr>
              <w:t>20%</w:t>
            </w:r>
          </w:p>
        </w:tc>
        <w:tc>
          <w:tcPr>
            <w:tcW w:w="4855" w:type="dxa"/>
          </w:tcPr>
          <w:p w14:paraId="6F464F4F" w14:textId="2646EA18" w:rsidR="00A4133E" w:rsidRPr="00A54361" w:rsidRDefault="00A4133E" w:rsidP="00A54361">
            <w:pPr>
              <w:jc w:val="both"/>
              <w:rPr>
                <w:rFonts w:cstheme="minorHAnsi"/>
              </w:rPr>
            </w:pPr>
            <w:r w:rsidRPr="00A54361">
              <w:rPr>
                <w:rFonts w:cstheme="minorHAnsi"/>
              </w:rPr>
              <w:t>Against successful installation</w:t>
            </w:r>
            <w:r w:rsidR="00B0564A" w:rsidRPr="00A54361">
              <w:rPr>
                <w:rFonts w:cstheme="minorHAnsi"/>
              </w:rPr>
              <w:t xml:space="preserve"> and acceptance testing</w:t>
            </w:r>
            <w:r w:rsidR="0066329B" w:rsidRPr="00A54361">
              <w:rPr>
                <w:rFonts w:cstheme="minorHAnsi"/>
              </w:rPr>
              <w:t xml:space="preserve"> of the product</w:t>
            </w:r>
            <w:r w:rsidRPr="00A54361">
              <w:rPr>
                <w:rFonts w:cstheme="minorHAnsi"/>
              </w:rPr>
              <w:t xml:space="preserve"> signoff at DC, DRC</w:t>
            </w:r>
          </w:p>
        </w:tc>
      </w:tr>
      <w:tr w:rsidR="000D3DC1" w:rsidRPr="00A54361" w14:paraId="1A9B7565" w14:textId="77777777" w:rsidTr="005D16B3">
        <w:trPr>
          <w:trHeight w:val="537"/>
        </w:trPr>
        <w:tc>
          <w:tcPr>
            <w:tcW w:w="715" w:type="dxa"/>
            <w:vMerge/>
          </w:tcPr>
          <w:p w14:paraId="55FF8899" w14:textId="77777777" w:rsidR="00A4133E" w:rsidRPr="00A54361" w:rsidRDefault="00A4133E" w:rsidP="00A54361">
            <w:pPr>
              <w:jc w:val="both"/>
              <w:rPr>
                <w:rFonts w:cstheme="minorHAnsi"/>
              </w:rPr>
            </w:pPr>
          </w:p>
        </w:tc>
        <w:tc>
          <w:tcPr>
            <w:tcW w:w="2250" w:type="dxa"/>
            <w:vMerge/>
          </w:tcPr>
          <w:p w14:paraId="47283FE8" w14:textId="77777777" w:rsidR="00A4133E" w:rsidRPr="00A54361" w:rsidRDefault="00A4133E" w:rsidP="00A54361">
            <w:pPr>
              <w:pStyle w:val="Default"/>
              <w:jc w:val="both"/>
              <w:rPr>
                <w:rFonts w:asciiTheme="minorHAnsi" w:hAnsiTheme="minorHAnsi" w:cstheme="minorHAnsi"/>
                <w:color w:val="auto"/>
                <w:sz w:val="22"/>
                <w:szCs w:val="22"/>
              </w:rPr>
            </w:pPr>
          </w:p>
        </w:tc>
        <w:tc>
          <w:tcPr>
            <w:tcW w:w="1530" w:type="dxa"/>
          </w:tcPr>
          <w:p w14:paraId="6E287774" w14:textId="23C7EEC9" w:rsidR="00A4133E" w:rsidRPr="00A54361" w:rsidRDefault="00A4133E" w:rsidP="00A54361">
            <w:pPr>
              <w:jc w:val="both"/>
              <w:rPr>
                <w:rFonts w:cstheme="minorHAnsi"/>
              </w:rPr>
            </w:pPr>
            <w:r w:rsidRPr="00A54361">
              <w:rPr>
                <w:rFonts w:cstheme="minorHAnsi"/>
              </w:rPr>
              <w:t>10%</w:t>
            </w:r>
          </w:p>
        </w:tc>
        <w:tc>
          <w:tcPr>
            <w:tcW w:w="4855" w:type="dxa"/>
          </w:tcPr>
          <w:p w14:paraId="217B849E" w14:textId="078AAA0C" w:rsidR="00A4133E" w:rsidRPr="00A54361" w:rsidRDefault="00A4133E" w:rsidP="00A54361">
            <w:pPr>
              <w:jc w:val="both"/>
              <w:rPr>
                <w:rFonts w:cstheme="minorHAnsi"/>
              </w:rPr>
            </w:pPr>
            <w:r w:rsidRPr="00A54361">
              <w:rPr>
                <w:rFonts w:cstheme="minorHAnsi"/>
              </w:rPr>
              <w:t>3 months after successful installation signoff</w:t>
            </w:r>
            <w:r w:rsidR="00D34EC3" w:rsidRPr="00A54361">
              <w:rPr>
                <w:rFonts w:cstheme="minorHAnsi"/>
              </w:rPr>
              <w:t xml:space="preserve"> </w:t>
            </w:r>
          </w:p>
        </w:tc>
      </w:tr>
      <w:tr w:rsidR="000D3DC1" w:rsidRPr="00A54361" w14:paraId="7108FBE9" w14:textId="77777777" w:rsidTr="005D16B3">
        <w:trPr>
          <w:trHeight w:val="537"/>
        </w:trPr>
        <w:tc>
          <w:tcPr>
            <w:tcW w:w="715" w:type="dxa"/>
            <w:vMerge w:val="restart"/>
          </w:tcPr>
          <w:p w14:paraId="2EE02D76" w14:textId="15FAA2CC" w:rsidR="00C25E75" w:rsidRPr="00A54361" w:rsidRDefault="00C25E75" w:rsidP="00A54361">
            <w:pPr>
              <w:jc w:val="both"/>
              <w:rPr>
                <w:rFonts w:cstheme="minorHAnsi"/>
              </w:rPr>
            </w:pPr>
            <w:r w:rsidRPr="00A54361">
              <w:rPr>
                <w:rFonts w:cstheme="minorHAnsi"/>
              </w:rPr>
              <w:t>2</w:t>
            </w:r>
          </w:p>
        </w:tc>
        <w:tc>
          <w:tcPr>
            <w:tcW w:w="2250" w:type="dxa"/>
            <w:vMerge w:val="restart"/>
          </w:tcPr>
          <w:p w14:paraId="693CDBB6" w14:textId="3B58AF3D" w:rsidR="00C25E75" w:rsidRPr="00A54361" w:rsidRDefault="00C25E75" w:rsidP="00A54361">
            <w:pPr>
              <w:pStyle w:val="Default"/>
              <w:jc w:val="both"/>
              <w:rPr>
                <w:rFonts w:asciiTheme="minorHAnsi" w:hAnsiTheme="minorHAnsi" w:cstheme="minorHAnsi"/>
                <w:color w:val="auto"/>
                <w:sz w:val="22"/>
                <w:szCs w:val="22"/>
              </w:rPr>
            </w:pPr>
            <w:r w:rsidRPr="00A54361">
              <w:rPr>
                <w:rFonts w:asciiTheme="minorHAnsi" w:hAnsiTheme="minorHAnsi" w:cstheme="minorHAnsi"/>
                <w:color w:val="auto"/>
                <w:sz w:val="22"/>
                <w:szCs w:val="22"/>
              </w:rPr>
              <w:t>For Software of each Security Solutions at the Bank</w:t>
            </w:r>
          </w:p>
        </w:tc>
        <w:tc>
          <w:tcPr>
            <w:tcW w:w="1530" w:type="dxa"/>
          </w:tcPr>
          <w:p w14:paraId="5EC5B8C5" w14:textId="77777777" w:rsidR="00C25E75" w:rsidRPr="00A54361" w:rsidRDefault="00C25E75" w:rsidP="00A54361">
            <w:pPr>
              <w:jc w:val="both"/>
              <w:rPr>
                <w:rFonts w:cstheme="minorHAnsi"/>
              </w:rPr>
            </w:pPr>
            <w:r w:rsidRPr="00A54361">
              <w:rPr>
                <w:rFonts w:cstheme="minorHAnsi"/>
              </w:rPr>
              <w:t>60%</w:t>
            </w:r>
          </w:p>
        </w:tc>
        <w:tc>
          <w:tcPr>
            <w:tcW w:w="4855" w:type="dxa"/>
          </w:tcPr>
          <w:p w14:paraId="624E4DBB" w14:textId="66B9BE69" w:rsidR="00C25E75" w:rsidRPr="00A54361" w:rsidRDefault="00C25E75" w:rsidP="00A54361">
            <w:pPr>
              <w:jc w:val="both"/>
              <w:rPr>
                <w:rFonts w:cstheme="minorHAnsi"/>
              </w:rPr>
            </w:pPr>
            <w:r w:rsidRPr="00A54361">
              <w:rPr>
                <w:rFonts w:cstheme="minorHAnsi"/>
              </w:rPr>
              <w:t>On post-delivery inspection of the product</w:t>
            </w:r>
          </w:p>
        </w:tc>
      </w:tr>
      <w:tr w:rsidR="000D3DC1" w:rsidRPr="00A54361" w14:paraId="46AEBBFF" w14:textId="77777777" w:rsidTr="005D16B3">
        <w:trPr>
          <w:trHeight w:val="537"/>
        </w:trPr>
        <w:tc>
          <w:tcPr>
            <w:tcW w:w="715" w:type="dxa"/>
            <w:vMerge/>
          </w:tcPr>
          <w:p w14:paraId="00B518F4" w14:textId="77777777" w:rsidR="00C25E75" w:rsidRPr="00A54361" w:rsidRDefault="00C25E75" w:rsidP="00A54361">
            <w:pPr>
              <w:jc w:val="both"/>
              <w:rPr>
                <w:rFonts w:cstheme="minorHAnsi"/>
              </w:rPr>
            </w:pPr>
          </w:p>
        </w:tc>
        <w:tc>
          <w:tcPr>
            <w:tcW w:w="2250" w:type="dxa"/>
            <w:vMerge/>
          </w:tcPr>
          <w:p w14:paraId="3E8AED22" w14:textId="77777777" w:rsidR="00C25E75" w:rsidRPr="00A54361" w:rsidRDefault="00C25E75" w:rsidP="00A54361">
            <w:pPr>
              <w:jc w:val="both"/>
              <w:rPr>
                <w:rFonts w:cstheme="minorHAnsi"/>
              </w:rPr>
            </w:pPr>
          </w:p>
        </w:tc>
        <w:tc>
          <w:tcPr>
            <w:tcW w:w="1530" w:type="dxa"/>
          </w:tcPr>
          <w:p w14:paraId="72B7F66F" w14:textId="77777777" w:rsidR="00C25E75" w:rsidRPr="00A54361" w:rsidRDefault="00C25E75" w:rsidP="00A54361">
            <w:pPr>
              <w:jc w:val="both"/>
              <w:rPr>
                <w:rFonts w:cstheme="minorHAnsi"/>
              </w:rPr>
            </w:pPr>
            <w:r w:rsidRPr="00A54361">
              <w:rPr>
                <w:rFonts w:cstheme="minorHAnsi"/>
              </w:rPr>
              <w:t>30%</w:t>
            </w:r>
          </w:p>
        </w:tc>
        <w:tc>
          <w:tcPr>
            <w:tcW w:w="4855" w:type="dxa"/>
          </w:tcPr>
          <w:p w14:paraId="1675F7C3" w14:textId="417AD9EE" w:rsidR="00C25E75" w:rsidRPr="00A54361" w:rsidRDefault="00C25E75" w:rsidP="00A54361">
            <w:pPr>
              <w:jc w:val="both"/>
              <w:rPr>
                <w:rFonts w:cstheme="minorHAnsi"/>
              </w:rPr>
            </w:pPr>
            <w:r w:rsidRPr="00A54361">
              <w:rPr>
                <w:rFonts w:cstheme="minorHAnsi"/>
              </w:rPr>
              <w:t>Against successful installation and acceptance testing of the product signoff at DC, DRC</w:t>
            </w:r>
          </w:p>
        </w:tc>
      </w:tr>
      <w:tr w:rsidR="000D3DC1" w:rsidRPr="00A54361" w14:paraId="683A793E" w14:textId="77777777" w:rsidTr="005D16B3">
        <w:trPr>
          <w:trHeight w:val="537"/>
        </w:trPr>
        <w:tc>
          <w:tcPr>
            <w:tcW w:w="715" w:type="dxa"/>
            <w:vMerge/>
          </w:tcPr>
          <w:p w14:paraId="386EFC68" w14:textId="77777777" w:rsidR="00A4133E" w:rsidRPr="00A54361" w:rsidRDefault="00A4133E" w:rsidP="00A54361">
            <w:pPr>
              <w:jc w:val="both"/>
              <w:rPr>
                <w:rFonts w:cstheme="minorHAnsi"/>
              </w:rPr>
            </w:pPr>
          </w:p>
        </w:tc>
        <w:tc>
          <w:tcPr>
            <w:tcW w:w="2250" w:type="dxa"/>
            <w:vMerge/>
          </w:tcPr>
          <w:p w14:paraId="14D5E24C" w14:textId="77777777" w:rsidR="00A4133E" w:rsidRPr="00A54361" w:rsidRDefault="00A4133E" w:rsidP="00A54361">
            <w:pPr>
              <w:jc w:val="both"/>
              <w:rPr>
                <w:rFonts w:cstheme="minorHAnsi"/>
              </w:rPr>
            </w:pPr>
          </w:p>
        </w:tc>
        <w:tc>
          <w:tcPr>
            <w:tcW w:w="1530" w:type="dxa"/>
          </w:tcPr>
          <w:p w14:paraId="6C574025" w14:textId="77777777" w:rsidR="00A4133E" w:rsidRPr="00A54361" w:rsidRDefault="00A4133E" w:rsidP="00A54361">
            <w:pPr>
              <w:jc w:val="both"/>
              <w:rPr>
                <w:rFonts w:cstheme="minorHAnsi"/>
              </w:rPr>
            </w:pPr>
            <w:r w:rsidRPr="00A54361">
              <w:rPr>
                <w:rFonts w:cstheme="minorHAnsi"/>
              </w:rPr>
              <w:t>10%</w:t>
            </w:r>
          </w:p>
        </w:tc>
        <w:tc>
          <w:tcPr>
            <w:tcW w:w="4855" w:type="dxa"/>
          </w:tcPr>
          <w:p w14:paraId="6A44B0AB" w14:textId="5EC3006D" w:rsidR="00A4133E" w:rsidRPr="00A54361" w:rsidRDefault="00A4133E" w:rsidP="00A54361">
            <w:pPr>
              <w:jc w:val="both"/>
              <w:rPr>
                <w:rFonts w:cstheme="minorHAnsi"/>
              </w:rPr>
            </w:pPr>
            <w:r w:rsidRPr="00A54361">
              <w:rPr>
                <w:rFonts w:cstheme="minorHAnsi"/>
              </w:rPr>
              <w:t>3 months after successful installation signoff</w:t>
            </w:r>
            <w:r w:rsidR="00C165FE" w:rsidRPr="00A54361">
              <w:rPr>
                <w:rFonts w:cstheme="minorHAnsi"/>
              </w:rPr>
              <w:t xml:space="preserve"> </w:t>
            </w:r>
          </w:p>
        </w:tc>
      </w:tr>
      <w:tr w:rsidR="000D3DC1" w:rsidRPr="00A54361" w14:paraId="304204DE" w14:textId="77777777" w:rsidTr="005D16B3">
        <w:trPr>
          <w:trHeight w:val="537"/>
        </w:trPr>
        <w:tc>
          <w:tcPr>
            <w:tcW w:w="715" w:type="dxa"/>
          </w:tcPr>
          <w:p w14:paraId="4780256F" w14:textId="11E9733C" w:rsidR="00A4133E" w:rsidRPr="00A54361" w:rsidRDefault="00A4133E" w:rsidP="00A54361">
            <w:pPr>
              <w:jc w:val="both"/>
              <w:rPr>
                <w:rFonts w:cstheme="minorHAnsi"/>
              </w:rPr>
            </w:pPr>
            <w:r w:rsidRPr="00A54361">
              <w:rPr>
                <w:rFonts w:cstheme="minorHAnsi"/>
              </w:rPr>
              <w:t>3</w:t>
            </w:r>
          </w:p>
        </w:tc>
        <w:tc>
          <w:tcPr>
            <w:tcW w:w="2250" w:type="dxa"/>
          </w:tcPr>
          <w:p w14:paraId="1A28DE2E" w14:textId="569DCCE4" w:rsidR="00A4133E" w:rsidRPr="00A54361" w:rsidRDefault="00A4133E" w:rsidP="00A54361">
            <w:pPr>
              <w:jc w:val="both"/>
              <w:rPr>
                <w:rFonts w:cstheme="minorHAnsi"/>
              </w:rPr>
            </w:pPr>
            <w:r w:rsidRPr="00A54361">
              <w:rPr>
                <w:rFonts w:cstheme="minorHAnsi"/>
              </w:rPr>
              <w:t xml:space="preserve">For FM    Support  </w:t>
            </w:r>
          </w:p>
        </w:tc>
        <w:tc>
          <w:tcPr>
            <w:tcW w:w="1530" w:type="dxa"/>
          </w:tcPr>
          <w:p w14:paraId="2CE04FCC" w14:textId="7C1EB4AC" w:rsidR="00A4133E" w:rsidRPr="00A54361" w:rsidRDefault="00A4133E" w:rsidP="00A54361">
            <w:pPr>
              <w:jc w:val="both"/>
              <w:rPr>
                <w:rFonts w:cstheme="minorHAnsi"/>
              </w:rPr>
            </w:pPr>
            <w:r w:rsidRPr="00A54361">
              <w:rPr>
                <w:rFonts w:cstheme="minorHAnsi"/>
              </w:rPr>
              <w:t>-</w:t>
            </w:r>
          </w:p>
        </w:tc>
        <w:tc>
          <w:tcPr>
            <w:tcW w:w="4855" w:type="dxa"/>
          </w:tcPr>
          <w:p w14:paraId="36134BF5" w14:textId="77777777" w:rsidR="00A4133E" w:rsidRPr="00A54361" w:rsidRDefault="00A4133E" w:rsidP="00A54361">
            <w:pPr>
              <w:jc w:val="both"/>
              <w:rPr>
                <w:rFonts w:cstheme="minorHAnsi"/>
              </w:rPr>
            </w:pPr>
            <w:r w:rsidRPr="00A54361">
              <w:rPr>
                <w:rFonts w:cstheme="minorHAnsi"/>
              </w:rPr>
              <w:t>Payment for on-site support charges will be</w:t>
            </w:r>
          </w:p>
          <w:p w14:paraId="34620AB8" w14:textId="1D55D6BD" w:rsidR="00A4133E" w:rsidRPr="00A54361" w:rsidRDefault="00A4133E" w:rsidP="00A54361">
            <w:pPr>
              <w:jc w:val="both"/>
              <w:rPr>
                <w:rFonts w:cstheme="minorHAnsi"/>
              </w:rPr>
            </w:pPr>
            <w:r w:rsidRPr="00A54361">
              <w:rPr>
                <w:rFonts w:cstheme="minorHAnsi"/>
              </w:rPr>
              <w:t>paid quarterly in arrears.</w:t>
            </w:r>
          </w:p>
        </w:tc>
      </w:tr>
    </w:tbl>
    <w:p w14:paraId="264A39A9" w14:textId="3E39B498" w:rsidR="00F24130" w:rsidRPr="00A54361" w:rsidRDefault="00DD20EC" w:rsidP="00A54361">
      <w:pPr>
        <w:pStyle w:val="BodyText"/>
        <w:ind w:right="116"/>
        <w:rPr>
          <w:rFonts w:asciiTheme="minorHAnsi" w:hAnsiTheme="minorHAnsi" w:cstheme="minorHAnsi"/>
          <w:spacing w:val="-1"/>
          <w:sz w:val="22"/>
          <w:szCs w:val="22"/>
        </w:rPr>
      </w:pPr>
      <w:bookmarkStart w:id="193" w:name="_Toc486345605"/>
      <w:bookmarkEnd w:id="193"/>
      <w:r w:rsidRPr="00A54361">
        <w:rPr>
          <w:rFonts w:asciiTheme="minorHAnsi" w:hAnsiTheme="minorHAnsi" w:cstheme="minorHAnsi"/>
          <w:spacing w:val="-1"/>
          <w:sz w:val="22"/>
          <w:szCs w:val="22"/>
        </w:rPr>
        <w:t xml:space="preserve"> </w:t>
      </w:r>
    </w:p>
    <w:p w14:paraId="741E470C" w14:textId="4C06BD1B" w:rsidR="00F24130" w:rsidRPr="00A54361" w:rsidRDefault="00F24130" w:rsidP="00A54361">
      <w:pPr>
        <w:pStyle w:val="Heading1"/>
        <w:numPr>
          <w:ilvl w:val="1"/>
          <w:numId w:val="50"/>
        </w:numPr>
        <w:ind w:left="1778"/>
        <w:jc w:val="both"/>
        <w:rPr>
          <w:rFonts w:asciiTheme="minorHAnsi" w:hAnsiTheme="minorHAnsi"/>
          <w:b/>
          <w:bCs/>
          <w:color w:val="auto"/>
        </w:rPr>
      </w:pPr>
      <w:bookmarkStart w:id="194" w:name="_Toc516481279"/>
      <w:bookmarkStart w:id="195" w:name="_Toc129668498"/>
      <w:bookmarkStart w:id="196" w:name="_Toc182233375"/>
      <w:r w:rsidRPr="00A54361">
        <w:rPr>
          <w:rFonts w:asciiTheme="minorHAnsi" w:hAnsiTheme="minorHAnsi"/>
          <w:b/>
          <w:bCs/>
          <w:color w:val="auto"/>
        </w:rPr>
        <w:t>AMC/ATS Payment Terms</w:t>
      </w:r>
      <w:bookmarkEnd w:id="194"/>
      <w:bookmarkEnd w:id="195"/>
      <w:bookmarkEnd w:id="196"/>
    </w:p>
    <w:p w14:paraId="1374348E" w14:textId="77777777" w:rsidR="00EA55C2" w:rsidRPr="00A54361" w:rsidRDefault="00F24130" w:rsidP="00A54361">
      <w:pPr>
        <w:pStyle w:val="ListParagraph"/>
        <w:numPr>
          <w:ilvl w:val="0"/>
          <w:numId w:val="61"/>
        </w:numPr>
        <w:spacing w:after="0"/>
        <w:jc w:val="both"/>
        <w:rPr>
          <w:rFonts w:cstheme="minorHAnsi"/>
        </w:rPr>
      </w:pPr>
      <w:r w:rsidRPr="00A54361">
        <w:rPr>
          <w:rFonts w:cstheme="minorHAnsi"/>
        </w:rPr>
        <w:t xml:space="preserve">AMC/ATS amount payable would be paid quarterly in arrears at the end of each quarter. </w:t>
      </w:r>
    </w:p>
    <w:p w14:paraId="0DC5418E" w14:textId="101A720F" w:rsidR="00203439" w:rsidRPr="00A54361" w:rsidRDefault="00F24130" w:rsidP="00A54361">
      <w:pPr>
        <w:pStyle w:val="ListParagraph"/>
        <w:numPr>
          <w:ilvl w:val="0"/>
          <w:numId w:val="61"/>
        </w:numPr>
        <w:spacing w:after="0"/>
        <w:jc w:val="both"/>
        <w:rPr>
          <w:rFonts w:cstheme="minorHAnsi"/>
        </w:rPr>
      </w:pPr>
      <w:r w:rsidRPr="00A54361">
        <w:rPr>
          <w:rFonts w:cstheme="minorHAnsi"/>
        </w:rPr>
        <w:t>First quarter for AMC/ATS payment would begin from 1</w:t>
      </w:r>
      <w:r w:rsidRPr="00A54361">
        <w:rPr>
          <w:rFonts w:cstheme="minorHAnsi"/>
          <w:vertAlign w:val="superscript"/>
        </w:rPr>
        <w:t>st</w:t>
      </w:r>
      <w:r w:rsidRPr="00A54361">
        <w:rPr>
          <w:rFonts w:cstheme="minorHAnsi"/>
        </w:rPr>
        <w:t xml:space="preserve"> of the next month of the date of completion of the warranty period.</w:t>
      </w:r>
      <w:r w:rsidR="00203439" w:rsidRPr="00A54361">
        <w:rPr>
          <w:rFonts w:cstheme="minorHAnsi"/>
        </w:rPr>
        <w:t xml:space="preserve"> </w:t>
      </w:r>
      <w:bookmarkStart w:id="197" w:name="_Toc516481280"/>
    </w:p>
    <w:p w14:paraId="21C28113" w14:textId="49722910" w:rsidR="00144F8C" w:rsidRPr="00A54361" w:rsidRDefault="00144F8C" w:rsidP="00A54361">
      <w:pPr>
        <w:pStyle w:val="ListParagraph"/>
        <w:numPr>
          <w:ilvl w:val="0"/>
          <w:numId w:val="61"/>
        </w:numPr>
        <w:spacing w:after="0"/>
        <w:jc w:val="both"/>
        <w:rPr>
          <w:rFonts w:cstheme="minorHAnsi"/>
        </w:rPr>
      </w:pPr>
      <w:r w:rsidRPr="00A54361">
        <w:rPr>
          <w:rFonts w:cstheme="minorHAnsi"/>
        </w:rPr>
        <w:t xml:space="preserve">In case bidder fails to </w:t>
      </w:r>
      <w:r w:rsidR="00A00C89" w:rsidRPr="00A54361">
        <w:rPr>
          <w:rFonts w:cstheme="minorHAnsi"/>
        </w:rPr>
        <w:t xml:space="preserve">have agreement with </w:t>
      </w:r>
      <w:r w:rsidR="00894C6D" w:rsidRPr="00A54361">
        <w:rPr>
          <w:rFonts w:cstheme="minorHAnsi"/>
        </w:rPr>
        <w:t xml:space="preserve">respective </w:t>
      </w:r>
      <w:r w:rsidR="00A00C89" w:rsidRPr="00A54361">
        <w:rPr>
          <w:rFonts w:cstheme="minorHAnsi"/>
        </w:rPr>
        <w:t>OEM</w:t>
      </w:r>
      <w:r w:rsidR="00894C6D" w:rsidRPr="00A54361">
        <w:rPr>
          <w:rFonts w:cstheme="minorHAnsi"/>
        </w:rPr>
        <w:t>’s</w:t>
      </w:r>
      <w:r w:rsidR="00A00C89" w:rsidRPr="00A54361">
        <w:rPr>
          <w:rFonts w:cstheme="minorHAnsi"/>
        </w:rPr>
        <w:t xml:space="preserve"> for </w:t>
      </w:r>
      <w:r w:rsidR="000B2EFC" w:rsidRPr="00A54361">
        <w:rPr>
          <w:rFonts w:cstheme="minorHAnsi"/>
        </w:rPr>
        <w:t>back-to-back</w:t>
      </w:r>
      <w:r w:rsidR="00A00C89" w:rsidRPr="00A54361">
        <w:rPr>
          <w:rFonts w:cstheme="minorHAnsi"/>
        </w:rPr>
        <w:t xml:space="preserve"> support after 3 years</w:t>
      </w:r>
      <w:r w:rsidR="001B2C72" w:rsidRPr="00A54361">
        <w:rPr>
          <w:rFonts w:cstheme="minorHAnsi"/>
        </w:rPr>
        <w:t xml:space="preserve"> for hardware</w:t>
      </w:r>
      <w:r w:rsidR="00057A6E" w:rsidRPr="00A54361">
        <w:rPr>
          <w:rFonts w:cstheme="minorHAnsi"/>
        </w:rPr>
        <w:t xml:space="preserve"> post warranty</w:t>
      </w:r>
      <w:r w:rsidR="001B2C72" w:rsidRPr="00A54361">
        <w:rPr>
          <w:rFonts w:cstheme="minorHAnsi"/>
        </w:rPr>
        <w:t xml:space="preserve"> and </w:t>
      </w:r>
      <w:r w:rsidR="00894C6D" w:rsidRPr="00A54361">
        <w:rPr>
          <w:rFonts w:cstheme="minorHAnsi"/>
        </w:rPr>
        <w:t xml:space="preserve">for </w:t>
      </w:r>
      <w:r w:rsidR="001B2C72" w:rsidRPr="00A54361">
        <w:rPr>
          <w:rFonts w:cstheme="minorHAnsi"/>
        </w:rPr>
        <w:t>1 year for software</w:t>
      </w:r>
      <w:r w:rsidR="00057A6E" w:rsidRPr="00A54361">
        <w:rPr>
          <w:rFonts w:cstheme="minorHAnsi"/>
        </w:rPr>
        <w:t xml:space="preserve"> post warranty</w:t>
      </w:r>
      <w:r w:rsidR="001B2C72" w:rsidRPr="00A54361">
        <w:rPr>
          <w:rFonts w:cstheme="minorHAnsi"/>
        </w:rPr>
        <w:t xml:space="preserve">, the bank reserves the right to </w:t>
      </w:r>
      <w:r w:rsidR="00A73352" w:rsidRPr="00A54361">
        <w:rPr>
          <w:rFonts w:cstheme="minorHAnsi"/>
        </w:rPr>
        <w:t>not make any</w:t>
      </w:r>
      <w:r w:rsidR="003E12DB" w:rsidRPr="00A54361">
        <w:rPr>
          <w:rFonts w:cstheme="minorHAnsi"/>
        </w:rPr>
        <w:t xml:space="preserve"> payment for the duration </w:t>
      </w:r>
      <w:r w:rsidR="001B779D" w:rsidRPr="00A54361">
        <w:rPr>
          <w:rFonts w:cstheme="minorHAnsi"/>
        </w:rPr>
        <w:t xml:space="preserve">for </w:t>
      </w:r>
      <w:r w:rsidR="003E12DB" w:rsidRPr="00A54361">
        <w:rPr>
          <w:rFonts w:cstheme="minorHAnsi"/>
        </w:rPr>
        <w:t>which</w:t>
      </w:r>
      <w:r w:rsidR="00487D55" w:rsidRPr="00A54361">
        <w:rPr>
          <w:rFonts w:cstheme="minorHAnsi"/>
        </w:rPr>
        <w:t xml:space="preserve"> Bidder was unable to </w:t>
      </w:r>
      <w:r w:rsidR="00BD72B0" w:rsidRPr="00A54361">
        <w:rPr>
          <w:rFonts w:cstheme="minorHAnsi"/>
        </w:rPr>
        <w:t>produce</w:t>
      </w:r>
      <w:r w:rsidR="00257E30" w:rsidRPr="00A54361">
        <w:rPr>
          <w:rFonts w:cstheme="minorHAnsi"/>
        </w:rPr>
        <w:t xml:space="preserve"> the</w:t>
      </w:r>
      <w:r w:rsidR="003E12DB" w:rsidRPr="00A54361">
        <w:rPr>
          <w:rFonts w:cstheme="minorHAnsi"/>
        </w:rPr>
        <w:t xml:space="preserve"> back-to</w:t>
      </w:r>
      <w:r w:rsidR="00ED0EE3" w:rsidRPr="00A54361">
        <w:rPr>
          <w:rFonts w:cstheme="minorHAnsi"/>
        </w:rPr>
        <w:t xml:space="preserve">-back </w:t>
      </w:r>
      <w:r w:rsidR="002D701F" w:rsidRPr="00A54361">
        <w:rPr>
          <w:rFonts w:cstheme="minorHAnsi"/>
        </w:rPr>
        <w:t>agreement</w:t>
      </w:r>
      <w:r w:rsidR="00ED0EE3" w:rsidRPr="00A54361">
        <w:rPr>
          <w:rFonts w:cstheme="minorHAnsi"/>
        </w:rPr>
        <w:t xml:space="preserve"> </w:t>
      </w:r>
      <w:r w:rsidR="00BD72B0" w:rsidRPr="00A54361">
        <w:rPr>
          <w:rFonts w:cstheme="minorHAnsi"/>
        </w:rPr>
        <w:t xml:space="preserve">with the </w:t>
      </w:r>
      <w:r w:rsidR="00ED0EE3" w:rsidRPr="00A54361">
        <w:rPr>
          <w:rFonts w:cstheme="minorHAnsi"/>
        </w:rPr>
        <w:t>respective OEM</w:t>
      </w:r>
      <w:r w:rsidR="00257E30" w:rsidRPr="00A54361">
        <w:rPr>
          <w:rFonts w:cstheme="minorHAnsi"/>
        </w:rPr>
        <w:t xml:space="preserve"> to the Bank</w:t>
      </w:r>
      <w:r w:rsidR="00BD72B0" w:rsidRPr="00A54361">
        <w:rPr>
          <w:rFonts w:cstheme="minorHAnsi"/>
        </w:rPr>
        <w:t>.</w:t>
      </w:r>
    </w:p>
    <w:p w14:paraId="7412AA3C" w14:textId="169C5847" w:rsidR="00F24130" w:rsidRPr="00A54361" w:rsidRDefault="00F24130" w:rsidP="00A54361">
      <w:pPr>
        <w:pStyle w:val="Heading1"/>
        <w:numPr>
          <w:ilvl w:val="0"/>
          <w:numId w:val="48"/>
        </w:numPr>
        <w:jc w:val="both"/>
        <w:rPr>
          <w:rFonts w:asciiTheme="minorHAnsi" w:hAnsiTheme="minorHAnsi" w:cstheme="minorHAnsi"/>
          <w:color w:val="auto"/>
        </w:rPr>
      </w:pPr>
      <w:bookmarkStart w:id="198" w:name="_Toc182233376"/>
      <w:r w:rsidRPr="00A54361">
        <w:rPr>
          <w:rFonts w:asciiTheme="minorHAnsi" w:hAnsiTheme="minorHAnsi" w:cstheme="minorHAnsi"/>
          <w:color w:val="auto"/>
        </w:rPr>
        <w:t>AMC &amp; ATS and Warranty Costs</w:t>
      </w:r>
      <w:bookmarkEnd w:id="197"/>
      <w:bookmarkEnd w:id="198"/>
    </w:p>
    <w:p w14:paraId="0B19B391" w14:textId="7AFC15E2" w:rsidR="00F24130" w:rsidRPr="00A54361" w:rsidRDefault="00F24130" w:rsidP="00A54361">
      <w:pPr>
        <w:jc w:val="both"/>
        <w:rPr>
          <w:rFonts w:cstheme="minorHAnsi"/>
        </w:rPr>
      </w:pPr>
      <w:r w:rsidRPr="00A54361">
        <w:rPr>
          <w:rFonts w:cstheme="minorHAnsi"/>
        </w:rPr>
        <w:t xml:space="preserve">Bidder shall provide the maintenance (Warranty, AMC &amp; ATS) for a period of five years from the date of </w:t>
      </w:r>
      <w:r w:rsidR="00205589" w:rsidRPr="00A54361">
        <w:rPr>
          <w:rFonts w:cstheme="minorHAnsi"/>
        </w:rPr>
        <w:t>successful installation</w:t>
      </w:r>
      <w:r w:rsidR="00715128" w:rsidRPr="00A54361">
        <w:rPr>
          <w:rFonts w:cstheme="minorHAnsi"/>
        </w:rPr>
        <w:t xml:space="preserve"> of the product in CB</w:t>
      </w:r>
      <w:r w:rsidR="0096788E" w:rsidRPr="00A54361">
        <w:rPr>
          <w:rFonts w:cstheme="minorHAnsi"/>
        </w:rPr>
        <w:t>o</w:t>
      </w:r>
      <w:r w:rsidR="00715128" w:rsidRPr="00A54361">
        <w:rPr>
          <w:rFonts w:cstheme="minorHAnsi"/>
        </w:rPr>
        <w:t>I</w:t>
      </w:r>
      <w:r w:rsidRPr="00A54361">
        <w:rPr>
          <w:rFonts w:cstheme="minorHAnsi"/>
        </w:rPr>
        <w:t xml:space="preserve">. Warranty period for the new components should be for the first three years for which the cost should be factored in the Product cost and AMC/ATS shall be factored for the subsequent two years. Bidder must factor the costs in the Bill of Material accordingly. As part of warranty, AMC &amp; ATS support the Bidder </w:t>
      </w:r>
      <w:r w:rsidR="009B1FF9" w:rsidRPr="00A54361">
        <w:rPr>
          <w:rFonts w:cstheme="minorHAnsi"/>
        </w:rPr>
        <w:t>must</w:t>
      </w:r>
      <w:r w:rsidRPr="00A54361">
        <w:rPr>
          <w:rFonts w:cstheme="minorHAnsi"/>
        </w:rPr>
        <w:t>:</w:t>
      </w:r>
    </w:p>
    <w:p w14:paraId="740A6736" w14:textId="7F18EF42" w:rsidR="00F24130" w:rsidRPr="00A54361" w:rsidRDefault="00F24130" w:rsidP="00A54361">
      <w:pPr>
        <w:pStyle w:val="ListParagraph"/>
        <w:numPr>
          <w:ilvl w:val="0"/>
          <w:numId w:val="47"/>
        </w:numPr>
        <w:jc w:val="both"/>
        <w:rPr>
          <w:rFonts w:cstheme="minorHAnsi"/>
        </w:rPr>
      </w:pPr>
      <w:r w:rsidRPr="00A54361">
        <w:rPr>
          <w:rFonts w:cstheme="minorHAnsi"/>
        </w:rPr>
        <w:t xml:space="preserve">Provide on-site comprehensive support for </w:t>
      </w:r>
      <w:r w:rsidR="003E66AB" w:rsidRPr="00A54361">
        <w:rPr>
          <w:rFonts w:cstheme="minorHAnsi"/>
        </w:rPr>
        <w:t>Cyber Security Solutions</w:t>
      </w:r>
      <w:r w:rsidR="00E86DED" w:rsidRPr="00A54361">
        <w:rPr>
          <w:rFonts w:cstheme="minorHAnsi"/>
        </w:rPr>
        <w:t xml:space="preserve"> and associated hardware</w:t>
      </w:r>
      <w:r w:rsidR="003E66AB" w:rsidRPr="00A54361">
        <w:rPr>
          <w:rFonts w:cstheme="minorHAnsi"/>
        </w:rPr>
        <w:t xml:space="preserve"> </w:t>
      </w:r>
      <w:r w:rsidRPr="00A54361">
        <w:rPr>
          <w:rFonts w:cstheme="minorHAnsi"/>
        </w:rPr>
        <w:t>provided as part of this RFP</w:t>
      </w:r>
    </w:p>
    <w:p w14:paraId="4E2682E5" w14:textId="77777777" w:rsidR="00F24130" w:rsidRPr="00A54361" w:rsidRDefault="00F24130" w:rsidP="00A54361">
      <w:pPr>
        <w:pStyle w:val="ListParagraph"/>
        <w:numPr>
          <w:ilvl w:val="0"/>
          <w:numId w:val="47"/>
        </w:numPr>
        <w:jc w:val="both"/>
        <w:rPr>
          <w:rFonts w:cstheme="minorHAnsi"/>
        </w:rPr>
      </w:pPr>
      <w:r w:rsidRPr="00A54361">
        <w:rPr>
          <w:rFonts w:cstheme="minorHAnsi"/>
        </w:rPr>
        <w:t>Have back-to-back arrangements with respective OEMs for the maintenance services</w:t>
      </w:r>
    </w:p>
    <w:p w14:paraId="367863D5" w14:textId="77777777" w:rsidR="00F24130" w:rsidRPr="00A54361" w:rsidRDefault="00F24130" w:rsidP="00A54361">
      <w:pPr>
        <w:pStyle w:val="ListParagraph"/>
        <w:jc w:val="both"/>
        <w:rPr>
          <w:rFonts w:cstheme="minorHAnsi"/>
        </w:rPr>
      </w:pPr>
      <w:r w:rsidRPr="00A54361">
        <w:rPr>
          <w:rFonts w:cstheme="minorHAnsi"/>
        </w:rPr>
        <w:t>(Warranty/AMC/ATS)</w:t>
      </w:r>
    </w:p>
    <w:p w14:paraId="439AB7A6" w14:textId="7B1611CF" w:rsidR="00F24130" w:rsidRPr="00A54361" w:rsidRDefault="00F24130" w:rsidP="00A54361">
      <w:pPr>
        <w:pStyle w:val="ListParagraph"/>
        <w:numPr>
          <w:ilvl w:val="0"/>
          <w:numId w:val="47"/>
        </w:numPr>
        <w:jc w:val="both"/>
        <w:rPr>
          <w:rFonts w:cstheme="minorHAnsi"/>
        </w:rPr>
      </w:pPr>
      <w:r w:rsidRPr="00A54361">
        <w:rPr>
          <w:rFonts w:cstheme="minorHAnsi"/>
        </w:rPr>
        <w:lastRenderedPageBreak/>
        <w:t xml:space="preserve">Warrant all the </w:t>
      </w:r>
      <w:r w:rsidR="003E66AB" w:rsidRPr="00A54361">
        <w:rPr>
          <w:rFonts w:cstheme="minorHAnsi"/>
        </w:rPr>
        <w:t>Cyber Security Solutions</w:t>
      </w:r>
      <w:r w:rsidR="00E86DED" w:rsidRPr="00A54361">
        <w:rPr>
          <w:rFonts w:cstheme="minorHAnsi"/>
        </w:rPr>
        <w:t xml:space="preserve"> and associated hardware</w:t>
      </w:r>
      <w:r w:rsidR="003E66AB" w:rsidRPr="00A54361">
        <w:rPr>
          <w:rFonts w:cstheme="minorHAnsi"/>
        </w:rPr>
        <w:t xml:space="preserve"> </w:t>
      </w:r>
      <w:r w:rsidRPr="00A54361">
        <w:rPr>
          <w:rFonts w:cstheme="minorHAnsi"/>
        </w:rPr>
        <w:t xml:space="preserve">against defects arising out of faulty design, </w:t>
      </w:r>
      <w:r w:rsidR="009B1FF9" w:rsidRPr="00A54361">
        <w:rPr>
          <w:rFonts w:cstheme="minorHAnsi"/>
        </w:rPr>
        <w:t>materials,</w:t>
      </w:r>
      <w:r w:rsidRPr="00A54361">
        <w:rPr>
          <w:rFonts w:cstheme="minorHAnsi"/>
        </w:rPr>
        <w:t xml:space="preserve"> and media workmanship etc., for a period of five years from the date of acceptance of the </w:t>
      </w:r>
      <w:r w:rsidR="003E66AB" w:rsidRPr="00A54361">
        <w:rPr>
          <w:rFonts w:cstheme="minorHAnsi"/>
        </w:rPr>
        <w:t>Cyber Security Solutions</w:t>
      </w:r>
    </w:p>
    <w:p w14:paraId="218429E8" w14:textId="5E1A1E44" w:rsidR="00F24130" w:rsidRPr="00A54361" w:rsidRDefault="00F24130" w:rsidP="00A54361">
      <w:pPr>
        <w:pStyle w:val="ListParagraph"/>
        <w:numPr>
          <w:ilvl w:val="0"/>
          <w:numId w:val="47"/>
        </w:numPr>
        <w:jc w:val="both"/>
        <w:rPr>
          <w:rFonts w:cstheme="minorHAnsi"/>
        </w:rPr>
      </w:pPr>
      <w:r w:rsidRPr="00A54361">
        <w:rPr>
          <w:rFonts w:cstheme="minorHAnsi"/>
        </w:rPr>
        <w:t>Provide main</w:t>
      </w:r>
      <w:r w:rsidR="00E719BD" w:rsidRPr="00A54361">
        <w:rPr>
          <w:rFonts w:cstheme="minorHAnsi"/>
        </w:rPr>
        <w:t xml:space="preserve">tenance of </w:t>
      </w:r>
      <w:r w:rsidR="00BD3D1C" w:rsidRPr="00A54361">
        <w:rPr>
          <w:rFonts w:cstheme="minorHAnsi"/>
        </w:rPr>
        <w:t>Cyber Security Solutions</w:t>
      </w:r>
      <w:r w:rsidR="001A16A6" w:rsidRPr="00A54361">
        <w:rPr>
          <w:rFonts w:cstheme="minorHAnsi"/>
        </w:rPr>
        <w:t xml:space="preserve"> </w:t>
      </w:r>
      <w:r w:rsidR="00FF22BC" w:rsidRPr="00A54361">
        <w:rPr>
          <w:rFonts w:cstheme="minorHAnsi"/>
        </w:rPr>
        <w:t>hardware</w:t>
      </w:r>
      <w:r w:rsidR="00BD3D1C" w:rsidRPr="00A54361">
        <w:rPr>
          <w:rFonts w:cstheme="minorHAnsi"/>
        </w:rPr>
        <w:t xml:space="preserve"> </w:t>
      </w:r>
      <w:r w:rsidRPr="00A54361">
        <w:rPr>
          <w:rFonts w:cstheme="minorHAnsi"/>
        </w:rPr>
        <w:t xml:space="preserve">as well as repair or replacement activity after </w:t>
      </w:r>
      <w:r w:rsidR="00E719BD" w:rsidRPr="00A54361">
        <w:rPr>
          <w:rFonts w:cstheme="minorHAnsi"/>
        </w:rPr>
        <w:t xml:space="preserve">hardware </w:t>
      </w:r>
      <w:r w:rsidRPr="00A54361">
        <w:rPr>
          <w:rFonts w:cstheme="minorHAnsi"/>
        </w:rPr>
        <w:t>problem has occurred. If the supplied equipment are to be replaced permanently due to the Bidder’s inability to provide spares or maintain the equipment, the Bidder shall replace the equipment of same make/ model/configuration or of higher configuration</w:t>
      </w:r>
      <w:r w:rsidR="001635D9" w:rsidRPr="00A54361">
        <w:rPr>
          <w:rFonts w:cstheme="minorHAnsi"/>
        </w:rPr>
        <w:t xml:space="preserve"> at no extra cost to the Bank</w:t>
      </w:r>
      <w:r w:rsidRPr="00A54361">
        <w:rPr>
          <w:rFonts w:cstheme="minorHAnsi"/>
        </w:rPr>
        <w:t>. However, the Bank may accept different make/model/ configuration at</w:t>
      </w:r>
      <w:r w:rsidRPr="00A54361">
        <w:rPr>
          <w:rFonts w:cstheme="minorHAnsi"/>
          <w:sz w:val="24"/>
          <w:szCs w:val="24"/>
        </w:rPr>
        <w:t xml:space="preserve"> </w:t>
      </w:r>
      <w:r w:rsidRPr="00A54361">
        <w:rPr>
          <w:rFonts w:cstheme="minorHAnsi"/>
        </w:rPr>
        <w:t>its discretion, if the original make/model/ configurations are not available in the market due to obsolescence or technological up gradation</w:t>
      </w:r>
    </w:p>
    <w:p w14:paraId="66487183" w14:textId="12BC7003" w:rsidR="00F24130" w:rsidRPr="00A54361" w:rsidRDefault="00F24130" w:rsidP="00A54361">
      <w:pPr>
        <w:pStyle w:val="ListParagraph"/>
        <w:numPr>
          <w:ilvl w:val="0"/>
          <w:numId w:val="47"/>
        </w:numPr>
        <w:jc w:val="both"/>
        <w:rPr>
          <w:rFonts w:cstheme="minorHAnsi"/>
        </w:rPr>
      </w:pPr>
      <w:r w:rsidRPr="00A54361">
        <w:rPr>
          <w:rFonts w:cstheme="minorHAnsi"/>
        </w:rPr>
        <w:t xml:space="preserve">Provide support services like repair, replacement to resolve the problem as per the service levels </w:t>
      </w:r>
      <w:r w:rsidR="009B1FF9" w:rsidRPr="00A54361">
        <w:rPr>
          <w:rFonts w:cstheme="minorHAnsi"/>
        </w:rPr>
        <w:t>defined in this RFP.</w:t>
      </w:r>
    </w:p>
    <w:p w14:paraId="04378C54" w14:textId="08720023" w:rsidR="00F24130" w:rsidRPr="00A54361" w:rsidRDefault="00F24130" w:rsidP="00A54361">
      <w:pPr>
        <w:pStyle w:val="ListParagraph"/>
        <w:numPr>
          <w:ilvl w:val="0"/>
          <w:numId w:val="47"/>
        </w:numPr>
        <w:jc w:val="both"/>
        <w:rPr>
          <w:rFonts w:cstheme="minorHAnsi"/>
        </w:rPr>
      </w:pPr>
      <w:r w:rsidRPr="00A54361">
        <w:rPr>
          <w:rFonts w:cstheme="minorHAnsi"/>
        </w:rPr>
        <w:t xml:space="preserve">Defective </w:t>
      </w:r>
      <w:r w:rsidR="00E1317C" w:rsidRPr="00A54361">
        <w:rPr>
          <w:rFonts w:cstheme="minorHAnsi"/>
        </w:rPr>
        <w:t>Cyber Security Solutions</w:t>
      </w:r>
      <w:r w:rsidR="001A16A6" w:rsidRPr="00A54361">
        <w:rPr>
          <w:rFonts w:cstheme="minorHAnsi"/>
        </w:rPr>
        <w:t xml:space="preserve"> hardware</w:t>
      </w:r>
      <w:r w:rsidR="00E1317C" w:rsidRPr="00A54361">
        <w:rPr>
          <w:rFonts w:cstheme="minorHAnsi"/>
        </w:rPr>
        <w:t xml:space="preserve"> </w:t>
      </w:r>
      <w:r w:rsidRPr="00A54361">
        <w:rPr>
          <w:rFonts w:cstheme="minorHAnsi"/>
        </w:rPr>
        <w:t>shall be replaced by the Bidder at his own cost, including the cost of transport etc. The Bidder shall not charge the Bank any extra charges related to this activity during the period of contract.</w:t>
      </w:r>
    </w:p>
    <w:p w14:paraId="620F2EE8" w14:textId="15A85BED" w:rsidR="00F24130" w:rsidRPr="00A54361" w:rsidRDefault="00F24130" w:rsidP="00A54361">
      <w:pPr>
        <w:pStyle w:val="ListParagraph"/>
        <w:numPr>
          <w:ilvl w:val="0"/>
          <w:numId w:val="47"/>
        </w:numPr>
        <w:jc w:val="both"/>
        <w:rPr>
          <w:rFonts w:cstheme="minorHAnsi"/>
        </w:rPr>
      </w:pPr>
      <w:r w:rsidRPr="00A54361">
        <w:rPr>
          <w:rFonts w:cstheme="minorHAnsi"/>
        </w:rPr>
        <w:t xml:space="preserve">Bidder may provide adequate spares for the critical components of the </w:t>
      </w:r>
      <w:r w:rsidR="00E1317C" w:rsidRPr="00A54361">
        <w:rPr>
          <w:rFonts w:cstheme="minorHAnsi"/>
        </w:rPr>
        <w:t>Cyber Security Solutions</w:t>
      </w:r>
      <w:r w:rsidR="00E86DED" w:rsidRPr="00A54361">
        <w:rPr>
          <w:rFonts w:cstheme="minorHAnsi"/>
        </w:rPr>
        <w:t xml:space="preserve"> and associated hardware</w:t>
      </w:r>
      <w:r w:rsidR="00E1317C" w:rsidRPr="00A54361">
        <w:rPr>
          <w:rFonts w:cstheme="minorHAnsi"/>
        </w:rPr>
        <w:t xml:space="preserve"> </w:t>
      </w:r>
      <w:r w:rsidRPr="00A54361">
        <w:rPr>
          <w:rFonts w:cstheme="minorHAnsi"/>
        </w:rPr>
        <w:t>to meet the SLA.</w:t>
      </w:r>
    </w:p>
    <w:p w14:paraId="511009E3" w14:textId="4E727D67" w:rsidR="005C10ED" w:rsidRPr="00A54361" w:rsidRDefault="005C10ED" w:rsidP="00A54361">
      <w:pPr>
        <w:pStyle w:val="ListParagraph"/>
        <w:numPr>
          <w:ilvl w:val="0"/>
          <w:numId w:val="47"/>
        </w:numPr>
        <w:jc w:val="both"/>
        <w:rPr>
          <w:rFonts w:cstheme="minorHAnsi"/>
        </w:rPr>
      </w:pPr>
      <w:r w:rsidRPr="00A54361">
        <w:rPr>
          <w:rFonts w:cstheme="minorHAnsi"/>
        </w:rPr>
        <w:t>Provide expert person for onsite support during DR Drills / cyber drills / attack simulation exercises / audit etc as required by the Bank.</w:t>
      </w:r>
    </w:p>
    <w:p w14:paraId="1403204C" w14:textId="42B6E5DE" w:rsidR="00F24130" w:rsidRPr="00A54361" w:rsidRDefault="001635D9" w:rsidP="00A54361">
      <w:pPr>
        <w:pStyle w:val="ListParagraph"/>
        <w:numPr>
          <w:ilvl w:val="0"/>
          <w:numId w:val="47"/>
        </w:numPr>
        <w:jc w:val="both"/>
        <w:rPr>
          <w:rFonts w:cstheme="minorHAnsi"/>
        </w:rPr>
      </w:pPr>
      <w:r w:rsidRPr="00A54361">
        <w:rPr>
          <w:rFonts w:cstheme="minorHAnsi"/>
        </w:rPr>
        <w:t>T</w:t>
      </w:r>
      <w:r w:rsidR="00F24130" w:rsidRPr="00A54361">
        <w:rPr>
          <w:rFonts w:cstheme="minorHAnsi"/>
        </w:rPr>
        <w:t>he Bank will not be liable to pay any additional amounts in respect of any sort of maintenance covered under the scope of this tender during the tenure of the contract. Free on-site maintenance services shall be provided by Bidder during the period of warranty</w:t>
      </w:r>
    </w:p>
    <w:p w14:paraId="56FAB1B0" w14:textId="4AC64BD0" w:rsidR="00F24130" w:rsidRPr="00A54361" w:rsidRDefault="001635D9" w:rsidP="00A54361">
      <w:pPr>
        <w:pStyle w:val="ListParagraph"/>
        <w:numPr>
          <w:ilvl w:val="0"/>
          <w:numId w:val="47"/>
        </w:numPr>
        <w:jc w:val="both"/>
        <w:rPr>
          <w:rFonts w:cstheme="minorHAnsi"/>
        </w:rPr>
      </w:pPr>
      <w:r w:rsidRPr="00A54361">
        <w:rPr>
          <w:rFonts w:cstheme="minorHAnsi"/>
        </w:rPr>
        <w:t xml:space="preserve">Bidder should </w:t>
      </w:r>
      <w:r w:rsidR="00E719BD" w:rsidRPr="00A54361">
        <w:rPr>
          <w:rFonts w:cstheme="minorHAnsi"/>
        </w:rPr>
        <w:t>undertake</w:t>
      </w:r>
      <w:r w:rsidR="00F24130" w:rsidRPr="00A54361">
        <w:rPr>
          <w:rFonts w:cstheme="minorHAnsi"/>
        </w:rPr>
        <w:t xml:space="preserve"> system maintenance and replacement or repair of defective </w:t>
      </w:r>
      <w:r w:rsidR="00214204" w:rsidRPr="00A54361">
        <w:rPr>
          <w:rFonts w:cstheme="minorHAnsi"/>
        </w:rPr>
        <w:t>Cyber Security Solutions</w:t>
      </w:r>
      <w:r w:rsidR="001A16A6" w:rsidRPr="00A54361">
        <w:rPr>
          <w:rFonts w:cstheme="minorHAnsi"/>
        </w:rPr>
        <w:t xml:space="preserve"> hardware</w:t>
      </w:r>
      <w:r w:rsidRPr="00A54361">
        <w:rPr>
          <w:rFonts w:cstheme="minorHAnsi"/>
        </w:rPr>
        <w:t>.</w:t>
      </w:r>
    </w:p>
    <w:p w14:paraId="3D75C305" w14:textId="77777777" w:rsidR="00F24130" w:rsidRPr="00A54361" w:rsidRDefault="00F24130" w:rsidP="00A54361">
      <w:pPr>
        <w:pStyle w:val="ListParagraph"/>
        <w:numPr>
          <w:ilvl w:val="0"/>
          <w:numId w:val="47"/>
        </w:numPr>
        <w:jc w:val="both"/>
        <w:rPr>
          <w:rFonts w:cstheme="minorHAnsi"/>
        </w:rPr>
      </w:pPr>
      <w:r w:rsidRPr="00A54361">
        <w:rPr>
          <w:rFonts w:cstheme="minorHAnsi"/>
        </w:rPr>
        <w:t>In case equipment taken away for repairs, Bidder shall provide similar standby equipment so that the equipment can be put to use in the absence of the originals/ replacements without disrupting the Bank’s regular work</w:t>
      </w:r>
    </w:p>
    <w:p w14:paraId="69C7706E" w14:textId="77777777" w:rsidR="00F24130" w:rsidRPr="00A54361" w:rsidRDefault="00F24130" w:rsidP="00A54361">
      <w:pPr>
        <w:pStyle w:val="ListParagraph"/>
        <w:numPr>
          <w:ilvl w:val="0"/>
          <w:numId w:val="47"/>
        </w:numPr>
        <w:jc w:val="both"/>
        <w:rPr>
          <w:rFonts w:cstheme="minorHAnsi"/>
        </w:rPr>
      </w:pPr>
      <w:r w:rsidRPr="00A54361">
        <w:rPr>
          <w:rFonts w:cstheme="minorHAnsi"/>
        </w:rPr>
        <w:t>If during operation, the down time of any piece of equipment or component thereof does not prove to be within reasonable period, Bidder shall replace the unit of component with another of the same performance and quality or higher, at no cost to the Bank</w:t>
      </w:r>
    </w:p>
    <w:p w14:paraId="23310F18" w14:textId="4CCF616C" w:rsidR="00F24130" w:rsidRPr="00A54361" w:rsidRDefault="00F24130" w:rsidP="00A54361">
      <w:pPr>
        <w:pStyle w:val="ListParagraph"/>
        <w:numPr>
          <w:ilvl w:val="0"/>
          <w:numId w:val="47"/>
        </w:numPr>
        <w:jc w:val="both"/>
        <w:rPr>
          <w:rFonts w:cstheme="minorHAnsi"/>
        </w:rPr>
      </w:pPr>
      <w:r w:rsidRPr="00A54361">
        <w:rPr>
          <w:rFonts w:cstheme="minorHAnsi"/>
        </w:rPr>
        <w:t xml:space="preserve">Further provided that the Bank may, during the contract, shift the goods wholly or in part to other location(s) within the Country and in such case the Bidder </w:t>
      </w:r>
      <w:r w:rsidR="00506AE2" w:rsidRPr="00A54361">
        <w:rPr>
          <w:rFonts w:cstheme="minorHAnsi"/>
        </w:rPr>
        <w:t>undertakes to</w:t>
      </w:r>
      <w:r w:rsidRPr="00A54361">
        <w:rPr>
          <w:rFonts w:cstheme="minorHAnsi"/>
        </w:rPr>
        <w:t xml:space="preserve"> continue to warrant or maintain the goods at the new location without any other additional cost to the Bank</w:t>
      </w:r>
    </w:p>
    <w:p w14:paraId="2C1CCB1C" w14:textId="77777777" w:rsidR="00F24130" w:rsidRPr="00A54361" w:rsidRDefault="00F24130" w:rsidP="00A54361">
      <w:pPr>
        <w:pStyle w:val="ListParagraph"/>
        <w:numPr>
          <w:ilvl w:val="0"/>
          <w:numId w:val="47"/>
        </w:numPr>
        <w:jc w:val="both"/>
        <w:rPr>
          <w:rFonts w:cstheme="minorHAnsi"/>
        </w:rPr>
      </w:pPr>
      <w:r w:rsidRPr="00A54361">
        <w:rPr>
          <w:rFonts w:cstheme="minorHAnsi"/>
        </w:rPr>
        <w:t>In case the Bank desires to get the services delivered by their appointed Bidder or System Integrator, then the OEM shall transfer such services to that preferred Bidder at no additional cost to the Bank.</w:t>
      </w:r>
    </w:p>
    <w:p w14:paraId="67A8BE45" w14:textId="78BFA677" w:rsidR="00F24130" w:rsidRPr="00A54361" w:rsidRDefault="00F24130" w:rsidP="00A54361">
      <w:pPr>
        <w:pStyle w:val="ListParagraph"/>
        <w:numPr>
          <w:ilvl w:val="0"/>
          <w:numId w:val="47"/>
        </w:numPr>
        <w:jc w:val="both"/>
        <w:rPr>
          <w:rFonts w:cstheme="minorHAnsi"/>
        </w:rPr>
      </w:pPr>
      <w:r w:rsidRPr="00A54361">
        <w:rPr>
          <w:rFonts w:cstheme="minorHAnsi"/>
        </w:rPr>
        <w:t xml:space="preserve">In case of any issue with </w:t>
      </w:r>
      <w:r w:rsidR="008F2948" w:rsidRPr="00A54361">
        <w:rPr>
          <w:rFonts w:cstheme="minorHAnsi"/>
        </w:rPr>
        <w:t>Cyber Security Solutions</w:t>
      </w:r>
      <w:r w:rsidR="005B5497" w:rsidRPr="00A54361">
        <w:rPr>
          <w:rFonts w:cstheme="minorHAnsi"/>
        </w:rPr>
        <w:t xml:space="preserve"> and associated hardware</w:t>
      </w:r>
      <w:r w:rsidRPr="00A54361">
        <w:rPr>
          <w:rFonts w:cstheme="minorHAnsi"/>
        </w:rPr>
        <w:t xml:space="preserve"> supplied by Bidder, Bank shall log a call with Bidder (who has supplied the </w:t>
      </w:r>
      <w:r w:rsidR="007C499F" w:rsidRPr="00A54361">
        <w:rPr>
          <w:rFonts w:cstheme="minorHAnsi"/>
        </w:rPr>
        <w:t>Cyber Security Solutions</w:t>
      </w:r>
      <w:r w:rsidRPr="00A54361">
        <w:rPr>
          <w:rFonts w:cstheme="minorHAnsi"/>
        </w:rPr>
        <w:t>) it is responsibility of Bidder to resolve the issue with the assistance of the OEM i</w:t>
      </w:r>
      <w:r w:rsidR="00566537" w:rsidRPr="00A54361">
        <w:rPr>
          <w:rFonts w:cstheme="minorHAnsi"/>
        </w:rPr>
        <w:t>f</w:t>
      </w:r>
      <w:r w:rsidRPr="00A54361">
        <w:rPr>
          <w:rFonts w:cstheme="minorHAnsi"/>
        </w:rPr>
        <w:t xml:space="preserve"> deemed necessary. The Bank or its appointed System Integrator shall promptly notify Bidder in writing/e-mail of any claims arising under the maintenance services</w:t>
      </w:r>
      <w:r w:rsidR="004F0A95" w:rsidRPr="00A54361">
        <w:rPr>
          <w:rFonts w:cstheme="minorHAnsi"/>
        </w:rPr>
        <w:t>.</w:t>
      </w:r>
    </w:p>
    <w:p w14:paraId="4F9859BF" w14:textId="488E9D3F" w:rsidR="00F24130" w:rsidRPr="00A54361" w:rsidRDefault="00F24130" w:rsidP="00A54361">
      <w:pPr>
        <w:pStyle w:val="ListParagraph"/>
        <w:numPr>
          <w:ilvl w:val="0"/>
          <w:numId w:val="47"/>
        </w:numPr>
        <w:jc w:val="both"/>
        <w:rPr>
          <w:rFonts w:cstheme="minorHAnsi"/>
        </w:rPr>
      </w:pPr>
      <w:r w:rsidRPr="00A54361">
        <w:rPr>
          <w:rFonts w:cstheme="minorHAnsi"/>
        </w:rPr>
        <w:t xml:space="preserve">Provide all future software upgrades and patches for all components of the solution and assist the Bank or its System Integrator to install the </w:t>
      </w:r>
      <w:r w:rsidR="00023615" w:rsidRPr="00A54361">
        <w:rPr>
          <w:rFonts w:cstheme="minorHAnsi"/>
        </w:rPr>
        <w:t>same if</w:t>
      </w:r>
      <w:r w:rsidRPr="00A54361">
        <w:rPr>
          <w:rFonts w:cstheme="minorHAnsi"/>
        </w:rPr>
        <w:t xml:space="preserve"> Bank desires during period of </w:t>
      </w:r>
      <w:r w:rsidR="00C40519" w:rsidRPr="00A54361">
        <w:rPr>
          <w:rFonts w:cstheme="minorHAnsi"/>
        </w:rPr>
        <w:t xml:space="preserve">contract at </w:t>
      </w:r>
      <w:r w:rsidRPr="00A54361">
        <w:rPr>
          <w:rFonts w:cstheme="minorHAnsi"/>
        </w:rPr>
        <w:t>free of cost.</w:t>
      </w:r>
    </w:p>
    <w:p w14:paraId="22B7D7D2" w14:textId="77777777" w:rsidR="00F24130" w:rsidRPr="00A54361" w:rsidRDefault="00F24130" w:rsidP="00A54361">
      <w:pPr>
        <w:pStyle w:val="ListParagraph"/>
        <w:numPr>
          <w:ilvl w:val="0"/>
          <w:numId w:val="47"/>
        </w:numPr>
        <w:jc w:val="both"/>
        <w:rPr>
          <w:rFonts w:cstheme="minorHAnsi"/>
        </w:rPr>
      </w:pPr>
      <w:r w:rsidRPr="00A54361">
        <w:rPr>
          <w:rFonts w:cstheme="minorHAnsi"/>
        </w:rPr>
        <w:lastRenderedPageBreak/>
        <w:t>Bidder warrants that the Goods supplied under the Contract are new &amp; unused, of the most recent or current models and incorporate all recent improvements in design and materials unless provided otherwise in the RFP</w:t>
      </w:r>
    </w:p>
    <w:p w14:paraId="01DF4831" w14:textId="2AE9D3C9" w:rsidR="00F24130" w:rsidRPr="00A54361" w:rsidRDefault="00F24130" w:rsidP="00A54361">
      <w:pPr>
        <w:pStyle w:val="ListParagraph"/>
        <w:numPr>
          <w:ilvl w:val="0"/>
          <w:numId w:val="47"/>
        </w:numPr>
        <w:jc w:val="both"/>
        <w:rPr>
          <w:rFonts w:cstheme="minorHAnsi"/>
        </w:rPr>
      </w:pPr>
      <w:r w:rsidRPr="00A54361">
        <w:rPr>
          <w:rFonts w:cstheme="minorHAnsi"/>
        </w:rPr>
        <w:t xml:space="preserve">Bidder further warrants that all the Goods supplied under as part of this RFP shall have no defect arising from design, </w:t>
      </w:r>
      <w:r w:rsidR="00023615" w:rsidRPr="00A54361">
        <w:rPr>
          <w:rFonts w:cstheme="minorHAnsi"/>
        </w:rPr>
        <w:t>materials,</w:t>
      </w:r>
      <w:r w:rsidRPr="00A54361">
        <w:rPr>
          <w:rFonts w:cstheme="minorHAnsi"/>
        </w:rPr>
        <w:t xml:space="preserve"> or workmanship (except when the design and/or material is required by the Bank’s Specifications) or from any act or omission of Bidder, that may develop under normal use of the supplied Goods in the conditions prevailing at the final destination</w:t>
      </w:r>
    </w:p>
    <w:p w14:paraId="6DE13C6A" w14:textId="06839AD5" w:rsidR="00F24130" w:rsidRPr="00A54361" w:rsidRDefault="00F24130" w:rsidP="00A54361">
      <w:pPr>
        <w:pStyle w:val="ListParagraph"/>
        <w:numPr>
          <w:ilvl w:val="0"/>
          <w:numId w:val="47"/>
        </w:numPr>
        <w:jc w:val="both"/>
        <w:rPr>
          <w:rFonts w:cstheme="minorHAnsi"/>
        </w:rPr>
      </w:pPr>
      <w:r w:rsidRPr="00A54361">
        <w:rPr>
          <w:rFonts w:cstheme="minorHAnsi"/>
        </w:rPr>
        <w:t>Bidder's hardware engineer will report at the Bank’s premises within one hour of reporting of breakdown and repair the same at the earliest.</w:t>
      </w:r>
    </w:p>
    <w:p w14:paraId="57E7E9E6" w14:textId="4F43FBB1" w:rsidR="00FA5057" w:rsidRPr="00A54361" w:rsidRDefault="005954F1" w:rsidP="00A54361">
      <w:pPr>
        <w:spacing w:before="120" w:after="120"/>
        <w:jc w:val="both"/>
        <w:rPr>
          <w:rFonts w:cstheme="minorHAnsi"/>
        </w:rPr>
      </w:pPr>
      <w:r w:rsidRPr="00A54361">
        <w:rPr>
          <w:rFonts w:cstheme="minorHAnsi"/>
        </w:rPr>
        <w:t>The payments will be released</w:t>
      </w:r>
      <w:r w:rsidR="004F0A95" w:rsidRPr="00A54361">
        <w:rPr>
          <w:rFonts w:cstheme="minorHAnsi"/>
        </w:rPr>
        <w:t xml:space="preserve"> through NEFT / RTGS/account credit after deducting the applicable LD/Penalty, TDS if any,</w:t>
      </w:r>
      <w:r w:rsidR="0069235B" w:rsidRPr="00A54361">
        <w:rPr>
          <w:rFonts w:cstheme="minorHAnsi"/>
        </w:rPr>
        <w:t xml:space="preserve"> on submission of invoice</w:t>
      </w:r>
      <w:r w:rsidR="004F0A95" w:rsidRPr="00A54361">
        <w:rPr>
          <w:rFonts w:cstheme="minorHAnsi"/>
        </w:rPr>
        <w:t>s</w:t>
      </w:r>
      <w:r w:rsidR="0069235B" w:rsidRPr="00A54361">
        <w:rPr>
          <w:rFonts w:cstheme="minorHAnsi"/>
        </w:rPr>
        <w:t xml:space="preserve"> to DIT CBD- Belapur</w:t>
      </w:r>
      <w:r w:rsidRPr="00A54361">
        <w:rPr>
          <w:rFonts w:cstheme="minorHAnsi"/>
        </w:rPr>
        <w:t>. The Successful Bidder has to provide necessary Bank Details like Account No., Bank’s Name with Branch, IFSC Code, GSTIN, State Code, State Name, HSN Code etc.</w:t>
      </w:r>
    </w:p>
    <w:p w14:paraId="010DB6E8" w14:textId="119C5E95" w:rsidR="005954F1" w:rsidRPr="00A54361" w:rsidRDefault="005954F1" w:rsidP="00A54361">
      <w:pPr>
        <w:spacing w:before="120" w:after="120"/>
        <w:jc w:val="both"/>
        <w:rPr>
          <w:rFonts w:cstheme="minorHAnsi"/>
          <w:b/>
          <w:bCs/>
        </w:rPr>
      </w:pPr>
      <w:r w:rsidRPr="00A54361">
        <w:rPr>
          <w:rFonts w:cstheme="minorHAnsi"/>
          <w:b/>
          <w:bCs/>
        </w:rPr>
        <w:t>Fixed Price</w:t>
      </w:r>
    </w:p>
    <w:p w14:paraId="001F264B" w14:textId="3239C9E5" w:rsidR="005954F1" w:rsidRPr="00A54361" w:rsidRDefault="005954F1" w:rsidP="00A54361">
      <w:pPr>
        <w:spacing w:before="120" w:after="120"/>
        <w:jc w:val="both"/>
        <w:rPr>
          <w:rFonts w:cstheme="minorHAnsi"/>
        </w:rPr>
      </w:pPr>
      <w:r w:rsidRPr="00A54361">
        <w:rPr>
          <w:rFonts w:cstheme="minorHAnsi"/>
        </w:rPr>
        <w:t xml:space="preserve">The commercial offer shall be on a fixed price basis, exclusive of all taxes and levies. No price variation relating to increases in customs duty, excise tax, dollar price variation etc. will be permitted. The </w:t>
      </w:r>
      <w:r w:rsidR="006B6F52" w:rsidRPr="00A54361">
        <w:rPr>
          <w:rFonts w:cstheme="minorHAnsi"/>
        </w:rPr>
        <w:t>bidder</w:t>
      </w:r>
      <w:r w:rsidRPr="00A54361">
        <w:rPr>
          <w:rFonts w:cstheme="minorHAnsi"/>
        </w:rPr>
        <w:t xml:space="preserve"> shall pay any other applicable Taxes being applicable after placement of order, during currency of the project only. </w:t>
      </w:r>
    </w:p>
    <w:p w14:paraId="353252CF" w14:textId="10FBDA42" w:rsidR="005954F1" w:rsidRPr="00A54361" w:rsidRDefault="005954F1" w:rsidP="00A54361">
      <w:pPr>
        <w:spacing w:before="120" w:after="120"/>
        <w:jc w:val="both"/>
        <w:rPr>
          <w:rFonts w:cstheme="minorHAnsi"/>
          <w:b/>
          <w:bCs/>
        </w:rPr>
      </w:pPr>
      <w:r w:rsidRPr="00A54361">
        <w:rPr>
          <w:rFonts w:cstheme="minorHAnsi"/>
          <w:b/>
          <w:bCs/>
        </w:rPr>
        <w:t>Taxes</w:t>
      </w:r>
    </w:p>
    <w:p w14:paraId="5DD18F84" w14:textId="77777777" w:rsidR="005954F1" w:rsidRPr="00A54361" w:rsidRDefault="005954F1" w:rsidP="00A54361">
      <w:pPr>
        <w:pStyle w:val="ListParagraph"/>
        <w:numPr>
          <w:ilvl w:val="0"/>
          <w:numId w:val="16"/>
        </w:numPr>
        <w:spacing w:before="120" w:after="120"/>
        <w:jc w:val="both"/>
        <w:rPr>
          <w:rFonts w:cstheme="minorHAnsi"/>
        </w:rPr>
      </w:pPr>
      <w:r w:rsidRPr="00A54361">
        <w:rPr>
          <w:rFonts w:cstheme="minorHAnsi"/>
        </w:rPr>
        <w:t xml:space="preserve">The consolidated fees and charges required to be paid by the Bank against each of the specified components under this RFP shall be all-inclusive amount with currently (prevailing) applicable taxes. The bidder shall provide the details of the taxes applicable in the invoices raised on the Bank. Accordingly, the Bank shall deduct at source, all applicable taxes including TDS from the payments due/ payments to bidder. The applicable tax shall be paid by the bidder to the concerned authorities. </w:t>
      </w:r>
    </w:p>
    <w:p w14:paraId="255EA746" w14:textId="75592AFD" w:rsidR="005954F1" w:rsidRPr="00A54361" w:rsidRDefault="005954F1" w:rsidP="00A54361">
      <w:pPr>
        <w:pStyle w:val="ListParagraph"/>
        <w:numPr>
          <w:ilvl w:val="0"/>
          <w:numId w:val="16"/>
        </w:numPr>
        <w:spacing w:before="120" w:after="120"/>
        <w:jc w:val="both"/>
        <w:rPr>
          <w:rFonts w:cstheme="minorHAnsi"/>
        </w:rPr>
      </w:pPr>
      <w:r w:rsidRPr="00A54361">
        <w:rPr>
          <w:rFonts w:cstheme="minorHAnsi"/>
        </w:rPr>
        <w:t xml:space="preserve">In case of any variation (upward or </w:t>
      </w:r>
      <w:r w:rsidR="00864BC4" w:rsidRPr="00A54361">
        <w:rPr>
          <w:rFonts w:cstheme="minorHAnsi"/>
        </w:rPr>
        <w:t>downward</w:t>
      </w:r>
      <w:r w:rsidRPr="00A54361">
        <w:rPr>
          <w:rFonts w:cstheme="minorHAnsi"/>
        </w:rPr>
        <w:t xml:space="preserve">) in Government levies / taxes / etc. up-to the date of providing services , the benefit or burden of the same shall be passed on or adjusted to the Bank. If the service provider makes any conditional or vague offers, without conforming to these guidelines, the Bank will treat the prices quoted as in conformity with these guidelines and proceed accordingly. </w:t>
      </w:r>
    </w:p>
    <w:p w14:paraId="28F0D54B" w14:textId="29FB50A4" w:rsidR="005954F1" w:rsidRPr="00A54361" w:rsidRDefault="005954F1" w:rsidP="00A54361">
      <w:pPr>
        <w:pStyle w:val="ListParagraph"/>
        <w:numPr>
          <w:ilvl w:val="0"/>
          <w:numId w:val="16"/>
        </w:numPr>
        <w:spacing w:before="120" w:after="120"/>
        <w:jc w:val="both"/>
        <w:rPr>
          <w:rFonts w:cstheme="minorHAnsi"/>
        </w:rPr>
      </w:pPr>
      <w:r w:rsidRPr="00A54361">
        <w:rPr>
          <w:rFonts w:cstheme="minorHAnsi"/>
        </w:rPr>
        <w:t>Goods and Services Taxes (GST) and its Compliance</w:t>
      </w:r>
      <w:r w:rsidR="00A35ECE" w:rsidRPr="00A54361">
        <w:rPr>
          <w:rFonts w:cstheme="minorHAnsi"/>
        </w:rPr>
        <w:t>:-</w:t>
      </w:r>
    </w:p>
    <w:p w14:paraId="4BBDF402" w14:textId="5146D820" w:rsidR="005954F1" w:rsidRPr="00A54361" w:rsidRDefault="005954F1" w:rsidP="00A54361">
      <w:pPr>
        <w:pStyle w:val="ListParagraph"/>
        <w:numPr>
          <w:ilvl w:val="0"/>
          <w:numId w:val="17"/>
        </w:numPr>
        <w:spacing w:before="120" w:after="120"/>
        <w:jc w:val="both"/>
        <w:rPr>
          <w:rFonts w:cstheme="minorHAnsi"/>
        </w:rPr>
      </w:pPr>
      <w:r w:rsidRPr="00A54361">
        <w:rPr>
          <w:rFonts w:cstheme="minorHAnsi"/>
        </w:rPr>
        <w:t>Goods and Services Tax Law in India is a Comprehensive, multi-stage, destination-based tax that will be levied on every value addition. Bidder shall have to follow GST Law as per time being enforced along with certain mandatory feature mentioned hereunder</w:t>
      </w:r>
    </w:p>
    <w:p w14:paraId="2756A44C" w14:textId="77777777" w:rsidR="005954F1" w:rsidRPr="00A54361" w:rsidRDefault="005954F1" w:rsidP="00A54361">
      <w:pPr>
        <w:pStyle w:val="ListParagraph"/>
        <w:numPr>
          <w:ilvl w:val="0"/>
          <w:numId w:val="17"/>
        </w:numPr>
        <w:spacing w:before="120" w:after="120"/>
        <w:jc w:val="both"/>
        <w:rPr>
          <w:rFonts w:cstheme="minorHAnsi"/>
        </w:rPr>
      </w:pPr>
      <w:r w:rsidRPr="00A54361">
        <w:rPr>
          <w:rFonts w:cstheme="minorHAnsi"/>
        </w:rPr>
        <w:t xml:space="preserve">TDS (Tax Deducted on Source) is required to deduct as per applicable under GST Law on the payment made or credited to the supplier of taxable goods and services. It would enhance the tax base and would be compliance and self-maintaining tax law based on processes. The statutory compliances contained in the statutes include obtaining registration under the GST law by the existing assesses as well as new assesses, periodic payments of taxes and furnishing various statement return by all the registered taxable person. </w:t>
      </w:r>
    </w:p>
    <w:p w14:paraId="460B2EE5" w14:textId="41CE3DC6" w:rsidR="005954F1" w:rsidRPr="00A54361" w:rsidRDefault="005954F1" w:rsidP="00A54361">
      <w:pPr>
        <w:pStyle w:val="ListParagraph"/>
        <w:numPr>
          <w:ilvl w:val="0"/>
          <w:numId w:val="17"/>
        </w:numPr>
        <w:spacing w:before="120" w:after="120"/>
        <w:jc w:val="both"/>
        <w:rPr>
          <w:rFonts w:cstheme="minorHAnsi"/>
        </w:rPr>
      </w:pPr>
      <w:r w:rsidRPr="00A54361">
        <w:rPr>
          <w:rFonts w:cstheme="minorHAnsi"/>
        </w:rPr>
        <w:t xml:space="preserve">It is mandatory to pass on the benefit due to reduction in rate of tax or from input tax credit (ITR) to the Bank by way of commensurate reduction in the prices under the GST Law. </w:t>
      </w:r>
    </w:p>
    <w:p w14:paraId="039B007D" w14:textId="51A8CE2C" w:rsidR="005954F1" w:rsidRPr="00A54361" w:rsidRDefault="005954F1" w:rsidP="00A54361">
      <w:pPr>
        <w:pStyle w:val="ListParagraph"/>
        <w:numPr>
          <w:ilvl w:val="0"/>
          <w:numId w:val="17"/>
        </w:numPr>
        <w:spacing w:before="120" w:after="120"/>
        <w:jc w:val="both"/>
        <w:rPr>
          <w:rFonts w:cstheme="minorHAnsi"/>
        </w:rPr>
      </w:pPr>
      <w:r w:rsidRPr="00A54361">
        <w:rPr>
          <w:rFonts w:cstheme="minorHAnsi"/>
        </w:rPr>
        <w:lastRenderedPageBreak/>
        <w:t>If bidder as the case may be, is backlisted in the GST (Goods and Services Tax) portal or rating of a supplier falls below a mandatory level, as decided time to time may be relevant ground of cancellation of Contract.</w:t>
      </w:r>
    </w:p>
    <w:p w14:paraId="53FA522A" w14:textId="1632A8B7" w:rsidR="005954F1" w:rsidRPr="00A54361" w:rsidRDefault="005954F1" w:rsidP="00A54361">
      <w:pPr>
        <w:pStyle w:val="ListParagraph"/>
        <w:numPr>
          <w:ilvl w:val="0"/>
          <w:numId w:val="16"/>
        </w:numPr>
        <w:spacing w:before="120" w:after="120"/>
        <w:jc w:val="both"/>
        <w:rPr>
          <w:rFonts w:cstheme="minorHAnsi"/>
        </w:rPr>
      </w:pPr>
      <w:r w:rsidRPr="00A54361">
        <w:rPr>
          <w:rFonts w:cstheme="minorHAnsi"/>
        </w:rPr>
        <w:t>Bank shall deduct tax at source, if any, as per the applicable law of the land time being enforced. The Service provider shall pay any other taxes separately or along with GST if any attributed by the Government Authorities including Municipal and Local bodies or any other authority authorized in this regard.</w:t>
      </w:r>
    </w:p>
    <w:p w14:paraId="323E97A7" w14:textId="1EC79BBD" w:rsidR="005954F1" w:rsidRPr="00A54361" w:rsidRDefault="005954F1" w:rsidP="00A54361">
      <w:pPr>
        <w:pStyle w:val="Heading1"/>
        <w:numPr>
          <w:ilvl w:val="0"/>
          <w:numId w:val="48"/>
        </w:numPr>
        <w:jc w:val="both"/>
        <w:rPr>
          <w:rFonts w:asciiTheme="minorHAnsi" w:hAnsiTheme="minorHAnsi" w:cstheme="minorHAnsi"/>
          <w:color w:val="auto"/>
        </w:rPr>
      </w:pPr>
      <w:bookmarkStart w:id="199" w:name="_Toc129668499"/>
      <w:bookmarkStart w:id="200" w:name="_Toc182233377"/>
      <w:r w:rsidRPr="00A54361">
        <w:rPr>
          <w:rFonts w:asciiTheme="minorHAnsi" w:hAnsiTheme="minorHAnsi" w:cstheme="minorHAnsi"/>
          <w:color w:val="auto"/>
        </w:rPr>
        <w:t>Order Cancellation</w:t>
      </w:r>
      <w:bookmarkEnd w:id="199"/>
      <w:bookmarkEnd w:id="200"/>
    </w:p>
    <w:p w14:paraId="1D148075" w14:textId="0B2FB3EB" w:rsidR="007F327B" w:rsidRPr="00A54361" w:rsidRDefault="007F327B" w:rsidP="00A54361">
      <w:pPr>
        <w:pStyle w:val="PlainText"/>
        <w:spacing w:before="120"/>
        <w:jc w:val="both"/>
        <w:rPr>
          <w:rFonts w:asciiTheme="minorHAnsi" w:hAnsiTheme="minorHAnsi" w:cstheme="minorHAnsi"/>
          <w:szCs w:val="22"/>
        </w:rPr>
      </w:pPr>
      <w:r w:rsidRPr="00A54361">
        <w:rPr>
          <w:rFonts w:asciiTheme="minorHAnsi" w:hAnsiTheme="minorHAnsi" w:cstheme="minorHAnsi"/>
          <w:szCs w:val="22"/>
        </w:rPr>
        <w:t>Bank</w:t>
      </w:r>
      <w:r w:rsidR="00106805" w:rsidRPr="00A54361">
        <w:rPr>
          <w:rFonts w:asciiTheme="minorHAnsi" w:hAnsiTheme="minorHAnsi" w:cstheme="minorHAnsi"/>
          <w:szCs w:val="22"/>
        </w:rPr>
        <w:t xml:space="preserve"> </w:t>
      </w:r>
      <w:r w:rsidRPr="00A54361">
        <w:rPr>
          <w:rFonts w:asciiTheme="minorHAnsi" w:hAnsiTheme="minorHAnsi" w:cstheme="minorHAnsi"/>
          <w:szCs w:val="22"/>
        </w:rPr>
        <w:t>reserves its right to cancel the order in the event of one or more of the following situations:</w:t>
      </w:r>
    </w:p>
    <w:p w14:paraId="4CA86271" w14:textId="4016040E" w:rsidR="007F327B" w:rsidRPr="00A54361" w:rsidRDefault="007F327B" w:rsidP="00A54361">
      <w:pPr>
        <w:pStyle w:val="PlainText"/>
        <w:spacing w:before="120"/>
        <w:jc w:val="both"/>
        <w:rPr>
          <w:rFonts w:asciiTheme="minorHAnsi" w:hAnsiTheme="minorHAnsi" w:cstheme="minorHAnsi"/>
          <w:szCs w:val="22"/>
        </w:rPr>
      </w:pPr>
      <w:r w:rsidRPr="00A54361">
        <w:rPr>
          <w:rFonts w:asciiTheme="minorHAnsi" w:hAnsiTheme="minorHAnsi" w:cstheme="minorHAnsi"/>
          <w:szCs w:val="22"/>
        </w:rPr>
        <w:t xml:space="preserve">   1.</w:t>
      </w:r>
      <w:r w:rsidRPr="00A54361">
        <w:rPr>
          <w:rFonts w:asciiTheme="minorHAnsi" w:hAnsiTheme="minorHAnsi" w:cstheme="minorHAnsi"/>
          <w:szCs w:val="22"/>
        </w:rPr>
        <w:tab/>
        <w:t>Delay in delivery beyond the specified period for delivery.</w:t>
      </w:r>
    </w:p>
    <w:p w14:paraId="248B74C9" w14:textId="6CA412B6" w:rsidR="007F327B" w:rsidRPr="00A54361" w:rsidRDefault="007F327B" w:rsidP="00A54361">
      <w:pPr>
        <w:pStyle w:val="PlainText"/>
        <w:spacing w:before="120"/>
        <w:jc w:val="both"/>
        <w:rPr>
          <w:rFonts w:asciiTheme="minorHAnsi" w:hAnsiTheme="minorHAnsi" w:cstheme="minorHAnsi"/>
          <w:szCs w:val="22"/>
        </w:rPr>
      </w:pPr>
      <w:r w:rsidRPr="00A54361">
        <w:rPr>
          <w:rFonts w:asciiTheme="minorHAnsi" w:hAnsiTheme="minorHAnsi" w:cstheme="minorHAnsi"/>
          <w:szCs w:val="22"/>
        </w:rPr>
        <w:t xml:space="preserve">   2. </w:t>
      </w:r>
      <w:r w:rsidRPr="00A54361">
        <w:rPr>
          <w:rFonts w:asciiTheme="minorHAnsi" w:hAnsiTheme="minorHAnsi" w:cstheme="minorHAnsi"/>
          <w:szCs w:val="22"/>
        </w:rPr>
        <w:tab/>
      </w:r>
      <w:r w:rsidR="00FF06BD" w:rsidRPr="00A54361">
        <w:rPr>
          <w:rFonts w:asciiTheme="minorHAnsi" w:hAnsiTheme="minorHAnsi" w:cstheme="minorHAnsi"/>
          <w:szCs w:val="22"/>
        </w:rPr>
        <w:t xml:space="preserve">Serious discrepancy in hardware noticed </w:t>
      </w:r>
      <w:r w:rsidRPr="00A54361">
        <w:rPr>
          <w:rFonts w:asciiTheme="minorHAnsi" w:hAnsiTheme="minorHAnsi" w:cstheme="minorHAnsi"/>
          <w:szCs w:val="22"/>
        </w:rPr>
        <w:t>during Installation</w:t>
      </w:r>
      <w:r w:rsidR="00203439" w:rsidRPr="00A54361">
        <w:rPr>
          <w:rFonts w:asciiTheme="minorHAnsi" w:hAnsiTheme="minorHAnsi" w:cstheme="minorHAnsi"/>
          <w:szCs w:val="22"/>
        </w:rPr>
        <w:t xml:space="preserve"> or during maintenance period</w:t>
      </w:r>
    </w:p>
    <w:p w14:paraId="5DA40726" w14:textId="56F7412C" w:rsidR="00B6250E" w:rsidRPr="00A54361" w:rsidRDefault="00B6250E" w:rsidP="00A54361">
      <w:pPr>
        <w:pStyle w:val="PlainText"/>
        <w:spacing w:before="120"/>
        <w:jc w:val="both"/>
        <w:rPr>
          <w:rFonts w:asciiTheme="minorHAnsi" w:hAnsiTheme="minorHAnsi" w:cstheme="minorHAnsi"/>
          <w:szCs w:val="22"/>
        </w:rPr>
      </w:pPr>
      <w:r w:rsidRPr="00A54361">
        <w:rPr>
          <w:rFonts w:asciiTheme="minorHAnsi" w:hAnsiTheme="minorHAnsi" w:cstheme="minorHAnsi"/>
          <w:szCs w:val="22"/>
        </w:rPr>
        <w:t xml:space="preserve">   3.        Any other lapse pertaining to the order.</w:t>
      </w:r>
    </w:p>
    <w:p w14:paraId="3CB70D17" w14:textId="1941C13F" w:rsidR="007F327B" w:rsidRPr="00A54361" w:rsidRDefault="005703E3" w:rsidP="00A54361">
      <w:pPr>
        <w:pStyle w:val="PlainText"/>
        <w:spacing w:before="120"/>
        <w:jc w:val="both"/>
        <w:rPr>
          <w:rFonts w:asciiTheme="minorHAnsi" w:hAnsiTheme="minorHAnsi" w:cstheme="minorHAnsi"/>
          <w:szCs w:val="22"/>
        </w:rPr>
      </w:pPr>
      <w:r w:rsidRPr="00A54361">
        <w:rPr>
          <w:rFonts w:asciiTheme="minorHAnsi" w:hAnsiTheme="minorHAnsi" w:cstheme="minorHAnsi"/>
          <w:szCs w:val="22"/>
        </w:rPr>
        <w:t>4.</w:t>
      </w:r>
      <w:r w:rsidRPr="00A54361">
        <w:rPr>
          <w:rFonts w:asciiTheme="minorHAnsi" w:hAnsiTheme="minorHAnsi" w:cstheme="minorHAnsi"/>
          <w:szCs w:val="22"/>
        </w:rPr>
        <w:tab/>
        <w:t>Penalty beyond 10% of the Total Project cost.</w:t>
      </w:r>
      <w:r w:rsidR="00FF06BD" w:rsidRPr="00A54361">
        <w:rPr>
          <w:rFonts w:asciiTheme="minorHAnsi" w:hAnsiTheme="minorHAnsi" w:cstheme="minorHAnsi"/>
          <w:szCs w:val="22"/>
        </w:rPr>
        <w:t>In addition to the</w:t>
      </w:r>
      <w:r w:rsidR="007F327B" w:rsidRPr="00A54361">
        <w:rPr>
          <w:rFonts w:asciiTheme="minorHAnsi" w:hAnsiTheme="minorHAnsi" w:cstheme="minorHAnsi"/>
          <w:szCs w:val="22"/>
        </w:rPr>
        <w:t xml:space="preserve"> cancellation of purchase order, Bank </w:t>
      </w:r>
      <w:r w:rsidR="00FF06BD" w:rsidRPr="00A54361">
        <w:rPr>
          <w:rFonts w:asciiTheme="minorHAnsi" w:hAnsiTheme="minorHAnsi" w:cstheme="minorHAnsi"/>
          <w:szCs w:val="22"/>
        </w:rPr>
        <w:t>reserves the right to appropriate the damages</w:t>
      </w:r>
      <w:r w:rsidR="007F327B" w:rsidRPr="00A54361">
        <w:rPr>
          <w:rFonts w:asciiTheme="minorHAnsi" w:hAnsiTheme="minorHAnsi" w:cstheme="minorHAnsi"/>
          <w:szCs w:val="22"/>
        </w:rPr>
        <w:t xml:space="preserve"> by foreclosing the </w:t>
      </w:r>
      <w:r w:rsidR="0096788E" w:rsidRPr="00A54361">
        <w:rPr>
          <w:rFonts w:asciiTheme="minorHAnsi" w:hAnsiTheme="minorHAnsi" w:cstheme="minorHAnsi"/>
          <w:szCs w:val="22"/>
        </w:rPr>
        <w:t xml:space="preserve">performance </w:t>
      </w:r>
      <w:r w:rsidR="007F327B" w:rsidRPr="00A54361">
        <w:rPr>
          <w:rFonts w:asciiTheme="minorHAnsi" w:hAnsiTheme="minorHAnsi" w:cstheme="minorHAnsi"/>
          <w:szCs w:val="22"/>
        </w:rPr>
        <w:t>bank guarantee.</w:t>
      </w:r>
    </w:p>
    <w:p w14:paraId="5457C367" w14:textId="414044A8" w:rsidR="00C75518" w:rsidRPr="00A54361" w:rsidRDefault="00C75518" w:rsidP="00A54361">
      <w:pPr>
        <w:pStyle w:val="Heading1"/>
        <w:numPr>
          <w:ilvl w:val="0"/>
          <w:numId w:val="48"/>
        </w:numPr>
        <w:jc w:val="both"/>
        <w:rPr>
          <w:rFonts w:asciiTheme="minorHAnsi" w:hAnsiTheme="minorHAnsi" w:cstheme="minorHAnsi"/>
          <w:color w:val="auto"/>
        </w:rPr>
      </w:pPr>
      <w:bookmarkStart w:id="201" w:name="_Toc129668500"/>
      <w:bookmarkStart w:id="202" w:name="_Toc182233378"/>
      <w:r w:rsidRPr="00A54361">
        <w:rPr>
          <w:rFonts w:asciiTheme="minorHAnsi" w:hAnsiTheme="minorHAnsi" w:cstheme="minorHAnsi"/>
          <w:color w:val="auto"/>
        </w:rPr>
        <w:t>Indemnity</w:t>
      </w:r>
      <w:bookmarkEnd w:id="201"/>
      <w:bookmarkEnd w:id="202"/>
    </w:p>
    <w:p w14:paraId="30237664" w14:textId="77777777" w:rsidR="00DF4DE0" w:rsidRPr="00A54361" w:rsidRDefault="00DF4DE0" w:rsidP="00A54361">
      <w:pPr>
        <w:jc w:val="both"/>
        <w:rPr>
          <w:rFonts w:cstheme="minorHAnsi"/>
          <w:lang w:val="en-US"/>
        </w:rPr>
      </w:pPr>
      <w:r w:rsidRPr="00A54361">
        <w:rPr>
          <w:rFonts w:cstheme="minorHAnsi"/>
          <w:lang w:val="en-US"/>
        </w:rPr>
        <w:t>The Bidder shall indemnify the Bank, and shall always keep indemnified and hold the Bank, its employees, personnel, officers, directors, harmless from and against any and all losses, liabilities, claims, actions, costs and expenses (including attorney’s fees) relating to, resulting directly or indirectly from or in any way arising out of any claim, suit or proceeding brought against the Bank as a result of:</w:t>
      </w:r>
    </w:p>
    <w:p w14:paraId="5B81A09C" w14:textId="77777777" w:rsidR="00DF4DE0" w:rsidRPr="00A54361" w:rsidRDefault="00DF4DE0" w:rsidP="00A54361">
      <w:pPr>
        <w:numPr>
          <w:ilvl w:val="0"/>
          <w:numId w:val="35"/>
        </w:numPr>
        <w:spacing w:after="200" w:line="240" w:lineRule="auto"/>
        <w:ind w:left="1077"/>
        <w:contextualSpacing/>
        <w:jc w:val="both"/>
        <w:rPr>
          <w:rFonts w:eastAsia="Calibri" w:cstheme="minorHAnsi"/>
          <w:lang w:val="en-US"/>
        </w:rPr>
      </w:pPr>
      <w:r w:rsidRPr="00A54361">
        <w:rPr>
          <w:rFonts w:eastAsia="Calibri" w:cstheme="minorHAnsi"/>
          <w:lang w:val="en-US"/>
        </w:rPr>
        <w:t>Bank’s authorized / bonafide use of the Deliverables and/or the Services provided by Bidder under this RFP or any or all terms and conditions stipulated in the SLA (Service level Agreement) or PO and/or</w:t>
      </w:r>
    </w:p>
    <w:p w14:paraId="16FB690D" w14:textId="0A7530F6" w:rsidR="00DF4DE0" w:rsidRPr="00A54361" w:rsidRDefault="00DF4DE0" w:rsidP="00A54361">
      <w:pPr>
        <w:numPr>
          <w:ilvl w:val="0"/>
          <w:numId w:val="35"/>
        </w:numPr>
        <w:spacing w:after="200" w:line="240" w:lineRule="auto"/>
        <w:ind w:left="1077"/>
        <w:contextualSpacing/>
        <w:jc w:val="both"/>
        <w:rPr>
          <w:rFonts w:eastAsia="Calibri" w:cstheme="minorHAnsi"/>
          <w:lang w:val="en-US"/>
        </w:rPr>
      </w:pPr>
      <w:r w:rsidRPr="00A54361">
        <w:rPr>
          <w:rFonts w:eastAsia="Calibri" w:cstheme="minorHAnsi"/>
        </w:rPr>
        <w:t xml:space="preserve">Relating to or resulting directly from infringement of any third party patent, trademarks, copyrights etc. or such other statutory infringements in respect of all components provided to </w:t>
      </w:r>
      <w:r w:rsidR="00A061A7" w:rsidRPr="00A54361">
        <w:rPr>
          <w:rFonts w:eastAsia="Calibri" w:cstheme="minorHAnsi"/>
        </w:rPr>
        <w:t>fulfil</w:t>
      </w:r>
      <w:r w:rsidRPr="00A54361">
        <w:rPr>
          <w:rFonts w:eastAsia="Calibri" w:cstheme="minorHAnsi"/>
        </w:rPr>
        <w:t xml:space="preserve"> the scope of this project.</w:t>
      </w:r>
    </w:p>
    <w:p w14:paraId="45F9CC2C" w14:textId="77777777" w:rsidR="00DF4DE0" w:rsidRPr="00A54361" w:rsidRDefault="00DF4DE0" w:rsidP="00A54361">
      <w:pPr>
        <w:numPr>
          <w:ilvl w:val="0"/>
          <w:numId w:val="35"/>
        </w:numPr>
        <w:spacing w:after="200" w:line="240" w:lineRule="auto"/>
        <w:ind w:left="1077"/>
        <w:contextualSpacing/>
        <w:jc w:val="both"/>
        <w:rPr>
          <w:rFonts w:eastAsia="Calibri" w:cstheme="minorHAnsi"/>
          <w:lang w:val="en-US"/>
        </w:rPr>
      </w:pPr>
      <w:r w:rsidRPr="00A54361">
        <w:rPr>
          <w:rFonts w:eastAsia="Calibri" w:cstheme="minorHAnsi"/>
          <w:lang w:val="en-US"/>
        </w:rPr>
        <w:t>An act or omission of the Bidder, employees, agents, sub-contractors in the performance of the obligations of the Bidder under this RFP or, any or all terms and conditions stipulated in the SLA(Service level Agreement) or Purchase Order(PO) and/or</w:t>
      </w:r>
    </w:p>
    <w:p w14:paraId="1B1A9385" w14:textId="77777777" w:rsidR="00DF4DE0" w:rsidRPr="00A54361" w:rsidRDefault="00DF4DE0" w:rsidP="00A54361">
      <w:pPr>
        <w:numPr>
          <w:ilvl w:val="0"/>
          <w:numId w:val="35"/>
        </w:numPr>
        <w:spacing w:after="200" w:line="240" w:lineRule="auto"/>
        <w:ind w:left="1077"/>
        <w:contextualSpacing/>
        <w:jc w:val="both"/>
        <w:rPr>
          <w:rFonts w:eastAsia="Calibri" w:cstheme="minorHAnsi"/>
          <w:lang w:val="en-US"/>
        </w:rPr>
      </w:pPr>
      <w:r w:rsidRPr="00A54361">
        <w:rPr>
          <w:rFonts w:eastAsia="Calibri" w:cstheme="minorHAnsi"/>
          <w:lang w:val="en-US"/>
        </w:rPr>
        <w:t>Claims made by employees or subcontractors or subcontractors’ employees, who are deployed by the Bidder, against the Bank and/or</w:t>
      </w:r>
    </w:p>
    <w:p w14:paraId="659A1F7E" w14:textId="77777777" w:rsidR="00DF4DE0" w:rsidRPr="00A54361" w:rsidRDefault="00DF4DE0" w:rsidP="00A54361">
      <w:pPr>
        <w:numPr>
          <w:ilvl w:val="0"/>
          <w:numId w:val="35"/>
        </w:numPr>
        <w:spacing w:after="200" w:line="240" w:lineRule="auto"/>
        <w:ind w:left="1077"/>
        <w:contextualSpacing/>
        <w:jc w:val="both"/>
        <w:rPr>
          <w:rFonts w:eastAsia="Calibri" w:cstheme="minorHAnsi"/>
          <w:lang w:val="en-US"/>
        </w:rPr>
      </w:pPr>
      <w:r w:rsidRPr="00A54361">
        <w:rPr>
          <w:rFonts w:eastAsia="Calibri" w:cstheme="minorHAnsi"/>
          <w:lang w:val="en-US"/>
        </w:rPr>
        <w:t>Breach of any of the term of this RFP or breach of any representation or false representation or inaccurate statement or assurance or covenant or warranty of the Bidder under this RFP or; any or all terms and conditions stipulated in the SLA (Service level Agreement) or PO and/or</w:t>
      </w:r>
    </w:p>
    <w:p w14:paraId="64B71E3B" w14:textId="77777777" w:rsidR="00DF4DE0" w:rsidRPr="00A54361" w:rsidRDefault="00DF4DE0" w:rsidP="00A54361">
      <w:pPr>
        <w:numPr>
          <w:ilvl w:val="0"/>
          <w:numId w:val="35"/>
        </w:numPr>
        <w:spacing w:after="200" w:line="240" w:lineRule="auto"/>
        <w:ind w:left="1077"/>
        <w:contextualSpacing/>
        <w:jc w:val="both"/>
        <w:rPr>
          <w:rFonts w:eastAsia="Calibri" w:cstheme="minorHAnsi"/>
          <w:lang w:val="en-US"/>
        </w:rPr>
      </w:pPr>
      <w:r w:rsidRPr="00A54361">
        <w:rPr>
          <w:rFonts w:eastAsia="Calibri" w:cstheme="minorHAnsi"/>
          <w:lang w:val="en-US"/>
        </w:rPr>
        <w:t>Any or all Deliverables or Services infringing any patent, trademarks, copyrights or such other Intellectual Property Rights and/or</w:t>
      </w:r>
    </w:p>
    <w:p w14:paraId="600FA821" w14:textId="77777777" w:rsidR="00DF4DE0" w:rsidRPr="00A54361" w:rsidRDefault="00DF4DE0" w:rsidP="00A54361">
      <w:pPr>
        <w:numPr>
          <w:ilvl w:val="0"/>
          <w:numId w:val="35"/>
        </w:numPr>
        <w:spacing w:after="200" w:line="240" w:lineRule="auto"/>
        <w:ind w:left="1077"/>
        <w:contextualSpacing/>
        <w:jc w:val="both"/>
        <w:rPr>
          <w:rFonts w:eastAsia="Calibri" w:cstheme="minorHAnsi"/>
          <w:lang w:val="en-US"/>
        </w:rPr>
      </w:pPr>
      <w:r w:rsidRPr="00A54361">
        <w:rPr>
          <w:rFonts w:eastAsia="Calibri" w:cstheme="minorHAnsi"/>
          <w:lang w:val="en-US"/>
        </w:rPr>
        <w:t>Breach of confidentiality obligations of the Bidder contained in this RFP or; any or all terms and conditions stipulated in the SLA (Service level Agreement) or PO and/or</w:t>
      </w:r>
    </w:p>
    <w:p w14:paraId="53B1ED01" w14:textId="77777777" w:rsidR="00DF4DE0" w:rsidRPr="00A54361" w:rsidRDefault="00DF4DE0" w:rsidP="00A54361">
      <w:pPr>
        <w:numPr>
          <w:ilvl w:val="0"/>
          <w:numId w:val="35"/>
        </w:numPr>
        <w:spacing w:after="200" w:line="240" w:lineRule="auto"/>
        <w:ind w:left="1077"/>
        <w:contextualSpacing/>
        <w:jc w:val="both"/>
        <w:rPr>
          <w:rFonts w:eastAsia="Calibri" w:cstheme="minorHAnsi"/>
          <w:lang w:val="en-US"/>
        </w:rPr>
      </w:pPr>
      <w:r w:rsidRPr="00A54361">
        <w:rPr>
          <w:rFonts w:eastAsia="Calibri" w:cstheme="minorHAnsi"/>
          <w:lang w:val="en-US"/>
        </w:rPr>
        <w:t>Negligence or gross misconduct attributable to the Bidder or its employees, agent or sub‐contractors.</w:t>
      </w:r>
    </w:p>
    <w:p w14:paraId="6BDE123B" w14:textId="77777777" w:rsidR="00DF4DE0" w:rsidRPr="00A54361" w:rsidRDefault="00DF4DE0" w:rsidP="00A54361">
      <w:pPr>
        <w:jc w:val="both"/>
        <w:rPr>
          <w:rFonts w:cstheme="minorHAnsi"/>
          <w:lang w:val="en-US"/>
        </w:rPr>
      </w:pPr>
      <w:r w:rsidRPr="00A54361">
        <w:rPr>
          <w:rFonts w:cstheme="minorHAnsi"/>
          <w:lang w:val="en-US"/>
        </w:rPr>
        <w:lastRenderedPageBreak/>
        <w:t xml:space="preserve">The Bidder shall further indemnify the Bank against any loss or damage arising out of claims of infringement of third-party copyright, patents, or other intellectual property issued or registered in India, provided however, </w:t>
      </w:r>
    </w:p>
    <w:p w14:paraId="416E5D97" w14:textId="189B7F9F" w:rsidR="00DF4DE0" w:rsidRPr="00A54361" w:rsidRDefault="00DF4DE0" w:rsidP="00A54361">
      <w:pPr>
        <w:spacing w:after="200" w:line="360" w:lineRule="auto"/>
        <w:ind w:left="1080"/>
        <w:contextualSpacing/>
        <w:jc w:val="both"/>
        <w:rPr>
          <w:rFonts w:eastAsia="Calibri" w:cstheme="minorHAnsi"/>
          <w:lang w:val="en-US"/>
        </w:rPr>
      </w:pPr>
      <w:r w:rsidRPr="00A54361">
        <w:rPr>
          <w:rFonts w:eastAsia="Calibri" w:cstheme="minorHAnsi"/>
          <w:lang w:val="en-US"/>
        </w:rPr>
        <w:t xml:space="preserve">(i) </w:t>
      </w:r>
      <w:r w:rsidR="00FF06BD" w:rsidRPr="00A54361">
        <w:rPr>
          <w:rFonts w:eastAsia="Calibri" w:cstheme="minorHAnsi"/>
          <w:lang w:val="en-US"/>
        </w:rPr>
        <w:t>The</w:t>
      </w:r>
      <w:r w:rsidRPr="00A54361">
        <w:rPr>
          <w:rFonts w:eastAsia="Calibri" w:cstheme="minorHAnsi"/>
          <w:lang w:val="en-US"/>
        </w:rPr>
        <w:t xml:space="preserve"> Bank notifies the Bidder in writing immediately on aware of such claim, </w:t>
      </w:r>
    </w:p>
    <w:p w14:paraId="420942F2" w14:textId="4547006D" w:rsidR="00DF4DE0" w:rsidRPr="00A54361" w:rsidRDefault="00DF4DE0" w:rsidP="00A54361">
      <w:pPr>
        <w:spacing w:after="200" w:line="360" w:lineRule="auto"/>
        <w:ind w:left="1080"/>
        <w:contextualSpacing/>
        <w:jc w:val="both"/>
        <w:rPr>
          <w:rFonts w:eastAsia="Calibri" w:cstheme="minorHAnsi"/>
          <w:lang w:val="en-US"/>
        </w:rPr>
      </w:pPr>
      <w:r w:rsidRPr="00A54361">
        <w:rPr>
          <w:rFonts w:eastAsia="Calibri" w:cstheme="minorHAnsi"/>
          <w:lang w:val="en-US"/>
        </w:rPr>
        <w:t xml:space="preserve">(ii) </w:t>
      </w:r>
      <w:r w:rsidR="00FF06BD" w:rsidRPr="00A54361">
        <w:rPr>
          <w:rFonts w:eastAsia="Calibri" w:cstheme="minorHAnsi"/>
          <w:lang w:val="en-US"/>
        </w:rPr>
        <w:t>The</w:t>
      </w:r>
      <w:r w:rsidRPr="00A54361">
        <w:rPr>
          <w:rFonts w:eastAsia="Calibri" w:cstheme="minorHAnsi"/>
          <w:lang w:val="en-US"/>
        </w:rPr>
        <w:t xml:space="preserve"> Bidder has sole control of defense and all related settlement negotiations, </w:t>
      </w:r>
    </w:p>
    <w:p w14:paraId="785A16A0" w14:textId="16D2EB7F" w:rsidR="00DF4DE0" w:rsidRPr="00A54361" w:rsidRDefault="00DF4DE0" w:rsidP="00A54361">
      <w:pPr>
        <w:spacing w:after="200" w:line="360" w:lineRule="auto"/>
        <w:ind w:left="1080"/>
        <w:contextualSpacing/>
        <w:jc w:val="both"/>
        <w:rPr>
          <w:rFonts w:eastAsia="Calibri" w:cstheme="minorHAnsi"/>
          <w:lang w:val="en-US"/>
        </w:rPr>
      </w:pPr>
      <w:r w:rsidRPr="00A54361">
        <w:rPr>
          <w:rFonts w:eastAsia="Calibri" w:cstheme="minorHAnsi"/>
          <w:lang w:val="en-US"/>
        </w:rPr>
        <w:t xml:space="preserve">(iii) </w:t>
      </w:r>
      <w:r w:rsidR="00FF06BD" w:rsidRPr="00A54361">
        <w:rPr>
          <w:rFonts w:eastAsia="Calibri" w:cstheme="minorHAnsi"/>
          <w:lang w:val="en-US"/>
        </w:rPr>
        <w:t>The</w:t>
      </w:r>
      <w:r w:rsidRPr="00A54361">
        <w:rPr>
          <w:rFonts w:eastAsia="Calibri" w:cstheme="minorHAnsi"/>
          <w:lang w:val="en-US"/>
        </w:rPr>
        <w:t xml:space="preserve"> Bank provides the Bidder with the assistance, information and authority reasonably necessary to perform the above, and </w:t>
      </w:r>
    </w:p>
    <w:p w14:paraId="3322FABA" w14:textId="23333A7E" w:rsidR="00DF4DE0" w:rsidRPr="00A54361" w:rsidRDefault="00DF4DE0" w:rsidP="00A54361">
      <w:pPr>
        <w:spacing w:after="200" w:line="360" w:lineRule="auto"/>
        <w:ind w:left="1080"/>
        <w:contextualSpacing/>
        <w:jc w:val="both"/>
        <w:rPr>
          <w:rFonts w:eastAsia="Calibri" w:cstheme="minorHAnsi"/>
          <w:lang w:val="en-US"/>
        </w:rPr>
      </w:pPr>
      <w:r w:rsidRPr="00A54361">
        <w:rPr>
          <w:rFonts w:eastAsia="Calibri" w:cstheme="minorHAnsi"/>
          <w:lang w:val="en-US"/>
        </w:rPr>
        <w:t>(iv)</w:t>
      </w:r>
      <w:r w:rsidR="00FF06BD" w:rsidRPr="00A54361">
        <w:rPr>
          <w:rFonts w:eastAsia="Calibri" w:cstheme="minorHAnsi"/>
          <w:lang w:val="en-US"/>
        </w:rPr>
        <w:t xml:space="preserve"> The</w:t>
      </w:r>
      <w:r w:rsidRPr="00A54361">
        <w:rPr>
          <w:rFonts w:eastAsia="Calibri" w:cstheme="minorHAnsi"/>
          <w:lang w:val="en-US"/>
        </w:rPr>
        <w:t xml:space="preserve"> Bank does not make any statement or comments or representations about the claim without prior written consent of the Bidder, except under due process of law or order of the court. It is clarified that the Bidder shall in no event enter into a settlement, compromise or make any statement (including failure to take appropriate steps) that may be detrimental to the Bank’s (and/or its customers, users and Bidders) rights, interest and reputation.</w:t>
      </w:r>
    </w:p>
    <w:p w14:paraId="5FF97C1F" w14:textId="77777777" w:rsidR="00DF4DE0" w:rsidRPr="00A54361" w:rsidRDefault="00DF4DE0" w:rsidP="00A54361">
      <w:pPr>
        <w:jc w:val="both"/>
        <w:rPr>
          <w:rFonts w:cstheme="minorHAnsi"/>
          <w:lang w:val="en-US"/>
        </w:rPr>
      </w:pPr>
      <w:r w:rsidRPr="00A54361">
        <w:rPr>
          <w:rFonts w:cstheme="minorHAnsi"/>
          <w:lang w:val="en-US"/>
        </w:rPr>
        <w:t>The Bidder shall compensate the Bank for direct financial loss suffered by the Bank, if the Bidder fails to fix bugs, provide the Modifications / Enhancements / Customization as required by the Bank as per the terms and conditions of this RFP and to meet the Service Levels as per satisfaction of the Bank.</w:t>
      </w:r>
    </w:p>
    <w:p w14:paraId="011BA734" w14:textId="77777777" w:rsidR="00DF4DE0" w:rsidRPr="00A54361" w:rsidRDefault="00DF4DE0" w:rsidP="00A54361">
      <w:pPr>
        <w:jc w:val="both"/>
        <w:rPr>
          <w:rFonts w:cstheme="minorHAnsi"/>
          <w:lang w:val="en-US"/>
        </w:rPr>
      </w:pPr>
      <w:r w:rsidRPr="00A54361">
        <w:rPr>
          <w:rFonts w:cstheme="minorHAnsi"/>
          <w:lang w:val="en-US"/>
        </w:rPr>
        <w:t>Additionally, the Bidder shall indemnify, protect and save the Bank against all claims, losses, costs, damages, expenses, action, suits and other proceedings, suffered by bank due to the following reasons:</w:t>
      </w:r>
    </w:p>
    <w:p w14:paraId="1CEA259F" w14:textId="77777777" w:rsidR="00DF4DE0" w:rsidRPr="00A54361" w:rsidRDefault="00DF4DE0" w:rsidP="00A54361">
      <w:pPr>
        <w:numPr>
          <w:ilvl w:val="0"/>
          <w:numId w:val="33"/>
        </w:numPr>
        <w:spacing w:after="200" w:line="276" w:lineRule="auto"/>
        <w:jc w:val="both"/>
        <w:rPr>
          <w:rFonts w:eastAsia="Calibri" w:cstheme="minorHAnsi"/>
          <w:bCs/>
          <w:lang w:val="en-US"/>
        </w:rPr>
      </w:pPr>
      <w:r w:rsidRPr="00A54361">
        <w:rPr>
          <w:rFonts w:eastAsia="Calibri" w:cstheme="minorHAnsi"/>
          <w:bCs/>
          <w:lang w:val="en-US"/>
        </w:rPr>
        <w:t>that the Deliverables and Services delivered or provided under this Agreement infringe a patent, utility model, industrial design, copyright, trade secret, mask work or trademark in any country where the Deliverables and Services are used, sold or received; and/or</w:t>
      </w:r>
      <w:r w:rsidRPr="00A54361">
        <w:rPr>
          <w:rFonts w:eastAsia="Calibri" w:cstheme="minorHAnsi"/>
          <w:lang w:val="en-US"/>
        </w:rPr>
        <w:t xml:space="preserve"> </w:t>
      </w:r>
      <w:r w:rsidRPr="00A54361">
        <w:rPr>
          <w:rFonts w:eastAsia="Calibri" w:cstheme="minorHAnsi"/>
          <w:bCs/>
          <w:lang w:val="en-US"/>
        </w:rPr>
        <w:t>The Bidder shall indemnify the Bank in case of any mismatch of ITC (Input Tax Credit) in the GSTR 2A, where the Bank does not opt for retention of GST component on supplies.</w:t>
      </w:r>
    </w:p>
    <w:p w14:paraId="5DB21349" w14:textId="0A9F45C9" w:rsidR="00DF4DE0" w:rsidRPr="00A54361" w:rsidRDefault="00DF4DE0" w:rsidP="00A54361">
      <w:pPr>
        <w:numPr>
          <w:ilvl w:val="0"/>
          <w:numId w:val="33"/>
        </w:numPr>
        <w:spacing w:after="200" w:line="276" w:lineRule="auto"/>
        <w:jc w:val="both"/>
        <w:rPr>
          <w:rFonts w:eastAsia="Calibri" w:cstheme="minorHAnsi"/>
          <w:bCs/>
          <w:lang w:val="en-US"/>
        </w:rPr>
      </w:pPr>
      <w:r w:rsidRPr="00A54361">
        <w:rPr>
          <w:rFonts w:eastAsia="Calibri" w:cstheme="minorHAnsi"/>
          <w:bCs/>
          <w:lang w:val="en-US"/>
        </w:rPr>
        <w:t>all claims, losses, costs, damages, expenses, action, suits and other proceedings resulting from infringement of any patent, trade-marks, copyrights etc. or such other statutory infringements under any laws including the Copyright Act,1957 or Information Technology Act, 2000 or any Law, rules, regulation, bylaws, notification time being enforced in respect of all the Hardware, Software and network equipment or other systems supplied by them to the Bank from whatsoever source, provided the Bank notifies the Bidder in writing as soon as practicable when the Bank becomes aware of the claim however:</w:t>
      </w:r>
    </w:p>
    <w:p w14:paraId="139ACAA6" w14:textId="77777777" w:rsidR="00DF4DE0" w:rsidRPr="00A54361" w:rsidRDefault="00DF4DE0" w:rsidP="00A54361">
      <w:pPr>
        <w:numPr>
          <w:ilvl w:val="0"/>
          <w:numId w:val="34"/>
        </w:numPr>
        <w:spacing w:after="200" w:line="276" w:lineRule="auto"/>
        <w:jc w:val="both"/>
        <w:rPr>
          <w:rFonts w:eastAsia="Calibri" w:cstheme="minorHAnsi"/>
          <w:bCs/>
          <w:lang w:val="en-US"/>
        </w:rPr>
      </w:pPr>
      <w:r w:rsidRPr="00A54361">
        <w:rPr>
          <w:rFonts w:eastAsia="Calibri" w:cstheme="minorHAnsi"/>
          <w:bCs/>
          <w:lang w:val="en-US"/>
        </w:rPr>
        <w:t>The Bidder has sole control of the defense and all related settlement negotiations.</w:t>
      </w:r>
    </w:p>
    <w:p w14:paraId="345D0C7C" w14:textId="77777777" w:rsidR="00DF4DE0" w:rsidRPr="00A54361" w:rsidRDefault="00DF4DE0" w:rsidP="00A54361">
      <w:pPr>
        <w:numPr>
          <w:ilvl w:val="0"/>
          <w:numId w:val="34"/>
        </w:numPr>
        <w:spacing w:after="200" w:line="276" w:lineRule="auto"/>
        <w:jc w:val="both"/>
        <w:rPr>
          <w:rFonts w:eastAsia="Calibri" w:cstheme="minorHAnsi"/>
          <w:bCs/>
          <w:lang w:val="en-US"/>
        </w:rPr>
      </w:pPr>
      <w:r w:rsidRPr="00A54361">
        <w:rPr>
          <w:rFonts w:eastAsia="Calibri" w:cstheme="minorHAnsi"/>
          <w:bCs/>
          <w:lang w:val="en-US"/>
        </w:rPr>
        <w:t>The Bank provides the Bidder with the assistance, information and authority reasonably necessary to perform the above and bidder is aware of the rights to make any statements or comments or representations about the claim by Bank or any regulatory authority. Indemnity would be limited to court or arbitration awarded damages and shall exclude indirect and incidental damages and compensations.</w:t>
      </w:r>
    </w:p>
    <w:p w14:paraId="70B4C424" w14:textId="77777777" w:rsidR="00DF4DE0" w:rsidRPr="00A54361" w:rsidRDefault="00DF4DE0" w:rsidP="00A54361">
      <w:pPr>
        <w:jc w:val="both"/>
        <w:rPr>
          <w:rFonts w:cstheme="minorHAnsi"/>
          <w:lang w:val="en-US"/>
        </w:rPr>
      </w:pPr>
      <w:r w:rsidRPr="00A54361">
        <w:rPr>
          <w:rFonts w:cstheme="minorHAnsi"/>
          <w:lang w:val="en-US"/>
        </w:rPr>
        <w:lastRenderedPageBreak/>
        <w:t xml:space="preserve">Bidder shall have no obligations with respect to any Infringement Claims to the extent that the Infringement Claim arises or results from: </w:t>
      </w:r>
    </w:p>
    <w:p w14:paraId="61D583C6" w14:textId="77777777" w:rsidR="00DF4DE0" w:rsidRPr="00A54361" w:rsidRDefault="00DF4DE0" w:rsidP="00A54361">
      <w:pPr>
        <w:jc w:val="both"/>
        <w:rPr>
          <w:rFonts w:cstheme="minorHAnsi"/>
          <w:lang w:val="en-US"/>
        </w:rPr>
      </w:pPr>
      <w:r w:rsidRPr="00A54361">
        <w:rPr>
          <w:rFonts w:cstheme="minorHAnsi"/>
          <w:lang w:val="en-US"/>
        </w:rPr>
        <w:t xml:space="preserve">(i)  Bidder’s compliance with Bank’s specific technical designs or instructions (except where  Bidder  knew or should have known that such compliance was likely to result in an Infringement Claim and  Bidder  did not inform Bank of the same); </w:t>
      </w:r>
    </w:p>
    <w:p w14:paraId="572D35F2" w14:textId="655B3E82" w:rsidR="00DF4DE0" w:rsidRPr="00A54361" w:rsidRDefault="00DF4DE0" w:rsidP="00A54361">
      <w:pPr>
        <w:jc w:val="both"/>
        <w:rPr>
          <w:rFonts w:cstheme="minorHAnsi"/>
          <w:lang w:val="en-US"/>
        </w:rPr>
      </w:pPr>
      <w:r w:rsidRPr="00A54361">
        <w:rPr>
          <w:rFonts w:cstheme="minorHAnsi"/>
          <w:lang w:val="en-US"/>
        </w:rPr>
        <w:t xml:space="preserve">(ii) </w:t>
      </w:r>
      <w:r w:rsidR="00FF06BD" w:rsidRPr="00A54361">
        <w:rPr>
          <w:rFonts w:cstheme="minorHAnsi"/>
          <w:lang w:val="en-US"/>
        </w:rPr>
        <w:t>Inclusion</w:t>
      </w:r>
      <w:r w:rsidRPr="00A54361">
        <w:rPr>
          <w:rFonts w:cstheme="minorHAnsi"/>
          <w:lang w:val="en-US"/>
        </w:rPr>
        <w:t xml:space="preserve"> in a Deliverable of any content or other materials provided by Bank and the infringement relates to or arises from such Bank materials or provided material; </w:t>
      </w:r>
    </w:p>
    <w:p w14:paraId="7C7B57C8" w14:textId="417FE5CF" w:rsidR="00DF4DE0" w:rsidRPr="00A54361" w:rsidRDefault="00DF4DE0" w:rsidP="00A54361">
      <w:pPr>
        <w:jc w:val="both"/>
        <w:rPr>
          <w:rFonts w:cstheme="minorHAnsi"/>
          <w:lang w:val="en-US"/>
        </w:rPr>
      </w:pPr>
      <w:r w:rsidRPr="00A54361">
        <w:rPr>
          <w:rFonts w:cstheme="minorHAnsi"/>
          <w:lang w:val="en-US"/>
        </w:rPr>
        <w:t xml:space="preserve">(iii) </w:t>
      </w:r>
      <w:r w:rsidR="00FF06BD" w:rsidRPr="00A54361">
        <w:rPr>
          <w:rFonts w:cstheme="minorHAnsi"/>
          <w:lang w:val="en-US"/>
        </w:rPr>
        <w:t>Modification</w:t>
      </w:r>
      <w:r w:rsidRPr="00A54361">
        <w:rPr>
          <w:rFonts w:cstheme="minorHAnsi"/>
          <w:lang w:val="en-US"/>
        </w:rPr>
        <w:t xml:space="preserve"> of a Deliverable after delivery </w:t>
      </w:r>
      <w:r w:rsidR="00FF06BD" w:rsidRPr="00A54361">
        <w:rPr>
          <w:rFonts w:cstheme="minorHAnsi"/>
          <w:lang w:val="en-US"/>
        </w:rPr>
        <w:t>by Bidder</w:t>
      </w:r>
      <w:r w:rsidRPr="00A54361">
        <w:rPr>
          <w:rFonts w:cstheme="minorHAnsi"/>
          <w:lang w:val="en-US"/>
        </w:rPr>
        <w:t xml:space="preserve"> to Bank if such modification was not made by or on behalf of </w:t>
      </w:r>
      <w:r w:rsidR="00FF06BD" w:rsidRPr="00A54361">
        <w:rPr>
          <w:rFonts w:cstheme="minorHAnsi"/>
          <w:lang w:val="en-US"/>
        </w:rPr>
        <w:t>the Bidder</w:t>
      </w:r>
      <w:r w:rsidRPr="00A54361">
        <w:rPr>
          <w:rFonts w:cstheme="minorHAnsi"/>
          <w:lang w:val="en-US"/>
        </w:rPr>
        <w:t xml:space="preserve">; </w:t>
      </w:r>
    </w:p>
    <w:p w14:paraId="22E38FD1" w14:textId="4952F2D1" w:rsidR="00DF4DE0" w:rsidRPr="00A54361" w:rsidRDefault="00DF4DE0" w:rsidP="00A54361">
      <w:pPr>
        <w:jc w:val="both"/>
        <w:rPr>
          <w:rFonts w:cstheme="minorHAnsi"/>
          <w:lang w:val="en-US"/>
        </w:rPr>
      </w:pPr>
      <w:r w:rsidRPr="00A54361">
        <w:rPr>
          <w:rFonts w:cstheme="minorHAnsi"/>
          <w:lang w:val="en-US"/>
        </w:rPr>
        <w:t xml:space="preserve">(iv) operation or use of some or all of the Deliverable in combination with products, information, specification, instructions, data, materials not provided </w:t>
      </w:r>
      <w:r w:rsidR="00FF06BD" w:rsidRPr="00A54361">
        <w:rPr>
          <w:rFonts w:cstheme="minorHAnsi"/>
          <w:lang w:val="en-US"/>
        </w:rPr>
        <w:t>by Bidder</w:t>
      </w:r>
      <w:r w:rsidRPr="00A54361">
        <w:rPr>
          <w:rFonts w:cstheme="minorHAnsi"/>
          <w:lang w:val="en-US"/>
        </w:rPr>
        <w:t xml:space="preserve">; or (v) use of the Deliverables for any purposes for which the same have not been designed or developed or other than in accordance with any applicable specifications or documentation provided under the applicable Statement of Work by </w:t>
      </w:r>
      <w:r w:rsidR="00FF06BD" w:rsidRPr="00A54361">
        <w:rPr>
          <w:rFonts w:cstheme="minorHAnsi"/>
          <w:lang w:val="en-US"/>
        </w:rPr>
        <w:t>the Bidder;</w:t>
      </w:r>
      <w:r w:rsidRPr="00A54361">
        <w:rPr>
          <w:rFonts w:cstheme="minorHAnsi"/>
          <w:lang w:val="en-US"/>
        </w:rPr>
        <w:t xml:space="preserve"> or </w:t>
      </w:r>
    </w:p>
    <w:p w14:paraId="0F10F7A8" w14:textId="6855CFDC" w:rsidR="00DF4DE0" w:rsidRPr="00A54361" w:rsidRDefault="00DF4DE0" w:rsidP="00A54361">
      <w:pPr>
        <w:jc w:val="both"/>
        <w:rPr>
          <w:rFonts w:cstheme="minorHAnsi"/>
          <w:lang w:val="en-US"/>
        </w:rPr>
      </w:pPr>
      <w:r w:rsidRPr="00A54361">
        <w:rPr>
          <w:rFonts w:cstheme="minorHAnsi"/>
          <w:lang w:val="en-US"/>
        </w:rPr>
        <w:t xml:space="preserve">(v) </w:t>
      </w:r>
      <w:r w:rsidR="00FF06BD" w:rsidRPr="00A54361">
        <w:rPr>
          <w:rFonts w:cstheme="minorHAnsi"/>
          <w:lang w:val="en-US"/>
        </w:rPr>
        <w:t>Use</w:t>
      </w:r>
      <w:r w:rsidRPr="00A54361">
        <w:rPr>
          <w:rFonts w:cstheme="minorHAnsi"/>
          <w:lang w:val="en-US"/>
        </w:rPr>
        <w:t xml:space="preserve"> of a superseded release of some or all of the Deliverables or Bank’s failure to use any modification of the Deliverable furnished under this Agreement including, but not limited to, corrections, fixes, or enhancements made available by </w:t>
      </w:r>
      <w:r w:rsidR="00FF06BD" w:rsidRPr="00A54361">
        <w:rPr>
          <w:rFonts w:cstheme="minorHAnsi"/>
          <w:lang w:val="en-US"/>
        </w:rPr>
        <w:t>the Bidder</w:t>
      </w:r>
      <w:r w:rsidRPr="00A54361">
        <w:rPr>
          <w:rFonts w:cstheme="minorHAnsi"/>
          <w:lang w:val="en-US"/>
        </w:rPr>
        <w:t>.</w:t>
      </w:r>
    </w:p>
    <w:p w14:paraId="18F99A63" w14:textId="77777777" w:rsidR="00DF4DE0" w:rsidRPr="00A54361" w:rsidRDefault="00DF4DE0" w:rsidP="00A54361">
      <w:pPr>
        <w:jc w:val="both"/>
        <w:rPr>
          <w:rFonts w:cstheme="minorHAnsi"/>
          <w:lang w:val="en-US"/>
        </w:rPr>
      </w:pPr>
      <w:r w:rsidRPr="00A54361">
        <w:rPr>
          <w:rFonts w:cstheme="minorHAnsi"/>
          <w:lang w:val="en-US"/>
        </w:rPr>
        <w:t xml:space="preserve">In the event that Bank is enjoined or otherwise prohibited, or is reasonably likely to be enjoined or otherwise prohibited, from using any Deliverable as a result of or in connection with any claim for which Bidder is required to indemnify Bank under this section according to a final decision of the courts or in the view of Bidder, Bidder, may at its own expense and option: </w:t>
      </w:r>
    </w:p>
    <w:p w14:paraId="3AA47DD7" w14:textId="02432DC3" w:rsidR="00DF4DE0" w:rsidRPr="00A54361" w:rsidRDefault="00DF4DE0" w:rsidP="00A54361">
      <w:pPr>
        <w:jc w:val="both"/>
        <w:rPr>
          <w:rFonts w:cstheme="minorHAnsi"/>
          <w:lang w:val="en-US"/>
        </w:rPr>
      </w:pPr>
      <w:r w:rsidRPr="00A54361">
        <w:rPr>
          <w:rFonts w:cstheme="minorHAnsi"/>
          <w:lang w:val="en-US"/>
        </w:rPr>
        <w:t xml:space="preserve">(i) </w:t>
      </w:r>
      <w:r w:rsidR="00FF06BD" w:rsidRPr="00A54361">
        <w:rPr>
          <w:rFonts w:cstheme="minorHAnsi"/>
          <w:lang w:val="en-US"/>
        </w:rPr>
        <w:t>Procure</w:t>
      </w:r>
      <w:r w:rsidRPr="00A54361">
        <w:rPr>
          <w:rFonts w:cstheme="minorHAnsi"/>
          <w:lang w:val="en-US"/>
        </w:rPr>
        <w:t xml:space="preserve"> for Bank the right to continue using such Deliverable; </w:t>
      </w:r>
    </w:p>
    <w:p w14:paraId="537C6B95" w14:textId="2164C7DB" w:rsidR="00DF4DE0" w:rsidRPr="00A54361" w:rsidRDefault="00DF4DE0" w:rsidP="00A54361">
      <w:pPr>
        <w:jc w:val="both"/>
        <w:rPr>
          <w:rFonts w:cstheme="minorHAnsi"/>
          <w:lang w:val="en-US"/>
        </w:rPr>
      </w:pPr>
      <w:r w:rsidRPr="00A54361">
        <w:rPr>
          <w:rFonts w:cstheme="minorHAnsi"/>
          <w:lang w:val="en-US"/>
        </w:rPr>
        <w:t xml:space="preserve">(ii) </w:t>
      </w:r>
      <w:r w:rsidR="00FF06BD" w:rsidRPr="00A54361">
        <w:rPr>
          <w:rFonts w:cstheme="minorHAnsi"/>
          <w:lang w:val="en-US"/>
        </w:rPr>
        <w:t>Modify</w:t>
      </w:r>
      <w:r w:rsidRPr="00A54361">
        <w:rPr>
          <w:rFonts w:cstheme="minorHAnsi"/>
          <w:lang w:val="en-US"/>
        </w:rPr>
        <w:t xml:space="preserve"> the Deliverable so that it becomes non-infringing without materially altering its capacity or performance; </w:t>
      </w:r>
    </w:p>
    <w:p w14:paraId="67382218" w14:textId="77777777" w:rsidR="00DF4DE0" w:rsidRPr="00A54361" w:rsidRDefault="00DF4DE0" w:rsidP="00A54361">
      <w:pPr>
        <w:jc w:val="both"/>
        <w:rPr>
          <w:rFonts w:cstheme="minorHAnsi"/>
          <w:lang w:val="en-US"/>
        </w:rPr>
      </w:pPr>
      <w:r w:rsidRPr="00A54361">
        <w:rPr>
          <w:rFonts w:cstheme="minorHAnsi"/>
          <w:lang w:val="en-US"/>
        </w:rPr>
        <w:t xml:space="preserve">(iii) replace the Deliverable with work product that is equal in capacity and performance but is non-infringing; or (iv) If such measures do not achieve the desired result and if the infringement is established by a final decision of the courts or a judicial or extrajudicial settlement, the Bidder shall refund the Bank the fees effectively paid for that Deliverable by the Bank subject to depreciation for the period of Use, on a straight line depreciation over a 5 year period basis. The foregoing provides for the entire liability of the Bidder and the exclusive remedy of the Bank in matters related to infringement of third party intellectual property rights.   </w:t>
      </w:r>
    </w:p>
    <w:p w14:paraId="6F80F34B" w14:textId="77777777" w:rsidR="00DF4DE0" w:rsidRPr="00A54361" w:rsidRDefault="00DF4DE0" w:rsidP="00A54361">
      <w:pPr>
        <w:jc w:val="both"/>
        <w:rPr>
          <w:rFonts w:cstheme="minorHAnsi"/>
          <w:lang w:val="en-US"/>
        </w:rPr>
      </w:pPr>
      <w:r w:rsidRPr="00A54361">
        <w:rPr>
          <w:rFonts w:cstheme="minorHAnsi"/>
          <w:lang w:val="en-US"/>
        </w:rPr>
        <w:t>The Bank warrants that all software, information, data, materials and other assistance provided by it under this Agreement shall not infringe any intellectual property rights of third parties, and agrees that it shall at all times indemnify and hold Bidder harmless from any loss, claim, damages, costs, expenses, including Attorney’s fees, which may be incurred as a result of any action or claim that may be made or initiated against it by any third parties alleging infringement of their rights.</w:t>
      </w:r>
    </w:p>
    <w:p w14:paraId="78883E61" w14:textId="06B12D02" w:rsidR="0073768F" w:rsidRPr="00A54361" w:rsidRDefault="0073768F" w:rsidP="00A54361">
      <w:pPr>
        <w:pStyle w:val="Heading1"/>
        <w:numPr>
          <w:ilvl w:val="0"/>
          <w:numId w:val="48"/>
        </w:numPr>
        <w:jc w:val="both"/>
        <w:rPr>
          <w:rFonts w:asciiTheme="minorHAnsi" w:hAnsiTheme="minorHAnsi" w:cstheme="minorHAnsi"/>
          <w:color w:val="auto"/>
        </w:rPr>
      </w:pPr>
      <w:bookmarkStart w:id="203" w:name="_Toc129668501"/>
      <w:bookmarkStart w:id="204" w:name="_Toc182233379"/>
      <w:r w:rsidRPr="00A54361">
        <w:rPr>
          <w:rFonts w:asciiTheme="minorHAnsi" w:hAnsiTheme="minorHAnsi" w:cstheme="minorHAnsi"/>
          <w:color w:val="auto"/>
        </w:rPr>
        <w:lastRenderedPageBreak/>
        <w:t>Confidentiality &amp; Non-Disclosure</w:t>
      </w:r>
      <w:bookmarkEnd w:id="203"/>
      <w:bookmarkEnd w:id="204"/>
    </w:p>
    <w:p w14:paraId="12DA828F" w14:textId="4221B1DC" w:rsidR="0073768F" w:rsidRPr="00A54361" w:rsidRDefault="0073768F" w:rsidP="00A54361">
      <w:pPr>
        <w:jc w:val="both"/>
        <w:rPr>
          <w:rFonts w:cstheme="minorHAnsi"/>
        </w:rPr>
      </w:pPr>
      <w:r w:rsidRPr="00A54361">
        <w:rPr>
          <w:rFonts w:cstheme="minorHAnsi"/>
        </w:rPr>
        <w:t>The bidder is bound by this agreement for not disclosing the Banks data and other information. Resources working in the premises of the Bank are liable to follow the rules and regulations of the Bank</w:t>
      </w:r>
      <w:r w:rsidR="002826A7" w:rsidRPr="00A54361">
        <w:rPr>
          <w:rFonts w:cstheme="minorHAnsi"/>
        </w:rPr>
        <w:t>.</w:t>
      </w:r>
    </w:p>
    <w:p w14:paraId="2CE1C6EE" w14:textId="460FA753" w:rsidR="0073768F" w:rsidRPr="00A54361" w:rsidRDefault="0073768F" w:rsidP="00A54361">
      <w:pPr>
        <w:jc w:val="both"/>
        <w:rPr>
          <w:rFonts w:cstheme="minorHAnsi"/>
        </w:rPr>
      </w:pPr>
      <w:r w:rsidRPr="00A54361">
        <w:rPr>
          <w:rFonts w:cstheme="minorHAnsi"/>
        </w:rPr>
        <w:t>The document contains information confidential and proprietary to the Bank. Additionally, the bidder will be exposed by virtue of the contracted activities to the internal business and operational information of the Bank, affiliates, and/or business partners, disclosure of receipt of this tender or any part of the aforementioned information to parties not directly involved in providing the requested services could result in the disqualification of the bidders, premature termination of the contract, or legal action against the bidder for breach of trust.</w:t>
      </w:r>
    </w:p>
    <w:p w14:paraId="6192E807" w14:textId="4FC874FA" w:rsidR="0073768F" w:rsidRPr="00A54361" w:rsidRDefault="0073768F" w:rsidP="00A54361">
      <w:pPr>
        <w:jc w:val="both"/>
        <w:rPr>
          <w:rFonts w:cstheme="minorHAnsi"/>
        </w:rPr>
      </w:pPr>
      <w:r w:rsidRPr="00A54361">
        <w:rPr>
          <w:rFonts w:cstheme="minorHAnsi"/>
        </w:rPr>
        <w:t>No news release, public announcement or any other reference to the order, relating to the contracted work if allotted with the assignment or any program hereunder shall be made without written consent from the Bank.</w:t>
      </w:r>
    </w:p>
    <w:p w14:paraId="583C79E7" w14:textId="13041DE8" w:rsidR="0073768F" w:rsidRPr="00A54361" w:rsidRDefault="0073768F" w:rsidP="00A54361">
      <w:pPr>
        <w:jc w:val="both"/>
        <w:rPr>
          <w:rFonts w:cstheme="minorHAnsi"/>
        </w:rPr>
      </w:pPr>
      <w:r w:rsidRPr="00A54361">
        <w:rPr>
          <w:rFonts w:cstheme="minorHAnsi"/>
        </w:rPr>
        <w:t>As the bidder providing support services for multiple Banks, the bidder at all times should take care to build strong safeguards so that there is no mixing together of information/ documents, records and assets is happening by any chance.</w:t>
      </w:r>
    </w:p>
    <w:p w14:paraId="68F7D56D" w14:textId="49861D7F" w:rsidR="0073768F" w:rsidRPr="00A54361" w:rsidRDefault="0073768F" w:rsidP="00A54361">
      <w:pPr>
        <w:jc w:val="both"/>
        <w:rPr>
          <w:rFonts w:cstheme="minorHAnsi"/>
        </w:rPr>
      </w:pPr>
      <w:r w:rsidRPr="00A54361">
        <w:rPr>
          <w:rFonts w:cstheme="minorHAnsi"/>
        </w:rPr>
        <w:t xml:space="preserve">The bidder should undertake to maintain confidentiality of the Banks information </w:t>
      </w:r>
      <w:r w:rsidR="00D84BCA" w:rsidRPr="00A54361">
        <w:rPr>
          <w:rFonts w:cstheme="minorHAnsi"/>
        </w:rPr>
        <w:t>even</w:t>
      </w:r>
      <w:r w:rsidR="0012777F" w:rsidRPr="00A54361">
        <w:rPr>
          <w:rFonts w:cstheme="minorHAnsi"/>
        </w:rPr>
        <w:t xml:space="preserve"> </w:t>
      </w:r>
      <w:r w:rsidRPr="00A54361">
        <w:rPr>
          <w:rFonts w:cstheme="minorHAnsi"/>
        </w:rPr>
        <w:t>after the termination / expiry of the contracts.</w:t>
      </w:r>
    </w:p>
    <w:p w14:paraId="765894C4" w14:textId="234AA56F" w:rsidR="0073768F" w:rsidRPr="00A54361" w:rsidRDefault="0073768F" w:rsidP="00A54361">
      <w:pPr>
        <w:jc w:val="both"/>
        <w:rPr>
          <w:rFonts w:cstheme="minorHAnsi"/>
        </w:rPr>
      </w:pPr>
      <w:r w:rsidRPr="00A54361">
        <w:rPr>
          <w:rFonts w:cstheme="minorHAnsi"/>
        </w:rPr>
        <w:t>The Non-Disclosure Agreement (NDA) should be entered in to between the Bank and the successful bidder within a period of 21 days from, the date of acceptance of purchase order.</w:t>
      </w:r>
    </w:p>
    <w:p w14:paraId="01B969CC" w14:textId="326BAED1" w:rsidR="0073768F" w:rsidRPr="00A54361" w:rsidRDefault="0073768F" w:rsidP="00A54361">
      <w:pPr>
        <w:spacing w:before="120" w:after="120"/>
        <w:jc w:val="both"/>
        <w:rPr>
          <w:rFonts w:cstheme="minorHAnsi"/>
          <w:b/>
          <w:bCs/>
        </w:rPr>
      </w:pPr>
      <w:r w:rsidRPr="00A54361">
        <w:rPr>
          <w:rFonts w:cstheme="minorHAnsi"/>
          <w:b/>
          <w:bCs/>
        </w:rPr>
        <w:t>Guarantee on Software License</w:t>
      </w:r>
    </w:p>
    <w:p w14:paraId="681E637C" w14:textId="3C35420F" w:rsidR="0073768F" w:rsidRPr="00A54361" w:rsidRDefault="0073768F" w:rsidP="00A54361">
      <w:pPr>
        <w:spacing w:before="120" w:after="120"/>
        <w:jc w:val="both"/>
        <w:rPr>
          <w:rFonts w:cstheme="minorHAnsi"/>
        </w:rPr>
      </w:pPr>
      <w:r w:rsidRPr="00A54361">
        <w:rPr>
          <w:rFonts w:cstheme="minorHAnsi"/>
        </w:rPr>
        <w:t>The bidder shall guarantee that the software supplied under this contract to the Bank is licensed and legally obtained. Software supplied should not have any embedded malicious and virus programs.</w:t>
      </w:r>
    </w:p>
    <w:p w14:paraId="623420C6" w14:textId="7CCA2C97" w:rsidR="0073768F" w:rsidRPr="00A54361" w:rsidRDefault="0073768F" w:rsidP="00A54361">
      <w:pPr>
        <w:pStyle w:val="Heading1"/>
        <w:numPr>
          <w:ilvl w:val="0"/>
          <w:numId w:val="48"/>
        </w:numPr>
        <w:jc w:val="both"/>
        <w:rPr>
          <w:rFonts w:asciiTheme="minorHAnsi" w:hAnsiTheme="minorHAnsi" w:cstheme="minorHAnsi"/>
          <w:color w:val="auto"/>
        </w:rPr>
      </w:pPr>
      <w:bookmarkStart w:id="205" w:name="_Toc129668502"/>
      <w:bookmarkStart w:id="206" w:name="_Toc182233380"/>
      <w:r w:rsidRPr="00A54361">
        <w:rPr>
          <w:rFonts w:asciiTheme="minorHAnsi" w:hAnsiTheme="minorHAnsi" w:cstheme="minorHAnsi"/>
          <w:color w:val="auto"/>
        </w:rPr>
        <w:t>Force Majeure</w:t>
      </w:r>
      <w:bookmarkEnd w:id="205"/>
      <w:bookmarkEnd w:id="206"/>
    </w:p>
    <w:p w14:paraId="4E2B1187" w14:textId="7B0E1F65" w:rsidR="0073768F" w:rsidRPr="00A54361" w:rsidRDefault="0073768F" w:rsidP="00A54361">
      <w:pPr>
        <w:spacing w:before="120" w:after="120"/>
        <w:jc w:val="both"/>
        <w:rPr>
          <w:rFonts w:cstheme="minorHAnsi"/>
        </w:rPr>
      </w:pPr>
      <w:r w:rsidRPr="00A54361">
        <w:rPr>
          <w:rFonts w:cstheme="minorHAnsi"/>
        </w:rPr>
        <w:t xml:space="preserve">The parties shall not be liable for default or non-performance of the obligations under the contract, if such default or non-performance of the obligations under this contract is caused by any reason or circumstances or occurrences beyond the control of the parties, as a result of force majeure. For the purpose of this clause, “Force Majeure” shall mean an event beyond the control of the parties, </w:t>
      </w:r>
      <w:r w:rsidR="0012777F" w:rsidRPr="00A54361">
        <w:rPr>
          <w:rFonts w:cstheme="minorHAnsi"/>
        </w:rPr>
        <w:t xml:space="preserve">including but not limited to, </w:t>
      </w:r>
      <w:r w:rsidRPr="00A54361">
        <w:rPr>
          <w:rFonts w:cstheme="minorHAnsi"/>
        </w:rPr>
        <w:t>due to or as a result of or caused by acts of God, wars, epidemic/pandemic, insurrections, riots, earth quake and fire, events not foreseeable but does not include any fault or negligence or carelessness on the part of the parties, resulting in such a situation.</w:t>
      </w:r>
    </w:p>
    <w:p w14:paraId="73A05126" w14:textId="43C9BBFA" w:rsidR="0073768F" w:rsidRPr="00A54361" w:rsidRDefault="0073768F" w:rsidP="00A54361">
      <w:pPr>
        <w:spacing w:before="120" w:after="120"/>
        <w:jc w:val="both"/>
        <w:rPr>
          <w:rFonts w:cstheme="minorHAnsi"/>
        </w:rPr>
      </w:pPr>
      <w:r w:rsidRPr="00A54361">
        <w:rPr>
          <w:rFonts w:cstheme="minorHAnsi"/>
        </w:rPr>
        <w:t xml:space="preserve">In the event of any such intervening Force Majeure, each party shall notify the other party in writing of such circumstances and the cause thereof immediately within </w:t>
      </w:r>
      <w:r w:rsidR="0012777F" w:rsidRPr="00A54361">
        <w:rPr>
          <w:rFonts w:cstheme="minorHAnsi"/>
        </w:rPr>
        <w:t>seven business</w:t>
      </w:r>
      <w:r w:rsidRPr="00A54361">
        <w:rPr>
          <w:rFonts w:cstheme="minorHAnsi"/>
        </w:rPr>
        <w:t xml:space="preserve"> days. Unless otherwise directed by the other party, the party pleading Force Majeure shall continue to perform/render/discharge other obligations as far as they can reasonably be attended/fulfilled and shall seek all reasonable alternative means for performance affected by the Event of Force Majeure.</w:t>
      </w:r>
    </w:p>
    <w:p w14:paraId="6EE7AF32" w14:textId="75F4E5F3" w:rsidR="0073768F" w:rsidRPr="00A54361" w:rsidRDefault="0073768F" w:rsidP="00A54361">
      <w:pPr>
        <w:spacing w:before="120" w:after="120"/>
        <w:jc w:val="both"/>
        <w:rPr>
          <w:rFonts w:cstheme="minorHAnsi"/>
        </w:rPr>
      </w:pPr>
      <w:r w:rsidRPr="00A54361">
        <w:rPr>
          <w:rFonts w:cstheme="minorHAnsi"/>
        </w:rPr>
        <w:t xml:space="preserve">In such a case, the time for performance shall be extended by a period(s) not less than the duration of such delay. If the duration of delay continues beyond a period of three months due to force majeure situation, the parties shall hold consultations with each other in an </w:t>
      </w:r>
      <w:r w:rsidR="00FF06BD" w:rsidRPr="00A54361">
        <w:rPr>
          <w:rFonts w:cstheme="minorHAnsi"/>
        </w:rPr>
        <w:t>endeavour</w:t>
      </w:r>
      <w:r w:rsidRPr="00A54361">
        <w:rPr>
          <w:rFonts w:cstheme="minorHAnsi"/>
        </w:rPr>
        <w:t xml:space="preserve"> to find a solution to the </w:t>
      </w:r>
      <w:r w:rsidRPr="00A54361">
        <w:rPr>
          <w:rFonts w:cstheme="minorHAnsi"/>
        </w:rPr>
        <w:lastRenderedPageBreak/>
        <w:t>problem. However</w:t>
      </w:r>
      <w:r w:rsidR="0057053E" w:rsidRPr="00A54361">
        <w:rPr>
          <w:rFonts w:cstheme="minorHAnsi"/>
        </w:rPr>
        <w:t xml:space="preserve"> bidder shall be entitled to receive payments for all services actually rendered upto the date of termination of date of agreement. The</w:t>
      </w:r>
      <w:r w:rsidRPr="00A54361">
        <w:rPr>
          <w:rFonts w:cstheme="minorHAnsi"/>
        </w:rPr>
        <w:t xml:space="preserve"> financial constraints by way of increased cost to perform the obligations shall not be treated as a force majeure situation if the obligations can otherwise be performed. </w:t>
      </w:r>
    </w:p>
    <w:p w14:paraId="341D62D7" w14:textId="4EE61F3D" w:rsidR="0073768F" w:rsidRPr="00A54361" w:rsidRDefault="0073768F" w:rsidP="00A54361">
      <w:pPr>
        <w:pStyle w:val="Heading1"/>
        <w:numPr>
          <w:ilvl w:val="0"/>
          <w:numId w:val="48"/>
        </w:numPr>
        <w:jc w:val="both"/>
        <w:rPr>
          <w:rFonts w:asciiTheme="minorHAnsi" w:hAnsiTheme="minorHAnsi" w:cstheme="minorHAnsi"/>
          <w:color w:val="auto"/>
        </w:rPr>
      </w:pPr>
      <w:bookmarkStart w:id="207" w:name="_Toc129668503"/>
      <w:bookmarkStart w:id="208" w:name="_Toc182233381"/>
      <w:r w:rsidRPr="00A54361">
        <w:rPr>
          <w:rFonts w:asciiTheme="minorHAnsi" w:hAnsiTheme="minorHAnsi" w:cstheme="minorHAnsi"/>
          <w:color w:val="auto"/>
        </w:rPr>
        <w:t>Resolution of Disputes</w:t>
      </w:r>
      <w:bookmarkEnd w:id="207"/>
      <w:bookmarkEnd w:id="208"/>
    </w:p>
    <w:p w14:paraId="7F573819" w14:textId="77777777" w:rsidR="0012777F" w:rsidRPr="00A54361" w:rsidRDefault="0012777F" w:rsidP="00A54361">
      <w:pPr>
        <w:spacing w:before="120" w:after="120"/>
        <w:jc w:val="both"/>
        <w:rPr>
          <w:rFonts w:cstheme="minorHAnsi"/>
        </w:rPr>
      </w:pPr>
      <w:r w:rsidRPr="00A54361">
        <w:rPr>
          <w:rFonts w:cstheme="minorHAnsi"/>
        </w:rPr>
        <w:t>The Bank and the bidder shall make every effort to resolve amicably, by direct informal negotiation, any disagreement or dispute arising between them under or in connection with the contract. If after thirty days from the commencement of such informal negotiations, the Bank and the Bidder have been unable to resolve amicably a contract dispute, either party may require that the dispute be referred for resolution by formal arbitration.</w:t>
      </w:r>
    </w:p>
    <w:p w14:paraId="50101184" w14:textId="7EA51541" w:rsidR="0012777F" w:rsidRPr="00A54361" w:rsidRDefault="0012777F" w:rsidP="00A54361">
      <w:pPr>
        <w:spacing w:before="120" w:after="120"/>
        <w:jc w:val="both"/>
        <w:rPr>
          <w:rFonts w:cstheme="minorHAnsi"/>
        </w:rPr>
      </w:pPr>
      <w:r w:rsidRPr="00A54361">
        <w:rPr>
          <w:rFonts w:cstheme="minorHAnsi"/>
        </w:rPr>
        <w:t>All questions, disputes or differences arising under and out of, or in connection with the contract</w:t>
      </w:r>
      <w:r w:rsidR="00FF06BD" w:rsidRPr="00A54361">
        <w:rPr>
          <w:rFonts w:cstheme="minorHAnsi"/>
        </w:rPr>
        <w:t xml:space="preserve"> shall be referred to a sole arbitrator to be appointed mutually by the parties and in case of failure to appoint a sole arbitrator within 15 days from the raising of dispute the same shall be referred to the Arbitration Tribunal: </w:t>
      </w:r>
      <w:r w:rsidRPr="00A54361">
        <w:rPr>
          <w:rFonts w:cstheme="minorHAnsi"/>
        </w:rPr>
        <w:t>one Arbitrator to be nominated by the Bank and the other to be nominated by the Bidder and the Presiding Arbitrator shall be appointed by the two Arbitrators appointed by the parties.</w:t>
      </w:r>
    </w:p>
    <w:p w14:paraId="137CC74D" w14:textId="69044595" w:rsidR="0012777F" w:rsidRPr="00A54361" w:rsidRDefault="0012777F" w:rsidP="00A54361">
      <w:pPr>
        <w:spacing w:before="120" w:after="120"/>
        <w:jc w:val="both"/>
        <w:rPr>
          <w:rFonts w:cstheme="minorHAnsi"/>
        </w:rPr>
      </w:pPr>
      <w:r w:rsidRPr="00A54361">
        <w:rPr>
          <w:rFonts w:cstheme="minorHAnsi"/>
        </w:rPr>
        <w:t>The decision of the Arbitration Tribunal shall be final and binding on the parties. The Arbitration and Reconciliation Act 1996 shall apply to the arbitration proceedings and the venue of the arbitration shall be Mumbai. The Language of Arbitration will be English. Notwithstanding the existence of a dispute, and/or the commencement of arbitration proceedings, bidder will continue to perform its contractual obligations and the Bank will continue to pay for all products and services that are accepted by it, provided that all products and services are serving as per the agreed scope between the parties.</w:t>
      </w:r>
    </w:p>
    <w:p w14:paraId="19BF4FE5" w14:textId="3671B267" w:rsidR="0073768F" w:rsidRPr="00A54361" w:rsidRDefault="0073768F" w:rsidP="00A54361">
      <w:pPr>
        <w:spacing w:before="120" w:after="120"/>
        <w:jc w:val="both"/>
        <w:rPr>
          <w:rFonts w:cstheme="minorHAnsi"/>
        </w:rPr>
      </w:pPr>
      <w:r w:rsidRPr="00A54361">
        <w:rPr>
          <w:rFonts w:cstheme="minorHAnsi"/>
        </w:rPr>
        <w:t>If a notice has to be sent to either of the parties following the signing of the contract, it has to be in writing and shall be first transmitted by facsimile transmission, by postage prepaid registered post with acknowledgement due or by a reputed courier service, in the manner as elected by the Party giving such notice. All notices shall be deemed to have been validly given on (i) the business date immediately after the date of transmission with confirmed answer back, if transmitted by facsimile transmission, or (ii) on the date of acknowledgment signed by the receiver or (iii) the business date of receipt, if sent by courier.</w:t>
      </w:r>
    </w:p>
    <w:p w14:paraId="42D5EC97" w14:textId="693F5B05" w:rsidR="0073768F" w:rsidRPr="00A54361" w:rsidRDefault="0073768F" w:rsidP="00A54361">
      <w:pPr>
        <w:spacing w:before="120" w:after="120"/>
        <w:jc w:val="both"/>
        <w:rPr>
          <w:rFonts w:cstheme="minorHAnsi"/>
        </w:rPr>
      </w:pPr>
      <w:r w:rsidRPr="00A54361">
        <w:rPr>
          <w:rFonts w:cstheme="minorHAnsi"/>
        </w:rPr>
        <w:t xml:space="preserve">This RFP </w:t>
      </w:r>
      <w:r w:rsidR="007711E3">
        <w:rPr>
          <w:rFonts w:cstheme="minorHAnsi"/>
        </w:rPr>
        <w:t xml:space="preserve">and consequent contract </w:t>
      </w:r>
      <w:r w:rsidRPr="00A54361">
        <w:rPr>
          <w:rFonts w:cstheme="minorHAnsi"/>
        </w:rPr>
        <w:t xml:space="preserve">shall be governed and construed in accordance with the laws of India. The courts of Mumbai alone and no other courts shall be entitled to entertain and try any dispute or matter relating to or arising out of this RFP. </w:t>
      </w:r>
    </w:p>
    <w:p w14:paraId="60210804" w14:textId="032BE34C" w:rsidR="0073768F" w:rsidRPr="00A54361" w:rsidRDefault="0073768F" w:rsidP="00A54361">
      <w:pPr>
        <w:pStyle w:val="Heading1"/>
        <w:numPr>
          <w:ilvl w:val="0"/>
          <w:numId w:val="48"/>
        </w:numPr>
        <w:jc w:val="both"/>
        <w:rPr>
          <w:rFonts w:asciiTheme="minorHAnsi" w:hAnsiTheme="minorHAnsi" w:cstheme="minorHAnsi"/>
          <w:color w:val="auto"/>
        </w:rPr>
      </w:pPr>
      <w:bookmarkStart w:id="209" w:name="_Toc129668505"/>
      <w:bookmarkStart w:id="210" w:name="_Toc182233382"/>
      <w:r w:rsidRPr="00A54361">
        <w:rPr>
          <w:rFonts w:asciiTheme="minorHAnsi" w:hAnsiTheme="minorHAnsi" w:cstheme="minorHAnsi"/>
          <w:color w:val="auto"/>
        </w:rPr>
        <w:t>Independent Contractor</w:t>
      </w:r>
      <w:bookmarkEnd w:id="209"/>
      <w:bookmarkEnd w:id="210"/>
    </w:p>
    <w:p w14:paraId="2A6C8117" w14:textId="724ADFF4" w:rsidR="0073768F" w:rsidRPr="00A54361" w:rsidRDefault="0073768F" w:rsidP="00A54361">
      <w:pPr>
        <w:spacing w:before="120" w:after="120"/>
        <w:jc w:val="both"/>
        <w:rPr>
          <w:rFonts w:cstheme="minorHAnsi"/>
        </w:rPr>
      </w:pPr>
      <w:r w:rsidRPr="00A54361">
        <w:rPr>
          <w:rFonts w:cstheme="minorHAnsi"/>
        </w:rPr>
        <w:t>Nothing herein contained will be construed to imply a joint venture, partnership, principal</w:t>
      </w:r>
      <w:r w:rsidR="009213F8" w:rsidRPr="00A54361">
        <w:rPr>
          <w:rFonts w:cstheme="minorHAnsi"/>
        </w:rPr>
        <w:t xml:space="preserve"> </w:t>
      </w:r>
      <w:r w:rsidRPr="00A54361">
        <w:rPr>
          <w:rFonts w:cstheme="minorHAnsi"/>
        </w:rPr>
        <w:t xml:space="preserve">agent relationship or co-employment or joint employment between the Bank and Bidder. Bidder, in furnishing services to the Bank hereunder, is acting only as an independent contractor. Bidder does not undertake by this Agreement or otherwise to perform any obligation of the Bank, whether regulatory or contractual, or to assume any responsibility for the Bank’s business or operations. The parties agree that, to the fullest extent permitted by applicable law; Bidder has not, and is not, assuming any duty or obligation that the Bank may owe to its customers or any other person. The bidder shall follow all the rules, regulations statutes and local laws and shall not commit breach of any </w:t>
      </w:r>
      <w:r w:rsidRPr="00A54361">
        <w:rPr>
          <w:rFonts w:cstheme="minorHAnsi"/>
        </w:rPr>
        <w:lastRenderedPageBreak/>
        <w:t>such applicable laws, regulations etc. In respect of sub-contracts, as applicable – If required by the Bidders, should provide complete details of any subcontractor/s used for the purpose of this engagement. It is clarified that notwithstanding the use of sub-contractors by the Bidder, the Bidder shall be solely responsible for performance of all obligations under the SLA/NDA (Non-Disclosure Agreement) irrespective of the failure or inability of the subcontractor chosen by the Bidder to perform its obligations. The Bidder shall also have the responsibility for payment of all dues and contributions, as applicable, towards statutory benefits including labour laws for its employees and sub-contractors or as the case may be. Bidder should take bank’s prior written permission before subcontracting/ resource outsourcing of any work related to the performance of this RFP or as the case may be</w:t>
      </w:r>
      <w:r w:rsidR="0012777F" w:rsidRPr="00A54361">
        <w:rPr>
          <w:rFonts w:cstheme="minorHAnsi"/>
        </w:rPr>
        <w:t>, which permission shall not be unreasonably withheld by the Bank</w:t>
      </w:r>
      <w:r w:rsidRPr="00A54361">
        <w:rPr>
          <w:rFonts w:cstheme="minorHAnsi"/>
        </w:rPr>
        <w:t>. The bidder should ensure that the due diligence and verification of antecedents of employees/personnel deployed by him for this project are completed and is available for scrutiny by the Bank.</w:t>
      </w:r>
    </w:p>
    <w:p w14:paraId="24E2584E" w14:textId="68E71F5E" w:rsidR="0073768F" w:rsidRPr="00A54361" w:rsidRDefault="0073768F" w:rsidP="00A54361">
      <w:pPr>
        <w:pStyle w:val="Heading1"/>
        <w:numPr>
          <w:ilvl w:val="0"/>
          <w:numId w:val="48"/>
        </w:numPr>
        <w:jc w:val="both"/>
        <w:rPr>
          <w:rFonts w:asciiTheme="minorHAnsi" w:hAnsiTheme="minorHAnsi" w:cstheme="minorHAnsi"/>
          <w:color w:val="auto"/>
        </w:rPr>
      </w:pPr>
      <w:bookmarkStart w:id="211" w:name="_Toc129668506"/>
      <w:bookmarkStart w:id="212" w:name="_Toc182233383"/>
      <w:r w:rsidRPr="00A54361">
        <w:rPr>
          <w:rFonts w:asciiTheme="minorHAnsi" w:hAnsiTheme="minorHAnsi" w:cstheme="minorHAnsi"/>
          <w:color w:val="auto"/>
        </w:rPr>
        <w:t>Assignment</w:t>
      </w:r>
      <w:bookmarkEnd w:id="211"/>
      <w:bookmarkEnd w:id="212"/>
    </w:p>
    <w:p w14:paraId="49FCDA3F" w14:textId="2A88AA5F" w:rsidR="0073768F" w:rsidRPr="00A54361" w:rsidRDefault="0073768F" w:rsidP="00A54361">
      <w:pPr>
        <w:spacing w:before="120" w:after="120"/>
        <w:jc w:val="both"/>
        <w:rPr>
          <w:rFonts w:cstheme="minorHAnsi"/>
        </w:rPr>
      </w:pPr>
      <w:r w:rsidRPr="00A54361">
        <w:rPr>
          <w:rFonts w:cstheme="minorHAnsi"/>
        </w:rPr>
        <w:t xml:space="preserve">Bank may assign the Project and the solution and services provided therein by Bidder in whole or as part of a corporate reorganization, consolidation, merger, or sale of substantially all of its assets. The Bank shall have the right to assign such portion of the facilities management services to any of the Contractor/sub-contractor, at its sole option, upon the occurrence of the following: (i) Bidder refuses to perform; (ii) Bidder is unable to perform; (iii) termination of the contract with Bidder for any reason whatsoever;(iv) expiry of the contract. Such right shall be without prejudice to the rights and remedies, which the Bank may have against Bidder. Bidder shall ensure that the said sub-contractors shall agree to provide such services to the Bank at no less </w:t>
      </w:r>
      <w:r w:rsidR="00FF06BD" w:rsidRPr="00A54361">
        <w:rPr>
          <w:rFonts w:cstheme="minorHAnsi"/>
        </w:rPr>
        <w:t>favourable</w:t>
      </w:r>
      <w:r w:rsidRPr="00A54361">
        <w:rPr>
          <w:rFonts w:cstheme="minorHAnsi"/>
        </w:rPr>
        <w:t xml:space="preserve"> terms than that provided by Bidder and shall include appropriate wordings to this effect in the agreement entered into by Bidder with such sub-contractors. The assignment envisaged in this scenario is only in certain extreme events such as refusal or inability of Bidder to perform or termination/expiry of the contract/project.</w:t>
      </w:r>
    </w:p>
    <w:p w14:paraId="11933D02" w14:textId="1448A027" w:rsidR="0073768F" w:rsidRPr="00A54361" w:rsidRDefault="0073768F" w:rsidP="00A54361">
      <w:pPr>
        <w:pStyle w:val="Heading1"/>
        <w:numPr>
          <w:ilvl w:val="0"/>
          <w:numId w:val="48"/>
        </w:numPr>
        <w:jc w:val="both"/>
        <w:rPr>
          <w:rFonts w:asciiTheme="minorHAnsi" w:hAnsiTheme="minorHAnsi" w:cstheme="minorHAnsi"/>
          <w:color w:val="auto"/>
        </w:rPr>
      </w:pPr>
      <w:bookmarkStart w:id="213" w:name="_Toc129668507"/>
      <w:bookmarkStart w:id="214" w:name="_Toc182233384"/>
      <w:r w:rsidRPr="00A54361">
        <w:rPr>
          <w:rFonts w:asciiTheme="minorHAnsi" w:hAnsiTheme="minorHAnsi" w:cstheme="minorHAnsi"/>
          <w:color w:val="auto"/>
        </w:rPr>
        <w:t>Execution of Contract, SLA &amp; NDA</w:t>
      </w:r>
      <w:bookmarkEnd w:id="213"/>
      <w:bookmarkEnd w:id="214"/>
    </w:p>
    <w:p w14:paraId="67CFA445" w14:textId="77777777" w:rsidR="0073768F" w:rsidRPr="00A54361" w:rsidRDefault="0073768F" w:rsidP="00A54361">
      <w:pPr>
        <w:spacing w:before="120" w:after="120"/>
        <w:jc w:val="both"/>
        <w:rPr>
          <w:rFonts w:cstheme="minorHAnsi"/>
        </w:rPr>
      </w:pPr>
      <w:r w:rsidRPr="00A54361">
        <w:rPr>
          <w:rFonts w:cstheme="minorHAnsi"/>
        </w:rPr>
        <w:t xml:space="preserve">The bidder and Bank should execute </w:t>
      </w:r>
    </w:p>
    <w:p w14:paraId="5FB87510" w14:textId="1070091A" w:rsidR="0073768F" w:rsidRPr="00A54361" w:rsidRDefault="0073768F" w:rsidP="00A54361">
      <w:pPr>
        <w:pStyle w:val="ListParagraph"/>
        <w:numPr>
          <w:ilvl w:val="0"/>
          <w:numId w:val="18"/>
        </w:numPr>
        <w:spacing w:before="120" w:after="120"/>
        <w:jc w:val="both"/>
        <w:rPr>
          <w:rFonts w:cstheme="minorHAnsi"/>
        </w:rPr>
      </w:pPr>
      <w:r w:rsidRPr="00A54361">
        <w:rPr>
          <w:rFonts w:cstheme="minorHAnsi"/>
        </w:rPr>
        <w:t xml:space="preserve">Contract, which would include all the services and terms and conditions of the services to be extended as detailed herein and as may be prescribed by the Bank and </w:t>
      </w:r>
    </w:p>
    <w:p w14:paraId="11D15C2D" w14:textId="1B3A354B" w:rsidR="0073768F" w:rsidRPr="00A54361" w:rsidRDefault="0073768F" w:rsidP="00A54361">
      <w:pPr>
        <w:pStyle w:val="ListParagraph"/>
        <w:numPr>
          <w:ilvl w:val="0"/>
          <w:numId w:val="18"/>
        </w:numPr>
        <w:spacing w:before="120" w:after="120"/>
        <w:jc w:val="both"/>
        <w:rPr>
          <w:rFonts w:cstheme="minorHAnsi"/>
        </w:rPr>
      </w:pPr>
      <w:r w:rsidRPr="00A54361">
        <w:rPr>
          <w:rFonts w:cstheme="minorHAnsi"/>
        </w:rPr>
        <w:t xml:space="preserve">Non-disclosure Agreement. </w:t>
      </w:r>
    </w:p>
    <w:p w14:paraId="159CB13B" w14:textId="3AFF681E" w:rsidR="0073768F" w:rsidRPr="00A54361" w:rsidRDefault="0073768F" w:rsidP="00A54361">
      <w:pPr>
        <w:pStyle w:val="ListParagraph"/>
        <w:numPr>
          <w:ilvl w:val="0"/>
          <w:numId w:val="18"/>
        </w:numPr>
        <w:spacing w:before="120" w:after="120"/>
        <w:jc w:val="both"/>
        <w:rPr>
          <w:rFonts w:cstheme="minorHAnsi"/>
        </w:rPr>
      </w:pPr>
      <w:r w:rsidRPr="00A54361">
        <w:rPr>
          <w:rFonts w:cstheme="minorHAnsi"/>
        </w:rPr>
        <w:t>The bidder should execute the contract, SLA and NDA within 21 days from the date of acceptance of the Purchase Order.</w:t>
      </w:r>
    </w:p>
    <w:p w14:paraId="3E6748CA" w14:textId="1B44F6D4" w:rsidR="00BC069C" w:rsidRPr="00A54361" w:rsidRDefault="00BC069C" w:rsidP="00A54361">
      <w:pPr>
        <w:pStyle w:val="ListParagraph"/>
        <w:numPr>
          <w:ilvl w:val="0"/>
          <w:numId w:val="18"/>
        </w:numPr>
        <w:spacing w:before="120" w:after="120"/>
        <w:jc w:val="both"/>
        <w:rPr>
          <w:rFonts w:cstheme="minorHAnsi"/>
        </w:rPr>
      </w:pPr>
      <w:r w:rsidRPr="00A54361">
        <w:rPr>
          <w:rFonts w:cstheme="minorHAnsi"/>
        </w:rPr>
        <w:t xml:space="preserve">The term of the contract shall be for a period of 5 years from the date of </w:t>
      </w:r>
      <w:r w:rsidR="005703E3" w:rsidRPr="00A54361">
        <w:rPr>
          <w:rFonts w:cstheme="minorHAnsi"/>
        </w:rPr>
        <w:t>Go live.</w:t>
      </w:r>
    </w:p>
    <w:p w14:paraId="734A205C" w14:textId="439F4939" w:rsidR="0073768F" w:rsidRPr="00A54361" w:rsidRDefault="00250574" w:rsidP="00A54361">
      <w:pPr>
        <w:pStyle w:val="Heading1"/>
        <w:numPr>
          <w:ilvl w:val="0"/>
          <w:numId w:val="48"/>
        </w:numPr>
        <w:jc w:val="both"/>
        <w:rPr>
          <w:rFonts w:asciiTheme="minorHAnsi" w:hAnsiTheme="minorHAnsi" w:cstheme="minorHAnsi"/>
          <w:color w:val="auto"/>
        </w:rPr>
      </w:pPr>
      <w:bookmarkStart w:id="215" w:name="_Toc129668508"/>
      <w:bookmarkStart w:id="216" w:name="_Toc182233385"/>
      <w:r>
        <w:rPr>
          <w:rFonts w:asciiTheme="minorHAnsi" w:hAnsiTheme="minorHAnsi" w:cstheme="minorHAnsi"/>
          <w:color w:val="auto"/>
        </w:rPr>
        <w:t>Vendor</w:t>
      </w:r>
      <w:r w:rsidR="0073768F" w:rsidRPr="00A54361">
        <w:rPr>
          <w:rFonts w:asciiTheme="minorHAnsi" w:hAnsiTheme="minorHAnsi" w:cstheme="minorHAnsi"/>
          <w:color w:val="auto"/>
        </w:rPr>
        <w:t>’s Liability</w:t>
      </w:r>
      <w:bookmarkEnd w:id="215"/>
      <w:bookmarkEnd w:id="216"/>
    </w:p>
    <w:p w14:paraId="45F92947" w14:textId="2D07D0A9" w:rsidR="0073768F" w:rsidRPr="00A54361" w:rsidRDefault="00177DB3" w:rsidP="00A54361">
      <w:pPr>
        <w:jc w:val="both"/>
        <w:rPr>
          <w:rFonts w:cstheme="minorHAnsi"/>
        </w:rPr>
      </w:pPr>
      <w:r w:rsidRPr="00A54361">
        <w:rPr>
          <w:rFonts w:cstheme="minorHAnsi"/>
        </w:rPr>
        <w:t>The</w:t>
      </w:r>
      <w:r w:rsidRPr="00A54361">
        <w:rPr>
          <w:rFonts w:cstheme="minorHAnsi"/>
          <w:spacing w:val="4"/>
        </w:rPr>
        <w:t xml:space="preserve"> </w:t>
      </w:r>
      <w:r w:rsidRPr="00A54361">
        <w:rPr>
          <w:rFonts w:cstheme="minorHAnsi"/>
          <w:spacing w:val="-2"/>
        </w:rPr>
        <w:t>B</w:t>
      </w:r>
      <w:r w:rsidRPr="00A54361">
        <w:rPr>
          <w:rFonts w:cstheme="minorHAnsi"/>
        </w:rPr>
        <w:t>id</w:t>
      </w:r>
      <w:r w:rsidRPr="00A54361">
        <w:rPr>
          <w:rFonts w:cstheme="minorHAnsi"/>
          <w:spacing w:val="3"/>
        </w:rPr>
        <w:t>d</w:t>
      </w:r>
      <w:r w:rsidRPr="00A54361">
        <w:rPr>
          <w:rFonts w:cstheme="minorHAnsi"/>
          <w:spacing w:val="-1"/>
        </w:rPr>
        <w:t>e</w:t>
      </w:r>
      <w:r w:rsidRPr="00A54361">
        <w:rPr>
          <w:rFonts w:cstheme="minorHAnsi"/>
        </w:rPr>
        <w:t>r</w:t>
      </w:r>
      <w:r w:rsidR="00E049EB">
        <w:rPr>
          <w:rFonts w:cstheme="minorHAnsi"/>
        </w:rPr>
        <w:t>’</w:t>
      </w:r>
      <w:r w:rsidRPr="00A54361">
        <w:rPr>
          <w:rFonts w:cstheme="minorHAnsi"/>
        </w:rPr>
        <w:t>s</w:t>
      </w:r>
      <w:r w:rsidR="00905B9B">
        <w:rPr>
          <w:rFonts w:cstheme="minorHAnsi"/>
        </w:rPr>
        <w:t xml:space="preserve"> </w:t>
      </w:r>
      <w:r w:rsidR="00E049EB">
        <w:rPr>
          <w:rFonts w:ascii="Cambria" w:hAnsi="Cambria" w:cstheme="minorHAnsi"/>
        </w:rPr>
        <w:t xml:space="preserve">(after entering into contract, to be called as the Vendor) </w:t>
      </w:r>
      <w:r w:rsidR="00E049EB" w:rsidRPr="008343EF">
        <w:rPr>
          <w:rFonts w:ascii="Cambria" w:hAnsi="Cambria" w:cstheme="minorHAnsi"/>
          <w:spacing w:val="7"/>
        </w:rPr>
        <w:t xml:space="preserve"> </w:t>
      </w:r>
      <w:r w:rsidRPr="00A54361">
        <w:rPr>
          <w:rFonts w:cstheme="minorHAnsi"/>
          <w:spacing w:val="7"/>
        </w:rPr>
        <w:t xml:space="preserve"> </w:t>
      </w:r>
      <w:r w:rsidRPr="00A54361">
        <w:rPr>
          <w:rFonts w:cstheme="minorHAnsi"/>
          <w:spacing w:val="1"/>
        </w:rPr>
        <w:t>a</w:t>
      </w:r>
      <w:r w:rsidRPr="00A54361">
        <w:rPr>
          <w:rFonts w:cstheme="minorHAnsi"/>
        </w:rPr>
        <w:t>g</w:t>
      </w:r>
      <w:r w:rsidRPr="00A54361">
        <w:rPr>
          <w:rFonts w:cstheme="minorHAnsi"/>
          <w:spacing w:val="-2"/>
        </w:rPr>
        <w:t>g</w:t>
      </w:r>
      <w:r w:rsidRPr="00A54361">
        <w:rPr>
          <w:rFonts w:cstheme="minorHAnsi"/>
        </w:rPr>
        <w:t>reg</w:t>
      </w:r>
      <w:r w:rsidRPr="00A54361">
        <w:rPr>
          <w:rFonts w:cstheme="minorHAnsi"/>
          <w:spacing w:val="-1"/>
        </w:rPr>
        <w:t>a</w:t>
      </w:r>
      <w:r w:rsidRPr="00A54361">
        <w:rPr>
          <w:rFonts w:cstheme="minorHAnsi"/>
        </w:rPr>
        <w:t>te</w:t>
      </w:r>
      <w:r w:rsidRPr="00A54361">
        <w:rPr>
          <w:rFonts w:cstheme="minorHAnsi"/>
          <w:spacing w:val="4"/>
        </w:rPr>
        <w:t xml:space="preserve"> </w:t>
      </w:r>
      <w:r w:rsidRPr="00A54361">
        <w:rPr>
          <w:rFonts w:cstheme="minorHAnsi"/>
          <w:spacing w:val="3"/>
        </w:rPr>
        <w:t>l</w:t>
      </w:r>
      <w:r w:rsidRPr="00A54361">
        <w:rPr>
          <w:rFonts w:cstheme="minorHAnsi"/>
        </w:rPr>
        <w:t>iabil</w:t>
      </w:r>
      <w:r w:rsidRPr="00A54361">
        <w:rPr>
          <w:rFonts w:cstheme="minorHAnsi"/>
          <w:spacing w:val="1"/>
        </w:rPr>
        <w:t>i</w:t>
      </w:r>
      <w:r w:rsidRPr="00A54361">
        <w:rPr>
          <w:rFonts w:cstheme="minorHAnsi"/>
          <w:spacing w:val="3"/>
        </w:rPr>
        <w:t>t</w:t>
      </w:r>
      <w:r w:rsidRPr="00A54361">
        <w:rPr>
          <w:rFonts w:cstheme="minorHAnsi"/>
        </w:rPr>
        <w:t>y in</w:t>
      </w:r>
      <w:r w:rsidRPr="00A54361">
        <w:rPr>
          <w:rFonts w:cstheme="minorHAnsi"/>
          <w:spacing w:val="5"/>
        </w:rPr>
        <w:t xml:space="preserve"> </w:t>
      </w:r>
      <w:r w:rsidRPr="00A54361">
        <w:rPr>
          <w:rFonts w:cstheme="minorHAnsi"/>
          <w:spacing w:val="-1"/>
        </w:rPr>
        <w:t>c</w:t>
      </w:r>
      <w:r w:rsidRPr="00A54361">
        <w:rPr>
          <w:rFonts w:cstheme="minorHAnsi"/>
        </w:rPr>
        <w:t>onn</w:t>
      </w:r>
      <w:r w:rsidRPr="00A54361">
        <w:rPr>
          <w:rFonts w:cstheme="minorHAnsi"/>
          <w:spacing w:val="1"/>
        </w:rPr>
        <w:t>e</w:t>
      </w:r>
      <w:r w:rsidRPr="00A54361">
        <w:rPr>
          <w:rFonts w:cstheme="minorHAnsi"/>
          <w:spacing w:val="-1"/>
        </w:rPr>
        <w:t>c</w:t>
      </w:r>
      <w:r w:rsidRPr="00A54361">
        <w:rPr>
          <w:rFonts w:cstheme="minorHAnsi"/>
        </w:rPr>
        <w:t>t</w:t>
      </w:r>
      <w:r w:rsidRPr="00A54361">
        <w:rPr>
          <w:rFonts w:cstheme="minorHAnsi"/>
          <w:spacing w:val="1"/>
        </w:rPr>
        <w:t>i</w:t>
      </w:r>
      <w:r w:rsidRPr="00A54361">
        <w:rPr>
          <w:rFonts w:cstheme="minorHAnsi"/>
        </w:rPr>
        <w:t>on</w:t>
      </w:r>
      <w:r w:rsidRPr="00A54361">
        <w:rPr>
          <w:rFonts w:cstheme="minorHAnsi"/>
          <w:spacing w:val="5"/>
        </w:rPr>
        <w:t xml:space="preserve"> </w:t>
      </w:r>
      <w:r w:rsidRPr="00A54361">
        <w:rPr>
          <w:rFonts w:cstheme="minorHAnsi"/>
        </w:rPr>
        <w:t>w</w:t>
      </w:r>
      <w:r w:rsidRPr="00A54361">
        <w:rPr>
          <w:rFonts w:cstheme="minorHAnsi"/>
          <w:spacing w:val="2"/>
        </w:rPr>
        <w:t>i</w:t>
      </w:r>
      <w:r w:rsidRPr="00A54361">
        <w:rPr>
          <w:rFonts w:cstheme="minorHAnsi"/>
        </w:rPr>
        <w:t>th</w:t>
      </w:r>
      <w:r w:rsidRPr="00A54361">
        <w:rPr>
          <w:rFonts w:cstheme="minorHAnsi"/>
          <w:spacing w:val="5"/>
        </w:rPr>
        <w:t xml:space="preserve"> </w:t>
      </w:r>
      <w:r w:rsidRPr="00A54361">
        <w:rPr>
          <w:rFonts w:cstheme="minorHAnsi"/>
        </w:rPr>
        <w:t>obl</w:t>
      </w:r>
      <w:r w:rsidRPr="00A54361">
        <w:rPr>
          <w:rFonts w:cstheme="minorHAnsi"/>
          <w:spacing w:val="1"/>
        </w:rPr>
        <w:t>i</w:t>
      </w:r>
      <w:r w:rsidRPr="00A54361">
        <w:rPr>
          <w:rFonts w:cstheme="minorHAnsi"/>
          <w:spacing w:val="-2"/>
        </w:rPr>
        <w:t>g</w:t>
      </w:r>
      <w:r w:rsidRPr="00A54361">
        <w:rPr>
          <w:rFonts w:cstheme="minorHAnsi"/>
          <w:spacing w:val="-1"/>
        </w:rPr>
        <w:t>a</w:t>
      </w:r>
      <w:r w:rsidRPr="00A54361">
        <w:rPr>
          <w:rFonts w:cstheme="minorHAnsi"/>
        </w:rPr>
        <w:t>t</w:t>
      </w:r>
      <w:r w:rsidRPr="00A54361">
        <w:rPr>
          <w:rFonts w:cstheme="minorHAnsi"/>
          <w:spacing w:val="1"/>
        </w:rPr>
        <w:t>i</w:t>
      </w:r>
      <w:r w:rsidRPr="00A54361">
        <w:rPr>
          <w:rFonts w:cstheme="minorHAnsi"/>
        </w:rPr>
        <w:t>ons</w:t>
      </w:r>
      <w:r w:rsidRPr="00A54361">
        <w:rPr>
          <w:rFonts w:cstheme="minorHAnsi"/>
          <w:spacing w:val="5"/>
        </w:rPr>
        <w:t xml:space="preserve"> </w:t>
      </w:r>
      <w:r w:rsidRPr="00A54361">
        <w:rPr>
          <w:rFonts w:cstheme="minorHAnsi"/>
        </w:rPr>
        <w:t>und</w:t>
      </w:r>
      <w:r w:rsidRPr="00A54361">
        <w:rPr>
          <w:rFonts w:cstheme="minorHAnsi"/>
          <w:spacing w:val="-1"/>
        </w:rPr>
        <w:t>e</w:t>
      </w:r>
      <w:r w:rsidRPr="00A54361">
        <w:rPr>
          <w:rFonts w:cstheme="minorHAnsi"/>
        </w:rPr>
        <w:t>r</w:t>
      </w:r>
      <w:r w:rsidRPr="00A54361">
        <w:rPr>
          <w:rFonts w:cstheme="minorHAnsi"/>
          <w:spacing w:val="2"/>
        </w:rPr>
        <w:t>t</w:t>
      </w:r>
      <w:r w:rsidRPr="00A54361">
        <w:rPr>
          <w:rFonts w:cstheme="minorHAnsi"/>
          <w:spacing w:val="-1"/>
        </w:rPr>
        <w:t>a</w:t>
      </w:r>
      <w:r w:rsidRPr="00A54361">
        <w:rPr>
          <w:rFonts w:cstheme="minorHAnsi"/>
        </w:rPr>
        <w:t>k</w:t>
      </w:r>
      <w:r w:rsidRPr="00A54361">
        <w:rPr>
          <w:rFonts w:cstheme="minorHAnsi"/>
          <w:spacing w:val="1"/>
        </w:rPr>
        <w:t>e</w:t>
      </w:r>
      <w:r w:rsidRPr="00A54361">
        <w:rPr>
          <w:rFonts w:cstheme="minorHAnsi"/>
        </w:rPr>
        <w:t>n</w:t>
      </w:r>
      <w:r w:rsidRPr="00A54361">
        <w:rPr>
          <w:rFonts w:cstheme="minorHAnsi"/>
          <w:spacing w:val="5"/>
        </w:rPr>
        <w:t xml:space="preserve"> </w:t>
      </w:r>
      <w:r w:rsidRPr="00A54361">
        <w:rPr>
          <w:rFonts w:cstheme="minorHAnsi"/>
          <w:spacing w:val="-1"/>
        </w:rPr>
        <w:t>a</w:t>
      </w:r>
      <w:r w:rsidRPr="00A54361">
        <w:rPr>
          <w:rFonts w:cstheme="minorHAnsi"/>
        </w:rPr>
        <w:t>s</w:t>
      </w:r>
      <w:r w:rsidRPr="00A54361">
        <w:rPr>
          <w:rFonts w:cstheme="minorHAnsi"/>
          <w:spacing w:val="5"/>
        </w:rPr>
        <w:t xml:space="preserve"> </w:t>
      </w:r>
      <w:r w:rsidRPr="00A54361">
        <w:rPr>
          <w:rFonts w:cstheme="minorHAnsi"/>
        </w:rPr>
        <w:t>a</w:t>
      </w:r>
      <w:r w:rsidRPr="00A54361">
        <w:rPr>
          <w:rFonts w:cstheme="minorHAnsi"/>
          <w:spacing w:val="11"/>
        </w:rPr>
        <w:t xml:space="preserve"> </w:t>
      </w:r>
      <w:r w:rsidRPr="00A54361">
        <w:rPr>
          <w:rFonts w:cstheme="minorHAnsi"/>
          <w:spacing w:val="2"/>
        </w:rPr>
        <w:t>p</w:t>
      </w:r>
      <w:r w:rsidRPr="00A54361">
        <w:rPr>
          <w:rFonts w:cstheme="minorHAnsi"/>
          <w:spacing w:val="-1"/>
        </w:rPr>
        <w:t>a</w:t>
      </w:r>
      <w:r w:rsidRPr="00A54361">
        <w:rPr>
          <w:rFonts w:cstheme="minorHAnsi"/>
        </w:rPr>
        <w:t>rt</w:t>
      </w:r>
      <w:r w:rsidRPr="00A54361">
        <w:rPr>
          <w:rFonts w:cstheme="minorHAnsi"/>
          <w:spacing w:val="5"/>
        </w:rPr>
        <w:t xml:space="preserve"> </w:t>
      </w:r>
      <w:r w:rsidRPr="00A54361">
        <w:rPr>
          <w:rFonts w:cstheme="minorHAnsi"/>
          <w:spacing w:val="2"/>
        </w:rPr>
        <w:t>o</w:t>
      </w:r>
      <w:r w:rsidRPr="00A54361">
        <w:rPr>
          <w:rFonts w:cstheme="minorHAnsi"/>
        </w:rPr>
        <w:t>f</w:t>
      </w:r>
      <w:r w:rsidRPr="00A54361">
        <w:rPr>
          <w:rFonts w:cstheme="minorHAnsi"/>
          <w:spacing w:val="4"/>
        </w:rPr>
        <w:t xml:space="preserve"> </w:t>
      </w:r>
      <w:r w:rsidRPr="00A54361">
        <w:rPr>
          <w:rFonts w:cstheme="minorHAnsi"/>
        </w:rPr>
        <w:t>the proj</w:t>
      </w:r>
      <w:r w:rsidRPr="00A54361">
        <w:rPr>
          <w:rFonts w:cstheme="minorHAnsi"/>
          <w:spacing w:val="-1"/>
        </w:rPr>
        <w:t>ec</w:t>
      </w:r>
      <w:r w:rsidRPr="00A54361">
        <w:rPr>
          <w:rFonts w:cstheme="minorHAnsi"/>
        </w:rPr>
        <w:t>t</w:t>
      </w:r>
      <w:r w:rsidRPr="00A54361">
        <w:rPr>
          <w:rFonts w:cstheme="minorHAnsi"/>
          <w:spacing w:val="8"/>
        </w:rPr>
        <w:t xml:space="preserve"> </w:t>
      </w:r>
      <w:r w:rsidRPr="00A54361">
        <w:rPr>
          <w:rFonts w:cstheme="minorHAnsi"/>
        </w:rPr>
        <w:t>re</w:t>
      </w:r>
      <w:r w:rsidRPr="00A54361">
        <w:rPr>
          <w:rFonts w:cstheme="minorHAnsi"/>
          <w:spacing w:val="-2"/>
        </w:rPr>
        <w:t>g</w:t>
      </w:r>
      <w:r w:rsidRPr="00A54361">
        <w:rPr>
          <w:rFonts w:cstheme="minorHAnsi"/>
          <w:spacing w:val="1"/>
        </w:rPr>
        <w:t>a</w:t>
      </w:r>
      <w:r w:rsidRPr="00A54361">
        <w:rPr>
          <w:rFonts w:cstheme="minorHAnsi"/>
        </w:rPr>
        <w:t>rdl</w:t>
      </w:r>
      <w:r w:rsidRPr="00A54361">
        <w:rPr>
          <w:rFonts w:cstheme="minorHAnsi"/>
          <w:spacing w:val="-1"/>
        </w:rPr>
        <w:t>e</w:t>
      </w:r>
      <w:r w:rsidRPr="00A54361">
        <w:rPr>
          <w:rFonts w:cstheme="minorHAnsi"/>
        </w:rPr>
        <w:t>ss</w:t>
      </w:r>
      <w:r w:rsidRPr="00A54361">
        <w:rPr>
          <w:rFonts w:cstheme="minorHAnsi"/>
          <w:spacing w:val="8"/>
        </w:rPr>
        <w:t xml:space="preserve"> </w:t>
      </w:r>
      <w:r w:rsidRPr="00A54361">
        <w:rPr>
          <w:rFonts w:cstheme="minorHAnsi"/>
        </w:rPr>
        <w:t>of</w:t>
      </w:r>
      <w:r w:rsidRPr="00A54361">
        <w:rPr>
          <w:rFonts w:cstheme="minorHAnsi"/>
          <w:spacing w:val="6"/>
        </w:rPr>
        <w:t xml:space="preserve"> </w:t>
      </w:r>
      <w:r w:rsidRPr="00A54361">
        <w:rPr>
          <w:rFonts w:cstheme="minorHAnsi"/>
        </w:rPr>
        <w:t>the</w:t>
      </w:r>
      <w:r w:rsidRPr="00A54361">
        <w:rPr>
          <w:rFonts w:cstheme="minorHAnsi"/>
          <w:spacing w:val="7"/>
        </w:rPr>
        <w:t xml:space="preserve"> </w:t>
      </w:r>
      <w:r w:rsidRPr="00A54361">
        <w:rPr>
          <w:rFonts w:cstheme="minorHAnsi"/>
        </w:rPr>
        <w:t>fo</w:t>
      </w:r>
      <w:r w:rsidRPr="00A54361">
        <w:rPr>
          <w:rFonts w:cstheme="minorHAnsi"/>
          <w:spacing w:val="-1"/>
        </w:rPr>
        <w:t>r</w:t>
      </w:r>
      <w:r w:rsidRPr="00A54361">
        <w:rPr>
          <w:rFonts w:cstheme="minorHAnsi"/>
        </w:rPr>
        <w:t>m</w:t>
      </w:r>
      <w:r w:rsidRPr="00A54361">
        <w:rPr>
          <w:rFonts w:cstheme="minorHAnsi"/>
          <w:spacing w:val="8"/>
        </w:rPr>
        <w:t xml:space="preserve"> </w:t>
      </w:r>
      <w:r w:rsidRPr="00A54361">
        <w:rPr>
          <w:rFonts w:cstheme="minorHAnsi"/>
        </w:rPr>
        <w:t>or</w:t>
      </w:r>
      <w:r w:rsidRPr="00A54361">
        <w:rPr>
          <w:rFonts w:cstheme="minorHAnsi"/>
          <w:spacing w:val="6"/>
        </w:rPr>
        <w:t xml:space="preserve"> </w:t>
      </w:r>
      <w:r w:rsidRPr="00A54361">
        <w:rPr>
          <w:rFonts w:cstheme="minorHAnsi"/>
        </w:rPr>
        <w:t>n</w:t>
      </w:r>
      <w:r w:rsidRPr="00A54361">
        <w:rPr>
          <w:rFonts w:cstheme="minorHAnsi"/>
          <w:spacing w:val="-1"/>
        </w:rPr>
        <w:t>a</w:t>
      </w:r>
      <w:r w:rsidRPr="00A54361">
        <w:rPr>
          <w:rFonts w:cstheme="minorHAnsi"/>
        </w:rPr>
        <w:t>ture</w:t>
      </w:r>
      <w:r w:rsidRPr="00A54361">
        <w:rPr>
          <w:rFonts w:cstheme="minorHAnsi"/>
          <w:spacing w:val="6"/>
        </w:rPr>
        <w:t xml:space="preserve"> </w:t>
      </w:r>
      <w:r w:rsidRPr="00A54361">
        <w:rPr>
          <w:rFonts w:cstheme="minorHAnsi"/>
        </w:rPr>
        <w:t>of</w:t>
      </w:r>
      <w:r w:rsidRPr="00A54361">
        <w:rPr>
          <w:rFonts w:cstheme="minorHAnsi"/>
          <w:spacing w:val="6"/>
        </w:rPr>
        <w:t xml:space="preserve"> </w:t>
      </w:r>
      <w:r w:rsidRPr="00A54361">
        <w:rPr>
          <w:rFonts w:cstheme="minorHAnsi"/>
        </w:rPr>
        <w:t>the</w:t>
      </w:r>
      <w:r w:rsidRPr="00A54361">
        <w:rPr>
          <w:rFonts w:cstheme="minorHAnsi"/>
          <w:spacing w:val="7"/>
        </w:rPr>
        <w:t xml:space="preserve"> </w:t>
      </w:r>
      <w:r w:rsidRPr="00A54361">
        <w:rPr>
          <w:rFonts w:cstheme="minorHAnsi"/>
          <w:spacing w:val="-1"/>
        </w:rPr>
        <w:t>ac</w:t>
      </w:r>
      <w:r w:rsidRPr="00A54361">
        <w:rPr>
          <w:rFonts w:cstheme="minorHAnsi"/>
          <w:spacing w:val="3"/>
        </w:rPr>
        <w:t>t</w:t>
      </w:r>
      <w:r w:rsidRPr="00A54361">
        <w:rPr>
          <w:rFonts w:cstheme="minorHAnsi"/>
        </w:rPr>
        <w:t>ion</w:t>
      </w:r>
      <w:r w:rsidRPr="00A54361">
        <w:rPr>
          <w:rFonts w:cstheme="minorHAnsi"/>
          <w:spacing w:val="8"/>
        </w:rPr>
        <w:t xml:space="preserve"> </w:t>
      </w:r>
      <w:r w:rsidRPr="00A54361">
        <w:rPr>
          <w:rFonts w:cstheme="minorHAnsi"/>
          <w:spacing w:val="-2"/>
        </w:rPr>
        <w:t>g</w:t>
      </w:r>
      <w:r w:rsidRPr="00A54361">
        <w:rPr>
          <w:rFonts w:cstheme="minorHAnsi"/>
        </w:rPr>
        <w:t>iv</w:t>
      </w:r>
      <w:r w:rsidRPr="00A54361">
        <w:rPr>
          <w:rFonts w:cstheme="minorHAnsi"/>
          <w:spacing w:val="1"/>
        </w:rPr>
        <w:t>i</w:t>
      </w:r>
      <w:r w:rsidRPr="00A54361">
        <w:rPr>
          <w:rFonts w:cstheme="minorHAnsi"/>
        </w:rPr>
        <w:t>ng</w:t>
      </w:r>
      <w:r w:rsidRPr="00A54361">
        <w:rPr>
          <w:rFonts w:cstheme="minorHAnsi"/>
          <w:spacing w:val="5"/>
        </w:rPr>
        <w:t xml:space="preserve"> </w:t>
      </w:r>
      <w:r w:rsidRPr="00A54361">
        <w:rPr>
          <w:rFonts w:cstheme="minorHAnsi"/>
        </w:rPr>
        <w:t>rise</w:t>
      </w:r>
      <w:r w:rsidRPr="00A54361">
        <w:rPr>
          <w:rFonts w:cstheme="minorHAnsi"/>
          <w:spacing w:val="6"/>
        </w:rPr>
        <w:t xml:space="preserve"> </w:t>
      </w:r>
      <w:r w:rsidRPr="00A54361">
        <w:rPr>
          <w:rFonts w:cstheme="minorHAnsi"/>
        </w:rPr>
        <w:t>to</w:t>
      </w:r>
      <w:r w:rsidRPr="00A54361">
        <w:rPr>
          <w:rFonts w:cstheme="minorHAnsi"/>
          <w:spacing w:val="8"/>
        </w:rPr>
        <w:t xml:space="preserve"> </w:t>
      </w:r>
      <w:r w:rsidRPr="00A54361">
        <w:rPr>
          <w:rFonts w:cstheme="minorHAnsi"/>
        </w:rPr>
        <w:t>su</w:t>
      </w:r>
      <w:r w:rsidRPr="00A54361">
        <w:rPr>
          <w:rFonts w:cstheme="minorHAnsi"/>
          <w:spacing w:val="-1"/>
        </w:rPr>
        <w:t>c</w:t>
      </w:r>
      <w:r w:rsidRPr="00A54361">
        <w:rPr>
          <w:rFonts w:cstheme="minorHAnsi"/>
        </w:rPr>
        <w:t>h</w:t>
      </w:r>
      <w:r w:rsidRPr="00A54361">
        <w:rPr>
          <w:rFonts w:cstheme="minorHAnsi"/>
          <w:spacing w:val="7"/>
        </w:rPr>
        <w:t xml:space="preserve"> </w:t>
      </w:r>
      <w:r w:rsidRPr="00A54361">
        <w:rPr>
          <w:rFonts w:cstheme="minorHAnsi"/>
        </w:rPr>
        <w:t>l</w:t>
      </w:r>
      <w:r w:rsidRPr="00A54361">
        <w:rPr>
          <w:rFonts w:cstheme="minorHAnsi"/>
          <w:spacing w:val="-1"/>
        </w:rPr>
        <w:t>a</w:t>
      </w:r>
      <w:r w:rsidRPr="00A54361">
        <w:rPr>
          <w:rFonts w:cstheme="minorHAnsi"/>
        </w:rPr>
        <w:t>bi</w:t>
      </w:r>
      <w:r w:rsidRPr="00A54361">
        <w:rPr>
          <w:rFonts w:cstheme="minorHAnsi"/>
          <w:spacing w:val="1"/>
        </w:rPr>
        <w:t>l</w:t>
      </w:r>
      <w:r w:rsidRPr="00A54361">
        <w:rPr>
          <w:rFonts w:cstheme="minorHAnsi"/>
        </w:rPr>
        <w:t>i</w:t>
      </w:r>
      <w:r w:rsidRPr="00A54361">
        <w:rPr>
          <w:rFonts w:cstheme="minorHAnsi"/>
          <w:spacing w:val="3"/>
        </w:rPr>
        <w:t>t</w:t>
      </w:r>
      <w:r w:rsidRPr="00A54361">
        <w:rPr>
          <w:rFonts w:cstheme="minorHAnsi"/>
        </w:rPr>
        <w:t xml:space="preserve">y </w:t>
      </w:r>
      <w:r w:rsidRPr="00A54361">
        <w:rPr>
          <w:rFonts w:cstheme="minorHAnsi"/>
          <w:spacing w:val="1"/>
        </w:rPr>
        <w:t>(</w:t>
      </w:r>
      <w:r w:rsidRPr="00A54361">
        <w:rPr>
          <w:rFonts w:cstheme="minorHAnsi"/>
        </w:rPr>
        <w:t>wh</w:t>
      </w:r>
      <w:r w:rsidRPr="00A54361">
        <w:rPr>
          <w:rFonts w:cstheme="minorHAnsi"/>
          <w:spacing w:val="-1"/>
        </w:rPr>
        <w:t>e</w:t>
      </w:r>
      <w:r w:rsidRPr="00A54361">
        <w:rPr>
          <w:rFonts w:cstheme="minorHAnsi"/>
        </w:rPr>
        <w:t>th</w:t>
      </w:r>
      <w:r w:rsidRPr="00A54361">
        <w:rPr>
          <w:rFonts w:cstheme="minorHAnsi"/>
          <w:spacing w:val="2"/>
        </w:rPr>
        <w:t>e</w:t>
      </w:r>
      <w:r w:rsidRPr="00A54361">
        <w:rPr>
          <w:rFonts w:cstheme="minorHAnsi"/>
        </w:rPr>
        <w:t>r</w:t>
      </w:r>
      <w:r w:rsidRPr="00A54361">
        <w:rPr>
          <w:rFonts w:cstheme="minorHAnsi"/>
          <w:spacing w:val="6"/>
        </w:rPr>
        <w:t xml:space="preserve"> </w:t>
      </w:r>
      <w:r w:rsidRPr="00A54361">
        <w:rPr>
          <w:rFonts w:cstheme="minorHAnsi"/>
        </w:rPr>
        <w:t xml:space="preserve">in </w:t>
      </w:r>
      <w:r w:rsidRPr="00A54361">
        <w:rPr>
          <w:rFonts w:cstheme="minorHAnsi"/>
          <w:spacing w:val="-1"/>
        </w:rPr>
        <w:t>c</w:t>
      </w:r>
      <w:r w:rsidRPr="00A54361">
        <w:rPr>
          <w:rFonts w:cstheme="minorHAnsi"/>
        </w:rPr>
        <w:t>ontr</w:t>
      </w:r>
      <w:r w:rsidRPr="00A54361">
        <w:rPr>
          <w:rFonts w:cstheme="minorHAnsi"/>
          <w:spacing w:val="-1"/>
        </w:rPr>
        <w:t>ac</w:t>
      </w:r>
      <w:r w:rsidRPr="00A54361">
        <w:rPr>
          <w:rFonts w:cstheme="minorHAnsi"/>
        </w:rPr>
        <w:t>t,</w:t>
      </w:r>
      <w:r w:rsidRPr="00A54361">
        <w:rPr>
          <w:rFonts w:cstheme="minorHAnsi"/>
          <w:spacing w:val="1"/>
        </w:rPr>
        <w:t xml:space="preserve"> </w:t>
      </w:r>
      <w:r w:rsidRPr="00A54361">
        <w:rPr>
          <w:rFonts w:cstheme="minorHAnsi"/>
        </w:rPr>
        <w:t>tort</w:t>
      </w:r>
      <w:r w:rsidRPr="00A54361">
        <w:rPr>
          <w:rFonts w:cstheme="minorHAnsi"/>
          <w:spacing w:val="1"/>
        </w:rPr>
        <w:t xml:space="preserve"> </w:t>
      </w:r>
      <w:r w:rsidRPr="00A54361">
        <w:rPr>
          <w:rFonts w:cstheme="minorHAnsi"/>
        </w:rPr>
        <w:t>or oth</w:t>
      </w:r>
      <w:r w:rsidRPr="00A54361">
        <w:rPr>
          <w:rFonts w:cstheme="minorHAnsi"/>
          <w:spacing w:val="2"/>
        </w:rPr>
        <w:t>e</w:t>
      </w:r>
      <w:r w:rsidRPr="00A54361">
        <w:rPr>
          <w:rFonts w:cstheme="minorHAnsi"/>
        </w:rPr>
        <w:t>r</w:t>
      </w:r>
      <w:r w:rsidRPr="00A54361">
        <w:rPr>
          <w:rFonts w:cstheme="minorHAnsi"/>
          <w:spacing w:val="-1"/>
        </w:rPr>
        <w:t>w</w:t>
      </w:r>
      <w:r w:rsidRPr="00A54361">
        <w:rPr>
          <w:rFonts w:cstheme="minorHAnsi"/>
        </w:rPr>
        <w:t>i</w:t>
      </w:r>
      <w:r w:rsidRPr="00A54361">
        <w:rPr>
          <w:rFonts w:cstheme="minorHAnsi"/>
          <w:spacing w:val="3"/>
        </w:rPr>
        <w:t>s</w:t>
      </w:r>
      <w:r w:rsidRPr="00A54361">
        <w:rPr>
          <w:rFonts w:cstheme="minorHAnsi"/>
          <w:spacing w:val="-1"/>
        </w:rPr>
        <w:t>e</w:t>
      </w:r>
      <w:r w:rsidRPr="00A54361">
        <w:rPr>
          <w:rFonts w:cstheme="minorHAnsi"/>
        </w:rPr>
        <w:t>), sh</w:t>
      </w:r>
      <w:r w:rsidRPr="00A54361">
        <w:rPr>
          <w:rFonts w:cstheme="minorHAnsi"/>
          <w:spacing w:val="-1"/>
        </w:rPr>
        <w:t>a</w:t>
      </w:r>
      <w:r w:rsidRPr="00A54361">
        <w:rPr>
          <w:rFonts w:cstheme="minorHAnsi"/>
        </w:rPr>
        <w:t>ll</w:t>
      </w:r>
      <w:r w:rsidRPr="00A54361">
        <w:rPr>
          <w:rFonts w:cstheme="minorHAnsi"/>
          <w:spacing w:val="1"/>
        </w:rPr>
        <w:t xml:space="preserve"> </w:t>
      </w:r>
      <w:r w:rsidRPr="00A54361">
        <w:rPr>
          <w:rFonts w:cstheme="minorHAnsi"/>
        </w:rPr>
        <w:t xml:space="preserve">be </w:t>
      </w:r>
      <w:r w:rsidRPr="00A54361">
        <w:rPr>
          <w:rFonts w:cstheme="minorHAnsi"/>
          <w:spacing w:val="-1"/>
        </w:rPr>
        <w:t>a</w:t>
      </w:r>
      <w:r w:rsidRPr="00A54361">
        <w:rPr>
          <w:rFonts w:cstheme="minorHAnsi"/>
        </w:rPr>
        <w:t>t</w:t>
      </w:r>
      <w:r w:rsidRPr="00A54361">
        <w:rPr>
          <w:rFonts w:cstheme="minorHAnsi"/>
          <w:spacing w:val="1"/>
        </w:rPr>
        <w:t xml:space="preserve"> a</w:t>
      </w:r>
      <w:r w:rsidRPr="00A54361">
        <w:rPr>
          <w:rFonts w:cstheme="minorHAnsi"/>
          <w:spacing w:val="-1"/>
        </w:rPr>
        <w:t>c</w:t>
      </w:r>
      <w:r w:rsidRPr="00A54361">
        <w:rPr>
          <w:rFonts w:cstheme="minorHAnsi"/>
        </w:rPr>
        <w:t>tuals</w:t>
      </w:r>
      <w:r w:rsidRPr="00A54361">
        <w:rPr>
          <w:rFonts w:cstheme="minorHAnsi"/>
          <w:spacing w:val="1"/>
        </w:rPr>
        <w:t xml:space="preserve"> </w:t>
      </w:r>
      <w:r w:rsidRPr="00A54361">
        <w:rPr>
          <w:rFonts w:cstheme="minorHAnsi"/>
          <w:spacing w:val="-1"/>
        </w:rPr>
        <w:t>a</w:t>
      </w:r>
      <w:r w:rsidRPr="00A54361">
        <w:rPr>
          <w:rFonts w:cstheme="minorHAnsi"/>
          <w:spacing w:val="2"/>
        </w:rPr>
        <w:t>n</w:t>
      </w:r>
      <w:r w:rsidRPr="00A54361">
        <w:rPr>
          <w:rFonts w:cstheme="minorHAnsi"/>
        </w:rPr>
        <w:t>d</w:t>
      </w:r>
      <w:r w:rsidRPr="00A54361">
        <w:rPr>
          <w:rFonts w:cstheme="minorHAnsi"/>
          <w:spacing w:val="1"/>
        </w:rPr>
        <w:t xml:space="preserve"> </w:t>
      </w:r>
      <w:r w:rsidRPr="00A54361">
        <w:rPr>
          <w:rFonts w:cstheme="minorHAnsi"/>
        </w:rPr>
        <w:t>l</w:t>
      </w:r>
      <w:r w:rsidRPr="00A54361">
        <w:rPr>
          <w:rFonts w:cstheme="minorHAnsi"/>
          <w:spacing w:val="1"/>
        </w:rPr>
        <w:t>i</w:t>
      </w:r>
      <w:r w:rsidRPr="00A54361">
        <w:rPr>
          <w:rFonts w:cstheme="minorHAnsi"/>
        </w:rPr>
        <w:t>m</w:t>
      </w:r>
      <w:r w:rsidRPr="00A54361">
        <w:rPr>
          <w:rFonts w:cstheme="minorHAnsi"/>
          <w:spacing w:val="1"/>
        </w:rPr>
        <w:t>i</w:t>
      </w:r>
      <w:r w:rsidRPr="00A54361">
        <w:rPr>
          <w:rFonts w:cstheme="minorHAnsi"/>
        </w:rPr>
        <w:t>ted to</w:t>
      </w:r>
      <w:r w:rsidRPr="00A54361">
        <w:rPr>
          <w:rFonts w:cstheme="minorHAnsi"/>
          <w:spacing w:val="6"/>
        </w:rPr>
        <w:t xml:space="preserve"> </w:t>
      </w:r>
      <w:r w:rsidRPr="00A54361">
        <w:rPr>
          <w:rFonts w:cstheme="minorHAnsi"/>
        </w:rPr>
        <w:t>the v</w:t>
      </w:r>
      <w:r w:rsidRPr="00A54361">
        <w:rPr>
          <w:rFonts w:cstheme="minorHAnsi"/>
          <w:spacing w:val="-1"/>
        </w:rPr>
        <w:t>a</w:t>
      </w:r>
      <w:r w:rsidRPr="00A54361">
        <w:rPr>
          <w:rFonts w:cstheme="minorHAnsi"/>
        </w:rPr>
        <w:t xml:space="preserve">lue of the </w:t>
      </w:r>
      <w:r w:rsidRPr="00A54361">
        <w:rPr>
          <w:rFonts w:cstheme="minorHAnsi"/>
          <w:spacing w:val="-1"/>
        </w:rPr>
        <w:t>c</w:t>
      </w:r>
      <w:r w:rsidRPr="00A54361">
        <w:rPr>
          <w:rFonts w:cstheme="minorHAnsi"/>
        </w:rPr>
        <w:t>ontr</w:t>
      </w:r>
      <w:r w:rsidRPr="00A54361">
        <w:rPr>
          <w:rFonts w:cstheme="minorHAnsi"/>
          <w:spacing w:val="-1"/>
        </w:rPr>
        <w:t>ac</w:t>
      </w:r>
      <w:r w:rsidRPr="00A54361">
        <w:rPr>
          <w:rFonts w:cstheme="minorHAnsi"/>
        </w:rPr>
        <w:t>t.</w:t>
      </w:r>
      <w:r w:rsidRPr="00A54361">
        <w:rPr>
          <w:rFonts w:cstheme="minorHAnsi"/>
          <w:spacing w:val="1"/>
        </w:rPr>
        <w:t xml:space="preserve"> </w:t>
      </w:r>
      <w:r w:rsidRPr="00A54361">
        <w:rPr>
          <w:rFonts w:cstheme="minorHAnsi"/>
        </w:rPr>
        <w:t>T</w:t>
      </w:r>
      <w:r w:rsidRPr="00A54361">
        <w:rPr>
          <w:rFonts w:cstheme="minorHAnsi"/>
          <w:spacing w:val="2"/>
        </w:rPr>
        <w:t>h</w:t>
      </w:r>
      <w:r w:rsidRPr="00A54361">
        <w:rPr>
          <w:rFonts w:cstheme="minorHAnsi"/>
        </w:rPr>
        <w:t xml:space="preserve">e </w:t>
      </w:r>
      <w:r w:rsidRPr="00A54361">
        <w:rPr>
          <w:rFonts w:cstheme="minorHAnsi"/>
          <w:spacing w:val="-2"/>
        </w:rPr>
        <w:t>B</w:t>
      </w:r>
      <w:r w:rsidRPr="00A54361">
        <w:rPr>
          <w:rFonts w:cstheme="minorHAnsi"/>
        </w:rPr>
        <w:t>idde</w:t>
      </w:r>
      <w:r w:rsidRPr="00A54361">
        <w:rPr>
          <w:rFonts w:cstheme="minorHAnsi"/>
          <w:spacing w:val="-1"/>
        </w:rPr>
        <w:t>r</w:t>
      </w:r>
      <w:r w:rsidRPr="00A54361">
        <w:rPr>
          <w:rFonts w:cstheme="minorHAnsi"/>
        </w:rPr>
        <w:t>s</w:t>
      </w:r>
      <w:r w:rsidRPr="00A54361">
        <w:rPr>
          <w:rFonts w:cstheme="minorHAnsi"/>
          <w:spacing w:val="5"/>
        </w:rPr>
        <w:t xml:space="preserve"> </w:t>
      </w:r>
      <w:r w:rsidRPr="00A54361">
        <w:rPr>
          <w:rFonts w:cstheme="minorHAnsi"/>
        </w:rPr>
        <w:t>l</w:t>
      </w:r>
      <w:r w:rsidRPr="00A54361">
        <w:rPr>
          <w:rFonts w:cstheme="minorHAnsi"/>
          <w:spacing w:val="1"/>
        </w:rPr>
        <w:t>i</w:t>
      </w:r>
      <w:r w:rsidRPr="00A54361">
        <w:rPr>
          <w:rFonts w:cstheme="minorHAnsi"/>
          <w:spacing w:val="-1"/>
        </w:rPr>
        <w:t>a</w:t>
      </w:r>
      <w:r w:rsidRPr="00A54361">
        <w:rPr>
          <w:rFonts w:cstheme="minorHAnsi"/>
        </w:rPr>
        <w:t>bi</w:t>
      </w:r>
      <w:r w:rsidRPr="00A54361">
        <w:rPr>
          <w:rFonts w:cstheme="minorHAnsi"/>
          <w:spacing w:val="1"/>
        </w:rPr>
        <w:t>l</w:t>
      </w:r>
      <w:r w:rsidRPr="00A54361">
        <w:rPr>
          <w:rFonts w:cstheme="minorHAnsi"/>
        </w:rPr>
        <w:t>i</w:t>
      </w:r>
      <w:r w:rsidRPr="00A54361">
        <w:rPr>
          <w:rFonts w:cstheme="minorHAnsi"/>
          <w:spacing w:val="6"/>
        </w:rPr>
        <w:t>t</w:t>
      </w:r>
      <w:r w:rsidRPr="00A54361">
        <w:rPr>
          <w:rFonts w:cstheme="minorHAnsi"/>
        </w:rPr>
        <w:t>y in</w:t>
      </w:r>
      <w:r w:rsidRPr="00A54361">
        <w:rPr>
          <w:rFonts w:cstheme="minorHAnsi"/>
          <w:spacing w:val="5"/>
        </w:rPr>
        <w:t xml:space="preserve"> </w:t>
      </w:r>
      <w:r w:rsidRPr="00A54361">
        <w:rPr>
          <w:rFonts w:cstheme="minorHAnsi"/>
          <w:spacing w:val="1"/>
        </w:rPr>
        <w:t>c</w:t>
      </w:r>
      <w:r w:rsidRPr="00A54361">
        <w:rPr>
          <w:rFonts w:cstheme="minorHAnsi"/>
          <w:spacing w:val="-1"/>
        </w:rPr>
        <w:t>a</w:t>
      </w:r>
      <w:r w:rsidRPr="00A54361">
        <w:rPr>
          <w:rFonts w:cstheme="minorHAnsi"/>
        </w:rPr>
        <w:t>se</w:t>
      </w:r>
      <w:r w:rsidRPr="00A54361">
        <w:rPr>
          <w:rFonts w:cstheme="minorHAnsi"/>
          <w:spacing w:val="6"/>
        </w:rPr>
        <w:t xml:space="preserve"> </w:t>
      </w:r>
      <w:r w:rsidRPr="00A54361">
        <w:rPr>
          <w:rFonts w:cstheme="minorHAnsi"/>
        </w:rPr>
        <w:t>of</w:t>
      </w:r>
      <w:r w:rsidRPr="00A54361">
        <w:rPr>
          <w:rFonts w:cstheme="minorHAnsi"/>
          <w:spacing w:val="4"/>
        </w:rPr>
        <w:t xml:space="preserve"> </w:t>
      </w:r>
      <w:r w:rsidRPr="00A54361">
        <w:rPr>
          <w:rFonts w:cstheme="minorHAnsi"/>
          <w:spacing w:val="-1"/>
        </w:rPr>
        <w:t>c</w:t>
      </w:r>
      <w:r w:rsidRPr="00A54361">
        <w:rPr>
          <w:rFonts w:cstheme="minorHAnsi"/>
          <w:spacing w:val="3"/>
        </w:rPr>
        <w:t>l</w:t>
      </w:r>
      <w:r w:rsidRPr="00A54361">
        <w:rPr>
          <w:rFonts w:cstheme="minorHAnsi"/>
          <w:spacing w:val="-1"/>
        </w:rPr>
        <w:t>a</w:t>
      </w:r>
      <w:r w:rsidRPr="00A54361">
        <w:rPr>
          <w:rFonts w:cstheme="minorHAnsi"/>
        </w:rPr>
        <w:t>i</w:t>
      </w:r>
      <w:r w:rsidRPr="00A54361">
        <w:rPr>
          <w:rFonts w:cstheme="minorHAnsi"/>
          <w:spacing w:val="1"/>
        </w:rPr>
        <w:t>m</w:t>
      </w:r>
      <w:r w:rsidRPr="00A54361">
        <w:rPr>
          <w:rFonts w:cstheme="minorHAnsi"/>
        </w:rPr>
        <w:t>s</w:t>
      </w:r>
      <w:r w:rsidRPr="00A54361">
        <w:rPr>
          <w:rFonts w:cstheme="minorHAnsi"/>
          <w:spacing w:val="5"/>
        </w:rPr>
        <w:t xml:space="preserve"> </w:t>
      </w:r>
      <w:r w:rsidRPr="00A54361">
        <w:rPr>
          <w:rFonts w:cstheme="minorHAnsi"/>
          <w:spacing w:val="1"/>
        </w:rPr>
        <w:t>a</w:t>
      </w:r>
      <w:r w:rsidRPr="00A54361">
        <w:rPr>
          <w:rFonts w:cstheme="minorHAnsi"/>
          <w:spacing w:val="-2"/>
        </w:rPr>
        <w:t>g</w:t>
      </w:r>
      <w:r w:rsidRPr="00A54361">
        <w:rPr>
          <w:rFonts w:cstheme="minorHAnsi"/>
          <w:spacing w:val="-1"/>
        </w:rPr>
        <w:t>a</w:t>
      </w:r>
      <w:r w:rsidRPr="00A54361">
        <w:rPr>
          <w:rFonts w:cstheme="minorHAnsi"/>
        </w:rPr>
        <w:t>inst</w:t>
      </w:r>
      <w:r w:rsidRPr="00A54361">
        <w:rPr>
          <w:rFonts w:cstheme="minorHAnsi"/>
          <w:spacing w:val="6"/>
        </w:rPr>
        <w:t xml:space="preserve"> </w:t>
      </w:r>
      <w:r w:rsidRPr="00A54361">
        <w:rPr>
          <w:rFonts w:cstheme="minorHAnsi"/>
        </w:rPr>
        <w:t>the</w:t>
      </w:r>
      <w:r w:rsidRPr="00A54361">
        <w:rPr>
          <w:rFonts w:cstheme="minorHAnsi"/>
          <w:spacing w:val="9"/>
        </w:rPr>
        <w:t xml:space="preserve"> </w:t>
      </w:r>
      <w:r w:rsidRPr="00A54361">
        <w:rPr>
          <w:rFonts w:cstheme="minorHAnsi"/>
          <w:spacing w:val="-2"/>
        </w:rPr>
        <w:t>B</w:t>
      </w:r>
      <w:r w:rsidRPr="00A54361">
        <w:rPr>
          <w:rFonts w:cstheme="minorHAnsi"/>
          <w:spacing w:val="-1"/>
        </w:rPr>
        <w:t>a</w:t>
      </w:r>
      <w:r w:rsidRPr="00A54361">
        <w:rPr>
          <w:rFonts w:cstheme="minorHAnsi"/>
          <w:spacing w:val="5"/>
        </w:rPr>
        <w:t>n</w:t>
      </w:r>
      <w:r w:rsidRPr="00A54361">
        <w:rPr>
          <w:rFonts w:cstheme="minorHAnsi"/>
        </w:rPr>
        <w:t>k</w:t>
      </w:r>
      <w:r w:rsidRPr="00A54361">
        <w:rPr>
          <w:rFonts w:cstheme="minorHAnsi"/>
          <w:spacing w:val="7"/>
        </w:rPr>
        <w:t xml:space="preserve"> </w:t>
      </w:r>
      <w:r w:rsidRPr="00A54361">
        <w:rPr>
          <w:rFonts w:cstheme="minorHAnsi"/>
        </w:rPr>
        <w:t>r</w:t>
      </w:r>
      <w:r w:rsidRPr="00A54361">
        <w:rPr>
          <w:rFonts w:cstheme="minorHAnsi"/>
          <w:spacing w:val="-2"/>
        </w:rPr>
        <w:t>e</w:t>
      </w:r>
      <w:r w:rsidRPr="00A54361">
        <w:rPr>
          <w:rFonts w:cstheme="minorHAnsi"/>
        </w:rPr>
        <w:t>sul</w:t>
      </w:r>
      <w:r w:rsidRPr="00A54361">
        <w:rPr>
          <w:rFonts w:cstheme="minorHAnsi"/>
          <w:spacing w:val="1"/>
        </w:rPr>
        <w:t>t</w:t>
      </w:r>
      <w:r w:rsidRPr="00A54361">
        <w:rPr>
          <w:rFonts w:cstheme="minorHAnsi"/>
        </w:rPr>
        <w:t>ing</w:t>
      </w:r>
      <w:r w:rsidRPr="00A54361">
        <w:rPr>
          <w:rFonts w:cstheme="minorHAnsi"/>
          <w:spacing w:val="5"/>
        </w:rPr>
        <w:t xml:space="preserve"> </w:t>
      </w:r>
      <w:r w:rsidRPr="00A54361">
        <w:rPr>
          <w:rFonts w:cstheme="minorHAnsi"/>
        </w:rPr>
        <w:t>f</w:t>
      </w:r>
      <w:r w:rsidRPr="00A54361">
        <w:rPr>
          <w:rFonts w:cstheme="minorHAnsi"/>
          <w:spacing w:val="-1"/>
        </w:rPr>
        <w:t>r</w:t>
      </w:r>
      <w:r w:rsidRPr="00A54361">
        <w:rPr>
          <w:rFonts w:cstheme="minorHAnsi"/>
        </w:rPr>
        <w:t>om</w:t>
      </w:r>
      <w:r w:rsidRPr="00A54361">
        <w:rPr>
          <w:rFonts w:cstheme="minorHAnsi"/>
          <w:spacing w:val="8"/>
        </w:rPr>
        <w:t xml:space="preserve"> </w:t>
      </w:r>
      <w:r w:rsidRPr="00A54361">
        <w:rPr>
          <w:rFonts w:cstheme="minorHAnsi"/>
        </w:rPr>
        <w:t>m</w:t>
      </w:r>
      <w:r w:rsidRPr="00A54361">
        <w:rPr>
          <w:rFonts w:cstheme="minorHAnsi"/>
          <w:spacing w:val="1"/>
        </w:rPr>
        <w:t>i</w:t>
      </w:r>
      <w:r w:rsidRPr="00A54361">
        <w:rPr>
          <w:rFonts w:cstheme="minorHAnsi"/>
        </w:rPr>
        <w:t>s</w:t>
      </w:r>
      <w:r w:rsidRPr="00A54361">
        <w:rPr>
          <w:rFonts w:cstheme="minorHAnsi"/>
          <w:spacing w:val="-1"/>
        </w:rPr>
        <w:t>c</w:t>
      </w:r>
      <w:r w:rsidRPr="00A54361">
        <w:rPr>
          <w:rFonts w:cstheme="minorHAnsi"/>
        </w:rPr>
        <w:t>ondu</w:t>
      </w:r>
      <w:r w:rsidRPr="00A54361">
        <w:rPr>
          <w:rFonts w:cstheme="minorHAnsi"/>
          <w:spacing w:val="-1"/>
        </w:rPr>
        <w:t>c</w:t>
      </w:r>
      <w:r w:rsidRPr="00A54361">
        <w:rPr>
          <w:rFonts w:cstheme="minorHAnsi"/>
        </w:rPr>
        <w:t>t</w:t>
      </w:r>
      <w:r w:rsidRPr="00A54361">
        <w:rPr>
          <w:rFonts w:cstheme="minorHAnsi"/>
          <w:spacing w:val="5"/>
        </w:rPr>
        <w:t xml:space="preserve"> </w:t>
      </w:r>
      <w:r w:rsidRPr="00A54361">
        <w:rPr>
          <w:rFonts w:cstheme="minorHAnsi"/>
        </w:rPr>
        <w:t>or</w:t>
      </w:r>
      <w:r w:rsidRPr="00A54361">
        <w:rPr>
          <w:rFonts w:cstheme="minorHAnsi"/>
          <w:spacing w:val="9"/>
        </w:rPr>
        <w:t xml:space="preserve"> </w:t>
      </w:r>
      <w:r w:rsidRPr="00A54361">
        <w:rPr>
          <w:rFonts w:cstheme="minorHAnsi"/>
          <w:spacing w:val="-2"/>
        </w:rPr>
        <w:t>g</w:t>
      </w:r>
      <w:r w:rsidRPr="00A54361">
        <w:rPr>
          <w:rFonts w:cstheme="minorHAnsi"/>
        </w:rPr>
        <w:t>ross n</w:t>
      </w:r>
      <w:r w:rsidRPr="00A54361">
        <w:rPr>
          <w:rFonts w:cstheme="minorHAnsi"/>
          <w:spacing w:val="-1"/>
        </w:rPr>
        <w:t>e</w:t>
      </w:r>
      <w:r w:rsidRPr="00A54361">
        <w:rPr>
          <w:rFonts w:cstheme="minorHAnsi"/>
          <w:spacing w:val="-2"/>
        </w:rPr>
        <w:t>g</w:t>
      </w:r>
      <w:r w:rsidRPr="00A54361">
        <w:rPr>
          <w:rFonts w:cstheme="minorHAnsi"/>
        </w:rPr>
        <w:t>l</w:t>
      </w:r>
      <w:r w:rsidRPr="00A54361">
        <w:rPr>
          <w:rFonts w:cstheme="minorHAnsi"/>
          <w:spacing w:val="3"/>
        </w:rPr>
        <w:t>i</w:t>
      </w:r>
      <w:r w:rsidRPr="00A54361">
        <w:rPr>
          <w:rFonts w:cstheme="minorHAnsi"/>
          <w:spacing w:val="-2"/>
        </w:rPr>
        <w:t>g</w:t>
      </w:r>
      <w:r w:rsidRPr="00A54361">
        <w:rPr>
          <w:rFonts w:cstheme="minorHAnsi"/>
          <w:spacing w:val="-1"/>
        </w:rPr>
        <w:t>e</w:t>
      </w:r>
      <w:r w:rsidRPr="00A54361">
        <w:rPr>
          <w:rFonts w:cstheme="minorHAnsi"/>
          <w:spacing w:val="2"/>
        </w:rPr>
        <w:t>n</w:t>
      </w:r>
      <w:r w:rsidRPr="00A54361">
        <w:rPr>
          <w:rFonts w:cstheme="minorHAnsi"/>
          <w:spacing w:val="-1"/>
        </w:rPr>
        <w:t>c</w:t>
      </w:r>
      <w:r w:rsidRPr="00A54361">
        <w:rPr>
          <w:rFonts w:cstheme="minorHAnsi"/>
        </w:rPr>
        <w:t xml:space="preserve">e of the </w:t>
      </w:r>
      <w:r w:rsidRPr="00A54361">
        <w:rPr>
          <w:rFonts w:cstheme="minorHAnsi"/>
          <w:spacing w:val="-2"/>
        </w:rPr>
        <w:t>B</w:t>
      </w:r>
      <w:r w:rsidRPr="00A54361">
        <w:rPr>
          <w:rFonts w:cstheme="minorHAnsi"/>
        </w:rPr>
        <w:t>idde</w:t>
      </w:r>
      <w:r w:rsidRPr="00A54361">
        <w:rPr>
          <w:rFonts w:cstheme="minorHAnsi"/>
          <w:spacing w:val="1"/>
        </w:rPr>
        <w:t>r</w:t>
      </w:r>
      <w:r w:rsidRPr="00A54361">
        <w:rPr>
          <w:rFonts w:cstheme="minorHAnsi"/>
        </w:rPr>
        <w:t>,</w:t>
      </w:r>
      <w:r w:rsidRPr="00A54361">
        <w:rPr>
          <w:rFonts w:cstheme="minorHAnsi"/>
          <w:spacing w:val="1"/>
        </w:rPr>
        <w:t xml:space="preserve"> </w:t>
      </w:r>
      <w:r w:rsidRPr="00A54361">
        <w:rPr>
          <w:rFonts w:cstheme="minorHAnsi"/>
        </w:rPr>
        <w:t>i</w:t>
      </w:r>
      <w:r w:rsidRPr="00A54361">
        <w:rPr>
          <w:rFonts w:cstheme="minorHAnsi"/>
          <w:spacing w:val="1"/>
        </w:rPr>
        <w:t>t</w:t>
      </w:r>
      <w:r w:rsidRPr="00A54361">
        <w:rPr>
          <w:rFonts w:cstheme="minorHAnsi"/>
        </w:rPr>
        <w:t>s</w:t>
      </w:r>
      <w:r w:rsidRPr="00A54361">
        <w:rPr>
          <w:rFonts w:cstheme="minorHAnsi"/>
          <w:spacing w:val="1"/>
        </w:rPr>
        <w:t xml:space="preserve"> </w:t>
      </w:r>
      <w:r w:rsidRPr="00A54361">
        <w:rPr>
          <w:rFonts w:cstheme="minorHAnsi"/>
          <w:spacing w:val="-1"/>
        </w:rPr>
        <w:t>e</w:t>
      </w:r>
      <w:r w:rsidRPr="00A54361">
        <w:rPr>
          <w:rFonts w:cstheme="minorHAnsi"/>
        </w:rPr>
        <w:t>m</w:t>
      </w:r>
      <w:r w:rsidRPr="00A54361">
        <w:rPr>
          <w:rFonts w:cstheme="minorHAnsi"/>
          <w:spacing w:val="-2"/>
        </w:rPr>
        <w:t>p</w:t>
      </w:r>
      <w:r w:rsidRPr="00A54361">
        <w:rPr>
          <w:rFonts w:cstheme="minorHAnsi"/>
        </w:rPr>
        <w:t>l</w:t>
      </w:r>
      <w:r w:rsidRPr="00A54361">
        <w:rPr>
          <w:rFonts w:cstheme="minorHAnsi"/>
          <w:spacing w:val="3"/>
        </w:rPr>
        <w:t>o</w:t>
      </w:r>
      <w:r w:rsidRPr="00A54361">
        <w:rPr>
          <w:rFonts w:cstheme="minorHAnsi"/>
          <w:spacing w:val="-5"/>
        </w:rPr>
        <w:t>y</w:t>
      </w:r>
      <w:r w:rsidRPr="00A54361">
        <w:rPr>
          <w:rFonts w:cstheme="minorHAnsi"/>
          <w:spacing w:val="-1"/>
        </w:rPr>
        <w:t>ee</w:t>
      </w:r>
      <w:r w:rsidRPr="00A54361">
        <w:rPr>
          <w:rFonts w:cstheme="minorHAnsi"/>
        </w:rPr>
        <w:t>s</w:t>
      </w:r>
      <w:r w:rsidRPr="00A54361">
        <w:rPr>
          <w:rFonts w:cstheme="minorHAnsi"/>
          <w:spacing w:val="1"/>
        </w:rPr>
        <w:t xml:space="preserve"> </w:t>
      </w:r>
      <w:r w:rsidRPr="00A54361">
        <w:rPr>
          <w:rFonts w:cstheme="minorHAnsi"/>
          <w:spacing w:val="-1"/>
        </w:rPr>
        <w:t>a</w:t>
      </w:r>
      <w:r w:rsidRPr="00A54361">
        <w:rPr>
          <w:rFonts w:cstheme="minorHAnsi"/>
        </w:rPr>
        <w:t>nd</w:t>
      </w:r>
      <w:r w:rsidRPr="00A54361">
        <w:rPr>
          <w:rFonts w:cstheme="minorHAnsi"/>
          <w:spacing w:val="1"/>
        </w:rPr>
        <w:t xml:space="preserve"> </w:t>
      </w:r>
      <w:r w:rsidRPr="00A54361">
        <w:rPr>
          <w:rFonts w:cstheme="minorHAnsi"/>
        </w:rPr>
        <w:t>sub</w:t>
      </w:r>
      <w:r w:rsidRPr="00A54361">
        <w:rPr>
          <w:rFonts w:cstheme="minorHAnsi"/>
          <w:spacing w:val="1"/>
        </w:rPr>
        <w:t>c</w:t>
      </w:r>
      <w:r w:rsidRPr="00A54361">
        <w:rPr>
          <w:rFonts w:cstheme="minorHAnsi"/>
        </w:rPr>
        <w:t>ontr</w:t>
      </w:r>
      <w:r w:rsidRPr="00A54361">
        <w:rPr>
          <w:rFonts w:cstheme="minorHAnsi"/>
          <w:spacing w:val="-1"/>
        </w:rPr>
        <w:t>ac</w:t>
      </w:r>
      <w:r w:rsidRPr="00A54361">
        <w:rPr>
          <w:rFonts w:cstheme="minorHAnsi"/>
        </w:rPr>
        <w:t>tors</w:t>
      </w:r>
      <w:r w:rsidRPr="00A54361">
        <w:rPr>
          <w:rFonts w:cstheme="minorHAnsi"/>
          <w:spacing w:val="1"/>
        </w:rPr>
        <w:t xml:space="preserve"> </w:t>
      </w:r>
      <w:r w:rsidRPr="00A54361">
        <w:rPr>
          <w:rFonts w:cstheme="minorHAnsi"/>
        </w:rPr>
        <w:t>or f</w:t>
      </w:r>
      <w:r w:rsidRPr="00A54361">
        <w:rPr>
          <w:rFonts w:cstheme="minorHAnsi"/>
          <w:spacing w:val="-1"/>
        </w:rPr>
        <w:t>r</w:t>
      </w:r>
      <w:r w:rsidRPr="00A54361">
        <w:rPr>
          <w:rFonts w:cstheme="minorHAnsi"/>
        </w:rPr>
        <w:t>om</w:t>
      </w:r>
      <w:r w:rsidRPr="00A54361">
        <w:rPr>
          <w:rFonts w:cstheme="minorHAnsi"/>
          <w:spacing w:val="1"/>
        </w:rPr>
        <w:t xml:space="preserve"> </w:t>
      </w:r>
      <w:r w:rsidRPr="00A54361">
        <w:rPr>
          <w:rFonts w:cstheme="minorHAnsi"/>
        </w:rPr>
        <w:t>inf</w:t>
      </w:r>
      <w:r w:rsidRPr="00A54361">
        <w:rPr>
          <w:rFonts w:cstheme="minorHAnsi"/>
          <w:spacing w:val="-1"/>
        </w:rPr>
        <w:t>r</w:t>
      </w:r>
      <w:r w:rsidRPr="00A54361">
        <w:rPr>
          <w:rFonts w:cstheme="minorHAnsi"/>
        </w:rPr>
        <w:t>in</w:t>
      </w:r>
      <w:r w:rsidRPr="00A54361">
        <w:rPr>
          <w:rFonts w:cstheme="minorHAnsi"/>
          <w:spacing w:val="-2"/>
        </w:rPr>
        <w:t>g</w:t>
      </w:r>
      <w:r w:rsidRPr="00A54361">
        <w:rPr>
          <w:rFonts w:cstheme="minorHAnsi"/>
          <w:spacing w:val="-1"/>
        </w:rPr>
        <w:t>e</w:t>
      </w:r>
      <w:r w:rsidRPr="00A54361">
        <w:rPr>
          <w:rFonts w:cstheme="minorHAnsi"/>
          <w:spacing w:val="3"/>
        </w:rPr>
        <w:t>m</w:t>
      </w:r>
      <w:r w:rsidRPr="00A54361">
        <w:rPr>
          <w:rFonts w:cstheme="minorHAnsi"/>
          <w:spacing w:val="-1"/>
        </w:rPr>
        <w:t>e</w:t>
      </w:r>
      <w:r w:rsidRPr="00A54361">
        <w:rPr>
          <w:rFonts w:cstheme="minorHAnsi"/>
        </w:rPr>
        <w:t>nt</w:t>
      </w:r>
      <w:r w:rsidRPr="00A54361">
        <w:rPr>
          <w:rFonts w:cstheme="minorHAnsi"/>
          <w:spacing w:val="1"/>
        </w:rPr>
        <w:t xml:space="preserve"> </w:t>
      </w:r>
      <w:r w:rsidRPr="00A54361">
        <w:rPr>
          <w:rFonts w:cstheme="minorHAnsi"/>
        </w:rPr>
        <w:t>of p</w:t>
      </w:r>
      <w:r w:rsidRPr="00A54361">
        <w:rPr>
          <w:rFonts w:cstheme="minorHAnsi"/>
          <w:spacing w:val="-1"/>
        </w:rPr>
        <w:t>a</w:t>
      </w:r>
      <w:r w:rsidRPr="00A54361">
        <w:rPr>
          <w:rFonts w:cstheme="minorHAnsi"/>
        </w:rPr>
        <w:t>tents, tr</w:t>
      </w:r>
      <w:r w:rsidRPr="00A54361">
        <w:rPr>
          <w:rFonts w:cstheme="minorHAnsi"/>
          <w:spacing w:val="-1"/>
        </w:rPr>
        <w:t>a</w:t>
      </w:r>
      <w:r w:rsidRPr="00A54361">
        <w:rPr>
          <w:rFonts w:cstheme="minorHAnsi"/>
        </w:rPr>
        <w:t>d</w:t>
      </w:r>
      <w:r w:rsidRPr="00A54361">
        <w:rPr>
          <w:rFonts w:cstheme="minorHAnsi"/>
          <w:spacing w:val="-1"/>
        </w:rPr>
        <w:t>e</w:t>
      </w:r>
      <w:r w:rsidRPr="00A54361">
        <w:rPr>
          <w:rFonts w:cstheme="minorHAnsi"/>
        </w:rPr>
        <w:t>ma</w:t>
      </w:r>
      <w:r w:rsidRPr="00A54361">
        <w:rPr>
          <w:rFonts w:cstheme="minorHAnsi"/>
          <w:spacing w:val="-1"/>
        </w:rPr>
        <w:t>r</w:t>
      </w:r>
      <w:r w:rsidRPr="00A54361">
        <w:rPr>
          <w:rFonts w:cstheme="minorHAnsi"/>
        </w:rPr>
        <w:t>ks,</w:t>
      </w:r>
      <w:r w:rsidRPr="00A54361">
        <w:rPr>
          <w:rFonts w:cstheme="minorHAnsi"/>
          <w:spacing w:val="-5"/>
        </w:rPr>
        <w:t xml:space="preserve"> </w:t>
      </w:r>
      <w:r w:rsidRPr="00A54361">
        <w:rPr>
          <w:rFonts w:cstheme="minorHAnsi"/>
          <w:spacing w:val="-1"/>
        </w:rPr>
        <w:t>c</w:t>
      </w:r>
      <w:r w:rsidRPr="00A54361">
        <w:rPr>
          <w:rFonts w:cstheme="minorHAnsi"/>
        </w:rPr>
        <w:t>o</w:t>
      </w:r>
      <w:r w:rsidRPr="00A54361">
        <w:rPr>
          <w:rFonts w:cstheme="minorHAnsi"/>
          <w:spacing w:val="5"/>
        </w:rPr>
        <w:t>p</w:t>
      </w:r>
      <w:r w:rsidRPr="00A54361">
        <w:rPr>
          <w:rFonts w:cstheme="minorHAnsi"/>
          <w:spacing w:val="-5"/>
        </w:rPr>
        <w:t>y</w:t>
      </w:r>
      <w:r w:rsidRPr="00A54361">
        <w:rPr>
          <w:rFonts w:cstheme="minorHAnsi"/>
        </w:rPr>
        <w:t>r</w:t>
      </w:r>
      <w:r w:rsidRPr="00A54361">
        <w:rPr>
          <w:rFonts w:cstheme="minorHAnsi"/>
          <w:spacing w:val="2"/>
        </w:rPr>
        <w:t>i</w:t>
      </w:r>
      <w:r w:rsidRPr="00A54361">
        <w:rPr>
          <w:rFonts w:cstheme="minorHAnsi"/>
          <w:spacing w:val="-2"/>
        </w:rPr>
        <w:t>g</w:t>
      </w:r>
      <w:r w:rsidRPr="00A54361">
        <w:rPr>
          <w:rFonts w:cstheme="minorHAnsi"/>
        </w:rPr>
        <w:t>hts(if</w:t>
      </w:r>
      <w:r w:rsidRPr="00A54361">
        <w:rPr>
          <w:rFonts w:cstheme="minorHAnsi"/>
          <w:spacing w:val="-5"/>
        </w:rPr>
        <w:t xml:space="preserve"> </w:t>
      </w:r>
      <w:r w:rsidRPr="00A54361">
        <w:rPr>
          <w:rFonts w:cstheme="minorHAnsi"/>
          <w:spacing w:val="-1"/>
        </w:rPr>
        <w:t>a</w:t>
      </w:r>
      <w:r w:rsidRPr="00A54361">
        <w:rPr>
          <w:rFonts w:cstheme="minorHAnsi"/>
          <w:spacing w:val="2"/>
        </w:rPr>
        <w:t>n</w:t>
      </w:r>
      <w:r w:rsidRPr="00A54361">
        <w:rPr>
          <w:rFonts w:cstheme="minorHAnsi"/>
          <w:spacing w:val="-5"/>
        </w:rPr>
        <w:t>y</w:t>
      </w:r>
      <w:r w:rsidRPr="00A54361">
        <w:rPr>
          <w:rFonts w:cstheme="minorHAnsi"/>
        </w:rPr>
        <w:t>)</w:t>
      </w:r>
      <w:r w:rsidRPr="00A54361">
        <w:rPr>
          <w:rFonts w:cstheme="minorHAnsi"/>
          <w:spacing w:val="-8"/>
        </w:rPr>
        <w:t xml:space="preserve"> </w:t>
      </w:r>
      <w:r w:rsidRPr="00A54361">
        <w:rPr>
          <w:rFonts w:cstheme="minorHAnsi"/>
          <w:spacing w:val="2"/>
        </w:rPr>
        <w:t>o</w:t>
      </w:r>
      <w:r w:rsidRPr="00A54361">
        <w:rPr>
          <w:rFonts w:cstheme="minorHAnsi"/>
        </w:rPr>
        <w:t>r</w:t>
      </w:r>
      <w:r w:rsidRPr="00A54361">
        <w:rPr>
          <w:rFonts w:cstheme="minorHAnsi"/>
          <w:spacing w:val="-8"/>
        </w:rPr>
        <w:t xml:space="preserve"> </w:t>
      </w:r>
      <w:r w:rsidRPr="00A54361">
        <w:rPr>
          <w:rFonts w:cstheme="minorHAnsi"/>
        </w:rPr>
        <w:t>bre</w:t>
      </w:r>
      <w:r w:rsidRPr="00A54361">
        <w:rPr>
          <w:rFonts w:cstheme="minorHAnsi"/>
          <w:spacing w:val="-1"/>
        </w:rPr>
        <w:t>ac</w:t>
      </w:r>
      <w:r w:rsidRPr="00A54361">
        <w:rPr>
          <w:rFonts w:cstheme="minorHAnsi"/>
        </w:rPr>
        <w:t>h</w:t>
      </w:r>
      <w:r w:rsidRPr="00A54361">
        <w:rPr>
          <w:rFonts w:cstheme="minorHAnsi"/>
          <w:spacing w:val="-7"/>
        </w:rPr>
        <w:t xml:space="preserve"> </w:t>
      </w:r>
      <w:r w:rsidRPr="00A54361">
        <w:rPr>
          <w:rFonts w:cstheme="minorHAnsi"/>
        </w:rPr>
        <w:t>of</w:t>
      </w:r>
      <w:r w:rsidRPr="00A54361">
        <w:rPr>
          <w:rFonts w:cstheme="minorHAnsi"/>
          <w:spacing w:val="-8"/>
        </w:rPr>
        <w:t xml:space="preserve"> </w:t>
      </w:r>
      <w:r w:rsidRPr="00A54361">
        <w:rPr>
          <w:rFonts w:cstheme="minorHAnsi"/>
          <w:spacing w:val="-1"/>
        </w:rPr>
        <w:t>c</w:t>
      </w:r>
      <w:r w:rsidRPr="00A54361">
        <w:rPr>
          <w:rFonts w:cstheme="minorHAnsi"/>
        </w:rPr>
        <w:t>o</w:t>
      </w:r>
      <w:r w:rsidRPr="00A54361">
        <w:rPr>
          <w:rFonts w:cstheme="minorHAnsi"/>
          <w:spacing w:val="2"/>
        </w:rPr>
        <w:t>n</w:t>
      </w:r>
      <w:r w:rsidRPr="00A54361">
        <w:rPr>
          <w:rFonts w:cstheme="minorHAnsi"/>
        </w:rPr>
        <w:t>fid</w:t>
      </w:r>
      <w:r w:rsidRPr="00A54361">
        <w:rPr>
          <w:rFonts w:cstheme="minorHAnsi"/>
          <w:spacing w:val="1"/>
        </w:rPr>
        <w:t>e</w:t>
      </w:r>
      <w:r w:rsidRPr="00A54361">
        <w:rPr>
          <w:rFonts w:cstheme="minorHAnsi"/>
        </w:rPr>
        <w:t>nt</w:t>
      </w:r>
      <w:r w:rsidRPr="00A54361">
        <w:rPr>
          <w:rFonts w:cstheme="minorHAnsi"/>
          <w:spacing w:val="1"/>
        </w:rPr>
        <w:t>i</w:t>
      </w:r>
      <w:r w:rsidRPr="00A54361">
        <w:rPr>
          <w:rFonts w:cstheme="minorHAnsi"/>
          <w:spacing w:val="-1"/>
        </w:rPr>
        <w:t>a</w:t>
      </w:r>
      <w:r w:rsidRPr="00A54361">
        <w:rPr>
          <w:rFonts w:cstheme="minorHAnsi"/>
        </w:rPr>
        <w:t>l</w:t>
      </w:r>
      <w:r w:rsidRPr="00A54361">
        <w:rPr>
          <w:rFonts w:cstheme="minorHAnsi"/>
          <w:spacing w:val="1"/>
        </w:rPr>
        <w:t>i</w:t>
      </w:r>
      <w:r w:rsidRPr="00A54361">
        <w:rPr>
          <w:rFonts w:cstheme="minorHAnsi"/>
          <w:spacing w:val="3"/>
        </w:rPr>
        <w:t>t</w:t>
      </w:r>
      <w:r w:rsidRPr="00A54361">
        <w:rPr>
          <w:rFonts w:cstheme="minorHAnsi"/>
        </w:rPr>
        <w:t>y</w:t>
      </w:r>
      <w:r w:rsidRPr="00A54361">
        <w:rPr>
          <w:rFonts w:cstheme="minorHAnsi"/>
          <w:spacing w:val="-14"/>
        </w:rPr>
        <w:t xml:space="preserve"> </w:t>
      </w:r>
      <w:r w:rsidRPr="00A54361">
        <w:rPr>
          <w:rFonts w:cstheme="minorHAnsi"/>
        </w:rPr>
        <w:t>obl</w:t>
      </w:r>
      <w:r w:rsidRPr="00A54361">
        <w:rPr>
          <w:rFonts w:cstheme="minorHAnsi"/>
          <w:spacing w:val="3"/>
        </w:rPr>
        <w:t>i</w:t>
      </w:r>
      <w:r w:rsidRPr="00A54361">
        <w:rPr>
          <w:rFonts w:cstheme="minorHAnsi"/>
          <w:spacing w:val="-2"/>
        </w:rPr>
        <w:t>g</w:t>
      </w:r>
      <w:r w:rsidRPr="00A54361">
        <w:rPr>
          <w:rFonts w:cstheme="minorHAnsi"/>
          <w:spacing w:val="-1"/>
        </w:rPr>
        <w:t>a</w:t>
      </w:r>
      <w:r w:rsidRPr="00A54361">
        <w:rPr>
          <w:rFonts w:cstheme="minorHAnsi"/>
        </w:rPr>
        <w:t>t</w:t>
      </w:r>
      <w:r w:rsidRPr="00A54361">
        <w:rPr>
          <w:rFonts w:cstheme="minorHAnsi"/>
          <w:spacing w:val="1"/>
        </w:rPr>
        <w:t>i</w:t>
      </w:r>
      <w:r w:rsidRPr="00A54361">
        <w:rPr>
          <w:rFonts w:cstheme="minorHAnsi"/>
        </w:rPr>
        <w:t>ons</w:t>
      </w:r>
      <w:r w:rsidRPr="00A54361">
        <w:rPr>
          <w:rFonts w:cstheme="minorHAnsi"/>
          <w:spacing w:val="-7"/>
        </w:rPr>
        <w:t xml:space="preserve"> </w:t>
      </w:r>
      <w:r w:rsidRPr="00A54361">
        <w:rPr>
          <w:rFonts w:cstheme="minorHAnsi"/>
        </w:rPr>
        <w:t>sh</w:t>
      </w:r>
      <w:r w:rsidRPr="00A54361">
        <w:rPr>
          <w:rFonts w:cstheme="minorHAnsi"/>
          <w:spacing w:val="-1"/>
        </w:rPr>
        <w:t>a</w:t>
      </w:r>
      <w:r w:rsidRPr="00A54361">
        <w:rPr>
          <w:rFonts w:cstheme="minorHAnsi"/>
        </w:rPr>
        <w:t>ll</w:t>
      </w:r>
      <w:r w:rsidRPr="00A54361">
        <w:rPr>
          <w:rFonts w:cstheme="minorHAnsi"/>
          <w:spacing w:val="-6"/>
        </w:rPr>
        <w:t xml:space="preserve"> </w:t>
      </w:r>
      <w:r w:rsidRPr="00A54361">
        <w:rPr>
          <w:rFonts w:cstheme="minorHAnsi"/>
        </w:rPr>
        <w:t>be</w:t>
      </w:r>
      <w:r w:rsidRPr="00A54361">
        <w:rPr>
          <w:rFonts w:cstheme="minorHAnsi"/>
          <w:spacing w:val="-8"/>
        </w:rPr>
        <w:t xml:space="preserve"> </w:t>
      </w:r>
      <w:r w:rsidRPr="00A54361">
        <w:rPr>
          <w:rFonts w:cstheme="minorHAnsi"/>
        </w:rPr>
        <w:t>unl</w:t>
      </w:r>
      <w:r w:rsidRPr="00A54361">
        <w:rPr>
          <w:rFonts w:cstheme="minorHAnsi"/>
          <w:spacing w:val="1"/>
        </w:rPr>
        <w:t>i</w:t>
      </w:r>
      <w:r w:rsidRPr="00A54361">
        <w:rPr>
          <w:rFonts w:cstheme="minorHAnsi"/>
        </w:rPr>
        <w:t>m</w:t>
      </w:r>
      <w:r w:rsidRPr="00A54361">
        <w:rPr>
          <w:rFonts w:cstheme="minorHAnsi"/>
          <w:spacing w:val="1"/>
        </w:rPr>
        <w:t>i</w:t>
      </w:r>
      <w:r w:rsidRPr="00A54361">
        <w:rPr>
          <w:rFonts w:cstheme="minorHAnsi"/>
        </w:rPr>
        <w:t>ted.</w:t>
      </w:r>
      <w:r w:rsidRPr="00A54361">
        <w:rPr>
          <w:rFonts w:cstheme="minorHAnsi"/>
          <w:spacing w:val="-5"/>
        </w:rPr>
        <w:t xml:space="preserve"> </w:t>
      </w:r>
      <w:r w:rsidRPr="00A54361">
        <w:rPr>
          <w:rFonts w:cstheme="minorHAnsi"/>
          <w:spacing w:val="-6"/>
        </w:rPr>
        <w:t>I</w:t>
      </w:r>
      <w:r w:rsidRPr="00A54361">
        <w:rPr>
          <w:rFonts w:cstheme="minorHAnsi"/>
        </w:rPr>
        <w:t>n</w:t>
      </w:r>
      <w:r w:rsidRPr="00A54361">
        <w:rPr>
          <w:rFonts w:cstheme="minorHAnsi"/>
          <w:spacing w:val="-7"/>
        </w:rPr>
        <w:t xml:space="preserve"> </w:t>
      </w:r>
      <w:r w:rsidRPr="00A54361">
        <w:rPr>
          <w:rFonts w:cstheme="minorHAnsi"/>
        </w:rPr>
        <w:t xml:space="preserve">no </w:t>
      </w:r>
      <w:r w:rsidRPr="00A54361">
        <w:rPr>
          <w:rFonts w:cstheme="minorHAnsi"/>
          <w:spacing w:val="-1"/>
        </w:rPr>
        <w:t>e</w:t>
      </w:r>
      <w:r w:rsidRPr="00A54361">
        <w:rPr>
          <w:rFonts w:cstheme="minorHAnsi"/>
        </w:rPr>
        <w:t>v</w:t>
      </w:r>
      <w:r w:rsidRPr="00A54361">
        <w:rPr>
          <w:rFonts w:cstheme="minorHAnsi"/>
          <w:spacing w:val="-1"/>
        </w:rPr>
        <w:t>e</w:t>
      </w:r>
      <w:r w:rsidRPr="00A54361">
        <w:rPr>
          <w:rFonts w:cstheme="minorHAnsi"/>
        </w:rPr>
        <w:t>nt</w:t>
      </w:r>
      <w:r w:rsidRPr="00A54361">
        <w:rPr>
          <w:rFonts w:cstheme="minorHAnsi"/>
          <w:spacing w:val="-4"/>
        </w:rPr>
        <w:t xml:space="preserve"> </w:t>
      </w:r>
      <w:r w:rsidRPr="00A54361">
        <w:rPr>
          <w:rFonts w:cstheme="minorHAnsi"/>
        </w:rPr>
        <w:t>sh</w:t>
      </w:r>
      <w:r w:rsidRPr="00A54361">
        <w:rPr>
          <w:rFonts w:cstheme="minorHAnsi"/>
          <w:spacing w:val="-1"/>
        </w:rPr>
        <w:t>a</w:t>
      </w:r>
      <w:r w:rsidRPr="00A54361">
        <w:rPr>
          <w:rFonts w:cstheme="minorHAnsi"/>
        </w:rPr>
        <w:t>ll</w:t>
      </w:r>
      <w:r w:rsidRPr="00A54361">
        <w:rPr>
          <w:rFonts w:cstheme="minorHAnsi"/>
          <w:spacing w:val="-4"/>
        </w:rPr>
        <w:t xml:space="preserve"> </w:t>
      </w:r>
      <w:r w:rsidRPr="00A54361">
        <w:rPr>
          <w:rFonts w:cstheme="minorHAnsi"/>
        </w:rPr>
        <w:t>the</w:t>
      </w:r>
      <w:r w:rsidRPr="00A54361">
        <w:rPr>
          <w:rFonts w:cstheme="minorHAnsi"/>
          <w:spacing w:val="-5"/>
        </w:rPr>
        <w:t xml:space="preserve"> </w:t>
      </w:r>
      <w:r w:rsidRPr="00A54361">
        <w:rPr>
          <w:rFonts w:cstheme="minorHAnsi"/>
          <w:spacing w:val="-2"/>
        </w:rPr>
        <w:t>B</w:t>
      </w:r>
      <w:r w:rsidRPr="00A54361">
        <w:rPr>
          <w:rFonts w:cstheme="minorHAnsi"/>
          <w:spacing w:val="-1"/>
        </w:rPr>
        <w:t>a</w:t>
      </w:r>
      <w:r w:rsidRPr="00A54361">
        <w:rPr>
          <w:rFonts w:cstheme="minorHAnsi"/>
        </w:rPr>
        <w:t>nk</w:t>
      </w:r>
      <w:r w:rsidRPr="00A54361">
        <w:rPr>
          <w:rFonts w:cstheme="minorHAnsi"/>
          <w:spacing w:val="-5"/>
        </w:rPr>
        <w:t xml:space="preserve"> </w:t>
      </w:r>
      <w:r w:rsidRPr="00A54361">
        <w:rPr>
          <w:rFonts w:cstheme="minorHAnsi"/>
        </w:rPr>
        <w:t>be</w:t>
      </w:r>
      <w:r w:rsidRPr="00A54361">
        <w:rPr>
          <w:rFonts w:cstheme="minorHAnsi"/>
          <w:spacing w:val="-6"/>
        </w:rPr>
        <w:t xml:space="preserve"> </w:t>
      </w:r>
      <w:r w:rsidRPr="00A54361">
        <w:rPr>
          <w:rFonts w:cstheme="minorHAnsi"/>
        </w:rPr>
        <w:t>l</w:t>
      </w:r>
      <w:r w:rsidRPr="00A54361">
        <w:rPr>
          <w:rFonts w:cstheme="minorHAnsi"/>
          <w:spacing w:val="1"/>
        </w:rPr>
        <w:t>i</w:t>
      </w:r>
      <w:r w:rsidRPr="00A54361">
        <w:rPr>
          <w:rFonts w:cstheme="minorHAnsi"/>
          <w:spacing w:val="-1"/>
        </w:rPr>
        <w:t>a</w:t>
      </w:r>
      <w:r w:rsidRPr="00A54361">
        <w:rPr>
          <w:rFonts w:cstheme="minorHAnsi"/>
        </w:rPr>
        <w:t>b</w:t>
      </w:r>
      <w:r w:rsidRPr="00A54361">
        <w:rPr>
          <w:rFonts w:cstheme="minorHAnsi"/>
          <w:spacing w:val="1"/>
        </w:rPr>
        <w:t>l</w:t>
      </w:r>
      <w:r w:rsidRPr="00A54361">
        <w:rPr>
          <w:rFonts w:cstheme="minorHAnsi"/>
        </w:rPr>
        <w:t>e</w:t>
      </w:r>
      <w:r w:rsidRPr="00A54361">
        <w:rPr>
          <w:rFonts w:cstheme="minorHAnsi"/>
          <w:spacing w:val="-6"/>
        </w:rPr>
        <w:t xml:space="preserve"> </w:t>
      </w:r>
      <w:r w:rsidRPr="00A54361">
        <w:rPr>
          <w:rFonts w:cstheme="minorHAnsi"/>
        </w:rPr>
        <w:t>for</w:t>
      </w:r>
      <w:r w:rsidRPr="00A54361">
        <w:rPr>
          <w:rFonts w:cstheme="minorHAnsi"/>
          <w:spacing w:val="-6"/>
        </w:rPr>
        <w:t xml:space="preserve"> </w:t>
      </w:r>
      <w:r w:rsidRPr="00A54361">
        <w:rPr>
          <w:rFonts w:cstheme="minorHAnsi"/>
          <w:spacing w:val="-1"/>
        </w:rPr>
        <w:t>a</w:t>
      </w:r>
      <w:r w:rsidRPr="00A54361">
        <w:rPr>
          <w:rFonts w:cstheme="minorHAnsi"/>
          <w:spacing w:val="5"/>
        </w:rPr>
        <w:t>n</w:t>
      </w:r>
      <w:r w:rsidRPr="00A54361">
        <w:rPr>
          <w:rFonts w:cstheme="minorHAnsi"/>
        </w:rPr>
        <w:t>y</w:t>
      </w:r>
      <w:r w:rsidRPr="00A54361">
        <w:rPr>
          <w:rFonts w:cstheme="minorHAnsi"/>
          <w:spacing w:val="-10"/>
        </w:rPr>
        <w:t xml:space="preserve"> </w:t>
      </w:r>
      <w:r w:rsidRPr="00A54361">
        <w:rPr>
          <w:rFonts w:cstheme="minorHAnsi"/>
        </w:rPr>
        <w:t>ind</w:t>
      </w:r>
      <w:r w:rsidRPr="00A54361">
        <w:rPr>
          <w:rFonts w:cstheme="minorHAnsi"/>
          <w:spacing w:val="1"/>
        </w:rPr>
        <w:t>i</w:t>
      </w:r>
      <w:r w:rsidRPr="00A54361">
        <w:rPr>
          <w:rFonts w:cstheme="minorHAnsi"/>
        </w:rPr>
        <w:t>r</w:t>
      </w:r>
      <w:r w:rsidRPr="00A54361">
        <w:rPr>
          <w:rFonts w:cstheme="minorHAnsi"/>
          <w:spacing w:val="-2"/>
        </w:rPr>
        <w:t>e</w:t>
      </w:r>
      <w:r w:rsidRPr="00A54361">
        <w:rPr>
          <w:rFonts w:cstheme="minorHAnsi"/>
          <w:spacing w:val="-1"/>
        </w:rPr>
        <w:t>c</w:t>
      </w:r>
      <w:r w:rsidRPr="00A54361">
        <w:rPr>
          <w:rFonts w:cstheme="minorHAnsi"/>
        </w:rPr>
        <w:t>t,</w:t>
      </w:r>
      <w:r w:rsidRPr="00A54361">
        <w:rPr>
          <w:rFonts w:cstheme="minorHAnsi"/>
          <w:spacing w:val="-4"/>
        </w:rPr>
        <w:t xml:space="preserve"> </w:t>
      </w:r>
      <w:r w:rsidRPr="00A54361">
        <w:rPr>
          <w:rFonts w:cstheme="minorHAnsi"/>
        </w:rPr>
        <w:t>inc</w:t>
      </w:r>
      <w:r w:rsidRPr="00A54361">
        <w:rPr>
          <w:rFonts w:cstheme="minorHAnsi"/>
          <w:spacing w:val="2"/>
        </w:rPr>
        <w:t>i</w:t>
      </w:r>
      <w:r w:rsidRPr="00A54361">
        <w:rPr>
          <w:rFonts w:cstheme="minorHAnsi"/>
        </w:rPr>
        <w:t>d</w:t>
      </w:r>
      <w:r w:rsidRPr="00A54361">
        <w:rPr>
          <w:rFonts w:cstheme="minorHAnsi"/>
          <w:spacing w:val="-1"/>
        </w:rPr>
        <w:t>e</w:t>
      </w:r>
      <w:r w:rsidRPr="00A54361">
        <w:rPr>
          <w:rFonts w:cstheme="minorHAnsi"/>
        </w:rPr>
        <w:t>ntal</w:t>
      </w:r>
      <w:r w:rsidRPr="00A54361">
        <w:rPr>
          <w:rFonts w:cstheme="minorHAnsi"/>
          <w:spacing w:val="-5"/>
        </w:rPr>
        <w:t xml:space="preserve"> </w:t>
      </w:r>
      <w:r w:rsidRPr="00A54361">
        <w:rPr>
          <w:rFonts w:cstheme="minorHAnsi"/>
        </w:rPr>
        <w:t>or</w:t>
      </w:r>
      <w:r w:rsidRPr="00A54361">
        <w:rPr>
          <w:rFonts w:cstheme="minorHAnsi"/>
          <w:spacing w:val="-6"/>
        </w:rPr>
        <w:t xml:space="preserve"> </w:t>
      </w:r>
      <w:r w:rsidRPr="00A54361">
        <w:rPr>
          <w:rFonts w:cstheme="minorHAnsi"/>
          <w:spacing w:val="-1"/>
        </w:rPr>
        <w:t>c</w:t>
      </w:r>
      <w:r w:rsidRPr="00A54361">
        <w:rPr>
          <w:rFonts w:cstheme="minorHAnsi"/>
        </w:rPr>
        <w:t>ons</w:t>
      </w:r>
      <w:r w:rsidRPr="00A54361">
        <w:rPr>
          <w:rFonts w:cstheme="minorHAnsi"/>
          <w:spacing w:val="-1"/>
        </w:rPr>
        <w:t>e</w:t>
      </w:r>
      <w:r w:rsidRPr="00A54361">
        <w:rPr>
          <w:rFonts w:cstheme="minorHAnsi"/>
        </w:rPr>
        <w:t>qu</w:t>
      </w:r>
      <w:r w:rsidRPr="00A54361">
        <w:rPr>
          <w:rFonts w:cstheme="minorHAnsi"/>
          <w:spacing w:val="-1"/>
        </w:rPr>
        <w:t>e</w:t>
      </w:r>
      <w:r w:rsidRPr="00A54361">
        <w:rPr>
          <w:rFonts w:cstheme="minorHAnsi"/>
        </w:rPr>
        <w:t>nt</w:t>
      </w:r>
      <w:r w:rsidRPr="00A54361">
        <w:rPr>
          <w:rFonts w:cstheme="minorHAnsi"/>
          <w:spacing w:val="1"/>
        </w:rPr>
        <w:t>i</w:t>
      </w:r>
      <w:r w:rsidRPr="00A54361">
        <w:rPr>
          <w:rFonts w:cstheme="minorHAnsi"/>
          <w:spacing w:val="-1"/>
        </w:rPr>
        <w:t>a</w:t>
      </w:r>
      <w:r w:rsidRPr="00A54361">
        <w:rPr>
          <w:rFonts w:cstheme="minorHAnsi"/>
        </w:rPr>
        <w:t>l</w:t>
      </w:r>
      <w:r w:rsidRPr="00A54361">
        <w:rPr>
          <w:rFonts w:cstheme="minorHAnsi"/>
          <w:spacing w:val="-4"/>
        </w:rPr>
        <w:t xml:space="preserve"> </w:t>
      </w:r>
      <w:r w:rsidRPr="00A54361">
        <w:rPr>
          <w:rFonts w:cstheme="minorHAnsi"/>
          <w:spacing w:val="2"/>
        </w:rPr>
        <w:t>d</w:t>
      </w:r>
      <w:r w:rsidRPr="00A54361">
        <w:rPr>
          <w:rFonts w:cstheme="minorHAnsi"/>
          <w:spacing w:val="-1"/>
        </w:rPr>
        <w:t>a</w:t>
      </w:r>
      <w:r w:rsidRPr="00A54361">
        <w:rPr>
          <w:rFonts w:cstheme="minorHAnsi"/>
        </w:rPr>
        <w:t>m</w:t>
      </w:r>
      <w:r w:rsidRPr="00A54361">
        <w:rPr>
          <w:rFonts w:cstheme="minorHAnsi"/>
          <w:spacing w:val="2"/>
        </w:rPr>
        <w:t>a</w:t>
      </w:r>
      <w:r w:rsidRPr="00A54361">
        <w:rPr>
          <w:rFonts w:cstheme="minorHAnsi"/>
          <w:spacing w:val="-2"/>
        </w:rPr>
        <w:t>g</w:t>
      </w:r>
      <w:r w:rsidRPr="00A54361">
        <w:rPr>
          <w:rFonts w:cstheme="minorHAnsi"/>
          <w:spacing w:val="-1"/>
        </w:rPr>
        <w:t>e</w:t>
      </w:r>
      <w:r w:rsidRPr="00A54361">
        <w:rPr>
          <w:rFonts w:cstheme="minorHAnsi"/>
        </w:rPr>
        <w:t>s</w:t>
      </w:r>
      <w:r w:rsidRPr="00A54361">
        <w:rPr>
          <w:rFonts w:cstheme="minorHAnsi"/>
          <w:spacing w:val="-5"/>
        </w:rPr>
        <w:t xml:space="preserve"> </w:t>
      </w:r>
      <w:r w:rsidRPr="00A54361">
        <w:rPr>
          <w:rFonts w:cstheme="minorHAnsi"/>
        </w:rPr>
        <w:t>or</w:t>
      </w:r>
      <w:r w:rsidRPr="00A54361">
        <w:rPr>
          <w:rFonts w:cstheme="minorHAnsi"/>
          <w:spacing w:val="-6"/>
        </w:rPr>
        <w:t xml:space="preserve"> </w:t>
      </w:r>
      <w:r w:rsidRPr="00A54361">
        <w:rPr>
          <w:rFonts w:cstheme="minorHAnsi"/>
        </w:rPr>
        <w:t>l</w:t>
      </w:r>
      <w:r w:rsidRPr="00A54361">
        <w:rPr>
          <w:rFonts w:cstheme="minorHAnsi"/>
          <w:spacing w:val="1"/>
        </w:rPr>
        <w:t>i</w:t>
      </w:r>
      <w:r w:rsidRPr="00A54361">
        <w:rPr>
          <w:rFonts w:cstheme="minorHAnsi"/>
          <w:spacing w:val="-1"/>
        </w:rPr>
        <w:t>a</w:t>
      </w:r>
      <w:r w:rsidRPr="00A54361">
        <w:rPr>
          <w:rFonts w:cstheme="minorHAnsi"/>
        </w:rPr>
        <w:t>bi</w:t>
      </w:r>
      <w:r w:rsidRPr="00A54361">
        <w:rPr>
          <w:rFonts w:cstheme="minorHAnsi"/>
          <w:spacing w:val="1"/>
        </w:rPr>
        <w:t>l</w:t>
      </w:r>
      <w:r w:rsidRPr="00A54361">
        <w:rPr>
          <w:rFonts w:cstheme="minorHAnsi"/>
        </w:rPr>
        <w:t>i</w:t>
      </w:r>
      <w:r w:rsidRPr="00A54361">
        <w:rPr>
          <w:rFonts w:cstheme="minorHAnsi"/>
          <w:spacing w:val="3"/>
        </w:rPr>
        <w:t>t</w:t>
      </w:r>
      <w:r w:rsidRPr="00A54361">
        <w:rPr>
          <w:rFonts w:cstheme="minorHAnsi"/>
          <w:spacing w:val="-5"/>
        </w:rPr>
        <w:t>y</w:t>
      </w:r>
      <w:r w:rsidRPr="00A54361">
        <w:rPr>
          <w:rFonts w:cstheme="minorHAnsi"/>
        </w:rPr>
        <w:t>, und</w:t>
      </w:r>
      <w:r w:rsidRPr="00A54361">
        <w:rPr>
          <w:rFonts w:cstheme="minorHAnsi"/>
          <w:spacing w:val="-1"/>
        </w:rPr>
        <w:t>e</w:t>
      </w:r>
      <w:r w:rsidRPr="00A54361">
        <w:rPr>
          <w:rFonts w:cstheme="minorHAnsi"/>
        </w:rPr>
        <w:t>r</w:t>
      </w:r>
      <w:r w:rsidRPr="00A54361">
        <w:rPr>
          <w:rFonts w:cstheme="minorHAnsi"/>
          <w:spacing w:val="1"/>
        </w:rPr>
        <w:t xml:space="preserve"> </w:t>
      </w:r>
      <w:r w:rsidRPr="00A54361">
        <w:rPr>
          <w:rFonts w:cstheme="minorHAnsi"/>
        </w:rPr>
        <w:t>or</w:t>
      </w:r>
      <w:r w:rsidRPr="00A54361">
        <w:rPr>
          <w:rFonts w:cstheme="minorHAnsi"/>
          <w:spacing w:val="1"/>
        </w:rPr>
        <w:t xml:space="preserve"> </w:t>
      </w:r>
      <w:r w:rsidRPr="00A54361">
        <w:rPr>
          <w:rFonts w:cstheme="minorHAnsi"/>
        </w:rPr>
        <w:t>in</w:t>
      </w:r>
      <w:r w:rsidRPr="00A54361">
        <w:rPr>
          <w:rFonts w:cstheme="minorHAnsi"/>
          <w:spacing w:val="3"/>
        </w:rPr>
        <w:t xml:space="preserve"> </w:t>
      </w:r>
      <w:r w:rsidRPr="00A54361">
        <w:rPr>
          <w:rFonts w:cstheme="minorHAnsi"/>
          <w:spacing w:val="-1"/>
        </w:rPr>
        <w:t>c</w:t>
      </w:r>
      <w:r w:rsidRPr="00A54361">
        <w:rPr>
          <w:rFonts w:cstheme="minorHAnsi"/>
        </w:rPr>
        <w:t>onn</w:t>
      </w:r>
      <w:r w:rsidRPr="00A54361">
        <w:rPr>
          <w:rFonts w:cstheme="minorHAnsi"/>
          <w:spacing w:val="-1"/>
        </w:rPr>
        <w:t>ec</w:t>
      </w:r>
      <w:r w:rsidRPr="00A54361">
        <w:rPr>
          <w:rFonts w:cstheme="minorHAnsi"/>
        </w:rPr>
        <w:t>t</w:t>
      </w:r>
      <w:r w:rsidRPr="00A54361">
        <w:rPr>
          <w:rFonts w:cstheme="minorHAnsi"/>
          <w:spacing w:val="1"/>
        </w:rPr>
        <w:t>i</w:t>
      </w:r>
      <w:r w:rsidRPr="00A54361">
        <w:rPr>
          <w:rFonts w:cstheme="minorHAnsi"/>
        </w:rPr>
        <w:t>on</w:t>
      </w:r>
      <w:r w:rsidRPr="00A54361">
        <w:rPr>
          <w:rFonts w:cstheme="minorHAnsi"/>
          <w:spacing w:val="2"/>
        </w:rPr>
        <w:t xml:space="preserve"> </w:t>
      </w:r>
      <w:r w:rsidRPr="00A54361">
        <w:rPr>
          <w:rFonts w:cstheme="minorHAnsi"/>
        </w:rPr>
        <w:t>with</w:t>
      </w:r>
      <w:r w:rsidRPr="00A54361">
        <w:rPr>
          <w:rFonts w:cstheme="minorHAnsi"/>
          <w:spacing w:val="3"/>
        </w:rPr>
        <w:t xml:space="preserve"> </w:t>
      </w:r>
      <w:r w:rsidRPr="00A54361">
        <w:rPr>
          <w:rFonts w:cstheme="minorHAnsi"/>
        </w:rPr>
        <w:t>or</w:t>
      </w:r>
      <w:r w:rsidRPr="00A54361">
        <w:rPr>
          <w:rFonts w:cstheme="minorHAnsi"/>
          <w:spacing w:val="1"/>
        </w:rPr>
        <w:t xml:space="preserve"> </w:t>
      </w:r>
      <w:r w:rsidRPr="00A54361">
        <w:rPr>
          <w:rFonts w:cstheme="minorHAnsi"/>
          <w:spacing w:val="-1"/>
        </w:rPr>
        <w:t>a</w:t>
      </w:r>
      <w:r w:rsidRPr="00A54361">
        <w:rPr>
          <w:rFonts w:cstheme="minorHAnsi"/>
        </w:rPr>
        <w:t>rising out</w:t>
      </w:r>
      <w:r w:rsidRPr="00A54361">
        <w:rPr>
          <w:rFonts w:cstheme="minorHAnsi"/>
          <w:spacing w:val="3"/>
        </w:rPr>
        <w:t xml:space="preserve"> </w:t>
      </w:r>
      <w:r w:rsidRPr="00A54361">
        <w:rPr>
          <w:rFonts w:cstheme="minorHAnsi"/>
        </w:rPr>
        <w:t>of</w:t>
      </w:r>
      <w:r w:rsidRPr="00A54361">
        <w:rPr>
          <w:rFonts w:cstheme="minorHAnsi"/>
          <w:spacing w:val="1"/>
        </w:rPr>
        <w:t xml:space="preserve"> </w:t>
      </w:r>
      <w:r w:rsidRPr="00A54361">
        <w:rPr>
          <w:rFonts w:cstheme="minorHAnsi"/>
        </w:rPr>
        <w:t>th</w:t>
      </w:r>
      <w:r w:rsidRPr="00A54361">
        <w:rPr>
          <w:rFonts w:cstheme="minorHAnsi"/>
          <w:spacing w:val="1"/>
        </w:rPr>
        <w:t>i</w:t>
      </w:r>
      <w:r w:rsidRPr="00A54361">
        <w:rPr>
          <w:rFonts w:cstheme="minorHAnsi"/>
        </w:rPr>
        <w:t xml:space="preserve">s </w:t>
      </w:r>
      <w:r w:rsidRPr="00A54361">
        <w:rPr>
          <w:rFonts w:cstheme="minorHAnsi"/>
          <w:spacing w:val="-2"/>
        </w:rPr>
        <w:t>t</w:t>
      </w:r>
      <w:r w:rsidRPr="00A54361">
        <w:rPr>
          <w:rFonts w:cstheme="minorHAnsi"/>
          <w:spacing w:val="-1"/>
        </w:rPr>
        <w:t>e</w:t>
      </w:r>
      <w:r w:rsidRPr="00A54361">
        <w:rPr>
          <w:rFonts w:cstheme="minorHAnsi"/>
        </w:rPr>
        <w:t>nd</w:t>
      </w:r>
      <w:r w:rsidRPr="00A54361">
        <w:rPr>
          <w:rFonts w:cstheme="minorHAnsi"/>
          <w:spacing w:val="-1"/>
        </w:rPr>
        <w:t>e</w:t>
      </w:r>
      <w:r w:rsidRPr="00A54361">
        <w:rPr>
          <w:rFonts w:cstheme="minorHAnsi"/>
        </w:rPr>
        <w:t>r</w:t>
      </w:r>
      <w:r w:rsidRPr="00A54361">
        <w:rPr>
          <w:rFonts w:cstheme="minorHAnsi"/>
          <w:spacing w:val="1"/>
        </w:rPr>
        <w:t xml:space="preserve"> </w:t>
      </w:r>
      <w:r w:rsidRPr="00A54361">
        <w:rPr>
          <w:rFonts w:cstheme="minorHAnsi"/>
          <w:spacing w:val="-1"/>
        </w:rPr>
        <w:t>a</w:t>
      </w:r>
      <w:r w:rsidRPr="00A54361">
        <w:rPr>
          <w:rFonts w:cstheme="minorHAnsi"/>
        </w:rPr>
        <w:t>nd</w:t>
      </w:r>
      <w:r w:rsidRPr="00A54361">
        <w:rPr>
          <w:rFonts w:cstheme="minorHAnsi"/>
          <w:spacing w:val="2"/>
        </w:rPr>
        <w:t xml:space="preserve"> </w:t>
      </w:r>
      <w:r w:rsidRPr="00A54361">
        <w:rPr>
          <w:rFonts w:cstheme="minorHAnsi"/>
        </w:rPr>
        <w:t>subsequ</w:t>
      </w:r>
      <w:r w:rsidRPr="00A54361">
        <w:rPr>
          <w:rFonts w:cstheme="minorHAnsi"/>
          <w:spacing w:val="-1"/>
        </w:rPr>
        <w:t>e</w:t>
      </w:r>
      <w:r w:rsidRPr="00A54361">
        <w:rPr>
          <w:rFonts w:cstheme="minorHAnsi"/>
        </w:rPr>
        <w:t>nt</w:t>
      </w:r>
      <w:r w:rsidRPr="00A54361">
        <w:rPr>
          <w:rFonts w:cstheme="minorHAnsi"/>
          <w:spacing w:val="3"/>
        </w:rPr>
        <w:t xml:space="preserve"> </w:t>
      </w:r>
      <w:r w:rsidRPr="00A54361">
        <w:rPr>
          <w:rFonts w:cstheme="minorHAnsi"/>
          <w:spacing w:val="1"/>
        </w:rPr>
        <w:t>a</w:t>
      </w:r>
      <w:r w:rsidRPr="00A54361">
        <w:rPr>
          <w:rFonts w:cstheme="minorHAnsi"/>
        </w:rPr>
        <w:t>g</w:t>
      </w:r>
      <w:r w:rsidRPr="00A54361">
        <w:rPr>
          <w:rFonts w:cstheme="minorHAnsi"/>
          <w:spacing w:val="1"/>
        </w:rPr>
        <w:t>r</w:t>
      </w:r>
      <w:r w:rsidRPr="00A54361">
        <w:rPr>
          <w:rFonts w:cstheme="minorHAnsi"/>
          <w:spacing w:val="-1"/>
        </w:rPr>
        <w:t>ee</w:t>
      </w:r>
      <w:r w:rsidRPr="00A54361">
        <w:rPr>
          <w:rFonts w:cstheme="minorHAnsi"/>
        </w:rPr>
        <w:t>ment</w:t>
      </w:r>
      <w:r w:rsidRPr="00A54361">
        <w:rPr>
          <w:rFonts w:cstheme="minorHAnsi"/>
          <w:spacing w:val="2"/>
        </w:rPr>
        <w:t xml:space="preserve"> </w:t>
      </w:r>
      <w:r w:rsidRPr="00A54361">
        <w:rPr>
          <w:rFonts w:cstheme="minorHAnsi"/>
        </w:rPr>
        <w:t>or</w:t>
      </w:r>
      <w:r w:rsidRPr="00A54361">
        <w:rPr>
          <w:rFonts w:cstheme="minorHAnsi"/>
          <w:spacing w:val="1"/>
        </w:rPr>
        <w:t xml:space="preserve"> </w:t>
      </w:r>
      <w:r w:rsidRPr="00A54361">
        <w:rPr>
          <w:rFonts w:cstheme="minorHAnsi"/>
        </w:rPr>
        <w:lastRenderedPageBreak/>
        <w:t>s</w:t>
      </w:r>
      <w:r w:rsidRPr="00A54361">
        <w:rPr>
          <w:rFonts w:cstheme="minorHAnsi"/>
          <w:spacing w:val="-1"/>
        </w:rPr>
        <w:t>e</w:t>
      </w:r>
      <w:r w:rsidRPr="00A54361">
        <w:rPr>
          <w:rFonts w:cstheme="minorHAnsi"/>
        </w:rPr>
        <w:t>rvi</w:t>
      </w:r>
      <w:r w:rsidRPr="00A54361">
        <w:rPr>
          <w:rFonts w:cstheme="minorHAnsi"/>
          <w:spacing w:val="1"/>
        </w:rPr>
        <w:t>c</w:t>
      </w:r>
      <w:r w:rsidRPr="00A54361">
        <w:rPr>
          <w:rFonts w:cstheme="minorHAnsi"/>
          <w:spacing w:val="-1"/>
        </w:rPr>
        <w:t>e</w:t>
      </w:r>
      <w:r w:rsidRPr="00A54361">
        <w:rPr>
          <w:rFonts w:cstheme="minorHAnsi"/>
        </w:rPr>
        <w:t>s provid</w:t>
      </w:r>
      <w:r w:rsidRPr="00A54361">
        <w:rPr>
          <w:rFonts w:cstheme="minorHAnsi"/>
          <w:spacing w:val="-1"/>
        </w:rPr>
        <w:t>e</w:t>
      </w:r>
      <w:r w:rsidRPr="00A54361">
        <w:rPr>
          <w:rFonts w:cstheme="minorHAnsi"/>
        </w:rPr>
        <w:t>d.</w:t>
      </w:r>
      <w:r w:rsidRPr="00A54361">
        <w:rPr>
          <w:rFonts w:cstheme="minorHAnsi"/>
          <w:spacing w:val="1"/>
        </w:rPr>
        <w:t xml:space="preserve"> </w:t>
      </w:r>
      <w:r w:rsidRPr="00A54361">
        <w:rPr>
          <w:rFonts w:cstheme="minorHAnsi"/>
        </w:rPr>
        <w:t>The</w:t>
      </w:r>
      <w:r w:rsidRPr="00A54361">
        <w:rPr>
          <w:rFonts w:cstheme="minorHAnsi"/>
          <w:spacing w:val="2"/>
        </w:rPr>
        <w:t xml:space="preserve"> </w:t>
      </w:r>
      <w:r w:rsidRPr="00A54361">
        <w:rPr>
          <w:rFonts w:cstheme="minorHAnsi"/>
        </w:rPr>
        <w:t>bidder</w:t>
      </w:r>
      <w:r w:rsidRPr="00A54361">
        <w:rPr>
          <w:rFonts w:cstheme="minorHAnsi"/>
          <w:spacing w:val="2"/>
        </w:rPr>
        <w:t xml:space="preserve"> </w:t>
      </w:r>
      <w:r w:rsidRPr="00A54361">
        <w:rPr>
          <w:rFonts w:cstheme="minorHAnsi"/>
        </w:rPr>
        <w:t>s</w:t>
      </w:r>
      <w:r w:rsidRPr="00A54361">
        <w:rPr>
          <w:rFonts w:cstheme="minorHAnsi"/>
          <w:spacing w:val="2"/>
        </w:rPr>
        <w:t>h</w:t>
      </w:r>
      <w:r w:rsidRPr="00A54361">
        <w:rPr>
          <w:rFonts w:cstheme="minorHAnsi"/>
        </w:rPr>
        <w:t>ould</w:t>
      </w:r>
      <w:r w:rsidRPr="00A54361">
        <w:rPr>
          <w:rFonts w:cstheme="minorHAnsi"/>
          <w:spacing w:val="1"/>
        </w:rPr>
        <w:t xml:space="preserve"> </w:t>
      </w:r>
      <w:r w:rsidRPr="00A54361">
        <w:rPr>
          <w:rFonts w:cstheme="minorHAnsi"/>
          <w:spacing w:val="-1"/>
        </w:rPr>
        <w:t>e</w:t>
      </w:r>
      <w:r w:rsidRPr="00A54361">
        <w:rPr>
          <w:rFonts w:cstheme="minorHAnsi"/>
        </w:rPr>
        <w:t>nsure</w:t>
      </w:r>
      <w:r w:rsidRPr="00A54361">
        <w:rPr>
          <w:rFonts w:cstheme="minorHAnsi"/>
          <w:spacing w:val="1"/>
        </w:rPr>
        <w:t xml:space="preserve"> </w:t>
      </w:r>
      <w:r w:rsidRPr="00A54361">
        <w:rPr>
          <w:rFonts w:cstheme="minorHAnsi"/>
        </w:rPr>
        <w:t>that</w:t>
      </w:r>
      <w:r w:rsidRPr="00A54361">
        <w:rPr>
          <w:rFonts w:cstheme="minorHAnsi"/>
          <w:spacing w:val="1"/>
        </w:rPr>
        <w:t xml:space="preserve"> </w:t>
      </w:r>
      <w:r w:rsidRPr="00A54361">
        <w:rPr>
          <w:rFonts w:cstheme="minorHAnsi"/>
        </w:rPr>
        <w:t>the d</w:t>
      </w:r>
      <w:r w:rsidRPr="00A54361">
        <w:rPr>
          <w:rFonts w:cstheme="minorHAnsi"/>
          <w:spacing w:val="2"/>
        </w:rPr>
        <w:t>u</w:t>
      </w:r>
      <w:r w:rsidRPr="00A54361">
        <w:rPr>
          <w:rFonts w:cstheme="minorHAnsi"/>
        </w:rPr>
        <w:t>e</w:t>
      </w:r>
      <w:r w:rsidRPr="00A54361">
        <w:rPr>
          <w:rFonts w:cstheme="minorHAnsi"/>
          <w:spacing w:val="2"/>
        </w:rPr>
        <w:t xml:space="preserve"> </w:t>
      </w:r>
      <w:r w:rsidRPr="00A54361">
        <w:rPr>
          <w:rFonts w:cstheme="minorHAnsi"/>
        </w:rPr>
        <w:t>di</w:t>
      </w:r>
      <w:r w:rsidRPr="00A54361">
        <w:rPr>
          <w:rFonts w:cstheme="minorHAnsi"/>
          <w:spacing w:val="1"/>
        </w:rPr>
        <w:t>l</w:t>
      </w:r>
      <w:r w:rsidRPr="00A54361">
        <w:rPr>
          <w:rFonts w:cstheme="minorHAnsi"/>
        </w:rPr>
        <w:t>i</w:t>
      </w:r>
      <w:r w:rsidRPr="00A54361">
        <w:rPr>
          <w:rFonts w:cstheme="minorHAnsi"/>
          <w:spacing w:val="-2"/>
        </w:rPr>
        <w:t>g</w:t>
      </w:r>
      <w:r w:rsidRPr="00A54361">
        <w:rPr>
          <w:rFonts w:cstheme="minorHAnsi"/>
          <w:spacing w:val="-1"/>
        </w:rPr>
        <w:t>e</w:t>
      </w:r>
      <w:r w:rsidRPr="00A54361">
        <w:rPr>
          <w:rFonts w:cstheme="minorHAnsi"/>
        </w:rPr>
        <w:t>n</w:t>
      </w:r>
      <w:r w:rsidRPr="00A54361">
        <w:rPr>
          <w:rFonts w:cstheme="minorHAnsi"/>
          <w:spacing w:val="1"/>
        </w:rPr>
        <w:t>c</w:t>
      </w:r>
      <w:r w:rsidRPr="00A54361">
        <w:rPr>
          <w:rFonts w:cstheme="minorHAnsi"/>
        </w:rPr>
        <w:t xml:space="preserve">e </w:t>
      </w:r>
      <w:r w:rsidRPr="00A54361">
        <w:rPr>
          <w:rFonts w:cstheme="minorHAnsi"/>
          <w:spacing w:val="-1"/>
        </w:rPr>
        <w:t>a</w:t>
      </w:r>
      <w:r w:rsidRPr="00A54361">
        <w:rPr>
          <w:rFonts w:cstheme="minorHAnsi"/>
        </w:rPr>
        <w:t>nd</w:t>
      </w:r>
      <w:r w:rsidRPr="00A54361">
        <w:rPr>
          <w:rFonts w:cstheme="minorHAnsi"/>
          <w:spacing w:val="3"/>
        </w:rPr>
        <w:t xml:space="preserve"> </w:t>
      </w:r>
      <w:r w:rsidRPr="00A54361">
        <w:rPr>
          <w:rFonts w:cstheme="minorHAnsi"/>
        </w:rPr>
        <w:t>v</w:t>
      </w:r>
      <w:r w:rsidRPr="00A54361">
        <w:rPr>
          <w:rFonts w:cstheme="minorHAnsi"/>
          <w:spacing w:val="-1"/>
        </w:rPr>
        <w:t>e</w:t>
      </w:r>
      <w:r w:rsidRPr="00A54361">
        <w:rPr>
          <w:rFonts w:cstheme="minorHAnsi"/>
        </w:rPr>
        <w:t>ri</w:t>
      </w:r>
      <w:r w:rsidRPr="00A54361">
        <w:rPr>
          <w:rFonts w:cstheme="minorHAnsi"/>
          <w:spacing w:val="-1"/>
        </w:rPr>
        <w:t>f</w:t>
      </w:r>
      <w:r w:rsidRPr="00A54361">
        <w:rPr>
          <w:rFonts w:cstheme="minorHAnsi"/>
          <w:spacing w:val="3"/>
        </w:rPr>
        <w:t>i</w:t>
      </w:r>
      <w:r w:rsidRPr="00A54361">
        <w:rPr>
          <w:rFonts w:cstheme="minorHAnsi"/>
          <w:spacing w:val="-1"/>
        </w:rPr>
        <w:t>ca</w:t>
      </w:r>
      <w:r w:rsidRPr="00A54361">
        <w:rPr>
          <w:rFonts w:cstheme="minorHAnsi"/>
        </w:rPr>
        <w:t>t</w:t>
      </w:r>
      <w:r w:rsidRPr="00A54361">
        <w:rPr>
          <w:rFonts w:cstheme="minorHAnsi"/>
          <w:spacing w:val="1"/>
        </w:rPr>
        <w:t>i</w:t>
      </w:r>
      <w:r w:rsidRPr="00A54361">
        <w:rPr>
          <w:rFonts w:cstheme="minorHAnsi"/>
          <w:spacing w:val="2"/>
        </w:rPr>
        <w:t>o</w:t>
      </w:r>
      <w:r w:rsidRPr="00A54361">
        <w:rPr>
          <w:rFonts w:cstheme="minorHAnsi"/>
        </w:rPr>
        <w:t>n</w:t>
      </w:r>
      <w:r w:rsidRPr="00A54361">
        <w:rPr>
          <w:rFonts w:cstheme="minorHAnsi"/>
          <w:spacing w:val="1"/>
        </w:rPr>
        <w:t xml:space="preserve"> </w:t>
      </w:r>
      <w:r w:rsidRPr="00A54361">
        <w:rPr>
          <w:rFonts w:cstheme="minorHAnsi"/>
        </w:rPr>
        <w:t xml:space="preserve">of </w:t>
      </w:r>
      <w:r w:rsidRPr="00A54361">
        <w:rPr>
          <w:rFonts w:cstheme="minorHAnsi"/>
          <w:spacing w:val="-1"/>
        </w:rPr>
        <w:t>a</w:t>
      </w:r>
      <w:r w:rsidRPr="00A54361">
        <w:rPr>
          <w:rFonts w:cstheme="minorHAnsi"/>
        </w:rPr>
        <w:t>n</w:t>
      </w:r>
      <w:r w:rsidRPr="00A54361">
        <w:rPr>
          <w:rFonts w:cstheme="minorHAnsi"/>
          <w:spacing w:val="3"/>
        </w:rPr>
        <w:t>t</w:t>
      </w:r>
      <w:r w:rsidRPr="00A54361">
        <w:rPr>
          <w:rFonts w:cstheme="minorHAnsi"/>
          <w:spacing w:val="-1"/>
        </w:rPr>
        <w:t>ece</w:t>
      </w:r>
      <w:r w:rsidRPr="00A54361">
        <w:rPr>
          <w:rFonts w:cstheme="minorHAnsi"/>
          <w:spacing w:val="2"/>
        </w:rPr>
        <w:t>d</w:t>
      </w:r>
      <w:r w:rsidRPr="00A54361">
        <w:rPr>
          <w:rFonts w:cstheme="minorHAnsi"/>
          <w:spacing w:val="-1"/>
        </w:rPr>
        <w:t>e</w:t>
      </w:r>
      <w:r w:rsidRPr="00A54361">
        <w:rPr>
          <w:rFonts w:cstheme="minorHAnsi"/>
        </w:rPr>
        <w:t>nts</w:t>
      </w:r>
      <w:r w:rsidRPr="00A54361">
        <w:rPr>
          <w:rFonts w:cstheme="minorHAnsi"/>
          <w:spacing w:val="1"/>
        </w:rPr>
        <w:t xml:space="preserve"> </w:t>
      </w:r>
      <w:r w:rsidRPr="00A54361">
        <w:rPr>
          <w:rFonts w:cstheme="minorHAnsi"/>
          <w:spacing w:val="8"/>
        </w:rPr>
        <w:t>o</w:t>
      </w:r>
      <w:r w:rsidRPr="00A54361">
        <w:rPr>
          <w:rFonts w:cstheme="minorHAnsi"/>
        </w:rPr>
        <w:t xml:space="preserve">f </w:t>
      </w:r>
      <w:r w:rsidRPr="00A54361">
        <w:rPr>
          <w:rFonts w:cstheme="minorHAnsi"/>
          <w:spacing w:val="-1"/>
        </w:rPr>
        <w:t>e</w:t>
      </w:r>
      <w:r w:rsidRPr="00A54361">
        <w:rPr>
          <w:rFonts w:cstheme="minorHAnsi"/>
        </w:rPr>
        <w:t>mp</w:t>
      </w:r>
      <w:r w:rsidRPr="00A54361">
        <w:rPr>
          <w:rFonts w:cstheme="minorHAnsi"/>
          <w:spacing w:val="1"/>
        </w:rPr>
        <w:t>l</w:t>
      </w:r>
      <w:r w:rsidRPr="00A54361">
        <w:rPr>
          <w:rFonts w:cstheme="minorHAnsi"/>
          <w:spacing w:val="2"/>
        </w:rPr>
        <w:t>o</w:t>
      </w:r>
      <w:r w:rsidRPr="00A54361">
        <w:rPr>
          <w:rFonts w:cstheme="minorHAnsi"/>
          <w:spacing w:val="-5"/>
        </w:rPr>
        <w:t>y</w:t>
      </w:r>
      <w:r w:rsidRPr="00A54361">
        <w:rPr>
          <w:rFonts w:cstheme="minorHAnsi"/>
          <w:spacing w:val="1"/>
        </w:rPr>
        <w:t>e</w:t>
      </w:r>
      <w:r w:rsidRPr="00A54361">
        <w:rPr>
          <w:rFonts w:cstheme="minorHAnsi"/>
          <w:spacing w:val="-1"/>
        </w:rPr>
        <w:t>e</w:t>
      </w:r>
      <w:r w:rsidRPr="00A54361">
        <w:rPr>
          <w:rFonts w:cstheme="minorHAnsi"/>
        </w:rPr>
        <w:t>s/pe</w:t>
      </w:r>
      <w:r w:rsidRPr="00A54361">
        <w:rPr>
          <w:rFonts w:cstheme="minorHAnsi"/>
          <w:spacing w:val="-1"/>
        </w:rPr>
        <w:t>r</w:t>
      </w:r>
      <w:r w:rsidRPr="00A54361">
        <w:rPr>
          <w:rFonts w:cstheme="minorHAnsi"/>
        </w:rPr>
        <w:t>sonn</w:t>
      </w:r>
      <w:r w:rsidRPr="00A54361">
        <w:rPr>
          <w:rFonts w:cstheme="minorHAnsi"/>
          <w:spacing w:val="-1"/>
        </w:rPr>
        <w:t>e</w:t>
      </w:r>
      <w:r w:rsidRPr="00A54361">
        <w:rPr>
          <w:rFonts w:cstheme="minorHAnsi"/>
        </w:rPr>
        <w:t>l</w:t>
      </w:r>
      <w:r w:rsidRPr="00A54361">
        <w:rPr>
          <w:rFonts w:cstheme="minorHAnsi"/>
          <w:spacing w:val="6"/>
        </w:rPr>
        <w:t xml:space="preserve"> </w:t>
      </w:r>
      <w:r w:rsidRPr="00A54361">
        <w:rPr>
          <w:rFonts w:cstheme="minorHAnsi"/>
        </w:rPr>
        <w:t>d</w:t>
      </w:r>
      <w:r w:rsidRPr="00A54361">
        <w:rPr>
          <w:rFonts w:cstheme="minorHAnsi"/>
          <w:spacing w:val="1"/>
        </w:rPr>
        <w:t>e</w:t>
      </w:r>
      <w:r w:rsidRPr="00A54361">
        <w:rPr>
          <w:rFonts w:cstheme="minorHAnsi"/>
        </w:rPr>
        <w:t>pl</w:t>
      </w:r>
      <w:r w:rsidRPr="00A54361">
        <w:rPr>
          <w:rFonts w:cstheme="minorHAnsi"/>
          <w:spacing w:val="3"/>
        </w:rPr>
        <w:t>o</w:t>
      </w:r>
      <w:r w:rsidRPr="00A54361">
        <w:rPr>
          <w:rFonts w:cstheme="minorHAnsi"/>
          <w:spacing w:val="-5"/>
        </w:rPr>
        <w:t>y</w:t>
      </w:r>
      <w:r w:rsidRPr="00A54361">
        <w:rPr>
          <w:rFonts w:cstheme="minorHAnsi"/>
          <w:spacing w:val="-1"/>
        </w:rPr>
        <w:t>e</w:t>
      </w:r>
      <w:r w:rsidRPr="00A54361">
        <w:rPr>
          <w:rFonts w:cstheme="minorHAnsi"/>
        </w:rPr>
        <w:t>d</w:t>
      </w:r>
      <w:r w:rsidRPr="00A54361">
        <w:rPr>
          <w:rFonts w:cstheme="minorHAnsi"/>
          <w:spacing w:val="5"/>
        </w:rPr>
        <w:t xml:space="preserve"> b</w:t>
      </w:r>
      <w:r w:rsidRPr="00A54361">
        <w:rPr>
          <w:rFonts w:cstheme="minorHAnsi"/>
        </w:rPr>
        <w:t>y him</w:t>
      </w:r>
      <w:r w:rsidRPr="00A54361">
        <w:rPr>
          <w:rFonts w:cstheme="minorHAnsi"/>
          <w:spacing w:val="6"/>
        </w:rPr>
        <w:t xml:space="preserve"> </w:t>
      </w:r>
      <w:r w:rsidRPr="00A54361">
        <w:rPr>
          <w:rFonts w:cstheme="minorHAnsi"/>
        </w:rPr>
        <w:t>for</w:t>
      </w:r>
      <w:r w:rsidRPr="00A54361">
        <w:rPr>
          <w:rFonts w:cstheme="minorHAnsi"/>
          <w:spacing w:val="4"/>
        </w:rPr>
        <w:t xml:space="preserve"> </w:t>
      </w:r>
      <w:r w:rsidRPr="00A54361">
        <w:rPr>
          <w:rFonts w:cstheme="minorHAnsi"/>
          <w:spacing w:val="-1"/>
        </w:rPr>
        <w:t>e</w:t>
      </w:r>
      <w:r w:rsidRPr="00A54361">
        <w:rPr>
          <w:rFonts w:cstheme="minorHAnsi"/>
          <w:spacing w:val="2"/>
        </w:rPr>
        <w:t>x</w:t>
      </w:r>
      <w:r w:rsidRPr="00A54361">
        <w:rPr>
          <w:rFonts w:cstheme="minorHAnsi"/>
          <w:spacing w:val="-1"/>
        </w:rPr>
        <w:t>e</w:t>
      </w:r>
      <w:r w:rsidRPr="00A54361">
        <w:rPr>
          <w:rFonts w:cstheme="minorHAnsi"/>
          <w:spacing w:val="1"/>
        </w:rPr>
        <w:t>c</w:t>
      </w:r>
      <w:r w:rsidRPr="00A54361">
        <w:rPr>
          <w:rFonts w:cstheme="minorHAnsi"/>
        </w:rPr>
        <w:t>ut</w:t>
      </w:r>
      <w:r w:rsidRPr="00A54361">
        <w:rPr>
          <w:rFonts w:cstheme="minorHAnsi"/>
          <w:spacing w:val="1"/>
        </w:rPr>
        <w:t>i</w:t>
      </w:r>
      <w:r w:rsidRPr="00A54361">
        <w:rPr>
          <w:rFonts w:cstheme="minorHAnsi"/>
        </w:rPr>
        <w:t>on</w:t>
      </w:r>
      <w:r w:rsidRPr="00A54361">
        <w:rPr>
          <w:rFonts w:cstheme="minorHAnsi"/>
          <w:spacing w:val="5"/>
        </w:rPr>
        <w:t xml:space="preserve"> </w:t>
      </w:r>
      <w:r w:rsidRPr="00A54361">
        <w:rPr>
          <w:rFonts w:cstheme="minorHAnsi"/>
        </w:rPr>
        <w:t>of</w:t>
      </w:r>
      <w:r w:rsidRPr="00A54361">
        <w:rPr>
          <w:rFonts w:cstheme="minorHAnsi"/>
          <w:spacing w:val="4"/>
        </w:rPr>
        <w:t xml:space="preserve"> </w:t>
      </w:r>
      <w:r w:rsidRPr="00A54361">
        <w:rPr>
          <w:rFonts w:cstheme="minorHAnsi"/>
        </w:rPr>
        <w:t>th</w:t>
      </w:r>
      <w:r w:rsidRPr="00A54361">
        <w:rPr>
          <w:rFonts w:cstheme="minorHAnsi"/>
          <w:spacing w:val="1"/>
        </w:rPr>
        <w:t>i</w:t>
      </w:r>
      <w:r w:rsidRPr="00A54361">
        <w:rPr>
          <w:rFonts w:cstheme="minorHAnsi"/>
        </w:rPr>
        <w:t>s</w:t>
      </w:r>
      <w:r w:rsidRPr="00A54361">
        <w:rPr>
          <w:rFonts w:cstheme="minorHAnsi"/>
          <w:spacing w:val="5"/>
        </w:rPr>
        <w:t xml:space="preserve"> </w:t>
      </w:r>
      <w:r w:rsidRPr="00A54361">
        <w:rPr>
          <w:rFonts w:cstheme="minorHAnsi"/>
          <w:spacing w:val="-1"/>
        </w:rPr>
        <w:t>c</w:t>
      </w:r>
      <w:r w:rsidRPr="00A54361">
        <w:rPr>
          <w:rFonts w:cstheme="minorHAnsi"/>
        </w:rPr>
        <w:t>ontr</w:t>
      </w:r>
      <w:r w:rsidRPr="00A54361">
        <w:rPr>
          <w:rFonts w:cstheme="minorHAnsi"/>
          <w:spacing w:val="-1"/>
        </w:rPr>
        <w:t>ac</w:t>
      </w:r>
      <w:r w:rsidRPr="00A54361">
        <w:rPr>
          <w:rFonts w:cstheme="minorHAnsi"/>
        </w:rPr>
        <w:t>t</w:t>
      </w:r>
      <w:r w:rsidRPr="00A54361">
        <w:rPr>
          <w:rFonts w:cstheme="minorHAnsi"/>
          <w:spacing w:val="6"/>
        </w:rPr>
        <w:t xml:space="preserve"> </w:t>
      </w:r>
      <w:r w:rsidRPr="00A54361">
        <w:rPr>
          <w:rFonts w:cstheme="minorHAnsi"/>
          <w:spacing w:val="-1"/>
        </w:rPr>
        <w:t>a</w:t>
      </w:r>
      <w:r w:rsidRPr="00A54361">
        <w:rPr>
          <w:rFonts w:cstheme="minorHAnsi"/>
          <w:spacing w:val="1"/>
        </w:rPr>
        <w:t>r</w:t>
      </w:r>
      <w:r w:rsidRPr="00A54361">
        <w:rPr>
          <w:rFonts w:cstheme="minorHAnsi"/>
        </w:rPr>
        <w:t>e</w:t>
      </w:r>
      <w:r w:rsidRPr="00A54361">
        <w:rPr>
          <w:rFonts w:cstheme="minorHAnsi"/>
          <w:spacing w:val="4"/>
        </w:rPr>
        <w:t xml:space="preserve"> </w:t>
      </w:r>
      <w:r w:rsidRPr="00A54361">
        <w:rPr>
          <w:rFonts w:cstheme="minorHAnsi"/>
          <w:spacing w:val="-1"/>
        </w:rPr>
        <w:t>c</w:t>
      </w:r>
      <w:r w:rsidRPr="00A54361">
        <w:rPr>
          <w:rFonts w:cstheme="minorHAnsi"/>
        </w:rPr>
        <w:t>omp</w:t>
      </w:r>
      <w:r w:rsidRPr="00A54361">
        <w:rPr>
          <w:rFonts w:cstheme="minorHAnsi"/>
          <w:spacing w:val="1"/>
        </w:rPr>
        <w:t>l</w:t>
      </w:r>
      <w:r w:rsidRPr="00A54361">
        <w:rPr>
          <w:rFonts w:cstheme="minorHAnsi"/>
          <w:spacing w:val="-1"/>
        </w:rPr>
        <w:t>e</w:t>
      </w:r>
      <w:r w:rsidRPr="00A54361">
        <w:rPr>
          <w:rFonts w:cstheme="minorHAnsi"/>
        </w:rPr>
        <w:t>ted</w:t>
      </w:r>
      <w:r w:rsidRPr="00A54361">
        <w:rPr>
          <w:rFonts w:cstheme="minorHAnsi"/>
          <w:spacing w:val="5"/>
        </w:rPr>
        <w:t xml:space="preserve"> </w:t>
      </w:r>
      <w:r w:rsidRPr="00A54361">
        <w:rPr>
          <w:rFonts w:cstheme="minorHAnsi"/>
          <w:spacing w:val="-1"/>
        </w:rPr>
        <w:t>a</w:t>
      </w:r>
      <w:r w:rsidRPr="00A54361">
        <w:rPr>
          <w:rFonts w:cstheme="minorHAnsi"/>
        </w:rPr>
        <w:t>nd</w:t>
      </w:r>
      <w:r w:rsidRPr="00A54361">
        <w:rPr>
          <w:rFonts w:cstheme="minorHAnsi"/>
          <w:spacing w:val="5"/>
        </w:rPr>
        <w:t xml:space="preserve"> </w:t>
      </w:r>
      <w:r w:rsidRPr="00A54361">
        <w:rPr>
          <w:rFonts w:cstheme="minorHAnsi"/>
        </w:rPr>
        <w:t xml:space="preserve">is </w:t>
      </w:r>
      <w:r w:rsidRPr="00A54361">
        <w:rPr>
          <w:rFonts w:cstheme="minorHAnsi"/>
          <w:spacing w:val="-1"/>
        </w:rPr>
        <w:t>a</w:t>
      </w:r>
      <w:r w:rsidRPr="00A54361">
        <w:rPr>
          <w:rFonts w:cstheme="minorHAnsi"/>
        </w:rPr>
        <w:t>v</w:t>
      </w:r>
      <w:r w:rsidRPr="00A54361">
        <w:rPr>
          <w:rFonts w:cstheme="minorHAnsi"/>
          <w:spacing w:val="-1"/>
        </w:rPr>
        <w:t>a</w:t>
      </w:r>
      <w:r w:rsidRPr="00A54361">
        <w:rPr>
          <w:rFonts w:cstheme="minorHAnsi"/>
        </w:rPr>
        <w:t>i</w:t>
      </w:r>
      <w:r w:rsidRPr="00A54361">
        <w:rPr>
          <w:rFonts w:cstheme="minorHAnsi"/>
          <w:spacing w:val="1"/>
        </w:rPr>
        <w:t>l</w:t>
      </w:r>
      <w:r w:rsidRPr="00A54361">
        <w:rPr>
          <w:rFonts w:cstheme="minorHAnsi"/>
          <w:spacing w:val="-1"/>
        </w:rPr>
        <w:t>a</w:t>
      </w:r>
      <w:r w:rsidRPr="00A54361">
        <w:rPr>
          <w:rFonts w:cstheme="minorHAnsi"/>
        </w:rPr>
        <w:t xml:space="preserve">ble </w:t>
      </w:r>
      <w:r w:rsidRPr="00A54361">
        <w:rPr>
          <w:rFonts w:cstheme="minorHAnsi"/>
          <w:spacing w:val="-1"/>
        </w:rPr>
        <w:t>f</w:t>
      </w:r>
      <w:r w:rsidRPr="00A54361">
        <w:rPr>
          <w:rFonts w:cstheme="minorHAnsi"/>
          <w:spacing w:val="2"/>
        </w:rPr>
        <w:t>o</w:t>
      </w:r>
      <w:r w:rsidRPr="00A54361">
        <w:rPr>
          <w:rFonts w:cstheme="minorHAnsi"/>
        </w:rPr>
        <w:t>r s</w:t>
      </w:r>
      <w:r w:rsidRPr="00A54361">
        <w:rPr>
          <w:rFonts w:cstheme="minorHAnsi"/>
          <w:spacing w:val="-1"/>
        </w:rPr>
        <w:t>c</w:t>
      </w:r>
      <w:r w:rsidRPr="00A54361">
        <w:rPr>
          <w:rFonts w:cstheme="minorHAnsi"/>
        </w:rPr>
        <w:t>ruti</w:t>
      </w:r>
      <w:r w:rsidRPr="00A54361">
        <w:rPr>
          <w:rFonts w:cstheme="minorHAnsi"/>
          <w:spacing w:val="5"/>
        </w:rPr>
        <w:t>n</w:t>
      </w:r>
      <w:r w:rsidRPr="00A54361">
        <w:rPr>
          <w:rFonts w:cstheme="minorHAnsi"/>
        </w:rPr>
        <w:t>y</w:t>
      </w:r>
      <w:r w:rsidRPr="00A54361">
        <w:rPr>
          <w:rFonts w:cstheme="minorHAnsi"/>
          <w:spacing w:val="-5"/>
        </w:rPr>
        <w:t xml:space="preserve"> </w:t>
      </w:r>
      <w:r w:rsidRPr="00A54361">
        <w:rPr>
          <w:rFonts w:cstheme="minorHAnsi"/>
          <w:spacing w:val="5"/>
        </w:rPr>
        <w:t>b</w:t>
      </w:r>
      <w:r w:rsidRPr="00A54361">
        <w:rPr>
          <w:rFonts w:cstheme="minorHAnsi"/>
        </w:rPr>
        <w:t>y</w:t>
      </w:r>
      <w:r w:rsidRPr="00A54361">
        <w:rPr>
          <w:rFonts w:cstheme="minorHAnsi"/>
          <w:spacing w:val="-3"/>
        </w:rPr>
        <w:t xml:space="preserve"> </w:t>
      </w:r>
      <w:r w:rsidRPr="00A54361">
        <w:rPr>
          <w:rFonts w:cstheme="minorHAnsi"/>
        </w:rPr>
        <w:t xml:space="preserve">the </w:t>
      </w:r>
      <w:r w:rsidRPr="00A54361">
        <w:rPr>
          <w:rFonts w:cstheme="minorHAnsi"/>
          <w:spacing w:val="-2"/>
        </w:rPr>
        <w:t>B</w:t>
      </w:r>
      <w:r w:rsidRPr="00A54361">
        <w:rPr>
          <w:rFonts w:cstheme="minorHAnsi"/>
          <w:spacing w:val="-1"/>
        </w:rPr>
        <w:t>a</w:t>
      </w:r>
      <w:r w:rsidRPr="00A54361">
        <w:rPr>
          <w:rFonts w:cstheme="minorHAnsi"/>
        </w:rPr>
        <w:t>nk.</w:t>
      </w:r>
    </w:p>
    <w:p w14:paraId="6E36E997" w14:textId="1C08EF4D" w:rsidR="000D5769" w:rsidRPr="00A54361" w:rsidRDefault="000D5769" w:rsidP="00A54361">
      <w:pPr>
        <w:pStyle w:val="Heading1"/>
        <w:numPr>
          <w:ilvl w:val="0"/>
          <w:numId w:val="48"/>
        </w:numPr>
        <w:jc w:val="both"/>
        <w:rPr>
          <w:rFonts w:asciiTheme="minorHAnsi" w:hAnsiTheme="minorHAnsi" w:cstheme="minorHAnsi"/>
          <w:color w:val="auto"/>
        </w:rPr>
      </w:pPr>
      <w:bookmarkStart w:id="217" w:name="_Toc129668509"/>
      <w:bookmarkStart w:id="218" w:name="_Toc182233386"/>
      <w:r w:rsidRPr="00A54361">
        <w:rPr>
          <w:rFonts w:asciiTheme="minorHAnsi" w:hAnsiTheme="minorHAnsi" w:cstheme="minorHAnsi"/>
          <w:color w:val="auto"/>
        </w:rPr>
        <w:t>Information Ownership</w:t>
      </w:r>
      <w:bookmarkEnd w:id="217"/>
      <w:bookmarkEnd w:id="218"/>
    </w:p>
    <w:p w14:paraId="28005ED2" w14:textId="1BFF446D" w:rsidR="000D5769" w:rsidRPr="00A54361" w:rsidRDefault="00213BF1" w:rsidP="00A54361">
      <w:pPr>
        <w:jc w:val="both"/>
        <w:rPr>
          <w:rFonts w:cstheme="minorHAnsi"/>
        </w:rPr>
      </w:pPr>
      <w:r w:rsidRPr="00A54361">
        <w:rPr>
          <w:rFonts w:cstheme="minorHAnsi"/>
        </w:rPr>
        <w:t>All</w:t>
      </w:r>
      <w:r w:rsidRPr="00A54361">
        <w:rPr>
          <w:rFonts w:cstheme="minorHAnsi"/>
          <w:spacing w:val="5"/>
        </w:rPr>
        <w:t xml:space="preserve"> </w:t>
      </w:r>
      <w:r w:rsidRPr="00A54361">
        <w:rPr>
          <w:rFonts w:cstheme="minorHAnsi"/>
        </w:rPr>
        <w:t>info</w:t>
      </w:r>
      <w:r w:rsidRPr="00A54361">
        <w:rPr>
          <w:rFonts w:cstheme="minorHAnsi"/>
          <w:spacing w:val="-1"/>
        </w:rPr>
        <w:t>r</w:t>
      </w:r>
      <w:r w:rsidRPr="00A54361">
        <w:rPr>
          <w:rFonts w:cstheme="minorHAnsi"/>
        </w:rPr>
        <w:t>mation</w:t>
      </w:r>
      <w:r w:rsidRPr="00A54361">
        <w:rPr>
          <w:rFonts w:cstheme="minorHAnsi"/>
          <w:spacing w:val="5"/>
        </w:rPr>
        <w:t xml:space="preserve"> </w:t>
      </w:r>
      <w:r w:rsidRPr="00A54361">
        <w:rPr>
          <w:rFonts w:cstheme="minorHAnsi"/>
        </w:rPr>
        <w:t>tr</w:t>
      </w:r>
      <w:r w:rsidRPr="00A54361">
        <w:rPr>
          <w:rFonts w:cstheme="minorHAnsi"/>
          <w:spacing w:val="-1"/>
        </w:rPr>
        <w:t>a</w:t>
      </w:r>
      <w:r w:rsidRPr="00A54361">
        <w:rPr>
          <w:rFonts w:cstheme="minorHAnsi"/>
        </w:rPr>
        <w:t>nsm</w:t>
      </w:r>
      <w:r w:rsidRPr="00A54361">
        <w:rPr>
          <w:rFonts w:cstheme="minorHAnsi"/>
          <w:spacing w:val="1"/>
        </w:rPr>
        <w:t>i</w:t>
      </w:r>
      <w:r w:rsidRPr="00A54361">
        <w:rPr>
          <w:rFonts w:cstheme="minorHAnsi"/>
        </w:rPr>
        <w:t>t</w:t>
      </w:r>
      <w:r w:rsidRPr="00A54361">
        <w:rPr>
          <w:rFonts w:cstheme="minorHAnsi"/>
          <w:spacing w:val="1"/>
        </w:rPr>
        <w:t>t</w:t>
      </w:r>
      <w:r w:rsidRPr="00A54361">
        <w:rPr>
          <w:rFonts w:cstheme="minorHAnsi"/>
          <w:spacing w:val="-1"/>
        </w:rPr>
        <w:t>e</w:t>
      </w:r>
      <w:r w:rsidRPr="00A54361">
        <w:rPr>
          <w:rFonts w:cstheme="minorHAnsi"/>
        </w:rPr>
        <w:t>d</w:t>
      </w:r>
      <w:r w:rsidRPr="00A54361">
        <w:rPr>
          <w:rFonts w:cstheme="minorHAnsi"/>
          <w:spacing w:val="4"/>
        </w:rPr>
        <w:t xml:space="preserve"> </w:t>
      </w:r>
      <w:r w:rsidRPr="00A54361">
        <w:rPr>
          <w:rFonts w:cstheme="minorHAnsi"/>
          <w:spacing w:val="2"/>
        </w:rPr>
        <w:t>b</w:t>
      </w:r>
      <w:r w:rsidRPr="00A54361">
        <w:rPr>
          <w:rFonts w:cstheme="minorHAnsi"/>
        </w:rPr>
        <w:t>y s</w:t>
      </w:r>
      <w:r w:rsidRPr="00A54361">
        <w:rPr>
          <w:rFonts w:cstheme="minorHAnsi"/>
          <w:spacing w:val="2"/>
        </w:rPr>
        <w:t>u</w:t>
      </w:r>
      <w:r w:rsidRPr="00A54361">
        <w:rPr>
          <w:rFonts w:cstheme="minorHAnsi"/>
          <w:spacing w:val="-1"/>
        </w:rPr>
        <w:t>cce</w:t>
      </w:r>
      <w:r w:rsidRPr="00A54361">
        <w:rPr>
          <w:rFonts w:cstheme="minorHAnsi"/>
        </w:rPr>
        <w:t>ssful</w:t>
      </w:r>
      <w:r w:rsidRPr="00A54361">
        <w:rPr>
          <w:rFonts w:cstheme="minorHAnsi"/>
          <w:spacing w:val="7"/>
        </w:rPr>
        <w:t xml:space="preserve"> </w:t>
      </w:r>
      <w:r w:rsidRPr="00A54361">
        <w:rPr>
          <w:rFonts w:cstheme="minorHAnsi"/>
          <w:spacing w:val="-2"/>
        </w:rPr>
        <w:t>B</w:t>
      </w:r>
      <w:r w:rsidRPr="00A54361">
        <w:rPr>
          <w:rFonts w:cstheme="minorHAnsi"/>
        </w:rPr>
        <w:t>idd</w:t>
      </w:r>
      <w:r w:rsidRPr="00A54361">
        <w:rPr>
          <w:rFonts w:cstheme="minorHAnsi"/>
          <w:spacing w:val="2"/>
        </w:rPr>
        <w:t>e</w:t>
      </w:r>
      <w:r w:rsidRPr="00A54361">
        <w:rPr>
          <w:rFonts w:cstheme="minorHAnsi"/>
        </w:rPr>
        <w:t>r</w:t>
      </w:r>
      <w:r w:rsidRPr="00A54361">
        <w:rPr>
          <w:rFonts w:cstheme="minorHAnsi"/>
          <w:spacing w:val="6"/>
        </w:rPr>
        <w:t xml:space="preserve"> </w:t>
      </w:r>
      <w:r w:rsidRPr="00A54361">
        <w:rPr>
          <w:rFonts w:cstheme="minorHAnsi"/>
        </w:rPr>
        <w:t>b</w:t>
      </w:r>
      <w:r w:rsidRPr="00A54361">
        <w:rPr>
          <w:rFonts w:cstheme="minorHAnsi"/>
          <w:spacing w:val="-1"/>
        </w:rPr>
        <w:t>e</w:t>
      </w:r>
      <w:r w:rsidRPr="00A54361">
        <w:rPr>
          <w:rFonts w:cstheme="minorHAnsi"/>
        </w:rPr>
        <w:t>lon</w:t>
      </w:r>
      <w:r w:rsidRPr="00A54361">
        <w:rPr>
          <w:rFonts w:cstheme="minorHAnsi"/>
          <w:spacing w:val="-2"/>
        </w:rPr>
        <w:t>g</w:t>
      </w:r>
      <w:r w:rsidRPr="00A54361">
        <w:rPr>
          <w:rFonts w:cstheme="minorHAnsi"/>
        </w:rPr>
        <w:t>s</w:t>
      </w:r>
      <w:r w:rsidRPr="00A54361">
        <w:rPr>
          <w:rFonts w:cstheme="minorHAnsi"/>
          <w:spacing w:val="5"/>
        </w:rPr>
        <w:t xml:space="preserve"> </w:t>
      </w:r>
      <w:r w:rsidRPr="00A54361">
        <w:rPr>
          <w:rFonts w:cstheme="minorHAnsi"/>
        </w:rPr>
        <w:t>to</w:t>
      </w:r>
      <w:r w:rsidRPr="00A54361">
        <w:rPr>
          <w:rFonts w:cstheme="minorHAnsi"/>
          <w:spacing w:val="5"/>
        </w:rPr>
        <w:t xml:space="preserve"> </w:t>
      </w:r>
      <w:r w:rsidRPr="00A54361">
        <w:rPr>
          <w:rFonts w:cstheme="minorHAnsi"/>
        </w:rPr>
        <w:t>the</w:t>
      </w:r>
      <w:r w:rsidRPr="00A54361">
        <w:rPr>
          <w:rFonts w:cstheme="minorHAnsi"/>
          <w:spacing w:val="6"/>
        </w:rPr>
        <w:t xml:space="preserve"> </w:t>
      </w:r>
      <w:r w:rsidRPr="00A54361">
        <w:rPr>
          <w:rFonts w:cstheme="minorHAnsi"/>
          <w:spacing w:val="-2"/>
        </w:rPr>
        <w:t>B</w:t>
      </w:r>
      <w:r w:rsidRPr="00A54361">
        <w:rPr>
          <w:rFonts w:cstheme="minorHAnsi"/>
          <w:spacing w:val="-1"/>
        </w:rPr>
        <w:t>a</w:t>
      </w:r>
      <w:r w:rsidRPr="00A54361">
        <w:rPr>
          <w:rFonts w:cstheme="minorHAnsi"/>
        </w:rPr>
        <w:t>nk.</w:t>
      </w:r>
      <w:r w:rsidRPr="00A54361">
        <w:rPr>
          <w:rFonts w:cstheme="minorHAnsi"/>
          <w:spacing w:val="9"/>
        </w:rPr>
        <w:t xml:space="preserve"> </w:t>
      </w:r>
      <w:r w:rsidRPr="00A54361">
        <w:rPr>
          <w:rFonts w:cstheme="minorHAnsi"/>
          <w:spacing w:val="2"/>
        </w:rPr>
        <w:t>T</w:t>
      </w:r>
      <w:r w:rsidRPr="00A54361">
        <w:rPr>
          <w:rFonts w:cstheme="minorHAnsi"/>
        </w:rPr>
        <w:t>he</w:t>
      </w:r>
      <w:r w:rsidRPr="00A54361">
        <w:rPr>
          <w:rFonts w:cstheme="minorHAnsi"/>
          <w:spacing w:val="4"/>
        </w:rPr>
        <w:t xml:space="preserve"> </w:t>
      </w:r>
      <w:r w:rsidRPr="00A54361">
        <w:rPr>
          <w:rFonts w:cstheme="minorHAnsi"/>
          <w:spacing w:val="-2"/>
        </w:rPr>
        <w:t>B</w:t>
      </w:r>
      <w:r w:rsidRPr="00A54361">
        <w:rPr>
          <w:rFonts w:cstheme="minorHAnsi"/>
        </w:rPr>
        <w:t>idd</w:t>
      </w:r>
      <w:r w:rsidRPr="00A54361">
        <w:rPr>
          <w:rFonts w:cstheme="minorHAnsi"/>
          <w:spacing w:val="2"/>
        </w:rPr>
        <w:t>e</w:t>
      </w:r>
      <w:r w:rsidRPr="00A54361">
        <w:rPr>
          <w:rFonts w:cstheme="minorHAnsi"/>
        </w:rPr>
        <w:t>r</w:t>
      </w:r>
      <w:r w:rsidRPr="00A54361">
        <w:rPr>
          <w:rFonts w:cstheme="minorHAnsi"/>
          <w:spacing w:val="4"/>
        </w:rPr>
        <w:t xml:space="preserve"> </w:t>
      </w:r>
      <w:r w:rsidRPr="00A54361">
        <w:rPr>
          <w:rFonts w:cstheme="minorHAnsi"/>
        </w:rPr>
        <w:t>do</w:t>
      </w:r>
      <w:r w:rsidRPr="00A54361">
        <w:rPr>
          <w:rFonts w:cstheme="minorHAnsi"/>
          <w:spacing w:val="-1"/>
        </w:rPr>
        <w:t>e</w:t>
      </w:r>
      <w:r w:rsidRPr="00A54361">
        <w:rPr>
          <w:rFonts w:cstheme="minorHAnsi"/>
        </w:rPr>
        <w:t>s</w:t>
      </w:r>
      <w:r w:rsidRPr="00A54361">
        <w:rPr>
          <w:rFonts w:cstheme="minorHAnsi"/>
          <w:spacing w:val="5"/>
        </w:rPr>
        <w:t xml:space="preserve"> </w:t>
      </w:r>
      <w:r w:rsidRPr="00A54361">
        <w:rPr>
          <w:rFonts w:cstheme="minorHAnsi"/>
        </w:rPr>
        <w:t xml:space="preserve">not </w:t>
      </w:r>
      <w:r w:rsidRPr="00A54361">
        <w:rPr>
          <w:rFonts w:cstheme="minorHAnsi"/>
          <w:spacing w:val="-1"/>
        </w:rPr>
        <w:t>ac</w:t>
      </w:r>
      <w:r w:rsidRPr="00A54361">
        <w:rPr>
          <w:rFonts w:cstheme="minorHAnsi"/>
        </w:rPr>
        <w:t>quire</w:t>
      </w:r>
      <w:r w:rsidRPr="00A54361">
        <w:rPr>
          <w:rFonts w:cstheme="minorHAnsi"/>
          <w:spacing w:val="-4"/>
        </w:rPr>
        <w:t xml:space="preserve"> </w:t>
      </w:r>
      <w:r w:rsidRPr="00A54361">
        <w:rPr>
          <w:rFonts w:cstheme="minorHAnsi"/>
        </w:rPr>
        <w:t>i</w:t>
      </w:r>
      <w:r w:rsidRPr="00A54361">
        <w:rPr>
          <w:rFonts w:cstheme="minorHAnsi"/>
          <w:spacing w:val="1"/>
        </w:rPr>
        <w:t>m</w:t>
      </w:r>
      <w:r w:rsidRPr="00A54361">
        <w:rPr>
          <w:rFonts w:cstheme="minorHAnsi"/>
        </w:rPr>
        <w:t>pl</w:t>
      </w:r>
      <w:r w:rsidRPr="00A54361">
        <w:rPr>
          <w:rFonts w:cstheme="minorHAnsi"/>
          <w:spacing w:val="1"/>
        </w:rPr>
        <w:t>i</w:t>
      </w:r>
      <w:r w:rsidRPr="00A54361">
        <w:rPr>
          <w:rFonts w:cstheme="minorHAnsi"/>
          <w:spacing w:val="-1"/>
        </w:rPr>
        <w:t>c</w:t>
      </w:r>
      <w:r w:rsidRPr="00A54361">
        <w:rPr>
          <w:rFonts w:cstheme="minorHAnsi"/>
        </w:rPr>
        <w:t>it</w:t>
      </w:r>
      <w:r w:rsidRPr="00A54361">
        <w:rPr>
          <w:rFonts w:cstheme="minorHAnsi"/>
          <w:spacing w:val="-1"/>
        </w:rPr>
        <w:t xml:space="preserve"> a</w:t>
      </w:r>
      <w:r w:rsidRPr="00A54361">
        <w:rPr>
          <w:rFonts w:cstheme="minorHAnsi"/>
          <w:spacing w:val="1"/>
        </w:rPr>
        <w:t>c</w:t>
      </w:r>
      <w:r w:rsidRPr="00A54361">
        <w:rPr>
          <w:rFonts w:cstheme="minorHAnsi"/>
          <w:spacing w:val="-1"/>
        </w:rPr>
        <w:t>ce</w:t>
      </w:r>
      <w:r w:rsidRPr="00A54361">
        <w:rPr>
          <w:rFonts w:cstheme="minorHAnsi"/>
        </w:rPr>
        <w:t>ss</w:t>
      </w:r>
      <w:r w:rsidRPr="00A54361">
        <w:rPr>
          <w:rFonts w:cstheme="minorHAnsi"/>
          <w:spacing w:val="-2"/>
        </w:rPr>
        <w:t xml:space="preserve"> </w:t>
      </w:r>
      <w:r w:rsidRPr="00A54361">
        <w:rPr>
          <w:rFonts w:cstheme="minorHAnsi"/>
        </w:rPr>
        <w:t>r</w:t>
      </w:r>
      <w:r w:rsidRPr="00A54361">
        <w:rPr>
          <w:rFonts w:cstheme="minorHAnsi"/>
          <w:spacing w:val="2"/>
        </w:rPr>
        <w:t>i</w:t>
      </w:r>
      <w:r w:rsidRPr="00A54361">
        <w:rPr>
          <w:rFonts w:cstheme="minorHAnsi"/>
          <w:spacing w:val="-2"/>
        </w:rPr>
        <w:t>g</w:t>
      </w:r>
      <w:r w:rsidRPr="00A54361">
        <w:rPr>
          <w:rFonts w:cstheme="minorHAnsi"/>
        </w:rPr>
        <w:t>hts</w:t>
      </w:r>
      <w:r w:rsidRPr="00A54361">
        <w:rPr>
          <w:rFonts w:cstheme="minorHAnsi"/>
          <w:spacing w:val="-2"/>
        </w:rPr>
        <w:t xml:space="preserve"> </w:t>
      </w:r>
      <w:r w:rsidRPr="00A54361">
        <w:rPr>
          <w:rFonts w:cstheme="minorHAnsi"/>
        </w:rPr>
        <w:t>to</w:t>
      </w:r>
      <w:r w:rsidRPr="00A54361">
        <w:rPr>
          <w:rFonts w:cstheme="minorHAnsi"/>
          <w:spacing w:val="-2"/>
        </w:rPr>
        <w:t xml:space="preserve"> </w:t>
      </w:r>
      <w:r w:rsidRPr="00A54361">
        <w:rPr>
          <w:rFonts w:cstheme="minorHAnsi"/>
        </w:rPr>
        <w:t>the</w:t>
      </w:r>
      <w:r w:rsidRPr="00A54361">
        <w:rPr>
          <w:rFonts w:cstheme="minorHAnsi"/>
          <w:spacing w:val="-3"/>
        </w:rPr>
        <w:t xml:space="preserve"> </w:t>
      </w:r>
      <w:r w:rsidRPr="00A54361">
        <w:rPr>
          <w:rFonts w:cstheme="minorHAnsi"/>
        </w:rPr>
        <w:t>info</w:t>
      </w:r>
      <w:r w:rsidRPr="00A54361">
        <w:rPr>
          <w:rFonts w:cstheme="minorHAnsi"/>
          <w:spacing w:val="-1"/>
        </w:rPr>
        <w:t>r</w:t>
      </w:r>
      <w:r w:rsidRPr="00A54361">
        <w:rPr>
          <w:rFonts w:cstheme="minorHAnsi"/>
        </w:rPr>
        <w:t>mation</w:t>
      </w:r>
      <w:r w:rsidRPr="00A54361">
        <w:rPr>
          <w:rFonts w:cstheme="minorHAnsi"/>
          <w:spacing w:val="-2"/>
        </w:rPr>
        <w:t xml:space="preserve"> </w:t>
      </w:r>
      <w:r w:rsidRPr="00A54361">
        <w:rPr>
          <w:rFonts w:cstheme="minorHAnsi"/>
        </w:rPr>
        <w:t>or</w:t>
      </w:r>
      <w:r w:rsidRPr="00A54361">
        <w:rPr>
          <w:rFonts w:cstheme="minorHAnsi"/>
          <w:spacing w:val="-1"/>
        </w:rPr>
        <w:t xml:space="preserve"> </w:t>
      </w:r>
      <w:r w:rsidRPr="00A54361">
        <w:rPr>
          <w:rFonts w:cstheme="minorHAnsi"/>
        </w:rPr>
        <w:t>ri</w:t>
      </w:r>
      <w:r w:rsidRPr="00A54361">
        <w:rPr>
          <w:rFonts w:cstheme="minorHAnsi"/>
          <w:spacing w:val="-3"/>
        </w:rPr>
        <w:t>g</w:t>
      </w:r>
      <w:r w:rsidRPr="00A54361">
        <w:rPr>
          <w:rFonts w:cstheme="minorHAnsi"/>
        </w:rPr>
        <w:t>hts</w:t>
      </w:r>
      <w:r w:rsidRPr="00A54361">
        <w:rPr>
          <w:rFonts w:cstheme="minorHAnsi"/>
          <w:spacing w:val="-2"/>
        </w:rPr>
        <w:t xml:space="preserve"> </w:t>
      </w:r>
      <w:r w:rsidRPr="00A54361">
        <w:rPr>
          <w:rFonts w:cstheme="minorHAnsi"/>
        </w:rPr>
        <w:t>to</w:t>
      </w:r>
      <w:r w:rsidRPr="00A54361">
        <w:rPr>
          <w:rFonts w:cstheme="minorHAnsi"/>
          <w:spacing w:val="-2"/>
        </w:rPr>
        <w:t xml:space="preserve"> </w:t>
      </w:r>
      <w:r w:rsidRPr="00A54361">
        <w:rPr>
          <w:rFonts w:cstheme="minorHAnsi"/>
        </w:rPr>
        <w:t>r</w:t>
      </w:r>
      <w:r w:rsidRPr="00A54361">
        <w:rPr>
          <w:rFonts w:cstheme="minorHAnsi"/>
          <w:spacing w:val="-2"/>
        </w:rPr>
        <w:t>e</w:t>
      </w:r>
      <w:r w:rsidRPr="00A54361">
        <w:rPr>
          <w:rFonts w:cstheme="minorHAnsi"/>
        </w:rPr>
        <w:t>dis</w:t>
      </w:r>
      <w:r w:rsidRPr="00A54361">
        <w:rPr>
          <w:rFonts w:cstheme="minorHAnsi"/>
          <w:spacing w:val="1"/>
        </w:rPr>
        <w:t>t</w:t>
      </w:r>
      <w:r w:rsidRPr="00A54361">
        <w:rPr>
          <w:rFonts w:cstheme="minorHAnsi"/>
        </w:rPr>
        <w:t>ribute</w:t>
      </w:r>
      <w:r w:rsidRPr="00A54361">
        <w:rPr>
          <w:rFonts w:cstheme="minorHAnsi"/>
          <w:spacing w:val="-3"/>
        </w:rPr>
        <w:t xml:space="preserve"> </w:t>
      </w:r>
      <w:r w:rsidRPr="00A54361">
        <w:rPr>
          <w:rFonts w:cstheme="minorHAnsi"/>
        </w:rPr>
        <w:t>the in</w:t>
      </w:r>
      <w:r w:rsidRPr="00A54361">
        <w:rPr>
          <w:rFonts w:cstheme="minorHAnsi"/>
          <w:spacing w:val="-1"/>
        </w:rPr>
        <w:t>f</w:t>
      </w:r>
      <w:r w:rsidRPr="00A54361">
        <w:rPr>
          <w:rFonts w:cstheme="minorHAnsi"/>
        </w:rPr>
        <w:t>orm</w:t>
      </w:r>
      <w:r w:rsidRPr="00A54361">
        <w:rPr>
          <w:rFonts w:cstheme="minorHAnsi"/>
          <w:spacing w:val="-1"/>
        </w:rPr>
        <w:t>a</w:t>
      </w:r>
      <w:r w:rsidRPr="00A54361">
        <w:rPr>
          <w:rFonts w:cstheme="minorHAnsi"/>
        </w:rPr>
        <w:t>t</w:t>
      </w:r>
      <w:r w:rsidRPr="00A54361">
        <w:rPr>
          <w:rFonts w:cstheme="minorHAnsi"/>
          <w:spacing w:val="1"/>
        </w:rPr>
        <w:t>i</w:t>
      </w:r>
      <w:r w:rsidRPr="00A54361">
        <w:rPr>
          <w:rFonts w:cstheme="minorHAnsi"/>
        </w:rPr>
        <w:t>on</w:t>
      </w:r>
      <w:r w:rsidRPr="00A54361">
        <w:rPr>
          <w:rFonts w:cstheme="minorHAnsi"/>
          <w:spacing w:val="-2"/>
        </w:rPr>
        <w:t xml:space="preserve"> </w:t>
      </w:r>
      <w:r w:rsidRPr="00A54361">
        <w:rPr>
          <w:rFonts w:cstheme="minorHAnsi"/>
        </w:rPr>
        <w:t xml:space="preserve">unless </w:t>
      </w:r>
      <w:r w:rsidRPr="00A54361">
        <w:rPr>
          <w:rFonts w:cstheme="minorHAnsi"/>
          <w:spacing w:val="-1"/>
        </w:rPr>
        <w:t>a</w:t>
      </w:r>
      <w:r w:rsidRPr="00A54361">
        <w:rPr>
          <w:rFonts w:cstheme="minorHAnsi"/>
        </w:rPr>
        <w:t>nd</w:t>
      </w:r>
      <w:r w:rsidRPr="00A54361">
        <w:rPr>
          <w:rFonts w:cstheme="minorHAnsi"/>
          <w:spacing w:val="-2"/>
        </w:rPr>
        <w:t xml:space="preserve"> </w:t>
      </w:r>
      <w:r w:rsidRPr="00A54361">
        <w:rPr>
          <w:rFonts w:cstheme="minorHAnsi"/>
        </w:rPr>
        <w:t>unt</w:t>
      </w:r>
      <w:r w:rsidRPr="00A54361">
        <w:rPr>
          <w:rFonts w:cstheme="minorHAnsi"/>
          <w:spacing w:val="1"/>
        </w:rPr>
        <w:t>i</w:t>
      </w:r>
      <w:r w:rsidRPr="00A54361">
        <w:rPr>
          <w:rFonts w:cstheme="minorHAnsi"/>
        </w:rPr>
        <w:t>l</w:t>
      </w:r>
      <w:r w:rsidRPr="00A54361">
        <w:rPr>
          <w:rFonts w:cstheme="minorHAnsi"/>
          <w:spacing w:val="-2"/>
        </w:rPr>
        <w:t xml:space="preserve"> </w:t>
      </w:r>
      <w:r w:rsidRPr="00A54361">
        <w:rPr>
          <w:rFonts w:cstheme="minorHAnsi"/>
        </w:rPr>
        <w:t>w</w:t>
      </w:r>
      <w:r w:rsidRPr="00A54361">
        <w:rPr>
          <w:rFonts w:cstheme="minorHAnsi"/>
          <w:spacing w:val="-1"/>
        </w:rPr>
        <w:t>r</w:t>
      </w:r>
      <w:r w:rsidRPr="00A54361">
        <w:rPr>
          <w:rFonts w:cstheme="minorHAnsi"/>
        </w:rPr>
        <w:t>i</w:t>
      </w:r>
      <w:r w:rsidRPr="00A54361">
        <w:rPr>
          <w:rFonts w:cstheme="minorHAnsi"/>
          <w:spacing w:val="1"/>
        </w:rPr>
        <w:t>t</w:t>
      </w:r>
      <w:r w:rsidRPr="00A54361">
        <w:rPr>
          <w:rFonts w:cstheme="minorHAnsi"/>
        </w:rPr>
        <w:t>ten</w:t>
      </w:r>
      <w:r w:rsidRPr="00A54361">
        <w:rPr>
          <w:rFonts w:cstheme="minorHAnsi"/>
          <w:spacing w:val="-3"/>
        </w:rPr>
        <w:t xml:space="preserve"> </w:t>
      </w:r>
      <w:r w:rsidRPr="00A54361">
        <w:rPr>
          <w:rFonts w:cstheme="minorHAnsi"/>
          <w:spacing w:val="-1"/>
        </w:rPr>
        <w:t>a</w:t>
      </w:r>
      <w:r w:rsidRPr="00A54361">
        <w:rPr>
          <w:rFonts w:cstheme="minorHAnsi"/>
        </w:rPr>
        <w:t>ppro</w:t>
      </w:r>
      <w:r w:rsidRPr="00A54361">
        <w:rPr>
          <w:rFonts w:cstheme="minorHAnsi"/>
          <w:spacing w:val="-1"/>
        </w:rPr>
        <w:t>va</w:t>
      </w:r>
      <w:r w:rsidRPr="00A54361">
        <w:rPr>
          <w:rFonts w:cstheme="minorHAnsi"/>
        </w:rPr>
        <w:t>l</w:t>
      </w:r>
      <w:r w:rsidRPr="00A54361">
        <w:rPr>
          <w:rFonts w:cstheme="minorHAnsi"/>
          <w:spacing w:val="-2"/>
        </w:rPr>
        <w:t xml:space="preserve"> </w:t>
      </w:r>
      <w:r w:rsidRPr="00A54361">
        <w:rPr>
          <w:rFonts w:cstheme="minorHAnsi"/>
        </w:rPr>
        <w:t>sou</w:t>
      </w:r>
      <w:r w:rsidRPr="00A54361">
        <w:rPr>
          <w:rFonts w:cstheme="minorHAnsi"/>
          <w:spacing w:val="-2"/>
        </w:rPr>
        <w:t>g</w:t>
      </w:r>
      <w:r w:rsidRPr="00A54361">
        <w:rPr>
          <w:rFonts w:cstheme="minorHAnsi"/>
        </w:rPr>
        <w:t>ht</w:t>
      </w:r>
      <w:r w:rsidRPr="00A54361">
        <w:rPr>
          <w:rFonts w:cstheme="minorHAnsi"/>
          <w:spacing w:val="-2"/>
        </w:rPr>
        <w:t xml:space="preserve"> </w:t>
      </w:r>
      <w:r w:rsidRPr="00A54361">
        <w:rPr>
          <w:rFonts w:cstheme="minorHAnsi"/>
        </w:rPr>
        <w:t>in</w:t>
      </w:r>
      <w:r w:rsidRPr="00A54361">
        <w:rPr>
          <w:rFonts w:cstheme="minorHAnsi"/>
          <w:spacing w:val="-2"/>
        </w:rPr>
        <w:t xml:space="preserve"> </w:t>
      </w:r>
      <w:r w:rsidRPr="00A54361">
        <w:rPr>
          <w:rFonts w:cstheme="minorHAnsi"/>
        </w:rPr>
        <w:t>th</w:t>
      </w:r>
      <w:r w:rsidRPr="00A54361">
        <w:rPr>
          <w:rFonts w:cstheme="minorHAnsi"/>
          <w:spacing w:val="1"/>
        </w:rPr>
        <w:t>i</w:t>
      </w:r>
      <w:r w:rsidRPr="00A54361">
        <w:rPr>
          <w:rFonts w:cstheme="minorHAnsi"/>
        </w:rPr>
        <w:t>s</w:t>
      </w:r>
      <w:r w:rsidRPr="00A54361">
        <w:rPr>
          <w:rFonts w:cstheme="minorHAnsi"/>
          <w:spacing w:val="-2"/>
        </w:rPr>
        <w:t xml:space="preserve"> </w:t>
      </w:r>
      <w:r w:rsidRPr="00A54361">
        <w:rPr>
          <w:rFonts w:cstheme="minorHAnsi"/>
        </w:rPr>
        <w:t>r</w:t>
      </w:r>
      <w:r w:rsidRPr="00A54361">
        <w:rPr>
          <w:rFonts w:cstheme="minorHAnsi"/>
          <w:spacing w:val="-2"/>
        </w:rPr>
        <w:t>eg</w:t>
      </w:r>
      <w:r w:rsidRPr="00A54361">
        <w:rPr>
          <w:rFonts w:cstheme="minorHAnsi"/>
          <w:spacing w:val="-1"/>
        </w:rPr>
        <w:t>a</w:t>
      </w:r>
      <w:r w:rsidRPr="00A54361">
        <w:rPr>
          <w:rFonts w:cstheme="minorHAnsi"/>
        </w:rPr>
        <w:t>rd.</w:t>
      </w:r>
      <w:r w:rsidRPr="00A54361">
        <w:rPr>
          <w:rFonts w:cstheme="minorHAnsi"/>
          <w:spacing w:val="-3"/>
        </w:rPr>
        <w:t xml:space="preserve"> </w:t>
      </w:r>
      <w:r w:rsidRPr="00A54361">
        <w:rPr>
          <w:rFonts w:cstheme="minorHAnsi"/>
          <w:spacing w:val="2"/>
        </w:rPr>
        <w:t>T</w:t>
      </w:r>
      <w:r w:rsidRPr="00A54361">
        <w:rPr>
          <w:rFonts w:cstheme="minorHAnsi"/>
        </w:rPr>
        <w:t>he</w:t>
      </w:r>
      <w:r w:rsidRPr="00A54361">
        <w:rPr>
          <w:rFonts w:cstheme="minorHAnsi"/>
          <w:spacing w:val="-3"/>
        </w:rPr>
        <w:t xml:space="preserve"> </w:t>
      </w:r>
      <w:r w:rsidRPr="00A54361">
        <w:rPr>
          <w:rFonts w:cstheme="minorHAnsi"/>
          <w:spacing w:val="-2"/>
        </w:rPr>
        <w:t>B</w:t>
      </w:r>
      <w:r w:rsidRPr="00A54361">
        <w:rPr>
          <w:rFonts w:cstheme="minorHAnsi"/>
        </w:rPr>
        <w:t>idder</w:t>
      </w:r>
      <w:r w:rsidRPr="00A54361">
        <w:rPr>
          <w:rFonts w:cstheme="minorHAnsi"/>
          <w:spacing w:val="-4"/>
        </w:rPr>
        <w:t xml:space="preserve"> </w:t>
      </w:r>
      <w:r w:rsidRPr="00A54361">
        <w:rPr>
          <w:rFonts w:cstheme="minorHAnsi"/>
        </w:rPr>
        <w:t>und</w:t>
      </w:r>
      <w:r w:rsidRPr="00A54361">
        <w:rPr>
          <w:rFonts w:cstheme="minorHAnsi"/>
          <w:spacing w:val="1"/>
        </w:rPr>
        <w:t>e</w:t>
      </w:r>
      <w:r w:rsidRPr="00A54361">
        <w:rPr>
          <w:rFonts w:cstheme="minorHAnsi"/>
        </w:rPr>
        <w:t>rst</w:t>
      </w:r>
      <w:r w:rsidRPr="00A54361">
        <w:rPr>
          <w:rFonts w:cstheme="minorHAnsi"/>
          <w:spacing w:val="-1"/>
        </w:rPr>
        <w:t>a</w:t>
      </w:r>
      <w:r w:rsidRPr="00A54361">
        <w:rPr>
          <w:rFonts w:cstheme="minorHAnsi"/>
        </w:rPr>
        <w:t>nds</w:t>
      </w:r>
      <w:r w:rsidRPr="00A54361">
        <w:rPr>
          <w:rFonts w:cstheme="minorHAnsi"/>
          <w:spacing w:val="-2"/>
        </w:rPr>
        <w:t xml:space="preserve"> </w:t>
      </w:r>
      <w:r w:rsidRPr="00A54361">
        <w:rPr>
          <w:rFonts w:cstheme="minorHAnsi"/>
        </w:rPr>
        <w:t>that</w:t>
      </w:r>
      <w:r w:rsidRPr="00A54361">
        <w:rPr>
          <w:rFonts w:cstheme="minorHAnsi"/>
          <w:spacing w:val="-2"/>
        </w:rPr>
        <w:t xml:space="preserve"> </w:t>
      </w:r>
      <w:r w:rsidRPr="00A54361">
        <w:rPr>
          <w:rFonts w:cstheme="minorHAnsi"/>
          <w:spacing w:val="-1"/>
        </w:rPr>
        <w:t>c</w:t>
      </w:r>
      <w:r w:rsidRPr="00A54361">
        <w:rPr>
          <w:rFonts w:cstheme="minorHAnsi"/>
        </w:rPr>
        <w:t>iv</w:t>
      </w:r>
      <w:r w:rsidRPr="00A54361">
        <w:rPr>
          <w:rFonts w:cstheme="minorHAnsi"/>
          <w:spacing w:val="1"/>
        </w:rPr>
        <w:t>i</w:t>
      </w:r>
      <w:r w:rsidRPr="00A54361">
        <w:rPr>
          <w:rFonts w:cstheme="minorHAnsi"/>
        </w:rPr>
        <w:t>l,</w:t>
      </w:r>
      <w:r w:rsidRPr="00A54361">
        <w:rPr>
          <w:rFonts w:cstheme="minorHAnsi"/>
          <w:spacing w:val="-2"/>
        </w:rPr>
        <w:t xml:space="preserve"> </w:t>
      </w:r>
      <w:r w:rsidRPr="00A54361">
        <w:rPr>
          <w:rFonts w:cstheme="minorHAnsi"/>
          <w:spacing w:val="-1"/>
        </w:rPr>
        <w:t>c</w:t>
      </w:r>
      <w:r w:rsidRPr="00A54361">
        <w:rPr>
          <w:rFonts w:cstheme="minorHAnsi"/>
        </w:rPr>
        <w:t>rimin</w:t>
      </w:r>
      <w:r w:rsidRPr="00A54361">
        <w:rPr>
          <w:rFonts w:cstheme="minorHAnsi"/>
          <w:spacing w:val="-1"/>
        </w:rPr>
        <w:t>a</w:t>
      </w:r>
      <w:r w:rsidRPr="00A54361">
        <w:rPr>
          <w:rFonts w:cstheme="minorHAnsi"/>
        </w:rPr>
        <w:t>l,</w:t>
      </w:r>
      <w:r w:rsidRPr="00A54361">
        <w:rPr>
          <w:rFonts w:cstheme="minorHAnsi"/>
          <w:spacing w:val="-2"/>
        </w:rPr>
        <w:t xml:space="preserve"> </w:t>
      </w:r>
      <w:r w:rsidRPr="00A54361">
        <w:rPr>
          <w:rFonts w:cstheme="minorHAnsi"/>
        </w:rPr>
        <w:t xml:space="preserve">or </w:t>
      </w:r>
      <w:r w:rsidRPr="00A54361">
        <w:rPr>
          <w:rFonts w:cstheme="minorHAnsi"/>
          <w:spacing w:val="-1"/>
        </w:rPr>
        <w:t>a</w:t>
      </w:r>
      <w:r w:rsidRPr="00A54361">
        <w:rPr>
          <w:rFonts w:cstheme="minorHAnsi"/>
        </w:rPr>
        <w:t>dm</w:t>
      </w:r>
      <w:r w:rsidRPr="00A54361">
        <w:rPr>
          <w:rFonts w:cstheme="minorHAnsi"/>
          <w:spacing w:val="1"/>
        </w:rPr>
        <w:t>i</w:t>
      </w:r>
      <w:r w:rsidRPr="00A54361">
        <w:rPr>
          <w:rFonts w:cstheme="minorHAnsi"/>
        </w:rPr>
        <w:t>nis</w:t>
      </w:r>
      <w:r w:rsidRPr="00A54361">
        <w:rPr>
          <w:rFonts w:cstheme="minorHAnsi"/>
          <w:spacing w:val="1"/>
        </w:rPr>
        <w:t>t</w:t>
      </w:r>
      <w:r w:rsidRPr="00A54361">
        <w:rPr>
          <w:rFonts w:cstheme="minorHAnsi"/>
        </w:rPr>
        <w:t>r</w:t>
      </w:r>
      <w:r w:rsidRPr="00A54361">
        <w:rPr>
          <w:rFonts w:cstheme="minorHAnsi"/>
          <w:spacing w:val="-2"/>
        </w:rPr>
        <w:t>a</w:t>
      </w:r>
      <w:r w:rsidRPr="00A54361">
        <w:rPr>
          <w:rFonts w:cstheme="minorHAnsi"/>
        </w:rPr>
        <w:t>t</w:t>
      </w:r>
      <w:r w:rsidRPr="00A54361">
        <w:rPr>
          <w:rFonts w:cstheme="minorHAnsi"/>
          <w:spacing w:val="1"/>
        </w:rPr>
        <w:t>i</w:t>
      </w:r>
      <w:r w:rsidRPr="00A54361">
        <w:rPr>
          <w:rFonts w:cstheme="minorHAnsi"/>
        </w:rPr>
        <w:t>ve</w:t>
      </w:r>
      <w:r w:rsidRPr="00A54361">
        <w:rPr>
          <w:rFonts w:cstheme="minorHAnsi"/>
          <w:spacing w:val="4"/>
        </w:rPr>
        <w:t xml:space="preserve"> </w:t>
      </w:r>
      <w:r w:rsidRPr="00A54361">
        <w:rPr>
          <w:rFonts w:cstheme="minorHAnsi"/>
        </w:rPr>
        <w:t>p</w:t>
      </w:r>
      <w:r w:rsidRPr="00A54361">
        <w:rPr>
          <w:rFonts w:cstheme="minorHAnsi"/>
          <w:spacing w:val="-1"/>
        </w:rPr>
        <w:t>e</w:t>
      </w:r>
      <w:r w:rsidRPr="00A54361">
        <w:rPr>
          <w:rFonts w:cstheme="minorHAnsi"/>
        </w:rPr>
        <w:t>n</w:t>
      </w:r>
      <w:r w:rsidRPr="00A54361">
        <w:rPr>
          <w:rFonts w:cstheme="minorHAnsi"/>
          <w:spacing w:val="-1"/>
        </w:rPr>
        <w:t>a</w:t>
      </w:r>
      <w:r w:rsidRPr="00A54361">
        <w:rPr>
          <w:rFonts w:cstheme="minorHAnsi"/>
        </w:rPr>
        <w:t>l</w:t>
      </w:r>
      <w:r w:rsidRPr="00A54361">
        <w:rPr>
          <w:rFonts w:cstheme="minorHAnsi"/>
          <w:spacing w:val="1"/>
        </w:rPr>
        <w:t>t</w:t>
      </w:r>
      <w:r w:rsidRPr="00A54361">
        <w:rPr>
          <w:rFonts w:cstheme="minorHAnsi"/>
        </w:rPr>
        <w:t>ies</w:t>
      </w:r>
      <w:r w:rsidRPr="00A54361">
        <w:rPr>
          <w:rFonts w:cstheme="minorHAnsi"/>
          <w:spacing w:val="7"/>
        </w:rPr>
        <w:t xml:space="preserve"> </w:t>
      </w:r>
      <w:r w:rsidRPr="00A54361">
        <w:rPr>
          <w:rFonts w:cstheme="minorHAnsi"/>
        </w:rPr>
        <w:t>m</w:t>
      </w:r>
      <w:r w:rsidRPr="00A54361">
        <w:rPr>
          <w:rFonts w:cstheme="minorHAnsi"/>
          <w:spacing w:val="2"/>
        </w:rPr>
        <w:t>a</w:t>
      </w:r>
      <w:r w:rsidRPr="00A54361">
        <w:rPr>
          <w:rFonts w:cstheme="minorHAnsi"/>
        </w:rPr>
        <w:t>y</w:t>
      </w:r>
      <w:r w:rsidRPr="00A54361">
        <w:rPr>
          <w:rFonts w:cstheme="minorHAnsi"/>
          <w:spacing w:val="3"/>
        </w:rPr>
        <w:t xml:space="preserve"> </w:t>
      </w:r>
      <w:r w:rsidRPr="00A54361">
        <w:rPr>
          <w:rFonts w:cstheme="minorHAnsi"/>
          <w:spacing w:val="-1"/>
        </w:rPr>
        <w:t>a</w:t>
      </w:r>
      <w:r w:rsidRPr="00A54361">
        <w:rPr>
          <w:rFonts w:cstheme="minorHAnsi"/>
        </w:rPr>
        <w:t>pp</w:t>
      </w:r>
      <w:r w:rsidRPr="00A54361">
        <w:rPr>
          <w:rFonts w:cstheme="minorHAnsi"/>
          <w:spacing w:val="5"/>
        </w:rPr>
        <w:t>l</w:t>
      </w:r>
      <w:r w:rsidRPr="00A54361">
        <w:rPr>
          <w:rFonts w:cstheme="minorHAnsi"/>
        </w:rPr>
        <w:t>y for</w:t>
      </w:r>
      <w:r w:rsidRPr="00A54361">
        <w:rPr>
          <w:rFonts w:cstheme="minorHAnsi"/>
          <w:spacing w:val="6"/>
        </w:rPr>
        <w:t xml:space="preserve"> </w:t>
      </w:r>
      <w:r w:rsidRPr="00A54361">
        <w:rPr>
          <w:rFonts w:cstheme="minorHAnsi"/>
        </w:rPr>
        <w:t>f</w:t>
      </w:r>
      <w:r w:rsidRPr="00A54361">
        <w:rPr>
          <w:rFonts w:cstheme="minorHAnsi"/>
          <w:spacing w:val="-2"/>
        </w:rPr>
        <w:t>a</w:t>
      </w:r>
      <w:r w:rsidRPr="00A54361">
        <w:rPr>
          <w:rFonts w:cstheme="minorHAnsi"/>
        </w:rPr>
        <w:t>i</w:t>
      </w:r>
      <w:r w:rsidRPr="00A54361">
        <w:rPr>
          <w:rFonts w:cstheme="minorHAnsi"/>
          <w:spacing w:val="1"/>
        </w:rPr>
        <w:t>l</w:t>
      </w:r>
      <w:r w:rsidRPr="00A54361">
        <w:rPr>
          <w:rFonts w:cstheme="minorHAnsi"/>
        </w:rPr>
        <w:t>u</w:t>
      </w:r>
      <w:r w:rsidRPr="00A54361">
        <w:rPr>
          <w:rFonts w:cstheme="minorHAnsi"/>
          <w:spacing w:val="1"/>
        </w:rPr>
        <w:t>r</w:t>
      </w:r>
      <w:r w:rsidRPr="00A54361">
        <w:rPr>
          <w:rFonts w:cstheme="minorHAnsi"/>
        </w:rPr>
        <w:t>e</w:t>
      </w:r>
      <w:r w:rsidRPr="00A54361">
        <w:rPr>
          <w:rFonts w:cstheme="minorHAnsi"/>
          <w:spacing w:val="4"/>
        </w:rPr>
        <w:t xml:space="preserve"> </w:t>
      </w:r>
      <w:r w:rsidRPr="00A54361">
        <w:rPr>
          <w:rFonts w:cstheme="minorHAnsi"/>
        </w:rPr>
        <w:t>to</w:t>
      </w:r>
      <w:r w:rsidRPr="00A54361">
        <w:rPr>
          <w:rFonts w:cstheme="minorHAnsi"/>
          <w:spacing w:val="8"/>
        </w:rPr>
        <w:t xml:space="preserve"> </w:t>
      </w:r>
      <w:r w:rsidRPr="00A54361">
        <w:rPr>
          <w:rFonts w:cstheme="minorHAnsi"/>
        </w:rPr>
        <w:t>prot</w:t>
      </w:r>
      <w:r w:rsidRPr="00A54361">
        <w:rPr>
          <w:rFonts w:cstheme="minorHAnsi"/>
          <w:spacing w:val="-1"/>
        </w:rPr>
        <w:t>ec</w:t>
      </w:r>
      <w:r w:rsidRPr="00A54361">
        <w:rPr>
          <w:rFonts w:cstheme="minorHAnsi"/>
        </w:rPr>
        <w:t>t</w:t>
      </w:r>
      <w:r w:rsidRPr="00A54361">
        <w:rPr>
          <w:rFonts w:cstheme="minorHAnsi"/>
          <w:spacing w:val="5"/>
        </w:rPr>
        <w:t xml:space="preserve"> </w:t>
      </w:r>
      <w:r w:rsidRPr="00A54361">
        <w:rPr>
          <w:rFonts w:cstheme="minorHAnsi"/>
        </w:rPr>
        <w:t>info</w:t>
      </w:r>
      <w:r w:rsidRPr="00A54361">
        <w:rPr>
          <w:rFonts w:cstheme="minorHAnsi"/>
          <w:spacing w:val="-1"/>
        </w:rPr>
        <w:t>r</w:t>
      </w:r>
      <w:r w:rsidRPr="00A54361">
        <w:rPr>
          <w:rFonts w:cstheme="minorHAnsi"/>
        </w:rPr>
        <w:t>mation</w:t>
      </w:r>
      <w:r w:rsidRPr="00A54361">
        <w:rPr>
          <w:rFonts w:cstheme="minorHAnsi"/>
          <w:spacing w:val="8"/>
        </w:rPr>
        <w:t xml:space="preserve"> </w:t>
      </w:r>
      <w:r w:rsidRPr="00A54361">
        <w:rPr>
          <w:rFonts w:cstheme="minorHAnsi"/>
          <w:spacing w:val="-1"/>
        </w:rPr>
        <w:t>a</w:t>
      </w:r>
      <w:r w:rsidRPr="00A54361">
        <w:rPr>
          <w:rFonts w:cstheme="minorHAnsi"/>
        </w:rPr>
        <w:t>pp</w:t>
      </w:r>
      <w:r w:rsidRPr="00A54361">
        <w:rPr>
          <w:rFonts w:cstheme="minorHAnsi"/>
          <w:spacing w:val="1"/>
        </w:rPr>
        <w:t>r</w:t>
      </w:r>
      <w:r w:rsidRPr="00A54361">
        <w:rPr>
          <w:rFonts w:cstheme="minorHAnsi"/>
        </w:rPr>
        <w:t>o</w:t>
      </w:r>
      <w:r w:rsidRPr="00A54361">
        <w:rPr>
          <w:rFonts w:cstheme="minorHAnsi"/>
          <w:spacing w:val="6"/>
        </w:rPr>
        <w:t>p</w:t>
      </w:r>
      <w:r w:rsidRPr="00A54361">
        <w:rPr>
          <w:rFonts w:cstheme="minorHAnsi"/>
        </w:rPr>
        <w:t>ri</w:t>
      </w:r>
      <w:r w:rsidRPr="00A54361">
        <w:rPr>
          <w:rFonts w:cstheme="minorHAnsi"/>
          <w:spacing w:val="-1"/>
        </w:rPr>
        <w:t>a</w:t>
      </w:r>
      <w:r w:rsidRPr="00A54361">
        <w:rPr>
          <w:rFonts w:cstheme="minorHAnsi"/>
        </w:rPr>
        <w:t>te</w:t>
      </w:r>
      <w:r w:rsidRPr="00A54361">
        <w:rPr>
          <w:rFonts w:cstheme="minorHAnsi"/>
          <w:spacing w:val="2"/>
        </w:rPr>
        <w:t>l</w:t>
      </w:r>
      <w:r w:rsidRPr="00A54361">
        <w:rPr>
          <w:rFonts w:cstheme="minorHAnsi"/>
          <w:spacing w:val="-5"/>
        </w:rPr>
        <w:t>y</w:t>
      </w:r>
      <w:r w:rsidRPr="00A54361">
        <w:rPr>
          <w:rFonts w:cstheme="minorHAnsi"/>
        </w:rPr>
        <w:t>,</w:t>
      </w:r>
      <w:r w:rsidRPr="00A54361">
        <w:rPr>
          <w:rFonts w:cstheme="minorHAnsi"/>
          <w:spacing w:val="7"/>
        </w:rPr>
        <w:t xml:space="preserve"> </w:t>
      </w:r>
      <w:r w:rsidRPr="00A54361">
        <w:rPr>
          <w:rFonts w:cstheme="minorHAnsi"/>
        </w:rPr>
        <w:t>whi</w:t>
      </w:r>
      <w:r w:rsidRPr="00A54361">
        <w:rPr>
          <w:rFonts w:cstheme="minorHAnsi"/>
          <w:spacing w:val="-1"/>
        </w:rPr>
        <w:t>c</w:t>
      </w:r>
      <w:r w:rsidRPr="00A54361">
        <w:rPr>
          <w:rFonts w:cstheme="minorHAnsi"/>
        </w:rPr>
        <w:t>h</w:t>
      </w:r>
      <w:r w:rsidRPr="00A54361">
        <w:rPr>
          <w:rFonts w:cstheme="minorHAnsi"/>
          <w:spacing w:val="5"/>
        </w:rPr>
        <w:t xml:space="preserve"> </w:t>
      </w:r>
      <w:r w:rsidRPr="00A54361">
        <w:rPr>
          <w:rFonts w:cstheme="minorHAnsi"/>
        </w:rPr>
        <w:t>is prov</w:t>
      </w:r>
      <w:r w:rsidRPr="00A54361">
        <w:rPr>
          <w:rFonts w:cstheme="minorHAnsi"/>
          <w:spacing w:val="-2"/>
        </w:rPr>
        <w:t>e</w:t>
      </w:r>
      <w:r w:rsidRPr="00A54361">
        <w:rPr>
          <w:rFonts w:cstheme="minorHAnsi"/>
        </w:rPr>
        <w:t>d</w:t>
      </w:r>
      <w:r w:rsidRPr="00A54361">
        <w:rPr>
          <w:rFonts w:cstheme="minorHAnsi"/>
          <w:spacing w:val="-5"/>
        </w:rPr>
        <w:t xml:space="preserve"> </w:t>
      </w:r>
      <w:r w:rsidRPr="00A54361">
        <w:rPr>
          <w:rFonts w:cstheme="minorHAnsi"/>
        </w:rPr>
        <w:t>to</w:t>
      </w:r>
      <w:r w:rsidRPr="00A54361">
        <w:rPr>
          <w:rFonts w:cstheme="minorHAnsi"/>
          <w:spacing w:val="-4"/>
        </w:rPr>
        <w:t xml:space="preserve"> </w:t>
      </w:r>
      <w:r w:rsidRPr="00A54361">
        <w:rPr>
          <w:rFonts w:cstheme="minorHAnsi"/>
        </w:rPr>
        <w:t>h</w:t>
      </w:r>
      <w:r w:rsidRPr="00A54361">
        <w:rPr>
          <w:rFonts w:cstheme="minorHAnsi"/>
          <w:spacing w:val="-1"/>
        </w:rPr>
        <w:t>a</w:t>
      </w:r>
      <w:r w:rsidRPr="00A54361">
        <w:rPr>
          <w:rFonts w:cstheme="minorHAnsi"/>
        </w:rPr>
        <w:t>ve</w:t>
      </w:r>
      <w:r w:rsidRPr="00A54361">
        <w:rPr>
          <w:rFonts w:cstheme="minorHAnsi"/>
          <w:spacing w:val="-6"/>
        </w:rPr>
        <w:t xml:space="preserve"> </w:t>
      </w:r>
      <w:r w:rsidRPr="00A54361">
        <w:rPr>
          <w:rFonts w:cstheme="minorHAnsi"/>
          <w:spacing w:val="-1"/>
        </w:rPr>
        <w:t>ca</w:t>
      </w:r>
      <w:r w:rsidRPr="00A54361">
        <w:rPr>
          <w:rFonts w:cstheme="minorHAnsi"/>
        </w:rPr>
        <w:t>us</w:t>
      </w:r>
      <w:r w:rsidRPr="00A54361">
        <w:rPr>
          <w:rFonts w:cstheme="minorHAnsi"/>
          <w:spacing w:val="-1"/>
        </w:rPr>
        <w:t>e</w:t>
      </w:r>
      <w:r w:rsidRPr="00A54361">
        <w:rPr>
          <w:rFonts w:cstheme="minorHAnsi"/>
        </w:rPr>
        <w:t>d</w:t>
      </w:r>
      <w:r w:rsidRPr="00A54361">
        <w:rPr>
          <w:rFonts w:cstheme="minorHAnsi"/>
          <w:spacing w:val="-5"/>
        </w:rPr>
        <w:t xml:space="preserve"> </w:t>
      </w:r>
      <w:r w:rsidRPr="00A54361">
        <w:rPr>
          <w:rFonts w:cstheme="minorHAnsi"/>
        </w:rPr>
        <w:t>d</w:t>
      </w:r>
      <w:r w:rsidRPr="00A54361">
        <w:rPr>
          <w:rFonts w:cstheme="minorHAnsi"/>
          <w:spacing w:val="2"/>
        </w:rPr>
        <w:t>u</w:t>
      </w:r>
      <w:r w:rsidRPr="00A54361">
        <w:rPr>
          <w:rFonts w:cstheme="minorHAnsi"/>
        </w:rPr>
        <w:t>e</w:t>
      </w:r>
      <w:r w:rsidRPr="00A54361">
        <w:rPr>
          <w:rFonts w:cstheme="minorHAnsi"/>
          <w:spacing w:val="-6"/>
        </w:rPr>
        <w:t xml:space="preserve"> </w:t>
      </w:r>
      <w:r w:rsidRPr="00A54361">
        <w:rPr>
          <w:rFonts w:cstheme="minorHAnsi"/>
        </w:rPr>
        <w:t>to</w:t>
      </w:r>
      <w:r w:rsidRPr="00A54361">
        <w:rPr>
          <w:rFonts w:cstheme="minorHAnsi"/>
          <w:spacing w:val="-4"/>
        </w:rPr>
        <w:t xml:space="preserve"> </w:t>
      </w:r>
      <w:r w:rsidRPr="00A54361">
        <w:rPr>
          <w:rFonts w:cstheme="minorHAnsi"/>
        </w:rPr>
        <w:t>r</w:t>
      </w:r>
      <w:r w:rsidRPr="00A54361">
        <w:rPr>
          <w:rFonts w:cstheme="minorHAnsi"/>
          <w:spacing w:val="-2"/>
        </w:rPr>
        <w:t>e</w:t>
      </w:r>
      <w:r w:rsidRPr="00A54361">
        <w:rPr>
          <w:rFonts w:cstheme="minorHAnsi"/>
          <w:spacing w:val="-1"/>
        </w:rPr>
        <w:t>a</w:t>
      </w:r>
      <w:r w:rsidRPr="00A54361">
        <w:rPr>
          <w:rFonts w:cstheme="minorHAnsi"/>
        </w:rPr>
        <w:t>sons</w:t>
      </w:r>
      <w:r w:rsidRPr="00A54361">
        <w:rPr>
          <w:rFonts w:cstheme="minorHAnsi"/>
          <w:spacing w:val="-4"/>
        </w:rPr>
        <w:t xml:space="preserve"> </w:t>
      </w:r>
      <w:r w:rsidRPr="00A54361">
        <w:rPr>
          <w:rFonts w:cstheme="minorHAnsi"/>
        </w:rPr>
        <w:t>sole</w:t>
      </w:r>
      <w:r w:rsidRPr="00A54361">
        <w:rPr>
          <w:rFonts w:cstheme="minorHAnsi"/>
          <w:spacing w:val="2"/>
        </w:rPr>
        <w:t>l</w:t>
      </w:r>
      <w:r w:rsidRPr="00A54361">
        <w:rPr>
          <w:rFonts w:cstheme="minorHAnsi"/>
        </w:rPr>
        <w:t>y</w:t>
      </w:r>
      <w:r w:rsidRPr="00A54361">
        <w:rPr>
          <w:rFonts w:cstheme="minorHAnsi"/>
          <w:spacing w:val="-10"/>
        </w:rPr>
        <w:t xml:space="preserve"> </w:t>
      </w:r>
      <w:r w:rsidRPr="00A54361">
        <w:rPr>
          <w:rFonts w:cstheme="minorHAnsi"/>
          <w:spacing w:val="-1"/>
        </w:rPr>
        <w:t>a</w:t>
      </w:r>
      <w:r w:rsidRPr="00A54361">
        <w:rPr>
          <w:rFonts w:cstheme="minorHAnsi"/>
        </w:rPr>
        <w:t>t</w:t>
      </w:r>
      <w:r w:rsidRPr="00A54361">
        <w:rPr>
          <w:rFonts w:cstheme="minorHAnsi"/>
          <w:spacing w:val="1"/>
        </w:rPr>
        <w:t>t</w:t>
      </w:r>
      <w:r w:rsidRPr="00A54361">
        <w:rPr>
          <w:rFonts w:cstheme="minorHAnsi"/>
        </w:rPr>
        <w:t>ribut</w:t>
      </w:r>
      <w:r w:rsidRPr="00A54361">
        <w:rPr>
          <w:rFonts w:cstheme="minorHAnsi"/>
          <w:spacing w:val="-1"/>
        </w:rPr>
        <w:t>a</w:t>
      </w:r>
      <w:r w:rsidRPr="00A54361">
        <w:rPr>
          <w:rFonts w:cstheme="minorHAnsi"/>
        </w:rPr>
        <w:t>ble</w:t>
      </w:r>
      <w:r w:rsidRPr="00A54361">
        <w:rPr>
          <w:rFonts w:cstheme="minorHAnsi"/>
          <w:spacing w:val="-5"/>
        </w:rPr>
        <w:t xml:space="preserve"> </w:t>
      </w:r>
      <w:r w:rsidRPr="00A54361">
        <w:rPr>
          <w:rFonts w:cstheme="minorHAnsi"/>
        </w:rPr>
        <w:t>to</w:t>
      </w:r>
      <w:r w:rsidRPr="00A54361">
        <w:rPr>
          <w:rFonts w:cstheme="minorHAnsi"/>
          <w:spacing w:val="-4"/>
        </w:rPr>
        <w:t xml:space="preserve"> </w:t>
      </w:r>
      <w:r w:rsidRPr="00A54361">
        <w:rPr>
          <w:rFonts w:cstheme="minorHAnsi"/>
        </w:rPr>
        <w:t>bidde</w:t>
      </w:r>
      <w:r w:rsidRPr="00A54361">
        <w:rPr>
          <w:rFonts w:cstheme="minorHAnsi"/>
          <w:spacing w:val="-1"/>
        </w:rPr>
        <w:t>r</w:t>
      </w:r>
      <w:r w:rsidRPr="00A54361">
        <w:rPr>
          <w:rFonts w:cstheme="minorHAnsi"/>
        </w:rPr>
        <w:t>.</w:t>
      </w:r>
      <w:r w:rsidRPr="00A54361">
        <w:rPr>
          <w:rFonts w:cstheme="minorHAnsi"/>
          <w:spacing w:val="-5"/>
        </w:rPr>
        <w:t xml:space="preserve"> </w:t>
      </w:r>
      <w:r w:rsidRPr="00A54361">
        <w:rPr>
          <w:rFonts w:cstheme="minorHAnsi"/>
        </w:rPr>
        <w:t>A</w:t>
      </w:r>
      <w:r w:rsidRPr="00A54361">
        <w:rPr>
          <w:rFonts w:cstheme="minorHAnsi"/>
          <w:spacing w:val="2"/>
        </w:rPr>
        <w:t>n</w:t>
      </w:r>
      <w:r w:rsidRPr="00A54361">
        <w:rPr>
          <w:rFonts w:cstheme="minorHAnsi"/>
        </w:rPr>
        <w:t>y</w:t>
      </w:r>
      <w:r w:rsidRPr="00A54361">
        <w:rPr>
          <w:rFonts w:cstheme="minorHAnsi"/>
          <w:spacing w:val="-12"/>
        </w:rPr>
        <w:t xml:space="preserve"> </w:t>
      </w:r>
      <w:r w:rsidRPr="00A54361">
        <w:rPr>
          <w:rFonts w:cstheme="minorHAnsi"/>
        </w:rPr>
        <w:t>info</w:t>
      </w:r>
      <w:r w:rsidRPr="00A54361">
        <w:rPr>
          <w:rFonts w:cstheme="minorHAnsi"/>
          <w:spacing w:val="1"/>
        </w:rPr>
        <w:t>r</w:t>
      </w:r>
      <w:r w:rsidRPr="00A54361">
        <w:rPr>
          <w:rFonts w:cstheme="minorHAnsi"/>
        </w:rPr>
        <w:t>mation</w:t>
      </w:r>
      <w:r w:rsidRPr="00A54361">
        <w:rPr>
          <w:rFonts w:cstheme="minorHAnsi"/>
          <w:spacing w:val="-4"/>
        </w:rPr>
        <w:t xml:space="preserve"> </w:t>
      </w:r>
      <w:r w:rsidRPr="00A54361">
        <w:rPr>
          <w:rFonts w:cstheme="minorHAnsi"/>
          <w:spacing w:val="-1"/>
        </w:rPr>
        <w:t>c</w:t>
      </w:r>
      <w:r w:rsidRPr="00A54361">
        <w:rPr>
          <w:rFonts w:cstheme="minorHAnsi"/>
        </w:rPr>
        <w:t>onsid</w:t>
      </w:r>
      <w:r w:rsidRPr="00A54361">
        <w:rPr>
          <w:rFonts w:cstheme="minorHAnsi"/>
          <w:spacing w:val="-1"/>
        </w:rPr>
        <w:t>e</w:t>
      </w:r>
      <w:r w:rsidRPr="00A54361">
        <w:rPr>
          <w:rFonts w:cstheme="minorHAnsi"/>
        </w:rPr>
        <w:t>r</w:t>
      </w:r>
      <w:r w:rsidRPr="00A54361">
        <w:rPr>
          <w:rFonts w:cstheme="minorHAnsi"/>
          <w:spacing w:val="-2"/>
        </w:rPr>
        <w:t>e</w:t>
      </w:r>
      <w:r w:rsidRPr="00A54361">
        <w:rPr>
          <w:rFonts w:cstheme="minorHAnsi"/>
        </w:rPr>
        <w:t>d s</w:t>
      </w:r>
      <w:r w:rsidRPr="00A54361">
        <w:rPr>
          <w:rFonts w:cstheme="minorHAnsi"/>
          <w:spacing w:val="-1"/>
        </w:rPr>
        <w:t>e</w:t>
      </w:r>
      <w:r w:rsidRPr="00A54361">
        <w:rPr>
          <w:rFonts w:cstheme="minorHAnsi"/>
        </w:rPr>
        <w:t>nsi</w:t>
      </w:r>
      <w:r w:rsidRPr="00A54361">
        <w:rPr>
          <w:rFonts w:cstheme="minorHAnsi"/>
          <w:spacing w:val="1"/>
        </w:rPr>
        <w:t>t</w:t>
      </w:r>
      <w:r w:rsidRPr="00A54361">
        <w:rPr>
          <w:rFonts w:cstheme="minorHAnsi"/>
        </w:rPr>
        <w:t>ive</w:t>
      </w:r>
      <w:r w:rsidRPr="00A54361">
        <w:rPr>
          <w:rFonts w:cstheme="minorHAnsi"/>
          <w:spacing w:val="-8"/>
        </w:rPr>
        <w:t xml:space="preserve"> </w:t>
      </w:r>
      <w:r w:rsidRPr="00A54361">
        <w:rPr>
          <w:rFonts w:cstheme="minorHAnsi"/>
          <w:spacing w:val="2"/>
        </w:rPr>
        <w:t>b</w:t>
      </w:r>
      <w:r w:rsidRPr="00A54361">
        <w:rPr>
          <w:rFonts w:cstheme="minorHAnsi"/>
        </w:rPr>
        <w:t>y</w:t>
      </w:r>
      <w:r w:rsidRPr="00A54361">
        <w:rPr>
          <w:rFonts w:cstheme="minorHAnsi"/>
          <w:spacing w:val="-14"/>
        </w:rPr>
        <w:t xml:space="preserve"> </w:t>
      </w:r>
      <w:r w:rsidRPr="00A54361">
        <w:rPr>
          <w:rFonts w:cstheme="minorHAnsi"/>
        </w:rPr>
        <w:t>t</w:t>
      </w:r>
      <w:r w:rsidRPr="00A54361">
        <w:rPr>
          <w:rFonts w:cstheme="minorHAnsi"/>
          <w:spacing w:val="3"/>
        </w:rPr>
        <w:t>h</w:t>
      </w:r>
      <w:r w:rsidRPr="00A54361">
        <w:rPr>
          <w:rFonts w:cstheme="minorHAnsi"/>
        </w:rPr>
        <w:t>e</w:t>
      </w:r>
      <w:r w:rsidRPr="00A54361">
        <w:rPr>
          <w:rFonts w:cstheme="minorHAnsi"/>
          <w:spacing w:val="-8"/>
        </w:rPr>
        <w:t xml:space="preserve"> </w:t>
      </w:r>
      <w:r w:rsidRPr="00A54361">
        <w:rPr>
          <w:rFonts w:cstheme="minorHAnsi"/>
        </w:rPr>
        <w:t>b</w:t>
      </w:r>
      <w:r w:rsidRPr="00A54361">
        <w:rPr>
          <w:rFonts w:cstheme="minorHAnsi"/>
          <w:spacing w:val="-1"/>
        </w:rPr>
        <w:t>a</w:t>
      </w:r>
      <w:r w:rsidRPr="00A54361">
        <w:rPr>
          <w:rFonts w:cstheme="minorHAnsi"/>
        </w:rPr>
        <w:t>nk</w:t>
      </w:r>
      <w:r w:rsidRPr="00A54361">
        <w:rPr>
          <w:rFonts w:cstheme="minorHAnsi"/>
          <w:spacing w:val="-7"/>
        </w:rPr>
        <w:t xml:space="preserve"> </w:t>
      </w:r>
      <w:r w:rsidRPr="00A54361">
        <w:rPr>
          <w:rFonts w:cstheme="minorHAnsi"/>
        </w:rPr>
        <w:t>must</w:t>
      </w:r>
      <w:r w:rsidRPr="00A54361">
        <w:rPr>
          <w:rFonts w:cstheme="minorHAnsi"/>
          <w:spacing w:val="-6"/>
        </w:rPr>
        <w:t xml:space="preserve"> </w:t>
      </w:r>
      <w:r w:rsidRPr="00A54361">
        <w:rPr>
          <w:rFonts w:cstheme="minorHAnsi"/>
        </w:rPr>
        <w:t>be</w:t>
      </w:r>
      <w:r w:rsidRPr="00A54361">
        <w:rPr>
          <w:rFonts w:cstheme="minorHAnsi"/>
          <w:spacing w:val="-8"/>
        </w:rPr>
        <w:t xml:space="preserve"> </w:t>
      </w:r>
      <w:r w:rsidRPr="00A54361">
        <w:rPr>
          <w:rFonts w:cstheme="minorHAnsi"/>
        </w:rPr>
        <w:t>prot</w:t>
      </w:r>
      <w:r w:rsidRPr="00A54361">
        <w:rPr>
          <w:rFonts w:cstheme="minorHAnsi"/>
          <w:spacing w:val="-1"/>
        </w:rPr>
        <w:t>ec</w:t>
      </w:r>
      <w:r w:rsidRPr="00A54361">
        <w:rPr>
          <w:rFonts w:cstheme="minorHAnsi"/>
        </w:rPr>
        <w:t>ted</w:t>
      </w:r>
      <w:r w:rsidRPr="00A54361">
        <w:rPr>
          <w:rFonts w:cstheme="minorHAnsi"/>
          <w:spacing w:val="-8"/>
        </w:rPr>
        <w:t xml:space="preserve"> </w:t>
      </w:r>
      <w:r w:rsidRPr="00A54361">
        <w:rPr>
          <w:rFonts w:cstheme="minorHAnsi"/>
          <w:spacing w:val="2"/>
        </w:rPr>
        <w:t>b</w:t>
      </w:r>
      <w:r w:rsidRPr="00A54361">
        <w:rPr>
          <w:rFonts w:cstheme="minorHAnsi"/>
        </w:rPr>
        <w:t>y</w:t>
      </w:r>
      <w:r w:rsidRPr="00A54361">
        <w:rPr>
          <w:rFonts w:cstheme="minorHAnsi"/>
          <w:spacing w:val="-12"/>
        </w:rPr>
        <w:t xml:space="preserve"> </w:t>
      </w:r>
      <w:r w:rsidRPr="00A54361">
        <w:rPr>
          <w:rFonts w:cstheme="minorHAnsi"/>
        </w:rPr>
        <w:t>the</w:t>
      </w:r>
      <w:r w:rsidRPr="00A54361">
        <w:rPr>
          <w:rFonts w:cstheme="minorHAnsi"/>
          <w:spacing w:val="-8"/>
        </w:rPr>
        <w:t xml:space="preserve"> </w:t>
      </w:r>
      <w:r w:rsidRPr="00A54361">
        <w:rPr>
          <w:rFonts w:cstheme="minorHAnsi"/>
        </w:rPr>
        <w:t>su</w:t>
      </w:r>
      <w:r w:rsidRPr="00A54361">
        <w:rPr>
          <w:rFonts w:cstheme="minorHAnsi"/>
          <w:spacing w:val="-1"/>
        </w:rPr>
        <w:t>c</w:t>
      </w:r>
      <w:r w:rsidRPr="00A54361">
        <w:rPr>
          <w:rFonts w:cstheme="minorHAnsi"/>
          <w:spacing w:val="1"/>
        </w:rPr>
        <w:t>c</w:t>
      </w:r>
      <w:r w:rsidRPr="00A54361">
        <w:rPr>
          <w:rFonts w:cstheme="minorHAnsi"/>
          <w:spacing w:val="-1"/>
        </w:rPr>
        <w:t>e</w:t>
      </w:r>
      <w:r w:rsidRPr="00A54361">
        <w:rPr>
          <w:rFonts w:cstheme="minorHAnsi"/>
        </w:rPr>
        <w:t>ssful</w:t>
      </w:r>
      <w:r w:rsidRPr="00A54361">
        <w:rPr>
          <w:rFonts w:cstheme="minorHAnsi"/>
          <w:spacing w:val="-7"/>
        </w:rPr>
        <w:t xml:space="preserve"> </w:t>
      </w:r>
      <w:r w:rsidRPr="00A54361">
        <w:rPr>
          <w:rFonts w:cstheme="minorHAnsi"/>
          <w:spacing w:val="-2"/>
        </w:rPr>
        <w:t>B</w:t>
      </w:r>
      <w:r w:rsidRPr="00A54361">
        <w:rPr>
          <w:rFonts w:cstheme="minorHAnsi"/>
        </w:rPr>
        <w:t>idder</w:t>
      </w:r>
      <w:r w:rsidRPr="00A54361">
        <w:rPr>
          <w:rFonts w:cstheme="minorHAnsi"/>
          <w:spacing w:val="-8"/>
        </w:rPr>
        <w:t xml:space="preserve"> </w:t>
      </w:r>
      <w:r w:rsidRPr="00A54361">
        <w:rPr>
          <w:rFonts w:cstheme="minorHAnsi"/>
        </w:rPr>
        <w:t>f</w:t>
      </w:r>
      <w:r w:rsidRPr="00A54361">
        <w:rPr>
          <w:rFonts w:cstheme="minorHAnsi"/>
          <w:spacing w:val="-1"/>
        </w:rPr>
        <w:t>r</w:t>
      </w:r>
      <w:r w:rsidRPr="00A54361">
        <w:rPr>
          <w:rFonts w:cstheme="minorHAnsi"/>
        </w:rPr>
        <w:t>om</w:t>
      </w:r>
      <w:r w:rsidRPr="00A54361">
        <w:rPr>
          <w:rFonts w:cstheme="minorHAnsi"/>
          <w:spacing w:val="-7"/>
        </w:rPr>
        <w:t xml:space="preserve"> </w:t>
      </w:r>
      <w:r w:rsidRPr="00A54361">
        <w:rPr>
          <w:rFonts w:cstheme="minorHAnsi"/>
        </w:rPr>
        <w:t>un</w:t>
      </w:r>
      <w:r w:rsidRPr="00A54361">
        <w:rPr>
          <w:rFonts w:cstheme="minorHAnsi"/>
          <w:spacing w:val="-1"/>
        </w:rPr>
        <w:t>a</w:t>
      </w:r>
      <w:r w:rsidRPr="00A54361">
        <w:rPr>
          <w:rFonts w:cstheme="minorHAnsi"/>
        </w:rPr>
        <w:t>u</w:t>
      </w:r>
      <w:r w:rsidRPr="00A54361">
        <w:rPr>
          <w:rFonts w:cstheme="minorHAnsi"/>
          <w:spacing w:val="3"/>
        </w:rPr>
        <w:t>t</w:t>
      </w:r>
      <w:r w:rsidRPr="00A54361">
        <w:rPr>
          <w:rFonts w:cstheme="minorHAnsi"/>
        </w:rPr>
        <w:t>hori</w:t>
      </w:r>
      <w:r w:rsidRPr="00A54361">
        <w:rPr>
          <w:rFonts w:cstheme="minorHAnsi"/>
          <w:spacing w:val="1"/>
        </w:rPr>
        <w:t>z</w:t>
      </w:r>
      <w:r w:rsidRPr="00A54361">
        <w:rPr>
          <w:rFonts w:cstheme="minorHAnsi"/>
          <w:spacing w:val="-1"/>
        </w:rPr>
        <w:t>e</w:t>
      </w:r>
      <w:r w:rsidRPr="00A54361">
        <w:rPr>
          <w:rFonts w:cstheme="minorHAnsi"/>
        </w:rPr>
        <w:t>d</w:t>
      </w:r>
      <w:r w:rsidRPr="00A54361">
        <w:rPr>
          <w:rFonts w:cstheme="minorHAnsi"/>
          <w:spacing w:val="-7"/>
        </w:rPr>
        <w:t xml:space="preserve"> </w:t>
      </w:r>
      <w:r w:rsidRPr="00A54361">
        <w:rPr>
          <w:rFonts w:cstheme="minorHAnsi"/>
        </w:rPr>
        <w:t>disclosur</w:t>
      </w:r>
      <w:r w:rsidRPr="00A54361">
        <w:rPr>
          <w:rFonts w:cstheme="minorHAnsi"/>
          <w:spacing w:val="-1"/>
        </w:rPr>
        <w:t>e</w:t>
      </w:r>
      <w:r w:rsidRPr="00A54361">
        <w:rPr>
          <w:rFonts w:cstheme="minorHAnsi"/>
        </w:rPr>
        <w:t>, modifi</w:t>
      </w:r>
      <w:r w:rsidRPr="00A54361">
        <w:rPr>
          <w:rFonts w:cstheme="minorHAnsi"/>
          <w:spacing w:val="-1"/>
        </w:rPr>
        <w:t>ca</w:t>
      </w:r>
      <w:r w:rsidRPr="00A54361">
        <w:rPr>
          <w:rFonts w:cstheme="minorHAnsi"/>
        </w:rPr>
        <w:t>t</w:t>
      </w:r>
      <w:r w:rsidRPr="00A54361">
        <w:rPr>
          <w:rFonts w:cstheme="minorHAnsi"/>
          <w:spacing w:val="1"/>
        </w:rPr>
        <w:t>i</w:t>
      </w:r>
      <w:r w:rsidRPr="00A54361">
        <w:rPr>
          <w:rFonts w:cstheme="minorHAnsi"/>
        </w:rPr>
        <w:t>on</w:t>
      </w:r>
      <w:r w:rsidRPr="00A54361">
        <w:rPr>
          <w:rFonts w:cstheme="minorHAnsi"/>
          <w:spacing w:val="4"/>
        </w:rPr>
        <w:t xml:space="preserve"> </w:t>
      </w:r>
      <w:r w:rsidRPr="00A54361">
        <w:rPr>
          <w:rFonts w:cstheme="minorHAnsi"/>
        </w:rPr>
        <w:t>or</w:t>
      </w:r>
      <w:r w:rsidRPr="00A54361">
        <w:rPr>
          <w:rFonts w:cstheme="minorHAnsi"/>
          <w:spacing w:val="4"/>
        </w:rPr>
        <w:t xml:space="preserve"> </w:t>
      </w:r>
      <w:r w:rsidRPr="00A54361">
        <w:rPr>
          <w:rFonts w:cstheme="minorHAnsi"/>
          <w:spacing w:val="-1"/>
        </w:rPr>
        <w:t>ac</w:t>
      </w:r>
      <w:r w:rsidRPr="00A54361">
        <w:rPr>
          <w:rFonts w:cstheme="minorHAnsi"/>
          <w:spacing w:val="1"/>
        </w:rPr>
        <w:t>c</w:t>
      </w:r>
      <w:r w:rsidRPr="00A54361">
        <w:rPr>
          <w:rFonts w:cstheme="minorHAnsi"/>
          <w:spacing w:val="-1"/>
        </w:rPr>
        <w:t>e</w:t>
      </w:r>
      <w:r w:rsidRPr="00A54361">
        <w:rPr>
          <w:rFonts w:cstheme="minorHAnsi"/>
        </w:rPr>
        <w:t>ss.</w:t>
      </w:r>
      <w:r w:rsidRPr="00A54361">
        <w:rPr>
          <w:rFonts w:cstheme="minorHAnsi"/>
          <w:spacing w:val="5"/>
        </w:rPr>
        <w:t xml:space="preserve"> </w:t>
      </w:r>
      <w:r w:rsidRPr="00A54361">
        <w:rPr>
          <w:rFonts w:cstheme="minorHAnsi"/>
          <w:spacing w:val="2"/>
        </w:rPr>
        <w:t>T</w:t>
      </w:r>
      <w:r w:rsidRPr="00A54361">
        <w:rPr>
          <w:rFonts w:cstheme="minorHAnsi"/>
        </w:rPr>
        <w:t>he</w:t>
      </w:r>
      <w:r w:rsidRPr="00A54361">
        <w:rPr>
          <w:rFonts w:cstheme="minorHAnsi"/>
          <w:spacing w:val="3"/>
        </w:rPr>
        <w:t xml:space="preserve"> </w:t>
      </w:r>
      <w:r w:rsidRPr="00A54361">
        <w:rPr>
          <w:rFonts w:cstheme="minorHAnsi"/>
        </w:rPr>
        <w:t>b</w:t>
      </w:r>
      <w:r w:rsidRPr="00A54361">
        <w:rPr>
          <w:rFonts w:cstheme="minorHAnsi"/>
          <w:spacing w:val="-1"/>
        </w:rPr>
        <w:t>a</w:t>
      </w:r>
      <w:r w:rsidRPr="00A54361">
        <w:rPr>
          <w:rFonts w:cstheme="minorHAnsi"/>
        </w:rPr>
        <w:t>nk</w:t>
      </w:r>
      <w:r w:rsidRPr="00A54361">
        <w:rPr>
          <w:rFonts w:cstheme="minorHAnsi"/>
          <w:spacing w:val="1"/>
        </w:rPr>
        <w:t>’</w:t>
      </w:r>
      <w:r w:rsidRPr="00A54361">
        <w:rPr>
          <w:rFonts w:cstheme="minorHAnsi"/>
        </w:rPr>
        <w:t>s</w:t>
      </w:r>
      <w:r w:rsidRPr="00A54361">
        <w:rPr>
          <w:rFonts w:cstheme="minorHAnsi"/>
          <w:spacing w:val="5"/>
        </w:rPr>
        <w:t xml:space="preserve"> </w:t>
      </w:r>
      <w:r w:rsidRPr="00A54361">
        <w:rPr>
          <w:rFonts w:cstheme="minorHAnsi"/>
        </w:rPr>
        <w:t>d</w:t>
      </w:r>
      <w:r w:rsidRPr="00A54361">
        <w:rPr>
          <w:rFonts w:cstheme="minorHAnsi"/>
          <w:spacing w:val="1"/>
        </w:rPr>
        <w:t>e</w:t>
      </w:r>
      <w:r w:rsidRPr="00A54361">
        <w:rPr>
          <w:rFonts w:cstheme="minorHAnsi"/>
          <w:spacing w:val="-1"/>
        </w:rPr>
        <w:t>c</w:t>
      </w:r>
      <w:r w:rsidRPr="00A54361">
        <w:rPr>
          <w:rFonts w:cstheme="minorHAnsi"/>
        </w:rPr>
        <w:t>is</w:t>
      </w:r>
      <w:r w:rsidRPr="00A54361">
        <w:rPr>
          <w:rFonts w:cstheme="minorHAnsi"/>
          <w:spacing w:val="1"/>
        </w:rPr>
        <w:t>i</w:t>
      </w:r>
      <w:r w:rsidRPr="00A54361">
        <w:rPr>
          <w:rFonts w:cstheme="minorHAnsi"/>
        </w:rPr>
        <w:t>on</w:t>
      </w:r>
      <w:r w:rsidRPr="00A54361">
        <w:rPr>
          <w:rFonts w:cstheme="minorHAnsi"/>
          <w:spacing w:val="4"/>
        </w:rPr>
        <w:t xml:space="preserve"> </w:t>
      </w:r>
      <w:r w:rsidRPr="00A54361">
        <w:rPr>
          <w:rFonts w:cstheme="minorHAnsi"/>
        </w:rPr>
        <w:t>will</w:t>
      </w:r>
      <w:r w:rsidRPr="00A54361">
        <w:rPr>
          <w:rFonts w:cstheme="minorHAnsi"/>
          <w:spacing w:val="7"/>
        </w:rPr>
        <w:t xml:space="preserve"> </w:t>
      </w:r>
      <w:r w:rsidRPr="00A54361">
        <w:rPr>
          <w:rFonts w:cstheme="minorHAnsi"/>
        </w:rPr>
        <w:t>be</w:t>
      </w:r>
      <w:r w:rsidRPr="00A54361">
        <w:rPr>
          <w:rFonts w:cstheme="minorHAnsi"/>
          <w:spacing w:val="3"/>
        </w:rPr>
        <w:t xml:space="preserve"> </w:t>
      </w:r>
      <w:r w:rsidRPr="00A54361">
        <w:rPr>
          <w:rFonts w:cstheme="minorHAnsi"/>
        </w:rPr>
        <w:t>fin</w:t>
      </w:r>
      <w:r w:rsidRPr="00A54361">
        <w:rPr>
          <w:rFonts w:cstheme="minorHAnsi"/>
          <w:spacing w:val="-1"/>
        </w:rPr>
        <w:t>a</w:t>
      </w:r>
      <w:r w:rsidRPr="00A54361">
        <w:rPr>
          <w:rFonts w:cstheme="minorHAnsi"/>
        </w:rPr>
        <w:t>l</w:t>
      </w:r>
      <w:r w:rsidRPr="00A54361">
        <w:rPr>
          <w:rFonts w:cstheme="minorHAnsi"/>
          <w:spacing w:val="5"/>
        </w:rPr>
        <w:t xml:space="preserve"> </w:t>
      </w:r>
      <w:r w:rsidRPr="00A54361">
        <w:rPr>
          <w:rFonts w:cstheme="minorHAnsi"/>
        </w:rPr>
        <w:t>if</w:t>
      </w:r>
      <w:r w:rsidRPr="00A54361">
        <w:rPr>
          <w:rFonts w:cstheme="minorHAnsi"/>
          <w:spacing w:val="4"/>
        </w:rPr>
        <w:t xml:space="preserve"> </w:t>
      </w:r>
      <w:r w:rsidRPr="00A54361">
        <w:rPr>
          <w:rFonts w:cstheme="minorHAnsi"/>
          <w:spacing w:val="-1"/>
        </w:rPr>
        <w:t>a</w:t>
      </w:r>
      <w:r w:rsidRPr="00A54361">
        <w:rPr>
          <w:rFonts w:cstheme="minorHAnsi"/>
          <w:spacing w:val="5"/>
        </w:rPr>
        <w:t>n</w:t>
      </w:r>
      <w:r w:rsidRPr="00A54361">
        <w:rPr>
          <w:rFonts w:cstheme="minorHAnsi"/>
        </w:rPr>
        <w:t>y un</w:t>
      </w:r>
      <w:r w:rsidRPr="00A54361">
        <w:rPr>
          <w:rFonts w:cstheme="minorHAnsi"/>
          <w:spacing w:val="-1"/>
        </w:rPr>
        <w:t>a</w:t>
      </w:r>
      <w:r w:rsidRPr="00A54361">
        <w:rPr>
          <w:rFonts w:cstheme="minorHAnsi"/>
        </w:rPr>
        <w:t>uthori</w:t>
      </w:r>
      <w:r w:rsidRPr="00A54361">
        <w:rPr>
          <w:rFonts w:cstheme="minorHAnsi"/>
          <w:spacing w:val="1"/>
        </w:rPr>
        <w:t>ze</w:t>
      </w:r>
      <w:r w:rsidRPr="00A54361">
        <w:rPr>
          <w:rFonts w:cstheme="minorHAnsi"/>
        </w:rPr>
        <w:t>d</w:t>
      </w:r>
      <w:r w:rsidRPr="00A54361">
        <w:rPr>
          <w:rFonts w:cstheme="minorHAnsi"/>
          <w:spacing w:val="4"/>
        </w:rPr>
        <w:t xml:space="preserve"> </w:t>
      </w:r>
      <w:r w:rsidRPr="00A54361">
        <w:rPr>
          <w:rFonts w:cstheme="minorHAnsi"/>
        </w:rPr>
        <w:t>disclosure</w:t>
      </w:r>
      <w:r w:rsidRPr="00A54361">
        <w:rPr>
          <w:rFonts w:cstheme="minorHAnsi"/>
          <w:spacing w:val="3"/>
        </w:rPr>
        <w:t xml:space="preserve"> </w:t>
      </w:r>
      <w:r w:rsidRPr="00A54361">
        <w:rPr>
          <w:rFonts w:cstheme="minorHAnsi"/>
        </w:rPr>
        <w:t>h</w:t>
      </w:r>
      <w:r w:rsidRPr="00A54361">
        <w:rPr>
          <w:rFonts w:cstheme="minorHAnsi"/>
          <w:spacing w:val="-1"/>
        </w:rPr>
        <w:t>a</w:t>
      </w:r>
      <w:r w:rsidRPr="00A54361">
        <w:rPr>
          <w:rFonts w:cstheme="minorHAnsi"/>
        </w:rPr>
        <w:t xml:space="preserve">ve </w:t>
      </w:r>
      <w:r w:rsidRPr="00A54361">
        <w:rPr>
          <w:rFonts w:cstheme="minorHAnsi"/>
          <w:spacing w:val="-1"/>
        </w:rPr>
        <w:t>e</w:t>
      </w:r>
      <w:r w:rsidRPr="00A54361">
        <w:rPr>
          <w:rFonts w:cstheme="minorHAnsi"/>
        </w:rPr>
        <w:t>n</w:t>
      </w:r>
      <w:r w:rsidRPr="00A54361">
        <w:rPr>
          <w:rFonts w:cstheme="minorHAnsi"/>
          <w:spacing w:val="-1"/>
        </w:rPr>
        <w:t>c</w:t>
      </w:r>
      <w:r w:rsidRPr="00A54361">
        <w:rPr>
          <w:rFonts w:cstheme="minorHAnsi"/>
        </w:rPr>
        <w:t>ounte</w:t>
      </w:r>
      <w:r w:rsidRPr="00A54361">
        <w:rPr>
          <w:rFonts w:cstheme="minorHAnsi"/>
          <w:spacing w:val="1"/>
        </w:rPr>
        <w:t>r</w:t>
      </w:r>
      <w:r w:rsidRPr="00A54361">
        <w:rPr>
          <w:rFonts w:cstheme="minorHAnsi"/>
          <w:spacing w:val="-1"/>
        </w:rPr>
        <w:t>e</w:t>
      </w:r>
      <w:r w:rsidRPr="00A54361">
        <w:rPr>
          <w:rFonts w:cstheme="minorHAnsi"/>
        </w:rPr>
        <w:t>d.</w:t>
      </w:r>
      <w:r w:rsidRPr="00A54361">
        <w:rPr>
          <w:rFonts w:cstheme="minorHAnsi"/>
          <w:spacing w:val="2"/>
        </w:rPr>
        <w:t xml:space="preserve"> T</w:t>
      </w:r>
      <w:r w:rsidRPr="00A54361">
        <w:rPr>
          <w:rFonts w:cstheme="minorHAnsi"/>
          <w:spacing w:val="-5"/>
        </w:rPr>
        <w:t>y</w:t>
      </w:r>
      <w:r w:rsidRPr="00A54361">
        <w:rPr>
          <w:rFonts w:cstheme="minorHAnsi"/>
          <w:spacing w:val="2"/>
        </w:rPr>
        <w:t>p</w:t>
      </w:r>
      <w:r w:rsidRPr="00A54361">
        <w:rPr>
          <w:rFonts w:cstheme="minorHAnsi"/>
          <w:spacing w:val="-1"/>
        </w:rPr>
        <w:t>e</w:t>
      </w:r>
      <w:r w:rsidRPr="00A54361">
        <w:rPr>
          <w:rFonts w:cstheme="minorHAnsi"/>
        </w:rPr>
        <w:t>s</w:t>
      </w:r>
      <w:r w:rsidRPr="00A54361">
        <w:rPr>
          <w:rFonts w:cstheme="minorHAnsi"/>
          <w:spacing w:val="3"/>
        </w:rPr>
        <w:t xml:space="preserve"> </w:t>
      </w:r>
      <w:r w:rsidRPr="00A54361">
        <w:rPr>
          <w:rFonts w:cstheme="minorHAnsi"/>
        </w:rPr>
        <w:t>of</w:t>
      </w:r>
      <w:r w:rsidRPr="00A54361">
        <w:rPr>
          <w:rFonts w:cstheme="minorHAnsi"/>
          <w:spacing w:val="2"/>
        </w:rPr>
        <w:t xml:space="preserve"> </w:t>
      </w:r>
      <w:r w:rsidRPr="00A54361">
        <w:rPr>
          <w:rFonts w:cstheme="minorHAnsi"/>
        </w:rPr>
        <w:t>s</w:t>
      </w:r>
      <w:r w:rsidRPr="00A54361">
        <w:rPr>
          <w:rFonts w:cstheme="minorHAnsi"/>
          <w:spacing w:val="-1"/>
        </w:rPr>
        <w:t>e</w:t>
      </w:r>
      <w:r w:rsidRPr="00A54361">
        <w:rPr>
          <w:rFonts w:cstheme="minorHAnsi"/>
        </w:rPr>
        <w:t>nsi</w:t>
      </w:r>
      <w:r w:rsidRPr="00A54361">
        <w:rPr>
          <w:rFonts w:cstheme="minorHAnsi"/>
          <w:spacing w:val="1"/>
        </w:rPr>
        <w:t>t</w:t>
      </w:r>
      <w:r w:rsidRPr="00A54361">
        <w:rPr>
          <w:rFonts w:cstheme="minorHAnsi"/>
        </w:rPr>
        <w:t>ive</w:t>
      </w:r>
      <w:r w:rsidRPr="00A54361">
        <w:rPr>
          <w:rFonts w:cstheme="minorHAnsi"/>
          <w:spacing w:val="2"/>
        </w:rPr>
        <w:t xml:space="preserve"> </w:t>
      </w:r>
      <w:r w:rsidRPr="00A54361">
        <w:rPr>
          <w:rFonts w:cstheme="minorHAnsi"/>
        </w:rPr>
        <w:t>info</w:t>
      </w:r>
      <w:r w:rsidRPr="00A54361">
        <w:rPr>
          <w:rFonts w:cstheme="minorHAnsi"/>
          <w:spacing w:val="-1"/>
        </w:rPr>
        <w:t>r</w:t>
      </w:r>
      <w:r w:rsidRPr="00A54361">
        <w:rPr>
          <w:rFonts w:cstheme="minorHAnsi"/>
        </w:rPr>
        <w:t>mation</w:t>
      </w:r>
      <w:r w:rsidRPr="00A54361">
        <w:rPr>
          <w:rFonts w:cstheme="minorHAnsi"/>
          <w:spacing w:val="3"/>
        </w:rPr>
        <w:t xml:space="preserve"> </w:t>
      </w:r>
      <w:r w:rsidRPr="00A54361">
        <w:rPr>
          <w:rFonts w:cstheme="minorHAnsi"/>
        </w:rPr>
        <w:t>that will</w:t>
      </w:r>
      <w:r w:rsidRPr="00A54361">
        <w:rPr>
          <w:rFonts w:cstheme="minorHAnsi"/>
          <w:spacing w:val="3"/>
        </w:rPr>
        <w:t xml:space="preserve"> </w:t>
      </w:r>
      <w:r w:rsidRPr="00A54361">
        <w:rPr>
          <w:rFonts w:cstheme="minorHAnsi"/>
        </w:rPr>
        <w:t>be</w:t>
      </w:r>
      <w:r w:rsidRPr="00A54361">
        <w:rPr>
          <w:rFonts w:cstheme="minorHAnsi"/>
          <w:spacing w:val="1"/>
        </w:rPr>
        <w:t xml:space="preserve"> </w:t>
      </w:r>
      <w:r w:rsidRPr="00A54361">
        <w:rPr>
          <w:rFonts w:cstheme="minorHAnsi"/>
        </w:rPr>
        <w:t>found</w:t>
      </w:r>
      <w:r w:rsidRPr="00A54361">
        <w:rPr>
          <w:rFonts w:cstheme="minorHAnsi"/>
          <w:spacing w:val="2"/>
        </w:rPr>
        <w:t xml:space="preserve"> </w:t>
      </w:r>
      <w:r w:rsidRPr="00A54361">
        <w:rPr>
          <w:rFonts w:cstheme="minorHAnsi"/>
        </w:rPr>
        <w:t xml:space="preserve">on </w:t>
      </w:r>
      <w:r w:rsidRPr="00A54361">
        <w:rPr>
          <w:rFonts w:cstheme="minorHAnsi"/>
          <w:spacing w:val="-2"/>
        </w:rPr>
        <w:t>B</w:t>
      </w:r>
      <w:r w:rsidRPr="00A54361">
        <w:rPr>
          <w:rFonts w:cstheme="minorHAnsi"/>
          <w:spacing w:val="-1"/>
        </w:rPr>
        <w:t>a</w:t>
      </w:r>
      <w:r w:rsidRPr="00A54361">
        <w:rPr>
          <w:rFonts w:cstheme="minorHAnsi"/>
        </w:rPr>
        <w:t>nk</w:t>
      </w:r>
      <w:r w:rsidRPr="00A54361">
        <w:rPr>
          <w:rFonts w:cstheme="minorHAnsi"/>
          <w:spacing w:val="2"/>
        </w:rPr>
        <w:t xml:space="preserve"> s</w:t>
      </w:r>
      <w:r w:rsidRPr="00A54361">
        <w:rPr>
          <w:rFonts w:cstheme="minorHAnsi"/>
          <w:spacing w:val="-5"/>
        </w:rPr>
        <w:t>y</w:t>
      </w:r>
      <w:r w:rsidRPr="00A54361">
        <w:rPr>
          <w:rFonts w:cstheme="minorHAnsi"/>
        </w:rPr>
        <w:t>ste</w:t>
      </w:r>
      <w:r w:rsidRPr="00A54361">
        <w:rPr>
          <w:rFonts w:cstheme="minorHAnsi"/>
          <w:spacing w:val="6"/>
        </w:rPr>
        <w:t>m</w:t>
      </w:r>
      <w:r w:rsidRPr="00A54361">
        <w:rPr>
          <w:rFonts w:cstheme="minorHAnsi"/>
          <w:spacing w:val="-1"/>
        </w:rPr>
        <w:t>’</w:t>
      </w:r>
      <w:r w:rsidRPr="00A54361">
        <w:rPr>
          <w:rFonts w:cstheme="minorHAnsi"/>
        </w:rPr>
        <w:t>s</w:t>
      </w:r>
      <w:r w:rsidRPr="00A54361">
        <w:rPr>
          <w:rFonts w:cstheme="minorHAnsi"/>
          <w:spacing w:val="3"/>
        </w:rPr>
        <w:t xml:space="preserve"> </w:t>
      </w:r>
      <w:r w:rsidRPr="00A54361">
        <w:rPr>
          <w:rFonts w:cstheme="minorHAnsi"/>
        </w:rPr>
        <w:t>whi</w:t>
      </w:r>
      <w:r w:rsidRPr="00A54361">
        <w:rPr>
          <w:rFonts w:cstheme="minorHAnsi"/>
          <w:spacing w:val="-1"/>
        </w:rPr>
        <w:t>c</w:t>
      </w:r>
      <w:r w:rsidRPr="00A54361">
        <w:rPr>
          <w:rFonts w:cstheme="minorHAnsi"/>
        </w:rPr>
        <w:t>h</w:t>
      </w:r>
      <w:r w:rsidRPr="00A54361">
        <w:rPr>
          <w:rFonts w:cstheme="minorHAnsi"/>
          <w:spacing w:val="2"/>
        </w:rPr>
        <w:t xml:space="preserve"> </w:t>
      </w:r>
      <w:r w:rsidRPr="00A54361">
        <w:rPr>
          <w:rFonts w:cstheme="minorHAnsi"/>
        </w:rPr>
        <w:t xml:space="preserve">the </w:t>
      </w:r>
      <w:r w:rsidRPr="00A54361">
        <w:rPr>
          <w:rFonts w:cstheme="minorHAnsi"/>
          <w:spacing w:val="-2"/>
        </w:rPr>
        <w:t>B</w:t>
      </w:r>
      <w:r w:rsidRPr="00A54361">
        <w:rPr>
          <w:rFonts w:cstheme="minorHAnsi"/>
        </w:rPr>
        <w:t>idder</w:t>
      </w:r>
      <w:r w:rsidRPr="00A54361">
        <w:rPr>
          <w:rFonts w:cstheme="minorHAnsi"/>
          <w:spacing w:val="-6"/>
        </w:rPr>
        <w:t xml:space="preserve"> </w:t>
      </w:r>
      <w:r w:rsidRPr="00A54361">
        <w:rPr>
          <w:rFonts w:cstheme="minorHAnsi"/>
        </w:rPr>
        <w:t>p</w:t>
      </w:r>
      <w:r w:rsidRPr="00A54361">
        <w:rPr>
          <w:rFonts w:cstheme="minorHAnsi"/>
          <w:spacing w:val="3"/>
        </w:rPr>
        <w:t>l</w:t>
      </w:r>
      <w:r w:rsidRPr="00A54361">
        <w:rPr>
          <w:rFonts w:cstheme="minorHAnsi"/>
          <w:spacing w:val="-1"/>
        </w:rPr>
        <w:t>a</w:t>
      </w:r>
      <w:r w:rsidRPr="00A54361">
        <w:rPr>
          <w:rFonts w:cstheme="minorHAnsi"/>
        </w:rPr>
        <w:t>ns</w:t>
      </w:r>
      <w:r w:rsidRPr="00A54361">
        <w:rPr>
          <w:rFonts w:cstheme="minorHAnsi"/>
          <w:spacing w:val="-5"/>
        </w:rPr>
        <w:t xml:space="preserve"> </w:t>
      </w:r>
      <w:r w:rsidRPr="00A54361">
        <w:rPr>
          <w:rFonts w:cstheme="minorHAnsi"/>
        </w:rPr>
        <w:t>to</w:t>
      </w:r>
      <w:r w:rsidRPr="00A54361">
        <w:rPr>
          <w:rFonts w:cstheme="minorHAnsi"/>
          <w:spacing w:val="-4"/>
        </w:rPr>
        <w:t xml:space="preserve"> </w:t>
      </w:r>
      <w:r w:rsidRPr="00A54361">
        <w:rPr>
          <w:rFonts w:cstheme="minorHAnsi"/>
        </w:rPr>
        <w:t>support</w:t>
      </w:r>
      <w:r w:rsidRPr="00A54361">
        <w:rPr>
          <w:rFonts w:cstheme="minorHAnsi"/>
          <w:spacing w:val="-5"/>
        </w:rPr>
        <w:t xml:space="preserve"> </w:t>
      </w:r>
      <w:r w:rsidRPr="00A54361">
        <w:rPr>
          <w:rFonts w:cstheme="minorHAnsi"/>
          <w:spacing w:val="2"/>
        </w:rPr>
        <w:t>o</w:t>
      </w:r>
      <w:r w:rsidRPr="00A54361">
        <w:rPr>
          <w:rFonts w:cstheme="minorHAnsi"/>
        </w:rPr>
        <w:t>r</w:t>
      </w:r>
      <w:r w:rsidRPr="00A54361">
        <w:rPr>
          <w:rFonts w:cstheme="minorHAnsi"/>
          <w:spacing w:val="-6"/>
        </w:rPr>
        <w:t xml:space="preserve"> </w:t>
      </w:r>
      <w:r w:rsidRPr="00A54361">
        <w:rPr>
          <w:rFonts w:cstheme="minorHAnsi"/>
        </w:rPr>
        <w:t>h</w:t>
      </w:r>
      <w:r w:rsidRPr="00A54361">
        <w:rPr>
          <w:rFonts w:cstheme="minorHAnsi"/>
          <w:spacing w:val="-1"/>
        </w:rPr>
        <w:t>a</w:t>
      </w:r>
      <w:r w:rsidRPr="00A54361">
        <w:rPr>
          <w:rFonts w:cstheme="minorHAnsi"/>
        </w:rPr>
        <w:t>ve</w:t>
      </w:r>
      <w:r w:rsidRPr="00A54361">
        <w:rPr>
          <w:rFonts w:cstheme="minorHAnsi"/>
          <w:spacing w:val="-3"/>
        </w:rPr>
        <w:t xml:space="preserve"> </w:t>
      </w:r>
      <w:r w:rsidRPr="00A54361">
        <w:rPr>
          <w:rFonts w:cstheme="minorHAnsi"/>
          <w:spacing w:val="-1"/>
        </w:rPr>
        <w:t>a</w:t>
      </w:r>
      <w:r w:rsidRPr="00A54361">
        <w:rPr>
          <w:rFonts w:cstheme="minorHAnsi"/>
          <w:spacing w:val="1"/>
        </w:rPr>
        <w:t>c</w:t>
      </w:r>
      <w:r w:rsidRPr="00A54361">
        <w:rPr>
          <w:rFonts w:cstheme="minorHAnsi"/>
          <w:spacing w:val="-1"/>
        </w:rPr>
        <w:t>ce</w:t>
      </w:r>
      <w:r w:rsidRPr="00A54361">
        <w:rPr>
          <w:rFonts w:cstheme="minorHAnsi"/>
        </w:rPr>
        <w:t>ss</w:t>
      </w:r>
      <w:r w:rsidRPr="00A54361">
        <w:rPr>
          <w:rFonts w:cstheme="minorHAnsi"/>
          <w:spacing w:val="-4"/>
        </w:rPr>
        <w:t xml:space="preserve"> </w:t>
      </w:r>
      <w:r w:rsidRPr="00A54361">
        <w:rPr>
          <w:rFonts w:cstheme="minorHAnsi"/>
        </w:rPr>
        <w:t>to</w:t>
      </w:r>
      <w:r w:rsidRPr="00A54361">
        <w:rPr>
          <w:rFonts w:cstheme="minorHAnsi"/>
          <w:spacing w:val="-4"/>
        </w:rPr>
        <w:t xml:space="preserve"> </w:t>
      </w:r>
      <w:r w:rsidRPr="00A54361">
        <w:rPr>
          <w:rFonts w:cstheme="minorHAnsi"/>
        </w:rPr>
        <w:t>includ</w:t>
      </w:r>
      <w:r w:rsidRPr="00A54361">
        <w:rPr>
          <w:rFonts w:cstheme="minorHAnsi"/>
          <w:spacing w:val="-1"/>
        </w:rPr>
        <w:t>e</w:t>
      </w:r>
      <w:r w:rsidRPr="00A54361">
        <w:rPr>
          <w:rFonts w:cstheme="minorHAnsi"/>
        </w:rPr>
        <w:t>,</w:t>
      </w:r>
      <w:r w:rsidRPr="00A54361">
        <w:rPr>
          <w:rFonts w:cstheme="minorHAnsi"/>
          <w:spacing w:val="-2"/>
        </w:rPr>
        <w:t xml:space="preserve"> </w:t>
      </w:r>
      <w:r w:rsidRPr="00A54361">
        <w:rPr>
          <w:rFonts w:cstheme="minorHAnsi"/>
        </w:rPr>
        <w:t>but</w:t>
      </w:r>
      <w:r w:rsidRPr="00A54361">
        <w:rPr>
          <w:rFonts w:cstheme="minorHAnsi"/>
          <w:spacing w:val="-4"/>
        </w:rPr>
        <w:t xml:space="preserve"> </w:t>
      </w:r>
      <w:r w:rsidRPr="00A54361">
        <w:rPr>
          <w:rFonts w:cstheme="minorHAnsi"/>
          <w:spacing w:val="-1"/>
        </w:rPr>
        <w:t>a</w:t>
      </w:r>
      <w:r w:rsidRPr="00A54361">
        <w:rPr>
          <w:rFonts w:cstheme="minorHAnsi"/>
        </w:rPr>
        <w:t>re</w:t>
      </w:r>
      <w:r w:rsidRPr="00A54361">
        <w:rPr>
          <w:rFonts w:cstheme="minorHAnsi"/>
          <w:spacing w:val="-6"/>
        </w:rPr>
        <w:t xml:space="preserve"> </w:t>
      </w:r>
      <w:r w:rsidRPr="00A54361">
        <w:rPr>
          <w:rFonts w:cstheme="minorHAnsi"/>
        </w:rPr>
        <w:t>not</w:t>
      </w:r>
      <w:r w:rsidRPr="00A54361">
        <w:rPr>
          <w:rFonts w:cstheme="minorHAnsi"/>
          <w:spacing w:val="-4"/>
        </w:rPr>
        <w:t xml:space="preserve"> </w:t>
      </w:r>
      <w:r w:rsidRPr="00A54361">
        <w:rPr>
          <w:rFonts w:cstheme="minorHAnsi"/>
        </w:rPr>
        <w:t>l</w:t>
      </w:r>
      <w:r w:rsidRPr="00A54361">
        <w:rPr>
          <w:rFonts w:cstheme="minorHAnsi"/>
          <w:spacing w:val="1"/>
        </w:rPr>
        <w:t>i</w:t>
      </w:r>
      <w:r w:rsidRPr="00A54361">
        <w:rPr>
          <w:rFonts w:cstheme="minorHAnsi"/>
        </w:rPr>
        <w:t>m</w:t>
      </w:r>
      <w:r w:rsidRPr="00A54361">
        <w:rPr>
          <w:rFonts w:cstheme="minorHAnsi"/>
          <w:spacing w:val="1"/>
        </w:rPr>
        <w:t>i</w:t>
      </w:r>
      <w:r w:rsidRPr="00A54361">
        <w:rPr>
          <w:rFonts w:cstheme="minorHAnsi"/>
        </w:rPr>
        <w:t>ted</w:t>
      </w:r>
      <w:r w:rsidRPr="00A54361">
        <w:rPr>
          <w:rFonts w:cstheme="minorHAnsi"/>
          <w:spacing w:val="-5"/>
        </w:rPr>
        <w:t xml:space="preserve"> </w:t>
      </w:r>
      <w:r w:rsidRPr="00A54361">
        <w:rPr>
          <w:rFonts w:cstheme="minorHAnsi"/>
        </w:rPr>
        <w:t>to:</w:t>
      </w:r>
      <w:r w:rsidRPr="00A54361">
        <w:rPr>
          <w:rFonts w:cstheme="minorHAnsi"/>
          <w:spacing w:val="-2"/>
        </w:rPr>
        <w:t xml:space="preserve"> </w:t>
      </w:r>
      <w:r w:rsidRPr="00A54361">
        <w:rPr>
          <w:rFonts w:cstheme="minorHAnsi"/>
          <w:spacing w:val="-3"/>
        </w:rPr>
        <w:t>I</w:t>
      </w:r>
      <w:r w:rsidRPr="00A54361">
        <w:rPr>
          <w:rFonts w:cstheme="minorHAnsi"/>
        </w:rPr>
        <w:t>n</w:t>
      </w:r>
      <w:r w:rsidRPr="00A54361">
        <w:rPr>
          <w:rFonts w:cstheme="minorHAnsi"/>
          <w:spacing w:val="1"/>
        </w:rPr>
        <w:t>f</w:t>
      </w:r>
      <w:r w:rsidRPr="00A54361">
        <w:rPr>
          <w:rFonts w:cstheme="minorHAnsi"/>
        </w:rPr>
        <w:t>orm</w:t>
      </w:r>
      <w:r w:rsidRPr="00A54361">
        <w:rPr>
          <w:rFonts w:cstheme="minorHAnsi"/>
          <w:spacing w:val="-1"/>
        </w:rPr>
        <w:t>a</w:t>
      </w:r>
      <w:r w:rsidRPr="00A54361">
        <w:rPr>
          <w:rFonts w:cstheme="minorHAnsi"/>
        </w:rPr>
        <w:t>t</w:t>
      </w:r>
      <w:r w:rsidRPr="00A54361">
        <w:rPr>
          <w:rFonts w:cstheme="minorHAnsi"/>
          <w:spacing w:val="1"/>
        </w:rPr>
        <w:t>i</w:t>
      </w:r>
      <w:r w:rsidRPr="00A54361">
        <w:rPr>
          <w:rFonts w:cstheme="minorHAnsi"/>
        </w:rPr>
        <w:t>on</w:t>
      </w:r>
      <w:r w:rsidRPr="00A54361">
        <w:rPr>
          <w:rFonts w:cstheme="minorHAnsi"/>
          <w:spacing w:val="-5"/>
        </w:rPr>
        <w:t xml:space="preserve"> </w:t>
      </w:r>
      <w:r w:rsidRPr="00A54361">
        <w:rPr>
          <w:rFonts w:cstheme="minorHAnsi"/>
        </w:rPr>
        <w:t>subj</w:t>
      </w:r>
      <w:r w:rsidRPr="00A54361">
        <w:rPr>
          <w:rFonts w:cstheme="minorHAnsi"/>
          <w:spacing w:val="-1"/>
        </w:rPr>
        <w:t>ec</w:t>
      </w:r>
      <w:r w:rsidRPr="00A54361">
        <w:rPr>
          <w:rFonts w:cstheme="minorHAnsi"/>
        </w:rPr>
        <w:t>t</w:t>
      </w:r>
      <w:r w:rsidRPr="00A54361">
        <w:rPr>
          <w:rFonts w:cstheme="minorHAnsi"/>
          <w:spacing w:val="-4"/>
        </w:rPr>
        <w:t xml:space="preserve"> </w:t>
      </w:r>
      <w:r w:rsidRPr="00A54361">
        <w:rPr>
          <w:rFonts w:cstheme="minorHAnsi"/>
        </w:rPr>
        <w:t>to sp</w:t>
      </w:r>
      <w:r w:rsidRPr="00A54361">
        <w:rPr>
          <w:rFonts w:cstheme="minorHAnsi"/>
          <w:spacing w:val="-1"/>
        </w:rPr>
        <w:t>ec</w:t>
      </w:r>
      <w:r w:rsidRPr="00A54361">
        <w:rPr>
          <w:rFonts w:cstheme="minorHAnsi"/>
        </w:rPr>
        <w:t>ial</w:t>
      </w:r>
      <w:r w:rsidRPr="00A54361">
        <w:rPr>
          <w:rFonts w:cstheme="minorHAnsi"/>
          <w:spacing w:val="-12"/>
        </w:rPr>
        <w:t xml:space="preserve"> </w:t>
      </w:r>
      <w:r w:rsidRPr="00A54361">
        <w:rPr>
          <w:rFonts w:cstheme="minorHAnsi"/>
        </w:rPr>
        <w:t>statuto</w:t>
      </w:r>
      <w:r w:rsidRPr="00A54361">
        <w:rPr>
          <w:rFonts w:cstheme="minorHAnsi"/>
          <w:spacing w:val="2"/>
        </w:rPr>
        <w:t>r</w:t>
      </w:r>
      <w:r w:rsidRPr="00A54361">
        <w:rPr>
          <w:rFonts w:cstheme="minorHAnsi"/>
        </w:rPr>
        <w:t>y</w:t>
      </w:r>
      <w:r w:rsidRPr="00A54361">
        <w:rPr>
          <w:rFonts w:cstheme="minorHAnsi"/>
          <w:spacing w:val="-17"/>
        </w:rPr>
        <w:t xml:space="preserve"> </w:t>
      </w:r>
      <w:r w:rsidRPr="00A54361">
        <w:rPr>
          <w:rFonts w:cstheme="minorHAnsi"/>
          <w:spacing w:val="2"/>
        </w:rPr>
        <w:t>p</w:t>
      </w:r>
      <w:r w:rsidRPr="00A54361">
        <w:rPr>
          <w:rFonts w:cstheme="minorHAnsi"/>
        </w:rPr>
        <w:t>rot</w:t>
      </w:r>
      <w:r w:rsidRPr="00A54361">
        <w:rPr>
          <w:rFonts w:cstheme="minorHAnsi"/>
          <w:spacing w:val="-1"/>
        </w:rPr>
        <w:t>ec</w:t>
      </w:r>
      <w:r w:rsidRPr="00A54361">
        <w:rPr>
          <w:rFonts w:cstheme="minorHAnsi"/>
        </w:rPr>
        <w:t>t</w:t>
      </w:r>
      <w:r w:rsidRPr="00A54361">
        <w:rPr>
          <w:rFonts w:cstheme="minorHAnsi"/>
          <w:spacing w:val="1"/>
        </w:rPr>
        <w:t>i</w:t>
      </w:r>
      <w:r w:rsidRPr="00A54361">
        <w:rPr>
          <w:rFonts w:cstheme="minorHAnsi"/>
          <w:spacing w:val="2"/>
        </w:rPr>
        <w:t>o</w:t>
      </w:r>
      <w:r w:rsidRPr="00A54361">
        <w:rPr>
          <w:rFonts w:cstheme="minorHAnsi"/>
        </w:rPr>
        <w:t>n,</w:t>
      </w:r>
      <w:r w:rsidRPr="00A54361">
        <w:rPr>
          <w:rFonts w:cstheme="minorHAnsi"/>
          <w:spacing w:val="-12"/>
        </w:rPr>
        <w:t xml:space="preserve"> </w:t>
      </w:r>
      <w:r w:rsidRPr="00A54361">
        <w:rPr>
          <w:rFonts w:cstheme="minorHAnsi"/>
        </w:rPr>
        <w:t>le</w:t>
      </w:r>
      <w:r w:rsidRPr="00A54361">
        <w:rPr>
          <w:rFonts w:cstheme="minorHAnsi"/>
          <w:spacing w:val="-3"/>
        </w:rPr>
        <w:t>g</w:t>
      </w:r>
      <w:r w:rsidRPr="00A54361">
        <w:rPr>
          <w:rFonts w:cstheme="minorHAnsi"/>
          <w:spacing w:val="-1"/>
        </w:rPr>
        <w:t>a</w:t>
      </w:r>
      <w:r w:rsidRPr="00A54361">
        <w:rPr>
          <w:rFonts w:cstheme="minorHAnsi"/>
        </w:rPr>
        <w:t>l</w:t>
      </w:r>
      <w:r w:rsidRPr="00A54361">
        <w:rPr>
          <w:rFonts w:cstheme="minorHAnsi"/>
          <w:spacing w:val="-12"/>
        </w:rPr>
        <w:t xml:space="preserve"> </w:t>
      </w:r>
      <w:r w:rsidRPr="00A54361">
        <w:rPr>
          <w:rFonts w:cstheme="minorHAnsi"/>
          <w:spacing w:val="1"/>
        </w:rPr>
        <w:t>a</w:t>
      </w:r>
      <w:r w:rsidRPr="00A54361">
        <w:rPr>
          <w:rFonts w:cstheme="minorHAnsi"/>
          <w:spacing w:val="-1"/>
        </w:rPr>
        <w:t>c</w:t>
      </w:r>
      <w:r w:rsidRPr="00A54361">
        <w:rPr>
          <w:rFonts w:cstheme="minorHAnsi"/>
        </w:rPr>
        <w:t>t</w:t>
      </w:r>
      <w:r w:rsidRPr="00A54361">
        <w:rPr>
          <w:rFonts w:cstheme="minorHAnsi"/>
          <w:spacing w:val="1"/>
        </w:rPr>
        <w:t>i</w:t>
      </w:r>
      <w:r w:rsidRPr="00A54361">
        <w:rPr>
          <w:rFonts w:cstheme="minorHAnsi"/>
        </w:rPr>
        <w:t>ons,</w:t>
      </w:r>
      <w:r w:rsidRPr="00A54361">
        <w:rPr>
          <w:rFonts w:cstheme="minorHAnsi"/>
          <w:spacing w:val="-12"/>
        </w:rPr>
        <w:t xml:space="preserve"> </w:t>
      </w:r>
      <w:r w:rsidRPr="00A54361">
        <w:rPr>
          <w:rFonts w:cstheme="minorHAnsi"/>
        </w:rPr>
        <w:t>disciplina</w:t>
      </w:r>
      <w:r w:rsidRPr="00A54361">
        <w:rPr>
          <w:rFonts w:cstheme="minorHAnsi"/>
          <w:spacing w:val="3"/>
        </w:rPr>
        <w:t>r</w:t>
      </w:r>
      <w:r w:rsidRPr="00A54361">
        <w:rPr>
          <w:rFonts w:cstheme="minorHAnsi"/>
        </w:rPr>
        <w:t>y</w:t>
      </w:r>
      <w:r w:rsidRPr="00A54361">
        <w:rPr>
          <w:rFonts w:cstheme="minorHAnsi"/>
          <w:spacing w:val="-17"/>
        </w:rPr>
        <w:t xml:space="preserve"> </w:t>
      </w:r>
      <w:r w:rsidRPr="00A54361">
        <w:rPr>
          <w:rFonts w:cstheme="minorHAnsi"/>
          <w:spacing w:val="-1"/>
        </w:rPr>
        <w:t>ac</w:t>
      </w:r>
      <w:r w:rsidRPr="00A54361">
        <w:rPr>
          <w:rFonts w:cstheme="minorHAnsi"/>
        </w:rPr>
        <w:t>t</w:t>
      </w:r>
      <w:r w:rsidRPr="00A54361">
        <w:rPr>
          <w:rFonts w:cstheme="minorHAnsi"/>
          <w:spacing w:val="1"/>
        </w:rPr>
        <w:t>i</w:t>
      </w:r>
      <w:r w:rsidRPr="00A54361">
        <w:rPr>
          <w:rFonts w:cstheme="minorHAnsi"/>
        </w:rPr>
        <w:t>ons,</w:t>
      </w:r>
      <w:r w:rsidRPr="00A54361">
        <w:rPr>
          <w:rFonts w:cstheme="minorHAnsi"/>
          <w:spacing w:val="-12"/>
        </w:rPr>
        <w:t xml:space="preserve"> </w:t>
      </w:r>
      <w:r w:rsidRPr="00A54361">
        <w:rPr>
          <w:rFonts w:cstheme="minorHAnsi"/>
          <w:spacing w:val="-1"/>
        </w:rPr>
        <w:t>c</w:t>
      </w:r>
      <w:r w:rsidRPr="00A54361">
        <w:rPr>
          <w:rFonts w:cstheme="minorHAnsi"/>
        </w:rPr>
        <w:t>omp</w:t>
      </w:r>
      <w:r w:rsidRPr="00A54361">
        <w:rPr>
          <w:rFonts w:cstheme="minorHAnsi"/>
          <w:spacing w:val="1"/>
        </w:rPr>
        <w:t>l</w:t>
      </w:r>
      <w:r w:rsidRPr="00A54361">
        <w:rPr>
          <w:rFonts w:cstheme="minorHAnsi"/>
          <w:spacing w:val="-1"/>
        </w:rPr>
        <w:t>a</w:t>
      </w:r>
      <w:r w:rsidRPr="00A54361">
        <w:rPr>
          <w:rFonts w:cstheme="minorHAnsi"/>
        </w:rPr>
        <w:t>in</w:t>
      </w:r>
      <w:r w:rsidRPr="00A54361">
        <w:rPr>
          <w:rFonts w:cstheme="minorHAnsi"/>
          <w:spacing w:val="1"/>
        </w:rPr>
        <w:t>t</w:t>
      </w:r>
      <w:r w:rsidRPr="00A54361">
        <w:rPr>
          <w:rFonts w:cstheme="minorHAnsi"/>
        </w:rPr>
        <w:t>s,</w:t>
      </w:r>
      <w:r w:rsidRPr="00A54361">
        <w:rPr>
          <w:rFonts w:cstheme="minorHAnsi"/>
          <w:spacing w:val="-9"/>
        </w:rPr>
        <w:t xml:space="preserve"> </w:t>
      </w:r>
      <w:r w:rsidRPr="00A54361">
        <w:rPr>
          <w:rFonts w:cstheme="minorHAnsi"/>
        </w:rPr>
        <w:t>IT</w:t>
      </w:r>
      <w:r w:rsidRPr="00A54361">
        <w:rPr>
          <w:rFonts w:cstheme="minorHAnsi"/>
          <w:spacing w:val="-13"/>
        </w:rPr>
        <w:t xml:space="preserve"> </w:t>
      </w:r>
      <w:r w:rsidRPr="00A54361">
        <w:rPr>
          <w:rFonts w:cstheme="minorHAnsi"/>
        </w:rPr>
        <w:t>s</w:t>
      </w:r>
      <w:r w:rsidRPr="00A54361">
        <w:rPr>
          <w:rFonts w:cstheme="minorHAnsi"/>
          <w:spacing w:val="-1"/>
        </w:rPr>
        <w:t>ec</w:t>
      </w:r>
      <w:r w:rsidRPr="00A54361">
        <w:rPr>
          <w:rFonts w:cstheme="minorHAnsi"/>
        </w:rPr>
        <w:t>uri</w:t>
      </w:r>
      <w:r w:rsidRPr="00A54361">
        <w:rPr>
          <w:rFonts w:cstheme="minorHAnsi"/>
          <w:spacing w:val="5"/>
        </w:rPr>
        <w:t>t</w:t>
      </w:r>
      <w:r w:rsidRPr="00A54361">
        <w:rPr>
          <w:rFonts w:cstheme="minorHAnsi"/>
          <w:spacing w:val="-5"/>
        </w:rPr>
        <w:t>y</w:t>
      </w:r>
      <w:r w:rsidRPr="00A54361">
        <w:rPr>
          <w:rFonts w:cstheme="minorHAnsi"/>
        </w:rPr>
        <w:t>,</w:t>
      </w:r>
      <w:r w:rsidRPr="00A54361">
        <w:rPr>
          <w:rFonts w:cstheme="minorHAnsi"/>
          <w:spacing w:val="-12"/>
        </w:rPr>
        <w:t xml:space="preserve"> </w:t>
      </w:r>
      <w:r w:rsidRPr="00A54361">
        <w:rPr>
          <w:rFonts w:cstheme="minorHAnsi"/>
        </w:rPr>
        <w:t>p</w:t>
      </w:r>
      <w:r w:rsidRPr="00A54361">
        <w:rPr>
          <w:rFonts w:cstheme="minorHAnsi"/>
          <w:spacing w:val="-1"/>
        </w:rPr>
        <w:t>e</w:t>
      </w:r>
      <w:r w:rsidRPr="00A54361">
        <w:rPr>
          <w:rFonts w:cstheme="minorHAnsi"/>
        </w:rPr>
        <w:t>ndi</w:t>
      </w:r>
      <w:r w:rsidRPr="00A54361">
        <w:rPr>
          <w:rFonts w:cstheme="minorHAnsi"/>
          <w:spacing w:val="3"/>
        </w:rPr>
        <w:t>n</w:t>
      </w:r>
      <w:r w:rsidRPr="00A54361">
        <w:rPr>
          <w:rFonts w:cstheme="minorHAnsi"/>
        </w:rPr>
        <w:t xml:space="preserve">g </w:t>
      </w:r>
      <w:r w:rsidRPr="00A54361">
        <w:rPr>
          <w:rFonts w:cstheme="minorHAnsi"/>
          <w:spacing w:val="-1"/>
        </w:rPr>
        <w:t>ca</w:t>
      </w:r>
      <w:r w:rsidRPr="00A54361">
        <w:rPr>
          <w:rFonts w:cstheme="minorHAnsi"/>
        </w:rPr>
        <w:t>s</w:t>
      </w:r>
      <w:r w:rsidRPr="00A54361">
        <w:rPr>
          <w:rFonts w:cstheme="minorHAnsi"/>
          <w:spacing w:val="-1"/>
        </w:rPr>
        <w:t>e</w:t>
      </w:r>
      <w:r w:rsidRPr="00A54361">
        <w:rPr>
          <w:rFonts w:cstheme="minorHAnsi"/>
        </w:rPr>
        <w:t>s,</w:t>
      </w:r>
      <w:r w:rsidRPr="00A54361">
        <w:rPr>
          <w:rFonts w:cstheme="minorHAnsi"/>
          <w:spacing w:val="-5"/>
        </w:rPr>
        <w:t xml:space="preserve"> </w:t>
      </w:r>
      <w:r w:rsidRPr="00A54361">
        <w:rPr>
          <w:rFonts w:cstheme="minorHAnsi"/>
          <w:spacing w:val="-1"/>
        </w:rPr>
        <w:t>c</w:t>
      </w:r>
      <w:r w:rsidRPr="00A54361">
        <w:rPr>
          <w:rFonts w:cstheme="minorHAnsi"/>
        </w:rPr>
        <w:t>iv</w:t>
      </w:r>
      <w:r w:rsidRPr="00A54361">
        <w:rPr>
          <w:rFonts w:cstheme="minorHAnsi"/>
          <w:spacing w:val="1"/>
        </w:rPr>
        <w:t>i</w:t>
      </w:r>
      <w:r w:rsidRPr="00A54361">
        <w:rPr>
          <w:rFonts w:cstheme="minorHAnsi"/>
        </w:rPr>
        <w:t>l</w:t>
      </w:r>
      <w:r w:rsidRPr="00A54361">
        <w:rPr>
          <w:rFonts w:cstheme="minorHAnsi"/>
          <w:spacing w:val="-4"/>
        </w:rPr>
        <w:t xml:space="preserve"> </w:t>
      </w:r>
      <w:r w:rsidRPr="00A54361">
        <w:rPr>
          <w:rFonts w:cstheme="minorHAnsi"/>
          <w:spacing w:val="-1"/>
        </w:rPr>
        <w:t>a</w:t>
      </w:r>
      <w:r w:rsidRPr="00A54361">
        <w:rPr>
          <w:rFonts w:cstheme="minorHAnsi"/>
        </w:rPr>
        <w:t>nd</w:t>
      </w:r>
      <w:r w:rsidRPr="00A54361">
        <w:rPr>
          <w:rFonts w:cstheme="minorHAnsi"/>
          <w:spacing w:val="-5"/>
        </w:rPr>
        <w:t xml:space="preserve"> </w:t>
      </w:r>
      <w:r w:rsidRPr="00A54361">
        <w:rPr>
          <w:rFonts w:cstheme="minorHAnsi"/>
          <w:spacing w:val="-1"/>
        </w:rPr>
        <w:t>c</w:t>
      </w:r>
      <w:r w:rsidRPr="00A54361">
        <w:rPr>
          <w:rFonts w:cstheme="minorHAnsi"/>
        </w:rPr>
        <w:t>rimin</w:t>
      </w:r>
      <w:r w:rsidRPr="00A54361">
        <w:rPr>
          <w:rFonts w:cstheme="minorHAnsi"/>
          <w:spacing w:val="-1"/>
        </w:rPr>
        <w:t>a</w:t>
      </w:r>
      <w:r w:rsidRPr="00A54361">
        <w:rPr>
          <w:rFonts w:cstheme="minorHAnsi"/>
        </w:rPr>
        <w:t>l</w:t>
      </w:r>
      <w:r w:rsidRPr="00A54361">
        <w:rPr>
          <w:rFonts w:cstheme="minorHAnsi"/>
          <w:spacing w:val="-4"/>
        </w:rPr>
        <w:t xml:space="preserve"> </w:t>
      </w:r>
      <w:r w:rsidRPr="00A54361">
        <w:rPr>
          <w:rFonts w:cstheme="minorHAnsi"/>
          <w:spacing w:val="-2"/>
        </w:rPr>
        <w:t>i</w:t>
      </w:r>
      <w:r w:rsidRPr="00A54361">
        <w:rPr>
          <w:rFonts w:cstheme="minorHAnsi"/>
        </w:rPr>
        <w:t>nv</w:t>
      </w:r>
      <w:r w:rsidRPr="00A54361">
        <w:rPr>
          <w:rFonts w:cstheme="minorHAnsi"/>
          <w:spacing w:val="-1"/>
        </w:rPr>
        <w:t>e</w:t>
      </w:r>
      <w:r w:rsidRPr="00A54361">
        <w:rPr>
          <w:rFonts w:cstheme="minorHAnsi"/>
        </w:rPr>
        <w:t>st</w:t>
      </w:r>
      <w:r w:rsidRPr="00A54361">
        <w:rPr>
          <w:rFonts w:cstheme="minorHAnsi"/>
          <w:spacing w:val="1"/>
        </w:rPr>
        <w:t>i</w:t>
      </w:r>
      <w:r w:rsidRPr="00A54361">
        <w:rPr>
          <w:rFonts w:cstheme="minorHAnsi"/>
          <w:spacing w:val="-2"/>
        </w:rPr>
        <w:t>g</w:t>
      </w:r>
      <w:r w:rsidRPr="00A54361">
        <w:rPr>
          <w:rFonts w:cstheme="minorHAnsi"/>
          <w:spacing w:val="-1"/>
        </w:rPr>
        <w:t>a</w:t>
      </w:r>
      <w:r w:rsidRPr="00A54361">
        <w:rPr>
          <w:rFonts w:cstheme="minorHAnsi"/>
        </w:rPr>
        <w:t>t</w:t>
      </w:r>
      <w:r w:rsidRPr="00A54361">
        <w:rPr>
          <w:rFonts w:cstheme="minorHAnsi"/>
          <w:spacing w:val="1"/>
        </w:rPr>
        <w:t>i</w:t>
      </w:r>
      <w:r w:rsidRPr="00A54361">
        <w:rPr>
          <w:rFonts w:cstheme="minorHAnsi"/>
        </w:rPr>
        <w:t>ons,</w:t>
      </w:r>
      <w:r w:rsidRPr="00A54361">
        <w:rPr>
          <w:rFonts w:cstheme="minorHAnsi"/>
          <w:spacing w:val="-5"/>
        </w:rPr>
        <w:t xml:space="preserve"> </w:t>
      </w:r>
      <w:r w:rsidRPr="00A54361">
        <w:rPr>
          <w:rFonts w:cstheme="minorHAnsi"/>
          <w:spacing w:val="-1"/>
        </w:rPr>
        <w:t>e</w:t>
      </w:r>
      <w:r w:rsidRPr="00A54361">
        <w:rPr>
          <w:rFonts w:cstheme="minorHAnsi"/>
        </w:rPr>
        <w:t>tc.</w:t>
      </w:r>
      <w:r w:rsidRPr="00A54361">
        <w:rPr>
          <w:rFonts w:cstheme="minorHAnsi"/>
          <w:spacing w:val="-4"/>
        </w:rPr>
        <w:t xml:space="preserve"> </w:t>
      </w:r>
      <w:r w:rsidRPr="00A54361">
        <w:rPr>
          <w:rFonts w:cstheme="minorHAnsi"/>
        </w:rPr>
        <w:t>The</w:t>
      </w:r>
      <w:r w:rsidRPr="00A54361">
        <w:rPr>
          <w:rFonts w:cstheme="minorHAnsi"/>
          <w:spacing w:val="-6"/>
        </w:rPr>
        <w:t xml:space="preserve"> </w:t>
      </w:r>
      <w:r w:rsidRPr="00A54361">
        <w:rPr>
          <w:rFonts w:cstheme="minorHAnsi"/>
        </w:rPr>
        <w:t>su</w:t>
      </w:r>
      <w:r w:rsidRPr="00A54361">
        <w:rPr>
          <w:rFonts w:cstheme="minorHAnsi"/>
          <w:spacing w:val="-1"/>
        </w:rPr>
        <w:t>cce</w:t>
      </w:r>
      <w:r w:rsidRPr="00A54361">
        <w:rPr>
          <w:rFonts w:cstheme="minorHAnsi"/>
        </w:rPr>
        <w:t>ssful</w:t>
      </w:r>
      <w:r w:rsidRPr="00A54361">
        <w:rPr>
          <w:rFonts w:cstheme="minorHAnsi"/>
          <w:spacing w:val="-5"/>
        </w:rPr>
        <w:t xml:space="preserve"> </w:t>
      </w:r>
      <w:r w:rsidRPr="00A54361">
        <w:rPr>
          <w:rFonts w:cstheme="minorHAnsi"/>
          <w:spacing w:val="-2"/>
        </w:rPr>
        <w:t>B</w:t>
      </w:r>
      <w:r w:rsidRPr="00A54361">
        <w:rPr>
          <w:rFonts w:cstheme="minorHAnsi"/>
        </w:rPr>
        <w:t>idd</w:t>
      </w:r>
      <w:r w:rsidRPr="00A54361">
        <w:rPr>
          <w:rFonts w:cstheme="minorHAnsi"/>
          <w:spacing w:val="2"/>
        </w:rPr>
        <w:t>e</w:t>
      </w:r>
      <w:r w:rsidRPr="00A54361">
        <w:rPr>
          <w:rFonts w:cstheme="minorHAnsi"/>
        </w:rPr>
        <w:t>r</w:t>
      </w:r>
      <w:r w:rsidRPr="00A54361">
        <w:rPr>
          <w:rFonts w:cstheme="minorHAnsi"/>
          <w:spacing w:val="-6"/>
        </w:rPr>
        <w:t xml:space="preserve"> </w:t>
      </w:r>
      <w:r w:rsidRPr="00A54361">
        <w:rPr>
          <w:rFonts w:cstheme="minorHAnsi"/>
        </w:rPr>
        <w:t>sh</w:t>
      </w:r>
      <w:r w:rsidRPr="00A54361">
        <w:rPr>
          <w:rFonts w:cstheme="minorHAnsi"/>
          <w:spacing w:val="-1"/>
        </w:rPr>
        <w:t>a</w:t>
      </w:r>
      <w:r w:rsidRPr="00A54361">
        <w:rPr>
          <w:rFonts w:cstheme="minorHAnsi"/>
        </w:rPr>
        <w:t>ll</w:t>
      </w:r>
      <w:r w:rsidRPr="00A54361">
        <w:rPr>
          <w:rFonts w:cstheme="minorHAnsi"/>
          <w:spacing w:val="-4"/>
        </w:rPr>
        <w:t xml:space="preserve"> </w:t>
      </w:r>
      <w:r w:rsidRPr="00A54361">
        <w:rPr>
          <w:rFonts w:cstheme="minorHAnsi"/>
        </w:rPr>
        <w:t>not</w:t>
      </w:r>
      <w:r w:rsidRPr="00A54361">
        <w:rPr>
          <w:rFonts w:cstheme="minorHAnsi"/>
          <w:spacing w:val="-7"/>
        </w:rPr>
        <w:t xml:space="preserve"> </w:t>
      </w:r>
      <w:r w:rsidRPr="00A54361">
        <w:rPr>
          <w:rFonts w:cstheme="minorHAnsi"/>
        </w:rPr>
        <w:t>publ</w:t>
      </w:r>
      <w:r w:rsidRPr="00A54361">
        <w:rPr>
          <w:rFonts w:cstheme="minorHAnsi"/>
          <w:spacing w:val="1"/>
        </w:rPr>
        <w:t>i</w:t>
      </w:r>
      <w:r w:rsidRPr="00A54361">
        <w:rPr>
          <w:rFonts w:cstheme="minorHAnsi"/>
        </w:rPr>
        <w:t>sh</w:t>
      </w:r>
      <w:r w:rsidRPr="00A54361">
        <w:rPr>
          <w:rFonts w:cstheme="minorHAnsi"/>
          <w:spacing w:val="-5"/>
        </w:rPr>
        <w:t xml:space="preserve"> </w:t>
      </w:r>
      <w:r w:rsidRPr="00A54361">
        <w:rPr>
          <w:rFonts w:cstheme="minorHAnsi"/>
        </w:rPr>
        <w:t>or</w:t>
      </w:r>
      <w:r w:rsidRPr="00A54361">
        <w:rPr>
          <w:rFonts w:cstheme="minorHAnsi"/>
          <w:spacing w:val="-6"/>
        </w:rPr>
        <w:t xml:space="preserve"> </w:t>
      </w:r>
      <w:r w:rsidRPr="00A54361">
        <w:rPr>
          <w:rFonts w:cstheme="minorHAnsi"/>
        </w:rPr>
        <w:t>disclose in</w:t>
      </w:r>
      <w:r w:rsidRPr="00A54361">
        <w:rPr>
          <w:rFonts w:cstheme="minorHAnsi"/>
          <w:spacing w:val="-2"/>
        </w:rPr>
        <w:t xml:space="preserve"> </w:t>
      </w:r>
      <w:r w:rsidRPr="00A54361">
        <w:rPr>
          <w:rFonts w:cstheme="minorHAnsi"/>
          <w:spacing w:val="-1"/>
        </w:rPr>
        <w:t>a</w:t>
      </w:r>
      <w:r w:rsidRPr="00A54361">
        <w:rPr>
          <w:rFonts w:cstheme="minorHAnsi"/>
          <w:spacing w:val="2"/>
        </w:rPr>
        <w:t>n</w:t>
      </w:r>
      <w:r w:rsidRPr="00A54361">
        <w:rPr>
          <w:rFonts w:cstheme="minorHAnsi"/>
        </w:rPr>
        <w:t>y</w:t>
      </w:r>
      <w:r w:rsidRPr="00A54361">
        <w:rPr>
          <w:rFonts w:cstheme="minorHAnsi"/>
          <w:spacing w:val="-5"/>
        </w:rPr>
        <w:t xml:space="preserve"> </w:t>
      </w:r>
      <w:r w:rsidRPr="00A54361">
        <w:rPr>
          <w:rFonts w:cstheme="minorHAnsi"/>
        </w:rPr>
        <w:t>mann</w:t>
      </w:r>
      <w:r w:rsidRPr="00A54361">
        <w:rPr>
          <w:rFonts w:cstheme="minorHAnsi"/>
          <w:spacing w:val="1"/>
        </w:rPr>
        <w:t>e</w:t>
      </w:r>
      <w:r w:rsidRPr="00A54361">
        <w:rPr>
          <w:rFonts w:cstheme="minorHAnsi"/>
        </w:rPr>
        <w:t>r,</w:t>
      </w:r>
      <w:r w:rsidRPr="00A54361">
        <w:rPr>
          <w:rFonts w:cstheme="minorHAnsi"/>
          <w:spacing w:val="-3"/>
        </w:rPr>
        <w:t xml:space="preserve"> </w:t>
      </w:r>
      <w:r w:rsidRPr="00A54361">
        <w:rPr>
          <w:rFonts w:cstheme="minorHAnsi"/>
        </w:rPr>
        <w:t>without</w:t>
      </w:r>
      <w:r w:rsidRPr="00A54361">
        <w:rPr>
          <w:rFonts w:cstheme="minorHAnsi"/>
          <w:spacing w:val="-2"/>
        </w:rPr>
        <w:t xml:space="preserve"> </w:t>
      </w:r>
      <w:r w:rsidRPr="00A54361">
        <w:rPr>
          <w:rFonts w:cstheme="minorHAnsi"/>
          <w:spacing w:val="3"/>
        </w:rPr>
        <w:t>t</w:t>
      </w:r>
      <w:r w:rsidRPr="00A54361">
        <w:rPr>
          <w:rFonts w:cstheme="minorHAnsi"/>
        </w:rPr>
        <w:t>he</w:t>
      </w:r>
      <w:r w:rsidRPr="00A54361">
        <w:rPr>
          <w:rFonts w:cstheme="minorHAnsi"/>
          <w:spacing w:val="-3"/>
        </w:rPr>
        <w:t xml:space="preserve"> </w:t>
      </w:r>
      <w:r w:rsidRPr="00A54361">
        <w:rPr>
          <w:rFonts w:cstheme="minorHAnsi"/>
        </w:rPr>
        <w:t>B</w:t>
      </w:r>
      <w:r w:rsidRPr="00A54361">
        <w:rPr>
          <w:rFonts w:cstheme="minorHAnsi"/>
          <w:spacing w:val="-1"/>
        </w:rPr>
        <w:t>a</w:t>
      </w:r>
      <w:r w:rsidRPr="00A54361">
        <w:rPr>
          <w:rFonts w:cstheme="minorHAnsi"/>
        </w:rPr>
        <w:t>nk</w:t>
      </w:r>
      <w:r w:rsidRPr="00A54361">
        <w:rPr>
          <w:rFonts w:cstheme="minorHAnsi"/>
          <w:spacing w:val="1"/>
        </w:rPr>
        <w:t>’</w:t>
      </w:r>
      <w:r w:rsidRPr="00A54361">
        <w:rPr>
          <w:rFonts w:cstheme="minorHAnsi"/>
        </w:rPr>
        <w:t>s</w:t>
      </w:r>
      <w:r w:rsidRPr="00A54361">
        <w:rPr>
          <w:rFonts w:cstheme="minorHAnsi"/>
          <w:spacing w:val="-2"/>
        </w:rPr>
        <w:t xml:space="preserve"> </w:t>
      </w:r>
      <w:r w:rsidRPr="00A54361">
        <w:rPr>
          <w:rFonts w:cstheme="minorHAnsi"/>
          <w:spacing w:val="2"/>
        </w:rPr>
        <w:t>p</w:t>
      </w:r>
      <w:r w:rsidRPr="00A54361">
        <w:rPr>
          <w:rFonts w:cstheme="minorHAnsi"/>
        </w:rPr>
        <w:t>rior</w:t>
      </w:r>
      <w:r w:rsidRPr="00A54361">
        <w:rPr>
          <w:rFonts w:cstheme="minorHAnsi"/>
          <w:spacing w:val="-3"/>
        </w:rPr>
        <w:t xml:space="preserve"> </w:t>
      </w:r>
      <w:r w:rsidRPr="00A54361">
        <w:rPr>
          <w:rFonts w:cstheme="minorHAnsi"/>
          <w:spacing w:val="2"/>
        </w:rPr>
        <w:t>w</w:t>
      </w:r>
      <w:r w:rsidRPr="00A54361">
        <w:rPr>
          <w:rFonts w:cstheme="minorHAnsi"/>
        </w:rPr>
        <w:t>ritten</w:t>
      </w:r>
      <w:r w:rsidRPr="00A54361">
        <w:rPr>
          <w:rFonts w:cstheme="minorHAnsi"/>
          <w:spacing w:val="-3"/>
        </w:rPr>
        <w:t xml:space="preserve"> </w:t>
      </w:r>
      <w:r w:rsidRPr="00A54361">
        <w:rPr>
          <w:rFonts w:cstheme="minorHAnsi"/>
          <w:spacing w:val="1"/>
        </w:rPr>
        <w:t>c</w:t>
      </w:r>
      <w:r w:rsidRPr="00A54361">
        <w:rPr>
          <w:rFonts w:cstheme="minorHAnsi"/>
        </w:rPr>
        <w:t>ons</w:t>
      </w:r>
      <w:r w:rsidRPr="00A54361">
        <w:rPr>
          <w:rFonts w:cstheme="minorHAnsi"/>
          <w:spacing w:val="-1"/>
        </w:rPr>
        <w:t>e</w:t>
      </w:r>
      <w:r w:rsidRPr="00A54361">
        <w:rPr>
          <w:rFonts w:cstheme="minorHAnsi"/>
        </w:rPr>
        <w:t>nt,</w:t>
      </w:r>
      <w:r w:rsidRPr="00A54361">
        <w:rPr>
          <w:rFonts w:cstheme="minorHAnsi"/>
          <w:spacing w:val="-2"/>
        </w:rPr>
        <w:t xml:space="preserve"> </w:t>
      </w:r>
      <w:r w:rsidRPr="00A54361">
        <w:rPr>
          <w:rFonts w:cstheme="minorHAnsi"/>
        </w:rPr>
        <w:t>the</w:t>
      </w:r>
      <w:r w:rsidRPr="00A54361">
        <w:rPr>
          <w:rFonts w:cstheme="minorHAnsi"/>
          <w:spacing w:val="-3"/>
        </w:rPr>
        <w:t xml:space="preserve"> </w:t>
      </w:r>
      <w:r w:rsidRPr="00A54361">
        <w:rPr>
          <w:rFonts w:cstheme="minorHAnsi"/>
        </w:rPr>
        <w:t>d</w:t>
      </w:r>
      <w:r w:rsidRPr="00A54361">
        <w:rPr>
          <w:rFonts w:cstheme="minorHAnsi"/>
          <w:spacing w:val="-1"/>
        </w:rPr>
        <w:t>e</w:t>
      </w:r>
      <w:r w:rsidRPr="00A54361">
        <w:rPr>
          <w:rFonts w:cstheme="minorHAnsi"/>
        </w:rPr>
        <w:t>tails</w:t>
      </w:r>
      <w:r w:rsidRPr="00A54361">
        <w:rPr>
          <w:rFonts w:cstheme="minorHAnsi"/>
          <w:spacing w:val="-2"/>
        </w:rPr>
        <w:t xml:space="preserve"> </w:t>
      </w:r>
      <w:r w:rsidRPr="00A54361">
        <w:rPr>
          <w:rFonts w:cstheme="minorHAnsi"/>
          <w:spacing w:val="2"/>
        </w:rPr>
        <w:t>o</w:t>
      </w:r>
      <w:r w:rsidRPr="00A54361">
        <w:rPr>
          <w:rFonts w:cstheme="minorHAnsi"/>
        </w:rPr>
        <w:t>f</w:t>
      </w:r>
      <w:r w:rsidRPr="00A54361">
        <w:rPr>
          <w:rFonts w:cstheme="minorHAnsi"/>
          <w:spacing w:val="-3"/>
        </w:rPr>
        <w:t xml:space="preserve"> </w:t>
      </w:r>
      <w:r w:rsidRPr="00A54361">
        <w:rPr>
          <w:rFonts w:cstheme="minorHAnsi"/>
          <w:spacing w:val="-1"/>
        </w:rPr>
        <w:t>a</w:t>
      </w:r>
      <w:r w:rsidRPr="00A54361">
        <w:rPr>
          <w:rFonts w:cstheme="minorHAnsi"/>
          <w:spacing w:val="5"/>
        </w:rPr>
        <w:t>n</w:t>
      </w:r>
      <w:r w:rsidRPr="00A54361">
        <w:rPr>
          <w:rFonts w:cstheme="minorHAnsi"/>
        </w:rPr>
        <w:t>y</w:t>
      </w:r>
      <w:r w:rsidRPr="00A54361">
        <w:rPr>
          <w:rFonts w:cstheme="minorHAnsi"/>
          <w:spacing w:val="-3"/>
        </w:rPr>
        <w:t xml:space="preserve"> </w:t>
      </w:r>
      <w:r w:rsidRPr="00A54361">
        <w:rPr>
          <w:rFonts w:cstheme="minorHAnsi"/>
        </w:rPr>
        <w:t>s</w:t>
      </w:r>
      <w:r w:rsidRPr="00A54361">
        <w:rPr>
          <w:rFonts w:cstheme="minorHAnsi"/>
          <w:spacing w:val="-1"/>
        </w:rPr>
        <w:t>ec</w:t>
      </w:r>
      <w:r w:rsidRPr="00A54361">
        <w:rPr>
          <w:rFonts w:cstheme="minorHAnsi"/>
        </w:rPr>
        <w:t>uri</w:t>
      </w:r>
      <w:r w:rsidRPr="00A54361">
        <w:rPr>
          <w:rFonts w:cstheme="minorHAnsi"/>
          <w:spacing w:val="5"/>
        </w:rPr>
        <w:t>t</w:t>
      </w:r>
      <w:r w:rsidRPr="00A54361">
        <w:rPr>
          <w:rFonts w:cstheme="minorHAnsi"/>
        </w:rPr>
        <w:t>y</w:t>
      </w:r>
      <w:r w:rsidRPr="00A54361">
        <w:rPr>
          <w:rFonts w:cstheme="minorHAnsi"/>
          <w:spacing w:val="-7"/>
        </w:rPr>
        <w:t xml:space="preserve"> </w:t>
      </w:r>
      <w:r w:rsidRPr="00A54361">
        <w:rPr>
          <w:rFonts w:cstheme="minorHAnsi"/>
        </w:rPr>
        <w:t>s</w:t>
      </w:r>
      <w:r w:rsidRPr="00A54361">
        <w:rPr>
          <w:rFonts w:cstheme="minorHAnsi"/>
          <w:spacing w:val="-1"/>
        </w:rPr>
        <w:t>a</w:t>
      </w:r>
      <w:r w:rsidRPr="00A54361">
        <w:rPr>
          <w:rFonts w:cstheme="minorHAnsi"/>
          <w:spacing w:val="1"/>
        </w:rPr>
        <w:t>fe</w:t>
      </w:r>
      <w:r w:rsidRPr="00A54361">
        <w:rPr>
          <w:rFonts w:cstheme="minorHAnsi"/>
          <w:spacing w:val="-2"/>
        </w:rPr>
        <w:t>g</w:t>
      </w:r>
      <w:r w:rsidRPr="00A54361">
        <w:rPr>
          <w:rFonts w:cstheme="minorHAnsi"/>
        </w:rPr>
        <w:t>u</w:t>
      </w:r>
      <w:r w:rsidRPr="00A54361">
        <w:rPr>
          <w:rFonts w:cstheme="minorHAnsi"/>
          <w:spacing w:val="1"/>
        </w:rPr>
        <w:t>a</w:t>
      </w:r>
      <w:r w:rsidRPr="00A54361">
        <w:rPr>
          <w:rFonts w:cstheme="minorHAnsi"/>
        </w:rPr>
        <w:t>rds d</w:t>
      </w:r>
      <w:r w:rsidRPr="00A54361">
        <w:rPr>
          <w:rFonts w:cstheme="minorHAnsi"/>
          <w:spacing w:val="-1"/>
        </w:rPr>
        <w:t>e</w:t>
      </w:r>
      <w:r w:rsidRPr="00A54361">
        <w:rPr>
          <w:rFonts w:cstheme="minorHAnsi"/>
        </w:rPr>
        <w:t>si</w:t>
      </w:r>
      <w:r w:rsidRPr="00A54361">
        <w:rPr>
          <w:rFonts w:cstheme="minorHAnsi"/>
          <w:spacing w:val="-2"/>
        </w:rPr>
        <w:t>g</w:t>
      </w:r>
      <w:r w:rsidRPr="00A54361">
        <w:rPr>
          <w:rFonts w:cstheme="minorHAnsi"/>
        </w:rPr>
        <w:t>n</w:t>
      </w:r>
      <w:r w:rsidRPr="00A54361">
        <w:rPr>
          <w:rFonts w:cstheme="minorHAnsi"/>
          <w:spacing w:val="-1"/>
        </w:rPr>
        <w:t>e</w:t>
      </w:r>
      <w:r w:rsidRPr="00A54361">
        <w:rPr>
          <w:rFonts w:cstheme="minorHAnsi"/>
        </w:rPr>
        <w:t>d,</w:t>
      </w:r>
      <w:r w:rsidRPr="00A54361">
        <w:rPr>
          <w:rFonts w:cstheme="minorHAnsi"/>
          <w:spacing w:val="7"/>
        </w:rPr>
        <w:t xml:space="preserve"> </w:t>
      </w:r>
      <w:r w:rsidRPr="00A54361">
        <w:rPr>
          <w:rFonts w:cstheme="minorHAnsi"/>
        </w:rPr>
        <w:t>d</w:t>
      </w:r>
      <w:r w:rsidRPr="00A54361">
        <w:rPr>
          <w:rFonts w:cstheme="minorHAnsi"/>
          <w:spacing w:val="-1"/>
        </w:rPr>
        <w:t>e</w:t>
      </w:r>
      <w:r w:rsidRPr="00A54361">
        <w:rPr>
          <w:rFonts w:cstheme="minorHAnsi"/>
        </w:rPr>
        <w:t>v</w:t>
      </w:r>
      <w:r w:rsidRPr="00A54361">
        <w:rPr>
          <w:rFonts w:cstheme="minorHAnsi"/>
          <w:spacing w:val="-1"/>
        </w:rPr>
        <w:t>e</w:t>
      </w:r>
      <w:r w:rsidRPr="00A54361">
        <w:rPr>
          <w:rFonts w:cstheme="minorHAnsi"/>
        </w:rPr>
        <w:t>lo</w:t>
      </w:r>
      <w:r w:rsidRPr="00A54361">
        <w:rPr>
          <w:rFonts w:cstheme="minorHAnsi"/>
          <w:spacing w:val="3"/>
        </w:rPr>
        <w:t>p</w:t>
      </w:r>
      <w:r w:rsidRPr="00A54361">
        <w:rPr>
          <w:rFonts w:cstheme="minorHAnsi"/>
          <w:spacing w:val="-1"/>
        </w:rPr>
        <w:t>e</w:t>
      </w:r>
      <w:r w:rsidRPr="00A54361">
        <w:rPr>
          <w:rFonts w:cstheme="minorHAnsi"/>
        </w:rPr>
        <w:t>d,</w:t>
      </w:r>
      <w:r w:rsidRPr="00A54361">
        <w:rPr>
          <w:rFonts w:cstheme="minorHAnsi"/>
          <w:spacing w:val="5"/>
        </w:rPr>
        <w:t xml:space="preserve"> </w:t>
      </w:r>
      <w:r w:rsidRPr="00A54361">
        <w:rPr>
          <w:rFonts w:cstheme="minorHAnsi"/>
        </w:rPr>
        <w:t>or</w:t>
      </w:r>
      <w:r w:rsidRPr="00A54361">
        <w:rPr>
          <w:rFonts w:cstheme="minorHAnsi"/>
          <w:spacing w:val="7"/>
        </w:rPr>
        <w:t xml:space="preserve"> </w:t>
      </w:r>
      <w:r w:rsidRPr="00A54361">
        <w:rPr>
          <w:rFonts w:cstheme="minorHAnsi"/>
        </w:rPr>
        <w:t>i</w:t>
      </w:r>
      <w:r w:rsidRPr="00A54361">
        <w:rPr>
          <w:rFonts w:cstheme="minorHAnsi"/>
          <w:spacing w:val="1"/>
        </w:rPr>
        <w:t>m</w:t>
      </w:r>
      <w:r w:rsidRPr="00A54361">
        <w:rPr>
          <w:rFonts w:cstheme="minorHAnsi"/>
        </w:rPr>
        <w:t>plem</w:t>
      </w:r>
      <w:r w:rsidRPr="00A54361">
        <w:rPr>
          <w:rFonts w:cstheme="minorHAnsi"/>
          <w:spacing w:val="-1"/>
        </w:rPr>
        <w:t>e</w:t>
      </w:r>
      <w:r w:rsidRPr="00A54361">
        <w:rPr>
          <w:rFonts w:cstheme="minorHAnsi"/>
        </w:rPr>
        <w:t>nted</w:t>
      </w:r>
      <w:r w:rsidRPr="00A54361">
        <w:rPr>
          <w:rFonts w:cstheme="minorHAnsi"/>
          <w:spacing w:val="4"/>
        </w:rPr>
        <w:t xml:space="preserve"> </w:t>
      </w:r>
      <w:r w:rsidRPr="00A54361">
        <w:rPr>
          <w:rFonts w:cstheme="minorHAnsi"/>
          <w:spacing w:val="2"/>
        </w:rPr>
        <w:t>b</w:t>
      </w:r>
      <w:r w:rsidRPr="00A54361">
        <w:rPr>
          <w:rFonts w:cstheme="minorHAnsi"/>
        </w:rPr>
        <w:t>y t</w:t>
      </w:r>
      <w:r w:rsidRPr="00A54361">
        <w:rPr>
          <w:rFonts w:cstheme="minorHAnsi"/>
          <w:spacing w:val="3"/>
        </w:rPr>
        <w:t>h</w:t>
      </w:r>
      <w:r w:rsidRPr="00A54361">
        <w:rPr>
          <w:rFonts w:cstheme="minorHAnsi"/>
        </w:rPr>
        <w:t>e</w:t>
      </w:r>
      <w:r w:rsidRPr="00A54361">
        <w:rPr>
          <w:rFonts w:cstheme="minorHAnsi"/>
          <w:spacing w:val="6"/>
        </w:rPr>
        <w:t xml:space="preserve"> </w:t>
      </w:r>
      <w:r w:rsidRPr="00A54361">
        <w:rPr>
          <w:rFonts w:cstheme="minorHAnsi"/>
          <w:spacing w:val="-2"/>
        </w:rPr>
        <w:t>B</w:t>
      </w:r>
      <w:r w:rsidRPr="00A54361">
        <w:rPr>
          <w:rFonts w:cstheme="minorHAnsi"/>
        </w:rPr>
        <w:t>idder</w:t>
      </w:r>
      <w:r w:rsidRPr="00A54361">
        <w:rPr>
          <w:rFonts w:cstheme="minorHAnsi"/>
          <w:spacing w:val="4"/>
        </w:rPr>
        <w:t xml:space="preserve"> </w:t>
      </w:r>
      <w:r w:rsidRPr="00A54361">
        <w:rPr>
          <w:rFonts w:cstheme="minorHAnsi"/>
        </w:rPr>
        <w:t>or</w:t>
      </w:r>
      <w:r w:rsidRPr="00A54361">
        <w:rPr>
          <w:rFonts w:cstheme="minorHAnsi"/>
          <w:spacing w:val="7"/>
        </w:rPr>
        <w:t xml:space="preserve"> </w:t>
      </w:r>
      <w:r w:rsidRPr="00A54361">
        <w:rPr>
          <w:rFonts w:cstheme="minorHAnsi"/>
          <w:spacing w:val="-1"/>
        </w:rPr>
        <w:t>e</w:t>
      </w:r>
      <w:r w:rsidRPr="00A54361">
        <w:rPr>
          <w:rFonts w:cstheme="minorHAnsi"/>
          <w:spacing w:val="2"/>
        </w:rPr>
        <w:t>x</w:t>
      </w:r>
      <w:r w:rsidRPr="00A54361">
        <w:rPr>
          <w:rFonts w:cstheme="minorHAnsi"/>
        </w:rPr>
        <w:t>is</w:t>
      </w:r>
      <w:r w:rsidRPr="00A54361">
        <w:rPr>
          <w:rFonts w:cstheme="minorHAnsi"/>
          <w:spacing w:val="1"/>
        </w:rPr>
        <w:t>t</w:t>
      </w:r>
      <w:r w:rsidRPr="00A54361">
        <w:rPr>
          <w:rFonts w:cstheme="minorHAnsi"/>
        </w:rPr>
        <w:t>ing</w:t>
      </w:r>
      <w:r w:rsidRPr="00A54361">
        <w:rPr>
          <w:rFonts w:cstheme="minorHAnsi"/>
          <w:spacing w:val="3"/>
        </w:rPr>
        <w:t xml:space="preserve"> </w:t>
      </w:r>
      <w:r w:rsidRPr="00A54361">
        <w:rPr>
          <w:rFonts w:cstheme="minorHAnsi"/>
          <w:spacing w:val="-1"/>
        </w:rPr>
        <w:t>a</w:t>
      </w:r>
      <w:r w:rsidRPr="00A54361">
        <w:rPr>
          <w:rFonts w:cstheme="minorHAnsi"/>
        </w:rPr>
        <w:t>t</w:t>
      </w:r>
      <w:r w:rsidRPr="00A54361">
        <w:rPr>
          <w:rFonts w:cstheme="minorHAnsi"/>
          <w:spacing w:val="5"/>
        </w:rPr>
        <w:t xml:space="preserve"> </w:t>
      </w:r>
      <w:r w:rsidRPr="00A54361">
        <w:rPr>
          <w:rFonts w:cstheme="minorHAnsi"/>
          <w:spacing w:val="-1"/>
        </w:rPr>
        <w:t>a</w:t>
      </w:r>
      <w:r w:rsidRPr="00A54361">
        <w:rPr>
          <w:rFonts w:cstheme="minorHAnsi"/>
          <w:spacing w:val="5"/>
        </w:rPr>
        <w:t>n</w:t>
      </w:r>
      <w:r w:rsidRPr="00A54361">
        <w:rPr>
          <w:rFonts w:cstheme="minorHAnsi"/>
        </w:rPr>
        <w:t xml:space="preserve">y </w:t>
      </w:r>
      <w:r w:rsidRPr="00A54361">
        <w:rPr>
          <w:rFonts w:cstheme="minorHAnsi"/>
          <w:spacing w:val="2"/>
        </w:rPr>
        <w:t>o</w:t>
      </w:r>
      <w:r w:rsidRPr="00A54361">
        <w:rPr>
          <w:rFonts w:cstheme="minorHAnsi"/>
        </w:rPr>
        <w:t>f</w:t>
      </w:r>
      <w:r w:rsidRPr="00A54361">
        <w:rPr>
          <w:rFonts w:cstheme="minorHAnsi"/>
          <w:spacing w:val="6"/>
        </w:rPr>
        <w:t xml:space="preserve"> </w:t>
      </w:r>
      <w:r w:rsidRPr="00A54361">
        <w:rPr>
          <w:rFonts w:cstheme="minorHAnsi"/>
        </w:rPr>
        <w:t>the</w:t>
      </w:r>
      <w:r w:rsidRPr="00A54361">
        <w:rPr>
          <w:rFonts w:cstheme="minorHAnsi"/>
          <w:spacing w:val="4"/>
        </w:rPr>
        <w:t xml:space="preserve"> </w:t>
      </w:r>
      <w:r w:rsidRPr="00A54361">
        <w:rPr>
          <w:rFonts w:cstheme="minorHAnsi"/>
        </w:rPr>
        <w:t>B</w:t>
      </w:r>
      <w:r w:rsidRPr="00A54361">
        <w:rPr>
          <w:rFonts w:cstheme="minorHAnsi"/>
          <w:spacing w:val="-1"/>
        </w:rPr>
        <w:t>a</w:t>
      </w:r>
      <w:r w:rsidRPr="00A54361">
        <w:rPr>
          <w:rFonts w:cstheme="minorHAnsi"/>
        </w:rPr>
        <w:t>nk</w:t>
      </w:r>
      <w:r w:rsidRPr="00A54361">
        <w:rPr>
          <w:rFonts w:cstheme="minorHAnsi"/>
          <w:spacing w:val="5"/>
        </w:rPr>
        <w:t xml:space="preserve"> </w:t>
      </w:r>
      <w:r w:rsidRPr="00A54361">
        <w:rPr>
          <w:rFonts w:cstheme="minorHAnsi"/>
        </w:rPr>
        <w:t>loc</w:t>
      </w:r>
      <w:r w:rsidRPr="00A54361">
        <w:rPr>
          <w:rFonts w:cstheme="minorHAnsi"/>
          <w:spacing w:val="-1"/>
        </w:rPr>
        <w:t>a</w:t>
      </w:r>
      <w:r w:rsidRPr="00A54361">
        <w:rPr>
          <w:rFonts w:cstheme="minorHAnsi"/>
        </w:rPr>
        <w:t>t</w:t>
      </w:r>
      <w:r w:rsidRPr="00A54361">
        <w:rPr>
          <w:rFonts w:cstheme="minorHAnsi"/>
          <w:spacing w:val="1"/>
        </w:rPr>
        <w:t>i</w:t>
      </w:r>
      <w:r w:rsidRPr="00A54361">
        <w:rPr>
          <w:rFonts w:cstheme="minorHAnsi"/>
        </w:rPr>
        <w:t>on. The</w:t>
      </w:r>
      <w:r w:rsidRPr="00A54361">
        <w:rPr>
          <w:rFonts w:cstheme="minorHAnsi"/>
          <w:spacing w:val="-8"/>
        </w:rPr>
        <w:t xml:space="preserve"> </w:t>
      </w:r>
      <w:r w:rsidRPr="00A54361">
        <w:rPr>
          <w:rFonts w:cstheme="minorHAnsi"/>
          <w:spacing w:val="-2"/>
        </w:rPr>
        <w:t>B</w:t>
      </w:r>
      <w:r w:rsidRPr="00A54361">
        <w:rPr>
          <w:rFonts w:cstheme="minorHAnsi"/>
        </w:rPr>
        <w:t>idd</w:t>
      </w:r>
      <w:r w:rsidRPr="00A54361">
        <w:rPr>
          <w:rFonts w:cstheme="minorHAnsi"/>
          <w:spacing w:val="2"/>
        </w:rPr>
        <w:t>e</w:t>
      </w:r>
      <w:r w:rsidRPr="00A54361">
        <w:rPr>
          <w:rFonts w:cstheme="minorHAnsi"/>
        </w:rPr>
        <w:t>r</w:t>
      </w:r>
      <w:r w:rsidRPr="00A54361">
        <w:rPr>
          <w:rFonts w:cstheme="minorHAnsi"/>
          <w:spacing w:val="-8"/>
        </w:rPr>
        <w:t xml:space="preserve"> </w:t>
      </w:r>
      <w:r w:rsidRPr="00A54361">
        <w:rPr>
          <w:rFonts w:cstheme="minorHAnsi"/>
        </w:rPr>
        <w:t>will</w:t>
      </w:r>
      <w:r w:rsidRPr="00A54361">
        <w:rPr>
          <w:rFonts w:cstheme="minorHAnsi"/>
          <w:spacing w:val="-6"/>
        </w:rPr>
        <w:t xml:space="preserve"> </w:t>
      </w:r>
      <w:r w:rsidRPr="00A54361">
        <w:rPr>
          <w:rFonts w:cstheme="minorHAnsi"/>
        </w:rPr>
        <w:t>h</w:t>
      </w:r>
      <w:r w:rsidRPr="00A54361">
        <w:rPr>
          <w:rFonts w:cstheme="minorHAnsi"/>
          <w:spacing w:val="-1"/>
        </w:rPr>
        <w:t>a</w:t>
      </w:r>
      <w:r w:rsidRPr="00A54361">
        <w:rPr>
          <w:rFonts w:cstheme="minorHAnsi"/>
        </w:rPr>
        <w:t>ve</w:t>
      </w:r>
      <w:r w:rsidRPr="00A54361">
        <w:rPr>
          <w:rFonts w:cstheme="minorHAnsi"/>
          <w:spacing w:val="-8"/>
        </w:rPr>
        <w:t xml:space="preserve"> </w:t>
      </w:r>
      <w:r w:rsidRPr="00A54361">
        <w:rPr>
          <w:rFonts w:cstheme="minorHAnsi"/>
        </w:rPr>
        <w:t>to</w:t>
      </w:r>
      <w:r w:rsidRPr="00A54361">
        <w:rPr>
          <w:rFonts w:cstheme="minorHAnsi"/>
          <w:spacing w:val="-7"/>
        </w:rPr>
        <w:t xml:space="preserve"> </w:t>
      </w:r>
      <w:r w:rsidRPr="00A54361">
        <w:rPr>
          <w:rFonts w:cstheme="minorHAnsi"/>
          <w:spacing w:val="1"/>
        </w:rPr>
        <w:t>a</w:t>
      </w:r>
      <w:r w:rsidRPr="00A54361">
        <w:rPr>
          <w:rFonts w:cstheme="minorHAnsi"/>
        </w:rPr>
        <w:t>lso</w:t>
      </w:r>
      <w:r w:rsidRPr="00A54361">
        <w:rPr>
          <w:rFonts w:cstheme="minorHAnsi"/>
          <w:spacing w:val="-6"/>
        </w:rPr>
        <w:t xml:space="preserve"> </w:t>
      </w:r>
      <w:r w:rsidRPr="00A54361">
        <w:rPr>
          <w:rFonts w:cstheme="minorHAnsi"/>
          <w:spacing w:val="-1"/>
        </w:rPr>
        <w:t>e</w:t>
      </w:r>
      <w:r w:rsidRPr="00A54361">
        <w:rPr>
          <w:rFonts w:cstheme="minorHAnsi"/>
        </w:rPr>
        <w:t>nsure</w:t>
      </w:r>
      <w:r w:rsidRPr="00A54361">
        <w:rPr>
          <w:rFonts w:cstheme="minorHAnsi"/>
          <w:spacing w:val="-9"/>
        </w:rPr>
        <w:t xml:space="preserve"> </w:t>
      </w:r>
      <w:r w:rsidRPr="00A54361">
        <w:rPr>
          <w:rFonts w:cstheme="minorHAnsi"/>
        </w:rPr>
        <w:t>that</w:t>
      </w:r>
      <w:r w:rsidRPr="00A54361">
        <w:rPr>
          <w:rFonts w:cstheme="minorHAnsi"/>
          <w:spacing w:val="-7"/>
        </w:rPr>
        <w:t xml:space="preserve"> </w:t>
      </w:r>
      <w:r w:rsidRPr="00A54361">
        <w:rPr>
          <w:rFonts w:cstheme="minorHAnsi"/>
          <w:spacing w:val="-1"/>
        </w:rPr>
        <w:t>a</w:t>
      </w:r>
      <w:r w:rsidRPr="00A54361">
        <w:rPr>
          <w:rFonts w:cstheme="minorHAnsi"/>
        </w:rPr>
        <w:t>ll</w:t>
      </w:r>
      <w:r w:rsidRPr="00A54361">
        <w:rPr>
          <w:rFonts w:cstheme="minorHAnsi"/>
          <w:spacing w:val="-6"/>
        </w:rPr>
        <w:t xml:space="preserve"> </w:t>
      </w:r>
      <w:r w:rsidRPr="00A54361">
        <w:rPr>
          <w:rFonts w:cstheme="minorHAnsi"/>
        </w:rPr>
        <w:t>su</w:t>
      </w:r>
      <w:r w:rsidRPr="00A54361">
        <w:rPr>
          <w:rFonts w:cstheme="minorHAnsi"/>
          <w:spacing w:val="1"/>
        </w:rPr>
        <w:t>b</w:t>
      </w:r>
      <w:r w:rsidRPr="00A54361">
        <w:rPr>
          <w:rFonts w:cstheme="minorHAnsi"/>
          <w:spacing w:val="-1"/>
        </w:rPr>
        <w:t>-c</w:t>
      </w:r>
      <w:r w:rsidRPr="00A54361">
        <w:rPr>
          <w:rFonts w:cstheme="minorHAnsi"/>
          <w:spacing w:val="2"/>
        </w:rPr>
        <w:t>o</w:t>
      </w:r>
      <w:r w:rsidRPr="00A54361">
        <w:rPr>
          <w:rFonts w:cstheme="minorHAnsi"/>
        </w:rPr>
        <w:t>ntr</w:t>
      </w:r>
      <w:r w:rsidRPr="00A54361">
        <w:rPr>
          <w:rFonts w:cstheme="minorHAnsi"/>
          <w:spacing w:val="-1"/>
        </w:rPr>
        <w:t>ac</w:t>
      </w:r>
      <w:r w:rsidRPr="00A54361">
        <w:rPr>
          <w:rFonts w:cstheme="minorHAnsi"/>
        </w:rPr>
        <w:t>tors</w:t>
      </w:r>
      <w:r w:rsidRPr="00A54361">
        <w:rPr>
          <w:rFonts w:cstheme="minorHAnsi"/>
          <w:spacing w:val="-7"/>
        </w:rPr>
        <w:t xml:space="preserve"> </w:t>
      </w:r>
      <w:r w:rsidRPr="00A54361">
        <w:rPr>
          <w:rFonts w:cstheme="minorHAnsi"/>
        </w:rPr>
        <w:t>who</w:t>
      </w:r>
      <w:r w:rsidRPr="00A54361">
        <w:rPr>
          <w:rFonts w:cstheme="minorHAnsi"/>
          <w:spacing w:val="-8"/>
        </w:rPr>
        <w:t xml:space="preserve"> </w:t>
      </w:r>
      <w:r w:rsidRPr="00A54361">
        <w:rPr>
          <w:rFonts w:cstheme="minorHAnsi"/>
          <w:spacing w:val="1"/>
        </w:rPr>
        <w:t>a</w:t>
      </w:r>
      <w:r w:rsidRPr="00A54361">
        <w:rPr>
          <w:rFonts w:cstheme="minorHAnsi"/>
        </w:rPr>
        <w:t>re</w:t>
      </w:r>
      <w:r w:rsidRPr="00A54361">
        <w:rPr>
          <w:rFonts w:cstheme="minorHAnsi"/>
          <w:spacing w:val="-9"/>
        </w:rPr>
        <w:t xml:space="preserve"> </w:t>
      </w:r>
      <w:r w:rsidRPr="00A54361">
        <w:rPr>
          <w:rFonts w:cstheme="minorHAnsi"/>
        </w:rPr>
        <w:t>invo</w:t>
      </w:r>
      <w:r w:rsidRPr="00A54361">
        <w:rPr>
          <w:rFonts w:cstheme="minorHAnsi"/>
          <w:spacing w:val="1"/>
        </w:rPr>
        <w:t>l</w:t>
      </w:r>
      <w:r w:rsidRPr="00A54361">
        <w:rPr>
          <w:rFonts w:cstheme="minorHAnsi"/>
        </w:rPr>
        <w:t>v</w:t>
      </w:r>
      <w:r w:rsidRPr="00A54361">
        <w:rPr>
          <w:rFonts w:cstheme="minorHAnsi"/>
          <w:spacing w:val="1"/>
        </w:rPr>
        <w:t>e</w:t>
      </w:r>
      <w:r w:rsidRPr="00A54361">
        <w:rPr>
          <w:rFonts w:cstheme="minorHAnsi"/>
        </w:rPr>
        <w:t>d</w:t>
      </w:r>
      <w:r w:rsidRPr="00A54361">
        <w:rPr>
          <w:rFonts w:cstheme="minorHAnsi"/>
          <w:spacing w:val="-7"/>
        </w:rPr>
        <w:t xml:space="preserve"> </w:t>
      </w:r>
      <w:r w:rsidRPr="00A54361">
        <w:rPr>
          <w:rFonts w:cstheme="minorHAnsi"/>
        </w:rPr>
        <w:t>in</w:t>
      </w:r>
      <w:r w:rsidRPr="00A54361">
        <w:rPr>
          <w:rFonts w:cstheme="minorHAnsi"/>
          <w:spacing w:val="-7"/>
        </w:rPr>
        <w:t xml:space="preserve"> </w:t>
      </w:r>
      <w:r w:rsidRPr="00A54361">
        <w:rPr>
          <w:rFonts w:cstheme="minorHAnsi"/>
        </w:rPr>
        <w:t>providing</w:t>
      </w:r>
      <w:r w:rsidRPr="00A54361">
        <w:rPr>
          <w:rFonts w:cstheme="minorHAnsi"/>
          <w:spacing w:val="-9"/>
        </w:rPr>
        <w:t xml:space="preserve"> </w:t>
      </w:r>
      <w:r w:rsidRPr="00A54361">
        <w:rPr>
          <w:rFonts w:cstheme="minorHAnsi"/>
        </w:rPr>
        <w:t>su</w:t>
      </w:r>
      <w:r w:rsidRPr="00A54361">
        <w:rPr>
          <w:rFonts w:cstheme="minorHAnsi"/>
          <w:spacing w:val="-1"/>
        </w:rPr>
        <w:t>c</w:t>
      </w:r>
      <w:r w:rsidRPr="00A54361">
        <w:rPr>
          <w:rFonts w:cstheme="minorHAnsi"/>
        </w:rPr>
        <w:t>h s</w:t>
      </w:r>
      <w:r w:rsidRPr="00A54361">
        <w:rPr>
          <w:rFonts w:cstheme="minorHAnsi"/>
          <w:spacing w:val="-1"/>
        </w:rPr>
        <w:t>ec</w:t>
      </w:r>
      <w:r w:rsidRPr="00A54361">
        <w:rPr>
          <w:rFonts w:cstheme="minorHAnsi"/>
        </w:rPr>
        <w:t>uri</w:t>
      </w:r>
      <w:r w:rsidRPr="00A54361">
        <w:rPr>
          <w:rFonts w:cstheme="minorHAnsi"/>
          <w:spacing w:val="5"/>
        </w:rPr>
        <w:t>t</w:t>
      </w:r>
      <w:r w:rsidRPr="00A54361">
        <w:rPr>
          <w:rFonts w:cstheme="minorHAnsi"/>
        </w:rPr>
        <w:t>y</w:t>
      </w:r>
      <w:r w:rsidRPr="00A54361">
        <w:rPr>
          <w:rFonts w:cstheme="minorHAnsi"/>
          <w:spacing w:val="-12"/>
        </w:rPr>
        <w:t xml:space="preserve"> </w:t>
      </w:r>
      <w:r w:rsidRPr="00A54361">
        <w:rPr>
          <w:rFonts w:cstheme="minorHAnsi"/>
          <w:spacing w:val="2"/>
        </w:rPr>
        <w:t>s</w:t>
      </w:r>
      <w:r w:rsidRPr="00A54361">
        <w:rPr>
          <w:rFonts w:cstheme="minorHAnsi"/>
          <w:spacing w:val="-1"/>
        </w:rPr>
        <w:t>a</w:t>
      </w:r>
      <w:r w:rsidRPr="00A54361">
        <w:rPr>
          <w:rFonts w:cstheme="minorHAnsi"/>
        </w:rPr>
        <w:t>fe</w:t>
      </w:r>
      <w:r w:rsidRPr="00A54361">
        <w:rPr>
          <w:rFonts w:cstheme="minorHAnsi"/>
          <w:spacing w:val="-2"/>
        </w:rPr>
        <w:t>g</w:t>
      </w:r>
      <w:r w:rsidRPr="00A54361">
        <w:rPr>
          <w:rFonts w:cstheme="minorHAnsi"/>
          <w:spacing w:val="2"/>
        </w:rPr>
        <w:t>u</w:t>
      </w:r>
      <w:r w:rsidRPr="00A54361">
        <w:rPr>
          <w:rFonts w:cstheme="minorHAnsi"/>
          <w:spacing w:val="-1"/>
        </w:rPr>
        <w:t>a</w:t>
      </w:r>
      <w:r w:rsidRPr="00A54361">
        <w:rPr>
          <w:rFonts w:cstheme="minorHAnsi"/>
        </w:rPr>
        <w:t>rds</w:t>
      </w:r>
      <w:r w:rsidRPr="00A54361">
        <w:rPr>
          <w:rFonts w:cstheme="minorHAnsi"/>
          <w:spacing w:val="-5"/>
        </w:rPr>
        <w:t xml:space="preserve"> </w:t>
      </w:r>
      <w:r w:rsidRPr="00A54361">
        <w:rPr>
          <w:rFonts w:cstheme="minorHAnsi"/>
        </w:rPr>
        <w:t>or</w:t>
      </w:r>
      <w:r w:rsidRPr="00A54361">
        <w:rPr>
          <w:rFonts w:cstheme="minorHAnsi"/>
          <w:spacing w:val="-6"/>
        </w:rPr>
        <w:t xml:space="preserve"> </w:t>
      </w:r>
      <w:r w:rsidRPr="00A54361">
        <w:rPr>
          <w:rFonts w:cstheme="minorHAnsi"/>
        </w:rPr>
        <w:t>p</w:t>
      </w:r>
      <w:r w:rsidRPr="00A54361">
        <w:rPr>
          <w:rFonts w:cstheme="minorHAnsi"/>
          <w:spacing w:val="1"/>
        </w:rPr>
        <w:t>a</w:t>
      </w:r>
      <w:r w:rsidRPr="00A54361">
        <w:rPr>
          <w:rFonts w:cstheme="minorHAnsi"/>
        </w:rPr>
        <w:t>rt</w:t>
      </w:r>
      <w:r w:rsidRPr="00A54361">
        <w:rPr>
          <w:rFonts w:cstheme="minorHAnsi"/>
          <w:spacing w:val="-5"/>
        </w:rPr>
        <w:t xml:space="preserve"> </w:t>
      </w:r>
      <w:r w:rsidRPr="00A54361">
        <w:rPr>
          <w:rFonts w:cstheme="minorHAnsi"/>
        </w:rPr>
        <w:t>of</w:t>
      </w:r>
      <w:r w:rsidRPr="00A54361">
        <w:rPr>
          <w:rFonts w:cstheme="minorHAnsi"/>
          <w:spacing w:val="-6"/>
        </w:rPr>
        <w:t xml:space="preserve"> </w:t>
      </w:r>
      <w:r w:rsidRPr="00A54361">
        <w:rPr>
          <w:rFonts w:cstheme="minorHAnsi"/>
        </w:rPr>
        <w:t>it</w:t>
      </w:r>
      <w:r w:rsidRPr="00A54361">
        <w:rPr>
          <w:rFonts w:cstheme="minorHAnsi"/>
          <w:spacing w:val="-4"/>
        </w:rPr>
        <w:t xml:space="preserve"> </w:t>
      </w:r>
      <w:r w:rsidRPr="00A54361">
        <w:rPr>
          <w:rFonts w:cstheme="minorHAnsi"/>
        </w:rPr>
        <w:t>sh</w:t>
      </w:r>
      <w:r w:rsidRPr="00A54361">
        <w:rPr>
          <w:rFonts w:cstheme="minorHAnsi"/>
          <w:spacing w:val="-1"/>
        </w:rPr>
        <w:t>a</w:t>
      </w:r>
      <w:r w:rsidRPr="00A54361">
        <w:rPr>
          <w:rFonts w:cstheme="minorHAnsi"/>
        </w:rPr>
        <w:t>ll</w:t>
      </w:r>
      <w:r w:rsidRPr="00A54361">
        <w:rPr>
          <w:rFonts w:cstheme="minorHAnsi"/>
          <w:spacing w:val="-4"/>
        </w:rPr>
        <w:t xml:space="preserve"> </w:t>
      </w:r>
      <w:r w:rsidRPr="00A54361">
        <w:rPr>
          <w:rFonts w:cstheme="minorHAnsi"/>
        </w:rPr>
        <w:t>not</w:t>
      </w:r>
      <w:r w:rsidRPr="00A54361">
        <w:rPr>
          <w:rFonts w:cstheme="minorHAnsi"/>
          <w:spacing w:val="-4"/>
        </w:rPr>
        <w:t xml:space="preserve"> </w:t>
      </w:r>
      <w:r w:rsidRPr="00A54361">
        <w:rPr>
          <w:rFonts w:cstheme="minorHAnsi"/>
        </w:rPr>
        <w:t>pu</w:t>
      </w:r>
      <w:r w:rsidRPr="00A54361">
        <w:rPr>
          <w:rFonts w:cstheme="minorHAnsi"/>
          <w:spacing w:val="-2"/>
        </w:rPr>
        <w:t>b</w:t>
      </w:r>
      <w:r w:rsidRPr="00A54361">
        <w:rPr>
          <w:rFonts w:cstheme="minorHAnsi"/>
        </w:rPr>
        <w:t>l</w:t>
      </w:r>
      <w:r w:rsidRPr="00A54361">
        <w:rPr>
          <w:rFonts w:cstheme="minorHAnsi"/>
          <w:spacing w:val="1"/>
        </w:rPr>
        <w:t>i</w:t>
      </w:r>
      <w:r w:rsidRPr="00A54361">
        <w:rPr>
          <w:rFonts w:cstheme="minorHAnsi"/>
        </w:rPr>
        <w:t>sh</w:t>
      </w:r>
      <w:r w:rsidRPr="00A54361">
        <w:rPr>
          <w:rFonts w:cstheme="minorHAnsi"/>
          <w:spacing w:val="-5"/>
        </w:rPr>
        <w:t xml:space="preserve"> </w:t>
      </w:r>
      <w:r w:rsidRPr="00A54361">
        <w:rPr>
          <w:rFonts w:cstheme="minorHAnsi"/>
          <w:spacing w:val="-2"/>
        </w:rPr>
        <w:t>o</w:t>
      </w:r>
      <w:r w:rsidRPr="00A54361">
        <w:rPr>
          <w:rFonts w:cstheme="minorHAnsi"/>
        </w:rPr>
        <w:t>r</w:t>
      </w:r>
      <w:r w:rsidRPr="00A54361">
        <w:rPr>
          <w:rFonts w:cstheme="minorHAnsi"/>
          <w:spacing w:val="-6"/>
        </w:rPr>
        <w:t xml:space="preserve"> </w:t>
      </w:r>
      <w:r w:rsidRPr="00A54361">
        <w:rPr>
          <w:rFonts w:cstheme="minorHAnsi"/>
        </w:rPr>
        <w:t>disclose</w:t>
      </w:r>
      <w:r w:rsidRPr="00A54361">
        <w:rPr>
          <w:rFonts w:cstheme="minorHAnsi"/>
          <w:spacing w:val="-5"/>
        </w:rPr>
        <w:t xml:space="preserve"> </w:t>
      </w:r>
      <w:r w:rsidRPr="00A54361">
        <w:rPr>
          <w:rFonts w:cstheme="minorHAnsi"/>
        </w:rPr>
        <w:t>in</w:t>
      </w:r>
      <w:r w:rsidRPr="00A54361">
        <w:rPr>
          <w:rFonts w:cstheme="minorHAnsi"/>
          <w:spacing w:val="-4"/>
        </w:rPr>
        <w:t xml:space="preserve"> </w:t>
      </w:r>
      <w:r w:rsidRPr="00A54361">
        <w:rPr>
          <w:rFonts w:cstheme="minorHAnsi"/>
          <w:spacing w:val="-1"/>
        </w:rPr>
        <w:t>a</w:t>
      </w:r>
      <w:r w:rsidRPr="00A54361">
        <w:rPr>
          <w:rFonts w:cstheme="minorHAnsi"/>
          <w:spacing w:val="2"/>
        </w:rPr>
        <w:t>n</w:t>
      </w:r>
      <w:r w:rsidRPr="00A54361">
        <w:rPr>
          <w:rFonts w:cstheme="minorHAnsi"/>
        </w:rPr>
        <w:t>y</w:t>
      </w:r>
      <w:r w:rsidRPr="00A54361">
        <w:rPr>
          <w:rFonts w:cstheme="minorHAnsi"/>
          <w:spacing w:val="-10"/>
        </w:rPr>
        <w:t xml:space="preserve"> </w:t>
      </w:r>
      <w:r w:rsidRPr="00A54361">
        <w:rPr>
          <w:rFonts w:cstheme="minorHAnsi"/>
        </w:rPr>
        <w:t>mann</w:t>
      </w:r>
      <w:r w:rsidRPr="00A54361">
        <w:rPr>
          <w:rFonts w:cstheme="minorHAnsi"/>
          <w:spacing w:val="1"/>
        </w:rPr>
        <w:t>e</w:t>
      </w:r>
      <w:r w:rsidRPr="00A54361">
        <w:rPr>
          <w:rFonts w:cstheme="minorHAnsi"/>
        </w:rPr>
        <w:t>r,</w:t>
      </w:r>
      <w:r w:rsidRPr="00A54361">
        <w:rPr>
          <w:rFonts w:cstheme="minorHAnsi"/>
          <w:spacing w:val="-3"/>
        </w:rPr>
        <w:t xml:space="preserve"> </w:t>
      </w:r>
      <w:r w:rsidRPr="00A54361">
        <w:rPr>
          <w:rFonts w:cstheme="minorHAnsi"/>
        </w:rPr>
        <w:t>without</w:t>
      </w:r>
      <w:r w:rsidRPr="00A54361">
        <w:rPr>
          <w:rFonts w:cstheme="minorHAnsi"/>
          <w:spacing w:val="-4"/>
        </w:rPr>
        <w:t xml:space="preserve"> </w:t>
      </w:r>
      <w:r w:rsidRPr="00A54361">
        <w:rPr>
          <w:rFonts w:cstheme="minorHAnsi"/>
        </w:rPr>
        <w:t>the</w:t>
      </w:r>
      <w:r w:rsidRPr="00A54361">
        <w:rPr>
          <w:rFonts w:cstheme="minorHAnsi"/>
          <w:spacing w:val="-5"/>
        </w:rPr>
        <w:t xml:space="preserve"> </w:t>
      </w:r>
      <w:r w:rsidRPr="00A54361">
        <w:rPr>
          <w:rFonts w:cstheme="minorHAnsi"/>
          <w:spacing w:val="-2"/>
        </w:rPr>
        <w:t>B</w:t>
      </w:r>
      <w:r w:rsidRPr="00A54361">
        <w:rPr>
          <w:rFonts w:cstheme="minorHAnsi"/>
          <w:spacing w:val="-1"/>
        </w:rPr>
        <w:t>a</w:t>
      </w:r>
      <w:r w:rsidRPr="00A54361">
        <w:rPr>
          <w:rFonts w:cstheme="minorHAnsi"/>
        </w:rPr>
        <w:t>n</w:t>
      </w:r>
      <w:r w:rsidRPr="00A54361">
        <w:rPr>
          <w:rFonts w:cstheme="minorHAnsi"/>
          <w:spacing w:val="4"/>
        </w:rPr>
        <w:t>k</w:t>
      </w:r>
      <w:r w:rsidRPr="00A54361">
        <w:rPr>
          <w:rFonts w:cstheme="minorHAnsi"/>
          <w:spacing w:val="-1"/>
        </w:rPr>
        <w:t>’</w:t>
      </w:r>
      <w:r w:rsidRPr="00A54361">
        <w:rPr>
          <w:rFonts w:cstheme="minorHAnsi"/>
        </w:rPr>
        <w:t>s prior</w:t>
      </w:r>
      <w:r w:rsidRPr="00A54361">
        <w:rPr>
          <w:rFonts w:cstheme="minorHAnsi"/>
          <w:spacing w:val="4"/>
        </w:rPr>
        <w:t xml:space="preserve"> </w:t>
      </w:r>
      <w:r w:rsidRPr="00A54361">
        <w:rPr>
          <w:rFonts w:cstheme="minorHAnsi"/>
        </w:rPr>
        <w:t>w</w:t>
      </w:r>
      <w:r w:rsidRPr="00A54361">
        <w:rPr>
          <w:rFonts w:cstheme="minorHAnsi"/>
          <w:spacing w:val="-1"/>
        </w:rPr>
        <w:t>r</w:t>
      </w:r>
      <w:r w:rsidRPr="00A54361">
        <w:rPr>
          <w:rFonts w:cstheme="minorHAnsi"/>
        </w:rPr>
        <w:t>i</w:t>
      </w:r>
      <w:r w:rsidRPr="00A54361">
        <w:rPr>
          <w:rFonts w:cstheme="minorHAnsi"/>
          <w:spacing w:val="1"/>
        </w:rPr>
        <w:t>t</w:t>
      </w:r>
      <w:r w:rsidRPr="00A54361">
        <w:rPr>
          <w:rFonts w:cstheme="minorHAnsi"/>
        </w:rPr>
        <w:t>ten</w:t>
      </w:r>
      <w:r w:rsidRPr="00A54361">
        <w:rPr>
          <w:rFonts w:cstheme="minorHAnsi"/>
          <w:spacing w:val="7"/>
        </w:rPr>
        <w:t xml:space="preserve"> </w:t>
      </w:r>
      <w:r w:rsidRPr="00A54361">
        <w:rPr>
          <w:rFonts w:cstheme="minorHAnsi"/>
          <w:spacing w:val="-1"/>
        </w:rPr>
        <w:t>c</w:t>
      </w:r>
      <w:r w:rsidRPr="00A54361">
        <w:rPr>
          <w:rFonts w:cstheme="minorHAnsi"/>
        </w:rPr>
        <w:t>ons</w:t>
      </w:r>
      <w:r w:rsidRPr="00A54361">
        <w:rPr>
          <w:rFonts w:cstheme="minorHAnsi"/>
          <w:spacing w:val="-1"/>
        </w:rPr>
        <w:t>e</w:t>
      </w:r>
      <w:r w:rsidRPr="00A54361">
        <w:rPr>
          <w:rFonts w:cstheme="minorHAnsi"/>
        </w:rPr>
        <w:t>nt,</w:t>
      </w:r>
      <w:r w:rsidRPr="00A54361">
        <w:rPr>
          <w:rFonts w:cstheme="minorHAnsi"/>
          <w:spacing w:val="10"/>
        </w:rPr>
        <w:t xml:space="preserve"> </w:t>
      </w:r>
      <w:r w:rsidRPr="00A54361">
        <w:rPr>
          <w:rFonts w:cstheme="minorHAnsi"/>
        </w:rPr>
        <w:t>the</w:t>
      </w:r>
      <w:r w:rsidRPr="00A54361">
        <w:rPr>
          <w:rFonts w:cstheme="minorHAnsi"/>
          <w:spacing w:val="4"/>
        </w:rPr>
        <w:t xml:space="preserve"> </w:t>
      </w:r>
      <w:r w:rsidRPr="00A54361">
        <w:rPr>
          <w:rFonts w:cstheme="minorHAnsi"/>
        </w:rPr>
        <w:t>d</w:t>
      </w:r>
      <w:r w:rsidRPr="00A54361">
        <w:rPr>
          <w:rFonts w:cstheme="minorHAnsi"/>
          <w:spacing w:val="-1"/>
        </w:rPr>
        <w:t>e</w:t>
      </w:r>
      <w:r w:rsidRPr="00A54361">
        <w:rPr>
          <w:rFonts w:cstheme="minorHAnsi"/>
        </w:rPr>
        <w:t>tails</w:t>
      </w:r>
      <w:r w:rsidRPr="00A54361">
        <w:rPr>
          <w:rFonts w:cstheme="minorHAnsi"/>
          <w:spacing w:val="6"/>
        </w:rPr>
        <w:t xml:space="preserve"> </w:t>
      </w:r>
      <w:r w:rsidRPr="00A54361">
        <w:rPr>
          <w:rFonts w:cstheme="minorHAnsi"/>
          <w:spacing w:val="2"/>
        </w:rPr>
        <w:t>o</w:t>
      </w:r>
      <w:r w:rsidRPr="00A54361">
        <w:rPr>
          <w:rFonts w:cstheme="minorHAnsi"/>
        </w:rPr>
        <w:t>f</w:t>
      </w:r>
      <w:r w:rsidRPr="00A54361">
        <w:rPr>
          <w:rFonts w:cstheme="minorHAnsi"/>
          <w:spacing w:val="4"/>
        </w:rPr>
        <w:t xml:space="preserve"> </w:t>
      </w:r>
      <w:r w:rsidRPr="00A54361">
        <w:rPr>
          <w:rFonts w:cstheme="minorHAnsi"/>
          <w:spacing w:val="-1"/>
        </w:rPr>
        <w:t>a</w:t>
      </w:r>
      <w:r w:rsidRPr="00A54361">
        <w:rPr>
          <w:rFonts w:cstheme="minorHAnsi"/>
          <w:spacing w:val="5"/>
        </w:rPr>
        <w:t>n</w:t>
      </w:r>
      <w:r w:rsidRPr="00A54361">
        <w:rPr>
          <w:rFonts w:cstheme="minorHAnsi"/>
        </w:rPr>
        <w:t>y</w:t>
      </w:r>
      <w:r w:rsidRPr="00A54361">
        <w:rPr>
          <w:rFonts w:cstheme="minorHAnsi"/>
          <w:spacing w:val="3"/>
        </w:rPr>
        <w:t xml:space="preserve"> </w:t>
      </w:r>
      <w:r w:rsidRPr="00A54361">
        <w:rPr>
          <w:rFonts w:cstheme="minorHAnsi"/>
        </w:rPr>
        <w:t>s</w:t>
      </w:r>
      <w:r w:rsidRPr="00A54361">
        <w:rPr>
          <w:rFonts w:cstheme="minorHAnsi"/>
          <w:spacing w:val="1"/>
        </w:rPr>
        <w:t>ec</w:t>
      </w:r>
      <w:r w:rsidRPr="00A54361">
        <w:rPr>
          <w:rFonts w:cstheme="minorHAnsi"/>
        </w:rPr>
        <w:t>uri</w:t>
      </w:r>
      <w:r w:rsidRPr="00A54361">
        <w:rPr>
          <w:rFonts w:cstheme="minorHAnsi"/>
          <w:spacing w:val="2"/>
        </w:rPr>
        <w:t>t</w:t>
      </w:r>
      <w:r w:rsidRPr="00A54361">
        <w:rPr>
          <w:rFonts w:cstheme="minorHAnsi"/>
        </w:rPr>
        <w:t xml:space="preserve">y </w:t>
      </w:r>
      <w:r w:rsidRPr="00A54361">
        <w:rPr>
          <w:rFonts w:cstheme="minorHAnsi"/>
          <w:spacing w:val="2"/>
        </w:rPr>
        <w:t>s</w:t>
      </w:r>
      <w:r w:rsidRPr="00A54361">
        <w:rPr>
          <w:rFonts w:cstheme="minorHAnsi"/>
          <w:spacing w:val="-1"/>
        </w:rPr>
        <w:t>a</w:t>
      </w:r>
      <w:r w:rsidRPr="00A54361">
        <w:rPr>
          <w:rFonts w:cstheme="minorHAnsi"/>
        </w:rPr>
        <w:t>fe</w:t>
      </w:r>
      <w:r w:rsidRPr="00A54361">
        <w:rPr>
          <w:rFonts w:cstheme="minorHAnsi"/>
          <w:spacing w:val="-2"/>
        </w:rPr>
        <w:t>g</w:t>
      </w:r>
      <w:r w:rsidRPr="00A54361">
        <w:rPr>
          <w:rFonts w:cstheme="minorHAnsi"/>
          <w:spacing w:val="2"/>
        </w:rPr>
        <w:t>u</w:t>
      </w:r>
      <w:r w:rsidRPr="00A54361">
        <w:rPr>
          <w:rFonts w:cstheme="minorHAnsi"/>
          <w:spacing w:val="-1"/>
        </w:rPr>
        <w:t>a</w:t>
      </w:r>
      <w:r w:rsidRPr="00A54361">
        <w:rPr>
          <w:rFonts w:cstheme="minorHAnsi"/>
        </w:rPr>
        <w:t>rds</w:t>
      </w:r>
      <w:r w:rsidRPr="00A54361">
        <w:rPr>
          <w:rFonts w:cstheme="minorHAnsi"/>
          <w:spacing w:val="7"/>
        </w:rPr>
        <w:t xml:space="preserve"> </w:t>
      </w:r>
      <w:r w:rsidRPr="00A54361">
        <w:rPr>
          <w:rFonts w:cstheme="minorHAnsi"/>
        </w:rPr>
        <w:t>d</w:t>
      </w:r>
      <w:r w:rsidRPr="00A54361">
        <w:rPr>
          <w:rFonts w:cstheme="minorHAnsi"/>
          <w:spacing w:val="-1"/>
        </w:rPr>
        <w:t>e</w:t>
      </w:r>
      <w:r w:rsidRPr="00A54361">
        <w:rPr>
          <w:rFonts w:cstheme="minorHAnsi"/>
        </w:rPr>
        <w:t>s</w:t>
      </w:r>
      <w:r w:rsidRPr="00A54361">
        <w:rPr>
          <w:rFonts w:cstheme="minorHAnsi"/>
          <w:spacing w:val="3"/>
        </w:rPr>
        <w:t>i</w:t>
      </w:r>
      <w:r w:rsidRPr="00A54361">
        <w:rPr>
          <w:rFonts w:cstheme="minorHAnsi"/>
          <w:spacing w:val="-2"/>
        </w:rPr>
        <w:t>g</w:t>
      </w:r>
      <w:r w:rsidRPr="00A54361">
        <w:rPr>
          <w:rFonts w:cstheme="minorHAnsi"/>
          <w:spacing w:val="2"/>
        </w:rPr>
        <w:t>n</w:t>
      </w:r>
      <w:r w:rsidRPr="00A54361">
        <w:rPr>
          <w:rFonts w:cstheme="minorHAnsi"/>
          <w:spacing w:val="-1"/>
        </w:rPr>
        <w:t>e</w:t>
      </w:r>
      <w:r w:rsidRPr="00A54361">
        <w:rPr>
          <w:rFonts w:cstheme="minorHAnsi"/>
        </w:rPr>
        <w:t>d,</w:t>
      </w:r>
      <w:r w:rsidRPr="00A54361">
        <w:rPr>
          <w:rFonts w:cstheme="minorHAnsi"/>
          <w:spacing w:val="5"/>
        </w:rPr>
        <w:t xml:space="preserve"> </w:t>
      </w:r>
      <w:r w:rsidRPr="00A54361">
        <w:rPr>
          <w:rFonts w:cstheme="minorHAnsi"/>
        </w:rPr>
        <w:t>d</w:t>
      </w:r>
      <w:r w:rsidRPr="00A54361">
        <w:rPr>
          <w:rFonts w:cstheme="minorHAnsi"/>
          <w:spacing w:val="-1"/>
        </w:rPr>
        <w:t>e</w:t>
      </w:r>
      <w:r w:rsidRPr="00A54361">
        <w:rPr>
          <w:rFonts w:cstheme="minorHAnsi"/>
          <w:spacing w:val="2"/>
        </w:rPr>
        <w:t>v</w:t>
      </w:r>
      <w:r w:rsidRPr="00A54361">
        <w:rPr>
          <w:rFonts w:cstheme="minorHAnsi"/>
          <w:spacing w:val="-1"/>
        </w:rPr>
        <w:t>e</w:t>
      </w:r>
      <w:r w:rsidRPr="00A54361">
        <w:rPr>
          <w:rFonts w:cstheme="minorHAnsi"/>
        </w:rPr>
        <w:t>l</w:t>
      </w:r>
      <w:r w:rsidRPr="00A54361">
        <w:rPr>
          <w:rFonts w:cstheme="minorHAnsi"/>
          <w:spacing w:val="8"/>
        </w:rPr>
        <w:t>o</w:t>
      </w:r>
      <w:r w:rsidRPr="00A54361">
        <w:rPr>
          <w:rFonts w:cstheme="minorHAnsi"/>
        </w:rPr>
        <w:t>p</w:t>
      </w:r>
      <w:r w:rsidRPr="00A54361">
        <w:rPr>
          <w:rFonts w:cstheme="minorHAnsi"/>
          <w:spacing w:val="-1"/>
        </w:rPr>
        <w:t>e</w:t>
      </w:r>
      <w:r w:rsidRPr="00A54361">
        <w:rPr>
          <w:rFonts w:cstheme="minorHAnsi"/>
        </w:rPr>
        <w:t>d,</w:t>
      </w:r>
      <w:r w:rsidRPr="00A54361">
        <w:rPr>
          <w:rFonts w:cstheme="minorHAnsi"/>
          <w:spacing w:val="5"/>
        </w:rPr>
        <w:t xml:space="preserve"> </w:t>
      </w:r>
      <w:r w:rsidRPr="00A54361">
        <w:rPr>
          <w:rFonts w:cstheme="minorHAnsi"/>
          <w:spacing w:val="2"/>
        </w:rPr>
        <w:t>o</w:t>
      </w:r>
      <w:r w:rsidRPr="00A54361">
        <w:rPr>
          <w:rFonts w:cstheme="minorHAnsi"/>
        </w:rPr>
        <w:t>r i</w:t>
      </w:r>
      <w:r w:rsidRPr="00A54361">
        <w:rPr>
          <w:rFonts w:cstheme="minorHAnsi"/>
          <w:spacing w:val="1"/>
        </w:rPr>
        <w:t>m</w:t>
      </w:r>
      <w:r w:rsidRPr="00A54361">
        <w:rPr>
          <w:rFonts w:cstheme="minorHAnsi"/>
        </w:rPr>
        <w:t>plem</w:t>
      </w:r>
      <w:r w:rsidRPr="00A54361">
        <w:rPr>
          <w:rFonts w:cstheme="minorHAnsi"/>
          <w:spacing w:val="-1"/>
        </w:rPr>
        <w:t>e</w:t>
      </w:r>
      <w:r w:rsidRPr="00A54361">
        <w:rPr>
          <w:rFonts w:cstheme="minorHAnsi"/>
        </w:rPr>
        <w:t xml:space="preserve">nted </w:t>
      </w:r>
      <w:r w:rsidRPr="00A54361">
        <w:rPr>
          <w:rFonts w:cstheme="minorHAnsi"/>
          <w:spacing w:val="2"/>
        </w:rPr>
        <w:t>b</w:t>
      </w:r>
      <w:r w:rsidRPr="00A54361">
        <w:rPr>
          <w:rFonts w:cstheme="minorHAnsi"/>
        </w:rPr>
        <w:t>y</w:t>
      </w:r>
      <w:r w:rsidRPr="00A54361">
        <w:rPr>
          <w:rFonts w:cstheme="minorHAnsi"/>
          <w:spacing w:val="-5"/>
        </w:rPr>
        <w:t xml:space="preserve"> </w:t>
      </w:r>
      <w:r w:rsidRPr="00A54361">
        <w:rPr>
          <w:rFonts w:cstheme="minorHAnsi"/>
        </w:rPr>
        <w:t>the</w:t>
      </w:r>
      <w:r w:rsidRPr="00A54361">
        <w:rPr>
          <w:rFonts w:cstheme="minorHAnsi"/>
          <w:spacing w:val="2"/>
        </w:rPr>
        <w:t xml:space="preserve"> </w:t>
      </w:r>
      <w:r w:rsidRPr="00A54361">
        <w:rPr>
          <w:rFonts w:cstheme="minorHAnsi"/>
          <w:spacing w:val="-2"/>
        </w:rPr>
        <w:t>B</w:t>
      </w:r>
      <w:r w:rsidRPr="00A54361">
        <w:rPr>
          <w:rFonts w:cstheme="minorHAnsi"/>
        </w:rPr>
        <w:t>id</w:t>
      </w:r>
      <w:r w:rsidRPr="00A54361">
        <w:rPr>
          <w:rFonts w:cstheme="minorHAnsi"/>
          <w:spacing w:val="3"/>
        </w:rPr>
        <w:t>d</w:t>
      </w:r>
      <w:r w:rsidRPr="00A54361">
        <w:rPr>
          <w:rFonts w:cstheme="minorHAnsi"/>
          <w:spacing w:val="-1"/>
        </w:rPr>
        <w:t>e</w:t>
      </w:r>
      <w:r w:rsidRPr="00A54361">
        <w:rPr>
          <w:rFonts w:cstheme="minorHAnsi"/>
        </w:rPr>
        <w:t>r or</w:t>
      </w:r>
      <w:r w:rsidRPr="00A54361">
        <w:rPr>
          <w:rFonts w:cstheme="minorHAnsi"/>
          <w:spacing w:val="-1"/>
        </w:rPr>
        <w:t xml:space="preserve"> e</w:t>
      </w:r>
      <w:r w:rsidRPr="00A54361">
        <w:rPr>
          <w:rFonts w:cstheme="minorHAnsi"/>
          <w:spacing w:val="2"/>
        </w:rPr>
        <w:t>x</w:t>
      </w:r>
      <w:r w:rsidRPr="00A54361">
        <w:rPr>
          <w:rFonts w:cstheme="minorHAnsi"/>
        </w:rPr>
        <w:t>is</w:t>
      </w:r>
      <w:r w:rsidRPr="00A54361">
        <w:rPr>
          <w:rFonts w:cstheme="minorHAnsi"/>
          <w:spacing w:val="1"/>
        </w:rPr>
        <w:t>t</w:t>
      </w:r>
      <w:r w:rsidRPr="00A54361">
        <w:rPr>
          <w:rFonts w:cstheme="minorHAnsi"/>
        </w:rPr>
        <w:t>ing</w:t>
      </w:r>
      <w:r w:rsidRPr="00A54361">
        <w:rPr>
          <w:rFonts w:cstheme="minorHAnsi"/>
          <w:spacing w:val="-2"/>
        </w:rPr>
        <w:t xml:space="preserve"> </w:t>
      </w:r>
      <w:r w:rsidRPr="00A54361">
        <w:rPr>
          <w:rFonts w:cstheme="minorHAnsi"/>
          <w:spacing w:val="-1"/>
        </w:rPr>
        <w:t>a</w:t>
      </w:r>
      <w:r w:rsidRPr="00A54361">
        <w:rPr>
          <w:rFonts w:cstheme="minorHAnsi"/>
        </w:rPr>
        <w:t>t a</w:t>
      </w:r>
      <w:r w:rsidRPr="00A54361">
        <w:rPr>
          <w:rFonts w:cstheme="minorHAnsi"/>
          <w:spacing w:val="4"/>
        </w:rPr>
        <w:t>n</w:t>
      </w:r>
      <w:r w:rsidRPr="00A54361">
        <w:rPr>
          <w:rFonts w:cstheme="minorHAnsi"/>
        </w:rPr>
        <w:t>y</w:t>
      </w:r>
      <w:r w:rsidRPr="00A54361">
        <w:rPr>
          <w:rFonts w:cstheme="minorHAnsi"/>
          <w:spacing w:val="-3"/>
        </w:rPr>
        <w:t xml:space="preserve"> </w:t>
      </w:r>
      <w:r w:rsidRPr="00A54361">
        <w:rPr>
          <w:rFonts w:cstheme="minorHAnsi"/>
          <w:spacing w:val="-2"/>
        </w:rPr>
        <w:t>B</w:t>
      </w:r>
      <w:r w:rsidRPr="00A54361">
        <w:rPr>
          <w:rFonts w:cstheme="minorHAnsi"/>
          <w:spacing w:val="-1"/>
        </w:rPr>
        <w:t>a</w:t>
      </w:r>
      <w:r w:rsidRPr="00A54361">
        <w:rPr>
          <w:rFonts w:cstheme="minorHAnsi"/>
          <w:spacing w:val="2"/>
        </w:rPr>
        <w:t>n</w:t>
      </w:r>
      <w:r w:rsidRPr="00A54361">
        <w:rPr>
          <w:rFonts w:cstheme="minorHAnsi"/>
        </w:rPr>
        <w:t>k loc</w:t>
      </w:r>
      <w:r w:rsidRPr="00A54361">
        <w:rPr>
          <w:rFonts w:cstheme="minorHAnsi"/>
          <w:spacing w:val="-1"/>
        </w:rPr>
        <w:t>a</w:t>
      </w:r>
      <w:r w:rsidRPr="00A54361">
        <w:rPr>
          <w:rFonts w:cstheme="minorHAnsi"/>
        </w:rPr>
        <w:t>t</w:t>
      </w:r>
      <w:r w:rsidRPr="00A54361">
        <w:rPr>
          <w:rFonts w:cstheme="minorHAnsi"/>
          <w:spacing w:val="1"/>
        </w:rPr>
        <w:t>i</w:t>
      </w:r>
      <w:r w:rsidRPr="00A54361">
        <w:rPr>
          <w:rFonts w:cstheme="minorHAnsi"/>
        </w:rPr>
        <w:t>on</w:t>
      </w:r>
      <w:r w:rsidR="000D5769" w:rsidRPr="00A54361">
        <w:rPr>
          <w:rFonts w:cstheme="minorHAnsi"/>
        </w:rPr>
        <w:t>.</w:t>
      </w:r>
    </w:p>
    <w:p w14:paraId="23700011" w14:textId="3EAAFE41" w:rsidR="000D5769" w:rsidRPr="00A54361" w:rsidRDefault="000D5769" w:rsidP="00A54361">
      <w:pPr>
        <w:pStyle w:val="Heading1"/>
        <w:numPr>
          <w:ilvl w:val="0"/>
          <w:numId w:val="48"/>
        </w:numPr>
        <w:jc w:val="both"/>
        <w:rPr>
          <w:rFonts w:asciiTheme="minorHAnsi" w:hAnsiTheme="minorHAnsi" w:cstheme="minorHAnsi"/>
          <w:color w:val="auto"/>
        </w:rPr>
      </w:pPr>
      <w:bookmarkStart w:id="219" w:name="_Toc129668510"/>
      <w:bookmarkStart w:id="220" w:name="_Toc182233387"/>
      <w:r w:rsidRPr="00A54361">
        <w:rPr>
          <w:rFonts w:asciiTheme="minorHAnsi" w:hAnsiTheme="minorHAnsi" w:cstheme="minorHAnsi"/>
          <w:color w:val="auto"/>
        </w:rPr>
        <w:t>Inspection, Audit, Review, Monitoring &amp; Visitations</w:t>
      </w:r>
      <w:bookmarkEnd w:id="219"/>
      <w:bookmarkEnd w:id="220"/>
    </w:p>
    <w:p w14:paraId="0AAEFDE4" w14:textId="7497A660" w:rsidR="000D5769" w:rsidRPr="00A54361" w:rsidRDefault="000D5769" w:rsidP="00A54361">
      <w:pPr>
        <w:jc w:val="both"/>
        <w:rPr>
          <w:rFonts w:cstheme="minorHAnsi"/>
        </w:rPr>
      </w:pPr>
      <w:r w:rsidRPr="00A54361">
        <w:rPr>
          <w:rFonts w:cstheme="minorHAnsi"/>
        </w:rPr>
        <w:t>All OEM/Bidder records with respect to any matters / issues covered under the scope of this RFP/project shall be made available to the Bank at any time during normal business hours, to audit, examine, and make excerpts or transcripts of all relevant data. Such records are subject to examination. The cost of such audit will be borne by the Bank. Bidder shall permit audit by internal/external auditors of the Bank or RBI to assess the adequacy of risk management practices adopted in overseeing and managing the outsourced activity/arrangement made by the Bank. Bank shall undertake a periodic review of service provider/BIDDER outsourced process to identify new outsourcing risks as they arise. The BIDDER shall be subject to risk management and security and privacy policies that meet the Bank’s standard. In case the BIDDER outsourced to third party, there must be proper Agreement / purchase order with concerned third party. The Bank shall have right to intervene with appropriate measure to meet the Bank’s legal and regulatory obligations. Access to books and records/Audit and Inspection would include:-</w:t>
      </w:r>
    </w:p>
    <w:p w14:paraId="0153C437" w14:textId="620AF0BA" w:rsidR="000D5769" w:rsidRPr="00A54361" w:rsidRDefault="000D5769" w:rsidP="00A54361">
      <w:pPr>
        <w:pStyle w:val="ListParagraph"/>
        <w:numPr>
          <w:ilvl w:val="0"/>
          <w:numId w:val="19"/>
        </w:numPr>
        <w:spacing w:before="120" w:after="120"/>
        <w:jc w:val="both"/>
        <w:rPr>
          <w:rFonts w:cstheme="minorHAnsi"/>
        </w:rPr>
      </w:pPr>
      <w:r w:rsidRPr="00A54361">
        <w:rPr>
          <w:rFonts w:cstheme="minorHAnsi"/>
        </w:rPr>
        <w:t xml:space="preserve">Ensure that the Bank has the ability to access all books, records and information relevant to the outsourced activity available with the BIDDER. For technology outsourcing, requisite audit trails and logs for administrative activities should be retained and accessible to the Bank based on approved request. </w:t>
      </w:r>
    </w:p>
    <w:p w14:paraId="750BC1CC" w14:textId="2F5366A6" w:rsidR="000D5769" w:rsidRPr="00A54361" w:rsidRDefault="000D5769" w:rsidP="00A54361">
      <w:pPr>
        <w:pStyle w:val="ListParagraph"/>
        <w:numPr>
          <w:ilvl w:val="0"/>
          <w:numId w:val="19"/>
        </w:numPr>
        <w:spacing w:before="120" w:after="120"/>
        <w:jc w:val="both"/>
        <w:rPr>
          <w:rFonts w:cstheme="minorHAnsi"/>
        </w:rPr>
      </w:pPr>
      <w:r w:rsidRPr="00A54361">
        <w:rPr>
          <w:rFonts w:cstheme="minorHAnsi"/>
        </w:rPr>
        <w:t xml:space="preserve">Provide the Bank with right to conduct audits on the BIDDER whether by its internal or external auditors, or by external specialist appointed to act on its behalf and to obtain copies of any audit or review reports and finding made on the service provider in conjunction with the services performed for the bank. </w:t>
      </w:r>
    </w:p>
    <w:p w14:paraId="2DCA29C1" w14:textId="7EC7E975" w:rsidR="000D5769" w:rsidRPr="00A54361" w:rsidRDefault="000D5769" w:rsidP="00A54361">
      <w:pPr>
        <w:pStyle w:val="ListParagraph"/>
        <w:numPr>
          <w:ilvl w:val="0"/>
          <w:numId w:val="19"/>
        </w:numPr>
        <w:spacing w:before="120" w:after="120"/>
        <w:jc w:val="both"/>
        <w:rPr>
          <w:rFonts w:cstheme="minorHAnsi"/>
        </w:rPr>
      </w:pPr>
      <w:r w:rsidRPr="00A54361">
        <w:rPr>
          <w:rFonts w:cstheme="minorHAnsi"/>
        </w:rPr>
        <w:t xml:space="preserve">Include clause to allow the reserve bank of India or persons authorized by it to access the bank’s documents: records of transactions, and other necessary information given to you, stored or </w:t>
      </w:r>
      <w:r w:rsidRPr="00A54361">
        <w:rPr>
          <w:rFonts w:cstheme="minorHAnsi"/>
        </w:rPr>
        <w:lastRenderedPageBreak/>
        <w:t xml:space="preserve">processed by the BIDDER within a reasonable time. This includes information maintained in paper and electronic formats. </w:t>
      </w:r>
    </w:p>
    <w:p w14:paraId="73D73E98" w14:textId="16920937" w:rsidR="000D5769" w:rsidRPr="00A54361" w:rsidRDefault="000D5769" w:rsidP="00A54361">
      <w:pPr>
        <w:pStyle w:val="ListParagraph"/>
        <w:numPr>
          <w:ilvl w:val="0"/>
          <w:numId w:val="19"/>
        </w:numPr>
        <w:spacing w:before="120" w:after="120"/>
        <w:jc w:val="both"/>
        <w:rPr>
          <w:rFonts w:cstheme="minorHAnsi"/>
        </w:rPr>
      </w:pPr>
      <w:r w:rsidRPr="00A54361">
        <w:rPr>
          <w:rFonts w:cstheme="minorHAnsi"/>
        </w:rPr>
        <w:t>Recognized the right of the reserve bank to cause an inspection to be made of a service provider of the bank and its books and account by one or more of its officers or employees or other persons. Banks shall at least on an annual basis, review the financial and operational condition of the BIDDER. Bank shall also periodically commission independent audit and expert assessment on the security and controlled environment of the BIDDER. Such assessment and reports on the BIDDER may be performed and prepared by Bank’s internal or external auditors, or by agents appointed by the Bank.</w:t>
      </w:r>
    </w:p>
    <w:p w14:paraId="7B785360" w14:textId="77962FB9" w:rsidR="00EF51F3" w:rsidRPr="00A54361" w:rsidRDefault="00EF51F3" w:rsidP="00A54361">
      <w:pPr>
        <w:pStyle w:val="Default"/>
        <w:numPr>
          <w:ilvl w:val="0"/>
          <w:numId w:val="19"/>
        </w:numPr>
        <w:jc w:val="both"/>
        <w:rPr>
          <w:rFonts w:asciiTheme="minorHAnsi" w:hAnsiTheme="minorHAnsi" w:cstheme="minorHAnsi"/>
          <w:color w:val="auto"/>
          <w:sz w:val="22"/>
          <w:szCs w:val="22"/>
        </w:rPr>
      </w:pPr>
      <w:r w:rsidRPr="00A54361">
        <w:rPr>
          <w:rFonts w:asciiTheme="minorHAnsi" w:hAnsiTheme="minorHAnsi" w:cstheme="minorHAnsi"/>
          <w:color w:val="auto"/>
          <w:sz w:val="22"/>
          <w:szCs w:val="22"/>
        </w:rPr>
        <w:t xml:space="preserve">Any such audit shall be conducted expeditiously, efficiently, and at reasonable business hours after giving due notice to the Bidder which shall not be less than 10 days. The Bank shall not have access to the proprietary data of, or relating to, any other customer of Bidder, or a third party or Bidder’s cost, profit, discount and pricing data. The audit shall not be permitted if it interferes with Bidder’s ability to perform the services in accordance with the service levels, unless the Bank relieves Bidder from meeting the applicable service levels. The audit shall not be performed by any competitor of the Bidder. The auditor including regulatory auditor shall sign the confidentiality undertaking with the Bidder before conducting such audit. </w:t>
      </w:r>
    </w:p>
    <w:p w14:paraId="2FC722A9" w14:textId="5300A628" w:rsidR="000D5769" w:rsidRPr="00A54361" w:rsidRDefault="000D5769" w:rsidP="00A54361">
      <w:pPr>
        <w:spacing w:before="120" w:after="120"/>
        <w:jc w:val="both"/>
        <w:rPr>
          <w:rFonts w:cstheme="minorHAnsi"/>
          <w:b/>
          <w:bCs/>
        </w:rPr>
      </w:pPr>
      <w:r w:rsidRPr="00A54361">
        <w:rPr>
          <w:rFonts w:cstheme="minorHAnsi"/>
          <w:b/>
          <w:bCs/>
        </w:rPr>
        <w:t>Monitoring</w:t>
      </w:r>
    </w:p>
    <w:p w14:paraId="5AF31D61" w14:textId="0BA2D74D" w:rsidR="000D5769" w:rsidRPr="00A54361" w:rsidRDefault="000D5769" w:rsidP="00A54361">
      <w:pPr>
        <w:spacing w:before="120" w:after="120"/>
        <w:jc w:val="both"/>
        <w:rPr>
          <w:rFonts w:cstheme="minorHAnsi"/>
        </w:rPr>
      </w:pPr>
      <w:r w:rsidRPr="00A54361">
        <w:rPr>
          <w:rFonts w:cstheme="minorHAnsi"/>
        </w:rPr>
        <w:t xml:space="preserve">Compliance with Information security best practices may be monitored by periodic Information security audits performed by or on behalf of the Bank and by the RBI. The periodicity of these audits will be decided at the discretion of the Bank. These audits may include, but are not limited to, a review of: access and authorization procedures, physical security controls, backup and recovery procedures, network security controls and program change controls. To the extent that the Bank deems it necessary to carry out a program of inspection and audit to safeguard against threats and hazards to the confidentiality, integrity, and availability of data, the Service Provider shall afford the Bank’s representatives access to the Bidder’s facilities, installations, technical resources, operations, documentation, records, databases and personnel. The Bidder must provide the Bank access to various monitoring and performance measurement systems (both manual and automated). The Bank has the right to get the monitoring and performance measurement systems (both manual and automated) audited </w:t>
      </w:r>
      <w:r w:rsidR="00EF51F3" w:rsidRPr="00A54361">
        <w:rPr>
          <w:rFonts w:cstheme="minorHAnsi"/>
        </w:rPr>
        <w:t>by</w:t>
      </w:r>
      <w:r w:rsidRPr="00A54361">
        <w:rPr>
          <w:rFonts w:cstheme="minorHAnsi"/>
        </w:rPr>
        <w:t xml:space="preserve"> prior notice to the Bidder.</w:t>
      </w:r>
    </w:p>
    <w:p w14:paraId="69B62466" w14:textId="47941353" w:rsidR="000D5769" w:rsidRPr="00A54361" w:rsidRDefault="000D5769" w:rsidP="00A54361">
      <w:pPr>
        <w:spacing w:before="120" w:after="120"/>
        <w:jc w:val="both"/>
        <w:rPr>
          <w:rFonts w:cstheme="minorHAnsi"/>
          <w:b/>
          <w:bCs/>
        </w:rPr>
      </w:pPr>
      <w:r w:rsidRPr="00A54361">
        <w:rPr>
          <w:rFonts w:cstheme="minorHAnsi"/>
          <w:b/>
          <w:bCs/>
        </w:rPr>
        <w:t>Visitations</w:t>
      </w:r>
    </w:p>
    <w:p w14:paraId="16B64467" w14:textId="77035258" w:rsidR="000D5769" w:rsidRPr="00A54361" w:rsidRDefault="000D5769" w:rsidP="00A54361">
      <w:pPr>
        <w:spacing w:before="120" w:after="120"/>
        <w:jc w:val="both"/>
        <w:rPr>
          <w:rFonts w:cstheme="minorHAnsi"/>
        </w:rPr>
      </w:pPr>
      <w:r w:rsidRPr="00A54361">
        <w:rPr>
          <w:rFonts w:cstheme="minorHAnsi"/>
        </w:rPr>
        <w:t xml:space="preserve">The Bank shall be entitled to, either by itself or its authorized representative, visit any of the Bidder’s premises </w:t>
      </w:r>
      <w:r w:rsidR="00EF51F3" w:rsidRPr="00A54361">
        <w:rPr>
          <w:rFonts w:cstheme="minorHAnsi"/>
        </w:rPr>
        <w:t>by</w:t>
      </w:r>
      <w:r w:rsidRPr="00A54361">
        <w:rPr>
          <w:rFonts w:cstheme="minorHAnsi"/>
        </w:rPr>
        <w:t xml:space="preserve"> prior notice to ensure that data provided by the Bank is not misused.</w:t>
      </w:r>
    </w:p>
    <w:p w14:paraId="5719F5DF" w14:textId="1DE3E09D" w:rsidR="000D5769" w:rsidRPr="00A54361" w:rsidRDefault="000D5769" w:rsidP="00A54361">
      <w:pPr>
        <w:spacing w:before="120" w:after="120"/>
        <w:jc w:val="both"/>
        <w:rPr>
          <w:rFonts w:cstheme="minorHAnsi"/>
        </w:rPr>
      </w:pPr>
      <w:r w:rsidRPr="00A54361">
        <w:rPr>
          <w:rFonts w:cstheme="minorHAnsi"/>
        </w:rPr>
        <w:t>The Bidder shall cooperate with the authorized representative(s) of the Bank and shall provide all information/ documents\required by the Bank.</w:t>
      </w:r>
    </w:p>
    <w:p w14:paraId="4A2C9E12" w14:textId="3F5C6A22" w:rsidR="000D5769" w:rsidRPr="00A54361" w:rsidRDefault="000D5769" w:rsidP="00A54361">
      <w:pPr>
        <w:pStyle w:val="Heading1"/>
        <w:numPr>
          <w:ilvl w:val="0"/>
          <w:numId w:val="48"/>
        </w:numPr>
        <w:jc w:val="both"/>
        <w:rPr>
          <w:rFonts w:asciiTheme="minorHAnsi" w:hAnsiTheme="minorHAnsi" w:cstheme="minorHAnsi"/>
          <w:color w:val="auto"/>
        </w:rPr>
      </w:pPr>
      <w:bookmarkStart w:id="221" w:name="_Toc129668511"/>
      <w:bookmarkStart w:id="222" w:name="_Toc182233388"/>
      <w:r w:rsidRPr="00A54361">
        <w:rPr>
          <w:rFonts w:asciiTheme="minorHAnsi" w:hAnsiTheme="minorHAnsi" w:cstheme="minorHAnsi"/>
          <w:color w:val="auto"/>
        </w:rPr>
        <w:t>Information Security</w:t>
      </w:r>
      <w:bookmarkEnd w:id="221"/>
      <w:bookmarkEnd w:id="222"/>
    </w:p>
    <w:p w14:paraId="6E9F00B2" w14:textId="6B180471" w:rsidR="000D5769" w:rsidRPr="00A54361" w:rsidRDefault="000D5769" w:rsidP="00A54361">
      <w:pPr>
        <w:spacing w:before="120" w:after="120"/>
        <w:jc w:val="both"/>
        <w:rPr>
          <w:rFonts w:cstheme="minorHAnsi"/>
        </w:rPr>
      </w:pPr>
      <w:r w:rsidRPr="00A54361">
        <w:rPr>
          <w:rFonts w:cstheme="minorHAnsi"/>
        </w:rPr>
        <w:t xml:space="preserve">System should have standard input, communication, processing and output validations and controls. System hardening should be done by </w:t>
      </w:r>
      <w:r w:rsidR="00C36DE9" w:rsidRPr="00A54361">
        <w:rPr>
          <w:rFonts w:cstheme="minorHAnsi"/>
        </w:rPr>
        <w:t>bidder</w:t>
      </w:r>
      <w:r w:rsidRPr="00A54361">
        <w:rPr>
          <w:rFonts w:cstheme="minorHAnsi"/>
        </w:rPr>
        <w:t xml:space="preserve">. Access controls at DB, OS, and Application levels should be ensured. </w:t>
      </w:r>
      <w:r w:rsidR="00C36DE9" w:rsidRPr="00A54361">
        <w:rPr>
          <w:rFonts w:cstheme="minorHAnsi"/>
        </w:rPr>
        <w:t>Bidder</w:t>
      </w:r>
      <w:r w:rsidRPr="00A54361">
        <w:rPr>
          <w:rFonts w:cstheme="minorHAnsi"/>
        </w:rPr>
        <w:t xml:space="preserve"> should comply with the Information Security Policy of the Bank. The Product offered should comply with regulator’s guidelines. The </w:t>
      </w:r>
      <w:r w:rsidR="00C36DE9" w:rsidRPr="00A54361">
        <w:rPr>
          <w:rFonts w:cstheme="minorHAnsi"/>
        </w:rPr>
        <w:t>bidder</w:t>
      </w:r>
      <w:r w:rsidRPr="00A54361">
        <w:rPr>
          <w:rFonts w:cstheme="minorHAnsi"/>
        </w:rPr>
        <w:t xml:space="preserve"> shall disclose security breaches if any to the Bank, without any delay.</w:t>
      </w:r>
      <w:r w:rsidR="005703E3" w:rsidRPr="00A54361">
        <w:rPr>
          <w:rFonts w:cstheme="minorHAnsi"/>
        </w:rPr>
        <w:t xml:space="preserve"> </w:t>
      </w:r>
    </w:p>
    <w:p w14:paraId="11207377" w14:textId="2AA3E9FC" w:rsidR="000D5769" w:rsidRPr="00A54361" w:rsidRDefault="000D5769" w:rsidP="00A54361">
      <w:pPr>
        <w:pStyle w:val="Heading1"/>
        <w:numPr>
          <w:ilvl w:val="0"/>
          <w:numId w:val="48"/>
        </w:numPr>
        <w:jc w:val="both"/>
        <w:rPr>
          <w:rFonts w:asciiTheme="minorHAnsi" w:hAnsiTheme="minorHAnsi" w:cstheme="minorHAnsi"/>
          <w:color w:val="auto"/>
        </w:rPr>
      </w:pPr>
      <w:bookmarkStart w:id="223" w:name="_Toc129668512"/>
      <w:bookmarkStart w:id="224" w:name="_Toc182233389"/>
      <w:r w:rsidRPr="00A54361">
        <w:rPr>
          <w:rFonts w:asciiTheme="minorHAnsi" w:hAnsiTheme="minorHAnsi" w:cstheme="minorHAnsi"/>
          <w:color w:val="auto"/>
        </w:rPr>
        <w:lastRenderedPageBreak/>
        <w:t>Intellectual Property Rights</w:t>
      </w:r>
      <w:bookmarkEnd w:id="223"/>
      <w:bookmarkEnd w:id="224"/>
    </w:p>
    <w:p w14:paraId="70E5199A" w14:textId="7565F77F" w:rsidR="000D5769" w:rsidRPr="00A54361" w:rsidRDefault="000D5769" w:rsidP="00A54361">
      <w:pPr>
        <w:spacing w:before="120" w:after="120"/>
        <w:jc w:val="both"/>
        <w:rPr>
          <w:rFonts w:cstheme="minorHAnsi"/>
        </w:rPr>
      </w:pPr>
      <w:r w:rsidRPr="00A54361">
        <w:rPr>
          <w:rFonts w:cstheme="minorHAnsi"/>
        </w:rPr>
        <w:t>The Bidder claims and represents that it has obtained appropriate rights to provide the Deliverables upon the terms and conditions contained in this RFP. The Bank agrees and acknowledges that same as expressly provided in this RFP, all Intellectual Property Rights in relation to the Hardware, Software and Documentation and any adaptations, translations and derivative works thereof whether protectable as a copyright, trade mark, patent, trade secret design or otherwise, provided by the Bidder during, in connection with or in relation to fulfilling its obligations under this RFP belong to and shall remain a property of the Bidder or its licensor. During the Term of this Project and, if applicable, during the Reverse Transition Period, Bank grants Bidder a right to use at no cost or charge the Hardware and Software licensed to the Bank, solely for the purpose of providing the Services. The Bidder shall be responsible for obtaining all necessary authorizations and consents from third party licensors of Hardware and Software used by Bidder in performing its obligations under this Project. If a third party’s claim endangers or disrupts the Bank’s use of the Hardware and Software, the Bidder shall at no further expense, charge, fees or costs to the Bank, (i) obtain a license so that the Bank may continue use of the Software in accordance with the terms of this tender and subsequent Agreement and the license agreement; or (ii) modify the Software without affecting the functionality of the Software in any manner so as to avoid the infringement; or (iii) replace the Software with a compatible, functionally equivalent and non-infringing product. All third party Hardware/software / service/s provided by the bidder in the scope of the RFP will be the responsibility of the bidder if any discrepancy or infringement is encountered. The Bank shall not be held liable for and is absolved of any responsibility or claim/Litigation or penal liability arising out of the use of any third party software or modules supplied by the Bidder as part of this Project.</w:t>
      </w:r>
    </w:p>
    <w:p w14:paraId="705D2022" w14:textId="4DC8B923" w:rsidR="006E5658" w:rsidRPr="00A54361" w:rsidRDefault="00FF06BD" w:rsidP="00A54361">
      <w:pPr>
        <w:spacing w:before="120"/>
        <w:jc w:val="both"/>
        <w:rPr>
          <w:rFonts w:cstheme="minorHAnsi"/>
        </w:rPr>
      </w:pPr>
      <w:r w:rsidRPr="00A54361">
        <w:rPr>
          <w:rFonts w:cstheme="minorHAnsi"/>
          <w:b/>
          <w:bCs/>
        </w:rPr>
        <w:t>Bidder’s</w:t>
      </w:r>
      <w:r w:rsidR="006E5658" w:rsidRPr="00A54361">
        <w:rPr>
          <w:rFonts w:cstheme="minorHAnsi"/>
          <w:b/>
          <w:bCs/>
        </w:rPr>
        <w:t xml:space="preserve"> Proprietary Software and Pre-Existing IP:-</w:t>
      </w:r>
      <w:r w:rsidR="006E5658" w:rsidRPr="00A54361">
        <w:rPr>
          <w:rFonts w:cstheme="minorHAnsi"/>
        </w:rPr>
        <w:t xml:space="preserve">  Bank acknowledges and agrees that this is a professional services agreement and this agreement is not intended to be used for licensing of any Bidder ’s  proprietary software or tools.  If Bidder and Bank mutually agree that the Bidder provides to Bank any proprietary software or tools of Bidder or of a third party, the parties shall negotiate and set forth the applicable terms and conditions in a separate license agreement and the provisions of this Clause shall not apply to any deliverables related to customization or implementation of any such proprietary software or products of Bidder or of a third party.  Further, Bank acknowledges that in performing Services under this Agreement Bidder  may use Bidder ’s proprietary materials including without limitation any software (or any part or component thereof), tools, methodology, processes, ideas, know-how and technology that are or were developed or owned by Bidder  prior to or independent of the Services performed hereunder or any improvements, enhancements, modifications or customization made thereto as part of or in the course of performing the Services hereunder, (“Bidder  Pre-Existing IP”).  Notwithstanding anything to the contrary contained in this Agreement, Bidder shall continue to retain all the ownership, the rights title and interests to all Bidder Pre-Existing IP and nothing contained herein shall be construed as preventing or restricting </w:t>
      </w:r>
      <w:r w:rsidRPr="00A54361">
        <w:rPr>
          <w:rFonts w:cstheme="minorHAnsi"/>
        </w:rPr>
        <w:t>Bidder from</w:t>
      </w:r>
      <w:r w:rsidR="006E5658" w:rsidRPr="00A54361">
        <w:rPr>
          <w:rFonts w:cstheme="minorHAnsi"/>
        </w:rPr>
        <w:t xml:space="preserve"> using Bidder Pre-Existing IP in any manner.  To the extent that any Bidder  Pre-Existing IP or a portion thereof is incorporated or contained in a deliverable under this Agreement, Bidder hereby grants to Banka non-exclusive, perpetual, royalty free, fully paid up, irrevocable license, with the right to sublicense through multiple tiers, to use, copy, install, perform, display, modify and create derivative works of any such Bidder  Pre-Existing IP in connection with the deliverables and only as part of the Deliverables in which they are incorporated or embedded.  The foregoing license does not authorizes Bank to (a) separate Bidder Pre-Existing IP from the deliverable in which they are incorporated for creating a stand-alone product for marketing to others; (b) independently sell, lease, </w:t>
      </w:r>
      <w:r w:rsidR="006E5658" w:rsidRPr="00A54361">
        <w:rPr>
          <w:rFonts w:cstheme="minorHAnsi"/>
        </w:rPr>
        <w:lastRenderedPageBreak/>
        <w:t>exchange, mortgage, pledge, license, sub license, assign or in any other way convey, transfer or alienate the Bidder  Pre-Existing IP in favour of any person (either for commercial consideration or not (including by way of transmission), and/or (c) except as specifically and to the extent permitted by the Bidder in the relevant Statement of Work, reverse compile or in any other way arrive at or attempt to arrive at the source code of the Bidder  Pre-Existing IP.</w:t>
      </w:r>
    </w:p>
    <w:p w14:paraId="63D4A8D0" w14:textId="40A233BE" w:rsidR="006E5658" w:rsidRPr="00A54361" w:rsidRDefault="006E5658" w:rsidP="00A54361">
      <w:pPr>
        <w:spacing w:after="0" w:line="240" w:lineRule="auto"/>
        <w:jc w:val="both"/>
        <w:rPr>
          <w:rFonts w:cstheme="minorHAnsi"/>
        </w:rPr>
      </w:pPr>
      <w:r w:rsidRPr="00A54361">
        <w:rPr>
          <w:rFonts w:cstheme="minorHAnsi"/>
        </w:rPr>
        <w:t>Residuary Rights.  Each Party shall be entitled to use in the normal course of its business and in providing same or similar services or development of similar deliverables for its other clients, the general knowledge and experience gained and retained in the unaided human memory of its personnel in the performance of this Agreement and Statement of Work(s) hereunder.   For the purposes of clarity the Bidder shall be free to provide any services or design any deliverable(s) that perform functions same or similar to the deliverables being provided hereunder for the Client, for any other customer of the Bidder (including without limitation any affiliate, competitor or potential competitor of the Bank. Nothing contained in this Clause shall relieve either party of its confidentiality obligations with respect to the proprietary and confidential information or material of the other party</w:t>
      </w:r>
    </w:p>
    <w:p w14:paraId="60D0DD2B" w14:textId="4F453E08" w:rsidR="0018538E" w:rsidRPr="00A54361" w:rsidRDefault="0018538E" w:rsidP="00A54361">
      <w:pPr>
        <w:pStyle w:val="Heading1"/>
        <w:numPr>
          <w:ilvl w:val="0"/>
          <w:numId w:val="48"/>
        </w:numPr>
        <w:jc w:val="both"/>
        <w:rPr>
          <w:rFonts w:asciiTheme="minorHAnsi" w:hAnsiTheme="minorHAnsi" w:cstheme="minorHAnsi"/>
          <w:color w:val="auto"/>
        </w:rPr>
      </w:pPr>
      <w:bookmarkStart w:id="225" w:name="_Toc129668513"/>
      <w:bookmarkStart w:id="226" w:name="_Toc182233390"/>
      <w:r w:rsidRPr="00A54361">
        <w:rPr>
          <w:rFonts w:asciiTheme="minorHAnsi" w:hAnsiTheme="minorHAnsi" w:cstheme="minorHAnsi"/>
          <w:color w:val="auto"/>
        </w:rPr>
        <w:t>Termination</w:t>
      </w:r>
      <w:bookmarkEnd w:id="225"/>
      <w:bookmarkEnd w:id="226"/>
    </w:p>
    <w:p w14:paraId="185E020C" w14:textId="3FD1917E" w:rsidR="0018538E" w:rsidRPr="00A54361" w:rsidRDefault="0018538E" w:rsidP="00A54361">
      <w:pPr>
        <w:spacing w:before="120" w:after="120"/>
        <w:jc w:val="both"/>
        <w:rPr>
          <w:rFonts w:cstheme="minorHAnsi"/>
          <w:b/>
          <w:bCs/>
        </w:rPr>
      </w:pPr>
      <w:r w:rsidRPr="00A54361">
        <w:rPr>
          <w:rFonts w:cstheme="minorHAnsi"/>
          <w:b/>
          <w:bCs/>
        </w:rPr>
        <w:t>Termination for Default</w:t>
      </w:r>
    </w:p>
    <w:p w14:paraId="12849071" w14:textId="77777777" w:rsidR="00C53E0B" w:rsidRPr="00A54361" w:rsidRDefault="00C53E0B" w:rsidP="00A54361">
      <w:pPr>
        <w:jc w:val="both"/>
        <w:rPr>
          <w:rFonts w:cstheme="minorHAnsi"/>
        </w:rPr>
      </w:pPr>
      <w:r w:rsidRPr="00A54361">
        <w:rPr>
          <w:rFonts w:cstheme="minorHAnsi"/>
        </w:rPr>
        <w:t xml:space="preserve">The Bank, without prejudice to any other remedy for breach of contract, by 30 (Thirty) days written notice of default sent to the Successful Bidder, may terminate this Contract in whole or in part: </w:t>
      </w:r>
    </w:p>
    <w:p w14:paraId="02A604D0" w14:textId="77777777" w:rsidR="00C53E0B" w:rsidRPr="00A54361" w:rsidRDefault="00C53E0B" w:rsidP="00A54361">
      <w:pPr>
        <w:pStyle w:val="Default"/>
        <w:spacing w:after="120"/>
        <w:jc w:val="both"/>
        <w:rPr>
          <w:rFonts w:asciiTheme="minorHAnsi" w:hAnsiTheme="minorHAnsi" w:cstheme="minorHAnsi"/>
          <w:color w:val="auto"/>
          <w:sz w:val="22"/>
          <w:szCs w:val="22"/>
        </w:rPr>
      </w:pPr>
      <w:r w:rsidRPr="00A54361">
        <w:rPr>
          <w:rFonts w:asciiTheme="minorHAnsi" w:hAnsiTheme="minorHAnsi" w:cstheme="minorHAnsi"/>
          <w:color w:val="auto"/>
          <w:sz w:val="22"/>
          <w:szCs w:val="22"/>
        </w:rPr>
        <w:t xml:space="preserve">a. if the Successful Bidder fails to deliver any or all of the deliverables / milestones within the period(s) specified in the Contract, or within any extension thereof granted by the Bank provided the failure is for the reasons which are solely and entirely attributable to the Bidder and not due to reasons attributable to Bank and/or its other vendors or due to reasons of Force Majeure; or; </w:t>
      </w:r>
    </w:p>
    <w:p w14:paraId="36135729" w14:textId="77777777" w:rsidR="00C53E0B" w:rsidRPr="00A54361" w:rsidRDefault="00C53E0B" w:rsidP="00A54361">
      <w:pPr>
        <w:pStyle w:val="Default"/>
        <w:spacing w:after="120"/>
        <w:jc w:val="both"/>
        <w:rPr>
          <w:rFonts w:asciiTheme="minorHAnsi" w:hAnsiTheme="minorHAnsi" w:cstheme="minorHAnsi"/>
          <w:color w:val="auto"/>
          <w:sz w:val="22"/>
          <w:szCs w:val="22"/>
        </w:rPr>
      </w:pPr>
      <w:r w:rsidRPr="00A54361">
        <w:rPr>
          <w:rFonts w:asciiTheme="minorHAnsi" w:hAnsiTheme="minorHAnsi" w:cstheme="minorHAnsi"/>
          <w:color w:val="auto"/>
          <w:sz w:val="22"/>
          <w:szCs w:val="22"/>
        </w:rPr>
        <w:t xml:space="preserve">b. If the Successful Bidder fails to perform any other material obligation(s) under the contract provided the failure is for the reasons which are solely and entirely attributable to the Bidder and not due to reasons attributable to Bank and/or its other vendors or due to reasons of Force Majeure. </w:t>
      </w:r>
    </w:p>
    <w:p w14:paraId="1F039132" w14:textId="77777777" w:rsidR="00C53E0B" w:rsidRPr="00A54361" w:rsidRDefault="00C53E0B" w:rsidP="00A54361">
      <w:pPr>
        <w:pStyle w:val="Default"/>
        <w:spacing w:after="120"/>
        <w:jc w:val="both"/>
        <w:rPr>
          <w:rFonts w:asciiTheme="minorHAnsi" w:hAnsiTheme="minorHAnsi" w:cstheme="minorHAnsi"/>
          <w:color w:val="auto"/>
          <w:sz w:val="22"/>
          <w:szCs w:val="22"/>
        </w:rPr>
      </w:pPr>
      <w:r w:rsidRPr="00A54361">
        <w:rPr>
          <w:rFonts w:asciiTheme="minorHAnsi" w:hAnsiTheme="minorHAnsi" w:cstheme="minorHAnsi"/>
          <w:color w:val="auto"/>
          <w:sz w:val="22"/>
          <w:szCs w:val="22"/>
        </w:rPr>
        <w:t>c. If the Successful Bidder, in the judgment of the Bank has engaged in corrupt or fraudulent practices in competing for or in executing the Contract.</w:t>
      </w:r>
    </w:p>
    <w:p w14:paraId="66E5F8B6" w14:textId="77777777" w:rsidR="00C53E0B" w:rsidRPr="00A54361" w:rsidRDefault="00C53E0B" w:rsidP="00A54361">
      <w:pPr>
        <w:autoSpaceDE w:val="0"/>
        <w:autoSpaceDN w:val="0"/>
        <w:adjustRightInd w:val="0"/>
        <w:spacing w:after="120"/>
        <w:jc w:val="both"/>
        <w:rPr>
          <w:rFonts w:cstheme="minorHAnsi"/>
        </w:rPr>
      </w:pPr>
      <w:r w:rsidRPr="00A54361">
        <w:rPr>
          <w:rFonts w:cstheme="minorHAnsi"/>
        </w:rPr>
        <w:t>Prior to providing a written notice of termination to the Selected Bidder, Bank shall provide the selected bidder with a written notice of 30 days to cure any breach of the Contract. The decision to terminate the contract shall be taken only if the breach continues or remains unrectified, for reasons within the control of Bidder, even after the expiry of the cure period.</w:t>
      </w:r>
    </w:p>
    <w:p w14:paraId="0DC36198" w14:textId="77777777" w:rsidR="00C53E0B" w:rsidRPr="00A54361" w:rsidRDefault="00C53E0B" w:rsidP="00A54361">
      <w:pPr>
        <w:autoSpaceDE w:val="0"/>
        <w:autoSpaceDN w:val="0"/>
        <w:adjustRightInd w:val="0"/>
        <w:spacing w:after="120"/>
        <w:jc w:val="both"/>
        <w:rPr>
          <w:rFonts w:cstheme="minorHAnsi"/>
        </w:rPr>
      </w:pPr>
      <w:r w:rsidRPr="00A54361">
        <w:rPr>
          <w:rFonts w:cstheme="minorHAnsi"/>
        </w:rPr>
        <w:t>In case the contract is terminated then all undisputed payment for the services delivered till the date of termination will be given to vendor, but disputed payment shall be discussed and will be paid once the dispute is resolved.</w:t>
      </w:r>
    </w:p>
    <w:p w14:paraId="1B83BB5E" w14:textId="77777777" w:rsidR="00C53E0B" w:rsidRPr="00A54361" w:rsidRDefault="00C53E0B" w:rsidP="00A54361">
      <w:pPr>
        <w:spacing w:before="120" w:after="120"/>
        <w:jc w:val="both"/>
        <w:rPr>
          <w:rFonts w:cstheme="minorHAnsi"/>
          <w:b/>
          <w:bCs/>
        </w:rPr>
      </w:pPr>
      <w:r w:rsidRPr="00A54361">
        <w:rPr>
          <w:rFonts w:cstheme="minorHAnsi"/>
          <w:b/>
          <w:bCs/>
        </w:rPr>
        <w:t>Termination for Insolvency</w:t>
      </w:r>
    </w:p>
    <w:p w14:paraId="27B7D300" w14:textId="77777777" w:rsidR="00C53E0B" w:rsidRPr="00A54361" w:rsidRDefault="00C53E0B" w:rsidP="00A54361">
      <w:pPr>
        <w:autoSpaceDE w:val="0"/>
        <w:autoSpaceDN w:val="0"/>
        <w:adjustRightInd w:val="0"/>
        <w:jc w:val="both"/>
        <w:rPr>
          <w:rFonts w:cstheme="minorHAnsi"/>
        </w:rPr>
      </w:pPr>
      <w:r w:rsidRPr="00A54361">
        <w:rPr>
          <w:rFonts w:cstheme="minorHAnsi"/>
        </w:rPr>
        <w:t xml:space="preserve">If  either party becomes bankrupt or insolvent, has a receiving order issued against it, with its creditors, or, a resolution is passed or order is made for its winding up (other than a voluntary liquidation for the purposes of amalgamation or reconstruction), a receiver is appointed over any part of its undertaking or assets, or if either party takes or suffers any other analogous action in consequence of debt; then other party plans to, at any time, terminate the contract by giving written notice of 60 days to the party becoming bankrupt etc. If the contract is terminated by either party in terms of this </w:t>
      </w:r>
      <w:r w:rsidRPr="00A54361">
        <w:rPr>
          <w:rFonts w:cstheme="minorHAnsi"/>
        </w:rPr>
        <w:lastRenderedPageBreak/>
        <w:t>Clause, Bank shall be liable to make payment of the entire amount due under the contract for which services have been rendered by the Selected Bidder.</w:t>
      </w:r>
    </w:p>
    <w:p w14:paraId="52267646" w14:textId="77777777" w:rsidR="00C53E0B" w:rsidRPr="00A54361" w:rsidRDefault="00C53E0B" w:rsidP="00A54361">
      <w:pPr>
        <w:spacing w:before="120" w:after="120"/>
        <w:jc w:val="both"/>
        <w:rPr>
          <w:rFonts w:cstheme="minorHAnsi"/>
          <w:b/>
          <w:bCs/>
        </w:rPr>
      </w:pPr>
      <w:r w:rsidRPr="00A54361">
        <w:rPr>
          <w:rFonts w:cstheme="minorHAnsi"/>
          <w:b/>
          <w:bCs/>
        </w:rPr>
        <w:t>Termination- Key Terms &amp; Conditions</w:t>
      </w:r>
    </w:p>
    <w:p w14:paraId="7E8CEE70" w14:textId="4053F360" w:rsidR="00CC0A2B" w:rsidRPr="00A54361" w:rsidRDefault="00CC0A2B" w:rsidP="00A54361">
      <w:pPr>
        <w:autoSpaceDE w:val="0"/>
        <w:autoSpaceDN w:val="0"/>
        <w:adjustRightInd w:val="0"/>
        <w:jc w:val="both"/>
        <w:rPr>
          <w:rFonts w:cstheme="minorHAnsi"/>
        </w:rPr>
      </w:pPr>
      <w:r w:rsidRPr="00A54361">
        <w:rPr>
          <w:rFonts w:cstheme="minorHAnsi"/>
        </w:rPr>
        <w:t xml:space="preserve">Notwithstanding anything contain in this RFP, the Bank shall entitled to terminate the agreement with the service provider without assigning any reason at any time by giving 30 days prior written notice to the </w:t>
      </w:r>
      <w:r w:rsidR="00B73D67" w:rsidRPr="00A54361">
        <w:rPr>
          <w:rFonts w:cstheme="minorHAnsi"/>
        </w:rPr>
        <w:t xml:space="preserve">successful bidder </w:t>
      </w:r>
      <w:r w:rsidRPr="00A54361">
        <w:rPr>
          <w:rFonts w:cstheme="minorHAnsi"/>
        </w:rPr>
        <w:t>. Bidder shall have to comply the same.</w:t>
      </w:r>
    </w:p>
    <w:p w14:paraId="59CF1E19" w14:textId="77777777" w:rsidR="00C53E0B" w:rsidRPr="00A54361" w:rsidRDefault="00C53E0B" w:rsidP="00A54361">
      <w:pPr>
        <w:autoSpaceDE w:val="0"/>
        <w:autoSpaceDN w:val="0"/>
        <w:adjustRightInd w:val="0"/>
        <w:jc w:val="both"/>
        <w:rPr>
          <w:rFonts w:cstheme="minorHAnsi"/>
        </w:rPr>
      </w:pPr>
      <w:r w:rsidRPr="00A54361">
        <w:rPr>
          <w:rFonts w:cstheme="minorHAnsi"/>
        </w:rPr>
        <w:t xml:space="preserve">Either Party shall also be entitled to terminate the agreement at any time by giving notice if the other party. </w:t>
      </w:r>
    </w:p>
    <w:p w14:paraId="79C28B35" w14:textId="77777777" w:rsidR="00C53E0B" w:rsidRPr="00A54361" w:rsidRDefault="00C53E0B" w:rsidP="00A54361">
      <w:pPr>
        <w:pStyle w:val="ListParagraph"/>
        <w:numPr>
          <w:ilvl w:val="0"/>
          <w:numId w:val="28"/>
        </w:numPr>
        <w:autoSpaceDE w:val="0"/>
        <w:autoSpaceDN w:val="0"/>
        <w:adjustRightInd w:val="0"/>
        <w:spacing w:after="10"/>
        <w:jc w:val="both"/>
        <w:rPr>
          <w:rFonts w:cstheme="minorHAnsi"/>
        </w:rPr>
      </w:pPr>
      <w:r w:rsidRPr="00A54361">
        <w:rPr>
          <w:rFonts w:cstheme="minorHAnsi"/>
        </w:rPr>
        <w:t xml:space="preserve">has a winding up order made against it; or </w:t>
      </w:r>
    </w:p>
    <w:p w14:paraId="37636033" w14:textId="77777777" w:rsidR="00C53E0B" w:rsidRPr="00A54361" w:rsidRDefault="00C53E0B" w:rsidP="00A54361">
      <w:pPr>
        <w:pStyle w:val="ListParagraph"/>
        <w:numPr>
          <w:ilvl w:val="0"/>
          <w:numId w:val="28"/>
        </w:numPr>
        <w:autoSpaceDE w:val="0"/>
        <w:autoSpaceDN w:val="0"/>
        <w:adjustRightInd w:val="0"/>
        <w:spacing w:after="10"/>
        <w:jc w:val="both"/>
        <w:rPr>
          <w:rFonts w:cstheme="minorHAnsi"/>
        </w:rPr>
      </w:pPr>
      <w:r w:rsidRPr="00A54361">
        <w:rPr>
          <w:rFonts w:cstheme="minorHAnsi"/>
        </w:rPr>
        <w:t xml:space="preserve">has a receiver appointed over all or substantial assets; or </w:t>
      </w:r>
    </w:p>
    <w:p w14:paraId="7A6E4663" w14:textId="77777777" w:rsidR="00C53E0B" w:rsidRPr="00A54361" w:rsidRDefault="00C53E0B" w:rsidP="00A54361">
      <w:pPr>
        <w:pStyle w:val="ListParagraph"/>
        <w:numPr>
          <w:ilvl w:val="0"/>
          <w:numId w:val="28"/>
        </w:numPr>
        <w:autoSpaceDE w:val="0"/>
        <w:autoSpaceDN w:val="0"/>
        <w:adjustRightInd w:val="0"/>
        <w:spacing w:after="10"/>
        <w:jc w:val="both"/>
        <w:rPr>
          <w:rFonts w:cstheme="minorHAnsi"/>
        </w:rPr>
      </w:pPr>
      <w:r w:rsidRPr="00A54361">
        <w:rPr>
          <w:rFonts w:cstheme="minorHAnsi"/>
        </w:rPr>
        <w:t xml:space="preserve">is or becomes unable to pay its debts as they become due; or </w:t>
      </w:r>
    </w:p>
    <w:p w14:paraId="738F3734" w14:textId="77777777" w:rsidR="00C53E0B" w:rsidRPr="00A54361" w:rsidRDefault="00C53E0B" w:rsidP="00A54361">
      <w:pPr>
        <w:pStyle w:val="ListParagraph"/>
        <w:numPr>
          <w:ilvl w:val="0"/>
          <w:numId w:val="28"/>
        </w:numPr>
        <w:autoSpaceDE w:val="0"/>
        <w:autoSpaceDN w:val="0"/>
        <w:adjustRightInd w:val="0"/>
        <w:spacing w:after="10"/>
        <w:jc w:val="both"/>
        <w:rPr>
          <w:rFonts w:cstheme="minorHAnsi"/>
        </w:rPr>
      </w:pPr>
      <w:r w:rsidRPr="00A54361">
        <w:rPr>
          <w:rFonts w:cstheme="minorHAnsi"/>
        </w:rPr>
        <w:t xml:space="preserve">enters into any arrangement or composition with or for the benefit of its creditors; or </w:t>
      </w:r>
    </w:p>
    <w:p w14:paraId="65C7689C" w14:textId="3B7D2014" w:rsidR="00C53E0B" w:rsidRPr="00A54361" w:rsidRDefault="00C53E0B" w:rsidP="00A54361">
      <w:pPr>
        <w:pStyle w:val="ListParagraph"/>
        <w:numPr>
          <w:ilvl w:val="0"/>
          <w:numId w:val="28"/>
        </w:numPr>
        <w:autoSpaceDE w:val="0"/>
        <w:autoSpaceDN w:val="0"/>
        <w:adjustRightInd w:val="0"/>
        <w:jc w:val="both"/>
        <w:rPr>
          <w:rFonts w:cstheme="minorHAnsi"/>
        </w:rPr>
      </w:pPr>
      <w:r w:rsidRPr="00A54361">
        <w:rPr>
          <w:rFonts w:cstheme="minorHAnsi"/>
        </w:rPr>
        <w:t xml:space="preserve">Passes a resolution for its voluntary winding up or dissolution or if it is dissolved. </w:t>
      </w:r>
    </w:p>
    <w:p w14:paraId="7F3B2119" w14:textId="5706C3B6" w:rsidR="00BD5D08" w:rsidRPr="00A54361" w:rsidRDefault="00BD5D08" w:rsidP="00A54361">
      <w:pPr>
        <w:spacing w:before="120" w:after="120"/>
        <w:jc w:val="both"/>
        <w:rPr>
          <w:rFonts w:cstheme="minorHAnsi"/>
          <w:b/>
          <w:bCs/>
        </w:rPr>
      </w:pPr>
      <w:r w:rsidRPr="00A54361">
        <w:rPr>
          <w:rFonts w:cstheme="minorHAnsi"/>
          <w:b/>
          <w:bCs/>
        </w:rPr>
        <w:t>Exit Option &amp; Contract Re-Negotiation</w:t>
      </w:r>
    </w:p>
    <w:p w14:paraId="398F0A83" w14:textId="0136318C" w:rsidR="00BD5D08" w:rsidRPr="00A54361" w:rsidRDefault="00BD5D08" w:rsidP="00A54361">
      <w:pPr>
        <w:spacing w:before="120" w:after="120"/>
        <w:jc w:val="both"/>
        <w:rPr>
          <w:rFonts w:cstheme="minorHAnsi"/>
        </w:rPr>
      </w:pPr>
      <w:r w:rsidRPr="00A54361">
        <w:rPr>
          <w:rFonts w:cstheme="minorHAnsi"/>
        </w:rPr>
        <w:t>The Bank reserves the right to cancel the contract in the event of happening one or more of the following Conditions:</w:t>
      </w:r>
    </w:p>
    <w:p w14:paraId="3B8DEEB4" w14:textId="18143CAB" w:rsidR="00BD5D08" w:rsidRPr="00A54361" w:rsidRDefault="00BD5D08" w:rsidP="00A54361">
      <w:pPr>
        <w:pStyle w:val="ListParagraph"/>
        <w:numPr>
          <w:ilvl w:val="0"/>
          <w:numId w:val="20"/>
        </w:numPr>
        <w:spacing w:before="120" w:after="120"/>
        <w:jc w:val="both"/>
        <w:rPr>
          <w:rFonts w:cstheme="minorHAnsi"/>
        </w:rPr>
      </w:pPr>
      <w:r w:rsidRPr="00A54361">
        <w:rPr>
          <w:rFonts w:cstheme="minorHAnsi"/>
        </w:rPr>
        <w:t xml:space="preserve">Failure of the successful bidder to accept the contract and furnish the Performance Guarantee within </w:t>
      </w:r>
      <w:r w:rsidR="006E5658" w:rsidRPr="00A54361">
        <w:rPr>
          <w:rFonts w:cstheme="minorHAnsi"/>
        </w:rPr>
        <w:t>2</w:t>
      </w:r>
      <w:r w:rsidRPr="00A54361">
        <w:rPr>
          <w:rFonts w:cstheme="minorHAnsi"/>
        </w:rPr>
        <w:t xml:space="preserve">1 days of receipt of purchase contract </w:t>
      </w:r>
    </w:p>
    <w:p w14:paraId="062AAB18" w14:textId="27AD1976" w:rsidR="006E5658" w:rsidRPr="00A54361" w:rsidRDefault="006E5658" w:rsidP="00A54361">
      <w:pPr>
        <w:pStyle w:val="ListParagraph"/>
        <w:numPr>
          <w:ilvl w:val="0"/>
          <w:numId w:val="20"/>
        </w:numPr>
        <w:spacing w:before="120" w:after="120"/>
        <w:jc w:val="both"/>
        <w:rPr>
          <w:rFonts w:cstheme="minorHAnsi"/>
        </w:rPr>
      </w:pPr>
      <w:r w:rsidRPr="00A54361">
        <w:rPr>
          <w:rFonts w:cstheme="minorHAnsi"/>
        </w:rPr>
        <w:t>Substantial delay in delivery, performance or implementation of the solution beyond the specified period</w:t>
      </w:r>
      <w:r w:rsidR="002C4B5F" w:rsidRPr="00A54361">
        <w:rPr>
          <w:rFonts w:cstheme="minorHAnsi"/>
        </w:rPr>
        <w:t>.</w:t>
      </w:r>
      <w:r w:rsidRPr="00A54361">
        <w:rPr>
          <w:rFonts w:cstheme="minorHAnsi"/>
        </w:rPr>
        <w:t xml:space="preserve"> </w:t>
      </w:r>
    </w:p>
    <w:p w14:paraId="171769E1" w14:textId="2A85BCA2" w:rsidR="00BD5D08" w:rsidRPr="00A54361" w:rsidRDefault="00BD5D08" w:rsidP="00A54361">
      <w:pPr>
        <w:pStyle w:val="ListParagraph"/>
        <w:numPr>
          <w:ilvl w:val="0"/>
          <w:numId w:val="20"/>
        </w:numPr>
        <w:spacing w:before="120" w:after="120"/>
        <w:jc w:val="both"/>
        <w:rPr>
          <w:rFonts w:cstheme="minorHAnsi"/>
        </w:rPr>
      </w:pPr>
      <w:r w:rsidRPr="00A54361">
        <w:rPr>
          <w:rFonts w:cstheme="minorHAnsi"/>
        </w:rPr>
        <w:t>Serious discrepancy in functionality to be provided or the performance levels agreed upon, which have an impact on the functioning of The Bank. Inability of the Bidder to remedy the situation within 60 days from the date of pointing out the defects by The Bank. (60 days will be construed as the notice period)</w:t>
      </w:r>
    </w:p>
    <w:p w14:paraId="67A24CB2" w14:textId="6830091A" w:rsidR="00BD5D08" w:rsidRPr="00A54361" w:rsidRDefault="00BD5D08" w:rsidP="00A54361">
      <w:pPr>
        <w:spacing w:before="120" w:after="120"/>
        <w:jc w:val="both"/>
        <w:rPr>
          <w:rFonts w:cstheme="minorHAnsi"/>
        </w:rPr>
      </w:pPr>
      <w:r w:rsidRPr="00A54361">
        <w:rPr>
          <w:rFonts w:cstheme="minorHAnsi"/>
        </w:rPr>
        <w:t>In addition to the cancellation of purchase contract, Bank reserves the right to appropriate the damages through encashment of Bid Security / Performance Guarantee given by the Bidder.</w:t>
      </w:r>
    </w:p>
    <w:p w14:paraId="15DA136C" w14:textId="06FC5B2A" w:rsidR="00BD5D08" w:rsidRPr="00A54361" w:rsidRDefault="00BD5D08" w:rsidP="00A54361">
      <w:pPr>
        <w:spacing w:before="120" w:after="120"/>
        <w:jc w:val="both"/>
        <w:rPr>
          <w:rFonts w:cstheme="minorHAnsi"/>
        </w:rPr>
      </w:pPr>
      <w:r w:rsidRPr="00A54361">
        <w:rPr>
          <w:rFonts w:cstheme="minorHAnsi"/>
        </w:rPr>
        <w:t xml:space="preserve">Notwithstanding the existence of a dispute, and/or the commencement of arbitration proceedings, the Bidder will be expected to continue </w:t>
      </w:r>
      <w:r w:rsidR="002B2DE6" w:rsidRPr="00A54361">
        <w:rPr>
          <w:rFonts w:cstheme="minorHAnsi"/>
        </w:rPr>
        <w:t xml:space="preserve">to provide </w:t>
      </w:r>
      <w:r w:rsidRPr="00A54361">
        <w:rPr>
          <w:rFonts w:cstheme="minorHAnsi"/>
        </w:rPr>
        <w:t xml:space="preserve">services </w:t>
      </w:r>
      <w:r w:rsidR="002B2DE6" w:rsidRPr="00A54361">
        <w:rPr>
          <w:rFonts w:cstheme="minorHAnsi"/>
        </w:rPr>
        <w:t xml:space="preserve">to </w:t>
      </w:r>
      <w:r w:rsidRPr="00A54361">
        <w:rPr>
          <w:rFonts w:cstheme="minorHAnsi"/>
        </w:rPr>
        <w:t xml:space="preserve">the Bank </w:t>
      </w:r>
      <w:r w:rsidR="002B2DE6" w:rsidRPr="00A54361">
        <w:rPr>
          <w:rFonts w:cstheme="minorHAnsi"/>
        </w:rPr>
        <w:t xml:space="preserve">as per the contract. </w:t>
      </w:r>
      <w:r w:rsidR="00DB5D40" w:rsidRPr="00A54361">
        <w:rPr>
          <w:rFonts w:cstheme="minorHAnsi"/>
        </w:rPr>
        <w:t xml:space="preserve">Bank </w:t>
      </w:r>
      <w:r w:rsidR="00FF06BD" w:rsidRPr="00A54361">
        <w:rPr>
          <w:rFonts w:cstheme="minorHAnsi"/>
        </w:rPr>
        <w:t>will continue</w:t>
      </w:r>
      <w:r w:rsidRPr="00A54361">
        <w:rPr>
          <w:rFonts w:cstheme="minorHAnsi"/>
        </w:rPr>
        <w:t xml:space="preserve"> to pay for all products and services that are accepted by it provided that all products and services as serving </w:t>
      </w:r>
      <w:r w:rsidR="00490DB2" w:rsidRPr="00A54361">
        <w:rPr>
          <w:rFonts w:cstheme="minorHAnsi"/>
        </w:rPr>
        <w:t>as per the agreed scope between the parties</w:t>
      </w:r>
      <w:r w:rsidRPr="00A54361">
        <w:rPr>
          <w:rFonts w:cstheme="minorHAnsi"/>
        </w:rPr>
        <w:t xml:space="preserve">. The Bank shall have the sole and absolute discretion to decide whether proper reverse transition mechanism over a period of 6 to 12 months, has been complied with. In the event of the conflict not being resolved, the conflict will be resolved through Arbitration. The Bank and the Bidder shall together prepare the Reverse Transition Plan. However, The Bank shall have the sole decision to ascertain whether such Plan has been complied with. Reverse Transition mechanism would typically include service and tasks that are required to be performed / rendered by the Bidder to The Bank or its designee to ensure smooth handover and transitioning of Bank’s deliverables, maintenance and </w:t>
      </w:r>
      <w:r w:rsidR="00002AB6" w:rsidRPr="00A54361">
        <w:rPr>
          <w:rFonts w:cstheme="minorHAnsi"/>
        </w:rPr>
        <w:t>services</w:t>
      </w:r>
      <w:r w:rsidRPr="00A54361">
        <w:rPr>
          <w:rFonts w:cstheme="minorHAnsi"/>
        </w:rPr>
        <w:t>.</w:t>
      </w:r>
    </w:p>
    <w:p w14:paraId="6D6ED0B1" w14:textId="16A5272F" w:rsidR="00E719BD" w:rsidRPr="00A54361" w:rsidRDefault="00E719BD" w:rsidP="00A54361">
      <w:pPr>
        <w:spacing w:before="120" w:after="120"/>
        <w:jc w:val="both"/>
        <w:rPr>
          <w:rFonts w:cstheme="minorHAnsi"/>
        </w:rPr>
      </w:pPr>
      <w:r w:rsidRPr="00A54361">
        <w:rPr>
          <w:rFonts w:cstheme="minorHAnsi"/>
        </w:rPr>
        <w:t>Notwithstanding anything contained in this RFP, Bank reserve the right to cancel the contract by giving 90 days</w:t>
      </w:r>
      <w:r w:rsidR="004D197B" w:rsidRPr="00A54361">
        <w:rPr>
          <w:rFonts w:cstheme="minorHAnsi"/>
        </w:rPr>
        <w:t xml:space="preserve"> notice period </w:t>
      </w:r>
      <w:r w:rsidRPr="00A54361">
        <w:rPr>
          <w:rFonts w:cstheme="minorHAnsi"/>
        </w:rPr>
        <w:t xml:space="preserve"> without </w:t>
      </w:r>
      <w:r w:rsidR="004D197B" w:rsidRPr="00A54361">
        <w:rPr>
          <w:rFonts w:cstheme="minorHAnsi"/>
        </w:rPr>
        <w:t xml:space="preserve">assigning any reason as per its convenience. </w:t>
      </w:r>
      <w:r w:rsidRPr="00A54361">
        <w:rPr>
          <w:rFonts w:cstheme="minorHAnsi"/>
        </w:rPr>
        <w:t>.</w:t>
      </w:r>
    </w:p>
    <w:p w14:paraId="7BAD1EF2" w14:textId="241570B7" w:rsidR="00BD5D08" w:rsidRPr="00A54361" w:rsidRDefault="00BD5D08" w:rsidP="00A54361">
      <w:pPr>
        <w:pStyle w:val="Heading1"/>
        <w:numPr>
          <w:ilvl w:val="0"/>
          <w:numId w:val="48"/>
        </w:numPr>
        <w:jc w:val="both"/>
        <w:rPr>
          <w:rFonts w:asciiTheme="minorHAnsi" w:hAnsiTheme="minorHAnsi" w:cstheme="minorHAnsi"/>
          <w:color w:val="auto"/>
        </w:rPr>
      </w:pPr>
      <w:bookmarkStart w:id="227" w:name="_Toc129668514"/>
      <w:bookmarkStart w:id="228" w:name="_Toc182233391"/>
      <w:r w:rsidRPr="00A54361">
        <w:rPr>
          <w:rFonts w:asciiTheme="minorHAnsi" w:hAnsiTheme="minorHAnsi" w:cstheme="minorHAnsi"/>
          <w:color w:val="auto"/>
        </w:rPr>
        <w:lastRenderedPageBreak/>
        <w:t xml:space="preserve">Privacy &amp; Security </w:t>
      </w:r>
      <w:r w:rsidR="00DD346E" w:rsidRPr="00A54361">
        <w:rPr>
          <w:rFonts w:asciiTheme="minorHAnsi" w:hAnsiTheme="minorHAnsi" w:cstheme="minorHAnsi"/>
          <w:color w:val="auto"/>
        </w:rPr>
        <w:t>S</w:t>
      </w:r>
      <w:r w:rsidRPr="00A54361">
        <w:rPr>
          <w:rFonts w:asciiTheme="minorHAnsi" w:hAnsiTheme="minorHAnsi" w:cstheme="minorHAnsi"/>
          <w:color w:val="auto"/>
        </w:rPr>
        <w:t>afeguards</w:t>
      </w:r>
      <w:bookmarkEnd w:id="227"/>
      <w:bookmarkEnd w:id="228"/>
    </w:p>
    <w:p w14:paraId="60C79406" w14:textId="135E860B" w:rsidR="00BD5D08" w:rsidRPr="00A54361" w:rsidRDefault="00BD5D08" w:rsidP="00A54361">
      <w:pPr>
        <w:pStyle w:val="ListParagraph"/>
        <w:numPr>
          <w:ilvl w:val="0"/>
          <w:numId w:val="21"/>
        </w:numPr>
        <w:spacing w:before="120" w:after="120"/>
        <w:jc w:val="both"/>
        <w:rPr>
          <w:rFonts w:cstheme="minorHAnsi"/>
        </w:rPr>
      </w:pPr>
      <w:r w:rsidRPr="00A54361">
        <w:rPr>
          <w:rFonts w:cstheme="minorHAnsi"/>
        </w:rPr>
        <w:t xml:space="preserve">The Bidder shall not publish or disclose in any manner, without the Bank’s prior written consent, the details of any security safeguards designed, developed, or implemented by the Bidder or existing at any Bank location. The Bidder will have to develop procedures and implementation plans to ensure that IT resources leaving the control of the assigned user (such as being reassigned, removed for repair, replaced, or upgraded) are cleared of all Bank data and sensitive application software. The Bidder will have to also ensure that all subcontractors who are involved in providing such security safeguards or part of it shall not publish or disclose in any manner, without the Bank’s prior written consent, the details of any security safeguards designed, developed, or implemented by the Bidder or existing at any Bank location. </w:t>
      </w:r>
    </w:p>
    <w:p w14:paraId="62EB35F1" w14:textId="219D3E86" w:rsidR="00BD5D08" w:rsidRPr="00A54361" w:rsidRDefault="00BD5D08" w:rsidP="00A54361">
      <w:pPr>
        <w:pStyle w:val="ListParagraph"/>
        <w:numPr>
          <w:ilvl w:val="0"/>
          <w:numId w:val="21"/>
        </w:numPr>
        <w:spacing w:before="120" w:after="120"/>
        <w:jc w:val="both"/>
        <w:rPr>
          <w:rFonts w:cstheme="minorHAnsi"/>
        </w:rPr>
      </w:pPr>
      <w:r w:rsidRPr="00A54361">
        <w:rPr>
          <w:rFonts w:cstheme="minorHAnsi"/>
        </w:rPr>
        <w:t xml:space="preserve">The Bidder hereby agrees and confirms that they will disclose, forthwith, instances of security breaches. </w:t>
      </w:r>
    </w:p>
    <w:p w14:paraId="5E7B19E9" w14:textId="73282319" w:rsidR="00BD5D08" w:rsidRPr="00A54361" w:rsidRDefault="00BD5D08" w:rsidP="00A54361">
      <w:pPr>
        <w:pStyle w:val="ListParagraph"/>
        <w:numPr>
          <w:ilvl w:val="0"/>
          <w:numId w:val="21"/>
        </w:numPr>
        <w:spacing w:before="120" w:after="120"/>
        <w:jc w:val="both"/>
        <w:rPr>
          <w:rFonts w:cstheme="minorHAnsi"/>
        </w:rPr>
      </w:pPr>
      <w:r w:rsidRPr="00A54361">
        <w:rPr>
          <w:rFonts w:cstheme="minorHAnsi"/>
        </w:rPr>
        <w:t>The Bidder hereby agrees that they will preserve the documents.</w:t>
      </w:r>
    </w:p>
    <w:p w14:paraId="65D762BA" w14:textId="2828618E" w:rsidR="00BD5D08" w:rsidRPr="00A54361" w:rsidRDefault="00BD5D08" w:rsidP="00A54361">
      <w:pPr>
        <w:pStyle w:val="Heading1"/>
        <w:numPr>
          <w:ilvl w:val="0"/>
          <w:numId w:val="48"/>
        </w:numPr>
        <w:jc w:val="both"/>
        <w:rPr>
          <w:rFonts w:asciiTheme="minorHAnsi" w:hAnsiTheme="minorHAnsi" w:cstheme="minorHAnsi"/>
          <w:color w:val="auto"/>
        </w:rPr>
      </w:pPr>
      <w:bookmarkStart w:id="229" w:name="_Toc129668515"/>
      <w:bookmarkStart w:id="230" w:name="_Toc182233392"/>
      <w:r w:rsidRPr="00A54361">
        <w:rPr>
          <w:rFonts w:asciiTheme="minorHAnsi" w:hAnsiTheme="minorHAnsi" w:cstheme="minorHAnsi"/>
          <w:color w:val="auto"/>
        </w:rPr>
        <w:t>Governing Law and Jurisdiction</w:t>
      </w:r>
      <w:bookmarkEnd w:id="229"/>
      <w:bookmarkEnd w:id="230"/>
    </w:p>
    <w:p w14:paraId="056F156A" w14:textId="0AC2C9DE" w:rsidR="00BD5D08" w:rsidRPr="00A54361" w:rsidRDefault="00BD5D08" w:rsidP="00A54361">
      <w:pPr>
        <w:spacing w:before="120" w:after="120"/>
        <w:jc w:val="both"/>
        <w:rPr>
          <w:rFonts w:cstheme="minorHAnsi"/>
        </w:rPr>
      </w:pPr>
      <w:r w:rsidRPr="00A54361">
        <w:rPr>
          <w:rFonts w:cstheme="minorHAnsi"/>
        </w:rPr>
        <w:t>The provisions of this RFP and subsequent Agreement shall be governed by the laws of India. The disputes, if any, arising out of this RFP/Agreement shall be submitted to the jurisdiction of the courts/tribunals in Mumbai.</w:t>
      </w:r>
    </w:p>
    <w:p w14:paraId="6DC6FEC5" w14:textId="07E25BF1" w:rsidR="00BD5D08" w:rsidRPr="00A54361" w:rsidRDefault="00BD5D08" w:rsidP="00A54361">
      <w:pPr>
        <w:spacing w:before="120" w:after="120"/>
        <w:jc w:val="both"/>
        <w:rPr>
          <w:rFonts w:cstheme="minorHAnsi"/>
          <w:b/>
          <w:bCs/>
        </w:rPr>
      </w:pPr>
      <w:r w:rsidRPr="00A54361">
        <w:rPr>
          <w:rFonts w:cstheme="minorHAnsi"/>
          <w:b/>
          <w:bCs/>
        </w:rPr>
        <w:t>Statutory and Regulatory Requirements</w:t>
      </w:r>
    </w:p>
    <w:p w14:paraId="11EDF2EA" w14:textId="0DABBA73" w:rsidR="00DD346E" w:rsidRPr="00A54361" w:rsidRDefault="00DD346E" w:rsidP="00A54361">
      <w:pPr>
        <w:spacing w:before="120" w:after="120"/>
        <w:jc w:val="both"/>
        <w:rPr>
          <w:rFonts w:cstheme="minorHAnsi"/>
        </w:rPr>
      </w:pPr>
      <w:r w:rsidRPr="00A54361">
        <w:rPr>
          <w:rFonts w:cstheme="minorHAnsi"/>
        </w:rPr>
        <w:t>The solution must comply with all applicable</w:t>
      </w:r>
      <w:r w:rsidR="006E5658" w:rsidRPr="00A54361">
        <w:rPr>
          <w:rFonts w:cstheme="minorHAnsi"/>
        </w:rPr>
        <w:t xml:space="preserve"> </w:t>
      </w:r>
      <w:r w:rsidRPr="00A54361">
        <w:rPr>
          <w:rFonts w:cstheme="minorHAnsi"/>
        </w:rPr>
        <w:t>requirements defined by any regulatory, statutory or legal body which shall include but not be limited to RBI or other Regulatory Authority, judicial courts in India and as of the date of execution of Agreement. This requirement shall supersede the responses provided by the Bidder in the technical response. During the period of warranty / AMC, Bidder / Bidder should comply with all requirements including any or all reports without any additional cost, defined by any regulatory authority time to time and which fall under the scope of this RFP / Agreement. All mandatory requirements by regulatory / statutory bodies will be provided by the bidder under change management at no extra cost to the bank during the tenure of the contract.</w:t>
      </w:r>
    </w:p>
    <w:p w14:paraId="1AC302C1" w14:textId="39A3FC58" w:rsidR="00DD346E" w:rsidRPr="00A54361" w:rsidRDefault="00DD346E" w:rsidP="00A54361">
      <w:pPr>
        <w:pStyle w:val="Heading1"/>
        <w:numPr>
          <w:ilvl w:val="0"/>
          <w:numId w:val="48"/>
        </w:numPr>
        <w:jc w:val="both"/>
        <w:rPr>
          <w:rFonts w:asciiTheme="minorHAnsi" w:hAnsiTheme="minorHAnsi" w:cstheme="minorHAnsi"/>
          <w:color w:val="auto"/>
        </w:rPr>
      </w:pPr>
      <w:bookmarkStart w:id="231" w:name="_Toc129668516"/>
      <w:bookmarkStart w:id="232" w:name="_Toc182233393"/>
      <w:r w:rsidRPr="00A54361">
        <w:rPr>
          <w:rFonts w:asciiTheme="minorHAnsi" w:hAnsiTheme="minorHAnsi" w:cstheme="minorHAnsi"/>
          <w:color w:val="auto"/>
        </w:rPr>
        <w:t>Compliance with Laws</w:t>
      </w:r>
      <w:bookmarkEnd w:id="231"/>
      <w:bookmarkEnd w:id="232"/>
    </w:p>
    <w:p w14:paraId="587A658B" w14:textId="58E13E4A" w:rsidR="00B203B5" w:rsidRPr="00A54361" w:rsidRDefault="00B203B5" w:rsidP="00A54361">
      <w:pPr>
        <w:pStyle w:val="ListParagraph"/>
        <w:numPr>
          <w:ilvl w:val="0"/>
          <w:numId w:val="22"/>
        </w:numPr>
        <w:spacing w:before="120" w:after="120"/>
        <w:jc w:val="both"/>
        <w:rPr>
          <w:rFonts w:cstheme="minorHAnsi"/>
        </w:rPr>
      </w:pPr>
      <w:r w:rsidRPr="00A54361">
        <w:rPr>
          <w:rFonts w:cstheme="minorHAnsi"/>
        </w:rPr>
        <w:t>Compliance with all applicable laws: Successful bidder shall undertake to observe, adhere to, abide by, comply with the Bank about all laws in force or as are or as made applicable in future, pertaining to or applicable to them, their business, their employees or their obligations towards them and all purposes of this scope of work</w:t>
      </w:r>
      <w:r w:rsidR="004222B9" w:rsidRPr="00A54361">
        <w:rPr>
          <w:rFonts w:cstheme="minorHAnsi"/>
        </w:rPr>
        <w:t>.</w:t>
      </w:r>
      <w:r w:rsidRPr="00A54361">
        <w:rPr>
          <w:rFonts w:cstheme="minorHAnsi"/>
        </w:rPr>
        <w:t xml:space="preserve"> </w:t>
      </w:r>
    </w:p>
    <w:p w14:paraId="24E2C2C8" w14:textId="55A52E49" w:rsidR="00B203B5" w:rsidRPr="00A54361" w:rsidRDefault="00B203B5" w:rsidP="00A54361">
      <w:pPr>
        <w:pStyle w:val="ListParagraph"/>
        <w:numPr>
          <w:ilvl w:val="0"/>
          <w:numId w:val="22"/>
        </w:numPr>
        <w:spacing w:before="120" w:after="120"/>
        <w:jc w:val="both"/>
        <w:rPr>
          <w:rFonts w:cstheme="minorHAnsi"/>
          <w:strike/>
        </w:rPr>
      </w:pPr>
      <w:r w:rsidRPr="00A54361">
        <w:rPr>
          <w:rFonts w:cstheme="minorHAnsi"/>
        </w:rPr>
        <w:t>Compliance in obtaining approvals/permissions/licenses: Bidder shall promptly and timely obtain all such consents, permissions, approvals, licenses, etc., as may be necessary or required for any of the purposes of this project or for the conduct of their own business under any applicable Law, Government Regulation/Guidelines and shall keep the same valid and in force during the term of the project</w:t>
      </w:r>
      <w:r w:rsidR="00D946CA" w:rsidRPr="00A54361">
        <w:rPr>
          <w:rFonts w:cstheme="minorHAnsi"/>
          <w:strike/>
        </w:rPr>
        <w:t>.</w:t>
      </w:r>
    </w:p>
    <w:p w14:paraId="1779073C" w14:textId="19173468" w:rsidR="0066172A" w:rsidRPr="00A54361" w:rsidRDefault="0066172A" w:rsidP="00A54361">
      <w:pPr>
        <w:pStyle w:val="ListParagraph"/>
        <w:numPr>
          <w:ilvl w:val="0"/>
          <w:numId w:val="22"/>
        </w:numPr>
        <w:spacing w:before="120" w:after="120"/>
        <w:jc w:val="both"/>
        <w:rPr>
          <w:rFonts w:cstheme="minorHAnsi"/>
          <w:strike/>
        </w:rPr>
      </w:pPr>
      <w:r w:rsidRPr="00A54361">
        <w:rPr>
          <w:rFonts w:asciiTheme="majorHAnsi" w:hAnsiTheme="majorHAnsi"/>
          <w:bCs/>
          <w:sz w:val="24"/>
          <w:szCs w:val="24"/>
        </w:rPr>
        <w:t xml:space="preserve">The Annual Technical Support under the RFP </w:t>
      </w:r>
      <w:r w:rsidRPr="00A54361">
        <w:rPr>
          <w:rFonts w:asciiTheme="majorHAnsi" w:hAnsiTheme="majorHAnsi"/>
          <w:sz w:val="24"/>
          <w:szCs w:val="24"/>
        </w:rPr>
        <w:t xml:space="preserve">should comply with all the Regulatory/ Compliance guideline of the Banks/ Regulatory authority in India. Bank has right to change the compliance/ guideline at any point of time and the service provider has to comply with the guidelines. Bank has right to audit by regulatory authority or any agency appointed by </w:t>
      </w:r>
      <w:r w:rsidRPr="00A54361">
        <w:rPr>
          <w:rFonts w:asciiTheme="majorHAnsi" w:hAnsiTheme="majorHAnsi"/>
          <w:sz w:val="24"/>
          <w:szCs w:val="24"/>
        </w:rPr>
        <w:lastRenderedPageBreak/>
        <w:t>the Bank, as a part of Vendor Audit. The service should comply with Bank IT/ Information Security (IS) / BCP Policy.  It will be mandatory to protect the data privacy, as per Indian Data Privacy Law. Service provider should comply with all such laws in existence currently or introduced in future by the Govt. agencies or any other regulatory body.</w:t>
      </w:r>
    </w:p>
    <w:p w14:paraId="389B0C06" w14:textId="284831ED" w:rsidR="00BD5D08" w:rsidRPr="00A54361" w:rsidRDefault="00B203B5" w:rsidP="00A54361">
      <w:pPr>
        <w:pStyle w:val="Heading1"/>
        <w:numPr>
          <w:ilvl w:val="0"/>
          <w:numId w:val="48"/>
        </w:numPr>
        <w:jc w:val="both"/>
        <w:rPr>
          <w:rFonts w:asciiTheme="minorHAnsi" w:hAnsiTheme="minorHAnsi" w:cstheme="minorHAnsi"/>
          <w:color w:val="auto"/>
        </w:rPr>
      </w:pPr>
      <w:bookmarkStart w:id="233" w:name="_Toc129668517"/>
      <w:bookmarkStart w:id="234" w:name="_Toc182233394"/>
      <w:r w:rsidRPr="00A54361">
        <w:rPr>
          <w:rFonts w:asciiTheme="minorHAnsi" w:hAnsiTheme="minorHAnsi" w:cstheme="minorHAnsi"/>
          <w:color w:val="auto"/>
        </w:rPr>
        <w:t>Violation of Terms</w:t>
      </w:r>
      <w:bookmarkEnd w:id="233"/>
      <w:bookmarkEnd w:id="234"/>
    </w:p>
    <w:p w14:paraId="4BEB0832" w14:textId="3366A57A" w:rsidR="00B203B5" w:rsidRPr="00A54361" w:rsidRDefault="00B203B5" w:rsidP="00A54361">
      <w:pPr>
        <w:spacing w:before="120" w:after="120"/>
        <w:jc w:val="both"/>
        <w:rPr>
          <w:rFonts w:cstheme="minorHAnsi"/>
          <w:strike/>
        </w:rPr>
      </w:pPr>
      <w:r w:rsidRPr="00A54361">
        <w:rPr>
          <w:rFonts w:cstheme="minorHAnsi"/>
        </w:rPr>
        <w:t xml:space="preserve">The Bank clarifies that the </w:t>
      </w:r>
      <w:r w:rsidR="004E6051" w:rsidRPr="00A54361">
        <w:rPr>
          <w:rFonts w:cstheme="minorHAnsi"/>
        </w:rPr>
        <w:t>b</w:t>
      </w:r>
      <w:r w:rsidR="00E53FF3" w:rsidRPr="00A54361">
        <w:rPr>
          <w:rFonts w:cstheme="minorHAnsi"/>
        </w:rPr>
        <w:t>ank shall</w:t>
      </w:r>
      <w:r w:rsidRPr="00A54361">
        <w:rPr>
          <w:rFonts w:cstheme="minorHAnsi"/>
        </w:rPr>
        <w:t xml:space="preserve"> be entitled to an injunction, restraining order, right for recovery, specific performance or such other equitable relief as a court of competent jurisdiction may deem necessary or appropriate to restrain the </w:t>
      </w:r>
      <w:r w:rsidR="00A45A5F" w:rsidRPr="00A54361">
        <w:rPr>
          <w:rFonts w:cstheme="minorHAnsi"/>
        </w:rPr>
        <w:t xml:space="preserve">bidder </w:t>
      </w:r>
      <w:r w:rsidRPr="00A54361">
        <w:rPr>
          <w:rFonts w:cstheme="minorHAnsi"/>
        </w:rPr>
        <w:t xml:space="preserve">from committing any violation or enforce the performance of the covenants, obligations and representations contained under the RFP/Agreement. These injunctive remedies are cumulative and are in addition to any other rights and remedies the </w:t>
      </w:r>
      <w:r w:rsidR="00E53FF3" w:rsidRPr="00A54361">
        <w:rPr>
          <w:rFonts w:cstheme="minorHAnsi"/>
        </w:rPr>
        <w:t>bank may</w:t>
      </w:r>
      <w:r w:rsidRPr="00A54361">
        <w:rPr>
          <w:rFonts w:cstheme="minorHAnsi"/>
        </w:rPr>
        <w:t xml:space="preserve"> have at law or in equity, including without limitation a right for recovery of any amounts and related costs and a right for damages</w:t>
      </w:r>
      <w:r w:rsidRPr="00A54361">
        <w:rPr>
          <w:rFonts w:cstheme="minorHAnsi"/>
          <w:strike/>
        </w:rPr>
        <w:t>.</w:t>
      </w:r>
    </w:p>
    <w:p w14:paraId="228F4515" w14:textId="19866F15" w:rsidR="00B203B5" w:rsidRPr="00A54361" w:rsidRDefault="00B203B5" w:rsidP="00A54361">
      <w:pPr>
        <w:pStyle w:val="Heading1"/>
        <w:numPr>
          <w:ilvl w:val="0"/>
          <w:numId w:val="48"/>
        </w:numPr>
        <w:jc w:val="both"/>
        <w:rPr>
          <w:rFonts w:asciiTheme="minorHAnsi" w:hAnsiTheme="minorHAnsi" w:cstheme="minorHAnsi"/>
          <w:color w:val="auto"/>
        </w:rPr>
      </w:pPr>
      <w:bookmarkStart w:id="235" w:name="_Toc129668518"/>
      <w:bookmarkStart w:id="236" w:name="_Toc182233395"/>
      <w:r w:rsidRPr="00A54361">
        <w:rPr>
          <w:rFonts w:asciiTheme="minorHAnsi" w:hAnsiTheme="minorHAnsi" w:cstheme="minorHAnsi"/>
          <w:color w:val="auto"/>
        </w:rPr>
        <w:t>Corrupt &amp; Fraudulent Practices</w:t>
      </w:r>
      <w:bookmarkEnd w:id="235"/>
      <w:bookmarkEnd w:id="236"/>
    </w:p>
    <w:p w14:paraId="57511CCE" w14:textId="5A9B4819" w:rsidR="00B203B5" w:rsidRPr="00A54361" w:rsidRDefault="00B203B5" w:rsidP="00A54361">
      <w:pPr>
        <w:jc w:val="both"/>
        <w:rPr>
          <w:rFonts w:cstheme="minorHAnsi"/>
        </w:rPr>
      </w:pPr>
      <w:r w:rsidRPr="00A54361">
        <w:rPr>
          <w:rFonts w:cstheme="minorHAnsi"/>
        </w:rPr>
        <w:t>As per Central Vigilance Commission (CVC) directives, it is required that Bidders / Suppliers / Contractors observe the highest standard of ethics during the procurement and execution of such contracts in pursuance of this policy:</w:t>
      </w:r>
    </w:p>
    <w:p w14:paraId="36BEF035" w14:textId="77777777" w:rsidR="00B203B5" w:rsidRPr="00A54361" w:rsidRDefault="00B203B5" w:rsidP="00A54361">
      <w:pPr>
        <w:jc w:val="both"/>
        <w:rPr>
          <w:rFonts w:cstheme="minorHAnsi"/>
        </w:rPr>
      </w:pPr>
      <w:r w:rsidRPr="00A54361">
        <w:rPr>
          <w:rFonts w:cstheme="minorHAnsi"/>
        </w:rPr>
        <w:t xml:space="preserve">“Corrupt Practice” means the offering, giving, receiving or soliciting of anything of values to influence the action of an official in the procurement process or in contract execution AND </w:t>
      </w:r>
    </w:p>
    <w:p w14:paraId="1229BC6E" w14:textId="2444068D" w:rsidR="00B203B5" w:rsidRPr="00A54361" w:rsidRDefault="00B203B5" w:rsidP="00A54361">
      <w:pPr>
        <w:jc w:val="both"/>
        <w:rPr>
          <w:rFonts w:cstheme="minorHAnsi"/>
        </w:rPr>
      </w:pPr>
      <w:r w:rsidRPr="00A54361">
        <w:rPr>
          <w:rFonts w:cstheme="minorHAnsi"/>
        </w:rPr>
        <w:t>“Fraudulent Practice” means a misrepresentation of facts in order to influence a procurement process or the execution of contract to the detriment of The Bank and includes collusive practice among Bidders (prior to or after offer submission) designed to establish offer prices at artificial non-competitive levels and to deprive The Bank of the benefits of free and open competition.</w:t>
      </w:r>
    </w:p>
    <w:p w14:paraId="3D6F9C20" w14:textId="0E3994D9" w:rsidR="004D0F21" w:rsidRPr="00A54361" w:rsidRDefault="00B203B5" w:rsidP="00A54361">
      <w:pPr>
        <w:jc w:val="both"/>
        <w:rPr>
          <w:rFonts w:cstheme="minorHAnsi"/>
        </w:rPr>
      </w:pPr>
      <w:r w:rsidRPr="00A54361">
        <w:rPr>
          <w:rFonts w:cstheme="minorHAnsi"/>
        </w:rPr>
        <w:t>The Bank reserves the right to reject a proposal for award if it determines that the Bidder recommended for award has engaged in corrupt or fraudulent practices in competing for the contract in question.</w:t>
      </w:r>
      <w:r w:rsidR="004D0F21" w:rsidRPr="00A54361">
        <w:rPr>
          <w:rFonts w:cstheme="minorHAnsi"/>
        </w:rPr>
        <w:t xml:space="preserve"> The Bank reserves the right to declare a firm ineligible, either indefinitely or for a stated period of time, to be awarded a contract if at any time it determines that the firm has engaged in corrupt or fraudulent practices in competing for or in executing the contract.</w:t>
      </w:r>
    </w:p>
    <w:p w14:paraId="6F083870" w14:textId="66C50B41" w:rsidR="00B203B5" w:rsidRPr="00A54361" w:rsidRDefault="00B203B5" w:rsidP="00A54361">
      <w:pPr>
        <w:pStyle w:val="Heading1"/>
        <w:numPr>
          <w:ilvl w:val="0"/>
          <w:numId w:val="48"/>
        </w:numPr>
        <w:jc w:val="both"/>
        <w:rPr>
          <w:rFonts w:asciiTheme="minorHAnsi" w:hAnsiTheme="minorHAnsi" w:cstheme="minorHAnsi"/>
          <w:color w:val="auto"/>
        </w:rPr>
      </w:pPr>
      <w:bookmarkStart w:id="237" w:name="_Toc129668519"/>
      <w:bookmarkStart w:id="238" w:name="_Toc182233396"/>
      <w:r w:rsidRPr="00A54361">
        <w:rPr>
          <w:rFonts w:asciiTheme="minorHAnsi" w:hAnsiTheme="minorHAnsi" w:cstheme="minorHAnsi"/>
          <w:color w:val="auto"/>
        </w:rPr>
        <w:t>Publicity</w:t>
      </w:r>
      <w:bookmarkEnd w:id="237"/>
      <w:bookmarkEnd w:id="238"/>
    </w:p>
    <w:p w14:paraId="33DDD32F" w14:textId="590BBE41" w:rsidR="00B203B5" w:rsidRPr="00A54361" w:rsidRDefault="00B203B5" w:rsidP="00A54361">
      <w:pPr>
        <w:spacing w:before="120" w:after="120"/>
        <w:jc w:val="both"/>
        <w:rPr>
          <w:rFonts w:cstheme="minorHAnsi"/>
        </w:rPr>
      </w:pPr>
      <w:r w:rsidRPr="00A54361">
        <w:rPr>
          <w:rFonts w:cstheme="minorHAnsi"/>
        </w:rPr>
        <w:t>Any publicity by either party in which the name of the other party is to be used should be done only with the explicit written permission of such other party.</w:t>
      </w:r>
    </w:p>
    <w:p w14:paraId="328E961D" w14:textId="2C8EA66F" w:rsidR="00B203B5" w:rsidRPr="00A54361" w:rsidRDefault="00B203B5" w:rsidP="00A54361">
      <w:pPr>
        <w:pStyle w:val="Heading1"/>
        <w:numPr>
          <w:ilvl w:val="0"/>
          <w:numId w:val="48"/>
        </w:numPr>
        <w:jc w:val="both"/>
        <w:rPr>
          <w:rFonts w:asciiTheme="minorHAnsi" w:hAnsiTheme="minorHAnsi" w:cstheme="minorHAnsi"/>
          <w:color w:val="auto"/>
        </w:rPr>
      </w:pPr>
      <w:bookmarkStart w:id="239" w:name="_Toc129668520"/>
      <w:bookmarkStart w:id="240" w:name="_Toc182233397"/>
      <w:r w:rsidRPr="00A54361">
        <w:rPr>
          <w:rFonts w:asciiTheme="minorHAnsi" w:hAnsiTheme="minorHAnsi" w:cstheme="minorHAnsi"/>
          <w:color w:val="auto"/>
        </w:rPr>
        <w:t>Entire Agreement; Amendments</w:t>
      </w:r>
      <w:bookmarkEnd w:id="239"/>
      <w:bookmarkEnd w:id="240"/>
    </w:p>
    <w:p w14:paraId="78D8B213" w14:textId="13B4B701" w:rsidR="00B203B5" w:rsidRPr="00A54361" w:rsidRDefault="00B203B5" w:rsidP="00A54361">
      <w:pPr>
        <w:spacing w:before="120" w:after="120"/>
        <w:jc w:val="both"/>
        <w:rPr>
          <w:rFonts w:cstheme="minorHAnsi"/>
        </w:rPr>
      </w:pPr>
      <w:r w:rsidRPr="00A54361">
        <w:rPr>
          <w:rFonts w:cstheme="minorHAnsi"/>
        </w:rPr>
        <w:t>This RFP sets forth the entire agreement between the Bank and the Successful bidder and supersedes any other prior proposals, agreements and representations between them related to its subject matter, whether written or oral. No modifications or amendments to this Agreement shall be binding upon the parties unless made in writing, duly executed by authorized officials of both parties.</w:t>
      </w:r>
    </w:p>
    <w:p w14:paraId="16DD5B36" w14:textId="79135DB5" w:rsidR="00B203B5" w:rsidRPr="00A54361" w:rsidRDefault="00B203B5" w:rsidP="00A54361">
      <w:pPr>
        <w:pStyle w:val="Heading1"/>
        <w:numPr>
          <w:ilvl w:val="0"/>
          <w:numId w:val="48"/>
        </w:numPr>
        <w:jc w:val="both"/>
        <w:rPr>
          <w:rFonts w:asciiTheme="minorHAnsi" w:hAnsiTheme="minorHAnsi" w:cstheme="minorHAnsi"/>
          <w:color w:val="auto"/>
        </w:rPr>
      </w:pPr>
      <w:bookmarkStart w:id="241" w:name="_Toc129668521"/>
      <w:bookmarkStart w:id="242" w:name="_Toc182233398"/>
      <w:r w:rsidRPr="00A54361">
        <w:rPr>
          <w:rFonts w:asciiTheme="minorHAnsi" w:hAnsiTheme="minorHAnsi" w:cstheme="minorHAnsi"/>
          <w:color w:val="auto"/>
        </w:rPr>
        <w:lastRenderedPageBreak/>
        <w:t>Survival and Severability</w:t>
      </w:r>
      <w:bookmarkEnd w:id="241"/>
      <w:bookmarkEnd w:id="242"/>
    </w:p>
    <w:p w14:paraId="02467AFB" w14:textId="1986A2D4" w:rsidR="00B203B5" w:rsidRPr="00A54361" w:rsidRDefault="00B203B5" w:rsidP="00A54361">
      <w:pPr>
        <w:spacing w:before="120" w:after="120"/>
        <w:jc w:val="both"/>
        <w:rPr>
          <w:rFonts w:cstheme="minorHAnsi"/>
        </w:rPr>
      </w:pPr>
      <w:r w:rsidRPr="00A54361">
        <w:rPr>
          <w:rFonts w:cstheme="minorHAnsi"/>
        </w:rPr>
        <w:t>Any provision or covenant of the RFP, which expressly, or by its nature, imposes obligations on successful bidder shall so survive beyond the expiration, or termination of this Agreement The invalidity of one or more provisions contained in this Agreement shall not affect the remaining portions of this Agreement or any part thereof; and in the event that one or more provisions shall be declared void or unenforceable by any court of competent jurisdiction, this Agreement shall be construed as if any such provision had not been inserted herein.</w:t>
      </w:r>
    </w:p>
    <w:p w14:paraId="5D21581C" w14:textId="78000F4F" w:rsidR="00B203B5" w:rsidRPr="00A54361" w:rsidRDefault="00B203B5" w:rsidP="00A54361">
      <w:pPr>
        <w:spacing w:before="120" w:after="120"/>
        <w:jc w:val="both"/>
        <w:rPr>
          <w:rFonts w:cstheme="minorHAnsi"/>
          <w:b/>
          <w:bCs/>
        </w:rPr>
      </w:pPr>
      <w:r w:rsidRPr="00A54361">
        <w:rPr>
          <w:rFonts w:cstheme="minorHAnsi"/>
          <w:b/>
          <w:bCs/>
        </w:rPr>
        <w:t>Bidding Document</w:t>
      </w:r>
    </w:p>
    <w:p w14:paraId="35583080" w14:textId="36B49FA8" w:rsidR="00B203B5" w:rsidRPr="00A54361" w:rsidRDefault="00B203B5" w:rsidP="00A54361">
      <w:pPr>
        <w:spacing w:before="120" w:after="120"/>
        <w:jc w:val="both"/>
        <w:rPr>
          <w:rFonts w:cstheme="minorHAnsi"/>
        </w:rPr>
      </w:pPr>
      <w:r w:rsidRPr="00A54361">
        <w:rPr>
          <w:rFonts w:cstheme="minorHAnsi"/>
        </w:rPr>
        <w:t>The bidder is expected to examine all instructions, forms, terms and conditions and technical specifications in the Bidding Document. Submission of a bid not responsive to the Bidding Document in every respect will be at the bidder’s risk and may result in the rejection of its bid without any further reference to the bidder.</w:t>
      </w:r>
    </w:p>
    <w:p w14:paraId="4A5DAF58" w14:textId="29AC6E3D" w:rsidR="00B203B5" w:rsidRPr="00A54361" w:rsidRDefault="00B203B5" w:rsidP="00A54361">
      <w:pPr>
        <w:pStyle w:val="Heading1"/>
        <w:numPr>
          <w:ilvl w:val="0"/>
          <w:numId w:val="48"/>
        </w:numPr>
        <w:jc w:val="both"/>
        <w:rPr>
          <w:rFonts w:asciiTheme="minorHAnsi" w:hAnsiTheme="minorHAnsi" w:cstheme="minorHAnsi"/>
          <w:color w:val="auto"/>
        </w:rPr>
      </w:pPr>
      <w:bookmarkStart w:id="243" w:name="_Toc129668522"/>
      <w:bookmarkStart w:id="244" w:name="_Toc182233399"/>
      <w:r w:rsidRPr="00A54361">
        <w:rPr>
          <w:rFonts w:asciiTheme="minorHAnsi" w:hAnsiTheme="minorHAnsi" w:cstheme="minorHAnsi"/>
          <w:color w:val="auto"/>
        </w:rPr>
        <w:t>Amendments to Bidding Documents</w:t>
      </w:r>
      <w:bookmarkEnd w:id="243"/>
      <w:bookmarkEnd w:id="244"/>
    </w:p>
    <w:p w14:paraId="6AE50B6F" w14:textId="78D6B964" w:rsidR="00B203B5" w:rsidRPr="00A54361" w:rsidRDefault="00BA1C4B" w:rsidP="00A54361">
      <w:pPr>
        <w:spacing w:before="120" w:after="120"/>
        <w:jc w:val="both"/>
        <w:rPr>
          <w:rFonts w:cstheme="minorHAnsi"/>
        </w:rPr>
      </w:pPr>
      <w:r w:rsidRPr="00A54361">
        <w:t xml:space="preserve">The Bank reserves the right to change/modify the dates/terms &amp; conditions without assigning any reasons, mentioned in this RFP document as per its requirement, which will be communicated to the Bidders through Bank’s Website. </w:t>
      </w:r>
      <w:r w:rsidR="00B203B5" w:rsidRPr="00A54361">
        <w:rPr>
          <w:rFonts w:cstheme="minorHAnsi"/>
        </w:rPr>
        <w:t xml:space="preserve"> </w:t>
      </w:r>
      <w:r w:rsidRPr="00A54361">
        <w:t>The amendments / clarifications to the tender, if any, will be posted on the  Bank website (</w:t>
      </w:r>
      <w:hyperlink r:id="rId19" w:history="1">
        <w:r w:rsidRPr="00A54361">
          <w:rPr>
            <w:rStyle w:val="Hyperlink"/>
            <w:color w:val="auto"/>
          </w:rPr>
          <w:t>www.centralbankofindia.co.in</w:t>
        </w:r>
      </w:hyperlink>
      <w:r w:rsidRPr="00A54361">
        <w:t xml:space="preserve"> ) /  </w:t>
      </w:r>
      <w:r w:rsidR="005703E3" w:rsidRPr="00A54361">
        <w:t xml:space="preserve">GEM </w:t>
      </w:r>
      <w:r w:rsidRPr="00A54361">
        <w:t xml:space="preserve">Portal. </w:t>
      </w:r>
      <w:r w:rsidRPr="00A54361">
        <w:rPr>
          <w:rFonts w:cstheme="minorHAnsi"/>
        </w:rPr>
        <w:t xml:space="preserve"> </w:t>
      </w:r>
      <w:r w:rsidRPr="00A54361">
        <w:t>It may be noted that notice regarding corrigenda, addendums, amendments, time-extensions, clarifications, response to bidders’ queries etc., if any to RFP, will not be published through any advertisement in newspapers or any other media. Prospective bidders shall regularly visit Bank’s website for any changes / development in relation to this RFP. The amendments / clarifications to the tender,</w:t>
      </w:r>
      <w:r w:rsidR="00A45123" w:rsidRPr="00A54361">
        <w:t xml:space="preserve"> if any, will be posted on </w:t>
      </w:r>
      <w:r w:rsidR="001B45E0" w:rsidRPr="00A54361">
        <w:t>the Bank</w:t>
      </w:r>
      <w:r w:rsidRPr="00A54361">
        <w:t xml:space="preserve"> website </w:t>
      </w:r>
    </w:p>
    <w:p w14:paraId="5480A464" w14:textId="4B680BEA" w:rsidR="00B203B5" w:rsidRPr="00A54361" w:rsidRDefault="00B203B5" w:rsidP="00A54361">
      <w:pPr>
        <w:pStyle w:val="Heading1"/>
        <w:numPr>
          <w:ilvl w:val="0"/>
          <w:numId w:val="48"/>
        </w:numPr>
        <w:jc w:val="both"/>
        <w:rPr>
          <w:rFonts w:asciiTheme="minorHAnsi" w:hAnsiTheme="minorHAnsi" w:cstheme="minorHAnsi"/>
          <w:color w:val="auto"/>
        </w:rPr>
      </w:pPr>
      <w:bookmarkStart w:id="245" w:name="_Toc129668523"/>
      <w:bookmarkStart w:id="246" w:name="_Toc182233400"/>
      <w:r w:rsidRPr="00A54361">
        <w:rPr>
          <w:rFonts w:asciiTheme="minorHAnsi" w:hAnsiTheme="minorHAnsi" w:cstheme="minorHAnsi"/>
          <w:color w:val="auto"/>
        </w:rPr>
        <w:t>Period of Validity</w:t>
      </w:r>
      <w:bookmarkEnd w:id="245"/>
      <w:bookmarkEnd w:id="246"/>
    </w:p>
    <w:p w14:paraId="4CF562E7" w14:textId="5BD58A40" w:rsidR="00B203B5" w:rsidRPr="00A54361" w:rsidRDefault="00B203B5" w:rsidP="00A54361">
      <w:pPr>
        <w:spacing w:before="120" w:after="120"/>
        <w:jc w:val="both"/>
        <w:rPr>
          <w:rFonts w:cstheme="minorHAnsi"/>
        </w:rPr>
      </w:pPr>
      <w:r w:rsidRPr="00A54361">
        <w:rPr>
          <w:rFonts w:cstheme="minorHAnsi"/>
        </w:rPr>
        <w:t>Bids shall remain valid for 1</w:t>
      </w:r>
      <w:r w:rsidR="006C20FE" w:rsidRPr="00A54361">
        <w:rPr>
          <w:rFonts w:cstheme="minorHAnsi"/>
        </w:rPr>
        <w:t>20</w:t>
      </w:r>
      <w:r w:rsidRPr="00A54361">
        <w:rPr>
          <w:rFonts w:cstheme="minorHAnsi"/>
        </w:rPr>
        <w:t xml:space="preserve"> days from the last date of bid submission. A bid valid for shorter period shall be rejected by the bank as non-responsive.</w:t>
      </w:r>
    </w:p>
    <w:p w14:paraId="56A553BB" w14:textId="2A2B3848" w:rsidR="003F1B67" w:rsidRPr="00A54361" w:rsidRDefault="001D0359" w:rsidP="00A54361">
      <w:pPr>
        <w:pStyle w:val="Heading1"/>
        <w:numPr>
          <w:ilvl w:val="0"/>
          <w:numId w:val="48"/>
        </w:numPr>
        <w:jc w:val="both"/>
        <w:rPr>
          <w:rFonts w:asciiTheme="minorHAnsi" w:hAnsiTheme="minorHAnsi" w:cstheme="minorHAnsi"/>
          <w:color w:val="auto"/>
        </w:rPr>
      </w:pPr>
      <w:bookmarkStart w:id="247" w:name="_Toc182233401"/>
      <w:r w:rsidRPr="00A54361">
        <w:rPr>
          <w:rFonts w:asciiTheme="minorHAnsi" w:hAnsiTheme="minorHAnsi" w:cstheme="minorHAnsi"/>
          <w:color w:val="auto"/>
        </w:rPr>
        <w:t>Ownership, Grant and Delivery</w:t>
      </w:r>
      <w:bookmarkStart w:id="248" w:name="_Toc129668524"/>
      <w:bookmarkEnd w:id="247"/>
    </w:p>
    <w:p w14:paraId="3E70B7C5" w14:textId="41703FA3" w:rsidR="003F1B67" w:rsidRPr="00A54361" w:rsidRDefault="003F1B67" w:rsidP="00A54361">
      <w:pPr>
        <w:jc w:val="both"/>
      </w:pPr>
      <w:r w:rsidRPr="00A54361">
        <w:t>The Bidder shall procure and provide a non-exclusive, non-transferable, perpetual license to the</w:t>
      </w:r>
      <w:r w:rsidR="00B25A3F" w:rsidRPr="00A54361">
        <w:t xml:space="preserve"> </w:t>
      </w:r>
      <w:r w:rsidRPr="00A54361">
        <w:t>Bank for all the software to be provided as a part of this project</w:t>
      </w:r>
      <w:r w:rsidR="00B25A3F" w:rsidRPr="00A54361">
        <w:t>.</w:t>
      </w:r>
    </w:p>
    <w:p w14:paraId="520E7B1C" w14:textId="17C302CD" w:rsidR="001A34F4" w:rsidRPr="00A54361" w:rsidRDefault="001A34F4" w:rsidP="00A54361">
      <w:pPr>
        <w:jc w:val="both"/>
      </w:pPr>
      <w:r w:rsidRPr="00A54361">
        <w:t>The Bank reserves the right to use the excess capacity of the hardware, licenses and other infrastructure supplied by the Bidder for any internal use of the Bank or its affiliates, subsidiaries or regional rural Bank at no additional cost other than the prices mentioned in the commercial bid. The Bidder agrees that they do not have any reservations on such use and will not have any claim whatsoever against such use of the hardware, licenses and infrastructure.</w:t>
      </w:r>
    </w:p>
    <w:p w14:paraId="6ADB235A" w14:textId="1095BE89" w:rsidR="001A34F4" w:rsidRPr="00A54361" w:rsidRDefault="001A34F4" w:rsidP="00A54361">
      <w:pPr>
        <w:jc w:val="both"/>
      </w:pPr>
      <w:r w:rsidRPr="00A54361">
        <w:t>Further, the Bidder also agrees that such use will not infringe or violate any license or other requirements as per applicable intellectual property right.</w:t>
      </w:r>
    </w:p>
    <w:p w14:paraId="7ED61345" w14:textId="27FE0227" w:rsidR="00B203B5" w:rsidRPr="00A54361" w:rsidRDefault="00B203B5" w:rsidP="00A54361">
      <w:pPr>
        <w:pStyle w:val="Heading1"/>
        <w:numPr>
          <w:ilvl w:val="0"/>
          <w:numId w:val="48"/>
        </w:numPr>
        <w:jc w:val="both"/>
        <w:rPr>
          <w:rFonts w:asciiTheme="minorHAnsi" w:hAnsiTheme="minorHAnsi" w:cstheme="minorHAnsi"/>
          <w:color w:val="auto"/>
        </w:rPr>
      </w:pPr>
      <w:bookmarkStart w:id="249" w:name="_Toc182233402"/>
      <w:r w:rsidRPr="00A54361">
        <w:rPr>
          <w:rFonts w:asciiTheme="minorHAnsi" w:hAnsiTheme="minorHAnsi" w:cstheme="minorHAnsi"/>
          <w:color w:val="auto"/>
        </w:rPr>
        <w:lastRenderedPageBreak/>
        <w:t>Last Date and Time for Submission of Bids</w:t>
      </w:r>
      <w:bookmarkEnd w:id="248"/>
      <w:bookmarkEnd w:id="249"/>
    </w:p>
    <w:p w14:paraId="07DE5CFD" w14:textId="72707883" w:rsidR="00B203B5" w:rsidRPr="00A54361" w:rsidRDefault="00B203B5" w:rsidP="00A54361">
      <w:pPr>
        <w:spacing w:before="120" w:after="120"/>
        <w:jc w:val="both"/>
        <w:rPr>
          <w:rFonts w:cstheme="minorHAnsi"/>
        </w:rPr>
      </w:pPr>
      <w:r w:rsidRPr="00A54361">
        <w:rPr>
          <w:rFonts w:cstheme="minorHAnsi"/>
        </w:rPr>
        <w:t>Bids must be submitted not later than the specified date and time as specified in the Bid Document. Bank reserves the right to extend the date &amp; time without mentioning any reason.</w:t>
      </w:r>
    </w:p>
    <w:p w14:paraId="5FCC1D3E" w14:textId="71AB4495" w:rsidR="00B203B5" w:rsidRPr="00A54361" w:rsidRDefault="00B203B5" w:rsidP="00A54361">
      <w:pPr>
        <w:pStyle w:val="Heading1"/>
        <w:numPr>
          <w:ilvl w:val="0"/>
          <w:numId w:val="48"/>
        </w:numPr>
        <w:jc w:val="both"/>
        <w:rPr>
          <w:rFonts w:asciiTheme="minorHAnsi" w:hAnsiTheme="minorHAnsi" w:cstheme="minorHAnsi"/>
          <w:color w:val="auto"/>
        </w:rPr>
      </w:pPr>
      <w:bookmarkStart w:id="250" w:name="_Toc129668525"/>
      <w:bookmarkStart w:id="251" w:name="_Toc182233403"/>
      <w:r w:rsidRPr="00A54361">
        <w:rPr>
          <w:rFonts w:asciiTheme="minorHAnsi" w:hAnsiTheme="minorHAnsi" w:cstheme="minorHAnsi"/>
          <w:color w:val="auto"/>
        </w:rPr>
        <w:t>Late Bids</w:t>
      </w:r>
      <w:bookmarkEnd w:id="250"/>
      <w:bookmarkEnd w:id="251"/>
    </w:p>
    <w:p w14:paraId="667ADAB1" w14:textId="2FB9958E" w:rsidR="00B203B5" w:rsidRPr="00A54361" w:rsidRDefault="00B203B5" w:rsidP="00A54361">
      <w:pPr>
        <w:spacing w:before="120" w:after="120"/>
        <w:jc w:val="both"/>
        <w:rPr>
          <w:rFonts w:cstheme="minorHAnsi"/>
        </w:rPr>
      </w:pPr>
      <w:r w:rsidRPr="00A54361">
        <w:rPr>
          <w:rFonts w:cstheme="minorHAnsi"/>
        </w:rPr>
        <w:t>Any bid received after the deadline for submission of bids will be rejected and/or returned unopened to the Bidder, if so desired by him.</w:t>
      </w:r>
    </w:p>
    <w:p w14:paraId="7DAB39F4" w14:textId="1EEBBB0B" w:rsidR="00B203B5" w:rsidRPr="00A54361" w:rsidRDefault="00B203B5" w:rsidP="00A54361">
      <w:pPr>
        <w:pStyle w:val="Heading1"/>
        <w:numPr>
          <w:ilvl w:val="0"/>
          <w:numId w:val="48"/>
        </w:numPr>
        <w:jc w:val="both"/>
        <w:rPr>
          <w:rFonts w:asciiTheme="minorHAnsi" w:hAnsiTheme="minorHAnsi" w:cstheme="minorHAnsi"/>
          <w:color w:val="auto"/>
        </w:rPr>
      </w:pPr>
      <w:bookmarkStart w:id="252" w:name="_Toc129668526"/>
      <w:bookmarkStart w:id="253" w:name="_Toc182233404"/>
      <w:r w:rsidRPr="00A54361">
        <w:rPr>
          <w:rFonts w:asciiTheme="minorHAnsi" w:hAnsiTheme="minorHAnsi" w:cstheme="minorHAnsi"/>
          <w:color w:val="auto"/>
        </w:rPr>
        <w:t>Modifications and/or Withdrawal of Bids</w:t>
      </w:r>
      <w:bookmarkEnd w:id="252"/>
      <w:bookmarkEnd w:id="253"/>
    </w:p>
    <w:p w14:paraId="050BF539" w14:textId="72F219EC" w:rsidR="00B203B5" w:rsidRPr="00A54361" w:rsidRDefault="00B203B5" w:rsidP="00A54361">
      <w:pPr>
        <w:pStyle w:val="ListParagraph"/>
        <w:numPr>
          <w:ilvl w:val="0"/>
          <w:numId w:val="23"/>
        </w:numPr>
        <w:spacing w:before="120" w:after="120"/>
        <w:jc w:val="both"/>
        <w:rPr>
          <w:rFonts w:cstheme="minorHAnsi"/>
        </w:rPr>
      </w:pPr>
      <w:r w:rsidRPr="00A54361">
        <w:rPr>
          <w:rFonts w:cstheme="minorHAnsi"/>
        </w:rPr>
        <w:t xml:space="preserve">Bids once submitted will be treated as final and no further correspondence will be entertained on this. </w:t>
      </w:r>
    </w:p>
    <w:p w14:paraId="2D04AE1A" w14:textId="13E02344" w:rsidR="00B203B5" w:rsidRPr="00A54361" w:rsidRDefault="00B203B5" w:rsidP="00A54361">
      <w:pPr>
        <w:pStyle w:val="ListParagraph"/>
        <w:numPr>
          <w:ilvl w:val="0"/>
          <w:numId w:val="23"/>
        </w:numPr>
        <w:spacing w:before="120" w:after="120"/>
        <w:jc w:val="both"/>
        <w:rPr>
          <w:rFonts w:cstheme="minorHAnsi"/>
        </w:rPr>
      </w:pPr>
      <w:r w:rsidRPr="00A54361">
        <w:rPr>
          <w:rFonts w:cstheme="minorHAnsi"/>
        </w:rPr>
        <w:t xml:space="preserve">No bid will be modified after the deadline for submission of bids. </w:t>
      </w:r>
    </w:p>
    <w:p w14:paraId="6125C644" w14:textId="688A8D92" w:rsidR="00B203B5" w:rsidRPr="00A54361" w:rsidRDefault="00B203B5" w:rsidP="00A54361">
      <w:pPr>
        <w:pStyle w:val="ListParagraph"/>
        <w:numPr>
          <w:ilvl w:val="0"/>
          <w:numId w:val="23"/>
        </w:numPr>
        <w:spacing w:before="120" w:after="120"/>
        <w:jc w:val="both"/>
        <w:rPr>
          <w:rFonts w:cstheme="minorHAnsi"/>
        </w:rPr>
      </w:pPr>
      <w:r w:rsidRPr="00A54361">
        <w:rPr>
          <w:rFonts w:cstheme="minorHAnsi"/>
        </w:rPr>
        <w:t>No bidder shall be allowed to withdraw the bid, if the bidder happens to be a successful bidder.</w:t>
      </w:r>
    </w:p>
    <w:p w14:paraId="2665FF0B" w14:textId="4697F7F2" w:rsidR="00B203B5" w:rsidRPr="00A54361" w:rsidRDefault="00B203B5" w:rsidP="00A54361">
      <w:pPr>
        <w:spacing w:before="120" w:after="120"/>
        <w:jc w:val="both"/>
        <w:rPr>
          <w:rFonts w:cstheme="minorHAnsi"/>
        </w:rPr>
      </w:pPr>
      <w:r w:rsidRPr="00A54361">
        <w:rPr>
          <w:rFonts w:cstheme="minorHAnsi"/>
        </w:rPr>
        <w:t>Clarification of Bids</w:t>
      </w:r>
    </w:p>
    <w:p w14:paraId="4F0FEA10" w14:textId="61D07D10" w:rsidR="00B203B5" w:rsidRPr="00A54361" w:rsidRDefault="00B203B5" w:rsidP="00A54361">
      <w:pPr>
        <w:spacing w:before="120" w:after="120"/>
        <w:jc w:val="both"/>
        <w:rPr>
          <w:rFonts w:cstheme="minorHAnsi"/>
        </w:rPr>
      </w:pPr>
      <w:r w:rsidRPr="00A54361">
        <w:rPr>
          <w:rFonts w:cstheme="minorHAnsi"/>
        </w:rPr>
        <w:t>To assist in the examination, evaluation and comparison of bids the bank may, at its discretion, ask the bidder for clarification and response, which shall be in writing and without change in the price, shall be sought, offered or permitted.</w:t>
      </w:r>
    </w:p>
    <w:p w14:paraId="165AC1C1" w14:textId="38AA449E" w:rsidR="00B203B5" w:rsidRPr="00A54361" w:rsidRDefault="00B203B5" w:rsidP="00A54361">
      <w:pPr>
        <w:spacing w:before="120" w:after="120"/>
        <w:jc w:val="both"/>
        <w:rPr>
          <w:rFonts w:cstheme="minorHAnsi"/>
        </w:rPr>
      </w:pPr>
      <w:r w:rsidRPr="00A54361">
        <w:rPr>
          <w:rFonts w:cstheme="minorHAnsi"/>
        </w:rPr>
        <w:t>Bank’s Right to Accept or Reject Any Bid or All Bids</w:t>
      </w:r>
    </w:p>
    <w:p w14:paraId="274DCB3C" w14:textId="0A7F9C72" w:rsidR="00D720AC" w:rsidRPr="00A54361" w:rsidRDefault="00D720AC" w:rsidP="00A54361">
      <w:pPr>
        <w:spacing w:before="120" w:after="120"/>
        <w:jc w:val="both"/>
        <w:rPr>
          <w:rFonts w:cstheme="minorHAnsi"/>
        </w:rPr>
      </w:pPr>
      <w:r w:rsidRPr="00A54361">
        <w:rPr>
          <w:rFonts w:cstheme="minorHAnsi"/>
        </w:rPr>
        <w:t>The bank reserves the right to accept or reject any bid and annul the bidding process and reject all bids at any time prior to award of contract, without thereby incurring any liability to the affected bidder or bidders or any obligation to inform the affected bidder or bidders of the ground for the bank’s action.</w:t>
      </w:r>
    </w:p>
    <w:p w14:paraId="5CA188F8" w14:textId="68C69810" w:rsidR="00D720AC" w:rsidRPr="00A54361" w:rsidRDefault="00D720AC" w:rsidP="00A54361">
      <w:pPr>
        <w:pStyle w:val="Heading1"/>
        <w:numPr>
          <w:ilvl w:val="0"/>
          <w:numId w:val="48"/>
        </w:numPr>
        <w:jc w:val="both"/>
        <w:rPr>
          <w:rFonts w:asciiTheme="minorHAnsi" w:hAnsiTheme="minorHAnsi" w:cstheme="minorHAnsi"/>
          <w:color w:val="auto"/>
        </w:rPr>
      </w:pPr>
      <w:bookmarkStart w:id="254" w:name="_Toc129668527"/>
      <w:bookmarkStart w:id="255" w:name="_Toc182233405"/>
      <w:r w:rsidRPr="00A54361">
        <w:rPr>
          <w:rFonts w:asciiTheme="minorHAnsi" w:hAnsiTheme="minorHAnsi" w:cstheme="minorHAnsi"/>
          <w:color w:val="auto"/>
        </w:rPr>
        <w:t>Signing of Contract</w:t>
      </w:r>
      <w:bookmarkEnd w:id="254"/>
      <w:bookmarkEnd w:id="255"/>
    </w:p>
    <w:p w14:paraId="391C3114" w14:textId="77777777" w:rsidR="00E049EB" w:rsidRPr="00294C82" w:rsidRDefault="00D720AC" w:rsidP="00E049EB">
      <w:pPr>
        <w:spacing w:after="0" w:line="240" w:lineRule="auto"/>
        <w:jc w:val="both"/>
        <w:rPr>
          <w:rFonts w:ascii="Cambria" w:hAnsi="Cambria" w:cs="Times New Roman"/>
          <w:sz w:val="24"/>
          <w:szCs w:val="24"/>
        </w:rPr>
      </w:pPr>
      <w:r w:rsidRPr="00A54361">
        <w:rPr>
          <w:rFonts w:cstheme="minorHAnsi"/>
        </w:rPr>
        <w:t>The successful bidder(s) to be called as bidder, shall be required to enter into an Agreement with the Bank, within 21 days of the award of the work order (when provided) or within such extended period as may be specified by the bank.</w:t>
      </w:r>
      <w:r w:rsidR="00E049EB">
        <w:rPr>
          <w:rFonts w:cstheme="minorHAnsi"/>
        </w:rPr>
        <w:t xml:space="preserve">  </w:t>
      </w:r>
      <w:r w:rsidR="00E049EB" w:rsidRPr="00294C82">
        <w:rPr>
          <w:rFonts w:ascii="Cambria" w:hAnsi="Cambria" w:cs="Times New Roman"/>
          <w:sz w:val="24"/>
          <w:szCs w:val="24"/>
        </w:rPr>
        <w:t xml:space="preserve">In case of inconsistency among the concerned RFP, this SLA and the Purchase order, the RFP clauses shall prevail. </w:t>
      </w:r>
    </w:p>
    <w:p w14:paraId="5D893064" w14:textId="454A0CF0" w:rsidR="00D55816" w:rsidRPr="00A54361" w:rsidRDefault="00D55816" w:rsidP="00A54361">
      <w:pPr>
        <w:spacing w:before="120" w:after="120"/>
        <w:jc w:val="both"/>
        <w:rPr>
          <w:rFonts w:cstheme="minorHAnsi"/>
        </w:rPr>
      </w:pPr>
    </w:p>
    <w:p w14:paraId="6AD390BD" w14:textId="77777777" w:rsidR="00D55816" w:rsidRPr="00A54361" w:rsidRDefault="00D55816" w:rsidP="00A54361">
      <w:pPr>
        <w:jc w:val="both"/>
        <w:rPr>
          <w:rFonts w:cstheme="minorHAnsi"/>
        </w:rPr>
      </w:pPr>
      <w:r w:rsidRPr="00A54361">
        <w:rPr>
          <w:rFonts w:cstheme="minorHAnsi"/>
        </w:rPr>
        <w:br w:type="page"/>
      </w:r>
    </w:p>
    <w:p w14:paraId="6B73AECE" w14:textId="7FC155B8" w:rsidR="00D720AC" w:rsidRPr="00A54361" w:rsidRDefault="00D720AC" w:rsidP="00A54361">
      <w:pPr>
        <w:pStyle w:val="Heading1"/>
        <w:numPr>
          <w:ilvl w:val="0"/>
          <w:numId w:val="48"/>
        </w:numPr>
        <w:jc w:val="both"/>
        <w:rPr>
          <w:rFonts w:asciiTheme="minorHAnsi" w:hAnsiTheme="minorHAnsi" w:cstheme="minorHAnsi"/>
          <w:color w:val="auto"/>
        </w:rPr>
      </w:pPr>
      <w:bookmarkStart w:id="256" w:name="_Toc129668528"/>
      <w:bookmarkStart w:id="257" w:name="_Toc182233406"/>
      <w:r w:rsidRPr="00A54361">
        <w:rPr>
          <w:rFonts w:asciiTheme="minorHAnsi" w:hAnsiTheme="minorHAnsi" w:cstheme="minorHAnsi"/>
          <w:color w:val="auto"/>
        </w:rPr>
        <w:lastRenderedPageBreak/>
        <w:t>Checklist for Submission</w:t>
      </w:r>
      <w:bookmarkEnd w:id="256"/>
      <w:bookmarkEnd w:id="25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03"/>
        <w:gridCol w:w="6405"/>
        <w:gridCol w:w="1908"/>
      </w:tblGrid>
      <w:tr w:rsidR="000D3DC1" w:rsidRPr="00A54361" w14:paraId="0CCBCF5C" w14:textId="77777777" w:rsidTr="000C7371">
        <w:trPr>
          <w:trHeight w:hRule="exact" w:val="510"/>
          <w:tblHeader/>
        </w:trPr>
        <w:tc>
          <w:tcPr>
            <w:tcW w:w="390" w:type="pct"/>
            <w:vMerge w:val="restart"/>
            <w:shd w:val="clear" w:color="auto" w:fill="BDD6EE" w:themeFill="accent5" w:themeFillTint="66"/>
          </w:tcPr>
          <w:p w14:paraId="3B99B563" w14:textId="77777777" w:rsidR="001C11D9" w:rsidRPr="00A54361" w:rsidRDefault="001C11D9" w:rsidP="00A54361">
            <w:pPr>
              <w:jc w:val="both"/>
              <w:rPr>
                <w:rFonts w:cstheme="minorHAnsi"/>
                <w:b/>
                <w:bCs/>
                <w:lang w:val="en-US"/>
              </w:rPr>
            </w:pPr>
            <w:r w:rsidRPr="00A54361">
              <w:rPr>
                <w:rFonts w:cstheme="minorHAnsi"/>
                <w:b/>
                <w:bCs/>
                <w:lang w:val="en-US"/>
              </w:rPr>
              <w:t>#</w:t>
            </w:r>
          </w:p>
        </w:tc>
        <w:tc>
          <w:tcPr>
            <w:tcW w:w="3552" w:type="pct"/>
            <w:vMerge w:val="restart"/>
            <w:shd w:val="clear" w:color="auto" w:fill="BDD6EE" w:themeFill="accent5" w:themeFillTint="66"/>
          </w:tcPr>
          <w:p w14:paraId="12D07886" w14:textId="77777777" w:rsidR="001C11D9" w:rsidRPr="00A54361" w:rsidRDefault="001C11D9" w:rsidP="00A54361">
            <w:pPr>
              <w:jc w:val="both"/>
              <w:rPr>
                <w:rFonts w:cstheme="minorHAnsi"/>
                <w:b/>
                <w:bCs/>
                <w:lang w:val="en-US"/>
              </w:rPr>
            </w:pPr>
            <w:r w:rsidRPr="00A54361">
              <w:rPr>
                <w:rFonts w:cstheme="minorHAnsi"/>
                <w:b/>
                <w:bCs/>
                <w:spacing w:val="-3"/>
                <w:lang w:val="en-US"/>
              </w:rPr>
              <w:t>P</w:t>
            </w:r>
            <w:r w:rsidRPr="00A54361">
              <w:rPr>
                <w:rFonts w:cstheme="minorHAnsi"/>
                <w:b/>
                <w:bCs/>
                <w:lang w:val="en-US"/>
              </w:rPr>
              <w:t>arti</w:t>
            </w:r>
            <w:r w:rsidRPr="00A54361">
              <w:rPr>
                <w:rFonts w:cstheme="minorHAnsi"/>
                <w:b/>
                <w:bCs/>
                <w:spacing w:val="-1"/>
                <w:lang w:val="en-US"/>
              </w:rPr>
              <w:t>c</w:t>
            </w:r>
            <w:r w:rsidRPr="00A54361">
              <w:rPr>
                <w:rFonts w:cstheme="minorHAnsi"/>
                <w:b/>
                <w:bCs/>
                <w:lang w:val="en-US"/>
              </w:rPr>
              <w:t>ulars</w:t>
            </w:r>
          </w:p>
        </w:tc>
        <w:tc>
          <w:tcPr>
            <w:tcW w:w="1058" w:type="pct"/>
            <w:vMerge w:val="restart"/>
            <w:shd w:val="clear" w:color="auto" w:fill="BDD6EE" w:themeFill="accent5" w:themeFillTint="66"/>
          </w:tcPr>
          <w:p w14:paraId="62AC732F" w14:textId="77777777" w:rsidR="001C11D9" w:rsidRPr="00A54361" w:rsidRDefault="001C11D9" w:rsidP="00A54361">
            <w:pPr>
              <w:jc w:val="both"/>
              <w:rPr>
                <w:rFonts w:cstheme="minorHAnsi"/>
                <w:b/>
                <w:bCs/>
                <w:lang w:val="en-US"/>
              </w:rPr>
            </w:pPr>
            <w:r w:rsidRPr="00A54361">
              <w:rPr>
                <w:rFonts w:cstheme="minorHAnsi"/>
                <w:b/>
                <w:bCs/>
                <w:lang w:val="en-US"/>
              </w:rPr>
              <w:t>Bi</w:t>
            </w:r>
            <w:r w:rsidRPr="00A54361">
              <w:rPr>
                <w:rFonts w:cstheme="minorHAnsi"/>
                <w:b/>
                <w:bCs/>
                <w:spacing w:val="1"/>
                <w:lang w:val="en-US"/>
              </w:rPr>
              <w:t>dd</w:t>
            </w:r>
            <w:r w:rsidRPr="00A54361">
              <w:rPr>
                <w:rFonts w:cstheme="minorHAnsi"/>
                <w:b/>
                <w:bCs/>
                <w:spacing w:val="-1"/>
                <w:lang w:val="en-US"/>
              </w:rPr>
              <w:t>er</w:t>
            </w:r>
            <w:r w:rsidRPr="00A54361">
              <w:rPr>
                <w:rFonts w:cstheme="minorHAnsi"/>
                <w:b/>
                <w:bCs/>
                <w:lang w:val="en-US"/>
              </w:rPr>
              <w:t>s R</w:t>
            </w:r>
            <w:r w:rsidRPr="00A54361">
              <w:rPr>
                <w:rFonts w:cstheme="minorHAnsi"/>
                <w:b/>
                <w:bCs/>
                <w:spacing w:val="1"/>
                <w:lang w:val="en-US"/>
              </w:rPr>
              <w:t>e</w:t>
            </w:r>
            <w:r w:rsidRPr="00A54361">
              <w:rPr>
                <w:rFonts w:cstheme="minorHAnsi"/>
                <w:b/>
                <w:bCs/>
                <w:spacing w:val="-3"/>
                <w:lang w:val="en-US"/>
              </w:rPr>
              <w:t>m</w:t>
            </w:r>
            <w:r w:rsidRPr="00A54361">
              <w:rPr>
                <w:rFonts w:cstheme="minorHAnsi"/>
                <w:b/>
                <w:bCs/>
                <w:lang w:val="en-US"/>
              </w:rPr>
              <w:t>a</w:t>
            </w:r>
            <w:r w:rsidRPr="00A54361">
              <w:rPr>
                <w:rFonts w:cstheme="minorHAnsi"/>
                <w:b/>
                <w:bCs/>
                <w:spacing w:val="-1"/>
                <w:lang w:val="en-US"/>
              </w:rPr>
              <w:t>r</w:t>
            </w:r>
            <w:r w:rsidRPr="00A54361">
              <w:rPr>
                <w:rFonts w:cstheme="minorHAnsi"/>
                <w:b/>
                <w:bCs/>
                <w:lang w:val="en-US"/>
              </w:rPr>
              <w:t>k Y</w:t>
            </w:r>
            <w:r w:rsidRPr="00A54361">
              <w:rPr>
                <w:rFonts w:cstheme="minorHAnsi"/>
                <w:b/>
                <w:bCs/>
                <w:spacing w:val="-1"/>
                <w:lang w:val="en-US"/>
              </w:rPr>
              <w:t>e</w:t>
            </w:r>
            <w:r w:rsidRPr="00A54361">
              <w:rPr>
                <w:rFonts w:cstheme="minorHAnsi"/>
                <w:b/>
                <w:bCs/>
                <w:lang w:val="en-US"/>
              </w:rPr>
              <w:t>s/No</w:t>
            </w:r>
          </w:p>
        </w:tc>
      </w:tr>
      <w:tr w:rsidR="000D3DC1" w:rsidRPr="00A54361" w14:paraId="2634D347" w14:textId="77777777" w:rsidTr="000C7371">
        <w:trPr>
          <w:trHeight w:val="269"/>
        </w:trPr>
        <w:tc>
          <w:tcPr>
            <w:tcW w:w="390" w:type="pct"/>
            <w:vMerge/>
            <w:shd w:val="clear" w:color="auto" w:fill="BDD6EE" w:themeFill="accent5" w:themeFillTint="66"/>
          </w:tcPr>
          <w:p w14:paraId="01DEA483" w14:textId="77777777" w:rsidR="001C11D9" w:rsidRPr="00A54361" w:rsidRDefault="001C11D9" w:rsidP="00A54361">
            <w:pPr>
              <w:spacing w:after="0" w:line="240" w:lineRule="auto"/>
              <w:jc w:val="both"/>
              <w:rPr>
                <w:rFonts w:eastAsia="Times New Roman" w:cstheme="minorHAnsi"/>
                <w:lang w:val="en-US"/>
              </w:rPr>
            </w:pPr>
          </w:p>
        </w:tc>
        <w:tc>
          <w:tcPr>
            <w:tcW w:w="3552" w:type="pct"/>
            <w:vMerge/>
            <w:shd w:val="clear" w:color="auto" w:fill="BDD6EE" w:themeFill="accent5" w:themeFillTint="66"/>
          </w:tcPr>
          <w:p w14:paraId="5559EFE2" w14:textId="77777777" w:rsidR="001C11D9" w:rsidRPr="00A54361" w:rsidRDefault="001C11D9" w:rsidP="00A54361">
            <w:pPr>
              <w:spacing w:after="0" w:line="240" w:lineRule="auto"/>
              <w:jc w:val="both"/>
              <w:rPr>
                <w:rFonts w:eastAsia="Times New Roman" w:cstheme="minorHAnsi"/>
                <w:lang w:val="en-US"/>
              </w:rPr>
            </w:pPr>
          </w:p>
        </w:tc>
        <w:tc>
          <w:tcPr>
            <w:tcW w:w="1058" w:type="pct"/>
            <w:vMerge/>
            <w:shd w:val="clear" w:color="auto" w:fill="BDD6EE" w:themeFill="accent5" w:themeFillTint="66"/>
          </w:tcPr>
          <w:p w14:paraId="76549714" w14:textId="77777777" w:rsidR="001C11D9" w:rsidRPr="00A54361" w:rsidRDefault="001C11D9" w:rsidP="00A54361">
            <w:pPr>
              <w:spacing w:after="0" w:line="240" w:lineRule="auto"/>
              <w:jc w:val="both"/>
              <w:rPr>
                <w:rFonts w:eastAsia="Times New Roman" w:cstheme="minorHAnsi"/>
                <w:lang w:val="en-US"/>
              </w:rPr>
            </w:pPr>
          </w:p>
        </w:tc>
      </w:tr>
      <w:tr w:rsidR="000D3DC1" w:rsidRPr="00A54361" w14:paraId="675C7F72" w14:textId="77777777" w:rsidTr="000C7371">
        <w:trPr>
          <w:trHeight w:hRule="exact" w:val="288"/>
        </w:trPr>
        <w:tc>
          <w:tcPr>
            <w:tcW w:w="390" w:type="pct"/>
          </w:tcPr>
          <w:p w14:paraId="539A0BC1" w14:textId="77777777" w:rsidR="001C11D9" w:rsidRPr="00A54361" w:rsidRDefault="001C11D9" w:rsidP="00A54361">
            <w:pPr>
              <w:spacing w:before="4" w:after="0" w:line="240" w:lineRule="auto"/>
              <w:ind w:left="102"/>
              <w:jc w:val="both"/>
              <w:rPr>
                <w:rFonts w:eastAsia="Times New Roman" w:cstheme="minorHAnsi"/>
                <w:lang w:val="en-US"/>
              </w:rPr>
            </w:pPr>
            <w:r w:rsidRPr="00A54361">
              <w:rPr>
                <w:rFonts w:eastAsia="Times New Roman" w:cstheme="minorHAnsi"/>
                <w:lang w:val="en-US"/>
              </w:rPr>
              <w:t>1</w:t>
            </w:r>
          </w:p>
        </w:tc>
        <w:tc>
          <w:tcPr>
            <w:tcW w:w="3552" w:type="pct"/>
          </w:tcPr>
          <w:p w14:paraId="57C1D775" w14:textId="77777777" w:rsidR="001C11D9" w:rsidRPr="00A54361" w:rsidRDefault="001C11D9" w:rsidP="00A54361">
            <w:pPr>
              <w:spacing w:before="6" w:after="0" w:line="240" w:lineRule="auto"/>
              <w:ind w:left="57"/>
              <w:jc w:val="both"/>
              <w:rPr>
                <w:rFonts w:eastAsia="Times New Roman" w:cstheme="minorHAnsi"/>
                <w:spacing w:val="-1"/>
                <w:lang w:val="en-US"/>
              </w:rPr>
            </w:pPr>
            <w:r w:rsidRPr="00A54361">
              <w:rPr>
                <w:rFonts w:eastAsia="Times New Roman" w:cstheme="minorHAnsi"/>
                <w:lang w:val="en-US"/>
              </w:rPr>
              <w:t>C</w:t>
            </w:r>
            <w:r w:rsidRPr="00A54361">
              <w:rPr>
                <w:rFonts w:eastAsia="Times New Roman" w:cstheme="minorHAnsi"/>
                <w:spacing w:val="-1"/>
                <w:lang w:val="en-US"/>
              </w:rPr>
              <w:t>e</w:t>
            </w:r>
            <w:r w:rsidRPr="00A54361">
              <w:rPr>
                <w:rFonts w:eastAsia="Times New Roman" w:cstheme="minorHAnsi"/>
                <w:lang w:val="en-US"/>
              </w:rPr>
              <w:t>rtifi</w:t>
            </w:r>
            <w:r w:rsidRPr="00A54361">
              <w:rPr>
                <w:rFonts w:eastAsia="Times New Roman" w:cstheme="minorHAnsi"/>
                <w:spacing w:val="-1"/>
                <w:lang w:val="en-US"/>
              </w:rPr>
              <w:t>ca</w:t>
            </w:r>
            <w:r w:rsidRPr="00A54361">
              <w:rPr>
                <w:rFonts w:eastAsia="Times New Roman" w:cstheme="minorHAnsi"/>
                <w:lang w:val="en-US"/>
              </w:rPr>
              <w:t>te of</w:t>
            </w:r>
            <w:r w:rsidRPr="00A54361">
              <w:rPr>
                <w:rFonts w:eastAsia="Times New Roman" w:cstheme="minorHAnsi"/>
                <w:spacing w:val="59"/>
                <w:lang w:val="en-US"/>
              </w:rPr>
              <w:t xml:space="preserve"> </w:t>
            </w:r>
            <w:r w:rsidRPr="00A54361">
              <w:rPr>
                <w:rFonts w:eastAsia="Times New Roman" w:cstheme="minorHAnsi"/>
                <w:lang w:val="en-US"/>
              </w:rPr>
              <w:t>in</w:t>
            </w:r>
            <w:r w:rsidRPr="00A54361">
              <w:rPr>
                <w:rFonts w:eastAsia="Times New Roman" w:cstheme="minorHAnsi"/>
                <w:spacing w:val="2"/>
                <w:lang w:val="en-US"/>
              </w:rPr>
              <w:t>c</w:t>
            </w:r>
            <w:r w:rsidRPr="00A54361">
              <w:rPr>
                <w:rFonts w:eastAsia="Times New Roman" w:cstheme="minorHAnsi"/>
                <w:lang w:val="en-US"/>
              </w:rPr>
              <w:t>orpo</w:t>
            </w:r>
            <w:r w:rsidRPr="00A54361">
              <w:rPr>
                <w:rFonts w:eastAsia="Times New Roman" w:cstheme="minorHAnsi"/>
                <w:spacing w:val="1"/>
                <w:lang w:val="en-US"/>
              </w:rPr>
              <w:t>r</w:t>
            </w:r>
            <w:r w:rsidRPr="00A54361">
              <w:rPr>
                <w:rFonts w:eastAsia="Times New Roman" w:cstheme="minorHAnsi"/>
                <w:spacing w:val="-1"/>
                <w:lang w:val="en-US"/>
              </w:rPr>
              <w:t>a</w:t>
            </w:r>
            <w:r w:rsidRPr="00A54361">
              <w:rPr>
                <w:rFonts w:eastAsia="Times New Roman" w:cstheme="minorHAnsi"/>
                <w:lang w:val="en-US"/>
              </w:rPr>
              <w:t>t</w:t>
            </w:r>
            <w:r w:rsidRPr="00A54361">
              <w:rPr>
                <w:rFonts w:eastAsia="Times New Roman" w:cstheme="minorHAnsi"/>
                <w:spacing w:val="1"/>
                <w:lang w:val="en-US"/>
              </w:rPr>
              <w:t>i</w:t>
            </w:r>
            <w:r w:rsidRPr="00A54361">
              <w:rPr>
                <w:rFonts w:eastAsia="Times New Roman" w:cstheme="minorHAnsi"/>
                <w:lang w:val="en-US"/>
              </w:rPr>
              <w:t>on</w:t>
            </w:r>
          </w:p>
        </w:tc>
        <w:tc>
          <w:tcPr>
            <w:tcW w:w="1058" w:type="pct"/>
          </w:tcPr>
          <w:p w14:paraId="4273965F" w14:textId="77777777" w:rsidR="001C11D9" w:rsidRPr="00A54361" w:rsidRDefault="001C11D9" w:rsidP="00A54361">
            <w:pPr>
              <w:spacing w:after="0" w:line="240" w:lineRule="auto"/>
              <w:jc w:val="both"/>
              <w:rPr>
                <w:rFonts w:eastAsia="Times New Roman" w:cstheme="minorHAnsi"/>
                <w:lang w:val="en-US"/>
              </w:rPr>
            </w:pPr>
          </w:p>
        </w:tc>
      </w:tr>
      <w:tr w:rsidR="000D3DC1" w:rsidRPr="00A54361" w14:paraId="318EEA3A" w14:textId="77777777" w:rsidTr="000C7371">
        <w:trPr>
          <w:trHeight w:hRule="exact" w:val="288"/>
        </w:trPr>
        <w:tc>
          <w:tcPr>
            <w:tcW w:w="390" w:type="pct"/>
          </w:tcPr>
          <w:p w14:paraId="62921673" w14:textId="2047A18F" w:rsidR="001C11D9" w:rsidRPr="00A54361" w:rsidRDefault="0051129D" w:rsidP="00A54361">
            <w:pPr>
              <w:spacing w:before="4" w:after="0" w:line="240" w:lineRule="auto"/>
              <w:ind w:left="102"/>
              <w:jc w:val="both"/>
              <w:rPr>
                <w:rFonts w:eastAsia="Times New Roman" w:cstheme="minorHAnsi"/>
                <w:lang w:val="en-US"/>
              </w:rPr>
            </w:pPr>
            <w:r w:rsidRPr="00A54361">
              <w:rPr>
                <w:rFonts w:eastAsia="Times New Roman" w:cstheme="minorHAnsi"/>
                <w:lang w:val="en-US"/>
              </w:rPr>
              <w:t>2</w:t>
            </w:r>
          </w:p>
        </w:tc>
        <w:tc>
          <w:tcPr>
            <w:tcW w:w="3552" w:type="pct"/>
          </w:tcPr>
          <w:p w14:paraId="1974120C" w14:textId="5B5D1A40" w:rsidR="001C11D9" w:rsidRPr="00A54361" w:rsidRDefault="00331913" w:rsidP="00A54361">
            <w:pPr>
              <w:spacing w:before="6" w:after="0" w:line="240" w:lineRule="auto"/>
              <w:ind w:left="57"/>
              <w:jc w:val="both"/>
              <w:rPr>
                <w:rFonts w:eastAsia="Times New Roman" w:cstheme="minorHAnsi"/>
                <w:lang w:val="en-US"/>
              </w:rPr>
            </w:pPr>
            <w:r w:rsidRPr="00A54361">
              <w:rPr>
                <w:rFonts w:eastAsia="Times New Roman" w:cstheme="minorHAnsi"/>
                <w:lang w:val="en-US"/>
              </w:rPr>
              <w:t>GSTN Registration Certificate</w:t>
            </w:r>
          </w:p>
        </w:tc>
        <w:tc>
          <w:tcPr>
            <w:tcW w:w="1058" w:type="pct"/>
          </w:tcPr>
          <w:p w14:paraId="14E508CA" w14:textId="77777777" w:rsidR="001C11D9" w:rsidRPr="00A54361" w:rsidRDefault="001C11D9" w:rsidP="00A54361">
            <w:pPr>
              <w:spacing w:after="0" w:line="240" w:lineRule="auto"/>
              <w:jc w:val="both"/>
              <w:rPr>
                <w:rFonts w:eastAsia="Times New Roman" w:cstheme="minorHAnsi"/>
                <w:lang w:val="en-US"/>
              </w:rPr>
            </w:pPr>
          </w:p>
        </w:tc>
      </w:tr>
      <w:tr w:rsidR="000D3DC1" w:rsidRPr="00A54361" w14:paraId="0CCB4556" w14:textId="77777777" w:rsidTr="000C7371">
        <w:trPr>
          <w:trHeight w:hRule="exact" w:val="288"/>
        </w:trPr>
        <w:tc>
          <w:tcPr>
            <w:tcW w:w="390" w:type="pct"/>
          </w:tcPr>
          <w:p w14:paraId="21E1F3C0" w14:textId="285A01F0" w:rsidR="0051129D" w:rsidRPr="00A54361" w:rsidRDefault="00091175" w:rsidP="00A54361">
            <w:pPr>
              <w:spacing w:before="4" w:after="0" w:line="240" w:lineRule="auto"/>
              <w:ind w:left="102"/>
              <w:jc w:val="both"/>
              <w:rPr>
                <w:rFonts w:eastAsia="Times New Roman" w:cstheme="minorHAnsi"/>
                <w:lang w:val="en-US"/>
              </w:rPr>
            </w:pPr>
            <w:r w:rsidRPr="00A54361">
              <w:rPr>
                <w:rFonts w:eastAsia="Times New Roman" w:cstheme="minorHAnsi"/>
                <w:lang w:val="en-US"/>
              </w:rPr>
              <w:t>3</w:t>
            </w:r>
          </w:p>
        </w:tc>
        <w:tc>
          <w:tcPr>
            <w:tcW w:w="3552" w:type="pct"/>
          </w:tcPr>
          <w:p w14:paraId="7450DDBF" w14:textId="38B1E138" w:rsidR="0051129D" w:rsidRPr="00A54361" w:rsidRDefault="0051129D" w:rsidP="00A54361">
            <w:pPr>
              <w:spacing w:before="6" w:after="0" w:line="240" w:lineRule="auto"/>
              <w:ind w:left="57"/>
              <w:jc w:val="both"/>
              <w:rPr>
                <w:rFonts w:eastAsia="Times New Roman" w:cstheme="minorHAnsi"/>
                <w:spacing w:val="-1"/>
                <w:lang w:val="en-US"/>
              </w:rPr>
            </w:pPr>
            <w:r w:rsidRPr="00A54361">
              <w:rPr>
                <w:rFonts w:eastAsia="Times New Roman" w:cstheme="minorHAnsi"/>
                <w:spacing w:val="-1"/>
                <w:lang w:val="en-US"/>
              </w:rPr>
              <w:t>A</w:t>
            </w:r>
            <w:r w:rsidRPr="00A54361">
              <w:rPr>
                <w:rFonts w:eastAsia="Times New Roman" w:cstheme="minorHAnsi"/>
                <w:lang w:val="en-US"/>
              </w:rPr>
              <w:t>ud</w:t>
            </w:r>
            <w:r w:rsidRPr="00A54361">
              <w:rPr>
                <w:rFonts w:eastAsia="Times New Roman" w:cstheme="minorHAnsi"/>
                <w:spacing w:val="1"/>
                <w:lang w:val="en-US"/>
              </w:rPr>
              <w:t>it</w:t>
            </w:r>
            <w:r w:rsidRPr="00A54361">
              <w:rPr>
                <w:rFonts w:eastAsia="Times New Roman" w:cstheme="minorHAnsi"/>
                <w:spacing w:val="-2"/>
                <w:lang w:val="en-US"/>
              </w:rPr>
              <w:t>e</w:t>
            </w:r>
            <w:r w:rsidRPr="00A54361">
              <w:rPr>
                <w:rFonts w:eastAsia="Times New Roman" w:cstheme="minorHAnsi"/>
                <w:lang w:val="en-US"/>
              </w:rPr>
              <w:t xml:space="preserve">d </w:t>
            </w:r>
            <w:r w:rsidRPr="00A54361">
              <w:rPr>
                <w:rFonts w:eastAsia="Times New Roman" w:cstheme="minorHAnsi"/>
                <w:spacing w:val="-1"/>
                <w:lang w:val="en-US"/>
              </w:rPr>
              <w:t>B</w:t>
            </w:r>
            <w:r w:rsidRPr="00A54361">
              <w:rPr>
                <w:rFonts w:eastAsia="Times New Roman" w:cstheme="minorHAnsi"/>
                <w:lang w:val="en-US"/>
              </w:rPr>
              <w:t>a</w:t>
            </w:r>
            <w:r w:rsidRPr="00A54361">
              <w:rPr>
                <w:rFonts w:eastAsia="Times New Roman" w:cstheme="minorHAnsi"/>
                <w:spacing w:val="-1"/>
                <w:lang w:val="en-US"/>
              </w:rPr>
              <w:t>l</w:t>
            </w:r>
            <w:r w:rsidRPr="00A54361">
              <w:rPr>
                <w:rFonts w:eastAsia="Times New Roman" w:cstheme="minorHAnsi"/>
                <w:lang w:val="en-US"/>
              </w:rPr>
              <w:t>an</w:t>
            </w:r>
            <w:r w:rsidRPr="00A54361">
              <w:rPr>
                <w:rFonts w:eastAsia="Times New Roman" w:cstheme="minorHAnsi"/>
                <w:spacing w:val="-2"/>
                <w:lang w:val="en-US"/>
              </w:rPr>
              <w:t>c</w:t>
            </w:r>
            <w:r w:rsidRPr="00A54361">
              <w:rPr>
                <w:rFonts w:eastAsia="Times New Roman" w:cstheme="minorHAnsi"/>
                <w:lang w:val="en-US"/>
              </w:rPr>
              <w:t xml:space="preserve">e </w:t>
            </w:r>
            <w:r w:rsidRPr="00A54361">
              <w:rPr>
                <w:rFonts w:eastAsia="Times New Roman" w:cstheme="minorHAnsi"/>
                <w:spacing w:val="1"/>
                <w:lang w:val="en-US"/>
              </w:rPr>
              <w:t>s</w:t>
            </w:r>
            <w:r w:rsidRPr="00A54361">
              <w:rPr>
                <w:rFonts w:eastAsia="Times New Roman" w:cstheme="minorHAnsi"/>
                <w:lang w:val="en-US"/>
              </w:rPr>
              <w:t>h</w:t>
            </w:r>
            <w:r w:rsidRPr="00A54361">
              <w:rPr>
                <w:rFonts w:eastAsia="Times New Roman" w:cstheme="minorHAnsi"/>
                <w:spacing w:val="-2"/>
                <w:lang w:val="en-US"/>
              </w:rPr>
              <w:t>e</w:t>
            </w:r>
            <w:r w:rsidRPr="00A54361">
              <w:rPr>
                <w:rFonts w:eastAsia="Times New Roman" w:cstheme="minorHAnsi"/>
                <w:lang w:val="en-US"/>
              </w:rPr>
              <w:t>e</w:t>
            </w:r>
            <w:r w:rsidRPr="00A54361">
              <w:rPr>
                <w:rFonts w:eastAsia="Times New Roman" w:cstheme="minorHAnsi"/>
                <w:spacing w:val="-1"/>
                <w:lang w:val="en-US"/>
              </w:rPr>
              <w:t>t</w:t>
            </w:r>
            <w:r w:rsidRPr="00A54361">
              <w:rPr>
                <w:rFonts w:eastAsia="Times New Roman" w:cstheme="minorHAnsi"/>
                <w:lang w:val="en-US"/>
              </w:rPr>
              <w:t>s of</w:t>
            </w:r>
            <w:r w:rsidRPr="00A54361">
              <w:rPr>
                <w:rFonts w:eastAsia="Times New Roman" w:cstheme="minorHAnsi"/>
                <w:spacing w:val="-1"/>
                <w:lang w:val="en-US"/>
              </w:rPr>
              <w:t xml:space="preserve"> l</w:t>
            </w:r>
            <w:r w:rsidRPr="00A54361">
              <w:rPr>
                <w:rFonts w:eastAsia="Times New Roman" w:cstheme="minorHAnsi"/>
                <w:lang w:val="en-US"/>
              </w:rPr>
              <w:t>a</w:t>
            </w:r>
            <w:r w:rsidRPr="00A54361">
              <w:rPr>
                <w:rFonts w:eastAsia="Times New Roman" w:cstheme="minorHAnsi"/>
                <w:spacing w:val="1"/>
                <w:lang w:val="en-US"/>
              </w:rPr>
              <w:t>s</w:t>
            </w:r>
            <w:r w:rsidRPr="00A54361">
              <w:rPr>
                <w:rFonts w:eastAsia="Times New Roman" w:cstheme="minorHAnsi"/>
                <w:lang w:val="en-US"/>
              </w:rPr>
              <w:t>t</w:t>
            </w:r>
            <w:r w:rsidRPr="00A54361">
              <w:rPr>
                <w:rFonts w:eastAsia="Times New Roman" w:cstheme="minorHAnsi"/>
                <w:spacing w:val="-1"/>
                <w:lang w:val="en-US"/>
              </w:rPr>
              <w:t xml:space="preserve"> </w:t>
            </w:r>
            <w:r w:rsidRPr="00A54361">
              <w:rPr>
                <w:rFonts w:eastAsia="Times New Roman" w:cstheme="minorHAnsi"/>
                <w:spacing w:val="1"/>
                <w:lang w:val="en-US"/>
              </w:rPr>
              <w:t>t</w:t>
            </w:r>
            <w:r w:rsidRPr="00A54361">
              <w:rPr>
                <w:rFonts w:eastAsia="Times New Roman" w:cstheme="minorHAnsi"/>
                <w:lang w:val="en-US"/>
              </w:rPr>
              <w:t>h</w:t>
            </w:r>
            <w:r w:rsidRPr="00A54361">
              <w:rPr>
                <w:rFonts w:eastAsia="Times New Roman" w:cstheme="minorHAnsi"/>
                <w:spacing w:val="-2"/>
                <w:lang w:val="en-US"/>
              </w:rPr>
              <w:t>r</w:t>
            </w:r>
            <w:r w:rsidRPr="00A54361">
              <w:rPr>
                <w:rFonts w:eastAsia="Times New Roman" w:cstheme="minorHAnsi"/>
                <w:lang w:val="en-US"/>
              </w:rPr>
              <w:t>ee</w:t>
            </w:r>
            <w:r w:rsidRPr="00A54361">
              <w:rPr>
                <w:rFonts w:eastAsia="Times New Roman" w:cstheme="minorHAnsi"/>
                <w:spacing w:val="1"/>
                <w:lang w:val="en-US"/>
              </w:rPr>
              <w:t xml:space="preserve"> </w:t>
            </w:r>
            <w:r w:rsidRPr="00A54361">
              <w:rPr>
                <w:rFonts w:eastAsia="Times New Roman" w:cstheme="minorHAnsi"/>
                <w:spacing w:val="-2"/>
                <w:lang w:val="en-US"/>
              </w:rPr>
              <w:t>y</w:t>
            </w:r>
            <w:r w:rsidRPr="00A54361">
              <w:rPr>
                <w:rFonts w:eastAsia="Times New Roman" w:cstheme="minorHAnsi"/>
                <w:lang w:val="en-US"/>
              </w:rPr>
              <w:t>ea</w:t>
            </w:r>
            <w:r w:rsidRPr="00A54361">
              <w:rPr>
                <w:rFonts w:eastAsia="Times New Roman" w:cstheme="minorHAnsi"/>
                <w:spacing w:val="-2"/>
                <w:lang w:val="en-US"/>
              </w:rPr>
              <w:t>r</w:t>
            </w:r>
            <w:r w:rsidRPr="00A54361">
              <w:rPr>
                <w:rFonts w:eastAsia="Times New Roman" w:cstheme="minorHAnsi"/>
                <w:lang w:val="en-US"/>
              </w:rPr>
              <w:t>s 2021-22, 2022-23 &amp; 2023-24.</w:t>
            </w:r>
          </w:p>
        </w:tc>
        <w:tc>
          <w:tcPr>
            <w:tcW w:w="1058" w:type="pct"/>
          </w:tcPr>
          <w:p w14:paraId="5D57CFC9" w14:textId="77777777" w:rsidR="0051129D" w:rsidRPr="00A54361" w:rsidRDefault="0051129D" w:rsidP="00A54361">
            <w:pPr>
              <w:spacing w:after="0" w:line="240" w:lineRule="auto"/>
              <w:jc w:val="both"/>
              <w:rPr>
                <w:rFonts w:eastAsia="Times New Roman" w:cstheme="minorHAnsi"/>
                <w:lang w:val="en-US"/>
              </w:rPr>
            </w:pPr>
          </w:p>
        </w:tc>
      </w:tr>
      <w:tr w:rsidR="000D3DC1" w:rsidRPr="00A54361" w14:paraId="787B8F6E" w14:textId="77777777" w:rsidTr="000C7371">
        <w:trPr>
          <w:trHeight w:hRule="exact" w:val="516"/>
        </w:trPr>
        <w:tc>
          <w:tcPr>
            <w:tcW w:w="390" w:type="pct"/>
          </w:tcPr>
          <w:p w14:paraId="52BC796D" w14:textId="169D093E" w:rsidR="0051129D" w:rsidRPr="00A54361" w:rsidRDefault="00091175" w:rsidP="00A54361">
            <w:pPr>
              <w:spacing w:before="1" w:after="0" w:line="240" w:lineRule="auto"/>
              <w:ind w:left="102"/>
              <w:jc w:val="both"/>
              <w:rPr>
                <w:rFonts w:eastAsia="Times New Roman" w:cstheme="minorHAnsi"/>
                <w:lang w:val="en-US"/>
              </w:rPr>
            </w:pPr>
            <w:r w:rsidRPr="00A54361">
              <w:rPr>
                <w:rFonts w:eastAsia="Times New Roman" w:cstheme="minorHAnsi"/>
                <w:lang w:val="en-US"/>
              </w:rPr>
              <w:t>4</w:t>
            </w:r>
          </w:p>
        </w:tc>
        <w:tc>
          <w:tcPr>
            <w:tcW w:w="3552" w:type="pct"/>
          </w:tcPr>
          <w:p w14:paraId="238B39F1" w14:textId="627B9ACA" w:rsidR="0051129D" w:rsidRPr="00A54361" w:rsidRDefault="0051129D" w:rsidP="00A54361">
            <w:pPr>
              <w:spacing w:after="0" w:line="240" w:lineRule="exact"/>
              <w:ind w:left="57"/>
              <w:jc w:val="both"/>
              <w:rPr>
                <w:rFonts w:eastAsia="Times New Roman" w:cstheme="minorHAnsi"/>
                <w:lang w:val="en-US"/>
              </w:rPr>
            </w:pPr>
            <w:r w:rsidRPr="00A54361">
              <w:rPr>
                <w:rFonts w:eastAsia="Times New Roman" w:cstheme="minorHAnsi"/>
                <w:spacing w:val="-1"/>
                <w:lang w:val="en-US"/>
              </w:rPr>
              <w:t>C</w:t>
            </w:r>
            <w:r w:rsidRPr="00A54361">
              <w:rPr>
                <w:rFonts w:eastAsia="Times New Roman" w:cstheme="minorHAnsi"/>
                <w:lang w:val="en-US"/>
              </w:rPr>
              <w:t>A</w:t>
            </w:r>
            <w:r w:rsidRPr="00A54361">
              <w:rPr>
                <w:rFonts w:eastAsia="Times New Roman" w:cstheme="minorHAnsi"/>
                <w:spacing w:val="-8"/>
                <w:lang w:val="en-US"/>
              </w:rPr>
              <w:t xml:space="preserve"> </w:t>
            </w:r>
            <w:r w:rsidRPr="00A54361">
              <w:rPr>
                <w:rFonts w:eastAsia="Times New Roman" w:cstheme="minorHAnsi"/>
                <w:lang w:val="en-US"/>
              </w:rPr>
              <w:t>ce</w:t>
            </w:r>
            <w:r w:rsidRPr="00A54361">
              <w:rPr>
                <w:rFonts w:eastAsia="Times New Roman" w:cstheme="minorHAnsi"/>
                <w:spacing w:val="-2"/>
                <w:lang w:val="en-US"/>
              </w:rPr>
              <w:t>r</w:t>
            </w:r>
            <w:r w:rsidRPr="00A54361">
              <w:rPr>
                <w:rFonts w:eastAsia="Times New Roman" w:cstheme="minorHAnsi"/>
                <w:spacing w:val="1"/>
                <w:lang w:val="en-US"/>
              </w:rPr>
              <w:t>t</w:t>
            </w:r>
            <w:r w:rsidRPr="00A54361">
              <w:rPr>
                <w:rFonts w:eastAsia="Times New Roman" w:cstheme="minorHAnsi"/>
                <w:spacing w:val="-1"/>
                <w:lang w:val="en-US"/>
              </w:rPr>
              <w:t>i</w:t>
            </w:r>
            <w:r w:rsidRPr="00A54361">
              <w:rPr>
                <w:rFonts w:eastAsia="Times New Roman" w:cstheme="minorHAnsi"/>
                <w:spacing w:val="1"/>
                <w:lang w:val="en-US"/>
              </w:rPr>
              <w:t>f</w:t>
            </w:r>
            <w:r w:rsidRPr="00A54361">
              <w:rPr>
                <w:rFonts w:eastAsia="Times New Roman" w:cstheme="minorHAnsi"/>
                <w:spacing w:val="-1"/>
                <w:lang w:val="en-US"/>
              </w:rPr>
              <w:t>i</w:t>
            </w:r>
            <w:r w:rsidRPr="00A54361">
              <w:rPr>
                <w:rFonts w:eastAsia="Times New Roman" w:cstheme="minorHAnsi"/>
                <w:lang w:val="en-US"/>
              </w:rPr>
              <w:t>c</w:t>
            </w:r>
            <w:r w:rsidRPr="00A54361">
              <w:rPr>
                <w:rFonts w:eastAsia="Times New Roman" w:cstheme="minorHAnsi"/>
                <w:spacing w:val="-2"/>
                <w:lang w:val="en-US"/>
              </w:rPr>
              <w:t>a</w:t>
            </w:r>
            <w:r w:rsidRPr="00A54361">
              <w:rPr>
                <w:rFonts w:eastAsia="Times New Roman" w:cstheme="minorHAnsi"/>
                <w:spacing w:val="1"/>
                <w:lang w:val="en-US"/>
              </w:rPr>
              <w:t>t</w:t>
            </w:r>
            <w:r w:rsidRPr="00A54361">
              <w:rPr>
                <w:rFonts w:eastAsia="Times New Roman" w:cstheme="minorHAnsi"/>
                <w:lang w:val="en-US"/>
              </w:rPr>
              <w:t>e</w:t>
            </w:r>
            <w:r w:rsidRPr="00A54361">
              <w:rPr>
                <w:rFonts w:eastAsia="Times New Roman" w:cstheme="minorHAnsi"/>
                <w:spacing w:val="-9"/>
                <w:lang w:val="en-US"/>
              </w:rPr>
              <w:t xml:space="preserve"> </w:t>
            </w:r>
            <w:r w:rsidRPr="00A54361">
              <w:rPr>
                <w:rFonts w:eastAsia="Times New Roman" w:cstheme="minorHAnsi"/>
                <w:spacing w:val="1"/>
                <w:lang w:val="en-US"/>
              </w:rPr>
              <w:t>f</w:t>
            </w:r>
            <w:r w:rsidRPr="00A54361">
              <w:rPr>
                <w:rFonts w:eastAsia="Times New Roman" w:cstheme="minorHAnsi"/>
                <w:spacing w:val="-2"/>
                <w:lang w:val="en-US"/>
              </w:rPr>
              <w:t>o</w:t>
            </w:r>
            <w:r w:rsidRPr="00A54361">
              <w:rPr>
                <w:rFonts w:eastAsia="Times New Roman" w:cstheme="minorHAnsi"/>
                <w:lang w:val="en-US"/>
              </w:rPr>
              <w:t>r</w:t>
            </w:r>
            <w:r w:rsidRPr="00A54361">
              <w:rPr>
                <w:rFonts w:eastAsia="Times New Roman" w:cstheme="minorHAnsi"/>
                <w:spacing w:val="-9"/>
                <w:lang w:val="en-US"/>
              </w:rPr>
              <w:t xml:space="preserve"> </w:t>
            </w:r>
            <w:r w:rsidRPr="00A54361">
              <w:rPr>
                <w:rFonts w:eastAsia="Times New Roman" w:cstheme="minorHAnsi"/>
                <w:spacing w:val="1"/>
                <w:lang w:val="en-US"/>
              </w:rPr>
              <w:t>t</w:t>
            </w:r>
            <w:r w:rsidRPr="00A54361">
              <w:rPr>
                <w:rFonts w:eastAsia="Times New Roman" w:cstheme="minorHAnsi"/>
                <w:lang w:val="en-US"/>
              </w:rPr>
              <w:t>h</w:t>
            </w:r>
            <w:r w:rsidRPr="00A54361">
              <w:rPr>
                <w:rFonts w:eastAsia="Times New Roman" w:cstheme="minorHAnsi"/>
                <w:spacing w:val="-2"/>
                <w:lang w:val="en-US"/>
              </w:rPr>
              <w:t>r</w:t>
            </w:r>
            <w:r w:rsidRPr="00A54361">
              <w:rPr>
                <w:rFonts w:eastAsia="Times New Roman" w:cstheme="minorHAnsi"/>
                <w:lang w:val="en-US"/>
              </w:rPr>
              <w:t>ee</w:t>
            </w:r>
            <w:r w:rsidRPr="00A54361">
              <w:rPr>
                <w:rFonts w:eastAsia="Times New Roman" w:cstheme="minorHAnsi"/>
                <w:spacing w:val="-7"/>
                <w:lang w:val="en-US"/>
              </w:rPr>
              <w:t xml:space="preserve"> </w:t>
            </w:r>
            <w:r w:rsidRPr="00A54361">
              <w:rPr>
                <w:rFonts w:eastAsia="Times New Roman" w:cstheme="minorHAnsi"/>
                <w:spacing w:val="-2"/>
                <w:lang w:val="en-US"/>
              </w:rPr>
              <w:t>y</w:t>
            </w:r>
            <w:r w:rsidRPr="00A54361">
              <w:rPr>
                <w:rFonts w:eastAsia="Times New Roman" w:cstheme="minorHAnsi"/>
                <w:lang w:val="en-US"/>
              </w:rPr>
              <w:t>e</w:t>
            </w:r>
            <w:r w:rsidRPr="00A54361">
              <w:rPr>
                <w:rFonts w:eastAsia="Times New Roman" w:cstheme="minorHAnsi"/>
                <w:spacing w:val="-2"/>
                <w:lang w:val="en-US"/>
              </w:rPr>
              <w:t>ar</w:t>
            </w:r>
            <w:r w:rsidRPr="00A54361">
              <w:rPr>
                <w:rFonts w:eastAsia="Times New Roman" w:cstheme="minorHAnsi"/>
                <w:lang w:val="en-US"/>
              </w:rPr>
              <w:t>s</w:t>
            </w:r>
            <w:r w:rsidRPr="00A54361">
              <w:rPr>
                <w:rFonts w:eastAsia="Times New Roman" w:cstheme="minorHAnsi"/>
                <w:spacing w:val="-6"/>
                <w:lang w:val="en-US"/>
              </w:rPr>
              <w:t xml:space="preserve"> </w:t>
            </w:r>
            <w:r w:rsidRPr="00A54361">
              <w:rPr>
                <w:rFonts w:eastAsia="Times New Roman" w:cstheme="minorHAnsi"/>
                <w:lang w:val="en-US"/>
              </w:rPr>
              <w:t>a</w:t>
            </w:r>
            <w:r w:rsidRPr="00A54361">
              <w:rPr>
                <w:rFonts w:eastAsia="Times New Roman" w:cstheme="minorHAnsi"/>
                <w:spacing w:val="-2"/>
                <w:lang w:val="en-US"/>
              </w:rPr>
              <w:t>v</w:t>
            </w:r>
            <w:r w:rsidRPr="00A54361">
              <w:rPr>
                <w:rFonts w:eastAsia="Times New Roman" w:cstheme="minorHAnsi"/>
                <w:lang w:val="en-US"/>
              </w:rPr>
              <w:t>e</w:t>
            </w:r>
            <w:r w:rsidRPr="00A54361">
              <w:rPr>
                <w:rFonts w:eastAsia="Times New Roman" w:cstheme="minorHAnsi"/>
                <w:spacing w:val="1"/>
                <w:lang w:val="en-US"/>
              </w:rPr>
              <w:t>r</w:t>
            </w:r>
            <w:r w:rsidRPr="00A54361">
              <w:rPr>
                <w:rFonts w:eastAsia="Times New Roman" w:cstheme="minorHAnsi"/>
                <w:lang w:val="en-US"/>
              </w:rPr>
              <w:t>a</w:t>
            </w:r>
            <w:r w:rsidRPr="00A54361">
              <w:rPr>
                <w:rFonts w:eastAsia="Times New Roman" w:cstheme="minorHAnsi"/>
                <w:spacing w:val="-2"/>
                <w:lang w:val="en-US"/>
              </w:rPr>
              <w:t>g</w:t>
            </w:r>
            <w:r w:rsidRPr="00A54361">
              <w:rPr>
                <w:rFonts w:eastAsia="Times New Roman" w:cstheme="minorHAnsi"/>
                <w:lang w:val="en-US"/>
              </w:rPr>
              <w:t>e</w:t>
            </w:r>
            <w:r w:rsidRPr="00A54361">
              <w:rPr>
                <w:rFonts w:eastAsia="Times New Roman" w:cstheme="minorHAnsi"/>
                <w:spacing w:val="-6"/>
                <w:lang w:val="en-US"/>
              </w:rPr>
              <w:t xml:space="preserve"> </w:t>
            </w:r>
            <w:r w:rsidRPr="00A54361">
              <w:rPr>
                <w:rFonts w:eastAsia="Times New Roman" w:cstheme="minorHAnsi"/>
                <w:spacing w:val="1"/>
                <w:lang w:val="en-US"/>
              </w:rPr>
              <w:t>t</w:t>
            </w:r>
            <w:r w:rsidRPr="00A54361">
              <w:rPr>
                <w:rFonts w:eastAsia="Times New Roman" w:cstheme="minorHAnsi"/>
                <w:spacing w:val="-2"/>
                <w:lang w:val="en-US"/>
              </w:rPr>
              <w:t>u</w:t>
            </w:r>
            <w:r w:rsidRPr="00A54361">
              <w:rPr>
                <w:rFonts w:eastAsia="Times New Roman" w:cstheme="minorHAnsi"/>
                <w:spacing w:val="1"/>
                <w:lang w:val="en-US"/>
              </w:rPr>
              <w:t>r</w:t>
            </w:r>
            <w:r w:rsidRPr="00A54361">
              <w:rPr>
                <w:rFonts w:eastAsia="Times New Roman" w:cstheme="minorHAnsi"/>
                <w:lang w:val="en-US"/>
              </w:rPr>
              <w:t>no</w:t>
            </w:r>
            <w:r w:rsidRPr="00A54361">
              <w:rPr>
                <w:rFonts w:eastAsia="Times New Roman" w:cstheme="minorHAnsi"/>
                <w:spacing w:val="-2"/>
                <w:lang w:val="en-US"/>
              </w:rPr>
              <w:t>v</w:t>
            </w:r>
            <w:r w:rsidRPr="00A54361">
              <w:rPr>
                <w:rFonts w:eastAsia="Times New Roman" w:cstheme="minorHAnsi"/>
                <w:lang w:val="en-US"/>
              </w:rPr>
              <w:t>er</w:t>
            </w:r>
            <w:r w:rsidRPr="00A54361">
              <w:rPr>
                <w:rFonts w:eastAsia="Times New Roman" w:cstheme="minorHAnsi"/>
                <w:spacing w:val="-8"/>
                <w:lang w:val="en-US"/>
              </w:rPr>
              <w:t xml:space="preserve"> </w:t>
            </w:r>
            <w:r w:rsidRPr="00A54361">
              <w:rPr>
                <w:rFonts w:eastAsia="Times New Roman" w:cstheme="minorHAnsi"/>
                <w:spacing w:val="1"/>
                <w:lang w:val="en-US"/>
              </w:rPr>
              <w:t>f</w:t>
            </w:r>
            <w:r w:rsidRPr="00A54361">
              <w:rPr>
                <w:rFonts w:eastAsia="Times New Roman" w:cstheme="minorHAnsi"/>
                <w:spacing w:val="-2"/>
                <w:lang w:val="en-US"/>
              </w:rPr>
              <w:t>o</w:t>
            </w:r>
            <w:r w:rsidRPr="00A54361">
              <w:rPr>
                <w:rFonts w:eastAsia="Times New Roman" w:cstheme="minorHAnsi"/>
                <w:lang w:val="en-US"/>
              </w:rPr>
              <w:t>r</w:t>
            </w:r>
            <w:r w:rsidRPr="00A54361">
              <w:rPr>
                <w:rFonts w:eastAsia="Times New Roman" w:cstheme="minorHAnsi"/>
                <w:spacing w:val="-9"/>
                <w:lang w:val="en-US"/>
              </w:rPr>
              <w:t xml:space="preserve"> </w:t>
            </w:r>
            <w:r w:rsidRPr="00A54361">
              <w:rPr>
                <w:rFonts w:eastAsia="Times New Roman" w:cstheme="minorHAnsi"/>
                <w:spacing w:val="1"/>
                <w:lang w:val="en-US"/>
              </w:rPr>
              <w:t>fi</w:t>
            </w:r>
            <w:r w:rsidRPr="00A54361">
              <w:rPr>
                <w:rFonts w:eastAsia="Times New Roman" w:cstheme="minorHAnsi"/>
                <w:spacing w:val="-2"/>
                <w:lang w:val="en-US"/>
              </w:rPr>
              <w:t>n</w:t>
            </w:r>
            <w:r w:rsidRPr="00A54361">
              <w:rPr>
                <w:rFonts w:eastAsia="Times New Roman" w:cstheme="minorHAnsi"/>
                <w:lang w:val="en-US"/>
              </w:rPr>
              <w:t>a</w:t>
            </w:r>
            <w:r w:rsidRPr="00A54361">
              <w:rPr>
                <w:rFonts w:eastAsia="Times New Roman" w:cstheme="minorHAnsi"/>
                <w:spacing w:val="-2"/>
                <w:lang w:val="en-US"/>
              </w:rPr>
              <w:t>n</w:t>
            </w:r>
            <w:r w:rsidRPr="00A54361">
              <w:rPr>
                <w:rFonts w:eastAsia="Times New Roman" w:cstheme="minorHAnsi"/>
                <w:lang w:val="en-US"/>
              </w:rPr>
              <w:t>c</w:t>
            </w:r>
            <w:r w:rsidRPr="00A54361">
              <w:rPr>
                <w:rFonts w:eastAsia="Times New Roman" w:cstheme="minorHAnsi"/>
                <w:spacing w:val="1"/>
                <w:lang w:val="en-US"/>
              </w:rPr>
              <w:t>i</w:t>
            </w:r>
            <w:r w:rsidRPr="00A54361">
              <w:rPr>
                <w:rFonts w:eastAsia="Times New Roman" w:cstheme="minorHAnsi"/>
                <w:spacing w:val="-2"/>
                <w:lang w:val="en-US"/>
              </w:rPr>
              <w:t>a</w:t>
            </w:r>
            <w:r w:rsidRPr="00A54361">
              <w:rPr>
                <w:rFonts w:eastAsia="Times New Roman" w:cstheme="minorHAnsi"/>
                <w:lang w:val="en-US"/>
              </w:rPr>
              <w:t>l</w:t>
            </w:r>
            <w:r w:rsidRPr="00A54361">
              <w:rPr>
                <w:rFonts w:eastAsia="Times New Roman" w:cstheme="minorHAnsi"/>
                <w:spacing w:val="-6"/>
                <w:lang w:val="en-US"/>
              </w:rPr>
              <w:t xml:space="preserve"> </w:t>
            </w:r>
            <w:r w:rsidRPr="00A54361">
              <w:rPr>
                <w:rFonts w:eastAsia="Times New Roman" w:cstheme="minorHAnsi"/>
                <w:spacing w:val="-2"/>
                <w:lang w:val="en-US"/>
              </w:rPr>
              <w:t>y</w:t>
            </w:r>
            <w:r w:rsidRPr="00A54361">
              <w:rPr>
                <w:rFonts w:eastAsia="Times New Roman" w:cstheme="minorHAnsi"/>
                <w:lang w:val="en-US"/>
              </w:rPr>
              <w:t>e</w:t>
            </w:r>
            <w:r w:rsidRPr="00A54361">
              <w:rPr>
                <w:rFonts w:eastAsia="Times New Roman" w:cstheme="minorHAnsi"/>
                <w:spacing w:val="-2"/>
                <w:lang w:val="en-US"/>
              </w:rPr>
              <w:t>a</w:t>
            </w:r>
            <w:r w:rsidRPr="00A54361">
              <w:rPr>
                <w:rFonts w:eastAsia="Times New Roman" w:cstheme="minorHAnsi"/>
                <w:spacing w:val="1"/>
                <w:lang w:val="en-US"/>
              </w:rPr>
              <w:t>r</w:t>
            </w:r>
            <w:r w:rsidRPr="00A54361">
              <w:rPr>
                <w:rFonts w:eastAsia="Times New Roman" w:cstheme="minorHAnsi"/>
                <w:lang w:val="en-US"/>
              </w:rPr>
              <w:t>s</w:t>
            </w:r>
            <w:r w:rsidRPr="00A54361">
              <w:rPr>
                <w:rFonts w:eastAsia="Times New Roman" w:cstheme="minorHAnsi"/>
                <w:spacing w:val="-7"/>
                <w:lang w:val="en-US"/>
              </w:rPr>
              <w:t xml:space="preserve"> </w:t>
            </w:r>
            <w:r w:rsidRPr="00A54361">
              <w:rPr>
                <w:rFonts w:eastAsia="Times New Roman" w:cstheme="minorHAnsi"/>
                <w:lang w:val="en-US"/>
              </w:rPr>
              <w:t>2021-22, 2022-23 &amp; 2023-24.</w:t>
            </w:r>
          </w:p>
        </w:tc>
        <w:tc>
          <w:tcPr>
            <w:tcW w:w="1058" w:type="pct"/>
          </w:tcPr>
          <w:p w14:paraId="2F3AA93F" w14:textId="77777777" w:rsidR="0051129D" w:rsidRPr="00A54361" w:rsidRDefault="0051129D" w:rsidP="00A54361">
            <w:pPr>
              <w:spacing w:after="0" w:line="240" w:lineRule="auto"/>
              <w:jc w:val="both"/>
              <w:rPr>
                <w:rFonts w:eastAsia="Times New Roman" w:cstheme="minorHAnsi"/>
                <w:lang w:val="en-US"/>
              </w:rPr>
            </w:pPr>
          </w:p>
        </w:tc>
      </w:tr>
      <w:tr w:rsidR="000D3DC1" w:rsidRPr="00A54361" w14:paraId="4ABE6D67" w14:textId="77777777" w:rsidTr="000C7371">
        <w:trPr>
          <w:trHeight w:hRule="exact" w:val="514"/>
        </w:trPr>
        <w:tc>
          <w:tcPr>
            <w:tcW w:w="390" w:type="pct"/>
          </w:tcPr>
          <w:p w14:paraId="373A5BFC" w14:textId="1DDD269B" w:rsidR="0051129D" w:rsidRPr="00A54361" w:rsidRDefault="00091175" w:rsidP="00A54361">
            <w:pPr>
              <w:spacing w:before="1" w:after="0" w:line="240" w:lineRule="auto"/>
              <w:ind w:left="102"/>
              <w:jc w:val="both"/>
              <w:rPr>
                <w:rFonts w:eastAsia="Times New Roman" w:cstheme="minorHAnsi"/>
                <w:lang w:val="en-US"/>
              </w:rPr>
            </w:pPr>
            <w:r w:rsidRPr="00A54361">
              <w:rPr>
                <w:rFonts w:eastAsia="Times New Roman" w:cstheme="minorHAnsi"/>
                <w:lang w:val="en-US"/>
              </w:rPr>
              <w:t>5</w:t>
            </w:r>
          </w:p>
        </w:tc>
        <w:tc>
          <w:tcPr>
            <w:tcW w:w="3552" w:type="pct"/>
          </w:tcPr>
          <w:p w14:paraId="54E7911C" w14:textId="03322C13" w:rsidR="0051129D" w:rsidRPr="00A54361" w:rsidRDefault="0051129D" w:rsidP="00A54361">
            <w:pPr>
              <w:spacing w:after="0" w:line="240" w:lineRule="exact"/>
              <w:ind w:left="57"/>
              <w:jc w:val="both"/>
              <w:rPr>
                <w:rFonts w:eastAsia="Times New Roman" w:cstheme="minorHAnsi"/>
                <w:lang w:val="en-US"/>
              </w:rPr>
            </w:pPr>
            <w:r w:rsidRPr="00A54361">
              <w:rPr>
                <w:rFonts w:eastAsia="Times New Roman" w:cstheme="minorHAnsi"/>
                <w:spacing w:val="-1"/>
                <w:lang w:val="en-US"/>
              </w:rPr>
              <w:t xml:space="preserve">CA certificate for operating profit for last three financial years </w:t>
            </w:r>
            <w:r w:rsidRPr="00A54361">
              <w:rPr>
                <w:rFonts w:eastAsia="Times New Roman" w:cstheme="minorHAnsi"/>
                <w:lang w:val="en-US"/>
              </w:rPr>
              <w:t>2021-22, 2022-23 &amp; 2023-24.</w:t>
            </w:r>
          </w:p>
        </w:tc>
        <w:tc>
          <w:tcPr>
            <w:tcW w:w="1058" w:type="pct"/>
          </w:tcPr>
          <w:p w14:paraId="52B6D2B6" w14:textId="77777777" w:rsidR="0051129D" w:rsidRPr="00A54361" w:rsidRDefault="0051129D" w:rsidP="00A54361">
            <w:pPr>
              <w:spacing w:after="0" w:line="240" w:lineRule="auto"/>
              <w:jc w:val="both"/>
              <w:rPr>
                <w:rFonts w:eastAsia="Times New Roman" w:cstheme="minorHAnsi"/>
                <w:lang w:val="en-US"/>
              </w:rPr>
            </w:pPr>
          </w:p>
        </w:tc>
      </w:tr>
      <w:tr w:rsidR="000D3DC1" w:rsidRPr="00A54361" w14:paraId="2159FE98" w14:textId="77777777" w:rsidTr="000C7371">
        <w:trPr>
          <w:trHeight w:hRule="exact" w:val="540"/>
        </w:trPr>
        <w:tc>
          <w:tcPr>
            <w:tcW w:w="390" w:type="pct"/>
          </w:tcPr>
          <w:p w14:paraId="0677E7BB" w14:textId="5FA38DD8" w:rsidR="0051129D" w:rsidRPr="00A54361" w:rsidRDefault="00091175" w:rsidP="00A54361">
            <w:pPr>
              <w:spacing w:before="4" w:after="0" w:line="240" w:lineRule="auto"/>
              <w:ind w:left="102"/>
              <w:jc w:val="both"/>
              <w:rPr>
                <w:rFonts w:eastAsia="Times New Roman" w:cstheme="minorHAnsi"/>
                <w:lang w:val="en-US"/>
              </w:rPr>
            </w:pPr>
            <w:r w:rsidRPr="00A54361">
              <w:rPr>
                <w:rFonts w:eastAsia="Times New Roman" w:cstheme="minorHAnsi"/>
                <w:lang w:val="en-US"/>
              </w:rPr>
              <w:t>6</w:t>
            </w:r>
          </w:p>
        </w:tc>
        <w:tc>
          <w:tcPr>
            <w:tcW w:w="3552" w:type="pct"/>
          </w:tcPr>
          <w:p w14:paraId="77521EB6" w14:textId="32EE0820" w:rsidR="0051129D" w:rsidRPr="00A54361" w:rsidRDefault="0051129D" w:rsidP="00A54361">
            <w:pPr>
              <w:spacing w:after="0" w:line="240" w:lineRule="exact"/>
              <w:ind w:left="57"/>
              <w:jc w:val="both"/>
              <w:rPr>
                <w:rFonts w:eastAsia="Times New Roman" w:cstheme="minorHAnsi"/>
                <w:spacing w:val="-1"/>
                <w:lang w:val="en-US"/>
              </w:rPr>
            </w:pPr>
            <w:r w:rsidRPr="00A54361">
              <w:rPr>
                <w:rFonts w:eastAsia="Times New Roman" w:cstheme="minorHAnsi"/>
                <w:spacing w:val="-1"/>
                <w:lang w:val="en-US"/>
              </w:rPr>
              <w:t xml:space="preserve">CA certificate for net worth for last three financial years </w:t>
            </w:r>
            <w:r w:rsidRPr="00A54361">
              <w:rPr>
                <w:rFonts w:eastAsia="Times New Roman" w:cstheme="minorHAnsi"/>
                <w:lang w:val="en-US"/>
              </w:rPr>
              <w:t>2021-22, 2022-23 &amp; 2023-24.</w:t>
            </w:r>
          </w:p>
        </w:tc>
        <w:tc>
          <w:tcPr>
            <w:tcW w:w="1058" w:type="pct"/>
          </w:tcPr>
          <w:p w14:paraId="247115B1" w14:textId="77777777" w:rsidR="0051129D" w:rsidRPr="00A54361" w:rsidRDefault="0051129D" w:rsidP="00A54361">
            <w:pPr>
              <w:spacing w:after="0" w:line="240" w:lineRule="auto"/>
              <w:jc w:val="both"/>
              <w:rPr>
                <w:rFonts w:eastAsia="Times New Roman" w:cstheme="minorHAnsi"/>
                <w:lang w:val="en-US"/>
              </w:rPr>
            </w:pPr>
          </w:p>
        </w:tc>
      </w:tr>
      <w:tr w:rsidR="000D3DC1" w:rsidRPr="00A54361" w14:paraId="38657F38" w14:textId="77777777" w:rsidTr="000C7371">
        <w:trPr>
          <w:trHeight w:hRule="exact" w:val="1155"/>
        </w:trPr>
        <w:tc>
          <w:tcPr>
            <w:tcW w:w="390" w:type="pct"/>
          </w:tcPr>
          <w:p w14:paraId="19AC17A4" w14:textId="6D84161F" w:rsidR="009A5312" w:rsidRPr="00A54361" w:rsidRDefault="00091175" w:rsidP="00A54361">
            <w:pPr>
              <w:spacing w:before="18" w:after="0" w:line="260" w:lineRule="exact"/>
              <w:jc w:val="both"/>
              <w:rPr>
                <w:rFonts w:eastAsia="Times New Roman" w:cstheme="minorHAnsi"/>
                <w:lang w:val="en-US"/>
              </w:rPr>
            </w:pPr>
            <w:r w:rsidRPr="00A54361">
              <w:rPr>
                <w:rFonts w:eastAsia="Times New Roman" w:cstheme="minorHAnsi"/>
                <w:lang w:val="en-US"/>
              </w:rPr>
              <w:t>7</w:t>
            </w:r>
          </w:p>
        </w:tc>
        <w:tc>
          <w:tcPr>
            <w:tcW w:w="3552" w:type="pct"/>
          </w:tcPr>
          <w:p w14:paraId="7A13B5AF" w14:textId="0399C469" w:rsidR="009A5312" w:rsidRPr="00A54361" w:rsidRDefault="009A5312" w:rsidP="00A54361">
            <w:pPr>
              <w:spacing w:after="0" w:line="240" w:lineRule="exact"/>
              <w:ind w:left="57"/>
              <w:jc w:val="both"/>
              <w:rPr>
                <w:rFonts w:eastAsia="Times New Roman" w:cstheme="minorHAnsi"/>
                <w:spacing w:val="-1"/>
                <w:lang w:val="en-US"/>
              </w:rPr>
            </w:pPr>
            <w:r w:rsidRPr="00A54361">
              <w:rPr>
                <w:rFonts w:eastAsia="Times New Roman" w:cstheme="minorHAnsi"/>
                <w:spacing w:val="-1"/>
                <w:lang w:val="en-US"/>
              </w:rPr>
              <w:t>Self-declaration on Company’s letter head should not have been Blacklisted /debarred</w:t>
            </w:r>
            <w:r w:rsidRPr="00A54361">
              <w:rPr>
                <w:rFonts w:cstheme="minorHAnsi"/>
              </w:rPr>
              <w:t>/ by any Govt. / IBA/RBI/PSU /PSE/ or Banks, Financial institutes for any reason or non-implementation/ delivery of the order. Self-declaration to that effect should be submitted along with the technical bid.</w:t>
            </w:r>
          </w:p>
        </w:tc>
        <w:tc>
          <w:tcPr>
            <w:tcW w:w="1058" w:type="pct"/>
          </w:tcPr>
          <w:p w14:paraId="612DE2DF" w14:textId="77777777" w:rsidR="009A5312" w:rsidRPr="00A54361" w:rsidRDefault="009A5312" w:rsidP="00A54361">
            <w:pPr>
              <w:spacing w:after="0" w:line="240" w:lineRule="auto"/>
              <w:jc w:val="both"/>
              <w:rPr>
                <w:rFonts w:eastAsia="Times New Roman" w:cstheme="minorHAnsi"/>
                <w:lang w:val="en-US"/>
              </w:rPr>
            </w:pPr>
          </w:p>
        </w:tc>
      </w:tr>
      <w:tr w:rsidR="000D3DC1" w:rsidRPr="00A54361" w14:paraId="23689097" w14:textId="77777777" w:rsidTr="000C7371">
        <w:trPr>
          <w:trHeight w:hRule="exact" w:val="1129"/>
        </w:trPr>
        <w:tc>
          <w:tcPr>
            <w:tcW w:w="390" w:type="pct"/>
          </w:tcPr>
          <w:p w14:paraId="60D8F5DB" w14:textId="15E6D56E" w:rsidR="0051129D" w:rsidRPr="00A54361" w:rsidRDefault="00091175" w:rsidP="00A54361">
            <w:pPr>
              <w:spacing w:after="0" w:line="240" w:lineRule="auto"/>
              <w:ind w:left="102"/>
              <w:jc w:val="both"/>
              <w:rPr>
                <w:rFonts w:eastAsia="Times New Roman" w:cstheme="minorHAnsi"/>
                <w:lang w:val="en-US"/>
              </w:rPr>
            </w:pPr>
            <w:r w:rsidRPr="00A54361">
              <w:rPr>
                <w:rFonts w:eastAsia="Times New Roman" w:cstheme="minorHAnsi"/>
                <w:lang w:val="en-US"/>
              </w:rPr>
              <w:t>8</w:t>
            </w:r>
          </w:p>
        </w:tc>
        <w:tc>
          <w:tcPr>
            <w:tcW w:w="3552" w:type="pct"/>
          </w:tcPr>
          <w:p w14:paraId="585FDCA9" w14:textId="77777777" w:rsidR="00B630D3" w:rsidRPr="00A54361" w:rsidRDefault="00B630D3" w:rsidP="00A54361">
            <w:pPr>
              <w:spacing w:after="0" w:line="240" w:lineRule="exact"/>
              <w:ind w:left="57"/>
              <w:jc w:val="both"/>
              <w:rPr>
                <w:rFonts w:eastAsia="Times New Roman" w:cstheme="minorHAnsi"/>
                <w:spacing w:val="-1"/>
                <w:lang w:val="en-US"/>
              </w:rPr>
            </w:pPr>
            <w:r w:rsidRPr="00A54361">
              <w:rPr>
                <w:rFonts w:eastAsia="Times New Roman" w:cstheme="minorHAnsi"/>
                <w:spacing w:val="-1"/>
                <w:lang w:val="en-US"/>
              </w:rPr>
              <w:t>Self-declaration on Company’s letter head Bidder/OEM should not</w:t>
            </w:r>
          </w:p>
          <w:p w14:paraId="7E5CBA68" w14:textId="70A13661" w:rsidR="0051129D" w:rsidRPr="00A54361" w:rsidRDefault="00B630D3" w:rsidP="00A54361">
            <w:pPr>
              <w:spacing w:after="0" w:line="240" w:lineRule="exact"/>
              <w:ind w:left="57"/>
              <w:jc w:val="both"/>
              <w:rPr>
                <w:rFonts w:eastAsia="Times New Roman" w:cstheme="minorHAnsi"/>
                <w:spacing w:val="-1"/>
                <w:lang w:val="en-US"/>
              </w:rPr>
            </w:pPr>
            <w:r w:rsidRPr="00A54361">
              <w:rPr>
                <w:rFonts w:eastAsia="Times New Roman" w:cstheme="minorHAnsi"/>
                <w:spacing w:val="-1"/>
                <w:lang w:val="en-US"/>
              </w:rPr>
              <w:t xml:space="preserve">have any pending litigation or any dispute </w:t>
            </w:r>
            <w:r w:rsidRPr="00A54361">
              <w:rPr>
                <w:rFonts w:cstheme="minorHAnsi"/>
              </w:rPr>
              <w:t>in the last five years, before any court of law between the Bidder or OEM and the Bank regarding supply of goods/services.</w:t>
            </w:r>
          </w:p>
        </w:tc>
        <w:tc>
          <w:tcPr>
            <w:tcW w:w="1058" w:type="pct"/>
          </w:tcPr>
          <w:p w14:paraId="46681E8B" w14:textId="77777777" w:rsidR="0051129D" w:rsidRPr="00A54361" w:rsidRDefault="0051129D" w:rsidP="00A54361">
            <w:pPr>
              <w:spacing w:after="0" w:line="240" w:lineRule="auto"/>
              <w:jc w:val="both"/>
              <w:rPr>
                <w:rFonts w:eastAsia="Times New Roman" w:cstheme="minorHAnsi"/>
                <w:lang w:val="en-US"/>
              </w:rPr>
            </w:pPr>
          </w:p>
        </w:tc>
      </w:tr>
      <w:tr w:rsidR="000D3DC1" w:rsidRPr="00A54361" w14:paraId="64DDC930" w14:textId="77777777" w:rsidTr="000C7371">
        <w:trPr>
          <w:trHeight w:hRule="exact" w:val="1995"/>
        </w:trPr>
        <w:tc>
          <w:tcPr>
            <w:tcW w:w="390" w:type="pct"/>
          </w:tcPr>
          <w:p w14:paraId="7D7FBF60" w14:textId="08ECC81D" w:rsidR="009A5312" w:rsidRPr="00A54361" w:rsidRDefault="00091175" w:rsidP="00A54361">
            <w:pPr>
              <w:spacing w:before="1" w:after="0" w:line="240" w:lineRule="auto"/>
              <w:ind w:left="102"/>
              <w:jc w:val="both"/>
              <w:rPr>
                <w:rFonts w:eastAsia="Times New Roman" w:cstheme="minorHAnsi"/>
                <w:lang w:val="en-US"/>
              </w:rPr>
            </w:pPr>
            <w:r w:rsidRPr="00A54361">
              <w:rPr>
                <w:rFonts w:eastAsia="Times New Roman" w:cstheme="minorHAnsi"/>
                <w:lang w:val="en-US"/>
              </w:rPr>
              <w:t>9</w:t>
            </w:r>
          </w:p>
        </w:tc>
        <w:tc>
          <w:tcPr>
            <w:tcW w:w="3552" w:type="pct"/>
          </w:tcPr>
          <w:p w14:paraId="6115A737" w14:textId="3702E031" w:rsidR="009A5312" w:rsidRPr="00A54361" w:rsidRDefault="009A5312" w:rsidP="00A54361">
            <w:pPr>
              <w:spacing w:after="0" w:line="240" w:lineRule="exact"/>
              <w:ind w:left="57"/>
              <w:jc w:val="both"/>
              <w:rPr>
                <w:rFonts w:eastAsia="Times New Roman" w:cstheme="minorHAnsi"/>
                <w:spacing w:val="-1"/>
                <w:lang w:val="en-US"/>
              </w:rPr>
            </w:pPr>
            <w:r w:rsidRPr="00A54361">
              <w:rPr>
                <w:rFonts w:eastAsia="Times New Roman" w:cstheme="minorHAnsi"/>
                <w:spacing w:val="-1"/>
                <w:lang w:val="en-US"/>
              </w:rPr>
              <w:t>Self-declaration by the Authorized Signatory for not have filed for bankruptcy in any country including India on company letter head</w:t>
            </w:r>
          </w:p>
        </w:tc>
        <w:tc>
          <w:tcPr>
            <w:tcW w:w="1058" w:type="pct"/>
          </w:tcPr>
          <w:p w14:paraId="16BCD255" w14:textId="77777777" w:rsidR="009A5312" w:rsidRPr="00A54361" w:rsidRDefault="009A5312" w:rsidP="00A54361">
            <w:pPr>
              <w:spacing w:after="0" w:line="240" w:lineRule="auto"/>
              <w:jc w:val="both"/>
              <w:rPr>
                <w:rFonts w:eastAsia="Times New Roman" w:cstheme="minorHAnsi"/>
                <w:lang w:val="en-US"/>
              </w:rPr>
            </w:pPr>
          </w:p>
        </w:tc>
      </w:tr>
      <w:tr w:rsidR="000D3DC1" w:rsidRPr="00A54361" w14:paraId="576E0ECD" w14:textId="77777777" w:rsidTr="000C7371">
        <w:trPr>
          <w:trHeight w:hRule="exact" w:val="1480"/>
        </w:trPr>
        <w:tc>
          <w:tcPr>
            <w:tcW w:w="390" w:type="pct"/>
            <w:tcBorders>
              <w:bottom w:val="single" w:sz="4" w:space="0" w:color="auto"/>
            </w:tcBorders>
          </w:tcPr>
          <w:p w14:paraId="2B7C2D20" w14:textId="7ECD1F01" w:rsidR="009A5312" w:rsidRPr="00A54361" w:rsidRDefault="00091175" w:rsidP="00A54361">
            <w:pPr>
              <w:spacing w:before="4" w:after="0" w:line="240" w:lineRule="auto"/>
              <w:ind w:left="102"/>
              <w:jc w:val="both"/>
              <w:rPr>
                <w:rFonts w:eastAsia="Times New Roman" w:cstheme="minorHAnsi"/>
                <w:lang w:val="en-US"/>
              </w:rPr>
            </w:pPr>
            <w:r w:rsidRPr="00A54361">
              <w:rPr>
                <w:rFonts w:eastAsia="Times New Roman" w:cstheme="minorHAnsi"/>
                <w:lang w:val="en-US"/>
              </w:rPr>
              <w:t>10</w:t>
            </w:r>
          </w:p>
        </w:tc>
        <w:tc>
          <w:tcPr>
            <w:tcW w:w="3552" w:type="pct"/>
            <w:tcBorders>
              <w:bottom w:val="single" w:sz="4" w:space="0" w:color="auto"/>
            </w:tcBorders>
          </w:tcPr>
          <w:p w14:paraId="3148F48C" w14:textId="4CBAB179" w:rsidR="00B630D3" w:rsidRPr="00A54361" w:rsidRDefault="00B630D3" w:rsidP="00A54361">
            <w:pPr>
              <w:spacing w:after="0" w:line="240" w:lineRule="exact"/>
              <w:ind w:left="57"/>
              <w:jc w:val="both"/>
              <w:rPr>
                <w:rFonts w:eastAsia="Times New Roman" w:cstheme="minorHAnsi"/>
                <w:spacing w:val="-1"/>
                <w:lang w:val="en-US"/>
              </w:rPr>
            </w:pPr>
            <w:r w:rsidRPr="00A54361">
              <w:rPr>
                <w:rFonts w:eastAsia="Times New Roman" w:cstheme="minorHAnsi"/>
                <w:spacing w:val="-1"/>
                <w:lang w:val="en-US"/>
              </w:rPr>
              <w:t>Self-declaration on Company’s letter-head for not having</w:t>
            </w:r>
          </w:p>
          <w:p w14:paraId="33CA36FD" w14:textId="77777777" w:rsidR="00231E44" w:rsidRPr="00A54361" w:rsidRDefault="00392E94" w:rsidP="00A54361">
            <w:pPr>
              <w:pStyle w:val="ListParagraph"/>
              <w:numPr>
                <w:ilvl w:val="0"/>
                <w:numId w:val="77"/>
              </w:numPr>
              <w:spacing w:after="0" w:line="240" w:lineRule="exact"/>
              <w:jc w:val="both"/>
              <w:rPr>
                <w:rFonts w:eastAsia="Times New Roman" w:cstheme="minorHAnsi"/>
                <w:spacing w:val="-1"/>
                <w:lang w:val="en-US"/>
              </w:rPr>
            </w:pPr>
            <w:r w:rsidRPr="00A54361">
              <w:rPr>
                <w:rFonts w:eastAsia="Times New Roman" w:cstheme="minorHAnsi"/>
                <w:spacing w:val="-1"/>
                <w:lang w:val="en-US"/>
              </w:rPr>
              <w:t xml:space="preserve">NPA with any Bank /financial institutions in India </w:t>
            </w:r>
            <w:r w:rsidR="00B630D3" w:rsidRPr="00A54361">
              <w:rPr>
                <w:rFonts w:eastAsia="Times New Roman" w:cstheme="minorHAnsi"/>
                <w:spacing w:val="-1"/>
                <w:lang w:val="en-US"/>
              </w:rPr>
              <w:t xml:space="preserve"> </w:t>
            </w:r>
          </w:p>
          <w:p w14:paraId="721FFF86" w14:textId="229627C6" w:rsidR="009A5312" w:rsidRPr="00A54361" w:rsidRDefault="0088352B" w:rsidP="00A54361">
            <w:pPr>
              <w:pStyle w:val="ListParagraph"/>
              <w:numPr>
                <w:ilvl w:val="0"/>
                <w:numId w:val="77"/>
              </w:numPr>
              <w:spacing w:after="0" w:line="240" w:lineRule="exact"/>
              <w:jc w:val="both"/>
              <w:rPr>
                <w:rFonts w:eastAsia="Times New Roman" w:cstheme="minorHAnsi"/>
                <w:spacing w:val="-1"/>
                <w:lang w:val="en-US"/>
              </w:rPr>
            </w:pPr>
            <w:r w:rsidRPr="00A54361">
              <w:rPr>
                <w:rFonts w:eastAsia="Times New Roman" w:cstheme="minorHAnsi"/>
                <w:spacing w:val="-1"/>
                <w:lang w:val="en-US"/>
              </w:rPr>
              <w:t xml:space="preserve">Any case pending or otherwise, with any organization across the globe which affects the credibility of the Bidder in the opinion of Central Bank of India to service the needs of the Bank </w:t>
            </w:r>
            <w:r w:rsidR="00B630D3" w:rsidRPr="00A54361">
              <w:rPr>
                <w:rFonts w:eastAsia="Times New Roman" w:cstheme="minorHAnsi"/>
                <w:spacing w:val="-1"/>
                <w:lang w:val="en-US"/>
              </w:rPr>
              <w:t xml:space="preserve">Pending </w:t>
            </w:r>
          </w:p>
        </w:tc>
        <w:tc>
          <w:tcPr>
            <w:tcW w:w="1058" w:type="pct"/>
          </w:tcPr>
          <w:p w14:paraId="509AA30D" w14:textId="77777777" w:rsidR="009A5312" w:rsidRPr="00A54361" w:rsidRDefault="009A5312" w:rsidP="00A54361">
            <w:pPr>
              <w:spacing w:after="0" w:line="240" w:lineRule="auto"/>
              <w:jc w:val="both"/>
              <w:rPr>
                <w:rFonts w:eastAsia="Times New Roman" w:cstheme="minorHAnsi"/>
                <w:lang w:val="en-US"/>
              </w:rPr>
            </w:pPr>
          </w:p>
        </w:tc>
      </w:tr>
      <w:tr w:rsidR="000D3DC1" w:rsidRPr="00A54361" w14:paraId="4C3F3AAF" w14:textId="77777777" w:rsidTr="000C7371">
        <w:trPr>
          <w:trHeight w:hRule="exact" w:val="629"/>
        </w:trPr>
        <w:tc>
          <w:tcPr>
            <w:tcW w:w="390" w:type="pct"/>
            <w:tcBorders>
              <w:bottom w:val="single" w:sz="4" w:space="0" w:color="auto"/>
            </w:tcBorders>
          </w:tcPr>
          <w:p w14:paraId="343AA996" w14:textId="7B38F69F" w:rsidR="009A5312" w:rsidRPr="00A54361" w:rsidRDefault="00091175" w:rsidP="00A54361">
            <w:pPr>
              <w:spacing w:before="4" w:after="0" w:line="240" w:lineRule="auto"/>
              <w:ind w:left="102"/>
              <w:jc w:val="both"/>
              <w:rPr>
                <w:rFonts w:eastAsia="Times New Roman" w:cstheme="minorHAnsi"/>
                <w:lang w:val="en-US"/>
              </w:rPr>
            </w:pPr>
            <w:r w:rsidRPr="00A54361">
              <w:rPr>
                <w:rFonts w:eastAsia="Times New Roman" w:cstheme="minorHAnsi"/>
                <w:lang w:val="en-US"/>
              </w:rPr>
              <w:t>11</w:t>
            </w:r>
          </w:p>
        </w:tc>
        <w:tc>
          <w:tcPr>
            <w:tcW w:w="3552" w:type="pct"/>
            <w:tcBorders>
              <w:bottom w:val="single" w:sz="4" w:space="0" w:color="auto"/>
            </w:tcBorders>
          </w:tcPr>
          <w:p w14:paraId="009E354A" w14:textId="37D04F8B" w:rsidR="009A5312" w:rsidRPr="00A54361" w:rsidRDefault="00246EAB" w:rsidP="00A54361">
            <w:pPr>
              <w:spacing w:after="0" w:line="240" w:lineRule="exact"/>
              <w:ind w:left="57"/>
              <w:jc w:val="both"/>
              <w:rPr>
                <w:rFonts w:eastAsia="Times New Roman" w:cstheme="minorHAnsi"/>
                <w:spacing w:val="-1"/>
                <w:lang w:val="en-US"/>
              </w:rPr>
            </w:pPr>
            <w:r w:rsidRPr="00A54361">
              <w:rPr>
                <w:rFonts w:eastAsia="Times New Roman" w:cstheme="minorHAnsi"/>
                <w:spacing w:val="-1"/>
                <w:lang w:val="en-US"/>
              </w:rPr>
              <w:t xml:space="preserve">Self-declaration by the Authorized Signatory for </w:t>
            </w:r>
            <w:r w:rsidR="00A430FE" w:rsidRPr="00A54361">
              <w:rPr>
                <w:rFonts w:eastAsia="Times New Roman" w:cstheme="minorHAnsi"/>
                <w:spacing w:val="-1"/>
                <w:lang w:val="en-US"/>
              </w:rPr>
              <w:t>having support / service center or having support arrangement in Mumbai and Hyderabad.</w:t>
            </w:r>
          </w:p>
        </w:tc>
        <w:tc>
          <w:tcPr>
            <w:tcW w:w="1058" w:type="pct"/>
          </w:tcPr>
          <w:p w14:paraId="506EF87A" w14:textId="77777777" w:rsidR="009A5312" w:rsidRPr="00A54361" w:rsidRDefault="009A5312" w:rsidP="00A54361">
            <w:pPr>
              <w:spacing w:after="0" w:line="240" w:lineRule="auto"/>
              <w:jc w:val="both"/>
              <w:rPr>
                <w:rFonts w:eastAsia="Times New Roman" w:cstheme="minorHAnsi"/>
                <w:lang w:val="en-US"/>
              </w:rPr>
            </w:pPr>
          </w:p>
        </w:tc>
      </w:tr>
      <w:tr w:rsidR="000D3DC1" w:rsidRPr="00A54361" w14:paraId="4ED77BAD" w14:textId="77777777" w:rsidTr="000C7371">
        <w:trPr>
          <w:trHeight w:hRule="exact" w:val="375"/>
        </w:trPr>
        <w:tc>
          <w:tcPr>
            <w:tcW w:w="390" w:type="pct"/>
            <w:tcBorders>
              <w:bottom w:val="single" w:sz="4" w:space="0" w:color="auto"/>
            </w:tcBorders>
          </w:tcPr>
          <w:p w14:paraId="4C98F3B9" w14:textId="463039EC" w:rsidR="00B62086" w:rsidRPr="00A54361" w:rsidRDefault="00091175" w:rsidP="00A54361">
            <w:pPr>
              <w:spacing w:before="4" w:after="0" w:line="240" w:lineRule="auto"/>
              <w:ind w:left="102"/>
              <w:jc w:val="both"/>
              <w:rPr>
                <w:rFonts w:eastAsia="Times New Roman" w:cstheme="minorHAnsi"/>
                <w:lang w:val="en-US"/>
              </w:rPr>
            </w:pPr>
            <w:r w:rsidRPr="00A54361">
              <w:rPr>
                <w:rFonts w:eastAsia="Times New Roman" w:cstheme="minorHAnsi"/>
                <w:lang w:val="en-US"/>
              </w:rPr>
              <w:t>12</w:t>
            </w:r>
          </w:p>
        </w:tc>
        <w:tc>
          <w:tcPr>
            <w:tcW w:w="3552" w:type="pct"/>
            <w:tcBorders>
              <w:bottom w:val="single" w:sz="4" w:space="0" w:color="auto"/>
            </w:tcBorders>
          </w:tcPr>
          <w:p w14:paraId="22CAE570" w14:textId="6E5439DE" w:rsidR="00B62086" w:rsidRPr="00A54361" w:rsidRDefault="00162B58" w:rsidP="00A54361">
            <w:pPr>
              <w:spacing w:after="0" w:line="240" w:lineRule="exact"/>
              <w:ind w:left="57"/>
              <w:jc w:val="both"/>
              <w:rPr>
                <w:rFonts w:eastAsia="Times New Roman" w:cstheme="minorHAnsi"/>
                <w:spacing w:val="-1"/>
                <w:lang w:val="en-US"/>
              </w:rPr>
            </w:pPr>
            <w:r w:rsidRPr="00A54361">
              <w:rPr>
                <w:rFonts w:eastAsia="Times New Roman" w:cstheme="minorHAnsi"/>
                <w:spacing w:val="-1"/>
                <w:lang w:val="en-US"/>
              </w:rPr>
              <w:t>Reference Letters / Purchase Orders for Eligibility Criteria 11</w:t>
            </w:r>
          </w:p>
        </w:tc>
        <w:tc>
          <w:tcPr>
            <w:tcW w:w="1058" w:type="pct"/>
          </w:tcPr>
          <w:p w14:paraId="5CD0BC5F" w14:textId="77777777" w:rsidR="00B62086" w:rsidRPr="00A54361" w:rsidRDefault="00B62086" w:rsidP="00A54361">
            <w:pPr>
              <w:spacing w:after="0" w:line="240" w:lineRule="auto"/>
              <w:jc w:val="both"/>
              <w:rPr>
                <w:rFonts w:eastAsia="Times New Roman" w:cstheme="minorHAnsi"/>
                <w:lang w:val="en-US"/>
              </w:rPr>
            </w:pPr>
          </w:p>
        </w:tc>
      </w:tr>
      <w:tr w:rsidR="000D3DC1" w:rsidRPr="00A54361" w14:paraId="11D837C7" w14:textId="77777777" w:rsidTr="000C7371">
        <w:trPr>
          <w:trHeight w:hRule="exact" w:val="629"/>
        </w:trPr>
        <w:tc>
          <w:tcPr>
            <w:tcW w:w="390" w:type="pct"/>
            <w:tcBorders>
              <w:bottom w:val="single" w:sz="4" w:space="0" w:color="auto"/>
            </w:tcBorders>
          </w:tcPr>
          <w:p w14:paraId="0BA54B22" w14:textId="1757C6C0" w:rsidR="00162B58" w:rsidRPr="00A54361" w:rsidRDefault="00C42CD9" w:rsidP="00A54361">
            <w:pPr>
              <w:spacing w:before="4" w:after="0" w:line="240" w:lineRule="auto"/>
              <w:ind w:left="102"/>
              <w:jc w:val="both"/>
              <w:rPr>
                <w:rFonts w:eastAsia="Times New Roman" w:cstheme="minorHAnsi"/>
                <w:lang w:val="en-US"/>
              </w:rPr>
            </w:pPr>
            <w:r w:rsidRPr="00A54361">
              <w:rPr>
                <w:rFonts w:eastAsia="Times New Roman" w:cstheme="minorHAnsi"/>
                <w:lang w:val="en-US"/>
              </w:rPr>
              <w:t>13</w:t>
            </w:r>
          </w:p>
        </w:tc>
        <w:tc>
          <w:tcPr>
            <w:tcW w:w="3552" w:type="pct"/>
            <w:tcBorders>
              <w:bottom w:val="single" w:sz="4" w:space="0" w:color="auto"/>
            </w:tcBorders>
          </w:tcPr>
          <w:p w14:paraId="5F3FFCD0" w14:textId="49056967" w:rsidR="00162B58" w:rsidRPr="00A54361" w:rsidRDefault="00162B58" w:rsidP="00A54361">
            <w:pPr>
              <w:spacing w:after="0" w:line="240" w:lineRule="exact"/>
              <w:ind w:left="57"/>
              <w:jc w:val="both"/>
              <w:rPr>
                <w:rFonts w:eastAsia="Times New Roman" w:cstheme="minorHAnsi"/>
                <w:spacing w:val="-1"/>
                <w:lang w:val="en-US"/>
              </w:rPr>
            </w:pPr>
            <w:r w:rsidRPr="00A54361">
              <w:rPr>
                <w:rFonts w:eastAsia="Times New Roman" w:cstheme="minorHAnsi"/>
                <w:spacing w:val="-1"/>
                <w:lang w:val="en-US"/>
              </w:rPr>
              <w:t>Reference Letters / Purchase Orders for Eligibility Criteria 1</w:t>
            </w:r>
            <w:r w:rsidR="00102353" w:rsidRPr="00A54361">
              <w:rPr>
                <w:rFonts w:eastAsia="Times New Roman" w:cstheme="minorHAnsi"/>
                <w:spacing w:val="-1"/>
                <w:lang w:val="en-US"/>
              </w:rPr>
              <w:t>2</w:t>
            </w:r>
          </w:p>
        </w:tc>
        <w:tc>
          <w:tcPr>
            <w:tcW w:w="1058" w:type="pct"/>
          </w:tcPr>
          <w:p w14:paraId="34D2B0DF" w14:textId="77777777" w:rsidR="00162B58" w:rsidRPr="00A54361" w:rsidRDefault="00162B58" w:rsidP="00A54361">
            <w:pPr>
              <w:spacing w:after="0" w:line="240" w:lineRule="auto"/>
              <w:jc w:val="both"/>
              <w:rPr>
                <w:rFonts w:eastAsia="Times New Roman" w:cstheme="minorHAnsi"/>
                <w:lang w:val="en-US"/>
              </w:rPr>
            </w:pPr>
          </w:p>
        </w:tc>
      </w:tr>
      <w:tr w:rsidR="000D3DC1" w:rsidRPr="00A54361" w14:paraId="0D97AA6E" w14:textId="77777777" w:rsidTr="000C7371">
        <w:trPr>
          <w:trHeight w:hRule="exact" w:val="286"/>
        </w:trPr>
        <w:tc>
          <w:tcPr>
            <w:tcW w:w="390" w:type="pct"/>
          </w:tcPr>
          <w:p w14:paraId="5145472C" w14:textId="1DF5A446" w:rsidR="009A5312" w:rsidRPr="00A54361" w:rsidRDefault="009A5312" w:rsidP="00A54361">
            <w:pPr>
              <w:spacing w:before="1" w:after="0" w:line="240" w:lineRule="auto"/>
              <w:ind w:left="102"/>
              <w:jc w:val="both"/>
              <w:rPr>
                <w:rFonts w:eastAsia="Times New Roman" w:cstheme="minorHAnsi"/>
                <w:lang w:val="en-US"/>
              </w:rPr>
            </w:pPr>
            <w:r w:rsidRPr="00A54361">
              <w:rPr>
                <w:rFonts w:eastAsia="Times New Roman" w:cstheme="minorHAnsi"/>
                <w:lang w:val="en-US"/>
              </w:rPr>
              <w:t>1</w:t>
            </w:r>
            <w:r w:rsidR="00463CED">
              <w:rPr>
                <w:rFonts w:eastAsia="Times New Roman" w:cstheme="minorHAnsi"/>
                <w:lang w:val="en-US"/>
              </w:rPr>
              <w:t>4</w:t>
            </w:r>
          </w:p>
        </w:tc>
        <w:tc>
          <w:tcPr>
            <w:tcW w:w="3552" w:type="pct"/>
          </w:tcPr>
          <w:p w14:paraId="69C84F67" w14:textId="6E4DF562" w:rsidR="009A5312" w:rsidRPr="00A54361" w:rsidRDefault="009A5312" w:rsidP="00A54361">
            <w:pPr>
              <w:spacing w:after="0" w:line="240" w:lineRule="exact"/>
              <w:ind w:left="57"/>
              <w:jc w:val="both"/>
              <w:rPr>
                <w:rFonts w:eastAsia="Times New Roman" w:cstheme="minorHAnsi"/>
                <w:spacing w:val="-1"/>
                <w:lang w:val="en-US"/>
              </w:rPr>
            </w:pPr>
            <w:r w:rsidRPr="00A54361">
              <w:rPr>
                <w:rFonts w:eastAsia="Times New Roman" w:cstheme="minorHAnsi"/>
                <w:spacing w:val="-1"/>
                <w:lang w:val="en-US"/>
              </w:rPr>
              <w:t>Annexure 1: Bill of Material</w:t>
            </w:r>
          </w:p>
        </w:tc>
        <w:tc>
          <w:tcPr>
            <w:tcW w:w="1058" w:type="pct"/>
          </w:tcPr>
          <w:p w14:paraId="449B1C40" w14:textId="77777777" w:rsidR="009A5312" w:rsidRPr="00A54361" w:rsidRDefault="009A5312" w:rsidP="00A54361">
            <w:pPr>
              <w:spacing w:after="0" w:line="240" w:lineRule="auto"/>
              <w:jc w:val="both"/>
              <w:rPr>
                <w:rFonts w:eastAsia="Times New Roman" w:cstheme="minorHAnsi"/>
                <w:lang w:val="en-US"/>
              </w:rPr>
            </w:pPr>
          </w:p>
        </w:tc>
      </w:tr>
      <w:tr w:rsidR="000D3DC1" w:rsidRPr="00A54361" w14:paraId="04842654" w14:textId="77777777" w:rsidTr="000C7371">
        <w:trPr>
          <w:trHeight w:hRule="exact" w:val="286"/>
        </w:trPr>
        <w:tc>
          <w:tcPr>
            <w:tcW w:w="390" w:type="pct"/>
          </w:tcPr>
          <w:p w14:paraId="5B00A3B5" w14:textId="1FBF092E" w:rsidR="009A5312" w:rsidRPr="00A54361" w:rsidRDefault="009A5312" w:rsidP="00A54361">
            <w:pPr>
              <w:spacing w:before="1" w:after="0" w:line="240" w:lineRule="auto"/>
              <w:ind w:left="102"/>
              <w:jc w:val="both"/>
              <w:rPr>
                <w:rFonts w:eastAsia="Times New Roman" w:cstheme="minorHAnsi"/>
                <w:lang w:val="en-US"/>
              </w:rPr>
            </w:pPr>
            <w:r w:rsidRPr="00A54361">
              <w:rPr>
                <w:rFonts w:eastAsia="Times New Roman" w:cstheme="minorHAnsi"/>
                <w:lang w:val="en-US"/>
              </w:rPr>
              <w:t>1</w:t>
            </w:r>
            <w:r w:rsidR="00463CED">
              <w:rPr>
                <w:rFonts w:eastAsia="Times New Roman" w:cstheme="minorHAnsi"/>
                <w:lang w:val="en-US"/>
              </w:rPr>
              <w:t>5</w:t>
            </w:r>
          </w:p>
        </w:tc>
        <w:tc>
          <w:tcPr>
            <w:tcW w:w="3552" w:type="pct"/>
          </w:tcPr>
          <w:p w14:paraId="429547D2" w14:textId="05603523" w:rsidR="009A5312" w:rsidRPr="00A54361" w:rsidRDefault="009A5312" w:rsidP="00A54361">
            <w:pPr>
              <w:spacing w:after="0" w:line="240" w:lineRule="exact"/>
              <w:ind w:left="57"/>
              <w:jc w:val="both"/>
              <w:rPr>
                <w:rFonts w:eastAsia="Times New Roman" w:cstheme="minorHAnsi"/>
                <w:spacing w:val="-1"/>
                <w:lang w:val="en-US"/>
              </w:rPr>
            </w:pPr>
            <w:r w:rsidRPr="00A54361">
              <w:rPr>
                <w:rFonts w:eastAsia="Times New Roman" w:cstheme="minorHAnsi"/>
                <w:spacing w:val="-1"/>
                <w:lang w:val="en-US"/>
              </w:rPr>
              <w:t xml:space="preserve">Annexure 2: </w:t>
            </w:r>
            <w:r w:rsidR="00770479" w:rsidRPr="00A54361">
              <w:rPr>
                <w:rFonts w:eastAsia="Times New Roman" w:cstheme="minorHAnsi"/>
                <w:spacing w:val="-1"/>
                <w:lang w:val="en-US"/>
              </w:rPr>
              <w:t xml:space="preserve">Minimum </w:t>
            </w:r>
            <w:r w:rsidRPr="00A54361">
              <w:rPr>
                <w:rFonts w:eastAsia="Times New Roman" w:cstheme="minorHAnsi"/>
                <w:spacing w:val="-1"/>
                <w:lang w:val="en-US"/>
              </w:rPr>
              <w:t>Technical Specifications</w:t>
            </w:r>
          </w:p>
        </w:tc>
        <w:tc>
          <w:tcPr>
            <w:tcW w:w="1058" w:type="pct"/>
          </w:tcPr>
          <w:p w14:paraId="73F120CC" w14:textId="77777777" w:rsidR="009A5312" w:rsidRPr="00A54361" w:rsidRDefault="009A5312" w:rsidP="00A54361">
            <w:pPr>
              <w:spacing w:after="0" w:line="240" w:lineRule="auto"/>
              <w:jc w:val="both"/>
              <w:rPr>
                <w:rFonts w:eastAsia="Times New Roman" w:cstheme="minorHAnsi"/>
                <w:lang w:val="en-US"/>
              </w:rPr>
            </w:pPr>
          </w:p>
        </w:tc>
      </w:tr>
      <w:tr w:rsidR="000D3DC1" w:rsidRPr="00A54361" w14:paraId="3D911818" w14:textId="77777777" w:rsidTr="000C7371">
        <w:trPr>
          <w:trHeight w:hRule="exact" w:val="286"/>
        </w:trPr>
        <w:tc>
          <w:tcPr>
            <w:tcW w:w="390" w:type="pct"/>
          </w:tcPr>
          <w:p w14:paraId="033D4405" w14:textId="095F355A" w:rsidR="009A5312" w:rsidRPr="00A54361" w:rsidRDefault="009A5312" w:rsidP="00A54361">
            <w:pPr>
              <w:spacing w:before="1" w:after="0" w:line="240" w:lineRule="auto"/>
              <w:ind w:left="102"/>
              <w:jc w:val="both"/>
              <w:rPr>
                <w:rFonts w:eastAsia="Times New Roman" w:cstheme="minorHAnsi"/>
                <w:lang w:val="en-US"/>
              </w:rPr>
            </w:pPr>
            <w:r w:rsidRPr="00A54361">
              <w:rPr>
                <w:rFonts w:eastAsia="Times New Roman" w:cstheme="minorHAnsi"/>
                <w:lang w:val="en-US"/>
              </w:rPr>
              <w:t>1</w:t>
            </w:r>
            <w:r w:rsidR="00463CED">
              <w:rPr>
                <w:rFonts w:eastAsia="Times New Roman" w:cstheme="minorHAnsi"/>
                <w:lang w:val="en-US"/>
              </w:rPr>
              <w:t>6</w:t>
            </w:r>
          </w:p>
        </w:tc>
        <w:tc>
          <w:tcPr>
            <w:tcW w:w="3552" w:type="pct"/>
          </w:tcPr>
          <w:p w14:paraId="60672BDC" w14:textId="2B858F28" w:rsidR="009A5312" w:rsidRPr="00A54361" w:rsidRDefault="009A5312" w:rsidP="00A54361">
            <w:pPr>
              <w:spacing w:after="0" w:line="240" w:lineRule="exact"/>
              <w:ind w:left="57"/>
              <w:jc w:val="both"/>
              <w:rPr>
                <w:rFonts w:eastAsia="Times New Roman" w:cstheme="minorHAnsi"/>
                <w:lang w:val="en-US"/>
              </w:rPr>
            </w:pPr>
            <w:r w:rsidRPr="00A54361">
              <w:rPr>
                <w:rFonts w:eastAsia="Times New Roman" w:cstheme="minorHAnsi"/>
                <w:spacing w:val="-1"/>
                <w:lang w:val="en-US"/>
              </w:rPr>
              <w:t>Annexure 3: Conformity Letter</w:t>
            </w:r>
          </w:p>
        </w:tc>
        <w:tc>
          <w:tcPr>
            <w:tcW w:w="1058" w:type="pct"/>
          </w:tcPr>
          <w:p w14:paraId="710A9207" w14:textId="77777777" w:rsidR="009A5312" w:rsidRPr="00A54361" w:rsidRDefault="009A5312" w:rsidP="00A54361">
            <w:pPr>
              <w:spacing w:after="0" w:line="240" w:lineRule="auto"/>
              <w:jc w:val="both"/>
              <w:rPr>
                <w:rFonts w:eastAsia="Times New Roman" w:cstheme="minorHAnsi"/>
                <w:lang w:val="en-US"/>
              </w:rPr>
            </w:pPr>
          </w:p>
        </w:tc>
      </w:tr>
      <w:tr w:rsidR="000D3DC1" w:rsidRPr="00A54361" w14:paraId="5DEA457A" w14:textId="77777777" w:rsidTr="000C7371">
        <w:trPr>
          <w:trHeight w:hRule="exact" w:val="286"/>
        </w:trPr>
        <w:tc>
          <w:tcPr>
            <w:tcW w:w="390" w:type="pct"/>
          </w:tcPr>
          <w:p w14:paraId="02562CCF" w14:textId="0816F0F8" w:rsidR="009A5312" w:rsidRPr="00A54361" w:rsidRDefault="009A5312" w:rsidP="00A54361">
            <w:pPr>
              <w:spacing w:before="1" w:after="0" w:line="240" w:lineRule="auto"/>
              <w:ind w:left="102"/>
              <w:jc w:val="both"/>
              <w:rPr>
                <w:rFonts w:eastAsia="Times New Roman" w:cstheme="minorHAnsi"/>
                <w:lang w:val="en-US"/>
              </w:rPr>
            </w:pPr>
            <w:r w:rsidRPr="00A54361">
              <w:rPr>
                <w:rFonts w:eastAsia="Times New Roman" w:cstheme="minorHAnsi"/>
                <w:lang w:val="en-US"/>
              </w:rPr>
              <w:t>1</w:t>
            </w:r>
            <w:r w:rsidR="00463CED">
              <w:rPr>
                <w:rFonts w:eastAsia="Times New Roman" w:cstheme="minorHAnsi"/>
                <w:lang w:val="en-US"/>
              </w:rPr>
              <w:t>7</w:t>
            </w:r>
          </w:p>
        </w:tc>
        <w:tc>
          <w:tcPr>
            <w:tcW w:w="3552" w:type="pct"/>
          </w:tcPr>
          <w:p w14:paraId="3F01BDBE" w14:textId="34A4AAFC" w:rsidR="009A5312" w:rsidRPr="00A54361" w:rsidRDefault="009A5312" w:rsidP="00A54361">
            <w:pPr>
              <w:spacing w:after="0" w:line="240" w:lineRule="exact"/>
              <w:ind w:left="57"/>
              <w:jc w:val="both"/>
              <w:rPr>
                <w:rFonts w:eastAsia="Times New Roman" w:cstheme="minorHAnsi"/>
                <w:spacing w:val="-1"/>
                <w:lang w:val="en-US"/>
              </w:rPr>
            </w:pPr>
            <w:r w:rsidRPr="00A54361">
              <w:rPr>
                <w:rFonts w:eastAsia="Times New Roman" w:cstheme="minorHAnsi"/>
                <w:spacing w:val="-1"/>
                <w:lang w:val="en-US"/>
              </w:rPr>
              <w:t>Annexure 4: Masked Commercial Bid along with technical bid</w:t>
            </w:r>
          </w:p>
        </w:tc>
        <w:tc>
          <w:tcPr>
            <w:tcW w:w="1058" w:type="pct"/>
          </w:tcPr>
          <w:p w14:paraId="40D8F2E0" w14:textId="77777777" w:rsidR="009A5312" w:rsidRPr="00A54361" w:rsidRDefault="009A5312" w:rsidP="00A54361">
            <w:pPr>
              <w:spacing w:after="0" w:line="240" w:lineRule="auto"/>
              <w:jc w:val="both"/>
              <w:rPr>
                <w:rFonts w:eastAsia="Times New Roman" w:cstheme="minorHAnsi"/>
                <w:lang w:val="en-US"/>
              </w:rPr>
            </w:pPr>
          </w:p>
        </w:tc>
      </w:tr>
      <w:tr w:rsidR="000D3DC1" w:rsidRPr="00A54361" w14:paraId="52A6C476" w14:textId="77777777" w:rsidTr="000C7371">
        <w:trPr>
          <w:trHeight w:hRule="exact" w:val="288"/>
        </w:trPr>
        <w:tc>
          <w:tcPr>
            <w:tcW w:w="390" w:type="pct"/>
          </w:tcPr>
          <w:p w14:paraId="7F784BCF" w14:textId="3DC19A62" w:rsidR="009A5312" w:rsidRPr="00A54361" w:rsidRDefault="009A5312" w:rsidP="00A54361">
            <w:pPr>
              <w:spacing w:before="4" w:after="0" w:line="240" w:lineRule="auto"/>
              <w:ind w:left="102"/>
              <w:jc w:val="both"/>
              <w:rPr>
                <w:rFonts w:eastAsia="Times New Roman" w:cstheme="minorHAnsi"/>
                <w:lang w:val="en-US"/>
              </w:rPr>
            </w:pPr>
            <w:r w:rsidRPr="00A54361">
              <w:rPr>
                <w:rFonts w:eastAsia="Times New Roman" w:cstheme="minorHAnsi"/>
                <w:lang w:val="en-US"/>
              </w:rPr>
              <w:t>1</w:t>
            </w:r>
            <w:r w:rsidR="00463CED">
              <w:rPr>
                <w:rFonts w:eastAsia="Times New Roman" w:cstheme="minorHAnsi"/>
                <w:lang w:val="en-US"/>
              </w:rPr>
              <w:t>8</w:t>
            </w:r>
          </w:p>
        </w:tc>
        <w:tc>
          <w:tcPr>
            <w:tcW w:w="3552" w:type="pct"/>
          </w:tcPr>
          <w:p w14:paraId="45013305" w14:textId="3D86BFE7" w:rsidR="009A5312" w:rsidRPr="00A54361" w:rsidRDefault="009A5312" w:rsidP="00A54361">
            <w:pPr>
              <w:spacing w:after="0" w:line="240" w:lineRule="exact"/>
              <w:ind w:left="57"/>
              <w:jc w:val="both"/>
              <w:rPr>
                <w:rFonts w:eastAsia="Times New Roman" w:cstheme="minorHAnsi"/>
                <w:spacing w:val="-1"/>
                <w:lang w:val="en-US"/>
              </w:rPr>
            </w:pPr>
            <w:r w:rsidRPr="00A54361">
              <w:rPr>
                <w:rFonts w:eastAsia="Times New Roman" w:cstheme="minorHAnsi"/>
                <w:spacing w:val="-1"/>
                <w:lang w:val="en-US"/>
              </w:rPr>
              <w:t>Annexure 5: Bidder’s Information on company letter head</w:t>
            </w:r>
          </w:p>
          <w:p w14:paraId="5A0F132B" w14:textId="77777777" w:rsidR="009A5312" w:rsidRPr="00A54361" w:rsidRDefault="009A5312" w:rsidP="00A54361">
            <w:pPr>
              <w:spacing w:after="0" w:line="240" w:lineRule="exact"/>
              <w:ind w:left="57"/>
              <w:jc w:val="both"/>
              <w:rPr>
                <w:rFonts w:eastAsia="Times New Roman" w:cstheme="minorHAnsi"/>
                <w:spacing w:val="-1"/>
                <w:lang w:val="en-US"/>
              </w:rPr>
            </w:pPr>
          </w:p>
        </w:tc>
        <w:tc>
          <w:tcPr>
            <w:tcW w:w="1058" w:type="pct"/>
          </w:tcPr>
          <w:p w14:paraId="0F5F35FC" w14:textId="77777777" w:rsidR="009A5312" w:rsidRPr="00A54361" w:rsidRDefault="009A5312" w:rsidP="00A54361">
            <w:pPr>
              <w:spacing w:after="0" w:line="240" w:lineRule="auto"/>
              <w:jc w:val="both"/>
              <w:rPr>
                <w:rFonts w:eastAsia="Times New Roman" w:cstheme="minorHAnsi"/>
                <w:lang w:val="en-US"/>
              </w:rPr>
            </w:pPr>
          </w:p>
        </w:tc>
      </w:tr>
      <w:tr w:rsidR="000D3DC1" w:rsidRPr="00A54361" w14:paraId="0E869CDA" w14:textId="77777777" w:rsidTr="000C7371">
        <w:trPr>
          <w:trHeight w:hRule="exact" w:val="286"/>
        </w:trPr>
        <w:tc>
          <w:tcPr>
            <w:tcW w:w="390" w:type="pct"/>
          </w:tcPr>
          <w:p w14:paraId="62CBBA62" w14:textId="59D28A9F" w:rsidR="009A5312" w:rsidRPr="00A54361" w:rsidRDefault="00463CED" w:rsidP="00A54361">
            <w:pPr>
              <w:spacing w:before="2" w:after="0" w:line="240" w:lineRule="auto"/>
              <w:ind w:left="102"/>
              <w:jc w:val="both"/>
              <w:rPr>
                <w:rFonts w:eastAsia="Times New Roman" w:cstheme="minorHAnsi"/>
                <w:lang w:val="en-US"/>
              </w:rPr>
            </w:pPr>
            <w:r>
              <w:rPr>
                <w:rFonts w:eastAsia="Times New Roman" w:cstheme="minorHAnsi"/>
                <w:lang w:val="en-US"/>
              </w:rPr>
              <w:t>19</w:t>
            </w:r>
          </w:p>
        </w:tc>
        <w:tc>
          <w:tcPr>
            <w:tcW w:w="3552" w:type="pct"/>
          </w:tcPr>
          <w:p w14:paraId="3CBA216F" w14:textId="524B715D" w:rsidR="009A5312" w:rsidRPr="00A54361" w:rsidRDefault="009A5312" w:rsidP="00A54361">
            <w:pPr>
              <w:spacing w:after="0" w:line="240" w:lineRule="exact"/>
              <w:ind w:left="57"/>
              <w:jc w:val="both"/>
              <w:rPr>
                <w:rFonts w:eastAsia="Times New Roman" w:cstheme="minorHAnsi"/>
                <w:spacing w:val="-1"/>
                <w:lang w:val="en-US"/>
              </w:rPr>
            </w:pPr>
            <w:r w:rsidRPr="00A54361">
              <w:rPr>
                <w:rFonts w:eastAsia="Times New Roman" w:cstheme="minorHAnsi"/>
                <w:spacing w:val="-1"/>
                <w:lang w:val="en-US"/>
              </w:rPr>
              <w:t>Annexure 6: Letter for Conformity of Product as per RFP</w:t>
            </w:r>
          </w:p>
        </w:tc>
        <w:tc>
          <w:tcPr>
            <w:tcW w:w="1058" w:type="pct"/>
          </w:tcPr>
          <w:p w14:paraId="4BA18560" w14:textId="77777777" w:rsidR="009A5312" w:rsidRPr="00A54361" w:rsidRDefault="009A5312" w:rsidP="00A54361">
            <w:pPr>
              <w:spacing w:after="0" w:line="240" w:lineRule="auto"/>
              <w:jc w:val="both"/>
              <w:rPr>
                <w:rFonts w:eastAsia="Times New Roman" w:cstheme="minorHAnsi"/>
                <w:lang w:val="en-US"/>
              </w:rPr>
            </w:pPr>
          </w:p>
        </w:tc>
      </w:tr>
      <w:tr w:rsidR="000D3DC1" w:rsidRPr="00A54361" w14:paraId="147C92A4" w14:textId="77777777" w:rsidTr="000C7371">
        <w:trPr>
          <w:trHeight w:hRule="exact" w:val="286"/>
        </w:trPr>
        <w:tc>
          <w:tcPr>
            <w:tcW w:w="390" w:type="pct"/>
          </w:tcPr>
          <w:p w14:paraId="5D3C1D07" w14:textId="573DC2A1" w:rsidR="000C7371" w:rsidRPr="00A54361" w:rsidRDefault="00463CED" w:rsidP="00A54361">
            <w:pPr>
              <w:spacing w:before="1" w:after="0" w:line="240" w:lineRule="auto"/>
              <w:ind w:left="102"/>
              <w:jc w:val="both"/>
              <w:rPr>
                <w:rFonts w:eastAsia="Times New Roman" w:cstheme="minorHAnsi"/>
                <w:lang w:val="en-US"/>
              </w:rPr>
            </w:pPr>
            <w:r>
              <w:rPr>
                <w:rFonts w:eastAsia="Times New Roman" w:cstheme="minorHAnsi"/>
                <w:lang w:val="en-US"/>
              </w:rPr>
              <w:t>20</w:t>
            </w:r>
          </w:p>
        </w:tc>
        <w:tc>
          <w:tcPr>
            <w:tcW w:w="3552" w:type="pct"/>
          </w:tcPr>
          <w:p w14:paraId="66327A78" w14:textId="142BAB5F" w:rsidR="000C7371" w:rsidRPr="00A54361" w:rsidRDefault="000C7371" w:rsidP="00A54361">
            <w:pPr>
              <w:spacing w:after="0" w:line="240" w:lineRule="exact"/>
              <w:ind w:left="57"/>
              <w:jc w:val="both"/>
              <w:rPr>
                <w:rFonts w:eastAsia="Times New Roman" w:cstheme="minorHAnsi"/>
                <w:spacing w:val="-1"/>
                <w:lang w:val="en-US"/>
              </w:rPr>
            </w:pPr>
            <w:r w:rsidRPr="00A54361">
              <w:rPr>
                <w:rFonts w:eastAsia="Times New Roman" w:cstheme="minorHAnsi"/>
                <w:spacing w:val="-1"/>
                <w:lang w:val="en-US"/>
              </w:rPr>
              <w:t>Annexure 7: Undertaking for acceptance of terms of RFP</w:t>
            </w:r>
          </w:p>
        </w:tc>
        <w:tc>
          <w:tcPr>
            <w:tcW w:w="1058" w:type="pct"/>
          </w:tcPr>
          <w:p w14:paraId="39914122" w14:textId="77777777" w:rsidR="000C7371" w:rsidRPr="00A54361" w:rsidRDefault="000C7371" w:rsidP="00A54361">
            <w:pPr>
              <w:spacing w:after="0" w:line="240" w:lineRule="auto"/>
              <w:jc w:val="both"/>
              <w:rPr>
                <w:rFonts w:eastAsia="Times New Roman" w:cstheme="minorHAnsi"/>
                <w:lang w:val="en-US"/>
              </w:rPr>
            </w:pPr>
          </w:p>
        </w:tc>
      </w:tr>
      <w:tr w:rsidR="000D3DC1" w:rsidRPr="00A54361" w14:paraId="3F289FD3" w14:textId="77777777" w:rsidTr="000C7371">
        <w:trPr>
          <w:trHeight w:hRule="exact" w:val="378"/>
        </w:trPr>
        <w:tc>
          <w:tcPr>
            <w:tcW w:w="390" w:type="pct"/>
          </w:tcPr>
          <w:p w14:paraId="0A125687" w14:textId="4E88DC14" w:rsidR="000C7371" w:rsidRPr="00A54361" w:rsidRDefault="00463CED" w:rsidP="00A54361">
            <w:pPr>
              <w:spacing w:before="1" w:after="0" w:line="240" w:lineRule="auto"/>
              <w:ind w:left="102"/>
              <w:jc w:val="both"/>
              <w:rPr>
                <w:rFonts w:eastAsia="Times New Roman" w:cstheme="minorHAnsi"/>
                <w:lang w:val="en-US"/>
              </w:rPr>
            </w:pPr>
            <w:r>
              <w:rPr>
                <w:rFonts w:eastAsia="Times New Roman" w:cstheme="minorHAnsi"/>
                <w:lang w:val="en-US"/>
              </w:rPr>
              <w:t>21</w:t>
            </w:r>
          </w:p>
        </w:tc>
        <w:tc>
          <w:tcPr>
            <w:tcW w:w="3552" w:type="pct"/>
          </w:tcPr>
          <w:p w14:paraId="7C8E2E50" w14:textId="1BC1744D" w:rsidR="000C7371" w:rsidRPr="00A54361" w:rsidRDefault="000C7371" w:rsidP="00A54361">
            <w:pPr>
              <w:spacing w:after="0" w:line="240" w:lineRule="exact"/>
              <w:ind w:left="57"/>
              <w:jc w:val="both"/>
              <w:rPr>
                <w:rFonts w:eastAsia="Times New Roman" w:cstheme="minorHAnsi"/>
                <w:spacing w:val="-1"/>
                <w:lang w:val="en-US"/>
              </w:rPr>
            </w:pPr>
            <w:r w:rsidRPr="00A54361">
              <w:rPr>
                <w:rFonts w:eastAsia="Times New Roman" w:cstheme="minorHAnsi"/>
                <w:spacing w:val="-1"/>
                <w:lang w:val="en-US"/>
              </w:rPr>
              <w:t>Annexure 8: MAF on OEM’s letter head</w:t>
            </w:r>
          </w:p>
        </w:tc>
        <w:tc>
          <w:tcPr>
            <w:tcW w:w="1058" w:type="pct"/>
          </w:tcPr>
          <w:p w14:paraId="7593B8E2" w14:textId="77777777" w:rsidR="000C7371" w:rsidRPr="00A54361" w:rsidRDefault="000C7371" w:rsidP="00A54361">
            <w:pPr>
              <w:spacing w:after="0" w:line="240" w:lineRule="auto"/>
              <w:jc w:val="both"/>
              <w:rPr>
                <w:rFonts w:eastAsia="Times New Roman" w:cstheme="minorHAnsi"/>
                <w:lang w:val="en-US"/>
              </w:rPr>
            </w:pPr>
          </w:p>
        </w:tc>
      </w:tr>
      <w:tr w:rsidR="000D3DC1" w:rsidRPr="00A54361" w14:paraId="117A73E2" w14:textId="77777777" w:rsidTr="000C7371">
        <w:trPr>
          <w:trHeight w:hRule="exact" w:val="286"/>
        </w:trPr>
        <w:tc>
          <w:tcPr>
            <w:tcW w:w="390" w:type="pct"/>
          </w:tcPr>
          <w:p w14:paraId="148846E2" w14:textId="22176C6A" w:rsidR="000C7371" w:rsidRPr="00A54361" w:rsidRDefault="00463CED" w:rsidP="00A54361">
            <w:pPr>
              <w:spacing w:before="1" w:after="0" w:line="240" w:lineRule="auto"/>
              <w:ind w:left="102"/>
              <w:jc w:val="both"/>
              <w:rPr>
                <w:rFonts w:eastAsia="Times New Roman" w:cstheme="minorHAnsi"/>
                <w:lang w:val="en-US"/>
              </w:rPr>
            </w:pPr>
            <w:r>
              <w:rPr>
                <w:rFonts w:eastAsia="Times New Roman" w:cstheme="minorHAnsi"/>
                <w:lang w:val="en-US"/>
              </w:rPr>
              <w:lastRenderedPageBreak/>
              <w:t>22</w:t>
            </w:r>
          </w:p>
        </w:tc>
        <w:tc>
          <w:tcPr>
            <w:tcW w:w="3552" w:type="pct"/>
          </w:tcPr>
          <w:p w14:paraId="4B140ECA" w14:textId="3AD0AB80" w:rsidR="000C7371" w:rsidRPr="00A54361" w:rsidRDefault="000C7371" w:rsidP="00A54361">
            <w:pPr>
              <w:spacing w:after="0" w:line="240" w:lineRule="exact"/>
              <w:ind w:left="57"/>
              <w:jc w:val="both"/>
              <w:rPr>
                <w:rFonts w:eastAsia="Times New Roman" w:cstheme="minorHAnsi"/>
                <w:spacing w:val="-1"/>
                <w:lang w:val="en-US"/>
              </w:rPr>
            </w:pPr>
            <w:r w:rsidRPr="00A54361">
              <w:rPr>
                <w:rFonts w:eastAsia="Times New Roman" w:cstheme="minorHAnsi"/>
                <w:spacing w:val="-1"/>
                <w:lang w:val="en-US"/>
              </w:rPr>
              <w:t>Annexure 9: Integrity Pact</w:t>
            </w:r>
          </w:p>
        </w:tc>
        <w:tc>
          <w:tcPr>
            <w:tcW w:w="1058" w:type="pct"/>
          </w:tcPr>
          <w:p w14:paraId="5B88282F" w14:textId="77777777" w:rsidR="000C7371" w:rsidRPr="00A54361" w:rsidRDefault="000C7371" w:rsidP="00A54361">
            <w:pPr>
              <w:spacing w:after="0" w:line="240" w:lineRule="auto"/>
              <w:jc w:val="both"/>
              <w:rPr>
                <w:rFonts w:eastAsia="Times New Roman" w:cstheme="minorHAnsi"/>
                <w:lang w:val="en-US"/>
              </w:rPr>
            </w:pPr>
          </w:p>
        </w:tc>
      </w:tr>
      <w:tr w:rsidR="000D3DC1" w:rsidRPr="00A54361" w14:paraId="11C79D0E" w14:textId="77777777" w:rsidTr="000C7371">
        <w:trPr>
          <w:trHeight w:hRule="exact" w:val="286"/>
        </w:trPr>
        <w:tc>
          <w:tcPr>
            <w:tcW w:w="390" w:type="pct"/>
          </w:tcPr>
          <w:p w14:paraId="21BC72A8" w14:textId="5764F01D" w:rsidR="000C7371" w:rsidRPr="00A54361" w:rsidRDefault="00463CED" w:rsidP="00A54361">
            <w:pPr>
              <w:spacing w:before="1" w:after="0" w:line="240" w:lineRule="auto"/>
              <w:ind w:left="102"/>
              <w:jc w:val="both"/>
              <w:rPr>
                <w:rFonts w:eastAsia="Times New Roman" w:cstheme="minorHAnsi"/>
                <w:lang w:val="en-US"/>
              </w:rPr>
            </w:pPr>
            <w:r>
              <w:rPr>
                <w:rFonts w:eastAsia="Times New Roman" w:cstheme="minorHAnsi"/>
                <w:lang w:val="en-US"/>
              </w:rPr>
              <w:t>23</w:t>
            </w:r>
          </w:p>
        </w:tc>
        <w:tc>
          <w:tcPr>
            <w:tcW w:w="3552" w:type="pct"/>
          </w:tcPr>
          <w:p w14:paraId="55874A6E" w14:textId="07894BB6" w:rsidR="000C7371" w:rsidRPr="00A54361" w:rsidRDefault="000C7371" w:rsidP="00A54361">
            <w:pPr>
              <w:spacing w:after="0" w:line="240" w:lineRule="exact"/>
              <w:ind w:left="57"/>
              <w:jc w:val="both"/>
              <w:rPr>
                <w:rFonts w:eastAsia="Times New Roman" w:cstheme="minorHAnsi"/>
                <w:spacing w:val="-1"/>
                <w:lang w:val="en-US"/>
              </w:rPr>
            </w:pPr>
            <w:r w:rsidRPr="00A54361">
              <w:rPr>
                <w:rFonts w:eastAsia="Times New Roman" w:cstheme="minorHAnsi"/>
                <w:spacing w:val="-1"/>
                <w:lang w:val="en-US"/>
              </w:rPr>
              <w:t>Annexure 10: Non-Disclosure Agreement</w:t>
            </w:r>
          </w:p>
        </w:tc>
        <w:tc>
          <w:tcPr>
            <w:tcW w:w="1058" w:type="pct"/>
          </w:tcPr>
          <w:p w14:paraId="423F4F07" w14:textId="77777777" w:rsidR="000C7371" w:rsidRPr="00A54361" w:rsidRDefault="000C7371" w:rsidP="00A54361">
            <w:pPr>
              <w:spacing w:after="0" w:line="240" w:lineRule="auto"/>
              <w:jc w:val="both"/>
              <w:rPr>
                <w:rFonts w:eastAsia="Times New Roman" w:cstheme="minorHAnsi"/>
                <w:lang w:val="en-US"/>
              </w:rPr>
            </w:pPr>
          </w:p>
        </w:tc>
      </w:tr>
      <w:tr w:rsidR="000D3DC1" w:rsidRPr="00A54361" w14:paraId="45082EC9" w14:textId="77777777" w:rsidTr="000C7371">
        <w:trPr>
          <w:trHeight w:hRule="exact" w:val="286"/>
        </w:trPr>
        <w:tc>
          <w:tcPr>
            <w:tcW w:w="390" w:type="pct"/>
          </w:tcPr>
          <w:p w14:paraId="31E0EFF0" w14:textId="30F1D1A7" w:rsidR="000C7371" w:rsidRPr="00A54361" w:rsidRDefault="00463CED" w:rsidP="00A54361">
            <w:pPr>
              <w:spacing w:before="1" w:after="0" w:line="240" w:lineRule="auto"/>
              <w:ind w:left="102"/>
              <w:jc w:val="both"/>
              <w:rPr>
                <w:rFonts w:eastAsia="Times New Roman" w:cstheme="minorHAnsi"/>
                <w:lang w:val="en-US"/>
              </w:rPr>
            </w:pPr>
            <w:r>
              <w:rPr>
                <w:rFonts w:eastAsia="Times New Roman" w:cstheme="minorHAnsi"/>
                <w:lang w:val="en-US"/>
              </w:rPr>
              <w:t>24</w:t>
            </w:r>
          </w:p>
        </w:tc>
        <w:tc>
          <w:tcPr>
            <w:tcW w:w="3552" w:type="pct"/>
          </w:tcPr>
          <w:p w14:paraId="1D619977" w14:textId="26A9CFC9" w:rsidR="000C7371" w:rsidRPr="00A54361" w:rsidRDefault="000C7371" w:rsidP="00A54361">
            <w:pPr>
              <w:spacing w:after="0" w:line="240" w:lineRule="exact"/>
              <w:ind w:left="57"/>
              <w:jc w:val="both"/>
              <w:rPr>
                <w:rFonts w:eastAsia="Times New Roman" w:cstheme="minorHAnsi"/>
                <w:spacing w:val="-1"/>
                <w:lang w:val="en-US"/>
              </w:rPr>
            </w:pPr>
            <w:r w:rsidRPr="00A54361">
              <w:rPr>
                <w:rFonts w:eastAsia="Times New Roman" w:cstheme="minorHAnsi"/>
                <w:spacing w:val="-1"/>
                <w:lang w:val="en-US"/>
              </w:rPr>
              <w:t>Annexure 11: Performance Bank Guarantee</w:t>
            </w:r>
          </w:p>
        </w:tc>
        <w:tc>
          <w:tcPr>
            <w:tcW w:w="1058" w:type="pct"/>
          </w:tcPr>
          <w:p w14:paraId="44492473" w14:textId="77777777" w:rsidR="000C7371" w:rsidRPr="00A54361" w:rsidRDefault="000C7371" w:rsidP="00A54361">
            <w:pPr>
              <w:spacing w:after="0" w:line="240" w:lineRule="auto"/>
              <w:jc w:val="both"/>
              <w:rPr>
                <w:rFonts w:eastAsia="Times New Roman" w:cstheme="minorHAnsi"/>
                <w:lang w:val="en-US"/>
              </w:rPr>
            </w:pPr>
          </w:p>
        </w:tc>
      </w:tr>
      <w:tr w:rsidR="000D3DC1" w:rsidRPr="00A54361" w14:paraId="60D6E739" w14:textId="77777777" w:rsidTr="000C7371">
        <w:trPr>
          <w:trHeight w:hRule="exact" w:val="286"/>
        </w:trPr>
        <w:tc>
          <w:tcPr>
            <w:tcW w:w="390" w:type="pct"/>
          </w:tcPr>
          <w:p w14:paraId="65F7BB25" w14:textId="78CEA29B" w:rsidR="000C7371" w:rsidRPr="00A54361" w:rsidRDefault="00463CED" w:rsidP="00A54361">
            <w:pPr>
              <w:spacing w:before="1" w:after="0" w:line="240" w:lineRule="auto"/>
              <w:ind w:left="102"/>
              <w:jc w:val="both"/>
              <w:rPr>
                <w:rFonts w:eastAsia="Times New Roman" w:cstheme="minorHAnsi"/>
                <w:lang w:val="en-US"/>
              </w:rPr>
            </w:pPr>
            <w:r>
              <w:rPr>
                <w:rFonts w:eastAsia="Times New Roman" w:cstheme="minorHAnsi"/>
                <w:lang w:val="en-US"/>
              </w:rPr>
              <w:t>25</w:t>
            </w:r>
          </w:p>
        </w:tc>
        <w:tc>
          <w:tcPr>
            <w:tcW w:w="3552" w:type="pct"/>
          </w:tcPr>
          <w:p w14:paraId="6BD36A62" w14:textId="01CF4A7B" w:rsidR="000C7371" w:rsidRPr="00A54361" w:rsidRDefault="000C7371" w:rsidP="00A54361">
            <w:pPr>
              <w:spacing w:after="0" w:line="240" w:lineRule="exact"/>
              <w:ind w:left="57"/>
              <w:jc w:val="both"/>
              <w:rPr>
                <w:rFonts w:eastAsia="Times New Roman" w:cstheme="minorHAnsi"/>
                <w:spacing w:val="-1"/>
                <w:lang w:val="en-US"/>
              </w:rPr>
            </w:pPr>
            <w:r w:rsidRPr="00A54361">
              <w:rPr>
                <w:rFonts w:eastAsia="Times New Roman" w:cstheme="minorHAnsi"/>
                <w:spacing w:val="-1"/>
                <w:lang w:val="en-US"/>
              </w:rPr>
              <w:t>Annexure 12: Pro forma for Bid Security (EMD)</w:t>
            </w:r>
          </w:p>
        </w:tc>
        <w:tc>
          <w:tcPr>
            <w:tcW w:w="1058" w:type="pct"/>
          </w:tcPr>
          <w:p w14:paraId="28A519AE" w14:textId="77777777" w:rsidR="000C7371" w:rsidRPr="00A54361" w:rsidRDefault="000C7371" w:rsidP="00A54361">
            <w:pPr>
              <w:spacing w:after="0" w:line="240" w:lineRule="auto"/>
              <w:jc w:val="both"/>
              <w:rPr>
                <w:rFonts w:eastAsia="Times New Roman" w:cstheme="minorHAnsi"/>
                <w:lang w:val="en-US"/>
              </w:rPr>
            </w:pPr>
          </w:p>
        </w:tc>
      </w:tr>
      <w:tr w:rsidR="000D3DC1" w:rsidRPr="00A54361" w14:paraId="6CE30835" w14:textId="77777777" w:rsidTr="000C7371">
        <w:trPr>
          <w:trHeight w:hRule="exact" w:val="288"/>
        </w:trPr>
        <w:tc>
          <w:tcPr>
            <w:tcW w:w="390" w:type="pct"/>
          </w:tcPr>
          <w:p w14:paraId="2F716CB2" w14:textId="1CCB4234" w:rsidR="000C7371" w:rsidRPr="00A54361" w:rsidRDefault="00463CED" w:rsidP="00A54361">
            <w:pPr>
              <w:spacing w:before="4" w:after="0" w:line="240" w:lineRule="auto"/>
              <w:ind w:left="102"/>
              <w:jc w:val="both"/>
              <w:rPr>
                <w:rFonts w:eastAsia="Times New Roman" w:cstheme="minorHAnsi"/>
                <w:lang w:val="en-US"/>
              </w:rPr>
            </w:pPr>
            <w:r>
              <w:rPr>
                <w:rFonts w:eastAsia="Times New Roman" w:cstheme="minorHAnsi"/>
                <w:lang w:val="en-US"/>
              </w:rPr>
              <w:t>26</w:t>
            </w:r>
          </w:p>
        </w:tc>
        <w:tc>
          <w:tcPr>
            <w:tcW w:w="3552" w:type="pct"/>
          </w:tcPr>
          <w:p w14:paraId="2D63AD3A" w14:textId="4094E1C6" w:rsidR="000C7371" w:rsidRPr="00A54361" w:rsidRDefault="000C7371" w:rsidP="00A54361">
            <w:pPr>
              <w:spacing w:after="0" w:line="240" w:lineRule="exact"/>
              <w:ind w:left="57"/>
              <w:jc w:val="both"/>
              <w:rPr>
                <w:rFonts w:eastAsia="Times New Roman" w:cstheme="minorHAnsi"/>
                <w:spacing w:val="-1"/>
                <w:lang w:val="en-US"/>
              </w:rPr>
            </w:pPr>
            <w:r w:rsidRPr="00A54361">
              <w:rPr>
                <w:rFonts w:eastAsia="Times New Roman" w:cstheme="minorHAnsi"/>
                <w:spacing w:val="-1"/>
                <w:lang w:val="en-US"/>
              </w:rPr>
              <w:t>Annexure 13: Bidders Particulars in Company Letter Head</w:t>
            </w:r>
          </w:p>
        </w:tc>
        <w:tc>
          <w:tcPr>
            <w:tcW w:w="1058" w:type="pct"/>
          </w:tcPr>
          <w:p w14:paraId="63F94543" w14:textId="77777777" w:rsidR="000C7371" w:rsidRPr="00A54361" w:rsidRDefault="000C7371" w:rsidP="00A54361">
            <w:pPr>
              <w:spacing w:after="0" w:line="240" w:lineRule="auto"/>
              <w:jc w:val="both"/>
              <w:rPr>
                <w:rFonts w:eastAsia="Times New Roman" w:cstheme="minorHAnsi"/>
                <w:lang w:val="en-US"/>
              </w:rPr>
            </w:pPr>
          </w:p>
        </w:tc>
      </w:tr>
      <w:tr w:rsidR="000D3DC1" w:rsidRPr="00A54361" w14:paraId="6B9FB9B0" w14:textId="77777777" w:rsidTr="000C7371">
        <w:trPr>
          <w:trHeight w:hRule="exact" w:val="296"/>
        </w:trPr>
        <w:tc>
          <w:tcPr>
            <w:tcW w:w="390" w:type="pct"/>
          </w:tcPr>
          <w:p w14:paraId="1EB71EB6" w14:textId="3FC90983" w:rsidR="000C7371" w:rsidRPr="00A54361" w:rsidRDefault="00463CED" w:rsidP="00A54361">
            <w:pPr>
              <w:spacing w:before="1" w:after="0" w:line="240" w:lineRule="auto"/>
              <w:ind w:left="102"/>
              <w:jc w:val="both"/>
              <w:rPr>
                <w:rFonts w:eastAsia="Times New Roman" w:cstheme="minorHAnsi"/>
                <w:lang w:val="en-US"/>
              </w:rPr>
            </w:pPr>
            <w:r>
              <w:rPr>
                <w:rFonts w:eastAsia="Times New Roman" w:cstheme="minorHAnsi"/>
                <w:lang w:val="en-US"/>
              </w:rPr>
              <w:t>27</w:t>
            </w:r>
          </w:p>
        </w:tc>
        <w:tc>
          <w:tcPr>
            <w:tcW w:w="3552" w:type="pct"/>
          </w:tcPr>
          <w:p w14:paraId="7221F6AB" w14:textId="099BED7F" w:rsidR="000C7371" w:rsidRPr="00A54361" w:rsidRDefault="000E5982" w:rsidP="00A54361">
            <w:pPr>
              <w:spacing w:after="0" w:line="240" w:lineRule="exact"/>
              <w:ind w:left="57"/>
              <w:jc w:val="both"/>
              <w:rPr>
                <w:rFonts w:eastAsia="Times New Roman" w:cstheme="minorHAnsi"/>
                <w:spacing w:val="-1"/>
                <w:lang w:val="en-US"/>
              </w:rPr>
            </w:pPr>
            <w:r>
              <w:rPr>
                <w:rFonts w:eastAsia="Times New Roman" w:cstheme="minorHAnsi"/>
                <w:spacing w:val="-1"/>
                <w:lang w:val="en-US"/>
              </w:rPr>
              <w:t>Annexure 14</w:t>
            </w:r>
            <w:r w:rsidR="000C7371" w:rsidRPr="00A54361">
              <w:rPr>
                <w:rFonts w:eastAsia="Times New Roman" w:cstheme="minorHAnsi"/>
                <w:spacing w:val="-1"/>
                <w:lang w:val="en-US"/>
              </w:rPr>
              <w:t>: NPA UNDERTAKING</w:t>
            </w:r>
          </w:p>
        </w:tc>
        <w:tc>
          <w:tcPr>
            <w:tcW w:w="1058" w:type="pct"/>
          </w:tcPr>
          <w:p w14:paraId="1C00F410" w14:textId="77777777" w:rsidR="000C7371" w:rsidRPr="00A54361" w:rsidRDefault="000C7371" w:rsidP="00A54361">
            <w:pPr>
              <w:spacing w:after="0" w:line="240" w:lineRule="auto"/>
              <w:jc w:val="both"/>
              <w:rPr>
                <w:rFonts w:eastAsia="Times New Roman" w:cstheme="minorHAnsi"/>
                <w:lang w:val="en-US"/>
              </w:rPr>
            </w:pPr>
          </w:p>
        </w:tc>
      </w:tr>
      <w:tr w:rsidR="000D3DC1" w:rsidRPr="00A54361" w14:paraId="1F8B102F" w14:textId="77777777" w:rsidTr="000C7371">
        <w:trPr>
          <w:trHeight w:hRule="exact" w:val="296"/>
        </w:trPr>
        <w:tc>
          <w:tcPr>
            <w:tcW w:w="390" w:type="pct"/>
          </w:tcPr>
          <w:p w14:paraId="69A397C3" w14:textId="7D0B4BC3" w:rsidR="000C7371" w:rsidRPr="00A54361" w:rsidRDefault="00463CED" w:rsidP="00A54361">
            <w:pPr>
              <w:spacing w:before="1" w:after="0" w:line="240" w:lineRule="auto"/>
              <w:ind w:left="102"/>
              <w:jc w:val="both"/>
              <w:rPr>
                <w:rFonts w:eastAsia="Times New Roman" w:cstheme="minorHAnsi"/>
                <w:lang w:val="en-US"/>
              </w:rPr>
            </w:pPr>
            <w:r>
              <w:rPr>
                <w:rFonts w:eastAsia="Times New Roman" w:cstheme="minorHAnsi"/>
                <w:lang w:val="en-US"/>
              </w:rPr>
              <w:t>28</w:t>
            </w:r>
          </w:p>
        </w:tc>
        <w:tc>
          <w:tcPr>
            <w:tcW w:w="3552" w:type="pct"/>
          </w:tcPr>
          <w:p w14:paraId="4401F360" w14:textId="2AF8387F" w:rsidR="000C7371" w:rsidRPr="00A54361" w:rsidRDefault="000E5982" w:rsidP="00A54361">
            <w:pPr>
              <w:spacing w:after="0" w:line="240" w:lineRule="exact"/>
              <w:ind w:left="57"/>
              <w:jc w:val="both"/>
              <w:rPr>
                <w:rFonts w:eastAsia="Times New Roman" w:cstheme="minorHAnsi"/>
                <w:spacing w:val="-1"/>
                <w:lang w:val="en-US"/>
              </w:rPr>
            </w:pPr>
            <w:r>
              <w:rPr>
                <w:rFonts w:eastAsia="Times New Roman" w:cstheme="minorHAnsi"/>
                <w:spacing w:val="-1"/>
                <w:lang w:val="en-US"/>
              </w:rPr>
              <w:t>Annexure 15</w:t>
            </w:r>
            <w:r w:rsidR="000C7371" w:rsidRPr="00A54361">
              <w:rPr>
                <w:rFonts w:eastAsia="Times New Roman" w:cstheme="minorHAnsi"/>
                <w:spacing w:val="-1"/>
                <w:lang w:val="en-US"/>
              </w:rPr>
              <w:t>: Undertaking letter (Land Border Sharing)</w:t>
            </w:r>
          </w:p>
        </w:tc>
        <w:tc>
          <w:tcPr>
            <w:tcW w:w="1058" w:type="pct"/>
          </w:tcPr>
          <w:p w14:paraId="19E2740F" w14:textId="77777777" w:rsidR="000C7371" w:rsidRPr="00A54361" w:rsidRDefault="000C7371" w:rsidP="00A54361">
            <w:pPr>
              <w:spacing w:after="0" w:line="240" w:lineRule="auto"/>
              <w:jc w:val="both"/>
              <w:rPr>
                <w:rFonts w:eastAsia="Times New Roman" w:cstheme="minorHAnsi"/>
                <w:lang w:val="en-US"/>
              </w:rPr>
            </w:pPr>
          </w:p>
        </w:tc>
      </w:tr>
      <w:tr w:rsidR="000D3DC1" w:rsidRPr="00A54361" w14:paraId="0EAFA9FB" w14:textId="77777777" w:rsidTr="000C7371">
        <w:trPr>
          <w:trHeight w:hRule="exact" w:val="296"/>
        </w:trPr>
        <w:tc>
          <w:tcPr>
            <w:tcW w:w="390" w:type="pct"/>
          </w:tcPr>
          <w:p w14:paraId="34F89F69" w14:textId="3731EE81" w:rsidR="000C7371" w:rsidRPr="00A54361" w:rsidRDefault="00463CED" w:rsidP="00A54361">
            <w:pPr>
              <w:spacing w:before="1" w:after="0" w:line="240" w:lineRule="auto"/>
              <w:ind w:left="102"/>
              <w:jc w:val="both"/>
              <w:rPr>
                <w:rFonts w:eastAsia="Times New Roman" w:cstheme="minorHAnsi"/>
                <w:lang w:val="en-US"/>
              </w:rPr>
            </w:pPr>
            <w:r>
              <w:rPr>
                <w:rFonts w:eastAsia="Times New Roman" w:cstheme="minorHAnsi"/>
                <w:lang w:val="en-US"/>
              </w:rPr>
              <w:t>29</w:t>
            </w:r>
          </w:p>
        </w:tc>
        <w:tc>
          <w:tcPr>
            <w:tcW w:w="3552" w:type="pct"/>
          </w:tcPr>
          <w:p w14:paraId="41084BCC" w14:textId="76E4C370" w:rsidR="000C7371" w:rsidRPr="00A54361" w:rsidRDefault="000E5982" w:rsidP="00A54361">
            <w:pPr>
              <w:spacing w:after="0" w:line="240" w:lineRule="exact"/>
              <w:ind w:left="57"/>
              <w:jc w:val="both"/>
              <w:rPr>
                <w:rFonts w:eastAsia="Times New Roman" w:cstheme="minorHAnsi"/>
                <w:spacing w:val="-1"/>
                <w:lang w:val="en-US"/>
              </w:rPr>
            </w:pPr>
            <w:r>
              <w:rPr>
                <w:rFonts w:eastAsia="Times New Roman" w:cstheme="minorHAnsi"/>
                <w:spacing w:val="-1"/>
                <w:lang w:val="en-US"/>
              </w:rPr>
              <w:t>Annexure 16</w:t>
            </w:r>
            <w:r w:rsidR="000C7371" w:rsidRPr="00A54361">
              <w:rPr>
                <w:rFonts w:eastAsia="Times New Roman" w:cstheme="minorHAnsi"/>
                <w:spacing w:val="-1"/>
                <w:lang w:val="en-US"/>
              </w:rPr>
              <w:t xml:space="preserve">: Cover Letter    </w:t>
            </w:r>
          </w:p>
        </w:tc>
        <w:tc>
          <w:tcPr>
            <w:tcW w:w="1058" w:type="pct"/>
          </w:tcPr>
          <w:p w14:paraId="7650A3FA" w14:textId="77777777" w:rsidR="000C7371" w:rsidRPr="00A54361" w:rsidRDefault="000C7371" w:rsidP="00A54361">
            <w:pPr>
              <w:spacing w:after="0" w:line="240" w:lineRule="auto"/>
              <w:jc w:val="both"/>
              <w:rPr>
                <w:rFonts w:eastAsia="Times New Roman" w:cstheme="minorHAnsi"/>
                <w:lang w:val="en-US"/>
              </w:rPr>
            </w:pPr>
          </w:p>
        </w:tc>
      </w:tr>
      <w:tr w:rsidR="000D3DC1" w:rsidRPr="00A54361" w14:paraId="3DE4ADE0" w14:textId="77777777" w:rsidTr="000C7371">
        <w:trPr>
          <w:trHeight w:hRule="exact" w:val="296"/>
        </w:trPr>
        <w:tc>
          <w:tcPr>
            <w:tcW w:w="390" w:type="pct"/>
          </w:tcPr>
          <w:p w14:paraId="0418B4EA" w14:textId="01B5FDA5" w:rsidR="000C7371" w:rsidRPr="00A54361" w:rsidRDefault="00463CED" w:rsidP="00A54361">
            <w:pPr>
              <w:spacing w:before="1" w:after="0" w:line="240" w:lineRule="auto"/>
              <w:ind w:left="102"/>
              <w:jc w:val="both"/>
              <w:rPr>
                <w:rFonts w:eastAsia="Times New Roman" w:cstheme="minorHAnsi"/>
                <w:lang w:val="en-US"/>
              </w:rPr>
            </w:pPr>
            <w:r>
              <w:rPr>
                <w:rFonts w:eastAsia="Times New Roman" w:cstheme="minorHAnsi"/>
                <w:lang w:val="en-US"/>
              </w:rPr>
              <w:t>30</w:t>
            </w:r>
          </w:p>
        </w:tc>
        <w:tc>
          <w:tcPr>
            <w:tcW w:w="3552" w:type="pct"/>
          </w:tcPr>
          <w:p w14:paraId="42E1275C" w14:textId="1ADD443C" w:rsidR="000C7371" w:rsidRPr="00A54361" w:rsidRDefault="000E5982" w:rsidP="00A54361">
            <w:pPr>
              <w:spacing w:after="0" w:line="240" w:lineRule="exact"/>
              <w:ind w:left="57"/>
              <w:jc w:val="both"/>
              <w:rPr>
                <w:rFonts w:eastAsia="Times New Roman" w:cstheme="minorHAnsi"/>
                <w:spacing w:val="-1"/>
                <w:lang w:val="en-US"/>
              </w:rPr>
            </w:pPr>
            <w:r>
              <w:rPr>
                <w:rFonts w:eastAsia="Times New Roman" w:cstheme="minorHAnsi"/>
                <w:spacing w:val="-1"/>
                <w:lang w:val="en-US"/>
              </w:rPr>
              <w:t>Annexure 17</w:t>
            </w:r>
            <w:r w:rsidR="000C7371" w:rsidRPr="00A54361">
              <w:rPr>
                <w:rFonts w:eastAsia="Times New Roman" w:cstheme="minorHAnsi"/>
                <w:spacing w:val="-1"/>
                <w:lang w:val="en-US"/>
              </w:rPr>
              <w:t>: Pre-Bid Query Format</w:t>
            </w:r>
          </w:p>
        </w:tc>
        <w:tc>
          <w:tcPr>
            <w:tcW w:w="1058" w:type="pct"/>
          </w:tcPr>
          <w:p w14:paraId="52AFD0A8" w14:textId="77777777" w:rsidR="000C7371" w:rsidRPr="00A54361" w:rsidRDefault="000C7371" w:rsidP="00A54361">
            <w:pPr>
              <w:spacing w:after="0" w:line="240" w:lineRule="auto"/>
              <w:jc w:val="both"/>
              <w:rPr>
                <w:rFonts w:eastAsia="Times New Roman" w:cstheme="minorHAnsi"/>
                <w:lang w:val="en-US"/>
              </w:rPr>
            </w:pPr>
          </w:p>
        </w:tc>
      </w:tr>
      <w:tr w:rsidR="000D3DC1" w:rsidRPr="00A54361" w14:paraId="46E97A0A" w14:textId="77777777" w:rsidTr="000C7371">
        <w:trPr>
          <w:trHeight w:hRule="exact" w:val="296"/>
        </w:trPr>
        <w:tc>
          <w:tcPr>
            <w:tcW w:w="390" w:type="pct"/>
          </w:tcPr>
          <w:p w14:paraId="08EF32FC" w14:textId="7B738558" w:rsidR="000C7371" w:rsidRPr="00A54361" w:rsidRDefault="00463CED" w:rsidP="00A54361">
            <w:pPr>
              <w:spacing w:before="1" w:after="0" w:line="240" w:lineRule="auto"/>
              <w:ind w:left="102"/>
              <w:jc w:val="both"/>
              <w:rPr>
                <w:rFonts w:eastAsia="Times New Roman" w:cstheme="minorHAnsi"/>
                <w:lang w:val="en-US"/>
              </w:rPr>
            </w:pPr>
            <w:r>
              <w:rPr>
                <w:rFonts w:eastAsia="Times New Roman" w:cstheme="minorHAnsi"/>
                <w:lang w:val="en-US"/>
              </w:rPr>
              <w:t>31</w:t>
            </w:r>
          </w:p>
        </w:tc>
        <w:tc>
          <w:tcPr>
            <w:tcW w:w="3552" w:type="pct"/>
          </w:tcPr>
          <w:p w14:paraId="5B83A165" w14:textId="59639DA5" w:rsidR="000C7371" w:rsidRPr="00A54361" w:rsidRDefault="000E5982" w:rsidP="00A54361">
            <w:pPr>
              <w:spacing w:after="0" w:line="240" w:lineRule="exact"/>
              <w:ind w:left="57"/>
              <w:jc w:val="both"/>
              <w:rPr>
                <w:rFonts w:eastAsia="Times New Roman" w:cstheme="minorHAnsi"/>
                <w:spacing w:val="-1"/>
                <w:lang w:val="en-US"/>
              </w:rPr>
            </w:pPr>
            <w:r>
              <w:rPr>
                <w:rFonts w:eastAsia="Times New Roman" w:cstheme="minorHAnsi"/>
                <w:spacing w:val="-1"/>
                <w:lang w:val="en-US"/>
              </w:rPr>
              <w:t>Annexure 18</w:t>
            </w:r>
            <w:r w:rsidR="000C7371" w:rsidRPr="00A54361">
              <w:rPr>
                <w:rFonts w:eastAsia="Times New Roman" w:cstheme="minorHAnsi"/>
                <w:spacing w:val="-1"/>
                <w:lang w:val="en-US"/>
              </w:rPr>
              <w:t>: Eligibility Criteria Compliance</w:t>
            </w:r>
          </w:p>
        </w:tc>
        <w:tc>
          <w:tcPr>
            <w:tcW w:w="1058" w:type="pct"/>
          </w:tcPr>
          <w:p w14:paraId="63D39434" w14:textId="77777777" w:rsidR="000C7371" w:rsidRPr="00A54361" w:rsidRDefault="000C7371" w:rsidP="00A54361">
            <w:pPr>
              <w:spacing w:after="0" w:line="240" w:lineRule="auto"/>
              <w:jc w:val="both"/>
              <w:rPr>
                <w:rFonts w:eastAsia="Times New Roman" w:cstheme="minorHAnsi"/>
                <w:lang w:val="en-US"/>
              </w:rPr>
            </w:pPr>
          </w:p>
        </w:tc>
      </w:tr>
      <w:tr w:rsidR="000D3DC1" w:rsidRPr="00A54361" w14:paraId="0109C555" w14:textId="77777777" w:rsidTr="000C7371">
        <w:trPr>
          <w:trHeight w:hRule="exact" w:val="296"/>
        </w:trPr>
        <w:tc>
          <w:tcPr>
            <w:tcW w:w="390" w:type="pct"/>
          </w:tcPr>
          <w:p w14:paraId="6ABB9D83" w14:textId="49E2F7FD" w:rsidR="000C7371" w:rsidRPr="00A54361" w:rsidRDefault="00463CED" w:rsidP="00A54361">
            <w:pPr>
              <w:spacing w:before="1" w:after="0" w:line="240" w:lineRule="auto"/>
              <w:ind w:left="102"/>
              <w:jc w:val="both"/>
              <w:rPr>
                <w:rFonts w:eastAsia="Times New Roman" w:cstheme="minorHAnsi"/>
                <w:lang w:val="en-US"/>
              </w:rPr>
            </w:pPr>
            <w:r>
              <w:rPr>
                <w:rFonts w:eastAsia="Times New Roman" w:cstheme="minorHAnsi"/>
                <w:lang w:val="en-US"/>
              </w:rPr>
              <w:t>32</w:t>
            </w:r>
          </w:p>
        </w:tc>
        <w:tc>
          <w:tcPr>
            <w:tcW w:w="3552" w:type="pct"/>
          </w:tcPr>
          <w:p w14:paraId="3A969630" w14:textId="6874D9D1" w:rsidR="000C7371" w:rsidRPr="00A54361" w:rsidRDefault="000E5982" w:rsidP="00A54361">
            <w:pPr>
              <w:spacing w:after="0" w:line="240" w:lineRule="exact"/>
              <w:ind w:left="57"/>
              <w:jc w:val="both"/>
              <w:rPr>
                <w:rFonts w:eastAsia="Times New Roman" w:cstheme="minorHAnsi"/>
                <w:spacing w:val="-1"/>
                <w:lang w:val="en-US"/>
              </w:rPr>
            </w:pPr>
            <w:r>
              <w:rPr>
                <w:rFonts w:eastAsia="Times New Roman" w:cstheme="minorHAnsi"/>
                <w:spacing w:val="-1"/>
                <w:lang w:val="en-US"/>
              </w:rPr>
              <w:t>Annexure 19</w:t>
            </w:r>
            <w:r w:rsidR="000C7371" w:rsidRPr="00A54361">
              <w:rPr>
                <w:rFonts w:eastAsia="Times New Roman" w:cstheme="minorHAnsi"/>
                <w:spacing w:val="-1"/>
                <w:lang w:val="en-US"/>
              </w:rPr>
              <w:t>: Guidelines on banning of business dealing</w:t>
            </w:r>
          </w:p>
        </w:tc>
        <w:tc>
          <w:tcPr>
            <w:tcW w:w="1058" w:type="pct"/>
          </w:tcPr>
          <w:p w14:paraId="3E0C82FC" w14:textId="77777777" w:rsidR="000C7371" w:rsidRPr="00A54361" w:rsidRDefault="000C7371" w:rsidP="00A54361">
            <w:pPr>
              <w:spacing w:after="0" w:line="240" w:lineRule="auto"/>
              <w:jc w:val="both"/>
              <w:rPr>
                <w:rFonts w:eastAsia="Times New Roman" w:cstheme="minorHAnsi"/>
                <w:lang w:val="en-US"/>
              </w:rPr>
            </w:pPr>
          </w:p>
        </w:tc>
      </w:tr>
      <w:tr w:rsidR="000E5982" w:rsidRPr="000E5982" w14:paraId="0872992E" w14:textId="77777777" w:rsidTr="000E5982">
        <w:trPr>
          <w:trHeight w:hRule="exact" w:val="471"/>
        </w:trPr>
        <w:tc>
          <w:tcPr>
            <w:tcW w:w="390" w:type="pct"/>
            <w:tcBorders>
              <w:top w:val="single" w:sz="4" w:space="0" w:color="auto"/>
              <w:left w:val="single" w:sz="4" w:space="0" w:color="auto"/>
              <w:bottom w:val="single" w:sz="4" w:space="0" w:color="auto"/>
              <w:right w:val="single" w:sz="4" w:space="0" w:color="auto"/>
            </w:tcBorders>
          </w:tcPr>
          <w:p w14:paraId="21CE61B3" w14:textId="3E1BB753" w:rsidR="000E5982" w:rsidRPr="000E5982" w:rsidRDefault="000E5982" w:rsidP="0002741C">
            <w:pPr>
              <w:spacing w:before="1" w:after="0" w:line="240" w:lineRule="auto"/>
              <w:ind w:left="102"/>
              <w:jc w:val="both"/>
              <w:rPr>
                <w:rFonts w:eastAsia="Times New Roman" w:cstheme="minorHAnsi"/>
                <w:lang w:val="en-US"/>
              </w:rPr>
            </w:pPr>
            <w:r w:rsidRPr="000E5982">
              <w:rPr>
                <w:rFonts w:eastAsia="Times New Roman" w:cstheme="minorHAnsi"/>
                <w:lang w:val="en-US"/>
              </w:rPr>
              <w:t>33</w:t>
            </w:r>
          </w:p>
        </w:tc>
        <w:tc>
          <w:tcPr>
            <w:tcW w:w="3552" w:type="pct"/>
            <w:tcBorders>
              <w:top w:val="single" w:sz="4" w:space="0" w:color="auto"/>
              <w:left w:val="single" w:sz="4" w:space="0" w:color="auto"/>
              <w:bottom w:val="single" w:sz="4" w:space="0" w:color="auto"/>
              <w:right w:val="single" w:sz="4" w:space="0" w:color="auto"/>
            </w:tcBorders>
          </w:tcPr>
          <w:p w14:paraId="0586E513" w14:textId="39AFE622" w:rsidR="000E5982" w:rsidRPr="000E5982" w:rsidRDefault="000E5982" w:rsidP="0002741C">
            <w:pPr>
              <w:spacing w:after="0" w:line="240" w:lineRule="exact"/>
              <w:ind w:left="57"/>
              <w:jc w:val="both"/>
              <w:rPr>
                <w:rFonts w:eastAsia="Times New Roman" w:cstheme="minorHAnsi"/>
                <w:spacing w:val="-1"/>
                <w:lang w:val="en-US"/>
              </w:rPr>
            </w:pPr>
            <w:r w:rsidRPr="000E5982">
              <w:rPr>
                <w:rFonts w:eastAsia="Times New Roman" w:cstheme="minorHAnsi"/>
                <w:spacing w:val="-1"/>
                <w:lang w:val="en-US"/>
              </w:rPr>
              <w:t xml:space="preserve">Annexure 20: </w:t>
            </w:r>
            <w:r w:rsidRPr="000E5982">
              <w:rPr>
                <w:bCs/>
              </w:rPr>
              <w:t>Compliance Certificate with respect to RBI’s “Master Direction on Outsourcing of Information Technology Services”</w:t>
            </w:r>
          </w:p>
        </w:tc>
        <w:tc>
          <w:tcPr>
            <w:tcW w:w="1058" w:type="pct"/>
            <w:tcBorders>
              <w:top w:val="single" w:sz="4" w:space="0" w:color="auto"/>
              <w:left w:val="single" w:sz="4" w:space="0" w:color="auto"/>
              <w:bottom w:val="single" w:sz="4" w:space="0" w:color="auto"/>
              <w:right w:val="single" w:sz="4" w:space="0" w:color="auto"/>
            </w:tcBorders>
          </w:tcPr>
          <w:p w14:paraId="230EC399" w14:textId="77777777" w:rsidR="000E5982" w:rsidRPr="000E5982" w:rsidRDefault="000E5982" w:rsidP="0002741C">
            <w:pPr>
              <w:spacing w:after="0" w:line="240" w:lineRule="auto"/>
              <w:jc w:val="both"/>
              <w:rPr>
                <w:rFonts w:eastAsia="Times New Roman" w:cstheme="minorHAnsi"/>
                <w:lang w:val="en-US"/>
              </w:rPr>
            </w:pPr>
          </w:p>
        </w:tc>
      </w:tr>
    </w:tbl>
    <w:p w14:paraId="12D3CB50" w14:textId="796D2E93" w:rsidR="00144949" w:rsidRPr="000E5982" w:rsidRDefault="00144949" w:rsidP="00A54361">
      <w:pPr>
        <w:jc w:val="both"/>
      </w:pPr>
    </w:p>
    <w:p w14:paraId="15F1F02F" w14:textId="77777777" w:rsidR="00985D46" w:rsidRDefault="00144949" w:rsidP="00A54361">
      <w:pPr>
        <w:jc w:val="both"/>
        <w:sectPr w:rsidR="00985D46" w:rsidSect="00503825">
          <w:headerReference w:type="default" r:id="rId20"/>
          <w:footerReference w:type="default" r:id="rId21"/>
          <w:pgSz w:w="11906" w:h="16838"/>
          <w:pgMar w:top="1440" w:right="1440" w:bottom="1440" w:left="1440" w:header="708" w:footer="708" w:gutter="0"/>
          <w:cols w:space="708"/>
          <w:titlePg/>
          <w:docGrid w:linePitch="360"/>
        </w:sectPr>
      </w:pPr>
      <w:r w:rsidRPr="00A54361">
        <w:br w:type="page"/>
      </w:r>
    </w:p>
    <w:p w14:paraId="6CA0BCDA" w14:textId="188A8A8D" w:rsidR="00144949" w:rsidRPr="00A54361" w:rsidRDefault="00144949" w:rsidP="00A54361">
      <w:pPr>
        <w:jc w:val="both"/>
      </w:pPr>
    </w:p>
    <w:p w14:paraId="3C2579E7" w14:textId="2FDC16C8" w:rsidR="00B13BFE" w:rsidRPr="00A54361" w:rsidRDefault="00B13BFE" w:rsidP="00A54361">
      <w:pPr>
        <w:pStyle w:val="Heading1"/>
        <w:numPr>
          <w:ilvl w:val="0"/>
          <w:numId w:val="48"/>
        </w:numPr>
        <w:jc w:val="both"/>
        <w:rPr>
          <w:rFonts w:asciiTheme="minorHAnsi" w:hAnsiTheme="minorHAnsi" w:cstheme="minorHAnsi"/>
          <w:color w:val="auto"/>
        </w:rPr>
      </w:pPr>
      <w:bookmarkStart w:id="258" w:name="_Toc182233407"/>
      <w:bookmarkStart w:id="259" w:name="_Toc129668529"/>
      <w:r w:rsidRPr="00A54361">
        <w:rPr>
          <w:rFonts w:asciiTheme="minorHAnsi" w:hAnsiTheme="minorHAnsi" w:cstheme="minorHAnsi"/>
          <w:color w:val="auto"/>
        </w:rPr>
        <w:t>Annexure 1: Bill of Material</w:t>
      </w:r>
      <w:bookmarkEnd w:id="258"/>
    </w:p>
    <w:p w14:paraId="5E1DED81" w14:textId="009FF2B3" w:rsidR="00000979" w:rsidRPr="00A54361" w:rsidRDefault="00B13BFE" w:rsidP="00A54361">
      <w:pPr>
        <w:jc w:val="both"/>
        <w:rPr>
          <w:rFonts w:cstheme="minorHAnsi"/>
        </w:rPr>
      </w:pPr>
      <w:r w:rsidRPr="00A54361">
        <w:rPr>
          <w:rFonts w:cstheme="minorHAnsi"/>
        </w:rPr>
        <w:t>Format for Commercia</w:t>
      </w:r>
      <w:r w:rsidR="005B0B73">
        <w:rPr>
          <w:rFonts w:cstheme="minorHAnsi"/>
        </w:rPr>
        <w:t>l Bill of Material is attached herewith :</w:t>
      </w:r>
    </w:p>
    <w:p w14:paraId="52B82CF6" w14:textId="77777777" w:rsidR="005B0B73" w:rsidRDefault="005B0B73" w:rsidP="00A54361">
      <w:pPr>
        <w:jc w:val="both"/>
        <w:rPr>
          <w:rFonts w:cstheme="minorHAnsi"/>
        </w:rPr>
      </w:pPr>
    </w:p>
    <w:p w14:paraId="47395785" w14:textId="59D7489A" w:rsidR="005B0B73" w:rsidRPr="00000F38" w:rsidRDefault="005B0B73">
      <w:pPr>
        <w:rPr>
          <w:rFonts w:cstheme="minorHAnsi"/>
        </w:rPr>
      </w:pPr>
      <w:r w:rsidRPr="00000F38">
        <w:rPr>
          <w:rFonts w:cstheme="minorHAnsi"/>
        </w:rPr>
        <w:br w:type="page"/>
      </w:r>
    </w:p>
    <w:p w14:paraId="3309200D" w14:textId="77777777" w:rsidR="005B0B73" w:rsidRPr="00000F38" w:rsidRDefault="005B0B73" w:rsidP="00A54361">
      <w:pPr>
        <w:jc w:val="both"/>
        <w:rPr>
          <w:rFonts w:cstheme="minorHAnsi"/>
        </w:rPr>
        <w:sectPr w:rsidR="005B0B73" w:rsidRPr="00000F38" w:rsidSect="00985D46">
          <w:pgSz w:w="16838" w:h="11906" w:orient="landscape" w:code="9"/>
          <w:pgMar w:top="1440" w:right="1440" w:bottom="1440" w:left="1440" w:header="708" w:footer="708" w:gutter="0"/>
          <w:cols w:space="708"/>
          <w:titlePg/>
          <w:docGrid w:linePitch="360"/>
        </w:sectPr>
      </w:pPr>
    </w:p>
    <w:tbl>
      <w:tblPr>
        <w:tblW w:w="10100" w:type="dxa"/>
        <w:tblLook w:val="04A0" w:firstRow="1" w:lastRow="0" w:firstColumn="1" w:lastColumn="0" w:noHBand="0" w:noVBand="1"/>
      </w:tblPr>
      <w:tblGrid>
        <w:gridCol w:w="880"/>
        <w:gridCol w:w="9220"/>
      </w:tblGrid>
      <w:tr w:rsidR="005B0B73" w:rsidRPr="00000F38" w14:paraId="33DCFE84" w14:textId="77777777" w:rsidTr="005B0B73">
        <w:trPr>
          <w:trHeight w:val="255"/>
        </w:trPr>
        <w:tc>
          <w:tcPr>
            <w:tcW w:w="10100" w:type="dxa"/>
            <w:gridSpan w:val="2"/>
            <w:tcBorders>
              <w:top w:val="single" w:sz="4" w:space="0" w:color="auto"/>
              <w:left w:val="single" w:sz="4" w:space="0" w:color="auto"/>
              <w:bottom w:val="single" w:sz="4" w:space="0" w:color="auto"/>
              <w:right w:val="single" w:sz="4" w:space="0" w:color="auto"/>
            </w:tcBorders>
            <w:shd w:val="clear" w:color="000000" w:fill="FFC000"/>
            <w:hideMark/>
          </w:tcPr>
          <w:p w14:paraId="4657DD99" w14:textId="77777777" w:rsidR="005B0B73" w:rsidRPr="00000F38" w:rsidRDefault="005B0B73" w:rsidP="005B0B73">
            <w:pPr>
              <w:spacing w:after="0" w:line="240" w:lineRule="auto"/>
              <w:jc w:val="center"/>
              <w:rPr>
                <w:rFonts w:eastAsia="Times New Roman" w:cstheme="minorHAnsi"/>
                <w:b/>
                <w:bCs/>
                <w:color w:val="000000"/>
                <w:lang w:val="en-GB" w:eastAsia="en-GB"/>
              </w:rPr>
            </w:pPr>
            <w:bookmarkStart w:id="260" w:name="RANGE!A1:B42"/>
            <w:r w:rsidRPr="00000F38">
              <w:rPr>
                <w:rFonts w:eastAsia="Times New Roman" w:cstheme="minorHAnsi"/>
                <w:b/>
                <w:bCs/>
                <w:color w:val="000000"/>
                <w:lang w:val="en-GB" w:eastAsia="en-GB"/>
              </w:rPr>
              <w:lastRenderedPageBreak/>
              <w:t>COMMERCIAL BILL OF MATERIAL</w:t>
            </w:r>
            <w:bookmarkEnd w:id="260"/>
          </w:p>
        </w:tc>
      </w:tr>
      <w:tr w:rsidR="005B0B73" w:rsidRPr="00000F38" w14:paraId="2C5D51CE" w14:textId="77777777" w:rsidTr="005B0B73">
        <w:trPr>
          <w:trHeight w:val="255"/>
        </w:trPr>
        <w:tc>
          <w:tcPr>
            <w:tcW w:w="10100" w:type="dxa"/>
            <w:gridSpan w:val="2"/>
            <w:tcBorders>
              <w:top w:val="single" w:sz="4" w:space="0" w:color="auto"/>
              <w:left w:val="single" w:sz="4" w:space="0" w:color="auto"/>
              <w:bottom w:val="single" w:sz="4" w:space="0" w:color="auto"/>
              <w:right w:val="single" w:sz="4" w:space="0" w:color="auto"/>
            </w:tcBorders>
            <w:shd w:val="clear" w:color="000000" w:fill="F2F2F2"/>
            <w:hideMark/>
          </w:tcPr>
          <w:p w14:paraId="401CCFD1" w14:textId="77777777" w:rsidR="005B0B73" w:rsidRPr="00000F38" w:rsidRDefault="005B0B73" w:rsidP="005B0B73">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Instructions</w:t>
            </w:r>
          </w:p>
        </w:tc>
      </w:tr>
      <w:tr w:rsidR="005B0B73" w:rsidRPr="00000F38" w14:paraId="3703025A" w14:textId="77777777" w:rsidTr="005B0B73">
        <w:trPr>
          <w:trHeight w:val="510"/>
        </w:trPr>
        <w:tc>
          <w:tcPr>
            <w:tcW w:w="880" w:type="dxa"/>
            <w:tcBorders>
              <w:top w:val="nil"/>
              <w:left w:val="single" w:sz="4" w:space="0" w:color="auto"/>
              <w:bottom w:val="single" w:sz="4" w:space="0" w:color="auto"/>
              <w:right w:val="single" w:sz="4" w:space="0" w:color="auto"/>
            </w:tcBorders>
            <w:shd w:val="clear" w:color="000000" w:fill="002060"/>
            <w:hideMark/>
          </w:tcPr>
          <w:p w14:paraId="13180D40" w14:textId="77777777" w:rsidR="005B0B73" w:rsidRPr="00000F38" w:rsidRDefault="005B0B73" w:rsidP="005B0B73">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S.No.</w:t>
            </w:r>
          </w:p>
        </w:tc>
        <w:tc>
          <w:tcPr>
            <w:tcW w:w="9220" w:type="dxa"/>
            <w:tcBorders>
              <w:top w:val="nil"/>
              <w:left w:val="nil"/>
              <w:bottom w:val="single" w:sz="4" w:space="0" w:color="auto"/>
              <w:right w:val="single" w:sz="4" w:space="0" w:color="auto"/>
            </w:tcBorders>
            <w:shd w:val="clear" w:color="000000" w:fill="002060"/>
            <w:hideMark/>
          </w:tcPr>
          <w:p w14:paraId="1CC119AF" w14:textId="77777777" w:rsidR="005B0B73" w:rsidRPr="00000F38" w:rsidRDefault="005B0B73" w:rsidP="005B0B73">
            <w:pPr>
              <w:spacing w:after="0" w:line="240" w:lineRule="auto"/>
              <w:rPr>
                <w:rFonts w:eastAsia="Times New Roman" w:cstheme="minorHAnsi"/>
                <w:b/>
                <w:bCs/>
                <w:color w:val="FFFFFF"/>
                <w:lang w:val="en-GB" w:eastAsia="en-GB"/>
              </w:rPr>
            </w:pPr>
            <w:r w:rsidRPr="00000F38">
              <w:rPr>
                <w:rFonts w:eastAsia="Times New Roman" w:cstheme="minorHAnsi"/>
                <w:b/>
                <w:bCs/>
                <w:color w:val="FFFFFF"/>
                <w:lang w:val="en-GB" w:eastAsia="en-GB"/>
              </w:rPr>
              <w:t>Guidelines</w:t>
            </w:r>
          </w:p>
        </w:tc>
      </w:tr>
      <w:tr w:rsidR="005B0B73" w:rsidRPr="00000F38" w14:paraId="1CBEAEAB" w14:textId="77777777" w:rsidTr="005B0B73">
        <w:trPr>
          <w:trHeight w:val="255"/>
        </w:trPr>
        <w:tc>
          <w:tcPr>
            <w:tcW w:w="880" w:type="dxa"/>
            <w:tcBorders>
              <w:top w:val="nil"/>
              <w:left w:val="single" w:sz="4" w:space="0" w:color="auto"/>
              <w:bottom w:val="single" w:sz="4" w:space="0" w:color="auto"/>
              <w:right w:val="single" w:sz="4" w:space="0" w:color="auto"/>
            </w:tcBorders>
            <w:shd w:val="clear" w:color="000000" w:fill="D9D9D9"/>
            <w:hideMark/>
          </w:tcPr>
          <w:p w14:paraId="097DFDE1" w14:textId="77777777" w:rsidR="005B0B73" w:rsidRPr="00000F38" w:rsidRDefault="005B0B73" w:rsidP="005B0B73">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I</w:t>
            </w:r>
          </w:p>
        </w:tc>
        <w:tc>
          <w:tcPr>
            <w:tcW w:w="9220" w:type="dxa"/>
            <w:tcBorders>
              <w:top w:val="nil"/>
              <w:left w:val="nil"/>
              <w:bottom w:val="single" w:sz="4" w:space="0" w:color="auto"/>
              <w:right w:val="single" w:sz="4" w:space="0" w:color="auto"/>
            </w:tcBorders>
            <w:shd w:val="clear" w:color="000000" w:fill="D9D9D9"/>
            <w:hideMark/>
          </w:tcPr>
          <w:p w14:paraId="418169A5" w14:textId="77777777" w:rsidR="005B0B73" w:rsidRPr="00000F38" w:rsidRDefault="005B0B73" w:rsidP="005B0B73">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Summary of Total Cost</w:t>
            </w:r>
          </w:p>
        </w:tc>
      </w:tr>
      <w:tr w:rsidR="005B0B73" w:rsidRPr="00000F38" w14:paraId="55DCCC22" w14:textId="77777777" w:rsidTr="005B0B73">
        <w:trPr>
          <w:trHeight w:val="840"/>
        </w:trPr>
        <w:tc>
          <w:tcPr>
            <w:tcW w:w="880" w:type="dxa"/>
            <w:tcBorders>
              <w:top w:val="nil"/>
              <w:left w:val="single" w:sz="4" w:space="0" w:color="auto"/>
              <w:bottom w:val="single" w:sz="4" w:space="0" w:color="auto"/>
              <w:right w:val="single" w:sz="4" w:space="0" w:color="auto"/>
            </w:tcBorders>
            <w:shd w:val="clear" w:color="auto" w:fill="auto"/>
            <w:hideMark/>
          </w:tcPr>
          <w:p w14:paraId="5A3F93C9" w14:textId="77777777" w:rsidR="005B0B73" w:rsidRPr="00000F38" w:rsidRDefault="005B0B73" w:rsidP="005B0B73">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1</w:t>
            </w:r>
          </w:p>
        </w:tc>
        <w:tc>
          <w:tcPr>
            <w:tcW w:w="9220" w:type="dxa"/>
            <w:tcBorders>
              <w:top w:val="nil"/>
              <w:left w:val="nil"/>
              <w:bottom w:val="single" w:sz="4" w:space="0" w:color="auto"/>
              <w:right w:val="single" w:sz="4" w:space="0" w:color="auto"/>
            </w:tcBorders>
            <w:shd w:val="clear" w:color="auto" w:fill="auto"/>
            <w:hideMark/>
          </w:tcPr>
          <w:p w14:paraId="541572AA" w14:textId="77181743" w:rsidR="005B0B73" w:rsidRPr="00000F38" w:rsidRDefault="005B0B73" w:rsidP="005B0B73">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xml:space="preserve">The bidder is expected to quote the costs for all items required for fully complying with the requirements of the RFP and the </w:t>
            </w:r>
            <w:r w:rsidR="00571DD3" w:rsidRPr="00000F38">
              <w:rPr>
                <w:rFonts w:eastAsia="Times New Roman" w:cstheme="minorHAnsi"/>
                <w:color w:val="000000"/>
                <w:lang w:val="en-GB" w:eastAsia="en-GB"/>
              </w:rPr>
              <w:t>corrigendum</w:t>
            </w:r>
            <w:r w:rsidRPr="00000F38">
              <w:rPr>
                <w:rFonts w:eastAsia="Times New Roman" w:cstheme="minorHAnsi"/>
                <w:color w:val="000000"/>
                <w:lang w:val="en-GB" w:eastAsia="en-GB"/>
              </w:rPr>
              <w:t xml:space="preserve"> in the respective sections of the price bid. The prices for the respective sections would be deemed to include all components required to successfully utilise the solution.</w:t>
            </w:r>
          </w:p>
        </w:tc>
      </w:tr>
      <w:tr w:rsidR="005B0B73" w:rsidRPr="00000F38" w14:paraId="688C3EEC" w14:textId="77777777" w:rsidTr="005B0B73">
        <w:trPr>
          <w:trHeight w:val="615"/>
        </w:trPr>
        <w:tc>
          <w:tcPr>
            <w:tcW w:w="880" w:type="dxa"/>
            <w:tcBorders>
              <w:top w:val="nil"/>
              <w:left w:val="single" w:sz="4" w:space="0" w:color="auto"/>
              <w:bottom w:val="single" w:sz="4" w:space="0" w:color="auto"/>
              <w:right w:val="single" w:sz="4" w:space="0" w:color="auto"/>
            </w:tcBorders>
            <w:shd w:val="clear" w:color="auto" w:fill="auto"/>
            <w:hideMark/>
          </w:tcPr>
          <w:p w14:paraId="12900F2B" w14:textId="77777777" w:rsidR="005B0B73" w:rsidRPr="00000F38" w:rsidRDefault="005B0B73" w:rsidP="005B0B73">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2</w:t>
            </w:r>
          </w:p>
        </w:tc>
        <w:tc>
          <w:tcPr>
            <w:tcW w:w="9220" w:type="dxa"/>
            <w:tcBorders>
              <w:top w:val="nil"/>
              <w:left w:val="nil"/>
              <w:bottom w:val="single" w:sz="4" w:space="0" w:color="auto"/>
              <w:right w:val="single" w:sz="4" w:space="0" w:color="auto"/>
            </w:tcBorders>
            <w:shd w:val="clear" w:color="auto" w:fill="auto"/>
            <w:hideMark/>
          </w:tcPr>
          <w:p w14:paraId="3BA29DCB" w14:textId="77777777" w:rsidR="005B0B73" w:rsidRPr="00000F38" w:rsidRDefault="005B0B73" w:rsidP="005B0B73">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Bank is not responsible for any arithmetic errors in the commercial bid details sheet committed by the  bidders. All  formulas &amp; arithmetical calculations will be Vendor's responsibility.</w:t>
            </w:r>
          </w:p>
        </w:tc>
      </w:tr>
      <w:tr w:rsidR="005B0B73" w:rsidRPr="00000F38" w14:paraId="1AA47A27" w14:textId="77777777" w:rsidTr="005B0B73">
        <w:trPr>
          <w:trHeight w:val="615"/>
        </w:trPr>
        <w:tc>
          <w:tcPr>
            <w:tcW w:w="880" w:type="dxa"/>
            <w:tcBorders>
              <w:top w:val="nil"/>
              <w:left w:val="single" w:sz="4" w:space="0" w:color="auto"/>
              <w:bottom w:val="single" w:sz="4" w:space="0" w:color="auto"/>
              <w:right w:val="single" w:sz="4" w:space="0" w:color="auto"/>
            </w:tcBorders>
            <w:shd w:val="clear" w:color="auto" w:fill="auto"/>
            <w:hideMark/>
          </w:tcPr>
          <w:p w14:paraId="6756DD31" w14:textId="77777777" w:rsidR="005B0B73" w:rsidRPr="00000F38" w:rsidRDefault="005B0B73" w:rsidP="005B0B73">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3</w:t>
            </w:r>
          </w:p>
        </w:tc>
        <w:tc>
          <w:tcPr>
            <w:tcW w:w="9220" w:type="dxa"/>
            <w:tcBorders>
              <w:top w:val="nil"/>
              <w:left w:val="nil"/>
              <w:bottom w:val="single" w:sz="4" w:space="0" w:color="auto"/>
              <w:right w:val="single" w:sz="4" w:space="0" w:color="auto"/>
            </w:tcBorders>
            <w:shd w:val="clear" w:color="auto" w:fill="auto"/>
            <w:hideMark/>
          </w:tcPr>
          <w:p w14:paraId="0A708B81" w14:textId="77777777" w:rsidR="005B0B73" w:rsidRPr="00000F38" w:rsidRDefault="005B0B73" w:rsidP="005B0B73">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The bidder is expected to specify the type of licences along with the details with respect to quantity, rate, etc., wherever applicable.</w:t>
            </w:r>
          </w:p>
        </w:tc>
      </w:tr>
      <w:tr w:rsidR="005B0B73" w:rsidRPr="00000F38" w14:paraId="415DB49D" w14:textId="77777777" w:rsidTr="005B0B73">
        <w:trPr>
          <w:trHeight w:val="540"/>
        </w:trPr>
        <w:tc>
          <w:tcPr>
            <w:tcW w:w="880" w:type="dxa"/>
            <w:tcBorders>
              <w:top w:val="nil"/>
              <w:left w:val="single" w:sz="4" w:space="0" w:color="auto"/>
              <w:bottom w:val="single" w:sz="4" w:space="0" w:color="auto"/>
              <w:right w:val="single" w:sz="4" w:space="0" w:color="auto"/>
            </w:tcBorders>
            <w:shd w:val="clear" w:color="auto" w:fill="auto"/>
            <w:hideMark/>
          </w:tcPr>
          <w:p w14:paraId="32EEFD0A" w14:textId="77777777" w:rsidR="005B0B73" w:rsidRPr="00000F38" w:rsidRDefault="005B0B73" w:rsidP="005B0B73">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4</w:t>
            </w:r>
          </w:p>
        </w:tc>
        <w:tc>
          <w:tcPr>
            <w:tcW w:w="9220" w:type="dxa"/>
            <w:tcBorders>
              <w:top w:val="nil"/>
              <w:left w:val="nil"/>
              <w:bottom w:val="single" w:sz="4" w:space="0" w:color="auto"/>
              <w:right w:val="single" w:sz="4" w:space="0" w:color="auto"/>
            </w:tcBorders>
            <w:shd w:val="clear" w:color="auto" w:fill="auto"/>
            <w:hideMark/>
          </w:tcPr>
          <w:p w14:paraId="156E3E6E" w14:textId="77777777" w:rsidR="005B0B73" w:rsidRPr="00000F38" w:rsidRDefault="005B0B73" w:rsidP="005B0B73">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In case the bidder includes/combines any line item as part of any other line item in the commercial bid, then this has to be clearly mentioned in the description indicating the line item which contains the combination</w:t>
            </w:r>
          </w:p>
        </w:tc>
      </w:tr>
      <w:tr w:rsidR="005B0B73" w:rsidRPr="00000F38" w14:paraId="79C9D48E" w14:textId="77777777" w:rsidTr="005B0B73">
        <w:trPr>
          <w:trHeight w:val="552"/>
        </w:trPr>
        <w:tc>
          <w:tcPr>
            <w:tcW w:w="880" w:type="dxa"/>
            <w:tcBorders>
              <w:top w:val="nil"/>
              <w:left w:val="single" w:sz="4" w:space="0" w:color="auto"/>
              <w:bottom w:val="single" w:sz="4" w:space="0" w:color="auto"/>
              <w:right w:val="single" w:sz="4" w:space="0" w:color="auto"/>
            </w:tcBorders>
            <w:shd w:val="clear" w:color="auto" w:fill="auto"/>
            <w:hideMark/>
          </w:tcPr>
          <w:p w14:paraId="42E6BCC8" w14:textId="77777777" w:rsidR="005B0B73" w:rsidRPr="00000F38" w:rsidRDefault="005B0B73" w:rsidP="005B0B73">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5</w:t>
            </w:r>
          </w:p>
        </w:tc>
        <w:tc>
          <w:tcPr>
            <w:tcW w:w="9220" w:type="dxa"/>
            <w:tcBorders>
              <w:top w:val="nil"/>
              <w:left w:val="nil"/>
              <w:bottom w:val="single" w:sz="4" w:space="0" w:color="auto"/>
              <w:right w:val="single" w:sz="4" w:space="0" w:color="auto"/>
            </w:tcBorders>
            <w:shd w:val="clear" w:color="auto" w:fill="auto"/>
            <w:hideMark/>
          </w:tcPr>
          <w:p w14:paraId="28E52504" w14:textId="77777777" w:rsidR="005B0B73" w:rsidRPr="00000F38" w:rsidRDefault="005B0B73" w:rsidP="005B0B73">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The bidder has to quote for each line item. If any line item is part of the solution proposed in the RFP response, it has to be referenced. If it is not applicable, then the Bidder has to mention Not Applicable (NA).</w:t>
            </w:r>
          </w:p>
        </w:tc>
      </w:tr>
      <w:tr w:rsidR="005B0B73" w:rsidRPr="00000F38" w14:paraId="6AB07E7B" w14:textId="77777777" w:rsidTr="005B0B73">
        <w:trPr>
          <w:trHeight w:val="349"/>
        </w:trPr>
        <w:tc>
          <w:tcPr>
            <w:tcW w:w="880" w:type="dxa"/>
            <w:tcBorders>
              <w:top w:val="nil"/>
              <w:left w:val="single" w:sz="4" w:space="0" w:color="auto"/>
              <w:bottom w:val="single" w:sz="4" w:space="0" w:color="auto"/>
              <w:right w:val="single" w:sz="4" w:space="0" w:color="auto"/>
            </w:tcBorders>
            <w:shd w:val="clear" w:color="auto" w:fill="auto"/>
            <w:hideMark/>
          </w:tcPr>
          <w:p w14:paraId="4EEC3E13" w14:textId="77777777" w:rsidR="005B0B73" w:rsidRPr="00000F38" w:rsidRDefault="005B0B73" w:rsidP="005B0B73">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6</w:t>
            </w:r>
          </w:p>
        </w:tc>
        <w:tc>
          <w:tcPr>
            <w:tcW w:w="9220" w:type="dxa"/>
            <w:tcBorders>
              <w:top w:val="nil"/>
              <w:left w:val="nil"/>
              <w:bottom w:val="single" w:sz="4" w:space="0" w:color="auto"/>
              <w:right w:val="single" w:sz="4" w:space="0" w:color="auto"/>
            </w:tcBorders>
            <w:shd w:val="clear" w:color="auto" w:fill="auto"/>
            <w:hideMark/>
          </w:tcPr>
          <w:p w14:paraId="58164DB8" w14:textId="77777777" w:rsidR="005B0B73" w:rsidRPr="00000F38" w:rsidRDefault="005B0B73" w:rsidP="005B0B73">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The Bidder may insert additional line items as applicable based on the solution offered in the respective tabs</w:t>
            </w:r>
          </w:p>
        </w:tc>
      </w:tr>
      <w:tr w:rsidR="005B0B73" w:rsidRPr="00000F38" w14:paraId="01F8A323" w14:textId="77777777" w:rsidTr="005B0B73">
        <w:trPr>
          <w:trHeight w:val="645"/>
        </w:trPr>
        <w:tc>
          <w:tcPr>
            <w:tcW w:w="880" w:type="dxa"/>
            <w:tcBorders>
              <w:top w:val="nil"/>
              <w:left w:val="single" w:sz="4" w:space="0" w:color="auto"/>
              <w:bottom w:val="single" w:sz="4" w:space="0" w:color="auto"/>
              <w:right w:val="single" w:sz="4" w:space="0" w:color="auto"/>
            </w:tcBorders>
            <w:shd w:val="clear" w:color="auto" w:fill="auto"/>
            <w:hideMark/>
          </w:tcPr>
          <w:p w14:paraId="0FF13171" w14:textId="77777777" w:rsidR="005B0B73" w:rsidRPr="00000F38" w:rsidRDefault="005B0B73" w:rsidP="005B0B73">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7</w:t>
            </w:r>
          </w:p>
        </w:tc>
        <w:tc>
          <w:tcPr>
            <w:tcW w:w="9220" w:type="dxa"/>
            <w:tcBorders>
              <w:top w:val="nil"/>
              <w:left w:val="nil"/>
              <w:bottom w:val="single" w:sz="4" w:space="0" w:color="auto"/>
              <w:right w:val="single" w:sz="4" w:space="0" w:color="auto"/>
            </w:tcBorders>
            <w:shd w:val="clear" w:color="auto" w:fill="auto"/>
            <w:hideMark/>
          </w:tcPr>
          <w:p w14:paraId="33028016" w14:textId="77777777" w:rsidR="005B0B73" w:rsidRPr="00000F38" w:rsidRDefault="005B0B73" w:rsidP="005B0B73">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The Bidders should quote as per the format of Bill of Material ONLY and a masked replica of the Bill of Material should be enclosed in the technical bid.</w:t>
            </w:r>
          </w:p>
        </w:tc>
      </w:tr>
      <w:tr w:rsidR="005B0B73" w:rsidRPr="00000F38" w14:paraId="556AB076" w14:textId="77777777" w:rsidTr="005B0B73">
        <w:trPr>
          <w:trHeight w:val="690"/>
        </w:trPr>
        <w:tc>
          <w:tcPr>
            <w:tcW w:w="880" w:type="dxa"/>
            <w:tcBorders>
              <w:top w:val="nil"/>
              <w:left w:val="single" w:sz="4" w:space="0" w:color="auto"/>
              <w:bottom w:val="single" w:sz="4" w:space="0" w:color="auto"/>
              <w:right w:val="single" w:sz="4" w:space="0" w:color="auto"/>
            </w:tcBorders>
            <w:shd w:val="clear" w:color="auto" w:fill="auto"/>
            <w:hideMark/>
          </w:tcPr>
          <w:p w14:paraId="3A9732B5" w14:textId="77777777" w:rsidR="005B0B73" w:rsidRPr="00000F38" w:rsidRDefault="005B0B73" w:rsidP="005B0B73">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8</w:t>
            </w:r>
          </w:p>
        </w:tc>
        <w:tc>
          <w:tcPr>
            <w:tcW w:w="9220" w:type="dxa"/>
            <w:tcBorders>
              <w:top w:val="nil"/>
              <w:left w:val="nil"/>
              <w:bottom w:val="single" w:sz="4" w:space="0" w:color="auto"/>
              <w:right w:val="single" w:sz="4" w:space="0" w:color="auto"/>
            </w:tcBorders>
            <w:shd w:val="clear" w:color="auto" w:fill="auto"/>
            <w:hideMark/>
          </w:tcPr>
          <w:p w14:paraId="55811E0D" w14:textId="77777777" w:rsidR="005B0B73" w:rsidRPr="00000F38" w:rsidRDefault="005B0B73" w:rsidP="005B0B73">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Bidder is required to cover component by component licensing details for each of the software components proposed to the Bank</w:t>
            </w:r>
          </w:p>
        </w:tc>
      </w:tr>
      <w:tr w:rsidR="005B0B73" w:rsidRPr="00000F38" w14:paraId="6D1A72CF" w14:textId="77777777" w:rsidTr="005B0B73">
        <w:trPr>
          <w:trHeight w:val="945"/>
        </w:trPr>
        <w:tc>
          <w:tcPr>
            <w:tcW w:w="880" w:type="dxa"/>
            <w:tcBorders>
              <w:top w:val="nil"/>
              <w:left w:val="single" w:sz="4" w:space="0" w:color="auto"/>
              <w:bottom w:val="single" w:sz="4" w:space="0" w:color="auto"/>
              <w:right w:val="single" w:sz="4" w:space="0" w:color="auto"/>
            </w:tcBorders>
            <w:shd w:val="clear" w:color="auto" w:fill="auto"/>
            <w:hideMark/>
          </w:tcPr>
          <w:p w14:paraId="7900939A" w14:textId="77777777" w:rsidR="005B0B73" w:rsidRPr="00000F38" w:rsidRDefault="005B0B73" w:rsidP="005B0B73">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9</w:t>
            </w:r>
          </w:p>
        </w:tc>
        <w:tc>
          <w:tcPr>
            <w:tcW w:w="9220" w:type="dxa"/>
            <w:tcBorders>
              <w:top w:val="nil"/>
              <w:left w:val="nil"/>
              <w:bottom w:val="single" w:sz="4" w:space="0" w:color="auto"/>
              <w:right w:val="single" w:sz="4" w:space="0" w:color="auto"/>
            </w:tcBorders>
            <w:shd w:val="clear" w:color="auto" w:fill="auto"/>
            <w:hideMark/>
          </w:tcPr>
          <w:p w14:paraId="262B7B00" w14:textId="77777777" w:rsidR="005B0B73" w:rsidRPr="00000F38" w:rsidRDefault="005B0B73" w:rsidP="005B0B73">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xml:space="preserve">The </w:t>
            </w:r>
            <w:r w:rsidRPr="00000F38">
              <w:rPr>
                <w:rFonts w:eastAsia="Times New Roman" w:cstheme="minorHAnsi"/>
                <w:b/>
                <w:bCs/>
                <w:color w:val="000000"/>
                <w:u w:val="single"/>
                <w:lang w:val="en-GB" w:eastAsia="en-GB"/>
              </w:rPr>
              <w:t xml:space="preserve">masked </w:t>
            </w:r>
            <w:r w:rsidRPr="00000F38">
              <w:rPr>
                <w:rFonts w:eastAsia="Times New Roman" w:cstheme="minorHAnsi"/>
                <w:b/>
                <w:bCs/>
                <w:color w:val="000000"/>
                <w:lang w:val="en-GB" w:eastAsia="en-GB"/>
              </w:rPr>
              <w:t>Bill of Materials which would be submitted as part of the Technical Bill of Material should contain "XX" for ALL the corresponding commercial values that will be present in the unmasked Bill of Material that will be part of the Commercial submission.</w:t>
            </w:r>
          </w:p>
        </w:tc>
      </w:tr>
      <w:tr w:rsidR="005B0B73" w:rsidRPr="00000F38" w14:paraId="462AC430" w14:textId="77777777" w:rsidTr="005B0B73">
        <w:trPr>
          <w:trHeight w:val="330"/>
        </w:trPr>
        <w:tc>
          <w:tcPr>
            <w:tcW w:w="880" w:type="dxa"/>
            <w:tcBorders>
              <w:top w:val="nil"/>
              <w:left w:val="single" w:sz="4" w:space="0" w:color="auto"/>
              <w:bottom w:val="single" w:sz="4" w:space="0" w:color="auto"/>
              <w:right w:val="single" w:sz="4" w:space="0" w:color="auto"/>
            </w:tcBorders>
            <w:shd w:val="clear" w:color="auto" w:fill="auto"/>
            <w:hideMark/>
          </w:tcPr>
          <w:p w14:paraId="2AB357CD" w14:textId="77777777" w:rsidR="005B0B73" w:rsidRPr="00000F38" w:rsidRDefault="005B0B73" w:rsidP="005B0B73">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10</w:t>
            </w:r>
          </w:p>
        </w:tc>
        <w:tc>
          <w:tcPr>
            <w:tcW w:w="9220" w:type="dxa"/>
            <w:tcBorders>
              <w:top w:val="nil"/>
              <w:left w:val="nil"/>
              <w:bottom w:val="single" w:sz="4" w:space="0" w:color="auto"/>
              <w:right w:val="single" w:sz="4" w:space="0" w:color="auto"/>
            </w:tcBorders>
            <w:shd w:val="clear" w:color="auto" w:fill="auto"/>
            <w:hideMark/>
          </w:tcPr>
          <w:p w14:paraId="3D3C1CD4" w14:textId="77777777" w:rsidR="005B0B73" w:rsidRPr="00000F38" w:rsidRDefault="005B0B73" w:rsidP="005B0B73">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All amounts in the Bill of Material should be in INR</w:t>
            </w:r>
          </w:p>
        </w:tc>
      </w:tr>
      <w:tr w:rsidR="005B0B73" w:rsidRPr="00000F38" w14:paraId="747767D4" w14:textId="77777777" w:rsidTr="005B0B73">
        <w:trPr>
          <w:trHeight w:val="630"/>
        </w:trPr>
        <w:tc>
          <w:tcPr>
            <w:tcW w:w="880" w:type="dxa"/>
            <w:tcBorders>
              <w:top w:val="nil"/>
              <w:left w:val="single" w:sz="4" w:space="0" w:color="auto"/>
              <w:bottom w:val="single" w:sz="4" w:space="0" w:color="auto"/>
              <w:right w:val="single" w:sz="4" w:space="0" w:color="auto"/>
            </w:tcBorders>
            <w:shd w:val="clear" w:color="auto" w:fill="auto"/>
            <w:hideMark/>
          </w:tcPr>
          <w:p w14:paraId="71B530BD" w14:textId="77777777" w:rsidR="005B0B73" w:rsidRPr="00000F38" w:rsidRDefault="005B0B73" w:rsidP="005B0B73">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lastRenderedPageBreak/>
              <w:t>11</w:t>
            </w:r>
          </w:p>
        </w:tc>
        <w:tc>
          <w:tcPr>
            <w:tcW w:w="9220" w:type="dxa"/>
            <w:tcBorders>
              <w:top w:val="nil"/>
              <w:left w:val="nil"/>
              <w:bottom w:val="single" w:sz="4" w:space="0" w:color="auto"/>
              <w:right w:val="single" w:sz="4" w:space="0" w:color="auto"/>
            </w:tcBorders>
            <w:shd w:val="clear" w:color="auto" w:fill="auto"/>
            <w:hideMark/>
          </w:tcPr>
          <w:p w14:paraId="4F1BB18E" w14:textId="77777777" w:rsidR="005B0B73" w:rsidRPr="00000F38" w:rsidRDefault="005B0B73" w:rsidP="005B0B73">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The Bidder should to the extent possible stick to the same structure of the Bill of Material. Hence, the bidder is not expected to delete necessary rows.</w:t>
            </w:r>
          </w:p>
        </w:tc>
      </w:tr>
      <w:tr w:rsidR="005B0B73" w:rsidRPr="00000F38" w14:paraId="6868B9A0" w14:textId="77777777" w:rsidTr="005B0B73">
        <w:trPr>
          <w:trHeight w:val="315"/>
        </w:trPr>
        <w:tc>
          <w:tcPr>
            <w:tcW w:w="880" w:type="dxa"/>
            <w:tcBorders>
              <w:top w:val="nil"/>
              <w:left w:val="single" w:sz="4" w:space="0" w:color="auto"/>
              <w:bottom w:val="single" w:sz="4" w:space="0" w:color="auto"/>
              <w:right w:val="single" w:sz="4" w:space="0" w:color="auto"/>
            </w:tcBorders>
            <w:shd w:val="clear" w:color="auto" w:fill="auto"/>
            <w:hideMark/>
          </w:tcPr>
          <w:p w14:paraId="23D728A7" w14:textId="77777777" w:rsidR="005B0B73" w:rsidRPr="00000F38" w:rsidRDefault="005B0B73" w:rsidP="005B0B73">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12</w:t>
            </w:r>
          </w:p>
        </w:tc>
        <w:tc>
          <w:tcPr>
            <w:tcW w:w="9220" w:type="dxa"/>
            <w:tcBorders>
              <w:top w:val="nil"/>
              <w:left w:val="nil"/>
              <w:bottom w:val="single" w:sz="4" w:space="0" w:color="auto"/>
              <w:right w:val="single" w:sz="4" w:space="0" w:color="auto"/>
            </w:tcBorders>
            <w:shd w:val="clear" w:color="auto" w:fill="auto"/>
            <w:hideMark/>
          </w:tcPr>
          <w:p w14:paraId="103F533B" w14:textId="77777777" w:rsidR="005B0B73" w:rsidRPr="00000F38" w:rsidRDefault="005B0B73" w:rsidP="005B0B73">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All the prices quoted by the bidder shall be exclusive of taxes</w:t>
            </w:r>
          </w:p>
        </w:tc>
      </w:tr>
      <w:tr w:rsidR="005B0B73" w:rsidRPr="00000F38" w14:paraId="0DF6020A" w14:textId="77777777" w:rsidTr="005B0B73">
        <w:trPr>
          <w:trHeight w:val="645"/>
        </w:trPr>
        <w:tc>
          <w:tcPr>
            <w:tcW w:w="880" w:type="dxa"/>
            <w:tcBorders>
              <w:top w:val="nil"/>
              <w:left w:val="single" w:sz="4" w:space="0" w:color="auto"/>
              <w:bottom w:val="single" w:sz="4" w:space="0" w:color="auto"/>
              <w:right w:val="single" w:sz="4" w:space="0" w:color="auto"/>
            </w:tcBorders>
            <w:shd w:val="clear" w:color="auto" w:fill="auto"/>
            <w:hideMark/>
          </w:tcPr>
          <w:p w14:paraId="14A61C00" w14:textId="77777777" w:rsidR="005B0B73" w:rsidRPr="00000F38" w:rsidRDefault="005B0B73" w:rsidP="005B0B73">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13</w:t>
            </w:r>
          </w:p>
        </w:tc>
        <w:tc>
          <w:tcPr>
            <w:tcW w:w="9220" w:type="dxa"/>
            <w:tcBorders>
              <w:top w:val="nil"/>
              <w:left w:val="nil"/>
              <w:bottom w:val="single" w:sz="4" w:space="0" w:color="auto"/>
              <w:right w:val="single" w:sz="4" w:space="0" w:color="auto"/>
            </w:tcBorders>
            <w:shd w:val="clear" w:color="auto" w:fill="auto"/>
            <w:hideMark/>
          </w:tcPr>
          <w:p w14:paraId="438CDC8E" w14:textId="77777777" w:rsidR="005B0B73" w:rsidRPr="00000F38" w:rsidRDefault="005B0B73" w:rsidP="005B0B73">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Any additional number of items  (software, hardware) and services to be procured by the Bank in future shall be on pro-rata basis on the rates provided in the Bill of Material.</w:t>
            </w:r>
          </w:p>
        </w:tc>
      </w:tr>
      <w:tr w:rsidR="005B0B73" w:rsidRPr="00000F38" w14:paraId="0E0007E9" w14:textId="77777777" w:rsidTr="005B0B73">
        <w:trPr>
          <w:trHeight w:val="822"/>
        </w:trPr>
        <w:tc>
          <w:tcPr>
            <w:tcW w:w="880" w:type="dxa"/>
            <w:tcBorders>
              <w:top w:val="nil"/>
              <w:left w:val="single" w:sz="4" w:space="0" w:color="auto"/>
              <w:bottom w:val="single" w:sz="4" w:space="0" w:color="auto"/>
              <w:right w:val="single" w:sz="4" w:space="0" w:color="auto"/>
            </w:tcBorders>
            <w:shd w:val="clear" w:color="auto" w:fill="auto"/>
            <w:hideMark/>
          </w:tcPr>
          <w:p w14:paraId="31B8F3EE" w14:textId="77777777" w:rsidR="005B0B73" w:rsidRPr="00000F38" w:rsidRDefault="005B0B73" w:rsidP="005B0B73">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14</w:t>
            </w:r>
          </w:p>
        </w:tc>
        <w:tc>
          <w:tcPr>
            <w:tcW w:w="9220" w:type="dxa"/>
            <w:tcBorders>
              <w:top w:val="nil"/>
              <w:left w:val="nil"/>
              <w:bottom w:val="single" w:sz="4" w:space="0" w:color="auto"/>
              <w:right w:val="single" w:sz="4" w:space="0" w:color="auto"/>
            </w:tcBorders>
            <w:shd w:val="clear" w:color="auto" w:fill="auto"/>
            <w:hideMark/>
          </w:tcPr>
          <w:p w14:paraId="1F72B114" w14:textId="77777777" w:rsidR="005B0B73" w:rsidRPr="00000F38" w:rsidRDefault="005B0B73" w:rsidP="005B0B73">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xml:space="preserve">If the bidder has not quoted for any line item mentioned in the Bill of Material, it will deemed considered that bidder has factored the cost for the item in the Bill of Material and No Additional charges will be paid other than the one mentioned in the Bill of Material . </w:t>
            </w:r>
          </w:p>
        </w:tc>
      </w:tr>
      <w:tr w:rsidR="005B0B73" w:rsidRPr="00000F38" w14:paraId="3511D06A" w14:textId="77777777" w:rsidTr="005B0B73">
        <w:trPr>
          <w:trHeight w:val="660"/>
        </w:trPr>
        <w:tc>
          <w:tcPr>
            <w:tcW w:w="880" w:type="dxa"/>
            <w:tcBorders>
              <w:top w:val="nil"/>
              <w:left w:val="single" w:sz="4" w:space="0" w:color="auto"/>
              <w:bottom w:val="single" w:sz="4" w:space="0" w:color="auto"/>
              <w:right w:val="single" w:sz="4" w:space="0" w:color="auto"/>
            </w:tcBorders>
            <w:shd w:val="clear" w:color="auto" w:fill="auto"/>
            <w:hideMark/>
          </w:tcPr>
          <w:p w14:paraId="323C3F9A" w14:textId="77777777" w:rsidR="005B0B73" w:rsidRPr="00000F38" w:rsidRDefault="005B0B73" w:rsidP="005B0B73">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15</w:t>
            </w:r>
          </w:p>
        </w:tc>
        <w:tc>
          <w:tcPr>
            <w:tcW w:w="9220" w:type="dxa"/>
            <w:tcBorders>
              <w:top w:val="nil"/>
              <w:left w:val="nil"/>
              <w:bottom w:val="single" w:sz="4" w:space="0" w:color="auto"/>
              <w:right w:val="single" w:sz="4" w:space="0" w:color="auto"/>
            </w:tcBorders>
            <w:shd w:val="clear" w:color="000000" w:fill="FFFFFF"/>
            <w:hideMark/>
          </w:tcPr>
          <w:p w14:paraId="4C60B523" w14:textId="50FB6197" w:rsidR="005B0B73" w:rsidRPr="00000F38" w:rsidRDefault="005B0B73" w:rsidP="005B0B73">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xml:space="preserve">Bidder is required to submit the indicative commercials during the bid submission and is </w:t>
            </w:r>
            <w:r w:rsidR="00571DD3" w:rsidRPr="00000F38">
              <w:rPr>
                <w:rFonts w:eastAsia="Times New Roman" w:cstheme="minorHAnsi"/>
                <w:color w:val="000000"/>
                <w:lang w:val="en-GB" w:eastAsia="en-GB"/>
              </w:rPr>
              <w:t>required</w:t>
            </w:r>
            <w:r w:rsidRPr="00000F38">
              <w:rPr>
                <w:rFonts w:eastAsia="Times New Roman" w:cstheme="minorHAnsi"/>
                <w:color w:val="000000"/>
                <w:lang w:val="en-GB" w:eastAsia="en-GB"/>
              </w:rPr>
              <w:t xml:space="preserve"> to provide the line item wise detailed breakup post reverse auction (RA)</w:t>
            </w:r>
          </w:p>
        </w:tc>
      </w:tr>
      <w:tr w:rsidR="005B0B73" w:rsidRPr="00000F38" w14:paraId="372932A3" w14:textId="77777777" w:rsidTr="005B0B73">
        <w:trPr>
          <w:trHeight w:val="255"/>
        </w:trPr>
        <w:tc>
          <w:tcPr>
            <w:tcW w:w="880" w:type="dxa"/>
            <w:tcBorders>
              <w:top w:val="nil"/>
              <w:left w:val="single" w:sz="4" w:space="0" w:color="auto"/>
              <w:bottom w:val="single" w:sz="4" w:space="0" w:color="auto"/>
              <w:right w:val="single" w:sz="4" w:space="0" w:color="auto"/>
            </w:tcBorders>
            <w:shd w:val="clear" w:color="000000" w:fill="F2F2F2"/>
            <w:hideMark/>
          </w:tcPr>
          <w:p w14:paraId="07753E0A" w14:textId="77777777" w:rsidR="005B0B73" w:rsidRPr="00000F38" w:rsidRDefault="005B0B73" w:rsidP="005B0B73">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II</w:t>
            </w:r>
          </w:p>
        </w:tc>
        <w:tc>
          <w:tcPr>
            <w:tcW w:w="9220" w:type="dxa"/>
            <w:tcBorders>
              <w:top w:val="nil"/>
              <w:left w:val="nil"/>
              <w:bottom w:val="single" w:sz="4" w:space="0" w:color="auto"/>
              <w:right w:val="single" w:sz="4" w:space="0" w:color="auto"/>
            </w:tcBorders>
            <w:shd w:val="clear" w:color="000000" w:fill="F2F2F2"/>
            <w:hideMark/>
          </w:tcPr>
          <w:p w14:paraId="37D9BCB5" w14:textId="77777777" w:rsidR="005B0B73" w:rsidRPr="00000F38" w:rsidRDefault="005B0B73" w:rsidP="005B0B73">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Software</w:t>
            </w:r>
          </w:p>
        </w:tc>
      </w:tr>
      <w:tr w:rsidR="005B0B73" w:rsidRPr="00000F38" w14:paraId="62371444" w14:textId="77777777" w:rsidTr="005B0B73">
        <w:trPr>
          <w:trHeight w:val="570"/>
        </w:trPr>
        <w:tc>
          <w:tcPr>
            <w:tcW w:w="880" w:type="dxa"/>
            <w:tcBorders>
              <w:top w:val="nil"/>
              <w:left w:val="single" w:sz="4" w:space="0" w:color="auto"/>
              <w:bottom w:val="single" w:sz="4" w:space="0" w:color="auto"/>
              <w:right w:val="single" w:sz="4" w:space="0" w:color="auto"/>
            </w:tcBorders>
            <w:shd w:val="clear" w:color="auto" w:fill="auto"/>
            <w:hideMark/>
          </w:tcPr>
          <w:p w14:paraId="42886A9C" w14:textId="77777777" w:rsidR="005B0B73" w:rsidRPr="00000F38" w:rsidRDefault="005B0B73" w:rsidP="005B0B73">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1</w:t>
            </w:r>
          </w:p>
        </w:tc>
        <w:tc>
          <w:tcPr>
            <w:tcW w:w="9220" w:type="dxa"/>
            <w:tcBorders>
              <w:top w:val="nil"/>
              <w:left w:val="nil"/>
              <w:bottom w:val="single" w:sz="4" w:space="0" w:color="auto"/>
              <w:right w:val="single" w:sz="4" w:space="0" w:color="auto"/>
            </w:tcBorders>
            <w:shd w:val="clear" w:color="auto" w:fill="auto"/>
            <w:hideMark/>
          </w:tcPr>
          <w:p w14:paraId="066EC2E2" w14:textId="77777777" w:rsidR="005B0B73" w:rsidRPr="00000F38" w:rsidRDefault="005B0B73" w:rsidP="005B0B73">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The bidder has to quote for each line item. If any line item is part of the solution proposed in the RFP response, it has to be referenced. If it is not applicable, then the Bidder has to mention Not Applicable (NA).</w:t>
            </w:r>
          </w:p>
        </w:tc>
      </w:tr>
      <w:tr w:rsidR="005B0B73" w:rsidRPr="00000F38" w14:paraId="3BDC6D16" w14:textId="77777777" w:rsidTr="005B0B73">
        <w:trPr>
          <w:trHeight w:val="319"/>
        </w:trPr>
        <w:tc>
          <w:tcPr>
            <w:tcW w:w="880" w:type="dxa"/>
            <w:tcBorders>
              <w:top w:val="nil"/>
              <w:left w:val="single" w:sz="4" w:space="0" w:color="auto"/>
              <w:bottom w:val="single" w:sz="4" w:space="0" w:color="auto"/>
              <w:right w:val="single" w:sz="4" w:space="0" w:color="auto"/>
            </w:tcBorders>
            <w:shd w:val="clear" w:color="auto" w:fill="auto"/>
            <w:hideMark/>
          </w:tcPr>
          <w:p w14:paraId="76116F6F" w14:textId="77777777" w:rsidR="005B0B73" w:rsidRPr="00000F38" w:rsidRDefault="005B0B73" w:rsidP="005B0B73">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2</w:t>
            </w:r>
          </w:p>
        </w:tc>
        <w:tc>
          <w:tcPr>
            <w:tcW w:w="9220" w:type="dxa"/>
            <w:tcBorders>
              <w:top w:val="nil"/>
              <w:left w:val="nil"/>
              <w:bottom w:val="single" w:sz="4" w:space="0" w:color="auto"/>
              <w:right w:val="single" w:sz="4" w:space="0" w:color="auto"/>
            </w:tcBorders>
            <w:shd w:val="clear" w:color="auto" w:fill="auto"/>
            <w:hideMark/>
          </w:tcPr>
          <w:p w14:paraId="15ECE366" w14:textId="77777777" w:rsidR="005B0B73" w:rsidRPr="00000F38" w:rsidRDefault="005B0B73" w:rsidP="005B0B73">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The Bidder can insert additional line items as applicable based on the solution offered in the various tabs</w:t>
            </w:r>
          </w:p>
        </w:tc>
      </w:tr>
      <w:tr w:rsidR="005B0B73" w:rsidRPr="00000F38" w14:paraId="3932CBD2" w14:textId="77777777" w:rsidTr="005B0B73">
        <w:trPr>
          <w:trHeight w:val="319"/>
        </w:trPr>
        <w:tc>
          <w:tcPr>
            <w:tcW w:w="880" w:type="dxa"/>
            <w:tcBorders>
              <w:top w:val="nil"/>
              <w:left w:val="single" w:sz="4" w:space="0" w:color="auto"/>
              <w:bottom w:val="single" w:sz="4" w:space="0" w:color="auto"/>
              <w:right w:val="single" w:sz="4" w:space="0" w:color="auto"/>
            </w:tcBorders>
            <w:shd w:val="clear" w:color="auto" w:fill="auto"/>
            <w:hideMark/>
          </w:tcPr>
          <w:p w14:paraId="1251C534" w14:textId="77777777" w:rsidR="005B0B73" w:rsidRPr="00000F38" w:rsidRDefault="005B0B73" w:rsidP="005B0B73">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3</w:t>
            </w:r>
          </w:p>
        </w:tc>
        <w:tc>
          <w:tcPr>
            <w:tcW w:w="9220" w:type="dxa"/>
            <w:tcBorders>
              <w:top w:val="nil"/>
              <w:left w:val="nil"/>
              <w:bottom w:val="single" w:sz="4" w:space="0" w:color="auto"/>
              <w:right w:val="single" w:sz="4" w:space="0" w:color="auto"/>
            </w:tcBorders>
            <w:shd w:val="clear" w:color="auto" w:fill="auto"/>
            <w:hideMark/>
          </w:tcPr>
          <w:p w14:paraId="6607180E" w14:textId="77777777" w:rsidR="005B0B73" w:rsidRPr="00000F38" w:rsidRDefault="005B0B73" w:rsidP="005B0B73">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The license type , edition and version of the Software has to be clearly described in the Description column</w:t>
            </w:r>
          </w:p>
        </w:tc>
      </w:tr>
      <w:tr w:rsidR="005B0B73" w:rsidRPr="00000F38" w14:paraId="2EE8433F" w14:textId="77777777" w:rsidTr="005B0B73">
        <w:trPr>
          <w:trHeight w:val="319"/>
        </w:trPr>
        <w:tc>
          <w:tcPr>
            <w:tcW w:w="880" w:type="dxa"/>
            <w:tcBorders>
              <w:top w:val="nil"/>
              <w:left w:val="single" w:sz="4" w:space="0" w:color="auto"/>
              <w:bottom w:val="single" w:sz="4" w:space="0" w:color="auto"/>
              <w:right w:val="single" w:sz="4" w:space="0" w:color="auto"/>
            </w:tcBorders>
            <w:shd w:val="clear" w:color="auto" w:fill="auto"/>
            <w:hideMark/>
          </w:tcPr>
          <w:p w14:paraId="6CC1FEFE" w14:textId="77777777" w:rsidR="005B0B73" w:rsidRPr="00000F38" w:rsidRDefault="005B0B73" w:rsidP="005B0B73">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4</w:t>
            </w:r>
          </w:p>
        </w:tc>
        <w:tc>
          <w:tcPr>
            <w:tcW w:w="9220" w:type="dxa"/>
            <w:tcBorders>
              <w:top w:val="nil"/>
              <w:left w:val="nil"/>
              <w:bottom w:val="single" w:sz="4" w:space="0" w:color="auto"/>
              <w:right w:val="single" w:sz="4" w:space="0" w:color="auto"/>
            </w:tcBorders>
            <w:shd w:val="clear" w:color="auto" w:fill="auto"/>
            <w:hideMark/>
          </w:tcPr>
          <w:p w14:paraId="69604FF4" w14:textId="77777777" w:rsidR="005B0B73" w:rsidRPr="00000F38" w:rsidRDefault="005B0B73" w:rsidP="005B0B73">
            <w:pPr>
              <w:spacing w:after="0" w:line="240" w:lineRule="auto"/>
              <w:rPr>
                <w:rFonts w:eastAsia="Times New Roman" w:cstheme="minorHAnsi"/>
                <w:lang w:val="en-GB" w:eastAsia="en-GB"/>
              </w:rPr>
            </w:pPr>
            <w:r w:rsidRPr="00000F38">
              <w:rPr>
                <w:rFonts w:eastAsia="Times New Roman" w:cstheme="minorHAnsi"/>
                <w:lang w:val="en-GB" w:eastAsia="en-GB"/>
              </w:rPr>
              <w:t>The Bidder shall provide the maintenance (Warranty &amp; ATS) for entire contract period.</w:t>
            </w:r>
          </w:p>
        </w:tc>
      </w:tr>
      <w:tr w:rsidR="005B0B73" w:rsidRPr="00000F38" w14:paraId="265CCD33" w14:textId="77777777" w:rsidTr="005B0B73">
        <w:trPr>
          <w:trHeight w:val="255"/>
        </w:trPr>
        <w:tc>
          <w:tcPr>
            <w:tcW w:w="880" w:type="dxa"/>
            <w:tcBorders>
              <w:top w:val="nil"/>
              <w:left w:val="single" w:sz="4" w:space="0" w:color="auto"/>
              <w:bottom w:val="single" w:sz="4" w:space="0" w:color="auto"/>
              <w:right w:val="single" w:sz="4" w:space="0" w:color="auto"/>
            </w:tcBorders>
            <w:shd w:val="clear" w:color="000000" w:fill="F2F2F2"/>
            <w:hideMark/>
          </w:tcPr>
          <w:p w14:paraId="1F68882D" w14:textId="77777777" w:rsidR="005B0B73" w:rsidRPr="00000F38" w:rsidRDefault="005B0B73" w:rsidP="005B0B73">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III</w:t>
            </w:r>
          </w:p>
        </w:tc>
        <w:tc>
          <w:tcPr>
            <w:tcW w:w="9220" w:type="dxa"/>
            <w:tcBorders>
              <w:top w:val="nil"/>
              <w:left w:val="nil"/>
              <w:bottom w:val="single" w:sz="4" w:space="0" w:color="auto"/>
              <w:right w:val="single" w:sz="4" w:space="0" w:color="auto"/>
            </w:tcBorders>
            <w:shd w:val="clear" w:color="000000" w:fill="F2F2F2"/>
            <w:hideMark/>
          </w:tcPr>
          <w:p w14:paraId="083CFA59" w14:textId="77777777" w:rsidR="005B0B73" w:rsidRPr="00000F38" w:rsidRDefault="005B0B73" w:rsidP="005B0B73">
            <w:pPr>
              <w:spacing w:after="0" w:line="240" w:lineRule="auto"/>
              <w:rPr>
                <w:rFonts w:eastAsia="Times New Roman" w:cstheme="minorHAnsi"/>
                <w:b/>
                <w:bCs/>
                <w:lang w:val="en-GB" w:eastAsia="en-GB"/>
              </w:rPr>
            </w:pPr>
            <w:r w:rsidRPr="00000F38">
              <w:rPr>
                <w:rFonts w:eastAsia="Times New Roman" w:cstheme="minorHAnsi"/>
                <w:b/>
                <w:bCs/>
                <w:lang w:val="en-GB" w:eastAsia="en-GB"/>
              </w:rPr>
              <w:t>Hardware, OS, DB &amp; Peripheral</w:t>
            </w:r>
          </w:p>
        </w:tc>
      </w:tr>
      <w:tr w:rsidR="005B0B73" w:rsidRPr="00000F38" w14:paraId="7E33271A" w14:textId="77777777" w:rsidTr="005B0B73">
        <w:trPr>
          <w:trHeight w:val="570"/>
        </w:trPr>
        <w:tc>
          <w:tcPr>
            <w:tcW w:w="880" w:type="dxa"/>
            <w:tcBorders>
              <w:top w:val="nil"/>
              <w:left w:val="single" w:sz="4" w:space="0" w:color="auto"/>
              <w:bottom w:val="single" w:sz="4" w:space="0" w:color="auto"/>
              <w:right w:val="single" w:sz="4" w:space="0" w:color="auto"/>
            </w:tcBorders>
            <w:shd w:val="clear" w:color="auto" w:fill="auto"/>
            <w:hideMark/>
          </w:tcPr>
          <w:p w14:paraId="5138DF17" w14:textId="77777777" w:rsidR="005B0B73" w:rsidRPr="00000F38" w:rsidRDefault="005B0B73" w:rsidP="005B0B73">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1</w:t>
            </w:r>
          </w:p>
        </w:tc>
        <w:tc>
          <w:tcPr>
            <w:tcW w:w="9220" w:type="dxa"/>
            <w:tcBorders>
              <w:top w:val="nil"/>
              <w:left w:val="nil"/>
              <w:bottom w:val="single" w:sz="4" w:space="0" w:color="auto"/>
              <w:right w:val="single" w:sz="4" w:space="0" w:color="auto"/>
            </w:tcBorders>
            <w:shd w:val="clear" w:color="auto" w:fill="auto"/>
            <w:hideMark/>
          </w:tcPr>
          <w:p w14:paraId="0DD34CBA" w14:textId="77777777" w:rsidR="005B0B73" w:rsidRPr="00000F38" w:rsidRDefault="005B0B73" w:rsidP="005B0B73">
            <w:pPr>
              <w:spacing w:after="0" w:line="240" w:lineRule="auto"/>
              <w:rPr>
                <w:rFonts w:eastAsia="Times New Roman" w:cstheme="minorHAnsi"/>
                <w:lang w:val="en-GB" w:eastAsia="en-GB"/>
              </w:rPr>
            </w:pPr>
            <w:r w:rsidRPr="00000F38">
              <w:rPr>
                <w:rFonts w:eastAsia="Times New Roman" w:cstheme="minorHAnsi"/>
                <w:lang w:val="en-GB" w:eastAsia="en-GB"/>
              </w:rPr>
              <w:t>The bidder has to quote for each line item. If any line item is part of the solution proposed in the RFP response, it has to be referenced. If it is not applicable, then the Bidder has to mention Not Applicable (NA).</w:t>
            </w:r>
          </w:p>
        </w:tc>
      </w:tr>
      <w:tr w:rsidR="005B0B73" w:rsidRPr="00000F38" w14:paraId="43395157" w14:textId="77777777" w:rsidTr="005B0B73">
        <w:trPr>
          <w:trHeight w:val="390"/>
        </w:trPr>
        <w:tc>
          <w:tcPr>
            <w:tcW w:w="880" w:type="dxa"/>
            <w:tcBorders>
              <w:top w:val="nil"/>
              <w:left w:val="single" w:sz="4" w:space="0" w:color="auto"/>
              <w:bottom w:val="single" w:sz="4" w:space="0" w:color="auto"/>
              <w:right w:val="single" w:sz="4" w:space="0" w:color="auto"/>
            </w:tcBorders>
            <w:shd w:val="clear" w:color="auto" w:fill="auto"/>
            <w:hideMark/>
          </w:tcPr>
          <w:p w14:paraId="0B6FFEBE" w14:textId="77777777" w:rsidR="005B0B73" w:rsidRPr="00000F38" w:rsidRDefault="005B0B73" w:rsidP="005B0B73">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2</w:t>
            </w:r>
          </w:p>
        </w:tc>
        <w:tc>
          <w:tcPr>
            <w:tcW w:w="9220" w:type="dxa"/>
            <w:tcBorders>
              <w:top w:val="nil"/>
              <w:left w:val="nil"/>
              <w:bottom w:val="single" w:sz="4" w:space="0" w:color="auto"/>
              <w:right w:val="single" w:sz="4" w:space="0" w:color="auto"/>
            </w:tcBorders>
            <w:shd w:val="clear" w:color="auto" w:fill="auto"/>
            <w:hideMark/>
          </w:tcPr>
          <w:p w14:paraId="628C80E2" w14:textId="77777777" w:rsidR="005B0B73" w:rsidRPr="00000F38" w:rsidRDefault="005B0B73" w:rsidP="005B0B73">
            <w:pPr>
              <w:spacing w:after="0" w:line="240" w:lineRule="auto"/>
              <w:rPr>
                <w:rFonts w:eastAsia="Times New Roman" w:cstheme="minorHAnsi"/>
                <w:lang w:val="en-GB" w:eastAsia="en-GB"/>
              </w:rPr>
            </w:pPr>
            <w:r w:rsidRPr="00000F38">
              <w:rPr>
                <w:rFonts w:eastAsia="Times New Roman" w:cstheme="minorHAnsi"/>
                <w:lang w:val="en-GB" w:eastAsia="en-GB"/>
              </w:rPr>
              <w:t>The Bidder can insert additional line items as applicable based on the solution offered in the various tabs</w:t>
            </w:r>
          </w:p>
        </w:tc>
      </w:tr>
      <w:tr w:rsidR="005B0B73" w:rsidRPr="00000F38" w14:paraId="1FB0D00C" w14:textId="77777777" w:rsidTr="005B0B73">
        <w:trPr>
          <w:trHeight w:val="330"/>
        </w:trPr>
        <w:tc>
          <w:tcPr>
            <w:tcW w:w="880" w:type="dxa"/>
            <w:tcBorders>
              <w:top w:val="nil"/>
              <w:left w:val="single" w:sz="4" w:space="0" w:color="auto"/>
              <w:bottom w:val="single" w:sz="4" w:space="0" w:color="auto"/>
              <w:right w:val="single" w:sz="4" w:space="0" w:color="auto"/>
            </w:tcBorders>
            <w:shd w:val="clear" w:color="auto" w:fill="auto"/>
            <w:hideMark/>
          </w:tcPr>
          <w:p w14:paraId="08F25E63" w14:textId="77777777" w:rsidR="005B0B73" w:rsidRPr="00000F38" w:rsidRDefault="005B0B73" w:rsidP="005B0B73">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3</w:t>
            </w:r>
          </w:p>
        </w:tc>
        <w:tc>
          <w:tcPr>
            <w:tcW w:w="9220" w:type="dxa"/>
            <w:tcBorders>
              <w:top w:val="nil"/>
              <w:left w:val="nil"/>
              <w:bottom w:val="single" w:sz="4" w:space="0" w:color="auto"/>
              <w:right w:val="single" w:sz="4" w:space="0" w:color="auto"/>
            </w:tcBorders>
            <w:shd w:val="clear" w:color="auto" w:fill="auto"/>
            <w:hideMark/>
          </w:tcPr>
          <w:p w14:paraId="551B9F08" w14:textId="77777777" w:rsidR="005B0B73" w:rsidRPr="00000F38" w:rsidRDefault="005B0B73" w:rsidP="005B0B73">
            <w:pPr>
              <w:spacing w:after="0" w:line="240" w:lineRule="auto"/>
              <w:rPr>
                <w:rFonts w:eastAsia="Times New Roman" w:cstheme="minorHAnsi"/>
                <w:lang w:val="en-GB" w:eastAsia="en-GB"/>
              </w:rPr>
            </w:pPr>
            <w:r w:rsidRPr="00000F38">
              <w:rPr>
                <w:rFonts w:eastAsia="Times New Roman" w:cstheme="minorHAnsi"/>
                <w:lang w:val="en-GB" w:eastAsia="en-GB"/>
              </w:rPr>
              <w:t>The Bidder shall provide the maintenance (Warranty, AMC &amp; ATS) for the entire contract period.</w:t>
            </w:r>
          </w:p>
        </w:tc>
      </w:tr>
      <w:tr w:rsidR="005B0B73" w:rsidRPr="00000F38" w14:paraId="528CC324" w14:textId="77777777" w:rsidTr="005B0B73">
        <w:trPr>
          <w:trHeight w:val="615"/>
        </w:trPr>
        <w:tc>
          <w:tcPr>
            <w:tcW w:w="880" w:type="dxa"/>
            <w:tcBorders>
              <w:top w:val="nil"/>
              <w:left w:val="single" w:sz="4" w:space="0" w:color="auto"/>
              <w:bottom w:val="single" w:sz="4" w:space="0" w:color="auto"/>
              <w:right w:val="single" w:sz="4" w:space="0" w:color="auto"/>
            </w:tcBorders>
            <w:shd w:val="clear" w:color="auto" w:fill="auto"/>
            <w:hideMark/>
          </w:tcPr>
          <w:p w14:paraId="5D2A238A" w14:textId="77777777" w:rsidR="005B0B73" w:rsidRPr="00000F38" w:rsidRDefault="005B0B73" w:rsidP="005B0B73">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4</w:t>
            </w:r>
          </w:p>
        </w:tc>
        <w:tc>
          <w:tcPr>
            <w:tcW w:w="9220" w:type="dxa"/>
            <w:tcBorders>
              <w:top w:val="nil"/>
              <w:left w:val="nil"/>
              <w:bottom w:val="single" w:sz="4" w:space="0" w:color="auto"/>
              <w:right w:val="single" w:sz="4" w:space="0" w:color="auto"/>
            </w:tcBorders>
            <w:shd w:val="clear" w:color="auto" w:fill="auto"/>
            <w:hideMark/>
          </w:tcPr>
          <w:p w14:paraId="34A25467" w14:textId="77777777" w:rsidR="005B0B73" w:rsidRPr="00000F38" w:rsidRDefault="005B0B73" w:rsidP="005B0B73">
            <w:pPr>
              <w:spacing w:after="0" w:line="240" w:lineRule="auto"/>
              <w:rPr>
                <w:rFonts w:eastAsia="Times New Roman" w:cstheme="minorHAnsi"/>
                <w:lang w:val="en-GB" w:eastAsia="en-GB"/>
              </w:rPr>
            </w:pPr>
            <w:r w:rsidRPr="00000F38">
              <w:rPr>
                <w:rFonts w:eastAsia="Times New Roman" w:cstheme="minorHAnsi"/>
                <w:lang w:val="en-GB" w:eastAsia="en-GB"/>
              </w:rPr>
              <w:t>The bidder is required to supply implement and maintain the hardware &amp; associated software required for the solution.</w:t>
            </w:r>
          </w:p>
        </w:tc>
      </w:tr>
      <w:tr w:rsidR="005B0B73" w:rsidRPr="00000F38" w14:paraId="7B7082AA" w14:textId="77777777" w:rsidTr="005B0B73">
        <w:trPr>
          <w:trHeight w:val="255"/>
        </w:trPr>
        <w:tc>
          <w:tcPr>
            <w:tcW w:w="880" w:type="dxa"/>
            <w:tcBorders>
              <w:top w:val="nil"/>
              <w:left w:val="single" w:sz="4" w:space="0" w:color="auto"/>
              <w:bottom w:val="single" w:sz="4" w:space="0" w:color="auto"/>
              <w:right w:val="single" w:sz="4" w:space="0" w:color="auto"/>
            </w:tcBorders>
            <w:shd w:val="clear" w:color="000000" w:fill="F2F2F2"/>
            <w:hideMark/>
          </w:tcPr>
          <w:p w14:paraId="7D27201B" w14:textId="77777777" w:rsidR="005B0B73" w:rsidRPr="00000F38" w:rsidRDefault="005B0B73" w:rsidP="005B0B73">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lastRenderedPageBreak/>
              <w:t>IV</w:t>
            </w:r>
          </w:p>
        </w:tc>
        <w:tc>
          <w:tcPr>
            <w:tcW w:w="9220" w:type="dxa"/>
            <w:tcBorders>
              <w:top w:val="nil"/>
              <w:left w:val="nil"/>
              <w:bottom w:val="single" w:sz="4" w:space="0" w:color="auto"/>
              <w:right w:val="single" w:sz="4" w:space="0" w:color="auto"/>
            </w:tcBorders>
            <w:shd w:val="clear" w:color="000000" w:fill="F2F2F2"/>
            <w:hideMark/>
          </w:tcPr>
          <w:p w14:paraId="61079874" w14:textId="77777777" w:rsidR="005B0B73" w:rsidRPr="00000F38" w:rsidRDefault="005B0B73" w:rsidP="005B0B73">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Installation &amp; Implementation</w:t>
            </w:r>
          </w:p>
        </w:tc>
      </w:tr>
      <w:tr w:rsidR="005B0B73" w:rsidRPr="00000F38" w14:paraId="7C4FBEFC" w14:textId="77777777" w:rsidTr="005B0B73">
        <w:trPr>
          <w:trHeight w:val="360"/>
        </w:trPr>
        <w:tc>
          <w:tcPr>
            <w:tcW w:w="880" w:type="dxa"/>
            <w:tcBorders>
              <w:top w:val="nil"/>
              <w:left w:val="single" w:sz="4" w:space="0" w:color="auto"/>
              <w:bottom w:val="single" w:sz="4" w:space="0" w:color="auto"/>
              <w:right w:val="single" w:sz="4" w:space="0" w:color="auto"/>
            </w:tcBorders>
            <w:shd w:val="clear" w:color="auto" w:fill="auto"/>
            <w:hideMark/>
          </w:tcPr>
          <w:p w14:paraId="26519C82" w14:textId="77777777" w:rsidR="005B0B73" w:rsidRPr="00000F38" w:rsidRDefault="005B0B73" w:rsidP="005B0B73">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1</w:t>
            </w:r>
          </w:p>
        </w:tc>
        <w:tc>
          <w:tcPr>
            <w:tcW w:w="9220" w:type="dxa"/>
            <w:tcBorders>
              <w:top w:val="nil"/>
              <w:left w:val="nil"/>
              <w:bottom w:val="single" w:sz="4" w:space="0" w:color="auto"/>
              <w:right w:val="single" w:sz="4" w:space="0" w:color="auto"/>
            </w:tcBorders>
            <w:shd w:val="clear" w:color="auto" w:fill="auto"/>
            <w:hideMark/>
          </w:tcPr>
          <w:p w14:paraId="23EDFEAB" w14:textId="77777777" w:rsidR="005B0B73" w:rsidRPr="00000F38" w:rsidRDefault="005B0B73" w:rsidP="005B0B73">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xml:space="preserve">Bidder shall comply to the Installation &amp; commissioning, implementation scope provided in the RFP </w:t>
            </w:r>
          </w:p>
        </w:tc>
      </w:tr>
      <w:tr w:rsidR="005B0B73" w:rsidRPr="00000F38" w14:paraId="2698F8A4" w14:textId="77777777" w:rsidTr="005B0B73">
        <w:trPr>
          <w:trHeight w:val="960"/>
        </w:trPr>
        <w:tc>
          <w:tcPr>
            <w:tcW w:w="880" w:type="dxa"/>
            <w:tcBorders>
              <w:top w:val="nil"/>
              <w:left w:val="single" w:sz="4" w:space="0" w:color="auto"/>
              <w:bottom w:val="single" w:sz="4" w:space="0" w:color="auto"/>
              <w:right w:val="single" w:sz="4" w:space="0" w:color="auto"/>
            </w:tcBorders>
            <w:shd w:val="clear" w:color="auto" w:fill="auto"/>
            <w:hideMark/>
          </w:tcPr>
          <w:p w14:paraId="1A5EB3B9" w14:textId="77777777" w:rsidR="005B0B73" w:rsidRPr="00000F38" w:rsidRDefault="005B0B73" w:rsidP="005B0B73">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2</w:t>
            </w:r>
          </w:p>
        </w:tc>
        <w:tc>
          <w:tcPr>
            <w:tcW w:w="9220" w:type="dxa"/>
            <w:tcBorders>
              <w:top w:val="nil"/>
              <w:left w:val="nil"/>
              <w:bottom w:val="single" w:sz="4" w:space="0" w:color="auto"/>
              <w:right w:val="single" w:sz="4" w:space="0" w:color="auto"/>
            </w:tcBorders>
            <w:shd w:val="clear" w:color="auto" w:fill="auto"/>
            <w:hideMark/>
          </w:tcPr>
          <w:p w14:paraId="3E218285" w14:textId="77777777" w:rsidR="005B0B73" w:rsidRPr="00000F38" w:rsidRDefault="005B0B73" w:rsidP="005B0B73">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Bidder shall provide the solution wise implementation cost. Each solution implementation should include all the costs associated with the complete implementation of the solution covering all the locations &amp; implementation of associated components like software etc.</w:t>
            </w:r>
          </w:p>
        </w:tc>
      </w:tr>
      <w:tr w:rsidR="005B0B73" w:rsidRPr="00000F38" w14:paraId="24F5BCA2" w14:textId="77777777" w:rsidTr="005B0B73">
        <w:trPr>
          <w:trHeight w:val="630"/>
        </w:trPr>
        <w:tc>
          <w:tcPr>
            <w:tcW w:w="880" w:type="dxa"/>
            <w:tcBorders>
              <w:top w:val="nil"/>
              <w:left w:val="single" w:sz="4" w:space="0" w:color="auto"/>
              <w:bottom w:val="single" w:sz="4" w:space="0" w:color="auto"/>
              <w:right w:val="single" w:sz="4" w:space="0" w:color="auto"/>
            </w:tcBorders>
            <w:shd w:val="clear" w:color="auto" w:fill="auto"/>
            <w:hideMark/>
          </w:tcPr>
          <w:p w14:paraId="55877AA0" w14:textId="77777777" w:rsidR="005B0B73" w:rsidRPr="00000F38" w:rsidRDefault="005B0B73" w:rsidP="005B0B73">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3</w:t>
            </w:r>
          </w:p>
        </w:tc>
        <w:tc>
          <w:tcPr>
            <w:tcW w:w="9220" w:type="dxa"/>
            <w:tcBorders>
              <w:top w:val="nil"/>
              <w:left w:val="nil"/>
              <w:bottom w:val="single" w:sz="4" w:space="0" w:color="auto"/>
              <w:right w:val="single" w:sz="4" w:space="0" w:color="auto"/>
            </w:tcBorders>
            <w:shd w:val="clear" w:color="auto" w:fill="auto"/>
            <w:hideMark/>
          </w:tcPr>
          <w:p w14:paraId="49783E2A" w14:textId="77777777" w:rsidR="005B0B73" w:rsidRPr="00000F38" w:rsidRDefault="005B0B73" w:rsidP="005B0B73">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Activities and functions to be undertaken for installation and implementation of the licensed software should be as per the RFP.</w:t>
            </w:r>
          </w:p>
        </w:tc>
      </w:tr>
      <w:tr w:rsidR="005B0B73" w:rsidRPr="00000F38" w14:paraId="32016A8A" w14:textId="77777777" w:rsidTr="005B0B73">
        <w:trPr>
          <w:trHeight w:val="255"/>
        </w:trPr>
        <w:tc>
          <w:tcPr>
            <w:tcW w:w="880" w:type="dxa"/>
            <w:tcBorders>
              <w:top w:val="nil"/>
              <w:left w:val="single" w:sz="4" w:space="0" w:color="auto"/>
              <w:bottom w:val="single" w:sz="4" w:space="0" w:color="auto"/>
              <w:right w:val="single" w:sz="4" w:space="0" w:color="auto"/>
            </w:tcBorders>
            <w:shd w:val="clear" w:color="000000" w:fill="F2F2F2"/>
            <w:hideMark/>
          </w:tcPr>
          <w:p w14:paraId="0252517F" w14:textId="77777777" w:rsidR="005B0B73" w:rsidRPr="00000F38" w:rsidRDefault="005B0B73" w:rsidP="005B0B73">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V</w:t>
            </w:r>
          </w:p>
        </w:tc>
        <w:tc>
          <w:tcPr>
            <w:tcW w:w="9220" w:type="dxa"/>
            <w:tcBorders>
              <w:top w:val="nil"/>
              <w:left w:val="nil"/>
              <w:bottom w:val="single" w:sz="4" w:space="0" w:color="auto"/>
              <w:right w:val="single" w:sz="4" w:space="0" w:color="auto"/>
            </w:tcBorders>
            <w:shd w:val="clear" w:color="000000" w:fill="F2F2F2"/>
            <w:hideMark/>
          </w:tcPr>
          <w:p w14:paraId="2B0D22EB" w14:textId="77777777" w:rsidR="005B0B73" w:rsidRPr="00000F38" w:rsidRDefault="005B0B73" w:rsidP="005B0B73">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ATS &amp; Others, FM-Manpower</w:t>
            </w:r>
          </w:p>
        </w:tc>
      </w:tr>
      <w:tr w:rsidR="005B0B73" w:rsidRPr="00000F38" w14:paraId="723AAE56" w14:textId="77777777" w:rsidTr="005B0B73">
        <w:trPr>
          <w:trHeight w:val="810"/>
        </w:trPr>
        <w:tc>
          <w:tcPr>
            <w:tcW w:w="880" w:type="dxa"/>
            <w:tcBorders>
              <w:top w:val="nil"/>
              <w:left w:val="single" w:sz="4" w:space="0" w:color="auto"/>
              <w:bottom w:val="single" w:sz="4" w:space="0" w:color="auto"/>
              <w:right w:val="single" w:sz="4" w:space="0" w:color="auto"/>
            </w:tcBorders>
            <w:shd w:val="clear" w:color="auto" w:fill="auto"/>
            <w:hideMark/>
          </w:tcPr>
          <w:p w14:paraId="7B610074" w14:textId="77777777" w:rsidR="005B0B73" w:rsidRPr="00000F38" w:rsidRDefault="005B0B73" w:rsidP="005B0B73">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1</w:t>
            </w:r>
          </w:p>
        </w:tc>
        <w:tc>
          <w:tcPr>
            <w:tcW w:w="9220" w:type="dxa"/>
            <w:tcBorders>
              <w:top w:val="nil"/>
              <w:left w:val="nil"/>
              <w:bottom w:val="single" w:sz="4" w:space="0" w:color="auto"/>
              <w:right w:val="single" w:sz="4" w:space="0" w:color="auto"/>
            </w:tcBorders>
            <w:shd w:val="clear" w:color="auto" w:fill="auto"/>
            <w:hideMark/>
          </w:tcPr>
          <w:p w14:paraId="535B578D" w14:textId="77777777" w:rsidR="005B0B73" w:rsidRPr="00000F38" w:rsidRDefault="005B0B73" w:rsidP="005B0B73">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Bidder is expected to provide a detailed break up of all products and services that are under the scope of facilities management as part of the technical bid, in the technical bill of materials i.e. the above format is expected to be replicated for each item to be covered under the scope of facilities management.</w:t>
            </w:r>
          </w:p>
        </w:tc>
      </w:tr>
      <w:tr w:rsidR="005B0B73" w:rsidRPr="00000F38" w14:paraId="7259EB59" w14:textId="77777777" w:rsidTr="005B0B73">
        <w:trPr>
          <w:trHeight w:val="319"/>
        </w:trPr>
        <w:tc>
          <w:tcPr>
            <w:tcW w:w="880" w:type="dxa"/>
            <w:tcBorders>
              <w:top w:val="nil"/>
              <w:left w:val="single" w:sz="4" w:space="0" w:color="auto"/>
              <w:bottom w:val="single" w:sz="4" w:space="0" w:color="auto"/>
              <w:right w:val="single" w:sz="4" w:space="0" w:color="auto"/>
            </w:tcBorders>
            <w:shd w:val="clear" w:color="auto" w:fill="auto"/>
            <w:hideMark/>
          </w:tcPr>
          <w:p w14:paraId="503F0B95" w14:textId="77777777" w:rsidR="005B0B73" w:rsidRPr="00000F38" w:rsidRDefault="005B0B73" w:rsidP="005B0B73">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2</w:t>
            </w:r>
          </w:p>
        </w:tc>
        <w:tc>
          <w:tcPr>
            <w:tcW w:w="9220" w:type="dxa"/>
            <w:tcBorders>
              <w:top w:val="nil"/>
              <w:left w:val="nil"/>
              <w:bottom w:val="single" w:sz="4" w:space="0" w:color="auto"/>
              <w:right w:val="single" w:sz="4" w:space="0" w:color="auto"/>
            </w:tcBorders>
            <w:shd w:val="clear" w:color="auto" w:fill="auto"/>
            <w:hideMark/>
          </w:tcPr>
          <w:p w14:paraId="1DAC342A" w14:textId="77777777" w:rsidR="005B0B73" w:rsidRPr="00000F38" w:rsidRDefault="005B0B73" w:rsidP="005B0B73">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The ATS costs for Production DC &amp; DR, testing, development and training  environments have to be quoted separately</w:t>
            </w:r>
          </w:p>
        </w:tc>
      </w:tr>
      <w:tr w:rsidR="005B0B73" w:rsidRPr="00000F38" w14:paraId="77507088" w14:textId="77777777" w:rsidTr="005B0B73">
        <w:trPr>
          <w:trHeight w:val="615"/>
        </w:trPr>
        <w:tc>
          <w:tcPr>
            <w:tcW w:w="880" w:type="dxa"/>
            <w:tcBorders>
              <w:top w:val="nil"/>
              <w:left w:val="single" w:sz="4" w:space="0" w:color="auto"/>
              <w:bottom w:val="single" w:sz="4" w:space="0" w:color="auto"/>
              <w:right w:val="single" w:sz="4" w:space="0" w:color="auto"/>
            </w:tcBorders>
            <w:shd w:val="clear" w:color="auto" w:fill="auto"/>
            <w:hideMark/>
          </w:tcPr>
          <w:p w14:paraId="7EA6A918" w14:textId="77777777" w:rsidR="005B0B73" w:rsidRPr="00000F38" w:rsidRDefault="005B0B73" w:rsidP="005B0B73">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3</w:t>
            </w:r>
          </w:p>
        </w:tc>
        <w:tc>
          <w:tcPr>
            <w:tcW w:w="9220" w:type="dxa"/>
            <w:tcBorders>
              <w:top w:val="nil"/>
              <w:left w:val="nil"/>
              <w:bottom w:val="single" w:sz="4" w:space="0" w:color="auto"/>
              <w:right w:val="single" w:sz="4" w:space="0" w:color="auto"/>
            </w:tcBorders>
            <w:shd w:val="clear" w:color="auto" w:fill="auto"/>
            <w:hideMark/>
          </w:tcPr>
          <w:p w14:paraId="5AB1EFFC" w14:textId="77777777" w:rsidR="005B0B73" w:rsidRPr="00000F38" w:rsidRDefault="005B0B73" w:rsidP="005B0B73">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The ATS cost for applications has to be quoted as separate line items in this section. If required, the Bidder has to create additional line items in this section.</w:t>
            </w:r>
          </w:p>
        </w:tc>
      </w:tr>
      <w:tr w:rsidR="005B0B73" w:rsidRPr="00000F38" w14:paraId="4EBE65F0" w14:textId="77777777" w:rsidTr="005B0B73">
        <w:trPr>
          <w:trHeight w:val="870"/>
        </w:trPr>
        <w:tc>
          <w:tcPr>
            <w:tcW w:w="880" w:type="dxa"/>
            <w:tcBorders>
              <w:top w:val="nil"/>
              <w:left w:val="single" w:sz="4" w:space="0" w:color="auto"/>
              <w:bottom w:val="single" w:sz="4" w:space="0" w:color="auto"/>
              <w:right w:val="single" w:sz="4" w:space="0" w:color="auto"/>
            </w:tcBorders>
            <w:shd w:val="clear" w:color="auto" w:fill="auto"/>
            <w:hideMark/>
          </w:tcPr>
          <w:p w14:paraId="63FA1760" w14:textId="77777777" w:rsidR="005B0B73" w:rsidRPr="00000F38" w:rsidRDefault="005B0B73" w:rsidP="005B0B73">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4</w:t>
            </w:r>
          </w:p>
        </w:tc>
        <w:tc>
          <w:tcPr>
            <w:tcW w:w="9220" w:type="dxa"/>
            <w:tcBorders>
              <w:top w:val="nil"/>
              <w:left w:val="nil"/>
              <w:bottom w:val="single" w:sz="4" w:space="0" w:color="auto"/>
              <w:right w:val="single" w:sz="4" w:space="0" w:color="auto"/>
            </w:tcBorders>
            <w:shd w:val="clear" w:color="auto" w:fill="auto"/>
            <w:hideMark/>
          </w:tcPr>
          <w:p w14:paraId="0C5FB564" w14:textId="77777777" w:rsidR="005B0B73" w:rsidRPr="00000F38" w:rsidRDefault="005B0B73" w:rsidP="005B0B73">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Bidders must note that any Warranty pertaining to Software/Applications that extends beyond the contract period due to the Software/Applications supply towards the terminal years of the contract must be provided and supported by the Bidder without any additional cost to the Bank.</w:t>
            </w:r>
          </w:p>
        </w:tc>
      </w:tr>
      <w:tr w:rsidR="005B0B73" w:rsidRPr="00000F38" w14:paraId="6B96F238" w14:textId="77777777" w:rsidTr="005B0B73">
        <w:trPr>
          <w:trHeight w:val="330"/>
        </w:trPr>
        <w:tc>
          <w:tcPr>
            <w:tcW w:w="880" w:type="dxa"/>
            <w:tcBorders>
              <w:top w:val="nil"/>
              <w:left w:val="single" w:sz="4" w:space="0" w:color="auto"/>
              <w:bottom w:val="single" w:sz="4" w:space="0" w:color="auto"/>
              <w:right w:val="single" w:sz="4" w:space="0" w:color="auto"/>
            </w:tcBorders>
            <w:shd w:val="clear" w:color="auto" w:fill="auto"/>
            <w:hideMark/>
          </w:tcPr>
          <w:p w14:paraId="79599342" w14:textId="77777777" w:rsidR="005B0B73" w:rsidRPr="00000F38" w:rsidRDefault="005B0B73" w:rsidP="005B0B73">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5</w:t>
            </w:r>
          </w:p>
        </w:tc>
        <w:tc>
          <w:tcPr>
            <w:tcW w:w="9220" w:type="dxa"/>
            <w:tcBorders>
              <w:top w:val="nil"/>
              <w:left w:val="nil"/>
              <w:bottom w:val="single" w:sz="4" w:space="0" w:color="auto"/>
              <w:right w:val="single" w:sz="4" w:space="0" w:color="auto"/>
            </w:tcBorders>
            <w:shd w:val="clear" w:color="auto" w:fill="auto"/>
            <w:hideMark/>
          </w:tcPr>
          <w:p w14:paraId="7C733A77" w14:textId="77777777" w:rsidR="005B0B73" w:rsidRPr="00000F38" w:rsidRDefault="005B0B73" w:rsidP="005B0B73">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The Bidder needs to provide facility management services as per the scope of the RFP</w:t>
            </w:r>
          </w:p>
        </w:tc>
      </w:tr>
      <w:tr w:rsidR="005B0B73" w:rsidRPr="00000F38" w14:paraId="12A1DFBB" w14:textId="77777777" w:rsidTr="005B0B73">
        <w:trPr>
          <w:trHeight w:val="315"/>
        </w:trPr>
        <w:tc>
          <w:tcPr>
            <w:tcW w:w="880" w:type="dxa"/>
            <w:tcBorders>
              <w:top w:val="nil"/>
              <w:left w:val="single" w:sz="4" w:space="0" w:color="auto"/>
              <w:bottom w:val="single" w:sz="4" w:space="0" w:color="auto"/>
              <w:right w:val="single" w:sz="4" w:space="0" w:color="auto"/>
            </w:tcBorders>
            <w:shd w:val="clear" w:color="auto" w:fill="auto"/>
            <w:hideMark/>
          </w:tcPr>
          <w:p w14:paraId="18D74C73" w14:textId="77777777" w:rsidR="005B0B73" w:rsidRPr="00000F38" w:rsidRDefault="005B0B73" w:rsidP="005B0B73">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6</w:t>
            </w:r>
          </w:p>
        </w:tc>
        <w:tc>
          <w:tcPr>
            <w:tcW w:w="9220" w:type="dxa"/>
            <w:tcBorders>
              <w:top w:val="nil"/>
              <w:left w:val="nil"/>
              <w:bottom w:val="single" w:sz="4" w:space="0" w:color="auto"/>
              <w:right w:val="single" w:sz="4" w:space="0" w:color="auto"/>
            </w:tcBorders>
            <w:shd w:val="clear" w:color="auto" w:fill="auto"/>
            <w:hideMark/>
          </w:tcPr>
          <w:p w14:paraId="169CA63B" w14:textId="77777777" w:rsidR="005B0B73" w:rsidRPr="00000F38" w:rsidRDefault="005B0B73" w:rsidP="005B0B73">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The Bidder to provide FM resources as per the scope of the RFP</w:t>
            </w:r>
          </w:p>
        </w:tc>
      </w:tr>
      <w:tr w:rsidR="005B0B73" w:rsidRPr="00000F38" w14:paraId="04F8029B" w14:textId="77777777" w:rsidTr="005B0B73">
        <w:trPr>
          <w:trHeight w:val="255"/>
        </w:trPr>
        <w:tc>
          <w:tcPr>
            <w:tcW w:w="880" w:type="dxa"/>
            <w:tcBorders>
              <w:top w:val="nil"/>
              <w:left w:val="single" w:sz="4" w:space="0" w:color="auto"/>
              <w:bottom w:val="single" w:sz="4" w:space="0" w:color="auto"/>
              <w:right w:val="single" w:sz="4" w:space="0" w:color="auto"/>
            </w:tcBorders>
            <w:shd w:val="clear" w:color="000000" w:fill="F2F2F2"/>
            <w:hideMark/>
          </w:tcPr>
          <w:p w14:paraId="6710C88C" w14:textId="77777777" w:rsidR="005B0B73" w:rsidRPr="00000F38" w:rsidRDefault="005B0B73" w:rsidP="005B0B73">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VI</w:t>
            </w:r>
          </w:p>
        </w:tc>
        <w:tc>
          <w:tcPr>
            <w:tcW w:w="9220" w:type="dxa"/>
            <w:tcBorders>
              <w:top w:val="nil"/>
              <w:left w:val="nil"/>
              <w:bottom w:val="single" w:sz="4" w:space="0" w:color="auto"/>
              <w:right w:val="single" w:sz="4" w:space="0" w:color="auto"/>
            </w:tcBorders>
            <w:shd w:val="clear" w:color="000000" w:fill="F2F2F2"/>
            <w:hideMark/>
          </w:tcPr>
          <w:p w14:paraId="09EA84DF" w14:textId="77777777" w:rsidR="005B0B73" w:rsidRPr="00000F38" w:rsidRDefault="005B0B73" w:rsidP="005B0B73">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Training</w:t>
            </w:r>
          </w:p>
        </w:tc>
      </w:tr>
      <w:tr w:rsidR="005B0B73" w:rsidRPr="00000F38" w14:paraId="1B4BD50F" w14:textId="77777777" w:rsidTr="005B0B73">
        <w:trPr>
          <w:trHeight w:val="660"/>
        </w:trPr>
        <w:tc>
          <w:tcPr>
            <w:tcW w:w="880" w:type="dxa"/>
            <w:tcBorders>
              <w:top w:val="nil"/>
              <w:left w:val="single" w:sz="4" w:space="0" w:color="auto"/>
              <w:bottom w:val="single" w:sz="4" w:space="0" w:color="auto"/>
              <w:right w:val="single" w:sz="4" w:space="0" w:color="auto"/>
            </w:tcBorders>
            <w:shd w:val="clear" w:color="auto" w:fill="auto"/>
            <w:hideMark/>
          </w:tcPr>
          <w:p w14:paraId="3988B280" w14:textId="77777777" w:rsidR="005B0B73" w:rsidRPr="00000F38" w:rsidRDefault="005B0B73" w:rsidP="005B0B73">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1</w:t>
            </w:r>
          </w:p>
        </w:tc>
        <w:tc>
          <w:tcPr>
            <w:tcW w:w="9220" w:type="dxa"/>
            <w:tcBorders>
              <w:top w:val="nil"/>
              <w:left w:val="nil"/>
              <w:bottom w:val="single" w:sz="4" w:space="0" w:color="auto"/>
              <w:right w:val="single" w:sz="4" w:space="0" w:color="auto"/>
            </w:tcBorders>
            <w:shd w:val="clear" w:color="auto" w:fill="auto"/>
            <w:hideMark/>
          </w:tcPr>
          <w:p w14:paraId="4C34A933" w14:textId="77777777" w:rsidR="005B0B73" w:rsidRPr="00000F38" w:rsidRDefault="005B0B73" w:rsidP="005B0B73">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The rates provided by the bidders should be applicable for any additional training that the Bank may require throughout the tenure of the contract (on pro-rate basis).</w:t>
            </w:r>
          </w:p>
        </w:tc>
      </w:tr>
    </w:tbl>
    <w:p w14:paraId="5A0E9C25" w14:textId="53F711B3" w:rsidR="00000979" w:rsidRPr="00000F38" w:rsidRDefault="00000979" w:rsidP="005B0B73">
      <w:pPr>
        <w:rPr>
          <w:rFonts w:cstheme="minorHAnsi"/>
          <w:b/>
        </w:rPr>
      </w:pPr>
      <w:r w:rsidRPr="00000F38">
        <w:rPr>
          <w:rFonts w:cstheme="minorHAnsi"/>
        </w:rPr>
        <w:br w:type="page"/>
      </w:r>
      <w:r w:rsidR="005B0B73" w:rsidRPr="00000F38">
        <w:rPr>
          <w:rFonts w:cstheme="minorHAnsi"/>
        </w:rPr>
        <w:lastRenderedPageBreak/>
        <w:br w:type="page"/>
      </w:r>
      <w:r w:rsidR="00E50B6B" w:rsidRPr="00000F38">
        <w:rPr>
          <w:rFonts w:cstheme="minorHAnsi"/>
          <w:b/>
        </w:rPr>
        <w:lastRenderedPageBreak/>
        <w:t>Summary</w:t>
      </w:r>
      <w:r w:rsidR="005B0B73" w:rsidRPr="00000F38">
        <w:rPr>
          <w:rFonts w:cstheme="minorHAnsi"/>
          <w:b/>
        </w:rPr>
        <w:t xml:space="preserve"> of Total Cost</w:t>
      </w:r>
    </w:p>
    <w:tbl>
      <w:tblPr>
        <w:tblW w:w="13520" w:type="dxa"/>
        <w:tblInd w:w="-5" w:type="dxa"/>
        <w:tblLook w:val="04A0" w:firstRow="1" w:lastRow="0" w:firstColumn="1" w:lastColumn="0" w:noHBand="0" w:noVBand="1"/>
      </w:tblPr>
      <w:tblGrid>
        <w:gridCol w:w="740"/>
        <w:gridCol w:w="2960"/>
        <w:gridCol w:w="1560"/>
        <w:gridCol w:w="1560"/>
        <w:gridCol w:w="1560"/>
        <w:gridCol w:w="1560"/>
        <w:gridCol w:w="1560"/>
        <w:gridCol w:w="2020"/>
      </w:tblGrid>
      <w:tr w:rsidR="005B0B73" w:rsidRPr="00000F38" w14:paraId="0037A263" w14:textId="77777777" w:rsidTr="005B0B73">
        <w:trPr>
          <w:trHeight w:val="765"/>
        </w:trPr>
        <w:tc>
          <w:tcPr>
            <w:tcW w:w="740" w:type="dxa"/>
            <w:tcBorders>
              <w:top w:val="single" w:sz="4" w:space="0" w:color="auto"/>
              <w:left w:val="single" w:sz="4" w:space="0" w:color="auto"/>
              <w:bottom w:val="single" w:sz="4" w:space="0" w:color="auto"/>
              <w:right w:val="single" w:sz="4" w:space="0" w:color="auto"/>
            </w:tcBorders>
            <w:shd w:val="clear" w:color="000000" w:fill="002060"/>
            <w:hideMark/>
          </w:tcPr>
          <w:p w14:paraId="1C56481C" w14:textId="77777777" w:rsidR="005B0B73" w:rsidRPr="00000F38" w:rsidRDefault="005B0B73" w:rsidP="005B0B73">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S.No</w:t>
            </w:r>
          </w:p>
        </w:tc>
        <w:tc>
          <w:tcPr>
            <w:tcW w:w="2960" w:type="dxa"/>
            <w:tcBorders>
              <w:top w:val="single" w:sz="4" w:space="0" w:color="auto"/>
              <w:left w:val="nil"/>
              <w:bottom w:val="single" w:sz="4" w:space="0" w:color="auto"/>
              <w:right w:val="single" w:sz="4" w:space="0" w:color="auto"/>
            </w:tcBorders>
            <w:shd w:val="clear" w:color="000000" w:fill="002060"/>
            <w:hideMark/>
          </w:tcPr>
          <w:p w14:paraId="35192494" w14:textId="77777777" w:rsidR="005B0B73" w:rsidRPr="00000F38" w:rsidRDefault="005B0B73" w:rsidP="005B0B73">
            <w:pPr>
              <w:spacing w:after="0" w:line="240" w:lineRule="auto"/>
              <w:rPr>
                <w:rFonts w:eastAsia="Times New Roman" w:cstheme="minorHAnsi"/>
                <w:b/>
                <w:bCs/>
                <w:color w:val="FFFFFF"/>
                <w:lang w:val="en-GB" w:eastAsia="en-GB"/>
              </w:rPr>
            </w:pPr>
            <w:r w:rsidRPr="00000F38">
              <w:rPr>
                <w:rFonts w:eastAsia="Times New Roman" w:cstheme="minorHAnsi"/>
                <w:b/>
                <w:bCs/>
                <w:color w:val="FFFFFF"/>
                <w:lang w:val="en-GB" w:eastAsia="en-GB"/>
              </w:rPr>
              <w:t>Items</w:t>
            </w:r>
          </w:p>
        </w:tc>
        <w:tc>
          <w:tcPr>
            <w:tcW w:w="1560" w:type="dxa"/>
            <w:tcBorders>
              <w:top w:val="single" w:sz="4" w:space="0" w:color="auto"/>
              <w:left w:val="nil"/>
              <w:bottom w:val="single" w:sz="4" w:space="0" w:color="auto"/>
              <w:right w:val="single" w:sz="4" w:space="0" w:color="auto"/>
            </w:tcBorders>
            <w:shd w:val="clear" w:color="000000" w:fill="002060"/>
            <w:hideMark/>
          </w:tcPr>
          <w:p w14:paraId="209D0368" w14:textId="77777777" w:rsidR="005B0B73" w:rsidRPr="00000F38" w:rsidRDefault="005B0B73" w:rsidP="005B0B73">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Year 1</w:t>
            </w:r>
          </w:p>
        </w:tc>
        <w:tc>
          <w:tcPr>
            <w:tcW w:w="1560" w:type="dxa"/>
            <w:tcBorders>
              <w:top w:val="single" w:sz="4" w:space="0" w:color="auto"/>
              <w:left w:val="nil"/>
              <w:bottom w:val="single" w:sz="4" w:space="0" w:color="auto"/>
              <w:right w:val="single" w:sz="4" w:space="0" w:color="auto"/>
            </w:tcBorders>
            <w:shd w:val="clear" w:color="000000" w:fill="002060"/>
            <w:hideMark/>
          </w:tcPr>
          <w:p w14:paraId="429864C1" w14:textId="77777777" w:rsidR="005B0B73" w:rsidRPr="00000F38" w:rsidRDefault="005B0B73" w:rsidP="005B0B73">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Year 2</w:t>
            </w:r>
          </w:p>
        </w:tc>
        <w:tc>
          <w:tcPr>
            <w:tcW w:w="1560" w:type="dxa"/>
            <w:tcBorders>
              <w:top w:val="single" w:sz="4" w:space="0" w:color="auto"/>
              <w:left w:val="nil"/>
              <w:bottom w:val="single" w:sz="4" w:space="0" w:color="auto"/>
              <w:right w:val="single" w:sz="4" w:space="0" w:color="auto"/>
            </w:tcBorders>
            <w:shd w:val="clear" w:color="000000" w:fill="002060"/>
            <w:hideMark/>
          </w:tcPr>
          <w:p w14:paraId="6B5E0DE3" w14:textId="77777777" w:rsidR="005B0B73" w:rsidRPr="00000F38" w:rsidRDefault="005B0B73" w:rsidP="005B0B73">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Year 3</w:t>
            </w:r>
          </w:p>
        </w:tc>
        <w:tc>
          <w:tcPr>
            <w:tcW w:w="1560" w:type="dxa"/>
            <w:tcBorders>
              <w:top w:val="single" w:sz="4" w:space="0" w:color="auto"/>
              <w:left w:val="nil"/>
              <w:bottom w:val="single" w:sz="4" w:space="0" w:color="auto"/>
              <w:right w:val="single" w:sz="4" w:space="0" w:color="auto"/>
            </w:tcBorders>
            <w:shd w:val="clear" w:color="000000" w:fill="002060"/>
            <w:hideMark/>
          </w:tcPr>
          <w:p w14:paraId="1247AC23" w14:textId="77777777" w:rsidR="005B0B73" w:rsidRPr="00000F38" w:rsidRDefault="005B0B73" w:rsidP="005B0B73">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Year 4</w:t>
            </w:r>
          </w:p>
        </w:tc>
        <w:tc>
          <w:tcPr>
            <w:tcW w:w="1560" w:type="dxa"/>
            <w:tcBorders>
              <w:top w:val="single" w:sz="4" w:space="0" w:color="auto"/>
              <w:left w:val="nil"/>
              <w:bottom w:val="single" w:sz="4" w:space="0" w:color="auto"/>
              <w:right w:val="single" w:sz="4" w:space="0" w:color="auto"/>
            </w:tcBorders>
            <w:shd w:val="clear" w:color="000000" w:fill="002060"/>
            <w:hideMark/>
          </w:tcPr>
          <w:p w14:paraId="62A37921" w14:textId="77777777" w:rsidR="005B0B73" w:rsidRPr="00000F38" w:rsidRDefault="005B0B73" w:rsidP="005B0B73">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Year 5</w:t>
            </w:r>
          </w:p>
        </w:tc>
        <w:tc>
          <w:tcPr>
            <w:tcW w:w="2020" w:type="dxa"/>
            <w:tcBorders>
              <w:top w:val="single" w:sz="4" w:space="0" w:color="auto"/>
              <w:left w:val="nil"/>
              <w:bottom w:val="single" w:sz="4" w:space="0" w:color="auto"/>
              <w:right w:val="single" w:sz="4" w:space="0" w:color="auto"/>
            </w:tcBorders>
            <w:shd w:val="clear" w:color="000000" w:fill="002060"/>
            <w:hideMark/>
          </w:tcPr>
          <w:p w14:paraId="346ACC98" w14:textId="77777777" w:rsidR="005B0B73" w:rsidRPr="00000F38" w:rsidRDefault="005B0B73" w:rsidP="005B0B73">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 xml:space="preserve">Total Amount for 5 years </w:t>
            </w:r>
            <w:r w:rsidRPr="00000F38">
              <w:rPr>
                <w:rFonts w:eastAsia="Times New Roman" w:cstheme="minorHAnsi"/>
                <w:b/>
                <w:bCs/>
                <w:color w:val="FFFFFF"/>
                <w:lang w:val="en-GB" w:eastAsia="en-GB"/>
              </w:rPr>
              <w:br/>
              <w:t>(in INR)</w:t>
            </w:r>
          </w:p>
        </w:tc>
      </w:tr>
      <w:tr w:rsidR="005B0B73" w:rsidRPr="00000F38" w14:paraId="107AF170" w14:textId="77777777" w:rsidTr="005B0B73">
        <w:trPr>
          <w:trHeight w:val="300"/>
        </w:trPr>
        <w:tc>
          <w:tcPr>
            <w:tcW w:w="740" w:type="dxa"/>
            <w:tcBorders>
              <w:top w:val="nil"/>
              <w:left w:val="single" w:sz="4" w:space="0" w:color="auto"/>
              <w:bottom w:val="single" w:sz="4" w:space="0" w:color="auto"/>
              <w:right w:val="single" w:sz="4" w:space="0" w:color="auto"/>
            </w:tcBorders>
            <w:shd w:val="clear" w:color="auto" w:fill="auto"/>
            <w:hideMark/>
          </w:tcPr>
          <w:p w14:paraId="715D6829" w14:textId="77777777" w:rsidR="005B0B73" w:rsidRPr="00000F38" w:rsidRDefault="005B0B73" w:rsidP="005B0B73">
            <w:pPr>
              <w:spacing w:after="0" w:line="240" w:lineRule="auto"/>
              <w:jc w:val="center"/>
              <w:rPr>
                <w:rFonts w:eastAsia="Times New Roman" w:cstheme="minorHAnsi"/>
                <w:lang w:val="en-GB" w:eastAsia="en-GB"/>
              </w:rPr>
            </w:pPr>
            <w:r w:rsidRPr="00000F38">
              <w:rPr>
                <w:rFonts w:eastAsia="Times New Roman" w:cstheme="minorHAnsi"/>
                <w:lang w:val="en-GB" w:eastAsia="en-GB"/>
              </w:rPr>
              <w:t>1</w:t>
            </w:r>
          </w:p>
        </w:tc>
        <w:tc>
          <w:tcPr>
            <w:tcW w:w="2960" w:type="dxa"/>
            <w:tcBorders>
              <w:top w:val="nil"/>
              <w:left w:val="nil"/>
              <w:bottom w:val="single" w:sz="4" w:space="0" w:color="auto"/>
              <w:right w:val="single" w:sz="4" w:space="0" w:color="auto"/>
            </w:tcBorders>
            <w:shd w:val="clear" w:color="auto" w:fill="auto"/>
            <w:hideMark/>
          </w:tcPr>
          <w:p w14:paraId="2771CF94" w14:textId="77777777" w:rsidR="005B0B73" w:rsidRPr="00000F38" w:rsidRDefault="005B0B73" w:rsidP="005B0B73">
            <w:pPr>
              <w:spacing w:after="0" w:line="240" w:lineRule="auto"/>
              <w:rPr>
                <w:rFonts w:eastAsia="Times New Roman" w:cstheme="minorHAnsi"/>
                <w:lang w:val="en-GB" w:eastAsia="en-GB"/>
              </w:rPr>
            </w:pPr>
            <w:r w:rsidRPr="00000F38">
              <w:rPr>
                <w:rFonts w:eastAsia="Times New Roman" w:cstheme="minorHAnsi"/>
                <w:lang w:val="en-GB" w:eastAsia="en-GB"/>
              </w:rPr>
              <w:t>Software Cost</w:t>
            </w:r>
          </w:p>
        </w:tc>
        <w:tc>
          <w:tcPr>
            <w:tcW w:w="1560" w:type="dxa"/>
            <w:tcBorders>
              <w:top w:val="nil"/>
              <w:left w:val="nil"/>
              <w:bottom w:val="single" w:sz="4" w:space="0" w:color="auto"/>
              <w:right w:val="single" w:sz="4" w:space="0" w:color="auto"/>
            </w:tcBorders>
            <w:shd w:val="clear" w:color="auto" w:fill="auto"/>
            <w:hideMark/>
          </w:tcPr>
          <w:p w14:paraId="54352B2B" w14:textId="77777777" w:rsidR="005B0B73" w:rsidRPr="00000F38" w:rsidRDefault="005B0B73" w:rsidP="005B0B73">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1560" w:type="dxa"/>
            <w:tcBorders>
              <w:top w:val="nil"/>
              <w:left w:val="nil"/>
              <w:bottom w:val="single" w:sz="4" w:space="0" w:color="auto"/>
              <w:right w:val="single" w:sz="4" w:space="0" w:color="auto"/>
            </w:tcBorders>
            <w:shd w:val="pct50" w:color="000000" w:fill="auto"/>
            <w:hideMark/>
          </w:tcPr>
          <w:p w14:paraId="16C5F8A0" w14:textId="77777777" w:rsidR="005B0B73" w:rsidRPr="00000F38" w:rsidRDefault="005B0B73" w:rsidP="005B0B73">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1560" w:type="dxa"/>
            <w:tcBorders>
              <w:top w:val="nil"/>
              <w:left w:val="nil"/>
              <w:bottom w:val="single" w:sz="4" w:space="0" w:color="auto"/>
              <w:right w:val="single" w:sz="4" w:space="0" w:color="auto"/>
            </w:tcBorders>
            <w:shd w:val="pct50" w:color="000000" w:fill="auto"/>
            <w:hideMark/>
          </w:tcPr>
          <w:p w14:paraId="43DFCA19" w14:textId="77777777" w:rsidR="005B0B73" w:rsidRPr="00000F38" w:rsidRDefault="005B0B73" w:rsidP="005B0B73">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1560" w:type="dxa"/>
            <w:tcBorders>
              <w:top w:val="nil"/>
              <w:left w:val="nil"/>
              <w:bottom w:val="single" w:sz="4" w:space="0" w:color="auto"/>
              <w:right w:val="single" w:sz="4" w:space="0" w:color="auto"/>
            </w:tcBorders>
            <w:shd w:val="pct50" w:color="000000" w:fill="auto"/>
            <w:hideMark/>
          </w:tcPr>
          <w:p w14:paraId="7B58EEDB" w14:textId="77777777" w:rsidR="005B0B73" w:rsidRPr="00000F38" w:rsidRDefault="005B0B73" w:rsidP="005B0B73">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1560" w:type="dxa"/>
            <w:tcBorders>
              <w:top w:val="nil"/>
              <w:left w:val="nil"/>
              <w:bottom w:val="single" w:sz="4" w:space="0" w:color="auto"/>
              <w:right w:val="single" w:sz="4" w:space="0" w:color="auto"/>
            </w:tcBorders>
            <w:shd w:val="pct50" w:color="000000" w:fill="auto"/>
            <w:hideMark/>
          </w:tcPr>
          <w:p w14:paraId="1DD0363B" w14:textId="77777777" w:rsidR="005B0B73" w:rsidRPr="00000F38" w:rsidRDefault="005B0B73" w:rsidP="005B0B73">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020" w:type="dxa"/>
            <w:tcBorders>
              <w:top w:val="nil"/>
              <w:left w:val="nil"/>
              <w:bottom w:val="single" w:sz="4" w:space="0" w:color="auto"/>
              <w:right w:val="single" w:sz="4" w:space="0" w:color="auto"/>
            </w:tcBorders>
            <w:shd w:val="clear" w:color="auto" w:fill="auto"/>
            <w:hideMark/>
          </w:tcPr>
          <w:p w14:paraId="57BD33D9" w14:textId="77777777" w:rsidR="005B0B73" w:rsidRPr="00000F38" w:rsidRDefault="005B0B73" w:rsidP="005B0B73">
            <w:pPr>
              <w:spacing w:after="0" w:line="240" w:lineRule="auto"/>
              <w:jc w:val="center"/>
              <w:rPr>
                <w:rFonts w:eastAsia="Times New Roman" w:cstheme="minorHAnsi"/>
                <w:b/>
                <w:bCs/>
                <w:lang w:val="en-GB" w:eastAsia="en-GB"/>
              </w:rPr>
            </w:pPr>
            <w:r w:rsidRPr="00000F38">
              <w:rPr>
                <w:rFonts w:eastAsia="Times New Roman" w:cstheme="minorHAnsi"/>
                <w:b/>
                <w:bCs/>
                <w:lang w:val="en-GB" w:eastAsia="en-GB"/>
              </w:rPr>
              <w:t>XX</w:t>
            </w:r>
          </w:p>
        </w:tc>
      </w:tr>
      <w:tr w:rsidR="005B0B73" w:rsidRPr="00000F38" w14:paraId="1BAF0BCE" w14:textId="77777777" w:rsidTr="005B0B73">
        <w:trPr>
          <w:trHeight w:val="300"/>
        </w:trPr>
        <w:tc>
          <w:tcPr>
            <w:tcW w:w="740" w:type="dxa"/>
            <w:tcBorders>
              <w:top w:val="nil"/>
              <w:left w:val="single" w:sz="4" w:space="0" w:color="auto"/>
              <w:bottom w:val="single" w:sz="4" w:space="0" w:color="auto"/>
              <w:right w:val="single" w:sz="4" w:space="0" w:color="auto"/>
            </w:tcBorders>
            <w:shd w:val="clear" w:color="auto" w:fill="auto"/>
            <w:hideMark/>
          </w:tcPr>
          <w:p w14:paraId="578D14DA" w14:textId="77777777" w:rsidR="005B0B73" w:rsidRPr="00000F38" w:rsidRDefault="005B0B73" w:rsidP="005B0B73">
            <w:pPr>
              <w:spacing w:after="0" w:line="240" w:lineRule="auto"/>
              <w:jc w:val="center"/>
              <w:rPr>
                <w:rFonts w:eastAsia="Times New Roman" w:cstheme="minorHAnsi"/>
                <w:lang w:val="en-GB" w:eastAsia="en-GB"/>
              </w:rPr>
            </w:pPr>
            <w:r w:rsidRPr="00000F38">
              <w:rPr>
                <w:rFonts w:eastAsia="Times New Roman" w:cstheme="minorHAnsi"/>
                <w:lang w:val="en-GB" w:eastAsia="en-GB"/>
              </w:rPr>
              <w:t>2</w:t>
            </w:r>
          </w:p>
        </w:tc>
        <w:tc>
          <w:tcPr>
            <w:tcW w:w="2960" w:type="dxa"/>
            <w:tcBorders>
              <w:top w:val="nil"/>
              <w:left w:val="nil"/>
              <w:bottom w:val="single" w:sz="4" w:space="0" w:color="auto"/>
              <w:right w:val="single" w:sz="4" w:space="0" w:color="auto"/>
            </w:tcBorders>
            <w:shd w:val="clear" w:color="auto" w:fill="auto"/>
            <w:hideMark/>
          </w:tcPr>
          <w:p w14:paraId="5A65CDC1" w14:textId="77777777" w:rsidR="005B0B73" w:rsidRPr="00000F38" w:rsidRDefault="005B0B73" w:rsidP="005B0B73">
            <w:pPr>
              <w:spacing w:after="0" w:line="240" w:lineRule="auto"/>
              <w:rPr>
                <w:rFonts w:eastAsia="Times New Roman" w:cstheme="minorHAnsi"/>
                <w:lang w:val="en-GB" w:eastAsia="en-GB"/>
              </w:rPr>
            </w:pPr>
            <w:r w:rsidRPr="00000F38">
              <w:rPr>
                <w:rFonts w:eastAsia="Times New Roman" w:cstheme="minorHAnsi"/>
                <w:lang w:val="en-GB" w:eastAsia="en-GB"/>
              </w:rPr>
              <w:t>Hardware Cost</w:t>
            </w:r>
          </w:p>
        </w:tc>
        <w:tc>
          <w:tcPr>
            <w:tcW w:w="1560" w:type="dxa"/>
            <w:tcBorders>
              <w:top w:val="nil"/>
              <w:left w:val="nil"/>
              <w:bottom w:val="single" w:sz="4" w:space="0" w:color="auto"/>
              <w:right w:val="single" w:sz="4" w:space="0" w:color="auto"/>
            </w:tcBorders>
            <w:shd w:val="clear" w:color="auto" w:fill="auto"/>
            <w:hideMark/>
          </w:tcPr>
          <w:p w14:paraId="0E9347CC" w14:textId="77777777" w:rsidR="005B0B73" w:rsidRPr="00000F38" w:rsidRDefault="005B0B73" w:rsidP="005B0B73">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1560" w:type="dxa"/>
            <w:tcBorders>
              <w:top w:val="nil"/>
              <w:left w:val="nil"/>
              <w:bottom w:val="single" w:sz="4" w:space="0" w:color="auto"/>
              <w:right w:val="single" w:sz="4" w:space="0" w:color="auto"/>
            </w:tcBorders>
            <w:shd w:val="clear" w:color="auto" w:fill="auto"/>
            <w:hideMark/>
          </w:tcPr>
          <w:p w14:paraId="4336190D" w14:textId="77777777" w:rsidR="005B0B73" w:rsidRPr="00000F38" w:rsidRDefault="005B0B73" w:rsidP="005B0B73">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1560" w:type="dxa"/>
            <w:tcBorders>
              <w:top w:val="nil"/>
              <w:left w:val="nil"/>
              <w:bottom w:val="single" w:sz="4" w:space="0" w:color="auto"/>
              <w:right w:val="single" w:sz="4" w:space="0" w:color="auto"/>
            </w:tcBorders>
            <w:shd w:val="clear" w:color="auto" w:fill="auto"/>
            <w:hideMark/>
          </w:tcPr>
          <w:p w14:paraId="0D6BED8E" w14:textId="77777777" w:rsidR="005B0B73" w:rsidRPr="00000F38" w:rsidRDefault="005B0B73" w:rsidP="005B0B73">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1560" w:type="dxa"/>
            <w:tcBorders>
              <w:top w:val="nil"/>
              <w:left w:val="nil"/>
              <w:bottom w:val="single" w:sz="4" w:space="0" w:color="auto"/>
              <w:right w:val="single" w:sz="4" w:space="0" w:color="auto"/>
            </w:tcBorders>
            <w:shd w:val="pct50" w:color="000000" w:fill="auto"/>
            <w:hideMark/>
          </w:tcPr>
          <w:p w14:paraId="00850E4C" w14:textId="77777777" w:rsidR="005B0B73" w:rsidRPr="00000F38" w:rsidRDefault="005B0B73" w:rsidP="005B0B73">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1560" w:type="dxa"/>
            <w:tcBorders>
              <w:top w:val="nil"/>
              <w:left w:val="nil"/>
              <w:bottom w:val="single" w:sz="4" w:space="0" w:color="auto"/>
              <w:right w:val="single" w:sz="4" w:space="0" w:color="auto"/>
            </w:tcBorders>
            <w:shd w:val="pct50" w:color="000000" w:fill="auto"/>
            <w:hideMark/>
          </w:tcPr>
          <w:p w14:paraId="0B822572" w14:textId="77777777" w:rsidR="005B0B73" w:rsidRPr="00000F38" w:rsidRDefault="005B0B73" w:rsidP="005B0B73">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020" w:type="dxa"/>
            <w:tcBorders>
              <w:top w:val="nil"/>
              <w:left w:val="nil"/>
              <w:bottom w:val="single" w:sz="4" w:space="0" w:color="auto"/>
              <w:right w:val="single" w:sz="4" w:space="0" w:color="auto"/>
            </w:tcBorders>
            <w:shd w:val="clear" w:color="auto" w:fill="auto"/>
            <w:hideMark/>
          </w:tcPr>
          <w:p w14:paraId="1AE343DC" w14:textId="77777777" w:rsidR="005B0B73" w:rsidRPr="00000F38" w:rsidRDefault="005B0B73" w:rsidP="005B0B73">
            <w:pPr>
              <w:spacing w:after="0" w:line="240" w:lineRule="auto"/>
              <w:jc w:val="center"/>
              <w:rPr>
                <w:rFonts w:eastAsia="Times New Roman" w:cstheme="minorHAnsi"/>
                <w:b/>
                <w:bCs/>
                <w:lang w:val="en-GB" w:eastAsia="en-GB"/>
              </w:rPr>
            </w:pPr>
            <w:r w:rsidRPr="00000F38">
              <w:rPr>
                <w:rFonts w:eastAsia="Times New Roman" w:cstheme="minorHAnsi"/>
                <w:b/>
                <w:bCs/>
                <w:lang w:val="en-GB" w:eastAsia="en-GB"/>
              </w:rPr>
              <w:t>XX</w:t>
            </w:r>
          </w:p>
        </w:tc>
      </w:tr>
      <w:tr w:rsidR="005B0B73" w:rsidRPr="00000F38" w14:paraId="17109A0E" w14:textId="77777777" w:rsidTr="005B0B73">
        <w:trPr>
          <w:trHeight w:val="510"/>
        </w:trPr>
        <w:tc>
          <w:tcPr>
            <w:tcW w:w="740" w:type="dxa"/>
            <w:tcBorders>
              <w:top w:val="nil"/>
              <w:left w:val="single" w:sz="4" w:space="0" w:color="auto"/>
              <w:bottom w:val="single" w:sz="4" w:space="0" w:color="auto"/>
              <w:right w:val="single" w:sz="4" w:space="0" w:color="auto"/>
            </w:tcBorders>
            <w:shd w:val="clear" w:color="auto" w:fill="auto"/>
            <w:hideMark/>
          </w:tcPr>
          <w:p w14:paraId="25649480" w14:textId="77777777" w:rsidR="005B0B73" w:rsidRPr="00000F38" w:rsidRDefault="005B0B73" w:rsidP="005B0B73">
            <w:pPr>
              <w:spacing w:after="0" w:line="240" w:lineRule="auto"/>
              <w:jc w:val="center"/>
              <w:rPr>
                <w:rFonts w:eastAsia="Times New Roman" w:cstheme="minorHAnsi"/>
                <w:lang w:val="en-GB" w:eastAsia="en-GB"/>
              </w:rPr>
            </w:pPr>
            <w:r w:rsidRPr="00000F38">
              <w:rPr>
                <w:rFonts w:eastAsia="Times New Roman" w:cstheme="minorHAnsi"/>
                <w:lang w:val="en-GB" w:eastAsia="en-GB"/>
              </w:rPr>
              <w:t>3</w:t>
            </w:r>
          </w:p>
        </w:tc>
        <w:tc>
          <w:tcPr>
            <w:tcW w:w="2960" w:type="dxa"/>
            <w:tcBorders>
              <w:top w:val="nil"/>
              <w:left w:val="nil"/>
              <w:bottom w:val="single" w:sz="4" w:space="0" w:color="auto"/>
              <w:right w:val="single" w:sz="4" w:space="0" w:color="auto"/>
            </w:tcBorders>
            <w:shd w:val="clear" w:color="auto" w:fill="auto"/>
            <w:hideMark/>
          </w:tcPr>
          <w:p w14:paraId="1EA1A63E" w14:textId="77777777" w:rsidR="005B0B73" w:rsidRPr="00000F38" w:rsidRDefault="005B0B73" w:rsidP="005B0B73">
            <w:pPr>
              <w:spacing w:after="0" w:line="240" w:lineRule="auto"/>
              <w:rPr>
                <w:rFonts w:eastAsia="Times New Roman" w:cstheme="minorHAnsi"/>
                <w:lang w:val="en-GB" w:eastAsia="en-GB"/>
              </w:rPr>
            </w:pPr>
            <w:r w:rsidRPr="00000F38">
              <w:rPr>
                <w:rFonts w:eastAsia="Times New Roman" w:cstheme="minorHAnsi"/>
                <w:lang w:val="en-GB" w:eastAsia="en-GB"/>
              </w:rPr>
              <w:t>Installation &amp; Commissioning Cost</w:t>
            </w:r>
          </w:p>
        </w:tc>
        <w:tc>
          <w:tcPr>
            <w:tcW w:w="1560" w:type="dxa"/>
            <w:tcBorders>
              <w:top w:val="nil"/>
              <w:left w:val="nil"/>
              <w:bottom w:val="single" w:sz="4" w:space="0" w:color="auto"/>
              <w:right w:val="single" w:sz="4" w:space="0" w:color="auto"/>
            </w:tcBorders>
            <w:shd w:val="clear" w:color="auto" w:fill="auto"/>
            <w:hideMark/>
          </w:tcPr>
          <w:p w14:paraId="3A73490A" w14:textId="77777777" w:rsidR="005B0B73" w:rsidRPr="00000F38" w:rsidRDefault="005B0B73" w:rsidP="005B0B73">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1560" w:type="dxa"/>
            <w:tcBorders>
              <w:top w:val="nil"/>
              <w:left w:val="nil"/>
              <w:bottom w:val="single" w:sz="4" w:space="0" w:color="auto"/>
              <w:right w:val="single" w:sz="4" w:space="0" w:color="auto"/>
            </w:tcBorders>
            <w:shd w:val="pct50" w:color="000000" w:fill="auto"/>
            <w:hideMark/>
          </w:tcPr>
          <w:p w14:paraId="73C5E2C7" w14:textId="77777777" w:rsidR="005B0B73" w:rsidRPr="00000F38" w:rsidRDefault="005B0B73" w:rsidP="005B0B73">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1560" w:type="dxa"/>
            <w:tcBorders>
              <w:top w:val="nil"/>
              <w:left w:val="nil"/>
              <w:bottom w:val="single" w:sz="4" w:space="0" w:color="auto"/>
              <w:right w:val="single" w:sz="4" w:space="0" w:color="auto"/>
            </w:tcBorders>
            <w:shd w:val="pct50" w:color="000000" w:fill="auto"/>
            <w:hideMark/>
          </w:tcPr>
          <w:p w14:paraId="0999E23C" w14:textId="77777777" w:rsidR="005B0B73" w:rsidRPr="00000F38" w:rsidRDefault="005B0B73" w:rsidP="005B0B73">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1560" w:type="dxa"/>
            <w:tcBorders>
              <w:top w:val="nil"/>
              <w:left w:val="nil"/>
              <w:bottom w:val="single" w:sz="4" w:space="0" w:color="auto"/>
              <w:right w:val="single" w:sz="4" w:space="0" w:color="auto"/>
            </w:tcBorders>
            <w:shd w:val="pct50" w:color="000000" w:fill="auto"/>
            <w:hideMark/>
          </w:tcPr>
          <w:p w14:paraId="6F88C7AC" w14:textId="77777777" w:rsidR="005B0B73" w:rsidRPr="00000F38" w:rsidRDefault="005B0B73" w:rsidP="005B0B73">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1560" w:type="dxa"/>
            <w:tcBorders>
              <w:top w:val="nil"/>
              <w:left w:val="nil"/>
              <w:bottom w:val="single" w:sz="4" w:space="0" w:color="auto"/>
              <w:right w:val="single" w:sz="4" w:space="0" w:color="auto"/>
            </w:tcBorders>
            <w:shd w:val="pct50" w:color="000000" w:fill="auto"/>
            <w:hideMark/>
          </w:tcPr>
          <w:p w14:paraId="6D61144F" w14:textId="77777777" w:rsidR="005B0B73" w:rsidRPr="00000F38" w:rsidRDefault="005B0B73" w:rsidP="005B0B73">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020" w:type="dxa"/>
            <w:tcBorders>
              <w:top w:val="nil"/>
              <w:left w:val="nil"/>
              <w:bottom w:val="single" w:sz="4" w:space="0" w:color="auto"/>
              <w:right w:val="single" w:sz="4" w:space="0" w:color="auto"/>
            </w:tcBorders>
            <w:shd w:val="clear" w:color="auto" w:fill="auto"/>
            <w:hideMark/>
          </w:tcPr>
          <w:p w14:paraId="4054FA3C" w14:textId="77777777" w:rsidR="005B0B73" w:rsidRPr="00000F38" w:rsidRDefault="005B0B73" w:rsidP="005B0B73">
            <w:pPr>
              <w:spacing w:after="0" w:line="240" w:lineRule="auto"/>
              <w:jc w:val="center"/>
              <w:rPr>
                <w:rFonts w:eastAsia="Times New Roman" w:cstheme="minorHAnsi"/>
                <w:b/>
                <w:bCs/>
                <w:lang w:val="en-GB" w:eastAsia="en-GB"/>
              </w:rPr>
            </w:pPr>
            <w:r w:rsidRPr="00000F38">
              <w:rPr>
                <w:rFonts w:eastAsia="Times New Roman" w:cstheme="minorHAnsi"/>
                <w:b/>
                <w:bCs/>
                <w:lang w:val="en-GB" w:eastAsia="en-GB"/>
              </w:rPr>
              <w:t>XX</w:t>
            </w:r>
          </w:p>
        </w:tc>
      </w:tr>
      <w:tr w:rsidR="005B0B73" w:rsidRPr="00000F38" w14:paraId="7DBC6E67" w14:textId="77777777" w:rsidTr="005B0B73">
        <w:trPr>
          <w:trHeight w:val="300"/>
        </w:trPr>
        <w:tc>
          <w:tcPr>
            <w:tcW w:w="740" w:type="dxa"/>
            <w:tcBorders>
              <w:top w:val="nil"/>
              <w:left w:val="single" w:sz="4" w:space="0" w:color="auto"/>
              <w:bottom w:val="single" w:sz="4" w:space="0" w:color="auto"/>
              <w:right w:val="single" w:sz="4" w:space="0" w:color="auto"/>
            </w:tcBorders>
            <w:shd w:val="clear" w:color="auto" w:fill="auto"/>
            <w:hideMark/>
          </w:tcPr>
          <w:p w14:paraId="72F2BEC9" w14:textId="77777777" w:rsidR="005B0B73" w:rsidRPr="00000F38" w:rsidRDefault="005B0B73" w:rsidP="005B0B73">
            <w:pPr>
              <w:spacing w:after="0" w:line="240" w:lineRule="auto"/>
              <w:jc w:val="center"/>
              <w:rPr>
                <w:rFonts w:eastAsia="Times New Roman" w:cstheme="minorHAnsi"/>
                <w:lang w:val="en-GB" w:eastAsia="en-GB"/>
              </w:rPr>
            </w:pPr>
            <w:r w:rsidRPr="00000F38">
              <w:rPr>
                <w:rFonts w:eastAsia="Times New Roman" w:cstheme="minorHAnsi"/>
                <w:lang w:val="en-GB" w:eastAsia="en-GB"/>
              </w:rPr>
              <w:t>4</w:t>
            </w:r>
          </w:p>
        </w:tc>
        <w:tc>
          <w:tcPr>
            <w:tcW w:w="2960" w:type="dxa"/>
            <w:tcBorders>
              <w:top w:val="nil"/>
              <w:left w:val="nil"/>
              <w:bottom w:val="single" w:sz="4" w:space="0" w:color="auto"/>
              <w:right w:val="single" w:sz="4" w:space="0" w:color="auto"/>
            </w:tcBorders>
            <w:shd w:val="clear" w:color="auto" w:fill="auto"/>
            <w:hideMark/>
          </w:tcPr>
          <w:p w14:paraId="658E0B98" w14:textId="77777777" w:rsidR="005B0B73" w:rsidRPr="00000F38" w:rsidRDefault="005B0B73" w:rsidP="005B0B73">
            <w:pPr>
              <w:spacing w:after="0" w:line="240" w:lineRule="auto"/>
              <w:rPr>
                <w:rFonts w:eastAsia="Times New Roman" w:cstheme="minorHAnsi"/>
                <w:lang w:val="en-GB" w:eastAsia="en-GB"/>
              </w:rPr>
            </w:pPr>
            <w:r w:rsidRPr="00000F38">
              <w:rPr>
                <w:rFonts w:eastAsia="Times New Roman" w:cstheme="minorHAnsi"/>
                <w:lang w:val="en-GB" w:eastAsia="en-GB"/>
              </w:rPr>
              <w:t>AMC &amp; ATS Cost</w:t>
            </w:r>
          </w:p>
        </w:tc>
        <w:tc>
          <w:tcPr>
            <w:tcW w:w="1560" w:type="dxa"/>
            <w:tcBorders>
              <w:top w:val="nil"/>
              <w:left w:val="nil"/>
              <w:bottom w:val="single" w:sz="4" w:space="0" w:color="auto"/>
              <w:right w:val="single" w:sz="4" w:space="0" w:color="auto"/>
            </w:tcBorders>
            <w:shd w:val="pct50" w:color="000000" w:fill="auto"/>
            <w:hideMark/>
          </w:tcPr>
          <w:p w14:paraId="155FB9B0" w14:textId="77777777" w:rsidR="005B0B73" w:rsidRPr="00000F38" w:rsidRDefault="005B0B73" w:rsidP="005B0B73">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1560" w:type="dxa"/>
            <w:tcBorders>
              <w:top w:val="nil"/>
              <w:left w:val="nil"/>
              <w:bottom w:val="single" w:sz="4" w:space="0" w:color="auto"/>
              <w:right w:val="single" w:sz="4" w:space="0" w:color="auto"/>
            </w:tcBorders>
            <w:shd w:val="clear" w:color="auto" w:fill="auto"/>
            <w:hideMark/>
          </w:tcPr>
          <w:p w14:paraId="146344E5" w14:textId="77777777" w:rsidR="005B0B73" w:rsidRPr="00000F38" w:rsidRDefault="005B0B73" w:rsidP="005B0B73">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1560" w:type="dxa"/>
            <w:tcBorders>
              <w:top w:val="nil"/>
              <w:left w:val="nil"/>
              <w:bottom w:val="single" w:sz="4" w:space="0" w:color="auto"/>
              <w:right w:val="single" w:sz="4" w:space="0" w:color="auto"/>
            </w:tcBorders>
            <w:shd w:val="clear" w:color="auto" w:fill="auto"/>
            <w:hideMark/>
          </w:tcPr>
          <w:p w14:paraId="3F56C242" w14:textId="77777777" w:rsidR="005B0B73" w:rsidRPr="00000F38" w:rsidRDefault="005B0B73" w:rsidP="005B0B73">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1560" w:type="dxa"/>
            <w:tcBorders>
              <w:top w:val="nil"/>
              <w:left w:val="nil"/>
              <w:bottom w:val="single" w:sz="4" w:space="0" w:color="auto"/>
              <w:right w:val="single" w:sz="4" w:space="0" w:color="auto"/>
            </w:tcBorders>
            <w:shd w:val="clear" w:color="auto" w:fill="auto"/>
            <w:hideMark/>
          </w:tcPr>
          <w:p w14:paraId="7E67393C" w14:textId="77777777" w:rsidR="005B0B73" w:rsidRPr="00000F38" w:rsidRDefault="005B0B73" w:rsidP="005B0B73">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1560" w:type="dxa"/>
            <w:tcBorders>
              <w:top w:val="nil"/>
              <w:left w:val="nil"/>
              <w:bottom w:val="single" w:sz="4" w:space="0" w:color="auto"/>
              <w:right w:val="single" w:sz="4" w:space="0" w:color="auto"/>
            </w:tcBorders>
            <w:shd w:val="clear" w:color="auto" w:fill="auto"/>
            <w:hideMark/>
          </w:tcPr>
          <w:p w14:paraId="590BBC24" w14:textId="77777777" w:rsidR="005B0B73" w:rsidRPr="00000F38" w:rsidRDefault="005B0B73" w:rsidP="005B0B73">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2020" w:type="dxa"/>
            <w:tcBorders>
              <w:top w:val="nil"/>
              <w:left w:val="nil"/>
              <w:bottom w:val="single" w:sz="4" w:space="0" w:color="auto"/>
              <w:right w:val="single" w:sz="4" w:space="0" w:color="auto"/>
            </w:tcBorders>
            <w:shd w:val="clear" w:color="auto" w:fill="auto"/>
            <w:hideMark/>
          </w:tcPr>
          <w:p w14:paraId="323D88F8" w14:textId="77777777" w:rsidR="005B0B73" w:rsidRPr="00000F38" w:rsidRDefault="005B0B73" w:rsidP="005B0B73">
            <w:pPr>
              <w:spacing w:after="0" w:line="240" w:lineRule="auto"/>
              <w:jc w:val="center"/>
              <w:rPr>
                <w:rFonts w:eastAsia="Times New Roman" w:cstheme="minorHAnsi"/>
                <w:b/>
                <w:bCs/>
                <w:lang w:val="en-GB" w:eastAsia="en-GB"/>
              </w:rPr>
            </w:pPr>
            <w:r w:rsidRPr="00000F38">
              <w:rPr>
                <w:rFonts w:eastAsia="Times New Roman" w:cstheme="minorHAnsi"/>
                <w:b/>
                <w:bCs/>
                <w:lang w:val="en-GB" w:eastAsia="en-GB"/>
              </w:rPr>
              <w:t>XX</w:t>
            </w:r>
          </w:p>
        </w:tc>
      </w:tr>
      <w:tr w:rsidR="005B0B73" w:rsidRPr="00000F38" w14:paraId="2B24B8BB" w14:textId="77777777" w:rsidTr="005B0B73">
        <w:trPr>
          <w:trHeight w:val="300"/>
        </w:trPr>
        <w:tc>
          <w:tcPr>
            <w:tcW w:w="740" w:type="dxa"/>
            <w:tcBorders>
              <w:top w:val="nil"/>
              <w:left w:val="single" w:sz="4" w:space="0" w:color="auto"/>
              <w:bottom w:val="single" w:sz="4" w:space="0" w:color="auto"/>
              <w:right w:val="single" w:sz="4" w:space="0" w:color="auto"/>
            </w:tcBorders>
            <w:shd w:val="clear" w:color="auto" w:fill="auto"/>
            <w:hideMark/>
          </w:tcPr>
          <w:p w14:paraId="40E45D3B" w14:textId="77777777" w:rsidR="005B0B73" w:rsidRPr="00000F38" w:rsidRDefault="005B0B73" w:rsidP="005B0B73">
            <w:pPr>
              <w:spacing w:after="0" w:line="240" w:lineRule="auto"/>
              <w:jc w:val="center"/>
              <w:rPr>
                <w:rFonts w:eastAsia="Times New Roman" w:cstheme="minorHAnsi"/>
                <w:lang w:val="en-GB" w:eastAsia="en-GB"/>
              </w:rPr>
            </w:pPr>
            <w:r w:rsidRPr="00000F38">
              <w:rPr>
                <w:rFonts w:eastAsia="Times New Roman" w:cstheme="minorHAnsi"/>
                <w:lang w:val="en-GB" w:eastAsia="en-GB"/>
              </w:rPr>
              <w:t>5</w:t>
            </w:r>
          </w:p>
        </w:tc>
        <w:tc>
          <w:tcPr>
            <w:tcW w:w="2960" w:type="dxa"/>
            <w:tcBorders>
              <w:top w:val="nil"/>
              <w:left w:val="nil"/>
              <w:bottom w:val="single" w:sz="4" w:space="0" w:color="auto"/>
              <w:right w:val="single" w:sz="4" w:space="0" w:color="auto"/>
            </w:tcBorders>
            <w:shd w:val="clear" w:color="auto" w:fill="auto"/>
            <w:hideMark/>
          </w:tcPr>
          <w:p w14:paraId="13D964FF" w14:textId="77777777" w:rsidR="005B0B73" w:rsidRPr="00000F38" w:rsidRDefault="005B0B73" w:rsidP="005B0B73">
            <w:pPr>
              <w:spacing w:after="0" w:line="240" w:lineRule="auto"/>
              <w:rPr>
                <w:rFonts w:eastAsia="Times New Roman" w:cstheme="minorHAnsi"/>
                <w:lang w:val="en-GB" w:eastAsia="en-GB"/>
              </w:rPr>
            </w:pPr>
            <w:r w:rsidRPr="00000F38">
              <w:rPr>
                <w:rFonts w:eastAsia="Times New Roman" w:cstheme="minorHAnsi"/>
                <w:lang w:val="en-GB" w:eastAsia="en-GB"/>
              </w:rPr>
              <w:t>FMS Cost</w:t>
            </w:r>
          </w:p>
        </w:tc>
        <w:tc>
          <w:tcPr>
            <w:tcW w:w="1560" w:type="dxa"/>
            <w:tcBorders>
              <w:top w:val="nil"/>
              <w:left w:val="nil"/>
              <w:bottom w:val="single" w:sz="4" w:space="0" w:color="auto"/>
              <w:right w:val="single" w:sz="4" w:space="0" w:color="auto"/>
            </w:tcBorders>
            <w:shd w:val="clear" w:color="auto" w:fill="auto"/>
            <w:hideMark/>
          </w:tcPr>
          <w:p w14:paraId="160445D5" w14:textId="77777777" w:rsidR="005B0B73" w:rsidRPr="00000F38" w:rsidRDefault="005B0B73" w:rsidP="005B0B73">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1560" w:type="dxa"/>
            <w:tcBorders>
              <w:top w:val="nil"/>
              <w:left w:val="nil"/>
              <w:bottom w:val="single" w:sz="4" w:space="0" w:color="auto"/>
              <w:right w:val="single" w:sz="4" w:space="0" w:color="auto"/>
            </w:tcBorders>
            <w:shd w:val="clear" w:color="auto" w:fill="auto"/>
            <w:hideMark/>
          </w:tcPr>
          <w:p w14:paraId="3CF7C2E3" w14:textId="77777777" w:rsidR="005B0B73" w:rsidRPr="00000F38" w:rsidRDefault="005B0B73" w:rsidP="005B0B73">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1560" w:type="dxa"/>
            <w:tcBorders>
              <w:top w:val="nil"/>
              <w:left w:val="nil"/>
              <w:bottom w:val="single" w:sz="4" w:space="0" w:color="auto"/>
              <w:right w:val="single" w:sz="4" w:space="0" w:color="auto"/>
            </w:tcBorders>
            <w:shd w:val="clear" w:color="auto" w:fill="auto"/>
            <w:hideMark/>
          </w:tcPr>
          <w:p w14:paraId="07FC5563" w14:textId="77777777" w:rsidR="005B0B73" w:rsidRPr="00000F38" w:rsidRDefault="005B0B73" w:rsidP="005B0B73">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1560" w:type="dxa"/>
            <w:tcBorders>
              <w:top w:val="nil"/>
              <w:left w:val="nil"/>
              <w:bottom w:val="single" w:sz="4" w:space="0" w:color="auto"/>
              <w:right w:val="single" w:sz="4" w:space="0" w:color="auto"/>
            </w:tcBorders>
            <w:shd w:val="clear" w:color="auto" w:fill="auto"/>
            <w:hideMark/>
          </w:tcPr>
          <w:p w14:paraId="76645F0C" w14:textId="77777777" w:rsidR="005B0B73" w:rsidRPr="00000F38" w:rsidRDefault="005B0B73" w:rsidP="005B0B73">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1560" w:type="dxa"/>
            <w:tcBorders>
              <w:top w:val="nil"/>
              <w:left w:val="nil"/>
              <w:bottom w:val="single" w:sz="4" w:space="0" w:color="auto"/>
              <w:right w:val="single" w:sz="4" w:space="0" w:color="auto"/>
            </w:tcBorders>
            <w:shd w:val="clear" w:color="auto" w:fill="auto"/>
            <w:hideMark/>
          </w:tcPr>
          <w:p w14:paraId="039F5662" w14:textId="77777777" w:rsidR="005B0B73" w:rsidRPr="00000F38" w:rsidRDefault="005B0B73" w:rsidP="005B0B73">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2020" w:type="dxa"/>
            <w:tcBorders>
              <w:top w:val="nil"/>
              <w:left w:val="nil"/>
              <w:bottom w:val="single" w:sz="4" w:space="0" w:color="auto"/>
              <w:right w:val="single" w:sz="4" w:space="0" w:color="auto"/>
            </w:tcBorders>
            <w:shd w:val="clear" w:color="auto" w:fill="auto"/>
            <w:hideMark/>
          </w:tcPr>
          <w:p w14:paraId="12C1AD5E" w14:textId="77777777" w:rsidR="005B0B73" w:rsidRPr="00000F38" w:rsidRDefault="005B0B73" w:rsidP="005B0B73">
            <w:pPr>
              <w:spacing w:after="0" w:line="240" w:lineRule="auto"/>
              <w:jc w:val="center"/>
              <w:rPr>
                <w:rFonts w:eastAsia="Times New Roman" w:cstheme="minorHAnsi"/>
                <w:b/>
                <w:bCs/>
                <w:lang w:val="en-GB" w:eastAsia="en-GB"/>
              </w:rPr>
            </w:pPr>
            <w:r w:rsidRPr="00000F38">
              <w:rPr>
                <w:rFonts w:eastAsia="Times New Roman" w:cstheme="minorHAnsi"/>
                <w:b/>
                <w:bCs/>
                <w:lang w:val="en-GB" w:eastAsia="en-GB"/>
              </w:rPr>
              <w:t>XX</w:t>
            </w:r>
          </w:p>
        </w:tc>
      </w:tr>
      <w:tr w:rsidR="005B0B73" w:rsidRPr="00000F38" w14:paraId="66BC3CEA" w14:textId="77777777" w:rsidTr="005B0B73">
        <w:trPr>
          <w:trHeight w:val="300"/>
        </w:trPr>
        <w:tc>
          <w:tcPr>
            <w:tcW w:w="740" w:type="dxa"/>
            <w:tcBorders>
              <w:top w:val="nil"/>
              <w:left w:val="single" w:sz="4" w:space="0" w:color="auto"/>
              <w:bottom w:val="single" w:sz="4" w:space="0" w:color="auto"/>
              <w:right w:val="single" w:sz="4" w:space="0" w:color="auto"/>
            </w:tcBorders>
            <w:shd w:val="clear" w:color="auto" w:fill="auto"/>
            <w:hideMark/>
          </w:tcPr>
          <w:p w14:paraId="3ACF9FA5" w14:textId="77777777" w:rsidR="005B0B73" w:rsidRPr="00000F38" w:rsidRDefault="005B0B73" w:rsidP="005B0B73">
            <w:pPr>
              <w:spacing w:after="0" w:line="240" w:lineRule="auto"/>
              <w:jc w:val="center"/>
              <w:rPr>
                <w:rFonts w:eastAsia="Times New Roman" w:cstheme="minorHAnsi"/>
                <w:lang w:val="en-GB" w:eastAsia="en-GB"/>
              </w:rPr>
            </w:pPr>
            <w:r w:rsidRPr="00000F38">
              <w:rPr>
                <w:rFonts w:eastAsia="Times New Roman" w:cstheme="minorHAnsi"/>
                <w:lang w:val="en-GB" w:eastAsia="en-GB"/>
              </w:rPr>
              <w:t>6</w:t>
            </w:r>
          </w:p>
        </w:tc>
        <w:tc>
          <w:tcPr>
            <w:tcW w:w="2960" w:type="dxa"/>
            <w:tcBorders>
              <w:top w:val="nil"/>
              <w:left w:val="nil"/>
              <w:bottom w:val="single" w:sz="4" w:space="0" w:color="auto"/>
              <w:right w:val="single" w:sz="4" w:space="0" w:color="auto"/>
            </w:tcBorders>
            <w:shd w:val="clear" w:color="auto" w:fill="auto"/>
            <w:hideMark/>
          </w:tcPr>
          <w:p w14:paraId="4A2C623F" w14:textId="77777777" w:rsidR="005B0B73" w:rsidRPr="00000F38" w:rsidRDefault="005B0B73" w:rsidP="005B0B73">
            <w:pPr>
              <w:spacing w:after="0" w:line="240" w:lineRule="auto"/>
              <w:rPr>
                <w:rFonts w:eastAsia="Times New Roman" w:cstheme="minorHAnsi"/>
                <w:lang w:val="en-GB" w:eastAsia="en-GB"/>
              </w:rPr>
            </w:pPr>
            <w:r w:rsidRPr="00000F38">
              <w:rPr>
                <w:rFonts w:eastAsia="Times New Roman" w:cstheme="minorHAnsi"/>
                <w:lang w:val="en-GB" w:eastAsia="en-GB"/>
              </w:rPr>
              <w:t>Professional Services Cost</w:t>
            </w:r>
          </w:p>
        </w:tc>
        <w:tc>
          <w:tcPr>
            <w:tcW w:w="1560" w:type="dxa"/>
            <w:tcBorders>
              <w:top w:val="nil"/>
              <w:left w:val="nil"/>
              <w:bottom w:val="single" w:sz="4" w:space="0" w:color="auto"/>
              <w:right w:val="single" w:sz="4" w:space="0" w:color="auto"/>
            </w:tcBorders>
            <w:shd w:val="clear" w:color="auto" w:fill="auto"/>
            <w:hideMark/>
          </w:tcPr>
          <w:p w14:paraId="23C1D48B" w14:textId="77777777" w:rsidR="005B0B73" w:rsidRPr="00000F38" w:rsidRDefault="005B0B73" w:rsidP="005B0B73">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1560" w:type="dxa"/>
            <w:tcBorders>
              <w:top w:val="nil"/>
              <w:left w:val="nil"/>
              <w:bottom w:val="single" w:sz="4" w:space="0" w:color="auto"/>
              <w:right w:val="single" w:sz="4" w:space="0" w:color="auto"/>
            </w:tcBorders>
            <w:shd w:val="clear" w:color="auto" w:fill="auto"/>
            <w:hideMark/>
          </w:tcPr>
          <w:p w14:paraId="5E03A12D" w14:textId="77777777" w:rsidR="005B0B73" w:rsidRPr="00000F38" w:rsidRDefault="005B0B73" w:rsidP="005B0B73">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1560" w:type="dxa"/>
            <w:tcBorders>
              <w:top w:val="nil"/>
              <w:left w:val="nil"/>
              <w:bottom w:val="single" w:sz="4" w:space="0" w:color="auto"/>
              <w:right w:val="single" w:sz="4" w:space="0" w:color="auto"/>
            </w:tcBorders>
            <w:shd w:val="clear" w:color="auto" w:fill="auto"/>
            <w:hideMark/>
          </w:tcPr>
          <w:p w14:paraId="4C4B1C87" w14:textId="77777777" w:rsidR="005B0B73" w:rsidRPr="00000F38" w:rsidRDefault="005B0B73" w:rsidP="005B0B73">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1560" w:type="dxa"/>
            <w:tcBorders>
              <w:top w:val="nil"/>
              <w:left w:val="nil"/>
              <w:bottom w:val="single" w:sz="4" w:space="0" w:color="auto"/>
              <w:right w:val="single" w:sz="4" w:space="0" w:color="auto"/>
            </w:tcBorders>
            <w:shd w:val="clear" w:color="auto" w:fill="auto"/>
            <w:hideMark/>
          </w:tcPr>
          <w:p w14:paraId="7892576F" w14:textId="77777777" w:rsidR="005B0B73" w:rsidRPr="00000F38" w:rsidRDefault="005B0B73" w:rsidP="005B0B73">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1560" w:type="dxa"/>
            <w:tcBorders>
              <w:top w:val="nil"/>
              <w:left w:val="nil"/>
              <w:bottom w:val="single" w:sz="4" w:space="0" w:color="auto"/>
              <w:right w:val="single" w:sz="4" w:space="0" w:color="auto"/>
            </w:tcBorders>
            <w:shd w:val="clear" w:color="auto" w:fill="auto"/>
            <w:hideMark/>
          </w:tcPr>
          <w:p w14:paraId="213128D9" w14:textId="77777777" w:rsidR="005B0B73" w:rsidRPr="00000F38" w:rsidRDefault="005B0B73" w:rsidP="005B0B73">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2020" w:type="dxa"/>
            <w:tcBorders>
              <w:top w:val="nil"/>
              <w:left w:val="nil"/>
              <w:bottom w:val="single" w:sz="4" w:space="0" w:color="auto"/>
              <w:right w:val="single" w:sz="4" w:space="0" w:color="auto"/>
            </w:tcBorders>
            <w:shd w:val="clear" w:color="auto" w:fill="auto"/>
            <w:hideMark/>
          </w:tcPr>
          <w:p w14:paraId="75F8D97B" w14:textId="77777777" w:rsidR="005B0B73" w:rsidRPr="00000F38" w:rsidRDefault="005B0B73" w:rsidP="005B0B73">
            <w:pPr>
              <w:spacing w:after="0" w:line="240" w:lineRule="auto"/>
              <w:jc w:val="center"/>
              <w:rPr>
                <w:rFonts w:eastAsia="Times New Roman" w:cstheme="minorHAnsi"/>
                <w:b/>
                <w:bCs/>
                <w:lang w:val="en-GB" w:eastAsia="en-GB"/>
              </w:rPr>
            </w:pPr>
            <w:r w:rsidRPr="00000F38">
              <w:rPr>
                <w:rFonts w:eastAsia="Times New Roman" w:cstheme="minorHAnsi"/>
                <w:b/>
                <w:bCs/>
                <w:lang w:val="en-GB" w:eastAsia="en-GB"/>
              </w:rPr>
              <w:t>XX</w:t>
            </w:r>
          </w:p>
        </w:tc>
      </w:tr>
      <w:tr w:rsidR="005B0B73" w:rsidRPr="00000F38" w14:paraId="2A3BC5E6" w14:textId="77777777" w:rsidTr="005B0B73">
        <w:trPr>
          <w:trHeight w:val="300"/>
        </w:trPr>
        <w:tc>
          <w:tcPr>
            <w:tcW w:w="740" w:type="dxa"/>
            <w:tcBorders>
              <w:top w:val="nil"/>
              <w:left w:val="single" w:sz="4" w:space="0" w:color="auto"/>
              <w:bottom w:val="single" w:sz="4" w:space="0" w:color="auto"/>
              <w:right w:val="single" w:sz="4" w:space="0" w:color="auto"/>
            </w:tcBorders>
            <w:shd w:val="clear" w:color="000000" w:fill="002060"/>
            <w:hideMark/>
          </w:tcPr>
          <w:p w14:paraId="5E79D950" w14:textId="77777777" w:rsidR="005B0B73" w:rsidRPr="00000F38" w:rsidRDefault="005B0B73" w:rsidP="005B0B73">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 </w:t>
            </w:r>
          </w:p>
        </w:tc>
        <w:tc>
          <w:tcPr>
            <w:tcW w:w="2960" w:type="dxa"/>
            <w:tcBorders>
              <w:top w:val="nil"/>
              <w:left w:val="nil"/>
              <w:bottom w:val="single" w:sz="4" w:space="0" w:color="auto"/>
              <w:right w:val="single" w:sz="4" w:space="0" w:color="auto"/>
            </w:tcBorders>
            <w:shd w:val="clear" w:color="000000" w:fill="002060"/>
            <w:hideMark/>
          </w:tcPr>
          <w:p w14:paraId="0392B905" w14:textId="77777777" w:rsidR="005B0B73" w:rsidRPr="00000F38" w:rsidRDefault="005B0B73" w:rsidP="005B0B73">
            <w:pPr>
              <w:spacing w:after="0" w:line="240" w:lineRule="auto"/>
              <w:rPr>
                <w:rFonts w:eastAsia="Times New Roman" w:cstheme="minorHAnsi"/>
                <w:b/>
                <w:bCs/>
                <w:color w:val="FFFFFF"/>
                <w:lang w:val="en-GB" w:eastAsia="en-GB"/>
              </w:rPr>
            </w:pPr>
            <w:r w:rsidRPr="00000F38">
              <w:rPr>
                <w:rFonts w:eastAsia="Times New Roman" w:cstheme="minorHAnsi"/>
                <w:b/>
                <w:bCs/>
                <w:color w:val="FFFFFF"/>
                <w:lang w:val="en-GB" w:eastAsia="en-GB"/>
              </w:rPr>
              <w:t>Grand Total - TCO</w:t>
            </w:r>
          </w:p>
        </w:tc>
        <w:tc>
          <w:tcPr>
            <w:tcW w:w="1560" w:type="dxa"/>
            <w:tcBorders>
              <w:top w:val="nil"/>
              <w:left w:val="nil"/>
              <w:bottom w:val="single" w:sz="4" w:space="0" w:color="auto"/>
              <w:right w:val="single" w:sz="4" w:space="0" w:color="auto"/>
            </w:tcBorders>
            <w:shd w:val="clear" w:color="000000" w:fill="002060"/>
            <w:hideMark/>
          </w:tcPr>
          <w:p w14:paraId="2ED097F6" w14:textId="77777777" w:rsidR="005B0B73" w:rsidRPr="00000F38" w:rsidRDefault="005B0B73" w:rsidP="005B0B73">
            <w:pPr>
              <w:spacing w:after="0" w:line="240" w:lineRule="auto"/>
              <w:rPr>
                <w:rFonts w:eastAsia="Times New Roman" w:cstheme="minorHAnsi"/>
                <w:b/>
                <w:bCs/>
                <w:color w:val="FFFFFF"/>
                <w:lang w:val="en-GB" w:eastAsia="en-GB"/>
              </w:rPr>
            </w:pPr>
            <w:r w:rsidRPr="00000F38">
              <w:rPr>
                <w:rFonts w:eastAsia="Times New Roman" w:cstheme="minorHAnsi"/>
                <w:b/>
                <w:bCs/>
                <w:color w:val="FFFFFF"/>
                <w:lang w:val="en-GB" w:eastAsia="en-GB"/>
              </w:rPr>
              <w:t> </w:t>
            </w:r>
          </w:p>
        </w:tc>
        <w:tc>
          <w:tcPr>
            <w:tcW w:w="1560" w:type="dxa"/>
            <w:tcBorders>
              <w:top w:val="nil"/>
              <w:left w:val="nil"/>
              <w:bottom w:val="single" w:sz="4" w:space="0" w:color="auto"/>
              <w:right w:val="single" w:sz="4" w:space="0" w:color="auto"/>
            </w:tcBorders>
            <w:shd w:val="clear" w:color="000000" w:fill="002060"/>
            <w:hideMark/>
          </w:tcPr>
          <w:p w14:paraId="1362731D" w14:textId="77777777" w:rsidR="005B0B73" w:rsidRPr="00000F38" w:rsidRDefault="005B0B73" w:rsidP="005B0B73">
            <w:pPr>
              <w:spacing w:after="0" w:line="240" w:lineRule="auto"/>
              <w:rPr>
                <w:rFonts w:eastAsia="Times New Roman" w:cstheme="minorHAnsi"/>
                <w:b/>
                <w:bCs/>
                <w:color w:val="FFFFFF"/>
                <w:lang w:val="en-GB" w:eastAsia="en-GB"/>
              </w:rPr>
            </w:pPr>
            <w:r w:rsidRPr="00000F38">
              <w:rPr>
                <w:rFonts w:eastAsia="Times New Roman" w:cstheme="minorHAnsi"/>
                <w:b/>
                <w:bCs/>
                <w:color w:val="FFFFFF"/>
                <w:lang w:val="en-GB" w:eastAsia="en-GB"/>
              </w:rPr>
              <w:t> </w:t>
            </w:r>
          </w:p>
        </w:tc>
        <w:tc>
          <w:tcPr>
            <w:tcW w:w="1560" w:type="dxa"/>
            <w:tcBorders>
              <w:top w:val="nil"/>
              <w:left w:val="nil"/>
              <w:bottom w:val="single" w:sz="4" w:space="0" w:color="auto"/>
              <w:right w:val="single" w:sz="4" w:space="0" w:color="auto"/>
            </w:tcBorders>
            <w:shd w:val="clear" w:color="000000" w:fill="002060"/>
            <w:hideMark/>
          </w:tcPr>
          <w:p w14:paraId="42E6E299" w14:textId="77777777" w:rsidR="005B0B73" w:rsidRPr="00000F38" w:rsidRDefault="005B0B73" w:rsidP="005B0B73">
            <w:pPr>
              <w:spacing w:after="0" w:line="240" w:lineRule="auto"/>
              <w:rPr>
                <w:rFonts w:eastAsia="Times New Roman" w:cstheme="minorHAnsi"/>
                <w:b/>
                <w:bCs/>
                <w:color w:val="FFFFFF"/>
                <w:lang w:val="en-GB" w:eastAsia="en-GB"/>
              </w:rPr>
            </w:pPr>
            <w:r w:rsidRPr="00000F38">
              <w:rPr>
                <w:rFonts w:eastAsia="Times New Roman" w:cstheme="minorHAnsi"/>
                <w:b/>
                <w:bCs/>
                <w:color w:val="FFFFFF"/>
                <w:lang w:val="en-GB" w:eastAsia="en-GB"/>
              </w:rPr>
              <w:t> </w:t>
            </w:r>
          </w:p>
        </w:tc>
        <w:tc>
          <w:tcPr>
            <w:tcW w:w="1560" w:type="dxa"/>
            <w:tcBorders>
              <w:top w:val="nil"/>
              <w:left w:val="nil"/>
              <w:bottom w:val="single" w:sz="4" w:space="0" w:color="auto"/>
              <w:right w:val="single" w:sz="4" w:space="0" w:color="auto"/>
            </w:tcBorders>
            <w:shd w:val="clear" w:color="000000" w:fill="002060"/>
            <w:hideMark/>
          </w:tcPr>
          <w:p w14:paraId="2E8FD0DD" w14:textId="77777777" w:rsidR="005B0B73" w:rsidRPr="00000F38" w:rsidRDefault="005B0B73" w:rsidP="005B0B73">
            <w:pPr>
              <w:spacing w:after="0" w:line="240" w:lineRule="auto"/>
              <w:rPr>
                <w:rFonts w:eastAsia="Times New Roman" w:cstheme="minorHAnsi"/>
                <w:b/>
                <w:bCs/>
                <w:color w:val="FFFFFF"/>
                <w:lang w:val="en-GB" w:eastAsia="en-GB"/>
              </w:rPr>
            </w:pPr>
            <w:r w:rsidRPr="00000F38">
              <w:rPr>
                <w:rFonts w:eastAsia="Times New Roman" w:cstheme="minorHAnsi"/>
                <w:b/>
                <w:bCs/>
                <w:color w:val="FFFFFF"/>
                <w:lang w:val="en-GB" w:eastAsia="en-GB"/>
              </w:rPr>
              <w:t> </w:t>
            </w:r>
          </w:p>
        </w:tc>
        <w:tc>
          <w:tcPr>
            <w:tcW w:w="1560" w:type="dxa"/>
            <w:tcBorders>
              <w:top w:val="nil"/>
              <w:left w:val="nil"/>
              <w:bottom w:val="single" w:sz="4" w:space="0" w:color="auto"/>
              <w:right w:val="single" w:sz="4" w:space="0" w:color="auto"/>
            </w:tcBorders>
            <w:shd w:val="clear" w:color="000000" w:fill="002060"/>
            <w:hideMark/>
          </w:tcPr>
          <w:p w14:paraId="5E4C7A7C" w14:textId="77777777" w:rsidR="005B0B73" w:rsidRPr="00000F38" w:rsidRDefault="005B0B73" w:rsidP="005B0B73">
            <w:pPr>
              <w:spacing w:after="0" w:line="240" w:lineRule="auto"/>
              <w:rPr>
                <w:rFonts w:eastAsia="Times New Roman" w:cstheme="minorHAnsi"/>
                <w:b/>
                <w:bCs/>
                <w:color w:val="FFFFFF"/>
                <w:lang w:val="en-GB" w:eastAsia="en-GB"/>
              </w:rPr>
            </w:pPr>
            <w:r w:rsidRPr="00000F38">
              <w:rPr>
                <w:rFonts w:eastAsia="Times New Roman" w:cstheme="minorHAnsi"/>
                <w:b/>
                <w:bCs/>
                <w:color w:val="FFFFFF"/>
                <w:lang w:val="en-GB" w:eastAsia="en-GB"/>
              </w:rPr>
              <w:t> </w:t>
            </w:r>
          </w:p>
        </w:tc>
        <w:tc>
          <w:tcPr>
            <w:tcW w:w="2020" w:type="dxa"/>
            <w:tcBorders>
              <w:top w:val="nil"/>
              <w:left w:val="nil"/>
              <w:bottom w:val="single" w:sz="4" w:space="0" w:color="auto"/>
              <w:right w:val="single" w:sz="4" w:space="0" w:color="auto"/>
            </w:tcBorders>
            <w:shd w:val="clear" w:color="000000" w:fill="002060"/>
            <w:hideMark/>
          </w:tcPr>
          <w:p w14:paraId="3703DCD6" w14:textId="77777777" w:rsidR="005B0B73" w:rsidRPr="00000F38" w:rsidRDefault="005B0B73" w:rsidP="005B0B73">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XX</w:t>
            </w:r>
          </w:p>
        </w:tc>
      </w:tr>
      <w:tr w:rsidR="005B0B73" w:rsidRPr="00000F38" w14:paraId="66DD903B" w14:textId="77777777" w:rsidTr="005B0B73">
        <w:trPr>
          <w:trHeight w:val="300"/>
        </w:trPr>
        <w:tc>
          <w:tcPr>
            <w:tcW w:w="740" w:type="dxa"/>
            <w:tcBorders>
              <w:top w:val="nil"/>
              <w:left w:val="nil"/>
              <w:bottom w:val="nil"/>
              <w:right w:val="nil"/>
            </w:tcBorders>
            <w:shd w:val="clear" w:color="auto" w:fill="auto"/>
            <w:hideMark/>
          </w:tcPr>
          <w:p w14:paraId="5223DF52" w14:textId="77777777" w:rsidR="005B0B73" w:rsidRPr="00000F38" w:rsidRDefault="005B0B73" w:rsidP="005B0B73">
            <w:pPr>
              <w:spacing w:after="0" w:line="240" w:lineRule="auto"/>
              <w:jc w:val="center"/>
              <w:rPr>
                <w:rFonts w:eastAsia="Times New Roman" w:cstheme="minorHAnsi"/>
                <w:b/>
                <w:bCs/>
                <w:color w:val="FFFFFF"/>
                <w:lang w:val="en-GB" w:eastAsia="en-GB"/>
              </w:rPr>
            </w:pPr>
          </w:p>
        </w:tc>
        <w:tc>
          <w:tcPr>
            <w:tcW w:w="2960" w:type="dxa"/>
            <w:tcBorders>
              <w:top w:val="nil"/>
              <w:left w:val="nil"/>
              <w:bottom w:val="nil"/>
              <w:right w:val="nil"/>
            </w:tcBorders>
            <w:shd w:val="clear" w:color="auto" w:fill="auto"/>
            <w:hideMark/>
          </w:tcPr>
          <w:p w14:paraId="453B33AA" w14:textId="77777777" w:rsidR="005B0B73" w:rsidRPr="00000F38" w:rsidRDefault="005B0B73" w:rsidP="005B0B73">
            <w:pPr>
              <w:spacing w:after="0" w:line="240" w:lineRule="auto"/>
              <w:jc w:val="center"/>
              <w:rPr>
                <w:rFonts w:eastAsia="Times New Roman" w:cstheme="minorHAnsi"/>
                <w:lang w:val="en-GB" w:eastAsia="en-GB"/>
              </w:rPr>
            </w:pPr>
          </w:p>
        </w:tc>
        <w:tc>
          <w:tcPr>
            <w:tcW w:w="1560" w:type="dxa"/>
            <w:tcBorders>
              <w:top w:val="nil"/>
              <w:left w:val="nil"/>
              <w:bottom w:val="nil"/>
              <w:right w:val="nil"/>
            </w:tcBorders>
            <w:shd w:val="clear" w:color="auto" w:fill="auto"/>
            <w:hideMark/>
          </w:tcPr>
          <w:p w14:paraId="0B39E9A9" w14:textId="77777777" w:rsidR="005B0B73" w:rsidRPr="00000F38" w:rsidRDefault="005B0B73" w:rsidP="005B0B73">
            <w:pPr>
              <w:spacing w:after="0" w:line="240" w:lineRule="auto"/>
              <w:rPr>
                <w:rFonts w:eastAsia="Times New Roman" w:cstheme="minorHAnsi"/>
                <w:lang w:val="en-GB" w:eastAsia="en-GB"/>
              </w:rPr>
            </w:pPr>
          </w:p>
        </w:tc>
        <w:tc>
          <w:tcPr>
            <w:tcW w:w="1560" w:type="dxa"/>
            <w:tcBorders>
              <w:top w:val="nil"/>
              <w:left w:val="nil"/>
              <w:bottom w:val="nil"/>
              <w:right w:val="nil"/>
            </w:tcBorders>
            <w:shd w:val="clear" w:color="auto" w:fill="auto"/>
            <w:hideMark/>
          </w:tcPr>
          <w:p w14:paraId="47C5B742" w14:textId="77777777" w:rsidR="005B0B73" w:rsidRPr="00000F38" w:rsidRDefault="005B0B73" w:rsidP="005B0B73">
            <w:pPr>
              <w:spacing w:after="0" w:line="240" w:lineRule="auto"/>
              <w:rPr>
                <w:rFonts w:eastAsia="Times New Roman" w:cstheme="minorHAnsi"/>
                <w:lang w:val="en-GB" w:eastAsia="en-GB"/>
              </w:rPr>
            </w:pPr>
          </w:p>
        </w:tc>
        <w:tc>
          <w:tcPr>
            <w:tcW w:w="1560" w:type="dxa"/>
            <w:tcBorders>
              <w:top w:val="nil"/>
              <w:left w:val="nil"/>
              <w:bottom w:val="nil"/>
              <w:right w:val="nil"/>
            </w:tcBorders>
            <w:shd w:val="clear" w:color="auto" w:fill="auto"/>
            <w:hideMark/>
          </w:tcPr>
          <w:p w14:paraId="07144808" w14:textId="77777777" w:rsidR="005B0B73" w:rsidRPr="00000F38" w:rsidRDefault="005B0B73" w:rsidP="005B0B73">
            <w:pPr>
              <w:spacing w:after="0" w:line="240" w:lineRule="auto"/>
              <w:rPr>
                <w:rFonts w:eastAsia="Times New Roman" w:cstheme="minorHAnsi"/>
                <w:lang w:val="en-GB" w:eastAsia="en-GB"/>
              </w:rPr>
            </w:pPr>
          </w:p>
        </w:tc>
        <w:tc>
          <w:tcPr>
            <w:tcW w:w="1560" w:type="dxa"/>
            <w:tcBorders>
              <w:top w:val="nil"/>
              <w:left w:val="nil"/>
              <w:bottom w:val="nil"/>
              <w:right w:val="nil"/>
            </w:tcBorders>
            <w:shd w:val="clear" w:color="auto" w:fill="auto"/>
            <w:hideMark/>
          </w:tcPr>
          <w:p w14:paraId="301C0159" w14:textId="77777777" w:rsidR="005B0B73" w:rsidRPr="00000F38" w:rsidRDefault="005B0B73" w:rsidP="005B0B73">
            <w:pPr>
              <w:spacing w:after="0" w:line="240" w:lineRule="auto"/>
              <w:rPr>
                <w:rFonts w:eastAsia="Times New Roman" w:cstheme="minorHAnsi"/>
                <w:lang w:val="en-GB" w:eastAsia="en-GB"/>
              </w:rPr>
            </w:pPr>
          </w:p>
        </w:tc>
        <w:tc>
          <w:tcPr>
            <w:tcW w:w="1560" w:type="dxa"/>
            <w:tcBorders>
              <w:top w:val="nil"/>
              <w:left w:val="nil"/>
              <w:bottom w:val="nil"/>
              <w:right w:val="nil"/>
            </w:tcBorders>
            <w:shd w:val="clear" w:color="auto" w:fill="auto"/>
            <w:hideMark/>
          </w:tcPr>
          <w:p w14:paraId="3D6C6DC7" w14:textId="77777777" w:rsidR="005B0B73" w:rsidRPr="00000F38" w:rsidRDefault="005B0B73" w:rsidP="005B0B73">
            <w:pPr>
              <w:spacing w:after="0" w:line="240" w:lineRule="auto"/>
              <w:rPr>
                <w:rFonts w:eastAsia="Times New Roman" w:cstheme="minorHAnsi"/>
                <w:lang w:val="en-GB" w:eastAsia="en-GB"/>
              </w:rPr>
            </w:pPr>
          </w:p>
        </w:tc>
        <w:tc>
          <w:tcPr>
            <w:tcW w:w="2020" w:type="dxa"/>
            <w:tcBorders>
              <w:top w:val="nil"/>
              <w:left w:val="nil"/>
              <w:bottom w:val="nil"/>
              <w:right w:val="nil"/>
            </w:tcBorders>
            <w:shd w:val="clear" w:color="auto" w:fill="auto"/>
            <w:hideMark/>
          </w:tcPr>
          <w:p w14:paraId="03BC38D9" w14:textId="77777777" w:rsidR="005B0B73" w:rsidRPr="00000F38" w:rsidRDefault="005B0B73" w:rsidP="005B0B73">
            <w:pPr>
              <w:spacing w:after="0" w:line="240" w:lineRule="auto"/>
              <w:rPr>
                <w:rFonts w:eastAsia="Times New Roman" w:cstheme="minorHAnsi"/>
                <w:lang w:val="en-GB" w:eastAsia="en-GB"/>
              </w:rPr>
            </w:pPr>
          </w:p>
        </w:tc>
      </w:tr>
      <w:tr w:rsidR="005B0B73" w:rsidRPr="00000F38" w14:paraId="1CF2F9B3" w14:textId="77777777" w:rsidTr="005B0B73">
        <w:trPr>
          <w:trHeight w:val="300"/>
        </w:trPr>
        <w:tc>
          <w:tcPr>
            <w:tcW w:w="6820" w:type="dxa"/>
            <w:gridSpan w:val="4"/>
            <w:tcBorders>
              <w:top w:val="nil"/>
              <w:left w:val="nil"/>
              <w:bottom w:val="nil"/>
              <w:right w:val="nil"/>
            </w:tcBorders>
            <w:shd w:val="clear" w:color="auto" w:fill="auto"/>
            <w:hideMark/>
          </w:tcPr>
          <w:p w14:paraId="5CF31880" w14:textId="77777777" w:rsidR="005B0B73" w:rsidRPr="00000F38" w:rsidRDefault="005B0B73" w:rsidP="005B0B73">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**All the prices quoted by the bidder shall be exclusive of taxes</w:t>
            </w:r>
          </w:p>
        </w:tc>
        <w:tc>
          <w:tcPr>
            <w:tcW w:w="1560" w:type="dxa"/>
            <w:tcBorders>
              <w:top w:val="nil"/>
              <w:left w:val="nil"/>
              <w:bottom w:val="nil"/>
              <w:right w:val="nil"/>
            </w:tcBorders>
            <w:shd w:val="clear" w:color="auto" w:fill="auto"/>
            <w:hideMark/>
          </w:tcPr>
          <w:p w14:paraId="74FFC402" w14:textId="77777777" w:rsidR="005B0B73" w:rsidRPr="00000F38" w:rsidRDefault="005B0B73" w:rsidP="005B0B73">
            <w:pPr>
              <w:spacing w:after="0" w:line="240" w:lineRule="auto"/>
              <w:rPr>
                <w:rFonts w:eastAsia="Times New Roman" w:cstheme="minorHAnsi"/>
                <w:b/>
                <w:bCs/>
                <w:color w:val="000000"/>
                <w:lang w:val="en-GB" w:eastAsia="en-GB"/>
              </w:rPr>
            </w:pPr>
          </w:p>
        </w:tc>
        <w:tc>
          <w:tcPr>
            <w:tcW w:w="1560" w:type="dxa"/>
            <w:tcBorders>
              <w:top w:val="nil"/>
              <w:left w:val="nil"/>
              <w:bottom w:val="nil"/>
              <w:right w:val="nil"/>
            </w:tcBorders>
            <w:shd w:val="clear" w:color="auto" w:fill="auto"/>
            <w:hideMark/>
          </w:tcPr>
          <w:p w14:paraId="130F74F2" w14:textId="77777777" w:rsidR="005B0B73" w:rsidRPr="00000F38" w:rsidRDefault="005B0B73" w:rsidP="005B0B73">
            <w:pPr>
              <w:spacing w:after="0" w:line="240" w:lineRule="auto"/>
              <w:rPr>
                <w:rFonts w:eastAsia="Times New Roman" w:cstheme="minorHAnsi"/>
                <w:lang w:val="en-GB" w:eastAsia="en-GB"/>
              </w:rPr>
            </w:pPr>
          </w:p>
        </w:tc>
        <w:tc>
          <w:tcPr>
            <w:tcW w:w="1560" w:type="dxa"/>
            <w:tcBorders>
              <w:top w:val="nil"/>
              <w:left w:val="nil"/>
              <w:bottom w:val="nil"/>
              <w:right w:val="nil"/>
            </w:tcBorders>
            <w:shd w:val="clear" w:color="auto" w:fill="auto"/>
            <w:hideMark/>
          </w:tcPr>
          <w:p w14:paraId="530610E6" w14:textId="77777777" w:rsidR="005B0B73" w:rsidRPr="00000F38" w:rsidRDefault="005B0B73" w:rsidP="005B0B73">
            <w:pPr>
              <w:spacing w:after="0" w:line="240" w:lineRule="auto"/>
              <w:rPr>
                <w:rFonts w:eastAsia="Times New Roman" w:cstheme="minorHAnsi"/>
                <w:lang w:val="en-GB" w:eastAsia="en-GB"/>
              </w:rPr>
            </w:pPr>
          </w:p>
        </w:tc>
        <w:tc>
          <w:tcPr>
            <w:tcW w:w="2020" w:type="dxa"/>
            <w:tcBorders>
              <w:top w:val="nil"/>
              <w:left w:val="nil"/>
              <w:bottom w:val="nil"/>
              <w:right w:val="nil"/>
            </w:tcBorders>
            <w:shd w:val="clear" w:color="auto" w:fill="auto"/>
            <w:hideMark/>
          </w:tcPr>
          <w:p w14:paraId="2AC32F1B" w14:textId="77777777" w:rsidR="005B0B73" w:rsidRPr="00000F38" w:rsidRDefault="005B0B73" w:rsidP="005B0B73">
            <w:pPr>
              <w:spacing w:after="0" w:line="240" w:lineRule="auto"/>
              <w:rPr>
                <w:rFonts w:eastAsia="Times New Roman" w:cstheme="minorHAnsi"/>
                <w:lang w:val="en-GB" w:eastAsia="en-GB"/>
              </w:rPr>
            </w:pPr>
          </w:p>
        </w:tc>
      </w:tr>
      <w:tr w:rsidR="005B0B73" w:rsidRPr="00000F38" w14:paraId="387541F2" w14:textId="77777777" w:rsidTr="005B0B73">
        <w:trPr>
          <w:trHeight w:val="300"/>
        </w:trPr>
        <w:tc>
          <w:tcPr>
            <w:tcW w:w="5260" w:type="dxa"/>
            <w:gridSpan w:val="3"/>
            <w:tcBorders>
              <w:top w:val="nil"/>
              <w:left w:val="nil"/>
              <w:bottom w:val="nil"/>
              <w:right w:val="nil"/>
            </w:tcBorders>
            <w:shd w:val="clear" w:color="auto" w:fill="auto"/>
            <w:noWrap/>
            <w:hideMark/>
          </w:tcPr>
          <w:p w14:paraId="3062082B" w14:textId="77777777" w:rsidR="005B0B73" w:rsidRPr="00000F38" w:rsidRDefault="005B0B73" w:rsidP="005B0B73">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The Cost should flow from the respective sheets</w:t>
            </w:r>
          </w:p>
        </w:tc>
        <w:tc>
          <w:tcPr>
            <w:tcW w:w="1560" w:type="dxa"/>
            <w:tcBorders>
              <w:top w:val="nil"/>
              <w:left w:val="nil"/>
              <w:bottom w:val="nil"/>
              <w:right w:val="nil"/>
            </w:tcBorders>
            <w:shd w:val="clear" w:color="auto" w:fill="auto"/>
            <w:hideMark/>
          </w:tcPr>
          <w:p w14:paraId="3BE01FAE" w14:textId="77777777" w:rsidR="005B0B73" w:rsidRPr="00000F38" w:rsidRDefault="005B0B73" w:rsidP="005B0B73">
            <w:pPr>
              <w:spacing w:after="0" w:line="240" w:lineRule="auto"/>
              <w:rPr>
                <w:rFonts w:eastAsia="Times New Roman" w:cstheme="minorHAnsi"/>
                <w:color w:val="000000"/>
                <w:lang w:val="en-GB" w:eastAsia="en-GB"/>
              </w:rPr>
            </w:pPr>
          </w:p>
        </w:tc>
        <w:tc>
          <w:tcPr>
            <w:tcW w:w="1560" w:type="dxa"/>
            <w:tcBorders>
              <w:top w:val="nil"/>
              <w:left w:val="nil"/>
              <w:bottom w:val="nil"/>
              <w:right w:val="nil"/>
            </w:tcBorders>
            <w:shd w:val="clear" w:color="auto" w:fill="auto"/>
            <w:hideMark/>
          </w:tcPr>
          <w:p w14:paraId="202C29AF" w14:textId="77777777" w:rsidR="005B0B73" w:rsidRPr="00000F38" w:rsidRDefault="005B0B73" w:rsidP="005B0B73">
            <w:pPr>
              <w:spacing w:after="0" w:line="240" w:lineRule="auto"/>
              <w:rPr>
                <w:rFonts w:eastAsia="Times New Roman" w:cstheme="minorHAnsi"/>
                <w:lang w:val="en-GB" w:eastAsia="en-GB"/>
              </w:rPr>
            </w:pPr>
          </w:p>
        </w:tc>
        <w:tc>
          <w:tcPr>
            <w:tcW w:w="1560" w:type="dxa"/>
            <w:tcBorders>
              <w:top w:val="nil"/>
              <w:left w:val="nil"/>
              <w:bottom w:val="nil"/>
              <w:right w:val="nil"/>
            </w:tcBorders>
            <w:shd w:val="clear" w:color="auto" w:fill="auto"/>
            <w:hideMark/>
          </w:tcPr>
          <w:p w14:paraId="5947DF63" w14:textId="77777777" w:rsidR="005B0B73" w:rsidRPr="00000F38" w:rsidRDefault="005B0B73" w:rsidP="005B0B73">
            <w:pPr>
              <w:spacing w:after="0" w:line="240" w:lineRule="auto"/>
              <w:rPr>
                <w:rFonts w:eastAsia="Times New Roman" w:cstheme="minorHAnsi"/>
                <w:lang w:val="en-GB" w:eastAsia="en-GB"/>
              </w:rPr>
            </w:pPr>
          </w:p>
        </w:tc>
        <w:tc>
          <w:tcPr>
            <w:tcW w:w="1560" w:type="dxa"/>
            <w:tcBorders>
              <w:top w:val="nil"/>
              <w:left w:val="nil"/>
              <w:bottom w:val="nil"/>
              <w:right w:val="nil"/>
            </w:tcBorders>
            <w:shd w:val="clear" w:color="auto" w:fill="auto"/>
            <w:hideMark/>
          </w:tcPr>
          <w:p w14:paraId="3551B760" w14:textId="77777777" w:rsidR="005B0B73" w:rsidRPr="00000F38" w:rsidRDefault="005B0B73" w:rsidP="005B0B73">
            <w:pPr>
              <w:spacing w:after="0" w:line="240" w:lineRule="auto"/>
              <w:rPr>
                <w:rFonts w:eastAsia="Times New Roman" w:cstheme="minorHAnsi"/>
                <w:lang w:val="en-GB" w:eastAsia="en-GB"/>
              </w:rPr>
            </w:pPr>
          </w:p>
        </w:tc>
        <w:tc>
          <w:tcPr>
            <w:tcW w:w="2020" w:type="dxa"/>
            <w:tcBorders>
              <w:top w:val="nil"/>
              <w:left w:val="nil"/>
              <w:bottom w:val="nil"/>
              <w:right w:val="nil"/>
            </w:tcBorders>
            <w:shd w:val="clear" w:color="auto" w:fill="auto"/>
            <w:hideMark/>
          </w:tcPr>
          <w:p w14:paraId="1AF4B29F" w14:textId="77777777" w:rsidR="005B0B73" w:rsidRPr="00000F38" w:rsidRDefault="005B0B73" w:rsidP="005B0B73">
            <w:pPr>
              <w:spacing w:after="0" w:line="240" w:lineRule="auto"/>
              <w:rPr>
                <w:rFonts w:eastAsia="Times New Roman" w:cstheme="minorHAnsi"/>
                <w:lang w:val="en-GB" w:eastAsia="en-GB"/>
              </w:rPr>
            </w:pPr>
          </w:p>
        </w:tc>
      </w:tr>
      <w:tr w:rsidR="005B0B73" w:rsidRPr="00000F38" w14:paraId="230CA7C9" w14:textId="77777777" w:rsidTr="005B0B73">
        <w:trPr>
          <w:trHeight w:val="300"/>
        </w:trPr>
        <w:tc>
          <w:tcPr>
            <w:tcW w:w="9940" w:type="dxa"/>
            <w:gridSpan w:val="6"/>
            <w:tcBorders>
              <w:top w:val="nil"/>
              <w:left w:val="nil"/>
              <w:bottom w:val="nil"/>
              <w:right w:val="nil"/>
            </w:tcBorders>
            <w:shd w:val="clear" w:color="auto" w:fill="auto"/>
            <w:hideMark/>
          </w:tcPr>
          <w:p w14:paraId="056FC5FF" w14:textId="77777777" w:rsidR="005B0B73" w:rsidRPr="00000F38" w:rsidRDefault="005B0B73" w:rsidP="005B0B73">
            <w:pPr>
              <w:spacing w:after="0" w:line="240" w:lineRule="auto"/>
              <w:rPr>
                <w:rFonts w:eastAsia="Times New Roman" w:cstheme="minorHAnsi"/>
                <w:b/>
                <w:bCs/>
                <w:color w:val="000000"/>
                <w:u w:val="single"/>
                <w:lang w:val="en-GB" w:eastAsia="en-GB"/>
              </w:rPr>
            </w:pPr>
            <w:r w:rsidRPr="00000F38">
              <w:rPr>
                <w:rFonts w:eastAsia="Times New Roman" w:cstheme="minorHAnsi"/>
                <w:b/>
                <w:bCs/>
                <w:color w:val="000000"/>
                <w:u w:val="single"/>
                <w:lang w:val="en-GB" w:eastAsia="en-GB"/>
              </w:rPr>
              <w:t>Total Cost in Words:</w:t>
            </w:r>
          </w:p>
        </w:tc>
        <w:tc>
          <w:tcPr>
            <w:tcW w:w="1560" w:type="dxa"/>
            <w:tcBorders>
              <w:top w:val="nil"/>
              <w:left w:val="nil"/>
              <w:bottom w:val="nil"/>
              <w:right w:val="nil"/>
            </w:tcBorders>
            <w:shd w:val="clear" w:color="auto" w:fill="auto"/>
            <w:hideMark/>
          </w:tcPr>
          <w:p w14:paraId="2C0B7C63" w14:textId="77777777" w:rsidR="005B0B73" w:rsidRPr="00000F38" w:rsidRDefault="005B0B73" w:rsidP="005B0B73">
            <w:pPr>
              <w:spacing w:after="0" w:line="240" w:lineRule="auto"/>
              <w:rPr>
                <w:rFonts w:eastAsia="Times New Roman" w:cstheme="minorHAnsi"/>
                <w:b/>
                <w:bCs/>
                <w:color w:val="000000"/>
                <w:u w:val="single"/>
                <w:lang w:val="en-GB" w:eastAsia="en-GB"/>
              </w:rPr>
            </w:pPr>
          </w:p>
        </w:tc>
        <w:tc>
          <w:tcPr>
            <w:tcW w:w="2020" w:type="dxa"/>
            <w:tcBorders>
              <w:top w:val="nil"/>
              <w:left w:val="nil"/>
              <w:bottom w:val="nil"/>
              <w:right w:val="nil"/>
            </w:tcBorders>
            <w:shd w:val="clear" w:color="auto" w:fill="auto"/>
            <w:hideMark/>
          </w:tcPr>
          <w:p w14:paraId="4FAFB702" w14:textId="77777777" w:rsidR="005B0B73" w:rsidRPr="00000F38" w:rsidRDefault="005B0B73" w:rsidP="005B0B73">
            <w:pPr>
              <w:spacing w:after="0" w:line="240" w:lineRule="auto"/>
              <w:rPr>
                <w:rFonts w:eastAsia="Times New Roman" w:cstheme="minorHAnsi"/>
                <w:lang w:val="en-GB" w:eastAsia="en-GB"/>
              </w:rPr>
            </w:pPr>
          </w:p>
        </w:tc>
      </w:tr>
    </w:tbl>
    <w:p w14:paraId="29693F33" w14:textId="77777777" w:rsidR="005B0B73" w:rsidRPr="00000F38" w:rsidRDefault="005B0B73" w:rsidP="00A54361">
      <w:pPr>
        <w:jc w:val="both"/>
        <w:rPr>
          <w:rFonts w:cstheme="minorHAnsi"/>
        </w:rPr>
      </w:pPr>
    </w:p>
    <w:p w14:paraId="378D9E9D" w14:textId="77777777" w:rsidR="005B0B73" w:rsidRPr="00000F38" w:rsidRDefault="005B0B73" w:rsidP="00A54361">
      <w:pPr>
        <w:jc w:val="both"/>
        <w:rPr>
          <w:rFonts w:cstheme="minorHAnsi"/>
        </w:rPr>
      </w:pPr>
    </w:p>
    <w:p w14:paraId="486EDA3E" w14:textId="77777777" w:rsidR="00E50B6B" w:rsidRPr="00000F38" w:rsidRDefault="00E50B6B" w:rsidP="00A54361">
      <w:pPr>
        <w:jc w:val="both"/>
        <w:rPr>
          <w:rFonts w:cstheme="minorHAnsi"/>
        </w:rPr>
      </w:pPr>
    </w:p>
    <w:p w14:paraId="4787A3D5" w14:textId="77777777" w:rsidR="00E50B6B" w:rsidRPr="00000F38" w:rsidRDefault="00E50B6B" w:rsidP="00A54361">
      <w:pPr>
        <w:jc w:val="both"/>
        <w:rPr>
          <w:rFonts w:cstheme="minorHAnsi"/>
        </w:rPr>
      </w:pPr>
    </w:p>
    <w:p w14:paraId="2078A8CA" w14:textId="77777777" w:rsidR="00E50B6B" w:rsidRPr="00000F38" w:rsidRDefault="00E50B6B">
      <w:pPr>
        <w:rPr>
          <w:rFonts w:cstheme="minorHAnsi"/>
        </w:rPr>
      </w:pPr>
      <w:r w:rsidRPr="00000F38">
        <w:rPr>
          <w:rFonts w:cstheme="minorHAnsi"/>
        </w:rPr>
        <w:br w:type="page"/>
      </w:r>
    </w:p>
    <w:p w14:paraId="39A4FBC5" w14:textId="57FD0369" w:rsidR="00E50B6B" w:rsidRPr="00000F38" w:rsidRDefault="00E50B6B" w:rsidP="00A54361">
      <w:pPr>
        <w:jc w:val="both"/>
        <w:rPr>
          <w:rFonts w:cstheme="minorHAnsi"/>
          <w:b/>
        </w:rPr>
      </w:pPr>
      <w:r w:rsidRPr="00000F38">
        <w:rPr>
          <w:rFonts w:cstheme="minorHAnsi"/>
          <w:b/>
        </w:rPr>
        <w:lastRenderedPageBreak/>
        <w:t>Software Cost</w:t>
      </w:r>
    </w:p>
    <w:p w14:paraId="5FB74AAC" w14:textId="77777777" w:rsidR="00E50B6B" w:rsidRPr="00000F38" w:rsidRDefault="00E50B6B" w:rsidP="00A54361">
      <w:pPr>
        <w:jc w:val="both"/>
        <w:rPr>
          <w:rFonts w:cstheme="minorHAnsi"/>
        </w:rPr>
      </w:pPr>
    </w:p>
    <w:tbl>
      <w:tblPr>
        <w:tblW w:w="9016" w:type="dxa"/>
        <w:tblLook w:val="04A0" w:firstRow="1" w:lastRow="0" w:firstColumn="1" w:lastColumn="0" w:noHBand="0" w:noVBand="1"/>
      </w:tblPr>
      <w:tblGrid>
        <w:gridCol w:w="394"/>
        <w:gridCol w:w="1839"/>
        <w:gridCol w:w="925"/>
        <w:gridCol w:w="763"/>
        <w:gridCol w:w="531"/>
        <w:gridCol w:w="720"/>
        <w:gridCol w:w="763"/>
        <w:gridCol w:w="531"/>
        <w:gridCol w:w="720"/>
        <w:gridCol w:w="763"/>
        <w:gridCol w:w="531"/>
        <w:gridCol w:w="720"/>
        <w:gridCol w:w="763"/>
        <w:gridCol w:w="531"/>
        <w:gridCol w:w="720"/>
        <w:gridCol w:w="763"/>
        <w:gridCol w:w="531"/>
        <w:gridCol w:w="720"/>
        <w:gridCol w:w="720"/>
      </w:tblGrid>
      <w:tr w:rsidR="00E50B6B" w:rsidRPr="00000F38" w14:paraId="2559D343" w14:textId="77777777" w:rsidTr="00E50B6B">
        <w:trPr>
          <w:trHeight w:val="255"/>
        </w:trPr>
        <w:tc>
          <w:tcPr>
            <w:tcW w:w="159" w:type="dxa"/>
            <w:vMerge w:val="restart"/>
            <w:tcBorders>
              <w:top w:val="single" w:sz="4" w:space="0" w:color="auto"/>
              <w:left w:val="single" w:sz="4" w:space="0" w:color="auto"/>
              <w:bottom w:val="single" w:sz="4" w:space="0" w:color="auto"/>
              <w:right w:val="single" w:sz="4" w:space="0" w:color="auto"/>
            </w:tcBorders>
            <w:shd w:val="clear" w:color="000000" w:fill="203764"/>
            <w:hideMark/>
          </w:tcPr>
          <w:p w14:paraId="1844C60C" w14:textId="77777777" w:rsidR="00E50B6B" w:rsidRPr="00000F38" w:rsidRDefault="00E50B6B" w:rsidP="00E50B6B">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S. No</w:t>
            </w:r>
          </w:p>
        </w:tc>
        <w:tc>
          <w:tcPr>
            <w:tcW w:w="2612" w:type="dxa"/>
            <w:vMerge w:val="restart"/>
            <w:tcBorders>
              <w:top w:val="single" w:sz="4" w:space="0" w:color="auto"/>
              <w:left w:val="single" w:sz="4" w:space="0" w:color="auto"/>
              <w:bottom w:val="single" w:sz="4" w:space="0" w:color="auto"/>
              <w:right w:val="single" w:sz="4" w:space="0" w:color="auto"/>
            </w:tcBorders>
            <w:shd w:val="clear" w:color="000000" w:fill="203764"/>
            <w:hideMark/>
          </w:tcPr>
          <w:p w14:paraId="216E79FA" w14:textId="77777777" w:rsidR="00E50B6B" w:rsidRPr="00000F38" w:rsidRDefault="00E50B6B" w:rsidP="00E50B6B">
            <w:pPr>
              <w:spacing w:after="0" w:line="240" w:lineRule="auto"/>
              <w:rPr>
                <w:rFonts w:eastAsia="Times New Roman" w:cstheme="minorHAnsi"/>
                <w:b/>
                <w:bCs/>
                <w:color w:val="FFFFFF"/>
                <w:lang w:val="en-GB" w:eastAsia="en-GB"/>
              </w:rPr>
            </w:pPr>
            <w:bookmarkStart w:id="261" w:name="RANGE!B1:S37"/>
            <w:r w:rsidRPr="00000F38">
              <w:rPr>
                <w:rFonts w:eastAsia="Times New Roman" w:cstheme="minorHAnsi"/>
                <w:b/>
                <w:bCs/>
                <w:color w:val="FFFFFF"/>
                <w:lang w:val="en-GB" w:eastAsia="en-GB"/>
              </w:rPr>
              <w:t>Software (license) Cost at DC</w:t>
            </w:r>
            <w:bookmarkEnd w:id="261"/>
          </w:p>
        </w:tc>
        <w:tc>
          <w:tcPr>
            <w:tcW w:w="536" w:type="dxa"/>
            <w:tcBorders>
              <w:top w:val="single" w:sz="4" w:space="0" w:color="auto"/>
              <w:left w:val="nil"/>
              <w:bottom w:val="single" w:sz="4" w:space="0" w:color="auto"/>
              <w:right w:val="single" w:sz="4" w:space="0" w:color="auto"/>
            </w:tcBorders>
            <w:shd w:val="clear" w:color="000000" w:fill="FFC000"/>
            <w:hideMark/>
          </w:tcPr>
          <w:p w14:paraId="264A2777"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1064" w:type="dxa"/>
            <w:gridSpan w:val="3"/>
            <w:tcBorders>
              <w:top w:val="single" w:sz="4" w:space="0" w:color="auto"/>
              <w:left w:val="nil"/>
              <w:bottom w:val="single" w:sz="4" w:space="0" w:color="auto"/>
              <w:right w:val="single" w:sz="4" w:space="0" w:color="auto"/>
            </w:tcBorders>
            <w:shd w:val="clear" w:color="000000" w:fill="FFC000"/>
            <w:hideMark/>
          </w:tcPr>
          <w:p w14:paraId="05D8CA30"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YEAR 1</w:t>
            </w:r>
          </w:p>
        </w:tc>
        <w:tc>
          <w:tcPr>
            <w:tcW w:w="1064" w:type="dxa"/>
            <w:gridSpan w:val="3"/>
            <w:tcBorders>
              <w:top w:val="single" w:sz="4" w:space="0" w:color="auto"/>
              <w:left w:val="nil"/>
              <w:bottom w:val="single" w:sz="4" w:space="0" w:color="auto"/>
              <w:right w:val="single" w:sz="4" w:space="0" w:color="auto"/>
            </w:tcBorders>
            <w:shd w:val="clear" w:color="000000" w:fill="FFC000"/>
            <w:hideMark/>
          </w:tcPr>
          <w:p w14:paraId="68D151A0"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YEAR 2</w:t>
            </w:r>
          </w:p>
        </w:tc>
        <w:tc>
          <w:tcPr>
            <w:tcW w:w="1064" w:type="dxa"/>
            <w:gridSpan w:val="3"/>
            <w:tcBorders>
              <w:top w:val="single" w:sz="4" w:space="0" w:color="auto"/>
              <w:left w:val="nil"/>
              <w:bottom w:val="single" w:sz="4" w:space="0" w:color="auto"/>
              <w:right w:val="single" w:sz="4" w:space="0" w:color="auto"/>
            </w:tcBorders>
            <w:shd w:val="clear" w:color="000000" w:fill="FFC000"/>
            <w:hideMark/>
          </w:tcPr>
          <w:p w14:paraId="41355E30"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YEAR 3</w:t>
            </w:r>
          </w:p>
        </w:tc>
        <w:tc>
          <w:tcPr>
            <w:tcW w:w="1064" w:type="dxa"/>
            <w:gridSpan w:val="3"/>
            <w:tcBorders>
              <w:top w:val="single" w:sz="4" w:space="0" w:color="auto"/>
              <w:left w:val="nil"/>
              <w:bottom w:val="single" w:sz="4" w:space="0" w:color="auto"/>
              <w:right w:val="single" w:sz="4" w:space="0" w:color="auto"/>
            </w:tcBorders>
            <w:shd w:val="clear" w:color="000000" w:fill="FFC000"/>
            <w:hideMark/>
          </w:tcPr>
          <w:p w14:paraId="376B22F7"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YEAR 4</w:t>
            </w:r>
          </w:p>
        </w:tc>
        <w:tc>
          <w:tcPr>
            <w:tcW w:w="1064" w:type="dxa"/>
            <w:gridSpan w:val="3"/>
            <w:tcBorders>
              <w:top w:val="single" w:sz="4" w:space="0" w:color="auto"/>
              <w:left w:val="nil"/>
              <w:bottom w:val="single" w:sz="4" w:space="0" w:color="auto"/>
              <w:right w:val="single" w:sz="4" w:space="0" w:color="auto"/>
            </w:tcBorders>
            <w:shd w:val="clear" w:color="000000" w:fill="FFC000"/>
            <w:hideMark/>
          </w:tcPr>
          <w:p w14:paraId="24293B2B"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YEAR 5</w:t>
            </w:r>
          </w:p>
        </w:tc>
        <w:tc>
          <w:tcPr>
            <w:tcW w:w="389" w:type="dxa"/>
            <w:tcBorders>
              <w:top w:val="single" w:sz="4" w:space="0" w:color="auto"/>
              <w:left w:val="nil"/>
              <w:bottom w:val="single" w:sz="4" w:space="0" w:color="auto"/>
              <w:right w:val="single" w:sz="4" w:space="0" w:color="auto"/>
            </w:tcBorders>
            <w:shd w:val="clear" w:color="auto" w:fill="auto"/>
            <w:hideMark/>
          </w:tcPr>
          <w:p w14:paraId="5CCFA780"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r>
      <w:tr w:rsidR="00E50B6B" w:rsidRPr="00000F38" w14:paraId="416BA285" w14:textId="77777777" w:rsidTr="00E50B6B">
        <w:trPr>
          <w:trHeight w:val="510"/>
        </w:trPr>
        <w:tc>
          <w:tcPr>
            <w:tcW w:w="159" w:type="dxa"/>
            <w:vMerge/>
            <w:tcBorders>
              <w:top w:val="single" w:sz="4" w:space="0" w:color="auto"/>
              <w:left w:val="single" w:sz="4" w:space="0" w:color="auto"/>
              <w:bottom w:val="single" w:sz="4" w:space="0" w:color="auto"/>
              <w:right w:val="single" w:sz="4" w:space="0" w:color="auto"/>
            </w:tcBorders>
            <w:vAlign w:val="center"/>
            <w:hideMark/>
          </w:tcPr>
          <w:p w14:paraId="020A6B30" w14:textId="77777777" w:rsidR="00E50B6B" w:rsidRPr="00000F38" w:rsidRDefault="00E50B6B" w:rsidP="00E50B6B">
            <w:pPr>
              <w:spacing w:after="0" w:line="240" w:lineRule="auto"/>
              <w:rPr>
                <w:rFonts w:eastAsia="Times New Roman" w:cstheme="minorHAnsi"/>
                <w:b/>
                <w:bCs/>
                <w:color w:val="FFFFFF"/>
                <w:lang w:val="en-GB" w:eastAsia="en-GB"/>
              </w:rPr>
            </w:pPr>
          </w:p>
        </w:tc>
        <w:tc>
          <w:tcPr>
            <w:tcW w:w="2612" w:type="dxa"/>
            <w:vMerge/>
            <w:tcBorders>
              <w:top w:val="single" w:sz="4" w:space="0" w:color="auto"/>
              <w:left w:val="single" w:sz="4" w:space="0" w:color="auto"/>
              <w:bottom w:val="single" w:sz="4" w:space="0" w:color="auto"/>
              <w:right w:val="single" w:sz="4" w:space="0" w:color="auto"/>
            </w:tcBorders>
            <w:vAlign w:val="center"/>
            <w:hideMark/>
          </w:tcPr>
          <w:p w14:paraId="64BECC9A" w14:textId="77777777" w:rsidR="00E50B6B" w:rsidRPr="00000F38" w:rsidRDefault="00E50B6B" w:rsidP="00E50B6B">
            <w:pPr>
              <w:spacing w:after="0" w:line="240" w:lineRule="auto"/>
              <w:rPr>
                <w:rFonts w:eastAsia="Times New Roman" w:cstheme="minorHAnsi"/>
                <w:b/>
                <w:bCs/>
                <w:color w:val="FFFFFF"/>
                <w:lang w:val="en-GB" w:eastAsia="en-GB"/>
              </w:rPr>
            </w:pPr>
          </w:p>
        </w:tc>
        <w:tc>
          <w:tcPr>
            <w:tcW w:w="536" w:type="dxa"/>
            <w:tcBorders>
              <w:top w:val="nil"/>
              <w:left w:val="nil"/>
              <w:bottom w:val="single" w:sz="4" w:space="0" w:color="auto"/>
              <w:right w:val="single" w:sz="4" w:space="0" w:color="auto"/>
            </w:tcBorders>
            <w:shd w:val="clear" w:color="000000" w:fill="002060"/>
            <w:hideMark/>
          </w:tcPr>
          <w:p w14:paraId="06BC2AAF" w14:textId="77777777" w:rsidR="00E50B6B" w:rsidRPr="00000F38" w:rsidRDefault="00E50B6B" w:rsidP="00E50B6B">
            <w:pPr>
              <w:spacing w:after="0" w:line="240" w:lineRule="auto"/>
              <w:rPr>
                <w:rFonts w:eastAsia="Times New Roman" w:cstheme="minorHAnsi"/>
                <w:b/>
                <w:bCs/>
                <w:color w:val="FFFFFF"/>
                <w:lang w:val="en-GB" w:eastAsia="en-GB"/>
              </w:rPr>
            </w:pPr>
            <w:r w:rsidRPr="00000F38">
              <w:rPr>
                <w:rFonts w:eastAsia="Times New Roman" w:cstheme="minorHAnsi"/>
                <w:b/>
                <w:bCs/>
                <w:color w:val="FFFFFF"/>
                <w:lang w:val="en-GB" w:eastAsia="en-GB"/>
              </w:rPr>
              <w:t>Description (OEM Name, Solution Name, Version, Edition, Licensing Metrics)</w:t>
            </w:r>
          </w:p>
        </w:tc>
        <w:tc>
          <w:tcPr>
            <w:tcW w:w="420" w:type="dxa"/>
            <w:tcBorders>
              <w:top w:val="nil"/>
              <w:left w:val="nil"/>
              <w:bottom w:val="single" w:sz="4" w:space="0" w:color="auto"/>
              <w:right w:val="single" w:sz="4" w:space="0" w:color="auto"/>
            </w:tcBorders>
            <w:shd w:val="clear" w:color="000000" w:fill="002060"/>
            <w:hideMark/>
          </w:tcPr>
          <w:p w14:paraId="7BBE33EB" w14:textId="77777777" w:rsidR="00E50B6B" w:rsidRPr="00000F38" w:rsidRDefault="00E50B6B" w:rsidP="00E50B6B">
            <w:pPr>
              <w:spacing w:after="0" w:line="240" w:lineRule="auto"/>
              <w:rPr>
                <w:rFonts w:eastAsia="Times New Roman" w:cstheme="minorHAnsi"/>
                <w:b/>
                <w:bCs/>
                <w:color w:val="FFFFFF"/>
                <w:lang w:val="en-GB" w:eastAsia="en-GB"/>
              </w:rPr>
            </w:pPr>
            <w:r w:rsidRPr="00000F38">
              <w:rPr>
                <w:rFonts w:eastAsia="Times New Roman" w:cstheme="minorHAnsi"/>
                <w:b/>
                <w:bCs/>
                <w:color w:val="FFFFFF"/>
                <w:lang w:val="en-GB" w:eastAsia="en-GB"/>
              </w:rPr>
              <w:t>Quantity</w:t>
            </w:r>
          </w:p>
        </w:tc>
        <w:tc>
          <w:tcPr>
            <w:tcW w:w="255" w:type="dxa"/>
            <w:tcBorders>
              <w:top w:val="nil"/>
              <w:left w:val="nil"/>
              <w:bottom w:val="single" w:sz="4" w:space="0" w:color="auto"/>
              <w:right w:val="single" w:sz="4" w:space="0" w:color="auto"/>
            </w:tcBorders>
            <w:shd w:val="clear" w:color="000000" w:fill="002060"/>
            <w:hideMark/>
          </w:tcPr>
          <w:p w14:paraId="4ADAAEFD" w14:textId="77777777" w:rsidR="00E50B6B" w:rsidRPr="00000F38" w:rsidRDefault="00E50B6B" w:rsidP="00E50B6B">
            <w:pPr>
              <w:spacing w:after="0" w:line="240" w:lineRule="auto"/>
              <w:rPr>
                <w:rFonts w:eastAsia="Times New Roman" w:cstheme="minorHAnsi"/>
                <w:b/>
                <w:bCs/>
                <w:color w:val="FFFFFF"/>
                <w:lang w:val="en-GB" w:eastAsia="en-GB"/>
              </w:rPr>
            </w:pPr>
            <w:r w:rsidRPr="00000F38">
              <w:rPr>
                <w:rFonts w:eastAsia="Times New Roman" w:cstheme="minorHAnsi"/>
                <w:b/>
                <w:bCs/>
                <w:color w:val="FFFFFF"/>
                <w:lang w:val="en-GB" w:eastAsia="en-GB"/>
              </w:rPr>
              <w:t>Rate (INR)</w:t>
            </w:r>
          </w:p>
        </w:tc>
        <w:tc>
          <w:tcPr>
            <w:tcW w:w="389" w:type="dxa"/>
            <w:tcBorders>
              <w:top w:val="nil"/>
              <w:left w:val="nil"/>
              <w:bottom w:val="single" w:sz="4" w:space="0" w:color="auto"/>
              <w:right w:val="single" w:sz="4" w:space="0" w:color="auto"/>
            </w:tcBorders>
            <w:shd w:val="clear" w:color="000000" w:fill="002060"/>
            <w:hideMark/>
          </w:tcPr>
          <w:p w14:paraId="4277FA0D" w14:textId="77777777" w:rsidR="00E50B6B" w:rsidRPr="00000F38" w:rsidRDefault="00E50B6B" w:rsidP="00E50B6B">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Total Amount   (INR)</w:t>
            </w:r>
          </w:p>
        </w:tc>
        <w:tc>
          <w:tcPr>
            <w:tcW w:w="420" w:type="dxa"/>
            <w:tcBorders>
              <w:top w:val="nil"/>
              <w:left w:val="nil"/>
              <w:bottom w:val="single" w:sz="4" w:space="0" w:color="auto"/>
              <w:right w:val="single" w:sz="4" w:space="0" w:color="auto"/>
            </w:tcBorders>
            <w:shd w:val="clear" w:color="000000" w:fill="002060"/>
            <w:hideMark/>
          </w:tcPr>
          <w:p w14:paraId="0FC08BE8" w14:textId="77777777" w:rsidR="00E50B6B" w:rsidRPr="00000F38" w:rsidRDefault="00E50B6B" w:rsidP="00E50B6B">
            <w:pPr>
              <w:spacing w:after="0" w:line="240" w:lineRule="auto"/>
              <w:rPr>
                <w:rFonts w:eastAsia="Times New Roman" w:cstheme="minorHAnsi"/>
                <w:b/>
                <w:bCs/>
                <w:color w:val="FFFFFF"/>
                <w:lang w:val="en-GB" w:eastAsia="en-GB"/>
              </w:rPr>
            </w:pPr>
            <w:r w:rsidRPr="00000F38">
              <w:rPr>
                <w:rFonts w:eastAsia="Times New Roman" w:cstheme="minorHAnsi"/>
                <w:b/>
                <w:bCs/>
                <w:color w:val="FFFFFF"/>
                <w:lang w:val="en-GB" w:eastAsia="en-GB"/>
              </w:rPr>
              <w:t>Quantity</w:t>
            </w:r>
          </w:p>
        </w:tc>
        <w:tc>
          <w:tcPr>
            <w:tcW w:w="255" w:type="dxa"/>
            <w:tcBorders>
              <w:top w:val="nil"/>
              <w:left w:val="nil"/>
              <w:bottom w:val="single" w:sz="4" w:space="0" w:color="auto"/>
              <w:right w:val="single" w:sz="4" w:space="0" w:color="auto"/>
            </w:tcBorders>
            <w:shd w:val="clear" w:color="000000" w:fill="002060"/>
            <w:hideMark/>
          </w:tcPr>
          <w:p w14:paraId="68C40C2F" w14:textId="77777777" w:rsidR="00E50B6B" w:rsidRPr="00000F38" w:rsidRDefault="00E50B6B" w:rsidP="00E50B6B">
            <w:pPr>
              <w:spacing w:after="0" w:line="240" w:lineRule="auto"/>
              <w:rPr>
                <w:rFonts w:eastAsia="Times New Roman" w:cstheme="minorHAnsi"/>
                <w:b/>
                <w:bCs/>
                <w:color w:val="FFFFFF"/>
                <w:lang w:val="en-GB" w:eastAsia="en-GB"/>
              </w:rPr>
            </w:pPr>
            <w:r w:rsidRPr="00000F38">
              <w:rPr>
                <w:rFonts w:eastAsia="Times New Roman" w:cstheme="minorHAnsi"/>
                <w:b/>
                <w:bCs/>
                <w:color w:val="FFFFFF"/>
                <w:lang w:val="en-GB" w:eastAsia="en-GB"/>
              </w:rPr>
              <w:t>Rate (INR)</w:t>
            </w:r>
          </w:p>
        </w:tc>
        <w:tc>
          <w:tcPr>
            <w:tcW w:w="389" w:type="dxa"/>
            <w:tcBorders>
              <w:top w:val="nil"/>
              <w:left w:val="nil"/>
              <w:bottom w:val="single" w:sz="4" w:space="0" w:color="auto"/>
              <w:right w:val="single" w:sz="4" w:space="0" w:color="auto"/>
            </w:tcBorders>
            <w:shd w:val="clear" w:color="000000" w:fill="002060"/>
            <w:hideMark/>
          </w:tcPr>
          <w:p w14:paraId="44145D29" w14:textId="77777777" w:rsidR="00E50B6B" w:rsidRPr="00000F38" w:rsidRDefault="00E50B6B" w:rsidP="00E50B6B">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Total Amount   (INR)</w:t>
            </w:r>
          </w:p>
        </w:tc>
        <w:tc>
          <w:tcPr>
            <w:tcW w:w="420" w:type="dxa"/>
            <w:tcBorders>
              <w:top w:val="nil"/>
              <w:left w:val="nil"/>
              <w:bottom w:val="single" w:sz="4" w:space="0" w:color="auto"/>
              <w:right w:val="single" w:sz="4" w:space="0" w:color="auto"/>
            </w:tcBorders>
            <w:shd w:val="clear" w:color="000000" w:fill="002060"/>
            <w:hideMark/>
          </w:tcPr>
          <w:p w14:paraId="5C46D1EC" w14:textId="77777777" w:rsidR="00E50B6B" w:rsidRPr="00000F38" w:rsidRDefault="00E50B6B" w:rsidP="00E50B6B">
            <w:pPr>
              <w:spacing w:after="0" w:line="240" w:lineRule="auto"/>
              <w:rPr>
                <w:rFonts w:eastAsia="Times New Roman" w:cstheme="minorHAnsi"/>
                <w:b/>
                <w:bCs/>
                <w:color w:val="FFFFFF"/>
                <w:lang w:val="en-GB" w:eastAsia="en-GB"/>
              </w:rPr>
            </w:pPr>
            <w:r w:rsidRPr="00000F38">
              <w:rPr>
                <w:rFonts w:eastAsia="Times New Roman" w:cstheme="minorHAnsi"/>
                <w:b/>
                <w:bCs/>
                <w:color w:val="FFFFFF"/>
                <w:lang w:val="en-GB" w:eastAsia="en-GB"/>
              </w:rPr>
              <w:t>Quantity</w:t>
            </w:r>
          </w:p>
        </w:tc>
        <w:tc>
          <w:tcPr>
            <w:tcW w:w="255" w:type="dxa"/>
            <w:tcBorders>
              <w:top w:val="nil"/>
              <w:left w:val="nil"/>
              <w:bottom w:val="single" w:sz="4" w:space="0" w:color="auto"/>
              <w:right w:val="single" w:sz="4" w:space="0" w:color="auto"/>
            </w:tcBorders>
            <w:shd w:val="clear" w:color="000000" w:fill="002060"/>
            <w:hideMark/>
          </w:tcPr>
          <w:p w14:paraId="23F03762" w14:textId="77777777" w:rsidR="00E50B6B" w:rsidRPr="00000F38" w:rsidRDefault="00E50B6B" w:rsidP="00E50B6B">
            <w:pPr>
              <w:spacing w:after="0" w:line="240" w:lineRule="auto"/>
              <w:rPr>
                <w:rFonts w:eastAsia="Times New Roman" w:cstheme="minorHAnsi"/>
                <w:b/>
                <w:bCs/>
                <w:color w:val="FFFFFF"/>
                <w:lang w:val="en-GB" w:eastAsia="en-GB"/>
              </w:rPr>
            </w:pPr>
            <w:r w:rsidRPr="00000F38">
              <w:rPr>
                <w:rFonts w:eastAsia="Times New Roman" w:cstheme="minorHAnsi"/>
                <w:b/>
                <w:bCs/>
                <w:color w:val="FFFFFF"/>
                <w:lang w:val="en-GB" w:eastAsia="en-GB"/>
              </w:rPr>
              <w:t>Rate (INR)</w:t>
            </w:r>
          </w:p>
        </w:tc>
        <w:tc>
          <w:tcPr>
            <w:tcW w:w="389" w:type="dxa"/>
            <w:tcBorders>
              <w:top w:val="nil"/>
              <w:left w:val="nil"/>
              <w:bottom w:val="single" w:sz="4" w:space="0" w:color="auto"/>
              <w:right w:val="single" w:sz="4" w:space="0" w:color="auto"/>
            </w:tcBorders>
            <w:shd w:val="clear" w:color="000000" w:fill="002060"/>
            <w:hideMark/>
          </w:tcPr>
          <w:p w14:paraId="51896C9D" w14:textId="77777777" w:rsidR="00E50B6B" w:rsidRPr="00000F38" w:rsidRDefault="00E50B6B" w:rsidP="00E50B6B">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Total Amount   (INR)</w:t>
            </w:r>
          </w:p>
        </w:tc>
        <w:tc>
          <w:tcPr>
            <w:tcW w:w="420" w:type="dxa"/>
            <w:tcBorders>
              <w:top w:val="nil"/>
              <w:left w:val="nil"/>
              <w:bottom w:val="single" w:sz="4" w:space="0" w:color="auto"/>
              <w:right w:val="single" w:sz="4" w:space="0" w:color="auto"/>
            </w:tcBorders>
            <w:shd w:val="clear" w:color="000000" w:fill="002060"/>
            <w:hideMark/>
          </w:tcPr>
          <w:p w14:paraId="20189DDA" w14:textId="77777777" w:rsidR="00E50B6B" w:rsidRPr="00000F38" w:rsidRDefault="00E50B6B" w:rsidP="00E50B6B">
            <w:pPr>
              <w:spacing w:after="0" w:line="240" w:lineRule="auto"/>
              <w:rPr>
                <w:rFonts w:eastAsia="Times New Roman" w:cstheme="minorHAnsi"/>
                <w:b/>
                <w:bCs/>
                <w:color w:val="FFFFFF"/>
                <w:lang w:val="en-GB" w:eastAsia="en-GB"/>
              </w:rPr>
            </w:pPr>
            <w:r w:rsidRPr="00000F38">
              <w:rPr>
                <w:rFonts w:eastAsia="Times New Roman" w:cstheme="minorHAnsi"/>
                <w:b/>
                <w:bCs/>
                <w:color w:val="FFFFFF"/>
                <w:lang w:val="en-GB" w:eastAsia="en-GB"/>
              </w:rPr>
              <w:t>Quantity</w:t>
            </w:r>
          </w:p>
        </w:tc>
        <w:tc>
          <w:tcPr>
            <w:tcW w:w="255" w:type="dxa"/>
            <w:tcBorders>
              <w:top w:val="nil"/>
              <w:left w:val="nil"/>
              <w:bottom w:val="single" w:sz="4" w:space="0" w:color="auto"/>
              <w:right w:val="single" w:sz="4" w:space="0" w:color="auto"/>
            </w:tcBorders>
            <w:shd w:val="clear" w:color="000000" w:fill="002060"/>
            <w:hideMark/>
          </w:tcPr>
          <w:p w14:paraId="6B6C6D5D" w14:textId="77777777" w:rsidR="00E50B6B" w:rsidRPr="00000F38" w:rsidRDefault="00E50B6B" w:rsidP="00E50B6B">
            <w:pPr>
              <w:spacing w:after="0" w:line="240" w:lineRule="auto"/>
              <w:rPr>
                <w:rFonts w:eastAsia="Times New Roman" w:cstheme="minorHAnsi"/>
                <w:b/>
                <w:bCs/>
                <w:color w:val="FFFFFF"/>
                <w:lang w:val="en-GB" w:eastAsia="en-GB"/>
              </w:rPr>
            </w:pPr>
            <w:r w:rsidRPr="00000F38">
              <w:rPr>
                <w:rFonts w:eastAsia="Times New Roman" w:cstheme="minorHAnsi"/>
                <w:b/>
                <w:bCs/>
                <w:color w:val="FFFFFF"/>
                <w:lang w:val="en-GB" w:eastAsia="en-GB"/>
              </w:rPr>
              <w:t>Rate (INR)</w:t>
            </w:r>
          </w:p>
        </w:tc>
        <w:tc>
          <w:tcPr>
            <w:tcW w:w="389" w:type="dxa"/>
            <w:tcBorders>
              <w:top w:val="nil"/>
              <w:left w:val="nil"/>
              <w:bottom w:val="single" w:sz="4" w:space="0" w:color="auto"/>
              <w:right w:val="single" w:sz="4" w:space="0" w:color="auto"/>
            </w:tcBorders>
            <w:shd w:val="clear" w:color="000000" w:fill="002060"/>
            <w:hideMark/>
          </w:tcPr>
          <w:p w14:paraId="39AC7954" w14:textId="77777777" w:rsidR="00E50B6B" w:rsidRPr="00000F38" w:rsidRDefault="00E50B6B" w:rsidP="00E50B6B">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Total Amount   (INR)</w:t>
            </w:r>
          </w:p>
        </w:tc>
        <w:tc>
          <w:tcPr>
            <w:tcW w:w="420" w:type="dxa"/>
            <w:tcBorders>
              <w:top w:val="nil"/>
              <w:left w:val="nil"/>
              <w:bottom w:val="single" w:sz="4" w:space="0" w:color="auto"/>
              <w:right w:val="single" w:sz="4" w:space="0" w:color="auto"/>
            </w:tcBorders>
            <w:shd w:val="clear" w:color="000000" w:fill="002060"/>
            <w:hideMark/>
          </w:tcPr>
          <w:p w14:paraId="28B75EC3" w14:textId="77777777" w:rsidR="00E50B6B" w:rsidRPr="00000F38" w:rsidRDefault="00E50B6B" w:rsidP="00E50B6B">
            <w:pPr>
              <w:spacing w:after="0" w:line="240" w:lineRule="auto"/>
              <w:rPr>
                <w:rFonts w:eastAsia="Times New Roman" w:cstheme="minorHAnsi"/>
                <w:b/>
                <w:bCs/>
                <w:color w:val="FFFFFF"/>
                <w:lang w:val="en-GB" w:eastAsia="en-GB"/>
              </w:rPr>
            </w:pPr>
            <w:r w:rsidRPr="00000F38">
              <w:rPr>
                <w:rFonts w:eastAsia="Times New Roman" w:cstheme="minorHAnsi"/>
                <w:b/>
                <w:bCs/>
                <w:color w:val="FFFFFF"/>
                <w:lang w:val="en-GB" w:eastAsia="en-GB"/>
              </w:rPr>
              <w:t>Quantity</w:t>
            </w:r>
          </w:p>
        </w:tc>
        <w:tc>
          <w:tcPr>
            <w:tcW w:w="255" w:type="dxa"/>
            <w:tcBorders>
              <w:top w:val="nil"/>
              <w:left w:val="nil"/>
              <w:bottom w:val="single" w:sz="4" w:space="0" w:color="auto"/>
              <w:right w:val="single" w:sz="4" w:space="0" w:color="auto"/>
            </w:tcBorders>
            <w:shd w:val="clear" w:color="000000" w:fill="002060"/>
            <w:hideMark/>
          </w:tcPr>
          <w:p w14:paraId="1DBB311D" w14:textId="77777777" w:rsidR="00E50B6B" w:rsidRPr="00000F38" w:rsidRDefault="00E50B6B" w:rsidP="00E50B6B">
            <w:pPr>
              <w:spacing w:after="0" w:line="240" w:lineRule="auto"/>
              <w:rPr>
                <w:rFonts w:eastAsia="Times New Roman" w:cstheme="minorHAnsi"/>
                <w:b/>
                <w:bCs/>
                <w:color w:val="FFFFFF"/>
                <w:lang w:val="en-GB" w:eastAsia="en-GB"/>
              </w:rPr>
            </w:pPr>
            <w:r w:rsidRPr="00000F38">
              <w:rPr>
                <w:rFonts w:eastAsia="Times New Roman" w:cstheme="minorHAnsi"/>
                <w:b/>
                <w:bCs/>
                <w:color w:val="FFFFFF"/>
                <w:lang w:val="en-GB" w:eastAsia="en-GB"/>
              </w:rPr>
              <w:t>Rate (INR)</w:t>
            </w:r>
          </w:p>
        </w:tc>
        <w:tc>
          <w:tcPr>
            <w:tcW w:w="389" w:type="dxa"/>
            <w:tcBorders>
              <w:top w:val="nil"/>
              <w:left w:val="nil"/>
              <w:bottom w:val="single" w:sz="4" w:space="0" w:color="auto"/>
              <w:right w:val="single" w:sz="4" w:space="0" w:color="auto"/>
            </w:tcBorders>
            <w:shd w:val="clear" w:color="000000" w:fill="002060"/>
            <w:hideMark/>
          </w:tcPr>
          <w:p w14:paraId="3157E9F2" w14:textId="77777777" w:rsidR="00E50B6B" w:rsidRPr="00000F38" w:rsidRDefault="00E50B6B" w:rsidP="00E50B6B">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Total Amount   (INR)</w:t>
            </w:r>
          </w:p>
        </w:tc>
        <w:tc>
          <w:tcPr>
            <w:tcW w:w="389" w:type="dxa"/>
            <w:tcBorders>
              <w:top w:val="nil"/>
              <w:left w:val="nil"/>
              <w:bottom w:val="single" w:sz="4" w:space="0" w:color="auto"/>
              <w:right w:val="single" w:sz="4" w:space="0" w:color="auto"/>
            </w:tcBorders>
            <w:shd w:val="clear" w:color="000000" w:fill="002060"/>
            <w:hideMark/>
          </w:tcPr>
          <w:p w14:paraId="14B6BC89" w14:textId="77777777" w:rsidR="00E50B6B" w:rsidRPr="00000F38" w:rsidRDefault="00E50B6B" w:rsidP="00E50B6B">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Total Amount for 5 years (INR)</w:t>
            </w:r>
          </w:p>
        </w:tc>
      </w:tr>
      <w:tr w:rsidR="00E50B6B" w:rsidRPr="00000F38" w14:paraId="3700C601" w14:textId="77777777" w:rsidTr="00E50B6B">
        <w:trPr>
          <w:trHeight w:val="255"/>
        </w:trPr>
        <w:tc>
          <w:tcPr>
            <w:tcW w:w="159" w:type="dxa"/>
            <w:tcBorders>
              <w:top w:val="nil"/>
              <w:left w:val="single" w:sz="4" w:space="0" w:color="auto"/>
              <w:bottom w:val="single" w:sz="4" w:space="0" w:color="auto"/>
              <w:right w:val="single" w:sz="4" w:space="0" w:color="auto"/>
            </w:tcBorders>
            <w:shd w:val="clear" w:color="auto" w:fill="auto"/>
            <w:hideMark/>
          </w:tcPr>
          <w:p w14:paraId="59469E7C" w14:textId="77777777" w:rsidR="00E50B6B" w:rsidRPr="00000F38" w:rsidRDefault="00E50B6B" w:rsidP="00E50B6B">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1</w:t>
            </w:r>
          </w:p>
        </w:tc>
        <w:tc>
          <w:tcPr>
            <w:tcW w:w="2612" w:type="dxa"/>
            <w:tcBorders>
              <w:top w:val="nil"/>
              <w:left w:val="nil"/>
              <w:bottom w:val="single" w:sz="4" w:space="0" w:color="auto"/>
              <w:right w:val="single" w:sz="4" w:space="0" w:color="auto"/>
            </w:tcBorders>
            <w:shd w:val="clear" w:color="auto" w:fill="auto"/>
            <w:noWrap/>
            <w:vAlign w:val="center"/>
            <w:hideMark/>
          </w:tcPr>
          <w:p w14:paraId="053AD08B" w14:textId="77777777" w:rsidR="00E50B6B" w:rsidRPr="00000F38" w:rsidRDefault="00E50B6B" w:rsidP="00E50B6B">
            <w:pPr>
              <w:spacing w:after="0" w:line="240" w:lineRule="auto"/>
              <w:jc w:val="both"/>
              <w:rPr>
                <w:rFonts w:eastAsia="Times New Roman" w:cstheme="minorHAnsi"/>
                <w:color w:val="000000"/>
                <w:lang w:val="en-GB" w:eastAsia="en-GB"/>
              </w:rPr>
            </w:pPr>
            <w:r w:rsidRPr="00000F38">
              <w:rPr>
                <w:rFonts w:eastAsia="Times New Roman" w:cstheme="minorHAnsi"/>
                <w:color w:val="000000"/>
                <w:lang w:val="en-GB" w:eastAsia="en-GB"/>
              </w:rPr>
              <w:t>Data Discovery &amp; Classification</w:t>
            </w:r>
          </w:p>
        </w:tc>
        <w:tc>
          <w:tcPr>
            <w:tcW w:w="536" w:type="dxa"/>
            <w:tcBorders>
              <w:top w:val="nil"/>
              <w:left w:val="nil"/>
              <w:bottom w:val="single" w:sz="4" w:space="0" w:color="auto"/>
              <w:right w:val="single" w:sz="4" w:space="0" w:color="auto"/>
            </w:tcBorders>
            <w:shd w:val="clear" w:color="auto" w:fill="auto"/>
            <w:hideMark/>
          </w:tcPr>
          <w:p w14:paraId="3C5F21A3" w14:textId="77777777" w:rsidR="00E50B6B" w:rsidRPr="00000F38" w:rsidRDefault="00E50B6B" w:rsidP="00E50B6B">
            <w:pPr>
              <w:spacing w:after="0" w:line="240" w:lineRule="auto"/>
              <w:rPr>
                <w:rFonts w:eastAsia="Times New Roman" w:cstheme="minorHAnsi"/>
                <w:b/>
                <w:bCs/>
                <w:i/>
                <w:iCs/>
                <w:color w:val="000000"/>
                <w:lang w:val="en-GB" w:eastAsia="en-GB"/>
              </w:rPr>
            </w:pPr>
            <w:r w:rsidRPr="00000F38">
              <w:rPr>
                <w:rFonts w:eastAsia="Times New Roman" w:cstheme="minorHAnsi"/>
                <w:b/>
                <w:bCs/>
                <w:i/>
                <w:iCs/>
                <w:color w:val="000000"/>
                <w:lang w:val="en-GB" w:eastAsia="en-GB"/>
              </w:rPr>
              <w:t> </w:t>
            </w:r>
          </w:p>
        </w:tc>
        <w:tc>
          <w:tcPr>
            <w:tcW w:w="420" w:type="dxa"/>
            <w:tcBorders>
              <w:top w:val="nil"/>
              <w:left w:val="nil"/>
              <w:bottom w:val="single" w:sz="4" w:space="0" w:color="auto"/>
              <w:right w:val="single" w:sz="4" w:space="0" w:color="auto"/>
            </w:tcBorders>
            <w:shd w:val="clear" w:color="auto" w:fill="auto"/>
            <w:hideMark/>
          </w:tcPr>
          <w:p w14:paraId="289A4C73"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55" w:type="dxa"/>
            <w:tcBorders>
              <w:top w:val="nil"/>
              <w:left w:val="nil"/>
              <w:bottom w:val="single" w:sz="4" w:space="0" w:color="auto"/>
              <w:right w:val="single" w:sz="4" w:space="0" w:color="auto"/>
            </w:tcBorders>
            <w:shd w:val="clear" w:color="auto" w:fill="auto"/>
            <w:hideMark/>
          </w:tcPr>
          <w:p w14:paraId="42739046"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89" w:type="dxa"/>
            <w:tcBorders>
              <w:top w:val="nil"/>
              <w:left w:val="nil"/>
              <w:bottom w:val="single" w:sz="4" w:space="0" w:color="auto"/>
              <w:right w:val="single" w:sz="4" w:space="0" w:color="auto"/>
            </w:tcBorders>
            <w:shd w:val="clear" w:color="auto" w:fill="auto"/>
            <w:hideMark/>
          </w:tcPr>
          <w:p w14:paraId="6672A59E"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20" w:type="dxa"/>
            <w:tcBorders>
              <w:top w:val="nil"/>
              <w:left w:val="nil"/>
              <w:bottom w:val="single" w:sz="4" w:space="0" w:color="auto"/>
              <w:right w:val="single" w:sz="4" w:space="0" w:color="auto"/>
            </w:tcBorders>
            <w:shd w:val="pct50" w:color="000000" w:fill="auto"/>
            <w:hideMark/>
          </w:tcPr>
          <w:p w14:paraId="57489695"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16C5B975"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3A68837D"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56891EE9"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6573BBF1"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23FDEA96"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5F1D54C2"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03496F45"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333E66E9"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7BFEBF00"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76F26958"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4CC04908"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clear" w:color="auto" w:fill="auto"/>
            <w:hideMark/>
          </w:tcPr>
          <w:p w14:paraId="07BE9FB0"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E50B6B" w:rsidRPr="00000F38" w14:paraId="0E8F1E9A" w14:textId="77777777" w:rsidTr="00E50B6B">
        <w:trPr>
          <w:trHeight w:val="255"/>
        </w:trPr>
        <w:tc>
          <w:tcPr>
            <w:tcW w:w="159" w:type="dxa"/>
            <w:tcBorders>
              <w:top w:val="nil"/>
              <w:left w:val="single" w:sz="4" w:space="0" w:color="auto"/>
              <w:bottom w:val="single" w:sz="4" w:space="0" w:color="auto"/>
              <w:right w:val="single" w:sz="4" w:space="0" w:color="auto"/>
            </w:tcBorders>
            <w:shd w:val="clear" w:color="auto" w:fill="auto"/>
            <w:hideMark/>
          </w:tcPr>
          <w:p w14:paraId="33B8EE81" w14:textId="77777777" w:rsidR="00E50B6B" w:rsidRPr="00000F38" w:rsidRDefault="00E50B6B" w:rsidP="00E50B6B">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2</w:t>
            </w:r>
          </w:p>
        </w:tc>
        <w:tc>
          <w:tcPr>
            <w:tcW w:w="2612" w:type="dxa"/>
            <w:tcBorders>
              <w:top w:val="nil"/>
              <w:left w:val="nil"/>
              <w:bottom w:val="single" w:sz="4" w:space="0" w:color="auto"/>
              <w:right w:val="single" w:sz="4" w:space="0" w:color="auto"/>
            </w:tcBorders>
            <w:shd w:val="clear" w:color="auto" w:fill="auto"/>
            <w:noWrap/>
            <w:vAlign w:val="center"/>
            <w:hideMark/>
          </w:tcPr>
          <w:p w14:paraId="58A2920B" w14:textId="77777777" w:rsidR="00E50B6B" w:rsidRPr="00000F38" w:rsidRDefault="00E50B6B" w:rsidP="00E50B6B">
            <w:pPr>
              <w:spacing w:after="0" w:line="240" w:lineRule="auto"/>
              <w:jc w:val="both"/>
              <w:rPr>
                <w:rFonts w:eastAsia="Times New Roman" w:cstheme="minorHAnsi"/>
                <w:color w:val="000000"/>
                <w:lang w:val="en-GB" w:eastAsia="en-GB"/>
              </w:rPr>
            </w:pPr>
            <w:r w:rsidRPr="00000F38">
              <w:rPr>
                <w:rFonts w:eastAsia="Times New Roman" w:cstheme="minorHAnsi"/>
                <w:color w:val="000000"/>
                <w:lang w:val="en-GB" w:eastAsia="en-GB"/>
              </w:rPr>
              <w:t>File Upload Security Solution</w:t>
            </w:r>
          </w:p>
        </w:tc>
        <w:tc>
          <w:tcPr>
            <w:tcW w:w="536" w:type="dxa"/>
            <w:tcBorders>
              <w:top w:val="nil"/>
              <w:left w:val="nil"/>
              <w:bottom w:val="single" w:sz="4" w:space="0" w:color="auto"/>
              <w:right w:val="single" w:sz="4" w:space="0" w:color="auto"/>
            </w:tcBorders>
            <w:shd w:val="clear" w:color="auto" w:fill="auto"/>
            <w:hideMark/>
          </w:tcPr>
          <w:p w14:paraId="6FC99F43" w14:textId="77777777" w:rsidR="00E50B6B" w:rsidRPr="00000F38" w:rsidRDefault="00E50B6B" w:rsidP="00E50B6B">
            <w:pPr>
              <w:spacing w:after="0" w:line="240" w:lineRule="auto"/>
              <w:rPr>
                <w:rFonts w:eastAsia="Times New Roman" w:cstheme="minorHAnsi"/>
                <w:b/>
                <w:bCs/>
                <w:i/>
                <w:iCs/>
                <w:color w:val="000000"/>
                <w:lang w:val="en-GB" w:eastAsia="en-GB"/>
              </w:rPr>
            </w:pPr>
            <w:r w:rsidRPr="00000F38">
              <w:rPr>
                <w:rFonts w:eastAsia="Times New Roman" w:cstheme="minorHAnsi"/>
                <w:b/>
                <w:bCs/>
                <w:i/>
                <w:iCs/>
                <w:color w:val="000000"/>
                <w:lang w:val="en-GB" w:eastAsia="en-GB"/>
              </w:rPr>
              <w:t> </w:t>
            </w:r>
          </w:p>
        </w:tc>
        <w:tc>
          <w:tcPr>
            <w:tcW w:w="420" w:type="dxa"/>
            <w:tcBorders>
              <w:top w:val="nil"/>
              <w:left w:val="nil"/>
              <w:bottom w:val="single" w:sz="4" w:space="0" w:color="auto"/>
              <w:right w:val="single" w:sz="4" w:space="0" w:color="auto"/>
            </w:tcBorders>
            <w:shd w:val="clear" w:color="auto" w:fill="auto"/>
            <w:hideMark/>
          </w:tcPr>
          <w:p w14:paraId="24EFC36E"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55" w:type="dxa"/>
            <w:tcBorders>
              <w:top w:val="nil"/>
              <w:left w:val="nil"/>
              <w:bottom w:val="single" w:sz="4" w:space="0" w:color="auto"/>
              <w:right w:val="single" w:sz="4" w:space="0" w:color="auto"/>
            </w:tcBorders>
            <w:shd w:val="clear" w:color="auto" w:fill="auto"/>
            <w:hideMark/>
          </w:tcPr>
          <w:p w14:paraId="1D2910A1"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89" w:type="dxa"/>
            <w:tcBorders>
              <w:top w:val="nil"/>
              <w:left w:val="nil"/>
              <w:bottom w:val="single" w:sz="4" w:space="0" w:color="auto"/>
              <w:right w:val="single" w:sz="4" w:space="0" w:color="auto"/>
            </w:tcBorders>
            <w:shd w:val="clear" w:color="auto" w:fill="auto"/>
            <w:hideMark/>
          </w:tcPr>
          <w:p w14:paraId="4B6FB6C5"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20" w:type="dxa"/>
            <w:tcBorders>
              <w:top w:val="nil"/>
              <w:left w:val="nil"/>
              <w:bottom w:val="single" w:sz="4" w:space="0" w:color="auto"/>
              <w:right w:val="single" w:sz="4" w:space="0" w:color="auto"/>
            </w:tcBorders>
            <w:shd w:val="pct50" w:color="000000" w:fill="auto"/>
            <w:hideMark/>
          </w:tcPr>
          <w:p w14:paraId="17C38BF2"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43DC775D"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7BDC0A51"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4384B5F8"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5545BE57"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6FA3E1E0"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7D1D3925"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65263A7F"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069F164C"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20271443"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16412017"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5B78CC59"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clear" w:color="auto" w:fill="auto"/>
            <w:hideMark/>
          </w:tcPr>
          <w:p w14:paraId="444462CD"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E50B6B" w:rsidRPr="00000F38" w14:paraId="1B404200" w14:textId="77777777" w:rsidTr="00E50B6B">
        <w:trPr>
          <w:trHeight w:val="255"/>
        </w:trPr>
        <w:tc>
          <w:tcPr>
            <w:tcW w:w="159" w:type="dxa"/>
            <w:tcBorders>
              <w:top w:val="nil"/>
              <w:left w:val="single" w:sz="4" w:space="0" w:color="auto"/>
              <w:bottom w:val="single" w:sz="4" w:space="0" w:color="auto"/>
              <w:right w:val="single" w:sz="4" w:space="0" w:color="auto"/>
            </w:tcBorders>
            <w:shd w:val="clear" w:color="auto" w:fill="auto"/>
            <w:hideMark/>
          </w:tcPr>
          <w:p w14:paraId="2395C267" w14:textId="77777777" w:rsidR="00E50B6B" w:rsidRPr="00000F38" w:rsidRDefault="00E50B6B" w:rsidP="00E50B6B">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3</w:t>
            </w:r>
          </w:p>
        </w:tc>
        <w:tc>
          <w:tcPr>
            <w:tcW w:w="2612" w:type="dxa"/>
            <w:tcBorders>
              <w:top w:val="nil"/>
              <w:left w:val="nil"/>
              <w:bottom w:val="single" w:sz="4" w:space="0" w:color="auto"/>
              <w:right w:val="single" w:sz="4" w:space="0" w:color="auto"/>
            </w:tcBorders>
            <w:shd w:val="clear" w:color="auto" w:fill="auto"/>
            <w:noWrap/>
            <w:vAlign w:val="center"/>
            <w:hideMark/>
          </w:tcPr>
          <w:p w14:paraId="434FB5B2" w14:textId="77777777" w:rsidR="00E50B6B" w:rsidRPr="00000F38" w:rsidRDefault="00E50B6B" w:rsidP="00E50B6B">
            <w:pPr>
              <w:spacing w:after="0" w:line="240" w:lineRule="auto"/>
              <w:jc w:val="both"/>
              <w:rPr>
                <w:rFonts w:eastAsia="Times New Roman" w:cstheme="minorHAnsi"/>
                <w:color w:val="000000"/>
                <w:lang w:val="en-GB" w:eastAsia="en-GB"/>
              </w:rPr>
            </w:pPr>
            <w:r w:rsidRPr="00000F38">
              <w:rPr>
                <w:rFonts w:eastAsia="Times New Roman" w:cstheme="minorHAnsi"/>
                <w:color w:val="000000"/>
                <w:lang w:val="en-GB" w:eastAsia="en-GB"/>
              </w:rPr>
              <w:t>Attack Surface Management (ASM)</w:t>
            </w:r>
          </w:p>
        </w:tc>
        <w:tc>
          <w:tcPr>
            <w:tcW w:w="536" w:type="dxa"/>
            <w:tcBorders>
              <w:top w:val="nil"/>
              <w:left w:val="nil"/>
              <w:bottom w:val="single" w:sz="4" w:space="0" w:color="auto"/>
              <w:right w:val="single" w:sz="4" w:space="0" w:color="auto"/>
            </w:tcBorders>
            <w:shd w:val="clear" w:color="auto" w:fill="auto"/>
            <w:hideMark/>
          </w:tcPr>
          <w:p w14:paraId="63FA440E" w14:textId="77777777" w:rsidR="00E50B6B" w:rsidRPr="00000F38" w:rsidRDefault="00E50B6B" w:rsidP="00E50B6B">
            <w:pPr>
              <w:spacing w:after="0" w:line="240" w:lineRule="auto"/>
              <w:rPr>
                <w:rFonts w:eastAsia="Times New Roman" w:cstheme="minorHAnsi"/>
                <w:b/>
                <w:bCs/>
                <w:i/>
                <w:iCs/>
                <w:color w:val="000000"/>
                <w:lang w:val="en-GB" w:eastAsia="en-GB"/>
              </w:rPr>
            </w:pPr>
            <w:r w:rsidRPr="00000F38">
              <w:rPr>
                <w:rFonts w:eastAsia="Times New Roman" w:cstheme="minorHAnsi"/>
                <w:b/>
                <w:bCs/>
                <w:i/>
                <w:iCs/>
                <w:color w:val="000000"/>
                <w:lang w:val="en-GB" w:eastAsia="en-GB"/>
              </w:rPr>
              <w:t> </w:t>
            </w:r>
          </w:p>
        </w:tc>
        <w:tc>
          <w:tcPr>
            <w:tcW w:w="420" w:type="dxa"/>
            <w:tcBorders>
              <w:top w:val="nil"/>
              <w:left w:val="nil"/>
              <w:bottom w:val="single" w:sz="4" w:space="0" w:color="auto"/>
              <w:right w:val="single" w:sz="4" w:space="0" w:color="auto"/>
            </w:tcBorders>
            <w:shd w:val="clear" w:color="auto" w:fill="auto"/>
            <w:hideMark/>
          </w:tcPr>
          <w:p w14:paraId="1311B77D"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55" w:type="dxa"/>
            <w:tcBorders>
              <w:top w:val="nil"/>
              <w:left w:val="nil"/>
              <w:bottom w:val="single" w:sz="4" w:space="0" w:color="auto"/>
              <w:right w:val="single" w:sz="4" w:space="0" w:color="auto"/>
            </w:tcBorders>
            <w:shd w:val="clear" w:color="auto" w:fill="auto"/>
            <w:hideMark/>
          </w:tcPr>
          <w:p w14:paraId="29B8E731"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89" w:type="dxa"/>
            <w:tcBorders>
              <w:top w:val="nil"/>
              <w:left w:val="nil"/>
              <w:bottom w:val="single" w:sz="4" w:space="0" w:color="auto"/>
              <w:right w:val="single" w:sz="4" w:space="0" w:color="auto"/>
            </w:tcBorders>
            <w:shd w:val="clear" w:color="auto" w:fill="auto"/>
            <w:hideMark/>
          </w:tcPr>
          <w:p w14:paraId="3589FFCB"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20" w:type="dxa"/>
            <w:tcBorders>
              <w:top w:val="nil"/>
              <w:left w:val="nil"/>
              <w:bottom w:val="single" w:sz="4" w:space="0" w:color="auto"/>
              <w:right w:val="single" w:sz="4" w:space="0" w:color="auto"/>
            </w:tcBorders>
            <w:shd w:val="pct50" w:color="000000" w:fill="auto"/>
            <w:hideMark/>
          </w:tcPr>
          <w:p w14:paraId="0A26E30B"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10E0DDBD"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1DA74CBE"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3637C787"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14EE49DB"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149418CC"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10881378"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4F5F8F66"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200D2DB9"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349FDABD"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739757E7"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1014318E"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clear" w:color="auto" w:fill="auto"/>
            <w:hideMark/>
          </w:tcPr>
          <w:p w14:paraId="71BDD925"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E50B6B" w:rsidRPr="00000F38" w14:paraId="0A515F3B" w14:textId="77777777" w:rsidTr="00E50B6B">
        <w:trPr>
          <w:trHeight w:val="510"/>
        </w:trPr>
        <w:tc>
          <w:tcPr>
            <w:tcW w:w="159" w:type="dxa"/>
            <w:tcBorders>
              <w:top w:val="nil"/>
              <w:left w:val="single" w:sz="4" w:space="0" w:color="auto"/>
              <w:bottom w:val="single" w:sz="4" w:space="0" w:color="auto"/>
              <w:right w:val="single" w:sz="4" w:space="0" w:color="auto"/>
            </w:tcBorders>
            <w:shd w:val="clear" w:color="auto" w:fill="auto"/>
            <w:hideMark/>
          </w:tcPr>
          <w:p w14:paraId="0B30C0A9" w14:textId="77777777" w:rsidR="00E50B6B" w:rsidRPr="00000F38" w:rsidRDefault="00E50B6B" w:rsidP="00E50B6B">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4</w:t>
            </w:r>
          </w:p>
        </w:tc>
        <w:tc>
          <w:tcPr>
            <w:tcW w:w="2612" w:type="dxa"/>
            <w:tcBorders>
              <w:top w:val="nil"/>
              <w:left w:val="nil"/>
              <w:bottom w:val="single" w:sz="4" w:space="0" w:color="auto"/>
              <w:right w:val="single" w:sz="4" w:space="0" w:color="auto"/>
            </w:tcBorders>
            <w:shd w:val="clear" w:color="auto" w:fill="auto"/>
            <w:noWrap/>
            <w:vAlign w:val="center"/>
            <w:hideMark/>
          </w:tcPr>
          <w:p w14:paraId="685BD1E2" w14:textId="77777777" w:rsidR="00E50B6B" w:rsidRPr="00000F38" w:rsidRDefault="00E50B6B" w:rsidP="00E50B6B">
            <w:pPr>
              <w:spacing w:after="0" w:line="240" w:lineRule="auto"/>
              <w:jc w:val="both"/>
              <w:rPr>
                <w:rFonts w:eastAsia="Times New Roman" w:cstheme="minorHAnsi"/>
                <w:color w:val="000000"/>
                <w:lang w:val="en-GB" w:eastAsia="en-GB"/>
              </w:rPr>
            </w:pPr>
            <w:r w:rsidRPr="00000F38">
              <w:rPr>
                <w:rFonts w:eastAsia="Times New Roman" w:cstheme="minorHAnsi"/>
                <w:color w:val="000000"/>
                <w:lang w:val="en-GB" w:eastAsia="en-GB"/>
              </w:rPr>
              <w:t>Breach and Attack Simulation (BAS) with Red Team Solution</w:t>
            </w:r>
          </w:p>
        </w:tc>
        <w:tc>
          <w:tcPr>
            <w:tcW w:w="536" w:type="dxa"/>
            <w:tcBorders>
              <w:top w:val="nil"/>
              <w:left w:val="nil"/>
              <w:bottom w:val="single" w:sz="4" w:space="0" w:color="auto"/>
              <w:right w:val="single" w:sz="4" w:space="0" w:color="auto"/>
            </w:tcBorders>
            <w:shd w:val="clear" w:color="auto" w:fill="auto"/>
            <w:hideMark/>
          </w:tcPr>
          <w:p w14:paraId="258FB7AD" w14:textId="77777777" w:rsidR="00E50B6B" w:rsidRPr="00000F38" w:rsidRDefault="00E50B6B" w:rsidP="00E50B6B">
            <w:pPr>
              <w:spacing w:after="0" w:line="240" w:lineRule="auto"/>
              <w:rPr>
                <w:rFonts w:eastAsia="Times New Roman" w:cstheme="minorHAnsi"/>
                <w:b/>
                <w:bCs/>
                <w:i/>
                <w:iCs/>
                <w:color w:val="000000"/>
                <w:lang w:val="en-GB" w:eastAsia="en-GB"/>
              </w:rPr>
            </w:pPr>
            <w:r w:rsidRPr="00000F38">
              <w:rPr>
                <w:rFonts w:eastAsia="Times New Roman" w:cstheme="minorHAnsi"/>
                <w:b/>
                <w:bCs/>
                <w:i/>
                <w:iCs/>
                <w:color w:val="000000"/>
                <w:lang w:val="en-GB" w:eastAsia="en-GB"/>
              </w:rPr>
              <w:t> </w:t>
            </w:r>
          </w:p>
        </w:tc>
        <w:tc>
          <w:tcPr>
            <w:tcW w:w="420" w:type="dxa"/>
            <w:tcBorders>
              <w:top w:val="nil"/>
              <w:left w:val="nil"/>
              <w:bottom w:val="single" w:sz="4" w:space="0" w:color="auto"/>
              <w:right w:val="single" w:sz="4" w:space="0" w:color="auto"/>
            </w:tcBorders>
            <w:shd w:val="clear" w:color="auto" w:fill="auto"/>
            <w:hideMark/>
          </w:tcPr>
          <w:p w14:paraId="158622E5"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55" w:type="dxa"/>
            <w:tcBorders>
              <w:top w:val="nil"/>
              <w:left w:val="nil"/>
              <w:bottom w:val="single" w:sz="4" w:space="0" w:color="auto"/>
              <w:right w:val="single" w:sz="4" w:space="0" w:color="auto"/>
            </w:tcBorders>
            <w:shd w:val="clear" w:color="auto" w:fill="auto"/>
            <w:hideMark/>
          </w:tcPr>
          <w:p w14:paraId="55F563C3"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89" w:type="dxa"/>
            <w:tcBorders>
              <w:top w:val="nil"/>
              <w:left w:val="nil"/>
              <w:bottom w:val="single" w:sz="4" w:space="0" w:color="auto"/>
              <w:right w:val="single" w:sz="4" w:space="0" w:color="auto"/>
            </w:tcBorders>
            <w:shd w:val="clear" w:color="auto" w:fill="auto"/>
            <w:hideMark/>
          </w:tcPr>
          <w:p w14:paraId="42010F00"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20" w:type="dxa"/>
            <w:tcBorders>
              <w:top w:val="nil"/>
              <w:left w:val="nil"/>
              <w:bottom w:val="single" w:sz="4" w:space="0" w:color="auto"/>
              <w:right w:val="single" w:sz="4" w:space="0" w:color="auto"/>
            </w:tcBorders>
            <w:shd w:val="pct50" w:color="000000" w:fill="auto"/>
            <w:hideMark/>
          </w:tcPr>
          <w:p w14:paraId="3DA940B3"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2123FABB"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7C569A64"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216DF2F4"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120E419A"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47F764F2"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78E873FF"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08B706E9"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7090C320"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7C9AA273"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5357117C"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4E4697B0"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clear" w:color="auto" w:fill="auto"/>
            <w:hideMark/>
          </w:tcPr>
          <w:p w14:paraId="05362C62"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E50B6B" w:rsidRPr="00000F38" w14:paraId="66FAA5C5" w14:textId="77777777" w:rsidTr="00E50B6B">
        <w:trPr>
          <w:trHeight w:val="255"/>
        </w:trPr>
        <w:tc>
          <w:tcPr>
            <w:tcW w:w="159" w:type="dxa"/>
            <w:tcBorders>
              <w:top w:val="nil"/>
              <w:left w:val="single" w:sz="4" w:space="0" w:color="auto"/>
              <w:bottom w:val="single" w:sz="4" w:space="0" w:color="auto"/>
              <w:right w:val="single" w:sz="4" w:space="0" w:color="auto"/>
            </w:tcBorders>
            <w:shd w:val="clear" w:color="auto" w:fill="auto"/>
            <w:hideMark/>
          </w:tcPr>
          <w:p w14:paraId="6EBF13AD" w14:textId="77777777" w:rsidR="00E50B6B" w:rsidRPr="00000F38" w:rsidRDefault="00E50B6B" w:rsidP="00E50B6B">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5</w:t>
            </w:r>
          </w:p>
        </w:tc>
        <w:tc>
          <w:tcPr>
            <w:tcW w:w="2612" w:type="dxa"/>
            <w:tcBorders>
              <w:top w:val="nil"/>
              <w:left w:val="nil"/>
              <w:bottom w:val="single" w:sz="4" w:space="0" w:color="auto"/>
              <w:right w:val="single" w:sz="4" w:space="0" w:color="auto"/>
            </w:tcBorders>
            <w:shd w:val="clear" w:color="auto" w:fill="auto"/>
            <w:noWrap/>
            <w:vAlign w:val="center"/>
            <w:hideMark/>
          </w:tcPr>
          <w:p w14:paraId="3362CB5C" w14:textId="77777777" w:rsidR="00E50B6B" w:rsidRPr="00000F38" w:rsidRDefault="00E50B6B" w:rsidP="00E50B6B">
            <w:pPr>
              <w:spacing w:after="0" w:line="240" w:lineRule="auto"/>
              <w:jc w:val="both"/>
              <w:rPr>
                <w:rFonts w:eastAsia="Times New Roman" w:cstheme="minorHAnsi"/>
                <w:color w:val="000000"/>
                <w:lang w:val="en-GB" w:eastAsia="en-GB"/>
              </w:rPr>
            </w:pPr>
            <w:r w:rsidRPr="00000F38">
              <w:rPr>
                <w:rFonts w:eastAsia="Times New Roman" w:cstheme="minorHAnsi"/>
                <w:color w:val="000000"/>
                <w:lang w:val="en-GB" w:eastAsia="en-GB"/>
              </w:rPr>
              <w:t>Phishing Simulation</w:t>
            </w:r>
          </w:p>
        </w:tc>
        <w:tc>
          <w:tcPr>
            <w:tcW w:w="536" w:type="dxa"/>
            <w:tcBorders>
              <w:top w:val="nil"/>
              <w:left w:val="nil"/>
              <w:bottom w:val="single" w:sz="4" w:space="0" w:color="auto"/>
              <w:right w:val="single" w:sz="4" w:space="0" w:color="auto"/>
            </w:tcBorders>
            <w:shd w:val="clear" w:color="auto" w:fill="auto"/>
            <w:hideMark/>
          </w:tcPr>
          <w:p w14:paraId="70205778" w14:textId="77777777" w:rsidR="00E50B6B" w:rsidRPr="00000F38" w:rsidRDefault="00E50B6B" w:rsidP="00E50B6B">
            <w:pPr>
              <w:spacing w:after="0" w:line="240" w:lineRule="auto"/>
              <w:rPr>
                <w:rFonts w:eastAsia="Times New Roman" w:cstheme="minorHAnsi"/>
                <w:b/>
                <w:bCs/>
                <w:i/>
                <w:iCs/>
                <w:color w:val="000000"/>
                <w:lang w:val="en-GB" w:eastAsia="en-GB"/>
              </w:rPr>
            </w:pPr>
            <w:r w:rsidRPr="00000F38">
              <w:rPr>
                <w:rFonts w:eastAsia="Times New Roman" w:cstheme="minorHAnsi"/>
                <w:b/>
                <w:bCs/>
                <w:i/>
                <w:iCs/>
                <w:color w:val="000000"/>
                <w:lang w:val="en-GB" w:eastAsia="en-GB"/>
              </w:rPr>
              <w:t> </w:t>
            </w:r>
          </w:p>
        </w:tc>
        <w:tc>
          <w:tcPr>
            <w:tcW w:w="420" w:type="dxa"/>
            <w:tcBorders>
              <w:top w:val="nil"/>
              <w:left w:val="nil"/>
              <w:bottom w:val="single" w:sz="4" w:space="0" w:color="auto"/>
              <w:right w:val="single" w:sz="4" w:space="0" w:color="auto"/>
            </w:tcBorders>
            <w:shd w:val="clear" w:color="auto" w:fill="auto"/>
            <w:hideMark/>
          </w:tcPr>
          <w:p w14:paraId="23C888A3"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55" w:type="dxa"/>
            <w:tcBorders>
              <w:top w:val="nil"/>
              <w:left w:val="nil"/>
              <w:bottom w:val="single" w:sz="4" w:space="0" w:color="auto"/>
              <w:right w:val="single" w:sz="4" w:space="0" w:color="auto"/>
            </w:tcBorders>
            <w:shd w:val="clear" w:color="auto" w:fill="auto"/>
            <w:hideMark/>
          </w:tcPr>
          <w:p w14:paraId="5F2E9A5F"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89" w:type="dxa"/>
            <w:tcBorders>
              <w:top w:val="nil"/>
              <w:left w:val="nil"/>
              <w:bottom w:val="single" w:sz="4" w:space="0" w:color="auto"/>
              <w:right w:val="single" w:sz="4" w:space="0" w:color="auto"/>
            </w:tcBorders>
            <w:shd w:val="clear" w:color="auto" w:fill="auto"/>
            <w:hideMark/>
          </w:tcPr>
          <w:p w14:paraId="19E52174"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20" w:type="dxa"/>
            <w:tcBorders>
              <w:top w:val="nil"/>
              <w:left w:val="nil"/>
              <w:bottom w:val="single" w:sz="4" w:space="0" w:color="auto"/>
              <w:right w:val="single" w:sz="4" w:space="0" w:color="auto"/>
            </w:tcBorders>
            <w:shd w:val="pct50" w:color="000000" w:fill="auto"/>
            <w:hideMark/>
          </w:tcPr>
          <w:p w14:paraId="06412B0C"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0D1D1EEA"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3137A949"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3F662ACA"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4D8455FB"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68E36CC7"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77D0EC06"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24FBAB4D"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65E76C08"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7A285E8C"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79C0136C"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58B60C18"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clear" w:color="auto" w:fill="auto"/>
            <w:hideMark/>
          </w:tcPr>
          <w:p w14:paraId="5AFAEA48"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E50B6B" w:rsidRPr="00000F38" w14:paraId="651D5B9B" w14:textId="77777777" w:rsidTr="00E50B6B">
        <w:trPr>
          <w:trHeight w:val="255"/>
        </w:trPr>
        <w:tc>
          <w:tcPr>
            <w:tcW w:w="159" w:type="dxa"/>
            <w:tcBorders>
              <w:top w:val="nil"/>
              <w:left w:val="single" w:sz="4" w:space="0" w:color="auto"/>
              <w:bottom w:val="single" w:sz="4" w:space="0" w:color="auto"/>
              <w:right w:val="single" w:sz="4" w:space="0" w:color="auto"/>
            </w:tcBorders>
            <w:shd w:val="clear" w:color="auto" w:fill="auto"/>
            <w:hideMark/>
          </w:tcPr>
          <w:p w14:paraId="38B659B3" w14:textId="77777777" w:rsidR="00E50B6B" w:rsidRPr="00000F38" w:rsidRDefault="00E50B6B" w:rsidP="00E50B6B">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lastRenderedPageBreak/>
              <w:t>6</w:t>
            </w:r>
          </w:p>
        </w:tc>
        <w:tc>
          <w:tcPr>
            <w:tcW w:w="2612" w:type="dxa"/>
            <w:tcBorders>
              <w:top w:val="nil"/>
              <w:left w:val="nil"/>
              <w:bottom w:val="single" w:sz="4" w:space="0" w:color="auto"/>
              <w:right w:val="single" w:sz="4" w:space="0" w:color="auto"/>
            </w:tcBorders>
            <w:shd w:val="clear" w:color="auto" w:fill="auto"/>
            <w:noWrap/>
            <w:vAlign w:val="center"/>
            <w:hideMark/>
          </w:tcPr>
          <w:p w14:paraId="469BE76B" w14:textId="77777777" w:rsidR="00E50B6B" w:rsidRPr="00000F38" w:rsidRDefault="00E50B6B" w:rsidP="00E50B6B">
            <w:pPr>
              <w:spacing w:after="0" w:line="240" w:lineRule="auto"/>
              <w:jc w:val="both"/>
              <w:rPr>
                <w:rFonts w:eastAsia="Times New Roman" w:cstheme="minorHAnsi"/>
                <w:color w:val="000000"/>
                <w:lang w:val="en-GB" w:eastAsia="en-GB"/>
              </w:rPr>
            </w:pPr>
            <w:r w:rsidRPr="00000F38">
              <w:rPr>
                <w:rFonts w:eastAsia="Times New Roman" w:cstheme="minorHAnsi"/>
                <w:color w:val="000000"/>
                <w:lang w:val="en-GB" w:eastAsia="en-GB"/>
              </w:rPr>
              <w:t>AD Security</w:t>
            </w:r>
          </w:p>
        </w:tc>
        <w:tc>
          <w:tcPr>
            <w:tcW w:w="536" w:type="dxa"/>
            <w:tcBorders>
              <w:top w:val="nil"/>
              <w:left w:val="nil"/>
              <w:bottom w:val="single" w:sz="4" w:space="0" w:color="auto"/>
              <w:right w:val="single" w:sz="4" w:space="0" w:color="auto"/>
            </w:tcBorders>
            <w:shd w:val="clear" w:color="auto" w:fill="auto"/>
            <w:hideMark/>
          </w:tcPr>
          <w:p w14:paraId="6609C0F8" w14:textId="77777777" w:rsidR="00E50B6B" w:rsidRPr="00000F38" w:rsidRDefault="00E50B6B" w:rsidP="00E50B6B">
            <w:pPr>
              <w:spacing w:after="0" w:line="240" w:lineRule="auto"/>
              <w:rPr>
                <w:rFonts w:eastAsia="Times New Roman" w:cstheme="minorHAnsi"/>
                <w:b/>
                <w:bCs/>
                <w:i/>
                <w:iCs/>
                <w:color w:val="000000"/>
                <w:lang w:val="en-GB" w:eastAsia="en-GB"/>
              </w:rPr>
            </w:pPr>
            <w:r w:rsidRPr="00000F38">
              <w:rPr>
                <w:rFonts w:eastAsia="Times New Roman" w:cstheme="minorHAnsi"/>
                <w:b/>
                <w:bCs/>
                <w:i/>
                <w:iCs/>
                <w:color w:val="000000"/>
                <w:lang w:val="en-GB" w:eastAsia="en-GB"/>
              </w:rPr>
              <w:t> </w:t>
            </w:r>
          </w:p>
        </w:tc>
        <w:tc>
          <w:tcPr>
            <w:tcW w:w="420" w:type="dxa"/>
            <w:tcBorders>
              <w:top w:val="nil"/>
              <w:left w:val="nil"/>
              <w:bottom w:val="single" w:sz="4" w:space="0" w:color="auto"/>
              <w:right w:val="single" w:sz="4" w:space="0" w:color="auto"/>
            </w:tcBorders>
            <w:shd w:val="clear" w:color="auto" w:fill="auto"/>
            <w:hideMark/>
          </w:tcPr>
          <w:p w14:paraId="1F3CE6C7"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55" w:type="dxa"/>
            <w:tcBorders>
              <w:top w:val="nil"/>
              <w:left w:val="nil"/>
              <w:bottom w:val="single" w:sz="4" w:space="0" w:color="auto"/>
              <w:right w:val="single" w:sz="4" w:space="0" w:color="auto"/>
            </w:tcBorders>
            <w:shd w:val="clear" w:color="auto" w:fill="auto"/>
            <w:hideMark/>
          </w:tcPr>
          <w:p w14:paraId="7E6E1D5B"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89" w:type="dxa"/>
            <w:tcBorders>
              <w:top w:val="nil"/>
              <w:left w:val="nil"/>
              <w:bottom w:val="single" w:sz="4" w:space="0" w:color="auto"/>
              <w:right w:val="single" w:sz="4" w:space="0" w:color="auto"/>
            </w:tcBorders>
            <w:shd w:val="clear" w:color="auto" w:fill="auto"/>
            <w:hideMark/>
          </w:tcPr>
          <w:p w14:paraId="61692DAF"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20" w:type="dxa"/>
            <w:tcBorders>
              <w:top w:val="nil"/>
              <w:left w:val="nil"/>
              <w:bottom w:val="single" w:sz="4" w:space="0" w:color="auto"/>
              <w:right w:val="single" w:sz="4" w:space="0" w:color="auto"/>
            </w:tcBorders>
            <w:shd w:val="pct50" w:color="000000" w:fill="auto"/>
            <w:hideMark/>
          </w:tcPr>
          <w:p w14:paraId="1B0A75B5"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7B526024"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223F388B"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6E6902E3"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4DA0A8DD"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277AFD6E"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345921F4"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5A7861EF"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5751F4ED"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7E2DFF89"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45B129FF"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38A505F6"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clear" w:color="auto" w:fill="auto"/>
            <w:hideMark/>
          </w:tcPr>
          <w:p w14:paraId="2DE27E8B"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E50B6B" w:rsidRPr="00000F38" w14:paraId="7D60C05E" w14:textId="77777777" w:rsidTr="00E50B6B">
        <w:trPr>
          <w:trHeight w:val="255"/>
        </w:trPr>
        <w:tc>
          <w:tcPr>
            <w:tcW w:w="159" w:type="dxa"/>
            <w:tcBorders>
              <w:top w:val="nil"/>
              <w:left w:val="single" w:sz="4" w:space="0" w:color="auto"/>
              <w:bottom w:val="single" w:sz="4" w:space="0" w:color="auto"/>
              <w:right w:val="single" w:sz="4" w:space="0" w:color="auto"/>
            </w:tcBorders>
            <w:shd w:val="clear" w:color="auto" w:fill="auto"/>
            <w:hideMark/>
          </w:tcPr>
          <w:p w14:paraId="32504398" w14:textId="77777777" w:rsidR="00E50B6B" w:rsidRPr="00000F38" w:rsidRDefault="00E50B6B" w:rsidP="00E50B6B">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7</w:t>
            </w:r>
          </w:p>
        </w:tc>
        <w:tc>
          <w:tcPr>
            <w:tcW w:w="2612" w:type="dxa"/>
            <w:tcBorders>
              <w:top w:val="nil"/>
              <w:left w:val="nil"/>
              <w:bottom w:val="single" w:sz="4" w:space="0" w:color="auto"/>
              <w:right w:val="single" w:sz="4" w:space="0" w:color="auto"/>
            </w:tcBorders>
            <w:shd w:val="clear" w:color="auto" w:fill="auto"/>
            <w:noWrap/>
            <w:vAlign w:val="center"/>
            <w:hideMark/>
          </w:tcPr>
          <w:p w14:paraId="4C3DE27A" w14:textId="77777777" w:rsidR="00E50B6B" w:rsidRPr="00000F38" w:rsidRDefault="00E50B6B" w:rsidP="00E50B6B">
            <w:pPr>
              <w:spacing w:after="0" w:line="240" w:lineRule="auto"/>
              <w:jc w:val="both"/>
              <w:rPr>
                <w:rFonts w:eastAsia="Times New Roman" w:cstheme="minorHAnsi"/>
                <w:color w:val="000000"/>
                <w:lang w:val="en-GB" w:eastAsia="en-GB"/>
              </w:rPr>
            </w:pPr>
            <w:r w:rsidRPr="00000F38">
              <w:rPr>
                <w:rFonts w:eastAsia="Times New Roman" w:cstheme="minorHAnsi"/>
                <w:color w:val="000000"/>
                <w:lang w:val="en-GB" w:eastAsia="en-GB"/>
              </w:rPr>
              <w:t>Governance, Risk and Compliance</w:t>
            </w:r>
          </w:p>
        </w:tc>
        <w:tc>
          <w:tcPr>
            <w:tcW w:w="536" w:type="dxa"/>
            <w:tcBorders>
              <w:top w:val="nil"/>
              <w:left w:val="nil"/>
              <w:bottom w:val="single" w:sz="4" w:space="0" w:color="auto"/>
              <w:right w:val="single" w:sz="4" w:space="0" w:color="auto"/>
            </w:tcBorders>
            <w:shd w:val="clear" w:color="auto" w:fill="auto"/>
            <w:hideMark/>
          </w:tcPr>
          <w:p w14:paraId="7D264E5D" w14:textId="77777777" w:rsidR="00E50B6B" w:rsidRPr="00000F38" w:rsidRDefault="00E50B6B" w:rsidP="00E50B6B">
            <w:pPr>
              <w:spacing w:after="0" w:line="240" w:lineRule="auto"/>
              <w:rPr>
                <w:rFonts w:eastAsia="Times New Roman" w:cstheme="minorHAnsi"/>
                <w:b/>
                <w:bCs/>
                <w:i/>
                <w:iCs/>
                <w:color w:val="000000"/>
                <w:lang w:val="en-GB" w:eastAsia="en-GB"/>
              </w:rPr>
            </w:pPr>
            <w:r w:rsidRPr="00000F38">
              <w:rPr>
                <w:rFonts w:eastAsia="Times New Roman" w:cstheme="minorHAnsi"/>
                <w:b/>
                <w:bCs/>
                <w:i/>
                <w:iCs/>
                <w:color w:val="000000"/>
                <w:lang w:val="en-GB" w:eastAsia="en-GB"/>
              </w:rPr>
              <w:t> </w:t>
            </w:r>
          </w:p>
        </w:tc>
        <w:tc>
          <w:tcPr>
            <w:tcW w:w="420" w:type="dxa"/>
            <w:tcBorders>
              <w:top w:val="nil"/>
              <w:left w:val="nil"/>
              <w:bottom w:val="single" w:sz="4" w:space="0" w:color="auto"/>
              <w:right w:val="single" w:sz="4" w:space="0" w:color="auto"/>
            </w:tcBorders>
            <w:shd w:val="clear" w:color="auto" w:fill="auto"/>
            <w:hideMark/>
          </w:tcPr>
          <w:p w14:paraId="41994324"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55" w:type="dxa"/>
            <w:tcBorders>
              <w:top w:val="nil"/>
              <w:left w:val="nil"/>
              <w:bottom w:val="single" w:sz="4" w:space="0" w:color="auto"/>
              <w:right w:val="single" w:sz="4" w:space="0" w:color="auto"/>
            </w:tcBorders>
            <w:shd w:val="clear" w:color="auto" w:fill="auto"/>
            <w:hideMark/>
          </w:tcPr>
          <w:p w14:paraId="2FB19193"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89" w:type="dxa"/>
            <w:tcBorders>
              <w:top w:val="nil"/>
              <w:left w:val="nil"/>
              <w:bottom w:val="single" w:sz="4" w:space="0" w:color="auto"/>
              <w:right w:val="single" w:sz="4" w:space="0" w:color="auto"/>
            </w:tcBorders>
            <w:shd w:val="clear" w:color="auto" w:fill="auto"/>
            <w:hideMark/>
          </w:tcPr>
          <w:p w14:paraId="4A2A718B"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20" w:type="dxa"/>
            <w:tcBorders>
              <w:top w:val="nil"/>
              <w:left w:val="nil"/>
              <w:bottom w:val="single" w:sz="4" w:space="0" w:color="auto"/>
              <w:right w:val="single" w:sz="4" w:space="0" w:color="auto"/>
            </w:tcBorders>
            <w:shd w:val="pct50" w:color="000000" w:fill="auto"/>
            <w:hideMark/>
          </w:tcPr>
          <w:p w14:paraId="5952C3BA"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572B956E"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3E107527"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186B2AFE"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625D133C"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27B7D125"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51DF44F1"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7D64BCD8"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1CADAEDF"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4E1A52FD"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62EE93AB"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75A3E634"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clear" w:color="auto" w:fill="auto"/>
            <w:hideMark/>
          </w:tcPr>
          <w:p w14:paraId="2BC345FD"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E50B6B" w:rsidRPr="00000F38" w14:paraId="3089895C" w14:textId="77777777" w:rsidTr="00E50B6B">
        <w:trPr>
          <w:trHeight w:val="255"/>
        </w:trPr>
        <w:tc>
          <w:tcPr>
            <w:tcW w:w="159" w:type="dxa"/>
            <w:tcBorders>
              <w:top w:val="nil"/>
              <w:left w:val="single" w:sz="4" w:space="0" w:color="auto"/>
              <w:bottom w:val="single" w:sz="4" w:space="0" w:color="auto"/>
              <w:right w:val="single" w:sz="4" w:space="0" w:color="auto"/>
            </w:tcBorders>
            <w:shd w:val="clear" w:color="auto" w:fill="auto"/>
            <w:hideMark/>
          </w:tcPr>
          <w:p w14:paraId="03C0BE9A" w14:textId="77777777" w:rsidR="00E50B6B" w:rsidRPr="00000F38" w:rsidRDefault="00E50B6B" w:rsidP="00E50B6B">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8</w:t>
            </w:r>
          </w:p>
        </w:tc>
        <w:tc>
          <w:tcPr>
            <w:tcW w:w="2612" w:type="dxa"/>
            <w:tcBorders>
              <w:top w:val="nil"/>
              <w:left w:val="nil"/>
              <w:bottom w:val="single" w:sz="4" w:space="0" w:color="auto"/>
              <w:right w:val="single" w:sz="4" w:space="0" w:color="auto"/>
            </w:tcBorders>
            <w:shd w:val="clear" w:color="auto" w:fill="auto"/>
            <w:noWrap/>
            <w:vAlign w:val="center"/>
            <w:hideMark/>
          </w:tcPr>
          <w:p w14:paraId="145CD584" w14:textId="77777777" w:rsidR="00E50B6B" w:rsidRPr="00000F38" w:rsidRDefault="00E50B6B" w:rsidP="00E50B6B">
            <w:pPr>
              <w:spacing w:after="0" w:line="240" w:lineRule="auto"/>
              <w:jc w:val="both"/>
              <w:rPr>
                <w:rFonts w:eastAsia="Times New Roman" w:cstheme="minorHAnsi"/>
                <w:color w:val="000000"/>
                <w:lang w:val="en-GB" w:eastAsia="en-GB"/>
              </w:rPr>
            </w:pPr>
            <w:r w:rsidRPr="00000F38">
              <w:rPr>
                <w:rFonts w:eastAsia="Times New Roman" w:cstheme="minorHAnsi"/>
                <w:color w:val="000000"/>
                <w:lang w:val="en-GB" w:eastAsia="en-GB"/>
              </w:rPr>
              <w:t>Decoy (Honeypot)</w:t>
            </w:r>
          </w:p>
        </w:tc>
        <w:tc>
          <w:tcPr>
            <w:tcW w:w="536" w:type="dxa"/>
            <w:tcBorders>
              <w:top w:val="nil"/>
              <w:left w:val="nil"/>
              <w:bottom w:val="single" w:sz="4" w:space="0" w:color="auto"/>
              <w:right w:val="single" w:sz="4" w:space="0" w:color="auto"/>
            </w:tcBorders>
            <w:shd w:val="clear" w:color="auto" w:fill="auto"/>
            <w:hideMark/>
          </w:tcPr>
          <w:p w14:paraId="4877EBF0" w14:textId="77777777" w:rsidR="00E50B6B" w:rsidRPr="00000F38" w:rsidRDefault="00E50B6B" w:rsidP="00E50B6B">
            <w:pPr>
              <w:spacing w:after="0" w:line="240" w:lineRule="auto"/>
              <w:rPr>
                <w:rFonts w:eastAsia="Times New Roman" w:cstheme="minorHAnsi"/>
                <w:b/>
                <w:bCs/>
                <w:i/>
                <w:iCs/>
                <w:color w:val="000000"/>
                <w:lang w:val="en-GB" w:eastAsia="en-GB"/>
              </w:rPr>
            </w:pPr>
            <w:r w:rsidRPr="00000F38">
              <w:rPr>
                <w:rFonts w:eastAsia="Times New Roman" w:cstheme="minorHAnsi"/>
                <w:b/>
                <w:bCs/>
                <w:i/>
                <w:iCs/>
                <w:color w:val="000000"/>
                <w:lang w:val="en-GB" w:eastAsia="en-GB"/>
              </w:rPr>
              <w:t> </w:t>
            </w:r>
          </w:p>
        </w:tc>
        <w:tc>
          <w:tcPr>
            <w:tcW w:w="420" w:type="dxa"/>
            <w:tcBorders>
              <w:top w:val="nil"/>
              <w:left w:val="nil"/>
              <w:bottom w:val="single" w:sz="4" w:space="0" w:color="auto"/>
              <w:right w:val="single" w:sz="4" w:space="0" w:color="auto"/>
            </w:tcBorders>
            <w:shd w:val="clear" w:color="auto" w:fill="auto"/>
            <w:hideMark/>
          </w:tcPr>
          <w:p w14:paraId="3BA33EDD"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55" w:type="dxa"/>
            <w:tcBorders>
              <w:top w:val="nil"/>
              <w:left w:val="nil"/>
              <w:bottom w:val="single" w:sz="4" w:space="0" w:color="auto"/>
              <w:right w:val="single" w:sz="4" w:space="0" w:color="auto"/>
            </w:tcBorders>
            <w:shd w:val="clear" w:color="auto" w:fill="auto"/>
            <w:hideMark/>
          </w:tcPr>
          <w:p w14:paraId="00AF749D"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89" w:type="dxa"/>
            <w:tcBorders>
              <w:top w:val="nil"/>
              <w:left w:val="nil"/>
              <w:bottom w:val="single" w:sz="4" w:space="0" w:color="auto"/>
              <w:right w:val="single" w:sz="4" w:space="0" w:color="auto"/>
            </w:tcBorders>
            <w:shd w:val="clear" w:color="auto" w:fill="auto"/>
            <w:hideMark/>
          </w:tcPr>
          <w:p w14:paraId="661953B8"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20" w:type="dxa"/>
            <w:tcBorders>
              <w:top w:val="nil"/>
              <w:left w:val="nil"/>
              <w:bottom w:val="single" w:sz="4" w:space="0" w:color="auto"/>
              <w:right w:val="single" w:sz="4" w:space="0" w:color="auto"/>
            </w:tcBorders>
            <w:shd w:val="pct50" w:color="000000" w:fill="auto"/>
            <w:hideMark/>
          </w:tcPr>
          <w:p w14:paraId="74ADABE2"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45A7F3F0"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57461B53"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37931086"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1FEDC890"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0033F4AA"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643DC1A6"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303AD75F"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5C65261C"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2F73EEC4"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0D9BB2F1"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292C83F2"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clear" w:color="auto" w:fill="auto"/>
            <w:hideMark/>
          </w:tcPr>
          <w:p w14:paraId="2BCE9DD4"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E50B6B" w:rsidRPr="00000F38" w14:paraId="48341413" w14:textId="77777777" w:rsidTr="00E50B6B">
        <w:trPr>
          <w:trHeight w:val="255"/>
        </w:trPr>
        <w:tc>
          <w:tcPr>
            <w:tcW w:w="159" w:type="dxa"/>
            <w:tcBorders>
              <w:top w:val="nil"/>
              <w:left w:val="single" w:sz="4" w:space="0" w:color="auto"/>
              <w:bottom w:val="single" w:sz="4" w:space="0" w:color="auto"/>
              <w:right w:val="single" w:sz="4" w:space="0" w:color="auto"/>
            </w:tcBorders>
            <w:shd w:val="clear" w:color="auto" w:fill="auto"/>
            <w:hideMark/>
          </w:tcPr>
          <w:p w14:paraId="276762DE" w14:textId="77777777" w:rsidR="00E50B6B" w:rsidRPr="00000F38" w:rsidRDefault="00E50B6B" w:rsidP="00E50B6B">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9</w:t>
            </w:r>
          </w:p>
        </w:tc>
        <w:tc>
          <w:tcPr>
            <w:tcW w:w="2612" w:type="dxa"/>
            <w:tcBorders>
              <w:top w:val="nil"/>
              <w:left w:val="nil"/>
              <w:bottom w:val="single" w:sz="4" w:space="0" w:color="auto"/>
              <w:right w:val="single" w:sz="4" w:space="0" w:color="auto"/>
            </w:tcBorders>
            <w:shd w:val="clear" w:color="auto" w:fill="auto"/>
            <w:noWrap/>
            <w:vAlign w:val="center"/>
            <w:hideMark/>
          </w:tcPr>
          <w:p w14:paraId="4448AD53" w14:textId="77777777" w:rsidR="00E50B6B" w:rsidRPr="00000F38" w:rsidRDefault="00E50B6B" w:rsidP="00E50B6B">
            <w:pPr>
              <w:spacing w:after="0" w:line="240" w:lineRule="auto"/>
              <w:jc w:val="both"/>
              <w:rPr>
                <w:rFonts w:eastAsia="Times New Roman" w:cstheme="minorHAnsi"/>
                <w:color w:val="000000"/>
                <w:lang w:val="en-GB" w:eastAsia="en-GB"/>
              </w:rPr>
            </w:pPr>
            <w:r w:rsidRPr="00000F38">
              <w:rPr>
                <w:rFonts w:eastAsia="Times New Roman" w:cstheme="minorHAnsi"/>
                <w:color w:val="000000"/>
                <w:lang w:val="en-GB" w:eastAsia="en-GB"/>
              </w:rPr>
              <w:t>Mobile Device Management</w:t>
            </w:r>
          </w:p>
        </w:tc>
        <w:tc>
          <w:tcPr>
            <w:tcW w:w="536" w:type="dxa"/>
            <w:tcBorders>
              <w:top w:val="nil"/>
              <w:left w:val="nil"/>
              <w:bottom w:val="single" w:sz="4" w:space="0" w:color="auto"/>
              <w:right w:val="single" w:sz="4" w:space="0" w:color="auto"/>
            </w:tcBorders>
            <w:shd w:val="clear" w:color="auto" w:fill="auto"/>
            <w:hideMark/>
          </w:tcPr>
          <w:p w14:paraId="332E185A" w14:textId="77777777" w:rsidR="00E50B6B" w:rsidRPr="00000F38" w:rsidRDefault="00E50B6B" w:rsidP="00E50B6B">
            <w:pPr>
              <w:spacing w:after="0" w:line="240" w:lineRule="auto"/>
              <w:rPr>
                <w:rFonts w:eastAsia="Times New Roman" w:cstheme="minorHAnsi"/>
                <w:b/>
                <w:bCs/>
                <w:i/>
                <w:iCs/>
                <w:color w:val="000000"/>
                <w:lang w:val="en-GB" w:eastAsia="en-GB"/>
              </w:rPr>
            </w:pPr>
            <w:r w:rsidRPr="00000F38">
              <w:rPr>
                <w:rFonts w:eastAsia="Times New Roman" w:cstheme="minorHAnsi"/>
                <w:b/>
                <w:bCs/>
                <w:i/>
                <w:iCs/>
                <w:color w:val="000000"/>
                <w:lang w:val="en-GB" w:eastAsia="en-GB"/>
              </w:rPr>
              <w:t> </w:t>
            </w:r>
          </w:p>
        </w:tc>
        <w:tc>
          <w:tcPr>
            <w:tcW w:w="420" w:type="dxa"/>
            <w:tcBorders>
              <w:top w:val="nil"/>
              <w:left w:val="nil"/>
              <w:bottom w:val="single" w:sz="4" w:space="0" w:color="auto"/>
              <w:right w:val="single" w:sz="4" w:space="0" w:color="auto"/>
            </w:tcBorders>
            <w:shd w:val="clear" w:color="auto" w:fill="auto"/>
            <w:hideMark/>
          </w:tcPr>
          <w:p w14:paraId="0A690E50"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55" w:type="dxa"/>
            <w:tcBorders>
              <w:top w:val="nil"/>
              <w:left w:val="nil"/>
              <w:bottom w:val="single" w:sz="4" w:space="0" w:color="auto"/>
              <w:right w:val="single" w:sz="4" w:space="0" w:color="auto"/>
            </w:tcBorders>
            <w:shd w:val="clear" w:color="auto" w:fill="auto"/>
            <w:hideMark/>
          </w:tcPr>
          <w:p w14:paraId="7B56CFD3"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89" w:type="dxa"/>
            <w:tcBorders>
              <w:top w:val="nil"/>
              <w:left w:val="nil"/>
              <w:bottom w:val="single" w:sz="4" w:space="0" w:color="auto"/>
              <w:right w:val="single" w:sz="4" w:space="0" w:color="auto"/>
            </w:tcBorders>
            <w:shd w:val="clear" w:color="auto" w:fill="auto"/>
            <w:hideMark/>
          </w:tcPr>
          <w:p w14:paraId="4C6FDDC5"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20" w:type="dxa"/>
            <w:tcBorders>
              <w:top w:val="nil"/>
              <w:left w:val="nil"/>
              <w:bottom w:val="single" w:sz="4" w:space="0" w:color="auto"/>
              <w:right w:val="single" w:sz="4" w:space="0" w:color="auto"/>
            </w:tcBorders>
            <w:shd w:val="pct50" w:color="000000" w:fill="auto"/>
            <w:hideMark/>
          </w:tcPr>
          <w:p w14:paraId="7A9B9BD0"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3EB5852E"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54C3110C"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5A71E34F"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5E2A2165"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114FF56A"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43868F31"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1C3020AC"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7D62201A"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3876796F"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341D780F"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69939E08"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clear" w:color="auto" w:fill="auto"/>
            <w:hideMark/>
          </w:tcPr>
          <w:p w14:paraId="5F2276CA"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E50B6B" w:rsidRPr="00000F38" w14:paraId="512E0885" w14:textId="77777777" w:rsidTr="00E50B6B">
        <w:trPr>
          <w:trHeight w:val="510"/>
        </w:trPr>
        <w:tc>
          <w:tcPr>
            <w:tcW w:w="159" w:type="dxa"/>
            <w:tcBorders>
              <w:top w:val="nil"/>
              <w:left w:val="single" w:sz="4" w:space="0" w:color="auto"/>
              <w:bottom w:val="single" w:sz="4" w:space="0" w:color="auto"/>
              <w:right w:val="single" w:sz="4" w:space="0" w:color="auto"/>
            </w:tcBorders>
            <w:shd w:val="clear" w:color="auto" w:fill="auto"/>
            <w:hideMark/>
          </w:tcPr>
          <w:p w14:paraId="10F2FDF0" w14:textId="77777777" w:rsidR="00E50B6B" w:rsidRPr="00000F38" w:rsidRDefault="00E50B6B" w:rsidP="00E50B6B">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10</w:t>
            </w:r>
          </w:p>
        </w:tc>
        <w:tc>
          <w:tcPr>
            <w:tcW w:w="2612" w:type="dxa"/>
            <w:tcBorders>
              <w:top w:val="nil"/>
              <w:left w:val="nil"/>
              <w:bottom w:val="single" w:sz="4" w:space="0" w:color="auto"/>
              <w:right w:val="single" w:sz="4" w:space="0" w:color="auto"/>
            </w:tcBorders>
            <w:shd w:val="clear" w:color="auto" w:fill="auto"/>
            <w:noWrap/>
            <w:vAlign w:val="center"/>
            <w:hideMark/>
          </w:tcPr>
          <w:p w14:paraId="55049C47" w14:textId="77777777" w:rsidR="00E50B6B" w:rsidRPr="00000F38" w:rsidRDefault="00E50B6B" w:rsidP="00E50B6B">
            <w:pPr>
              <w:spacing w:after="0" w:line="240" w:lineRule="auto"/>
              <w:jc w:val="both"/>
              <w:rPr>
                <w:rFonts w:eastAsia="Times New Roman" w:cstheme="minorHAnsi"/>
                <w:color w:val="000000"/>
                <w:lang w:val="en-GB" w:eastAsia="en-GB"/>
              </w:rPr>
            </w:pPr>
            <w:r w:rsidRPr="00000F38">
              <w:rPr>
                <w:rFonts w:eastAsia="Times New Roman" w:cstheme="minorHAnsi"/>
                <w:color w:val="000000"/>
                <w:lang w:val="en-GB" w:eastAsia="en-GB"/>
              </w:rPr>
              <w:t>Secure Data Backup and Recovery (Ransomware Solution)</w:t>
            </w:r>
          </w:p>
        </w:tc>
        <w:tc>
          <w:tcPr>
            <w:tcW w:w="536" w:type="dxa"/>
            <w:tcBorders>
              <w:top w:val="nil"/>
              <w:left w:val="nil"/>
              <w:bottom w:val="single" w:sz="4" w:space="0" w:color="auto"/>
              <w:right w:val="single" w:sz="4" w:space="0" w:color="auto"/>
            </w:tcBorders>
            <w:shd w:val="clear" w:color="auto" w:fill="auto"/>
            <w:hideMark/>
          </w:tcPr>
          <w:p w14:paraId="2CEC438F" w14:textId="77777777" w:rsidR="00E50B6B" w:rsidRPr="00000F38" w:rsidRDefault="00E50B6B" w:rsidP="00E50B6B">
            <w:pPr>
              <w:spacing w:after="0" w:line="240" w:lineRule="auto"/>
              <w:rPr>
                <w:rFonts w:eastAsia="Times New Roman" w:cstheme="minorHAnsi"/>
                <w:b/>
                <w:bCs/>
                <w:i/>
                <w:iCs/>
                <w:color w:val="000000"/>
                <w:lang w:val="en-GB" w:eastAsia="en-GB"/>
              </w:rPr>
            </w:pPr>
            <w:r w:rsidRPr="00000F38">
              <w:rPr>
                <w:rFonts w:eastAsia="Times New Roman" w:cstheme="minorHAnsi"/>
                <w:b/>
                <w:bCs/>
                <w:i/>
                <w:iCs/>
                <w:color w:val="000000"/>
                <w:lang w:val="en-GB" w:eastAsia="en-GB"/>
              </w:rPr>
              <w:t> </w:t>
            </w:r>
          </w:p>
        </w:tc>
        <w:tc>
          <w:tcPr>
            <w:tcW w:w="420" w:type="dxa"/>
            <w:tcBorders>
              <w:top w:val="nil"/>
              <w:left w:val="nil"/>
              <w:bottom w:val="single" w:sz="4" w:space="0" w:color="auto"/>
              <w:right w:val="single" w:sz="4" w:space="0" w:color="auto"/>
            </w:tcBorders>
            <w:shd w:val="clear" w:color="auto" w:fill="auto"/>
            <w:hideMark/>
          </w:tcPr>
          <w:p w14:paraId="7EE890C6"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55" w:type="dxa"/>
            <w:tcBorders>
              <w:top w:val="nil"/>
              <w:left w:val="nil"/>
              <w:bottom w:val="single" w:sz="4" w:space="0" w:color="auto"/>
              <w:right w:val="single" w:sz="4" w:space="0" w:color="auto"/>
            </w:tcBorders>
            <w:shd w:val="clear" w:color="auto" w:fill="auto"/>
            <w:hideMark/>
          </w:tcPr>
          <w:p w14:paraId="3B06F53D"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89" w:type="dxa"/>
            <w:tcBorders>
              <w:top w:val="nil"/>
              <w:left w:val="nil"/>
              <w:bottom w:val="single" w:sz="4" w:space="0" w:color="auto"/>
              <w:right w:val="single" w:sz="4" w:space="0" w:color="auto"/>
            </w:tcBorders>
            <w:shd w:val="clear" w:color="auto" w:fill="auto"/>
            <w:hideMark/>
          </w:tcPr>
          <w:p w14:paraId="14FB0200"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20" w:type="dxa"/>
            <w:tcBorders>
              <w:top w:val="nil"/>
              <w:left w:val="nil"/>
              <w:bottom w:val="single" w:sz="4" w:space="0" w:color="auto"/>
              <w:right w:val="single" w:sz="4" w:space="0" w:color="auto"/>
            </w:tcBorders>
            <w:shd w:val="pct50" w:color="000000" w:fill="auto"/>
            <w:hideMark/>
          </w:tcPr>
          <w:p w14:paraId="7C886F7F"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192A4F81"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0738BECA"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26FC0455"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2D3EE628"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611045A0"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484BF4B3"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24F74E3F"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3E818AD9"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0AB87702"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61BA48D6"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42893406"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clear" w:color="auto" w:fill="auto"/>
            <w:hideMark/>
          </w:tcPr>
          <w:p w14:paraId="249DB4CE"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E50B6B" w:rsidRPr="00000F38" w14:paraId="7013AEC7" w14:textId="77777777" w:rsidTr="00E50B6B">
        <w:trPr>
          <w:trHeight w:val="255"/>
        </w:trPr>
        <w:tc>
          <w:tcPr>
            <w:tcW w:w="159" w:type="dxa"/>
            <w:tcBorders>
              <w:top w:val="nil"/>
              <w:left w:val="single" w:sz="4" w:space="0" w:color="auto"/>
              <w:bottom w:val="single" w:sz="4" w:space="0" w:color="auto"/>
              <w:right w:val="single" w:sz="4" w:space="0" w:color="auto"/>
            </w:tcBorders>
            <w:shd w:val="clear" w:color="auto" w:fill="auto"/>
            <w:hideMark/>
          </w:tcPr>
          <w:p w14:paraId="6E09AD4E" w14:textId="77777777" w:rsidR="00E50B6B" w:rsidRPr="00000F38" w:rsidRDefault="00E50B6B" w:rsidP="00E50B6B">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11</w:t>
            </w:r>
          </w:p>
        </w:tc>
        <w:tc>
          <w:tcPr>
            <w:tcW w:w="2612" w:type="dxa"/>
            <w:tcBorders>
              <w:top w:val="nil"/>
              <w:left w:val="nil"/>
              <w:bottom w:val="single" w:sz="4" w:space="0" w:color="auto"/>
              <w:right w:val="single" w:sz="4" w:space="0" w:color="auto"/>
            </w:tcBorders>
            <w:shd w:val="clear" w:color="auto" w:fill="auto"/>
            <w:hideMark/>
          </w:tcPr>
          <w:p w14:paraId="044A851F"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Network Access Control (NAC)</w:t>
            </w:r>
          </w:p>
        </w:tc>
        <w:tc>
          <w:tcPr>
            <w:tcW w:w="536" w:type="dxa"/>
            <w:tcBorders>
              <w:top w:val="nil"/>
              <w:left w:val="nil"/>
              <w:bottom w:val="single" w:sz="4" w:space="0" w:color="auto"/>
              <w:right w:val="single" w:sz="4" w:space="0" w:color="auto"/>
            </w:tcBorders>
            <w:shd w:val="clear" w:color="auto" w:fill="auto"/>
            <w:hideMark/>
          </w:tcPr>
          <w:p w14:paraId="39E1AC70" w14:textId="77777777" w:rsidR="00E50B6B" w:rsidRPr="00000F38" w:rsidRDefault="00E50B6B" w:rsidP="00E50B6B">
            <w:pPr>
              <w:spacing w:after="0" w:line="240" w:lineRule="auto"/>
              <w:rPr>
                <w:rFonts w:eastAsia="Times New Roman" w:cstheme="minorHAnsi"/>
                <w:b/>
                <w:bCs/>
                <w:i/>
                <w:iCs/>
                <w:color w:val="000000"/>
                <w:lang w:val="en-GB" w:eastAsia="en-GB"/>
              </w:rPr>
            </w:pPr>
            <w:r w:rsidRPr="00000F38">
              <w:rPr>
                <w:rFonts w:eastAsia="Times New Roman" w:cstheme="minorHAnsi"/>
                <w:b/>
                <w:bCs/>
                <w:i/>
                <w:iCs/>
                <w:color w:val="000000"/>
                <w:lang w:val="en-GB" w:eastAsia="en-GB"/>
              </w:rPr>
              <w:t> </w:t>
            </w:r>
          </w:p>
        </w:tc>
        <w:tc>
          <w:tcPr>
            <w:tcW w:w="420" w:type="dxa"/>
            <w:tcBorders>
              <w:top w:val="nil"/>
              <w:left w:val="nil"/>
              <w:bottom w:val="single" w:sz="4" w:space="0" w:color="auto"/>
              <w:right w:val="single" w:sz="4" w:space="0" w:color="auto"/>
            </w:tcBorders>
            <w:shd w:val="clear" w:color="auto" w:fill="auto"/>
            <w:hideMark/>
          </w:tcPr>
          <w:p w14:paraId="21A104AE"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55" w:type="dxa"/>
            <w:tcBorders>
              <w:top w:val="nil"/>
              <w:left w:val="nil"/>
              <w:bottom w:val="single" w:sz="4" w:space="0" w:color="auto"/>
              <w:right w:val="single" w:sz="4" w:space="0" w:color="auto"/>
            </w:tcBorders>
            <w:shd w:val="clear" w:color="auto" w:fill="auto"/>
            <w:hideMark/>
          </w:tcPr>
          <w:p w14:paraId="393D3F55"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89" w:type="dxa"/>
            <w:tcBorders>
              <w:top w:val="nil"/>
              <w:left w:val="nil"/>
              <w:bottom w:val="single" w:sz="4" w:space="0" w:color="auto"/>
              <w:right w:val="single" w:sz="4" w:space="0" w:color="auto"/>
            </w:tcBorders>
            <w:shd w:val="clear" w:color="auto" w:fill="auto"/>
            <w:hideMark/>
          </w:tcPr>
          <w:p w14:paraId="7DB37B96"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20" w:type="dxa"/>
            <w:tcBorders>
              <w:top w:val="nil"/>
              <w:left w:val="nil"/>
              <w:bottom w:val="single" w:sz="4" w:space="0" w:color="auto"/>
              <w:right w:val="single" w:sz="4" w:space="0" w:color="auto"/>
            </w:tcBorders>
            <w:shd w:val="pct50" w:color="000000" w:fill="auto"/>
            <w:hideMark/>
          </w:tcPr>
          <w:p w14:paraId="69993648"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35C44DAF"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46E51122"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5CCF2808"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123F9D37"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2D7F0672"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7D27177B"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5FBCC23E"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6774A867"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016D5622"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5A8DFA3E"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13C5F697"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clear" w:color="auto" w:fill="auto"/>
            <w:hideMark/>
          </w:tcPr>
          <w:p w14:paraId="2C91CA89"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E50B6B" w:rsidRPr="00000F38" w14:paraId="24894C2C" w14:textId="77777777" w:rsidTr="00E50B6B">
        <w:trPr>
          <w:trHeight w:val="255"/>
        </w:trPr>
        <w:tc>
          <w:tcPr>
            <w:tcW w:w="159" w:type="dxa"/>
            <w:tcBorders>
              <w:top w:val="nil"/>
              <w:left w:val="single" w:sz="4" w:space="0" w:color="auto"/>
              <w:bottom w:val="single" w:sz="4" w:space="0" w:color="auto"/>
              <w:right w:val="single" w:sz="4" w:space="0" w:color="auto"/>
            </w:tcBorders>
            <w:shd w:val="clear" w:color="auto" w:fill="auto"/>
            <w:hideMark/>
          </w:tcPr>
          <w:p w14:paraId="3E24ED4C" w14:textId="77777777" w:rsidR="00E50B6B" w:rsidRPr="00000F38" w:rsidRDefault="00E50B6B" w:rsidP="00E50B6B">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2612" w:type="dxa"/>
            <w:tcBorders>
              <w:top w:val="nil"/>
              <w:left w:val="nil"/>
              <w:bottom w:val="single" w:sz="4" w:space="0" w:color="auto"/>
              <w:right w:val="single" w:sz="4" w:space="0" w:color="auto"/>
            </w:tcBorders>
            <w:shd w:val="clear" w:color="auto" w:fill="auto"/>
            <w:hideMark/>
          </w:tcPr>
          <w:p w14:paraId="29B050C1"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536" w:type="dxa"/>
            <w:tcBorders>
              <w:top w:val="nil"/>
              <w:left w:val="nil"/>
              <w:bottom w:val="single" w:sz="4" w:space="0" w:color="auto"/>
              <w:right w:val="single" w:sz="4" w:space="0" w:color="auto"/>
            </w:tcBorders>
            <w:shd w:val="clear" w:color="auto" w:fill="auto"/>
            <w:hideMark/>
          </w:tcPr>
          <w:p w14:paraId="6C16D547" w14:textId="77777777" w:rsidR="00E50B6B" w:rsidRPr="00000F38" w:rsidRDefault="00E50B6B" w:rsidP="00E50B6B">
            <w:pPr>
              <w:spacing w:after="0" w:line="240" w:lineRule="auto"/>
              <w:rPr>
                <w:rFonts w:eastAsia="Times New Roman" w:cstheme="minorHAnsi"/>
                <w:b/>
                <w:bCs/>
                <w:i/>
                <w:iCs/>
                <w:color w:val="000000"/>
                <w:lang w:val="en-GB" w:eastAsia="en-GB"/>
              </w:rPr>
            </w:pPr>
            <w:r w:rsidRPr="00000F38">
              <w:rPr>
                <w:rFonts w:eastAsia="Times New Roman" w:cstheme="minorHAnsi"/>
                <w:b/>
                <w:bCs/>
                <w:i/>
                <w:iCs/>
                <w:color w:val="000000"/>
                <w:lang w:val="en-GB" w:eastAsia="en-GB"/>
              </w:rPr>
              <w:t> </w:t>
            </w:r>
          </w:p>
        </w:tc>
        <w:tc>
          <w:tcPr>
            <w:tcW w:w="420" w:type="dxa"/>
            <w:tcBorders>
              <w:top w:val="nil"/>
              <w:left w:val="nil"/>
              <w:bottom w:val="single" w:sz="4" w:space="0" w:color="auto"/>
              <w:right w:val="single" w:sz="4" w:space="0" w:color="auto"/>
            </w:tcBorders>
            <w:shd w:val="clear" w:color="auto" w:fill="auto"/>
            <w:hideMark/>
          </w:tcPr>
          <w:p w14:paraId="4300E47A"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55" w:type="dxa"/>
            <w:tcBorders>
              <w:top w:val="nil"/>
              <w:left w:val="nil"/>
              <w:bottom w:val="single" w:sz="4" w:space="0" w:color="auto"/>
              <w:right w:val="single" w:sz="4" w:space="0" w:color="auto"/>
            </w:tcBorders>
            <w:shd w:val="clear" w:color="auto" w:fill="auto"/>
            <w:hideMark/>
          </w:tcPr>
          <w:p w14:paraId="1449F484"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 </w:t>
            </w:r>
          </w:p>
        </w:tc>
        <w:tc>
          <w:tcPr>
            <w:tcW w:w="389" w:type="dxa"/>
            <w:tcBorders>
              <w:top w:val="nil"/>
              <w:left w:val="nil"/>
              <w:bottom w:val="single" w:sz="4" w:space="0" w:color="auto"/>
              <w:right w:val="single" w:sz="4" w:space="0" w:color="auto"/>
            </w:tcBorders>
            <w:shd w:val="clear" w:color="auto" w:fill="auto"/>
            <w:hideMark/>
          </w:tcPr>
          <w:p w14:paraId="74361769"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5A2CFE78"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0B2B2E05"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129122ED"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64F59EE9"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3DDE2F0E"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0FC000D5"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53ECAF90"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3A180C64"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47A03371"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67E24B18"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6F67B7C6"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790221E2"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clear" w:color="auto" w:fill="auto"/>
            <w:hideMark/>
          </w:tcPr>
          <w:p w14:paraId="61DADE26"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r>
      <w:tr w:rsidR="00E50B6B" w:rsidRPr="00000F38" w14:paraId="5629F975" w14:textId="77777777" w:rsidTr="00E50B6B">
        <w:trPr>
          <w:trHeight w:val="255"/>
        </w:trPr>
        <w:tc>
          <w:tcPr>
            <w:tcW w:w="159" w:type="dxa"/>
            <w:tcBorders>
              <w:top w:val="nil"/>
              <w:left w:val="single" w:sz="4" w:space="0" w:color="auto"/>
              <w:bottom w:val="single" w:sz="4" w:space="0" w:color="auto"/>
              <w:right w:val="single" w:sz="4" w:space="0" w:color="auto"/>
            </w:tcBorders>
            <w:shd w:val="clear" w:color="auto" w:fill="auto"/>
            <w:hideMark/>
          </w:tcPr>
          <w:p w14:paraId="423BEAD5" w14:textId="77777777" w:rsidR="00E50B6B" w:rsidRPr="00000F38" w:rsidRDefault="00E50B6B" w:rsidP="00E50B6B">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2612" w:type="dxa"/>
            <w:tcBorders>
              <w:top w:val="nil"/>
              <w:left w:val="nil"/>
              <w:bottom w:val="single" w:sz="4" w:space="0" w:color="auto"/>
              <w:right w:val="single" w:sz="4" w:space="0" w:color="auto"/>
            </w:tcBorders>
            <w:shd w:val="clear" w:color="auto" w:fill="auto"/>
            <w:hideMark/>
          </w:tcPr>
          <w:p w14:paraId="0FACC5B9"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Any other (Please specify)</w:t>
            </w:r>
          </w:p>
        </w:tc>
        <w:tc>
          <w:tcPr>
            <w:tcW w:w="536" w:type="dxa"/>
            <w:tcBorders>
              <w:top w:val="nil"/>
              <w:left w:val="nil"/>
              <w:bottom w:val="single" w:sz="4" w:space="0" w:color="auto"/>
              <w:right w:val="single" w:sz="4" w:space="0" w:color="auto"/>
            </w:tcBorders>
            <w:shd w:val="clear" w:color="auto" w:fill="auto"/>
            <w:hideMark/>
          </w:tcPr>
          <w:p w14:paraId="722A0399"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clear" w:color="auto" w:fill="auto"/>
            <w:hideMark/>
          </w:tcPr>
          <w:p w14:paraId="50D90A07"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clear" w:color="auto" w:fill="auto"/>
            <w:hideMark/>
          </w:tcPr>
          <w:p w14:paraId="31629BB7"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89" w:type="dxa"/>
            <w:tcBorders>
              <w:top w:val="nil"/>
              <w:left w:val="nil"/>
              <w:bottom w:val="single" w:sz="4" w:space="0" w:color="auto"/>
              <w:right w:val="single" w:sz="4" w:space="0" w:color="auto"/>
            </w:tcBorders>
            <w:shd w:val="clear" w:color="auto" w:fill="auto"/>
            <w:hideMark/>
          </w:tcPr>
          <w:p w14:paraId="2EFC87E9"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20" w:type="dxa"/>
            <w:tcBorders>
              <w:top w:val="nil"/>
              <w:left w:val="nil"/>
              <w:bottom w:val="single" w:sz="4" w:space="0" w:color="auto"/>
              <w:right w:val="single" w:sz="4" w:space="0" w:color="auto"/>
            </w:tcBorders>
            <w:shd w:val="pct50" w:color="000000" w:fill="auto"/>
            <w:hideMark/>
          </w:tcPr>
          <w:p w14:paraId="28F6B39D"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1B5549D5"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31FE21E8"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7D679D97"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0B15A1AB"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57E7E1AE"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75C9B1C4"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55B59913"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32BE44E5"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4865DA9C"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06806F36"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08372A9C"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clear" w:color="auto" w:fill="auto"/>
            <w:hideMark/>
          </w:tcPr>
          <w:p w14:paraId="476A5ACB"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E50B6B" w:rsidRPr="00000F38" w14:paraId="3454CAA2" w14:textId="77777777" w:rsidTr="00E50B6B">
        <w:trPr>
          <w:trHeight w:val="255"/>
        </w:trPr>
        <w:tc>
          <w:tcPr>
            <w:tcW w:w="159" w:type="dxa"/>
            <w:tcBorders>
              <w:top w:val="nil"/>
              <w:left w:val="single" w:sz="4" w:space="0" w:color="auto"/>
              <w:bottom w:val="single" w:sz="4" w:space="0" w:color="auto"/>
              <w:right w:val="single" w:sz="4" w:space="0" w:color="auto"/>
            </w:tcBorders>
            <w:shd w:val="clear" w:color="auto" w:fill="auto"/>
            <w:hideMark/>
          </w:tcPr>
          <w:p w14:paraId="2353E3EF" w14:textId="77777777" w:rsidR="00E50B6B" w:rsidRPr="00000F38" w:rsidRDefault="00E50B6B" w:rsidP="00E50B6B">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2612" w:type="dxa"/>
            <w:tcBorders>
              <w:top w:val="nil"/>
              <w:left w:val="nil"/>
              <w:bottom w:val="single" w:sz="4" w:space="0" w:color="auto"/>
              <w:right w:val="single" w:sz="4" w:space="0" w:color="auto"/>
            </w:tcBorders>
            <w:shd w:val="clear" w:color="auto" w:fill="auto"/>
            <w:hideMark/>
          </w:tcPr>
          <w:p w14:paraId="645C06E9"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Any other (Please specify)</w:t>
            </w:r>
          </w:p>
        </w:tc>
        <w:tc>
          <w:tcPr>
            <w:tcW w:w="536" w:type="dxa"/>
            <w:tcBorders>
              <w:top w:val="nil"/>
              <w:left w:val="nil"/>
              <w:bottom w:val="single" w:sz="4" w:space="0" w:color="auto"/>
              <w:right w:val="single" w:sz="4" w:space="0" w:color="auto"/>
            </w:tcBorders>
            <w:shd w:val="clear" w:color="auto" w:fill="auto"/>
            <w:hideMark/>
          </w:tcPr>
          <w:p w14:paraId="3982169A"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clear" w:color="auto" w:fill="auto"/>
            <w:hideMark/>
          </w:tcPr>
          <w:p w14:paraId="4EA9D262"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clear" w:color="auto" w:fill="auto"/>
            <w:hideMark/>
          </w:tcPr>
          <w:p w14:paraId="63F8DB88"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89" w:type="dxa"/>
            <w:tcBorders>
              <w:top w:val="nil"/>
              <w:left w:val="nil"/>
              <w:bottom w:val="single" w:sz="4" w:space="0" w:color="auto"/>
              <w:right w:val="single" w:sz="4" w:space="0" w:color="auto"/>
            </w:tcBorders>
            <w:shd w:val="clear" w:color="auto" w:fill="auto"/>
            <w:hideMark/>
          </w:tcPr>
          <w:p w14:paraId="5D0AD9C1"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20" w:type="dxa"/>
            <w:tcBorders>
              <w:top w:val="nil"/>
              <w:left w:val="nil"/>
              <w:bottom w:val="single" w:sz="4" w:space="0" w:color="auto"/>
              <w:right w:val="single" w:sz="4" w:space="0" w:color="auto"/>
            </w:tcBorders>
            <w:shd w:val="pct50" w:color="000000" w:fill="auto"/>
            <w:hideMark/>
          </w:tcPr>
          <w:p w14:paraId="0450A9CB"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258E7AB5"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660640CD"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18F0EA84"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6D618EF6"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52B6585F"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386908A8"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307DEE32"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6A27D3D8"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14F703F3"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635F4C21"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59F8796F"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clear" w:color="auto" w:fill="auto"/>
            <w:hideMark/>
          </w:tcPr>
          <w:p w14:paraId="2C57834C"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E50B6B" w:rsidRPr="00000F38" w14:paraId="121D7044" w14:textId="77777777" w:rsidTr="00E50B6B">
        <w:trPr>
          <w:trHeight w:val="255"/>
        </w:trPr>
        <w:tc>
          <w:tcPr>
            <w:tcW w:w="159" w:type="dxa"/>
            <w:tcBorders>
              <w:top w:val="nil"/>
              <w:left w:val="single" w:sz="4" w:space="0" w:color="auto"/>
              <w:bottom w:val="single" w:sz="4" w:space="0" w:color="auto"/>
              <w:right w:val="single" w:sz="4" w:space="0" w:color="auto"/>
            </w:tcBorders>
            <w:shd w:val="clear" w:color="000000" w:fill="F2F2F2"/>
            <w:hideMark/>
          </w:tcPr>
          <w:p w14:paraId="33EE8264"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612" w:type="dxa"/>
            <w:tcBorders>
              <w:top w:val="nil"/>
              <w:left w:val="nil"/>
              <w:bottom w:val="single" w:sz="4" w:space="0" w:color="auto"/>
              <w:right w:val="single" w:sz="4" w:space="0" w:color="auto"/>
            </w:tcBorders>
            <w:shd w:val="clear" w:color="000000" w:fill="F2F2F2"/>
            <w:hideMark/>
          </w:tcPr>
          <w:p w14:paraId="600D127D"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Total (A)</w:t>
            </w:r>
          </w:p>
        </w:tc>
        <w:tc>
          <w:tcPr>
            <w:tcW w:w="536" w:type="dxa"/>
            <w:tcBorders>
              <w:top w:val="nil"/>
              <w:left w:val="nil"/>
              <w:bottom w:val="single" w:sz="4" w:space="0" w:color="auto"/>
              <w:right w:val="single" w:sz="4" w:space="0" w:color="auto"/>
            </w:tcBorders>
            <w:shd w:val="clear" w:color="000000" w:fill="F2F2F2"/>
            <w:hideMark/>
          </w:tcPr>
          <w:p w14:paraId="708B2F48"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20" w:type="dxa"/>
            <w:tcBorders>
              <w:top w:val="nil"/>
              <w:left w:val="nil"/>
              <w:bottom w:val="single" w:sz="4" w:space="0" w:color="auto"/>
              <w:right w:val="single" w:sz="4" w:space="0" w:color="auto"/>
            </w:tcBorders>
            <w:shd w:val="clear" w:color="000000" w:fill="F2F2F2"/>
            <w:hideMark/>
          </w:tcPr>
          <w:p w14:paraId="26A1D03F"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55" w:type="dxa"/>
            <w:tcBorders>
              <w:top w:val="nil"/>
              <w:left w:val="nil"/>
              <w:bottom w:val="single" w:sz="4" w:space="0" w:color="auto"/>
              <w:right w:val="single" w:sz="4" w:space="0" w:color="auto"/>
            </w:tcBorders>
            <w:shd w:val="clear" w:color="000000" w:fill="F2F2F2"/>
            <w:hideMark/>
          </w:tcPr>
          <w:p w14:paraId="28BEDABA"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c>
          <w:tcPr>
            <w:tcW w:w="389" w:type="dxa"/>
            <w:tcBorders>
              <w:top w:val="nil"/>
              <w:left w:val="nil"/>
              <w:bottom w:val="single" w:sz="4" w:space="0" w:color="auto"/>
              <w:right w:val="single" w:sz="4" w:space="0" w:color="auto"/>
            </w:tcBorders>
            <w:shd w:val="clear" w:color="000000" w:fill="F2F2F2"/>
            <w:hideMark/>
          </w:tcPr>
          <w:p w14:paraId="3CD9E33E"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c>
          <w:tcPr>
            <w:tcW w:w="420" w:type="dxa"/>
            <w:tcBorders>
              <w:top w:val="nil"/>
              <w:left w:val="nil"/>
              <w:bottom w:val="single" w:sz="4" w:space="0" w:color="auto"/>
              <w:right w:val="single" w:sz="4" w:space="0" w:color="auto"/>
            </w:tcBorders>
            <w:shd w:val="clear" w:color="000000" w:fill="F2F2F2"/>
            <w:hideMark/>
          </w:tcPr>
          <w:p w14:paraId="0DEF9AEB"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55" w:type="dxa"/>
            <w:tcBorders>
              <w:top w:val="nil"/>
              <w:left w:val="nil"/>
              <w:bottom w:val="single" w:sz="4" w:space="0" w:color="auto"/>
              <w:right w:val="single" w:sz="4" w:space="0" w:color="auto"/>
            </w:tcBorders>
            <w:shd w:val="clear" w:color="000000" w:fill="F2F2F2"/>
            <w:hideMark/>
          </w:tcPr>
          <w:p w14:paraId="3C16D13C"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89" w:type="dxa"/>
            <w:tcBorders>
              <w:top w:val="nil"/>
              <w:left w:val="nil"/>
              <w:bottom w:val="single" w:sz="4" w:space="0" w:color="auto"/>
              <w:right w:val="single" w:sz="4" w:space="0" w:color="auto"/>
            </w:tcBorders>
            <w:shd w:val="clear" w:color="000000" w:fill="F2F2F2"/>
            <w:hideMark/>
          </w:tcPr>
          <w:p w14:paraId="5265B68C"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20" w:type="dxa"/>
            <w:tcBorders>
              <w:top w:val="nil"/>
              <w:left w:val="nil"/>
              <w:bottom w:val="single" w:sz="4" w:space="0" w:color="auto"/>
              <w:right w:val="single" w:sz="4" w:space="0" w:color="auto"/>
            </w:tcBorders>
            <w:shd w:val="clear" w:color="000000" w:fill="F2F2F2"/>
            <w:hideMark/>
          </w:tcPr>
          <w:p w14:paraId="23190B34"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55" w:type="dxa"/>
            <w:tcBorders>
              <w:top w:val="nil"/>
              <w:left w:val="nil"/>
              <w:bottom w:val="single" w:sz="4" w:space="0" w:color="auto"/>
              <w:right w:val="single" w:sz="4" w:space="0" w:color="auto"/>
            </w:tcBorders>
            <w:shd w:val="clear" w:color="000000" w:fill="F2F2F2"/>
            <w:hideMark/>
          </w:tcPr>
          <w:p w14:paraId="12CF846A"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89" w:type="dxa"/>
            <w:tcBorders>
              <w:top w:val="nil"/>
              <w:left w:val="nil"/>
              <w:bottom w:val="single" w:sz="4" w:space="0" w:color="auto"/>
              <w:right w:val="single" w:sz="4" w:space="0" w:color="auto"/>
            </w:tcBorders>
            <w:shd w:val="clear" w:color="000000" w:fill="F2F2F2"/>
            <w:hideMark/>
          </w:tcPr>
          <w:p w14:paraId="3E1784AA"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20" w:type="dxa"/>
            <w:tcBorders>
              <w:top w:val="nil"/>
              <w:left w:val="nil"/>
              <w:bottom w:val="single" w:sz="4" w:space="0" w:color="auto"/>
              <w:right w:val="single" w:sz="4" w:space="0" w:color="auto"/>
            </w:tcBorders>
            <w:shd w:val="clear" w:color="000000" w:fill="F2F2F2"/>
            <w:hideMark/>
          </w:tcPr>
          <w:p w14:paraId="27494367"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55" w:type="dxa"/>
            <w:tcBorders>
              <w:top w:val="nil"/>
              <w:left w:val="nil"/>
              <w:bottom w:val="single" w:sz="4" w:space="0" w:color="auto"/>
              <w:right w:val="single" w:sz="4" w:space="0" w:color="auto"/>
            </w:tcBorders>
            <w:shd w:val="clear" w:color="000000" w:fill="F2F2F2"/>
            <w:hideMark/>
          </w:tcPr>
          <w:p w14:paraId="40AB917F"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89" w:type="dxa"/>
            <w:tcBorders>
              <w:top w:val="nil"/>
              <w:left w:val="nil"/>
              <w:bottom w:val="single" w:sz="4" w:space="0" w:color="auto"/>
              <w:right w:val="single" w:sz="4" w:space="0" w:color="auto"/>
            </w:tcBorders>
            <w:shd w:val="clear" w:color="000000" w:fill="F2F2F2"/>
            <w:hideMark/>
          </w:tcPr>
          <w:p w14:paraId="10F98F21"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20" w:type="dxa"/>
            <w:tcBorders>
              <w:top w:val="nil"/>
              <w:left w:val="nil"/>
              <w:bottom w:val="single" w:sz="4" w:space="0" w:color="auto"/>
              <w:right w:val="single" w:sz="4" w:space="0" w:color="auto"/>
            </w:tcBorders>
            <w:shd w:val="clear" w:color="000000" w:fill="F2F2F2"/>
            <w:hideMark/>
          </w:tcPr>
          <w:p w14:paraId="50F49E3C"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55" w:type="dxa"/>
            <w:tcBorders>
              <w:top w:val="nil"/>
              <w:left w:val="nil"/>
              <w:bottom w:val="single" w:sz="4" w:space="0" w:color="auto"/>
              <w:right w:val="single" w:sz="4" w:space="0" w:color="auto"/>
            </w:tcBorders>
            <w:shd w:val="clear" w:color="000000" w:fill="F2F2F2"/>
            <w:hideMark/>
          </w:tcPr>
          <w:p w14:paraId="536734F1"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89" w:type="dxa"/>
            <w:tcBorders>
              <w:top w:val="nil"/>
              <w:left w:val="nil"/>
              <w:bottom w:val="single" w:sz="4" w:space="0" w:color="auto"/>
              <w:right w:val="single" w:sz="4" w:space="0" w:color="auto"/>
            </w:tcBorders>
            <w:shd w:val="clear" w:color="000000" w:fill="F2F2F2"/>
            <w:hideMark/>
          </w:tcPr>
          <w:p w14:paraId="3966F6E4"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89" w:type="dxa"/>
            <w:tcBorders>
              <w:top w:val="nil"/>
              <w:left w:val="nil"/>
              <w:bottom w:val="single" w:sz="4" w:space="0" w:color="auto"/>
              <w:right w:val="single" w:sz="4" w:space="0" w:color="auto"/>
            </w:tcBorders>
            <w:shd w:val="clear" w:color="000000" w:fill="F2F2F2"/>
            <w:hideMark/>
          </w:tcPr>
          <w:p w14:paraId="3E1A4D8A"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E50B6B" w:rsidRPr="00000F38" w14:paraId="38D463CF" w14:textId="77777777" w:rsidTr="00E50B6B">
        <w:trPr>
          <w:trHeight w:val="255"/>
        </w:trPr>
        <w:tc>
          <w:tcPr>
            <w:tcW w:w="159" w:type="dxa"/>
            <w:tcBorders>
              <w:top w:val="nil"/>
              <w:left w:val="single" w:sz="4" w:space="0" w:color="auto"/>
              <w:bottom w:val="single" w:sz="4" w:space="0" w:color="auto"/>
              <w:right w:val="single" w:sz="4" w:space="0" w:color="auto"/>
            </w:tcBorders>
            <w:shd w:val="clear" w:color="auto" w:fill="auto"/>
            <w:hideMark/>
          </w:tcPr>
          <w:p w14:paraId="0E689EF9" w14:textId="77777777" w:rsidR="00E50B6B" w:rsidRPr="00000F38" w:rsidRDefault="00E50B6B" w:rsidP="00E50B6B">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2612" w:type="dxa"/>
            <w:tcBorders>
              <w:top w:val="nil"/>
              <w:left w:val="nil"/>
              <w:bottom w:val="single" w:sz="4" w:space="0" w:color="auto"/>
              <w:right w:val="single" w:sz="4" w:space="0" w:color="auto"/>
            </w:tcBorders>
            <w:shd w:val="clear" w:color="auto" w:fill="auto"/>
            <w:hideMark/>
          </w:tcPr>
          <w:p w14:paraId="5EA767C2"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536" w:type="dxa"/>
            <w:tcBorders>
              <w:top w:val="nil"/>
              <w:left w:val="nil"/>
              <w:bottom w:val="single" w:sz="4" w:space="0" w:color="auto"/>
              <w:right w:val="single" w:sz="4" w:space="0" w:color="auto"/>
            </w:tcBorders>
            <w:shd w:val="clear" w:color="auto" w:fill="auto"/>
            <w:hideMark/>
          </w:tcPr>
          <w:p w14:paraId="57446B3F"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clear" w:color="auto" w:fill="auto"/>
            <w:hideMark/>
          </w:tcPr>
          <w:p w14:paraId="76D32DB2"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clear" w:color="auto" w:fill="auto"/>
            <w:hideMark/>
          </w:tcPr>
          <w:p w14:paraId="1E8CEF64"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clear" w:color="auto" w:fill="auto"/>
            <w:hideMark/>
          </w:tcPr>
          <w:p w14:paraId="1FC88E32"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clear" w:color="auto" w:fill="auto"/>
            <w:hideMark/>
          </w:tcPr>
          <w:p w14:paraId="6C03D6D9"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clear" w:color="auto" w:fill="auto"/>
            <w:hideMark/>
          </w:tcPr>
          <w:p w14:paraId="6A5635FF"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clear" w:color="auto" w:fill="auto"/>
            <w:hideMark/>
          </w:tcPr>
          <w:p w14:paraId="08625886"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clear" w:color="auto" w:fill="auto"/>
            <w:hideMark/>
          </w:tcPr>
          <w:p w14:paraId="3FEABAD6"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clear" w:color="auto" w:fill="auto"/>
            <w:hideMark/>
          </w:tcPr>
          <w:p w14:paraId="2B0E7963"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clear" w:color="auto" w:fill="auto"/>
            <w:hideMark/>
          </w:tcPr>
          <w:p w14:paraId="6553960B"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clear" w:color="auto" w:fill="auto"/>
            <w:hideMark/>
          </w:tcPr>
          <w:p w14:paraId="52AFFDFC"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clear" w:color="auto" w:fill="auto"/>
            <w:hideMark/>
          </w:tcPr>
          <w:p w14:paraId="44AF8C28"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clear" w:color="auto" w:fill="auto"/>
            <w:hideMark/>
          </w:tcPr>
          <w:p w14:paraId="1DA0ABAE"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clear" w:color="auto" w:fill="auto"/>
            <w:hideMark/>
          </w:tcPr>
          <w:p w14:paraId="37E70130"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clear" w:color="auto" w:fill="auto"/>
            <w:hideMark/>
          </w:tcPr>
          <w:p w14:paraId="34255326"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clear" w:color="auto" w:fill="auto"/>
            <w:hideMark/>
          </w:tcPr>
          <w:p w14:paraId="16F3A1F0"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clear" w:color="auto" w:fill="auto"/>
            <w:hideMark/>
          </w:tcPr>
          <w:p w14:paraId="1B983275"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r>
      <w:tr w:rsidR="00E50B6B" w:rsidRPr="00000F38" w14:paraId="586621FA" w14:textId="77777777" w:rsidTr="00E50B6B">
        <w:trPr>
          <w:trHeight w:val="255"/>
        </w:trPr>
        <w:tc>
          <w:tcPr>
            <w:tcW w:w="159" w:type="dxa"/>
            <w:vMerge w:val="restart"/>
            <w:tcBorders>
              <w:top w:val="nil"/>
              <w:left w:val="single" w:sz="4" w:space="0" w:color="auto"/>
              <w:bottom w:val="single" w:sz="4" w:space="0" w:color="auto"/>
              <w:right w:val="single" w:sz="4" w:space="0" w:color="auto"/>
            </w:tcBorders>
            <w:shd w:val="clear" w:color="000000" w:fill="203764"/>
            <w:hideMark/>
          </w:tcPr>
          <w:p w14:paraId="4705C39B" w14:textId="77777777" w:rsidR="00E50B6B" w:rsidRPr="00000F38" w:rsidRDefault="00E50B6B" w:rsidP="00E50B6B">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S. No</w:t>
            </w:r>
          </w:p>
        </w:tc>
        <w:tc>
          <w:tcPr>
            <w:tcW w:w="2612" w:type="dxa"/>
            <w:vMerge w:val="restart"/>
            <w:tcBorders>
              <w:top w:val="nil"/>
              <w:left w:val="single" w:sz="4" w:space="0" w:color="auto"/>
              <w:bottom w:val="single" w:sz="4" w:space="0" w:color="auto"/>
              <w:right w:val="single" w:sz="4" w:space="0" w:color="auto"/>
            </w:tcBorders>
            <w:shd w:val="clear" w:color="000000" w:fill="203764"/>
            <w:hideMark/>
          </w:tcPr>
          <w:p w14:paraId="432DEF1E" w14:textId="77777777" w:rsidR="00E50B6B" w:rsidRPr="00000F38" w:rsidRDefault="00E50B6B" w:rsidP="00E50B6B">
            <w:pPr>
              <w:spacing w:after="0" w:line="240" w:lineRule="auto"/>
              <w:rPr>
                <w:rFonts w:eastAsia="Times New Roman" w:cstheme="minorHAnsi"/>
                <w:b/>
                <w:bCs/>
                <w:color w:val="FFFFFF"/>
                <w:lang w:val="en-GB" w:eastAsia="en-GB"/>
              </w:rPr>
            </w:pPr>
            <w:r w:rsidRPr="00000F38">
              <w:rPr>
                <w:rFonts w:eastAsia="Times New Roman" w:cstheme="minorHAnsi"/>
                <w:b/>
                <w:bCs/>
                <w:color w:val="FFFFFF"/>
                <w:lang w:val="en-GB" w:eastAsia="en-GB"/>
              </w:rPr>
              <w:t>Software (license) Cost at DRC</w:t>
            </w:r>
          </w:p>
        </w:tc>
        <w:tc>
          <w:tcPr>
            <w:tcW w:w="536" w:type="dxa"/>
            <w:tcBorders>
              <w:top w:val="nil"/>
              <w:left w:val="nil"/>
              <w:bottom w:val="single" w:sz="4" w:space="0" w:color="auto"/>
              <w:right w:val="single" w:sz="4" w:space="0" w:color="auto"/>
            </w:tcBorders>
            <w:shd w:val="clear" w:color="000000" w:fill="FFC000"/>
            <w:hideMark/>
          </w:tcPr>
          <w:p w14:paraId="543B3B9F"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1064" w:type="dxa"/>
            <w:gridSpan w:val="3"/>
            <w:tcBorders>
              <w:top w:val="single" w:sz="4" w:space="0" w:color="auto"/>
              <w:left w:val="nil"/>
              <w:bottom w:val="single" w:sz="4" w:space="0" w:color="auto"/>
              <w:right w:val="single" w:sz="4" w:space="0" w:color="auto"/>
            </w:tcBorders>
            <w:shd w:val="clear" w:color="000000" w:fill="FFC000"/>
            <w:hideMark/>
          </w:tcPr>
          <w:p w14:paraId="7F6B27E9"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YEAR 1</w:t>
            </w:r>
          </w:p>
        </w:tc>
        <w:tc>
          <w:tcPr>
            <w:tcW w:w="1064" w:type="dxa"/>
            <w:gridSpan w:val="3"/>
            <w:tcBorders>
              <w:top w:val="single" w:sz="4" w:space="0" w:color="auto"/>
              <w:left w:val="nil"/>
              <w:bottom w:val="single" w:sz="4" w:space="0" w:color="auto"/>
              <w:right w:val="single" w:sz="4" w:space="0" w:color="auto"/>
            </w:tcBorders>
            <w:shd w:val="clear" w:color="000000" w:fill="FFC000"/>
            <w:hideMark/>
          </w:tcPr>
          <w:p w14:paraId="4CE71E17"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YEAR 2</w:t>
            </w:r>
          </w:p>
        </w:tc>
        <w:tc>
          <w:tcPr>
            <w:tcW w:w="1064" w:type="dxa"/>
            <w:gridSpan w:val="3"/>
            <w:tcBorders>
              <w:top w:val="single" w:sz="4" w:space="0" w:color="auto"/>
              <w:left w:val="nil"/>
              <w:bottom w:val="single" w:sz="4" w:space="0" w:color="auto"/>
              <w:right w:val="single" w:sz="4" w:space="0" w:color="auto"/>
            </w:tcBorders>
            <w:shd w:val="clear" w:color="000000" w:fill="FFC000"/>
            <w:hideMark/>
          </w:tcPr>
          <w:p w14:paraId="597A295A"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YEAR 3</w:t>
            </w:r>
          </w:p>
        </w:tc>
        <w:tc>
          <w:tcPr>
            <w:tcW w:w="1064" w:type="dxa"/>
            <w:gridSpan w:val="3"/>
            <w:tcBorders>
              <w:top w:val="single" w:sz="4" w:space="0" w:color="auto"/>
              <w:left w:val="nil"/>
              <w:bottom w:val="single" w:sz="4" w:space="0" w:color="auto"/>
              <w:right w:val="single" w:sz="4" w:space="0" w:color="auto"/>
            </w:tcBorders>
            <w:shd w:val="clear" w:color="000000" w:fill="FFC000"/>
            <w:hideMark/>
          </w:tcPr>
          <w:p w14:paraId="3E914919"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YEAR 4</w:t>
            </w:r>
          </w:p>
        </w:tc>
        <w:tc>
          <w:tcPr>
            <w:tcW w:w="1064" w:type="dxa"/>
            <w:gridSpan w:val="3"/>
            <w:tcBorders>
              <w:top w:val="single" w:sz="4" w:space="0" w:color="auto"/>
              <w:left w:val="nil"/>
              <w:bottom w:val="single" w:sz="4" w:space="0" w:color="auto"/>
              <w:right w:val="single" w:sz="4" w:space="0" w:color="auto"/>
            </w:tcBorders>
            <w:shd w:val="clear" w:color="000000" w:fill="FFC000"/>
            <w:hideMark/>
          </w:tcPr>
          <w:p w14:paraId="66AE1108"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YEAR 5</w:t>
            </w:r>
          </w:p>
        </w:tc>
        <w:tc>
          <w:tcPr>
            <w:tcW w:w="389" w:type="dxa"/>
            <w:tcBorders>
              <w:top w:val="nil"/>
              <w:left w:val="nil"/>
              <w:bottom w:val="single" w:sz="4" w:space="0" w:color="auto"/>
              <w:right w:val="single" w:sz="4" w:space="0" w:color="auto"/>
            </w:tcBorders>
            <w:shd w:val="clear" w:color="auto" w:fill="auto"/>
            <w:hideMark/>
          </w:tcPr>
          <w:p w14:paraId="3ED04EA7"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r>
      <w:tr w:rsidR="00E50B6B" w:rsidRPr="00000F38" w14:paraId="0FABC369" w14:textId="77777777" w:rsidTr="00E50B6B">
        <w:trPr>
          <w:trHeight w:val="510"/>
        </w:trPr>
        <w:tc>
          <w:tcPr>
            <w:tcW w:w="159" w:type="dxa"/>
            <w:vMerge/>
            <w:tcBorders>
              <w:top w:val="nil"/>
              <w:left w:val="single" w:sz="4" w:space="0" w:color="auto"/>
              <w:bottom w:val="single" w:sz="4" w:space="0" w:color="auto"/>
              <w:right w:val="single" w:sz="4" w:space="0" w:color="auto"/>
            </w:tcBorders>
            <w:vAlign w:val="center"/>
            <w:hideMark/>
          </w:tcPr>
          <w:p w14:paraId="61324E55" w14:textId="77777777" w:rsidR="00E50B6B" w:rsidRPr="00000F38" w:rsidRDefault="00E50B6B" w:rsidP="00E50B6B">
            <w:pPr>
              <w:spacing w:after="0" w:line="240" w:lineRule="auto"/>
              <w:rPr>
                <w:rFonts w:eastAsia="Times New Roman" w:cstheme="minorHAnsi"/>
                <w:b/>
                <w:bCs/>
                <w:color w:val="FFFFFF"/>
                <w:lang w:val="en-GB" w:eastAsia="en-GB"/>
              </w:rPr>
            </w:pPr>
          </w:p>
        </w:tc>
        <w:tc>
          <w:tcPr>
            <w:tcW w:w="2612" w:type="dxa"/>
            <w:vMerge/>
            <w:tcBorders>
              <w:top w:val="nil"/>
              <w:left w:val="single" w:sz="4" w:space="0" w:color="auto"/>
              <w:bottom w:val="single" w:sz="4" w:space="0" w:color="auto"/>
              <w:right w:val="single" w:sz="4" w:space="0" w:color="auto"/>
            </w:tcBorders>
            <w:vAlign w:val="center"/>
            <w:hideMark/>
          </w:tcPr>
          <w:p w14:paraId="61F3FCE7" w14:textId="77777777" w:rsidR="00E50B6B" w:rsidRPr="00000F38" w:rsidRDefault="00E50B6B" w:rsidP="00E50B6B">
            <w:pPr>
              <w:spacing w:after="0" w:line="240" w:lineRule="auto"/>
              <w:rPr>
                <w:rFonts w:eastAsia="Times New Roman" w:cstheme="minorHAnsi"/>
                <w:b/>
                <w:bCs/>
                <w:color w:val="FFFFFF"/>
                <w:lang w:val="en-GB" w:eastAsia="en-GB"/>
              </w:rPr>
            </w:pPr>
          </w:p>
        </w:tc>
        <w:tc>
          <w:tcPr>
            <w:tcW w:w="536" w:type="dxa"/>
            <w:tcBorders>
              <w:top w:val="nil"/>
              <w:left w:val="nil"/>
              <w:bottom w:val="single" w:sz="4" w:space="0" w:color="auto"/>
              <w:right w:val="single" w:sz="4" w:space="0" w:color="auto"/>
            </w:tcBorders>
            <w:shd w:val="clear" w:color="000000" w:fill="002060"/>
            <w:hideMark/>
          </w:tcPr>
          <w:p w14:paraId="683A0494" w14:textId="77777777" w:rsidR="00E50B6B" w:rsidRPr="00000F38" w:rsidRDefault="00E50B6B" w:rsidP="00E50B6B">
            <w:pPr>
              <w:spacing w:after="0" w:line="240" w:lineRule="auto"/>
              <w:rPr>
                <w:rFonts w:eastAsia="Times New Roman" w:cstheme="minorHAnsi"/>
                <w:b/>
                <w:bCs/>
                <w:color w:val="FFFFFF"/>
                <w:lang w:val="en-GB" w:eastAsia="en-GB"/>
              </w:rPr>
            </w:pPr>
            <w:r w:rsidRPr="00000F38">
              <w:rPr>
                <w:rFonts w:eastAsia="Times New Roman" w:cstheme="minorHAnsi"/>
                <w:b/>
                <w:bCs/>
                <w:color w:val="FFFFFF"/>
                <w:lang w:val="en-GB" w:eastAsia="en-GB"/>
              </w:rPr>
              <w:t xml:space="preserve">Description (OEM Name, Solution Name, Version, Edition, </w:t>
            </w:r>
            <w:r w:rsidRPr="00000F38">
              <w:rPr>
                <w:rFonts w:eastAsia="Times New Roman" w:cstheme="minorHAnsi"/>
                <w:b/>
                <w:bCs/>
                <w:color w:val="FFFFFF"/>
                <w:lang w:val="en-GB" w:eastAsia="en-GB"/>
              </w:rPr>
              <w:lastRenderedPageBreak/>
              <w:t>Licensing Metrics)</w:t>
            </w:r>
          </w:p>
        </w:tc>
        <w:tc>
          <w:tcPr>
            <w:tcW w:w="420" w:type="dxa"/>
            <w:tcBorders>
              <w:top w:val="nil"/>
              <w:left w:val="nil"/>
              <w:bottom w:val="single" w:sz="4" w:space="0" w:color="auto"/>
              <w:right w:val="single" w:sz="4" w:space="0" w:color="auto"/>
            </w:tcBorders>
            <w:shd w:val="clear" w:color="000000" w:fill="002060"/>
            <w:hideMark/>
          </w:tcPr>
          <w:p w14:paraId="14CE99BB" w14:textId="77777777" w:rsidR="00E50B6B" w:rsidRPr="00000F38" w:rsidRDefault="00E50B6B" w:rsidP="00E50B6B">
            <w:pPr>
              <w:spacing w:after="0" w:line="240" w:lineRule="auto"/>
              <w:rPr>
                <w:rFonts w:eastAsia="Times New Roman" w:cstheme="minorHAnsi"/>
                <w:b/>
                <w:bCs/>
                <w:color w:val="FFFFFF"/>
                <w:lang w:val="en-GB" w:eastAsia="en-GB"/>
              </w:rPr>
            </w:pPr>
            <w:r w:rsidRPr="00000F38">
              <w:rPr>
                <w:rFonts w:eastAsia="Times New Roman" w:cstheme="minorHAnsi"/>
                <w:b/>
                <w:bCs/>
                <w:color w:val="FFFFFF"/>
                <w:lang w:val="en-GB" w:eastAsia="en-GB"/>
              </w:rPr>
              <w:lastRenderedPageBreak/>
              <w:t>Quantity</w:t>
            </w:r>
          </w:p>
        </w:tc>
        <w:tc>
          <w:tcPr>
            <w:tcW w:w="255" w:type="dxa"/>
            <w:tcBorders>
              <w:top w:val="nil"/>
              <w:left w:val="nil"/>
              <w:bottom w:val="single" w:sz="4" w:space="0" w:color="auto"/>
              <w:right w:val="single" w:sz="4" w:space="0" w:color="auto"/>
            </w:tcBorders>
            <w:shd w:val="clear" w:color="000000" w:fill="002060"/>
            <w:hideMark/>
          </w:tcPr>
          <w:p w14:paraId="54EC46FE" w14:textId="77777777" w:rsidR="00E50B6B" w:rsidRPr="00000F38" w:rsidRDefault="00E50B6B" w:rsidP="00E50B6B">
            <w:pPr>
              <w:spacing w:after="0" w:line="240" w:lineRule="auto"/>
              <w:rPr>
                <w:rFonts w:eastAsia="Times New Roman" w:cstheme="minorHAnsi"/>
                <w:b/>
                <w:bCs/>
                <w:color w:val="FFFFFF"/>
                <w:lang w:val="en-GB" w:eastAsia="en-GB"/>
              </w:rPr>
            </w:pPr>
            <w:r w:rsidRPr="00000F38">
              <w:rPr>
                <w:rFonts w:eastAsia="Times New Roman" w:cstheme="minorHAnsi"/>
                <w:b/>
                <w:bCs/>
                <w:color w:val="FFFFFF"/>
                <w:lang w:val="en-GB" w:eastAsia="en-GB"/>
              </w:rPr>
              <w:t>Rate (INR)</w:t>
            </w:r>
          </w:p>
        </w:tc>
        <w:tc>
          <w:tcPr>
            <w:tcW w:w="389" w:type="dxa"/>
            <w:tcBorders>
              <w:top w:val="nil"/>
              <w:left w:val="nil"/>
              <w:bottom w:val="single" w:sz="4" w:space="0" w:color="auto"/>
              <w:right w:val="single" w:sz="4" w:space="0" w:color="auto"/>
            </w:tcBorders>
            <w:shd w:val="clear" w:color="000000" w:fill="002060"/>
            <w:hideMark/>
          </w:tcPr>
          <w:p w14:paraId="076C50A0" w14:textId="77777777" w:rsidR="00E50B6B" w:rsidRPr="00000F38" w:rsidRDefault="00E50B6B" w:rsidP="00E50B6B">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Total Amount   (INR)</w:t>
            </w:r>
          </w:p>
        </w:tc>
        <w:tc>
          <w:tcPr>
            <w:tcW w:w="420" w:type="dxa"/>
            <w:tcBorders>
              <w:top w:val="nil"/>
              <w:left w:val="nil"/>
              <w:bottom w:val="single" w:sz="4" w:space="0" w:color="auto"/>
              <w:right w:val="single" w:sz="4" w:space="0" w:color="auto"/>
            </w:tcBorders>
            <w:shd w:val="clear" w:color="000000" w:fill="002060"/>
            <w:hideMark/>
          </w:tcPr>
          <w:p w14:paraId="615DAF23" w14:textId="77777777" w:rsidR="00E50B6B" w:rsidRPr="00000F38" w:rsidRDefault="00E50B6B" w:rsidP="00E50B6B">
            <w:pPr>
              <w:spacing w:after="0" w:line="240" w:lineRule="auto"/>
              <w:rPr>
                <w:rFonts w:eastAsia="Times New Roman" w:cstheme="minorHAnsi"/>
                <w:b/>
                <w:bCs/>
                <w:color w:val="FFFFFF"/>
                <w:lang w:val="en-GB" w:eastAsia="en-GB"/>
              </w:rPr>
            </w:pPr>
            <w:r w:rsidRPr="00000F38">
              <w:rPr>
                <w:rFonts w:eastAsia="Times New Roman" w:cstheme="minorHAnsi"/>
                <w:b/>
                <w:bCs/>
                <w:color w:val="FFFFFF"/>
                <w:lang w:val="en-GB" w:eastAsia="en-GB"/>
              </w:rPr>
              <w:t>Quantity</w:t>
            </w:r>
          </w:p>
        </w:tc>
        <w:tc>
          <w:tcPr>
            <w:tcW w:w="255" w:type="dxa"/>
            <w:tcBorders>
              <w:top w:val="nil"/>
              <w:left w:val="nil"/>
              <w:bottom w:val="single" w:sz="4" w:space="0" w:color="auto"/>
              <w:right w:val="single" w:sz="4" w:space="0" w:color="auto"/>
            </w:tcBorders>
            <w:shd w:val="clear" w:color="000000" w:fill="002060"/>
            <w:hideMark/>
          </w:tcPr>
          <w:p w14:paraId="6214C793" w14:textId="77777777" w:rsidR="00E50B6B" w:rsidRPr="00000F38" w:rsidRDefault="00E50B6B" w:rsidP="00E50B6B">
            <w:pPr>
              <w:spacing w:after="0" w:line="240" w:lineRule="auto"/>
              <w:rPr>
                <w:rFonts w:eastAsia="Times New Roman" w:cstheme="minorHAnsi"/>
                <w:b/>
                <w:bCs/>
                <w:color w:val="FFFFFF"/>
                <w:lang w:val="en-GB" w:eastAsia="en-GB"/>
              </w:rPr>
            </w:pPr>
            <w:r w:rsidRPr="00000F38">
              <w:rPr>
                <w:rFonts w:eastAsia="Times New Roman" w:cstheme="minorHAnsi"/>
                <w:b/>
                <w:bCs/>
                <w:color w:val="FFFFFF"/>
                <w:lang w:val="en-GB" w:eastAsia="en-GB"/>
              </w:rPr>
              <w:t>Rate (INR)</w:t>
            </w:r>
          </w:p>
        </w:tc>
        <w:tc>
          <w:tcPr>
            <w:tcW w:w="389" w:type="dxa"/>
            <w:tcBorders>
              <w:top w:val="nil"/>
              <w:left w:val="nil"/>
              <w:bottom w:val="single" w:sz="4" w:space="0" w:color="auto"/>
              <w:right w:val="single" w:sz="4" w:space="0" w:color="auto"/>
            </w:tcBorders>
            <w:shd w:val="clear" w:color="000000" w:fill="002060"/>
            <w:hideMark/>
          </w:tcPr>
          <w:p w14:paraId="523947E4" w14:textId="77777777" w:rsidR="00E50B6B" w:rsidRPr="00000F38" w:rsidRDefault="00E50B6B" w:rsidP="00E50B6B">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Total Amount   (INR)</w:t>
            </w:r>
          </w:p>
        </w:tc>
        <w:tc>
          <w:tcPr>
            <w:tcW w:w="420" w:type="dxa"/>
            <w:tcBorders>
              <w:top w:val="nil"/>
              <w:left w:val="nil"/>
              <w:bottom w:val="single" w:sz="4" w:space="0" w:color="auto"/>
              <w:right w:val="single" w:sz="4" w:space="0" w:color="auto"/>
            </w:tcBorders>
            <w:shd w:val="clear" w:color="000000" w:fill="002060"/>
            <w:hideMark/>
          </w:tcPr>
          <w:p w14:paraId="7A87C879" w14:textId="77777777" w:rsidR="00E50B6B" w:rsidRPr="00000F38" w:rsidRDefault="00E50B6B" w:rsidP="00E50B6B">
            <w:pPr>
              <w:spacing w:after="0" w:line="240" w:lineRule="auto"/>
              <w:rPr>
                <w:rFonts w:eastAsia="Times New Roman" w:cstheme="minorHAnsi"/>
                <w:b/>
                <w:bCs/>
                <w:color w:val="FFFFFF"/>
                <w:lang w:val="en-GB" w:eastAsia="en-GB"/>
              </w:rPr>
            </w:pPr>
            <w:r w:rsidRPr="00000F38">
              <w:rPr>
                <w:rFonts w:eastAsia="Times New Roman" w:cstheme="minorHAnsi"/>
                <w:b/>
                <w:bCs/>
                <w:color w:val="FFFFFF"/>
                <w:lang w:val="en-GB" w:eastAsia="en-GB"/>
              </w:rPr>
              <w:t>Quantity</w:t>
            </w:r>
          </w:p>
        </w:tc>
        <w:tc>
          <w:tcPr>
            <w:tcW w:w="255" w:type="dxa"/>
            <w:tcBorders>
              <w:top w:val="nil"/>
              <w:left w:val="nil"/>
              <w:bottom w:val="single" w:sz="4" w:space="0" w:color="auto"/>
              <w:right w:val="single" w:sz="4" w:space="0" w:color="auto"/>
            </w:tcBorders>
            <w:shd w:val="clear" w:color="000000" w:fill="002060"/>
            <w:hideMark/>
          </w:tcPr>
          <w:p w14:paraId="4622B135" w14:textId="77777777" w:rsidR="00E50B6B" w:rsidRPr="00000F38" w:rsidRDefault="00E50B6B" w:rsidP="00E50B6B">
            <w:pPr>
              <w:spacing w:after="0" w:line="240" w:lineRule="auto"/>
              <w:rPr>
                <w:rFonts w:eastAsia="Times New Roman" w:cstheme="minorHAnsi"/>
                <w:b/>
                <w:bCs/>
                <w:color w:val="FFFFFF"/>
                <w:lang w:val="en-GB" w:eastAsia="en-GB"/>
              </w:rPr>
            </w:pPr>
            <w:r w:rsidRPr="00000F38">
              <w:rPr>
                <w:rFonts w:eastAsia="Times New Roman" w:cstheme="minorHAnsi"/>
                <w:b/>
                <w:bCs/>
                <w:color w:val="FFFFFF"/>
                <w:lang w:val="en-GB" w:eastAsia="en-GB"/>
              </w:rPr>
              <w:t>Rate (INR)</w:t>
            </w:r>
          </w:p>
        </w:tc>
        <w:tc>
          <w:tcPr>
            <w:tcW w:w="389" w:type="dxa"/>
            <w:tcBorders>
              <w:top w:val="nil"/>
              <w:left w:val="nil"/>
              <w:bottom w:val="single" w:sz="4" w:space="0" w:color="auto"/>
              <w:right w:val="single" w:sz="4" w:space="0" w:color="auto"/>
            </w:tcBorders>
            <w:shd w:val="clear" w:color="000000" w:fill="002060"/>
            <w:hideMark/>
          </w:tcPr>
          <w:p w14:paraId="3BF523C8" w14:textId="77777777" w:rsidR="00E50B6B" w:rsidRPr="00000F38" w:rsidRDefault="00E50B6B" w:rsidP="00E50B6B">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Total Amount   (INR)</w:t>
            </w:r>
          </w:p>
        </w:tc>
        <w:tc>
          <w:tcPr>
            <w:tcW w:w="420" w:type="dxa"/>
            <w:tcBorders>
              <w:top w:val="nil"/>
              <w:left w:val="nil"/>
              <w:bottom w:val="single" w:sz="4" w:space="0" w:color="auto"/>
              <w:right w:val="single" w:sz="4" w:space="0" w:color="auto"/>
            </w:tcBorders>
            <w:shd w:val="clear" w:color="000000" w:fill="002060"/>
            <w:hideMark/>
          </w:tcPr>
          <w:p w14:paraId="466A8E37" w14:textId="77777777" w:rsidR="00E50B6B" w:rsidRPr="00000F38" w:rsidRDefault="00E50B6B" w:rsidP="00E50B6B">
            <w:pPr>
              <w:spacing w:after="0" w:line="240" w:lineRule="auto"/>
              <w:rPr>
                <w:rFonts w:eastAsia="Times New Roman" w:cstheme="minorHAnsi"/>
                <w:b/>
                <w:bCs/>
                <w:color w:val="FFFFFF"/>
                <w:lang w:val="en-GB" w:eastAsia="en-GB"/>
              </w:rPr>
            </w:pPr>
            <w:r w:rsidRPr="00000F38">
              <w:rPr>
                <w:rFonts w:eastAsia="Times New Roman" w:cstheme="minorHAnsi"/>
                <w:b/>
                <w:bCs/>
                <w:color w:val="FFFFFF"/>
                <w:lang w:val="en-GB" w:eastAsia="en-GB"/>
              </w:rPr>
              <w:t>Quantity</w:t>
            </w:r>
          </w:p>
        </w:tc>
        <w:tc>
          <w:tcPr>
            <w:tcW w:w="255" w:type="dxa"/>
            <w:tcBorders>
              <w:top w:val="nil"/>
              <w:left w:val="nil"/>
              <w:bottom w:val="single" w:sz="4" w:space="0" w:color="auto"/>
              <w:right w:val="single" w:sz="4" w:space="0" w:color="auto"/>
            </w:tcBorders>
            <w:shd w:val="clear" w:color="000000" w:fill="002060"/>
            <w:hideMark/>
          </w:tcPr>
          <w:p w14:paraId="00DEB6AA" w14:textId="77777777" w:rsidR="00E50B6B" w:rsidRPr="00000F38" w:rsidRDefault="00E50B6B" w:rsidP="00E50B6B">
            <w:pPr>
              <w:spacing w:after="0" w:line="240" w:lineRule="auto"/>
              <w:rPr>
                <w:rFonts w:eastAsia="Times New Roman" w:cstheme="minorHAnsi"/>
                <w:b/>
                <w:bCs/>
                <w:color w:val="FFFFFF"/>
                <w:lang w:val="en-GB" w:eastAsia="en-GB"/>
              </w:rPr>
            </w:pPr>
            <w:r w:rsidRPr="00000F38">
              <w:rPr>
                <w:rFonts w:eastAsia="Times New Roman" w:cstheme="minorHAnsi"/>
                <w:b/>
                <w:bCs/>
                <w:color w:val="FFFFFF"/>
                <w:lang w:val="en-GB" w:eastAsia="en-GB"/>
              </w:rPr>
              <w:t>Rate (INR)</w:t>
            </w:r>
          </w:p>
        </w:tc>
        <w:tc>
          <w:tcPr>
            <w:tcW w:w="389" w:type="dxa"/>
            <w:tcBorders>
              <w:top w:val="nil"/>
              <w:left w:val="nil"/>
              <w:bottom w:val="single" w:sz="4" w:space="0" w:color="auto"/>
              <w:right w:val="single" w:sz="4" w:space="0" w:color="auto"/>
            </w:tcBorders>
            <w:shd w:val="clear" w:color="000000" w:fill="002060"/>
            <w:hideMark/>
          </w:tcPr>
          <w:p w14:paraId="7B1253B2" w14:textId="77777777" w:rsidR="00E50B6B" w:rsidRPr="00000F38" w:rsidRDefault="00E50B6B" w:rsidP="00E50B6B">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Total Amount   (INR)</w:t>
            </w:r>
          </w:p>
        </w:tc>
        <w:tc>
          <w:tcPr>
            <w:tcW w:w="420" w:type="dxa"/>
            <w:tcBorders>
              <w:top w:val="nil"/>
              <w:left w:val="nil"/>
              <w:bottom w:val="single" w:sz="4" w:space="0" w:color="auto"/>
              <w:right w:val="single" w:sz="4" w:space="0" w:color="auto"/>
            </w:tcBorders>
            <w:shd w:val="clear" w:color="000000" w:fill="002060"/>
            <w:hideMark/>
          </w:tcPr>
          <w:p w14:paraId="0921DFDC" w14:textId="77777777" w:rsidR="00E50B6B" w:rsidRPr="00000F38" w:rsidRDefault="00E50B6B" w:rsidP="00E50B6B">
            <w:pPr>
              <w:spacing w:after="0" w:line="240" w:lineRule="auto"/>
              <w:rPr>
                <w:rFonts w:eastAsia="Times New Roman" w:cstheme="minorHAnsi"/>
                <w:b/>
                <w:bCs/>
                <w:color w:val="FFFFFF"/>
                <w:lang w:val="en-GB" w:eastAsia="en-GB"/>
              </w:rPr>
            </w:pPr>
            <w:r w:rsidRPr="00000F38">
              <w:rPr>
                <w:rFonts w:eastAsia="Times New Roman" w:cstheme="minorHAnsi"/>
                <w:b/>
                <w:bCs/>
                <w:color w:val="FFFFFF"/>
                <w:lang w:val="en-GB" w:eastAsia="en-GB"/>
              </w:rPr>
              <w:t>Quantity</w:t>
            </w:r>
          </w:p>
        </w:tc>
        <w:tc>
          <w:tcPr>
            <w:tcW w:w="255" w:type="dxa"/>
            <w:tcBorders>
              <w:top w:val="nil"/>
              <w:left w:val="nil"/>
              <w:bottom w:val="single" w:sz="4" w:space="0" w:color="auto"/>
              <w:right w:val="single" w:sz="4" w:space="0" w:color="auto"/>
            </w:tcBorders>
            <w:shd w:val="clear" w:color="000000" w:fill="002060"/>
            <w:hideMark/>
          </w:tcPr>
          <w:p w14:paraId="7395B43D" w14:textId="77777777" w:rsidR="00E50B6B" w:rsidRPr="00000F38" w:rsidRDefault="00E50B6B" w:rsidP="00E50B6B">
            <w:pPr>
              <w:spacing w:after="0" w:line="240" w:lineRule="auto"/>
              <w:rPr>
                <w:rFonts w:eastAsia="Times New Roman" w:cstheme="minorHAnsi"/>
                <w:b/>
                <w:bCs/>
                <w:color w:val="FFFFFF"/>
                <w:lang w:val="en-GB" w:eastAsia="en-GB"/>
              </w:rPr>
            </w:pPr>
            <w:r w:rsidRPr="00000F38">
              <w:rPr>
                <w:rFonts w:eastAsia="Times New Roman" w:cstheme="minorHAnsi"/>
                <w:b/>
                <w:bCs/>
                <w:color w:val="FFFFFF"/>
                <w:lang w:val="en-GB" w:eastAsia="en-GB"/>
              </w:rPr>
              <w:t>Rate (INR)</w:t>
            </w:r>
          </w:p>
        </w:tc>
        <w:tc>
          <w:tcPr>
            <w:tcW w:w="389" w:type="dxa"/>
            <w:tcBorders>
              <w:top w:val="nil"/>
              <w:left w:val="nil"/>
              <w:bottom w:val="single" w:sz="4" w:space="0" w:color="auto"/>
              <w:right w:val="single" w:sz="4" w:space="0" w:color="auto"/>
            </w:tcBorders>
            <w:shd w:val="clear" w:color="000000" w:fill="002060"/>
            <w:hideMark/>
          </w:tcPr>
          <w:p w14:paraId="513086A3" w14:textId="77777777" w:rsidR="00E50B6B" w:rsidRPr="00000F38" w:rsidRDefault="00E50B6B" w:rsidP="00E50B6B">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Total Amount   (INR)</w:t>
            </w:r>
          </w:p>
        </w:tc>
        <w:tc>
          <w:tcPr>
            <w:tcW w:w="389" w:type="dxa"/>
            <w:tcBorders>
              <w:top w:val="nil"/>
              <w:left w:val="nil"/>
              <w:bottom w:val="single" w:sz="4" w:space="0" w:color="auto"/>
              <w:right w:val="single" w:sz="4" w:space="0" w:color="auto"/>
            </w:tcBorders>
            <w:shd w:val="clear" w:color="000000" w:fill="002060"/>
            <w:hideMark/>
          </w:tcPr>
          <w:p w14:paraId="4DAA0C6E" w14:textId="77777777" w:rsidR="00E50B6B" w:rsidRPr="00000F38" w:rsidRDefault="00E50B6B" w:rsidP="00E50B6B">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Total Amount for 5 years (INR)</w:t>
            </w:r>
          </w:p>
        </w:tc>
      </w:tr>
      <w:tr w:rsidR="00E50B6B" w:rsidRPr="00000F38" w14:paraId="7B2979B9" w14:textId="77777777" w:rsidTr="00E50B6B">
        <w:trPr>
          <w:trHeight w:val="255"/>
        </w:trPr>
        <w:tc>
          <w:tcPr>
            <w:tcW w:w="159" w:type="dxa"/>
            <w:tcBorders>
              <w:top w:val="nil"/>
              <w:left w:val="single" w:sz="4" w:space="0" w:color="auto"/>
              <w:bottom w:val="single" w:sz="4" w:space="0" w:color="auto"/>
              <w:right w:val="single" w:sz="4" w:space="0" w:color="auto"/>
            </w:tcBorders>
            <w:shd w:val="clear" w:color="auto" w:fill="auto"/>
            <w:hideMark/>
          </w:tcPr>
          <w:p w14:paraId="4B7458C1" w14:textId="77777777" w:rsidR="00E50B6B" w:rsidRPr="00000F38" w:rsidRDefault="00E50B6B" w:rsidP="00E50B6B">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1</w:t>
            </w:r>
          </w:p>
        </w:tc>
        <w:tc>
          <w:tcPr>
            <w:tcW w:w="2612" w:type="dxa"/>
            <w:tcBorders>
              <w:top w:val="nil"/>
              <w:left w:val="nil"/>
              <w:bottom w:val="single" w:sz="4" w:space="0" w:color="auto"/>
              <w:right w:val="single" w:sz="4" w:space="0" w:color="auto"/>
            </w:tcBorders>
            <w:shd w:val="clear" w:color="auto" w:fill="auto"/>
            <w:noWrap/>
            <w:vAlign w:val="center"/>
            <w:hideMark/>
          </w:tcPr>
          <w:p w14:paraId="497DB423" w14:textId="77777777" w:rsidR="00E50B6B" w:rsidRPr="00000F38" w:rsidRDefault="00E50B6B" w:rsidP="00E50B6B">
            <w:pPr>
              <w:spacing w:after="0" w:line="240" w:lineRule="auto"/>
              <w:jc w:val="both"/>
              <w:rPr>
                <w:rFonts w:eastAsia="Times New Roman" w:cstheme="minorHAnsi"/>
                <w:color w:val="000000"/>
                <w:lang w:val="en-GB" w:eastAsia="en-GB"/>
              </w:rPr>
            </w:pPr>
            <w:r w:rsidRPr="00000F38">
              <w:rPr>
                <w:rFonts w:eastAsia="Times New Roman" w:cstheme="minorHAnsi"/>
                <w:color w:val="000000"/>
                <w:lang w:val="en-GB" w:eastAsia="en-GB"/>
              </w:rPr>
              <w:t>Data Discovery &amp; Classification</w:t>
            </w:r>
          </w:p>
        </w:tc>
        <w:tc>
          <w:tcPr>
            <w:tcW w:w="536" w:type="dxa"/>
            <w:tcBorders>
              <w:top w:val="nil"/>
              <w:left w:val="nil"/>
              <w:bottom w:val="nil"/>
              <w:right w:val="nil"/>
            </w:tcBorders>
            <w:shd w:val="clear" w:color="auto" w:fill="auto"/>
            <w:hideMark/>
          </w:tcPr>
          <w:p w14:paraId="76747C40" w14:textId="77777777" w:rsidR="00E50B6B" w:rsidRPr="00000F38" w:rsidRDefault="00E50B6B" w:rsidP="00E50B6B">
            <w:pPr>
              <w:spacing w:after="0" w:line="240" w:lineRule="auto"/>
              <w:jc w:val="both"/>
              <w:rPr>
                <w:rFonts w:eastAsia="Times New Roman" w:cstheme="minorHAnsi"/>
                <w:color w:val="000000"/>
                <w:lang w:val="en-GB" w:eastAsia="en-GB"/>
              </w:rPr>
            </w:pPr>
          </w:p>
        </w:tc>
        <w:tc>
          <w:tcPr>
            <w:tcW w:w="420" w:type="dxa"/>
            <w:tcBorders>
              <w:top w:val="nil"/>
              <w:left w:val="single" w:sz="4" w:space="0" w:color="auto"/>
              <w:bottom w:val="single" w:sz="4" w:space="0" w:color="auto"/>
              <w:right w:val="single" w:sz="4" w:space="0" w:color="auto"/>
            </w:tcBorders>
            <w:shd w:val="clear" w:color="auto" w:fill="auto"/>
            <w:hideMark/>
          </w:tcPr>
          <w:p w14:paraId="6DCFA5C6"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55" w:type="dxa"/>
            <w:tcBorders>
              <w:top w:val="nil"/>
              <w:left w:val="nil"/>
              <w:bottom w:val="single" w:sz="4" w:space="0" w:color="auto"/>
              <w:right w:val="single" w:sz="4" w:space="0" w:color="auto"/>
            </w:tcBorders>
            <w:shd w:val="clear" w:color="auto" w:fill="auto"/>
            <w:hideMark/>
          </w:tcPr>
          <w:p w14:paraId="521786F4"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89" w:type="dxa"/>
            <w:tcBorders>
              <w:top w:val="nil"/>
              <w:left w:val="nil"/>
              <w:bottom w:val="single" w:sz="4" w:space="0" w:color="auto"/>
              <w:right w:val="single" w:sz="4" w:space="0" w:color="auto"/>
            </w:tcBorders>
            <w:shd w:val="clear" w:color="auto" w:fill="auto"/>
            <w:hideMark/>
          </w:tcPr>
          <w:p w14:paraId="6BA11960"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20" w:type="dxa"/>
            <w:tcBorders>
              <w:top w:val="nil"/>
              <w:left w:val="nil"/>
              <w:bottom w:val="single" w:sz="4" w:space="0" w:color="auto"/>
              <w:right w:val="single" w:sz="4" w:space="0" w:color="auto"/>
            </w:tcBorders>
            <w:shd w:val="pct50" w:color="000000" w:fill="auto"/>
            <w:hideMark/>
          </w:tcPr>
          <w:p w14:paraId="1E5776CE"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1C758B4A"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646D502D"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50A9B453"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1977B629"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20940CDA"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6ABDC562"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0D4A37AB"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73464048"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691D0DF4"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1AAD36F7"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022255BC"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clear" w:color="auto" w:fill="auto"/>
            <w:hideMark/>
          </w:tcPr>
          <w:p w14:paraId="7A3FC304"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E50B6B" w:rsidRPr="00000F38" w14:paraId="7D21C4F3" w14:textId="77777777" w:rsidTr="00E50B6B">
        <w:trPr>
          <w:trHeight w:val="255"/>
        </w:trPr>
        <w:tc>
          <w:tcPr>
            <w:tcW w:w="159" w:type="dxa"/>
            <w:tcBorders>
              <w:top w:val="nil"/>
              <w:left w:val="single" w:sz="4" w:space="0" w:color="auto"/>
              <w:bottom w:val="single" w:sz="4" w:space="0" w:color="auto"/>
              <w:right w:val="single" w:sz="4" w:space="0" w:color="auto"/>
            </w:tcBorders>
            <w:shd w:val="clear" w:color="auto" w:fill="auto"/>
            <w:hideMark/>
          </w:tcPr>
          <w:p w14:paraId="012F9623" w14:textId="77777777" w:rsidR="00E50B6B" w:rsidRPr="00000F38" w:rsidRDefault="00E50B6B" w:rsidP="00E50B6B">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2</w:t>
            </w:r>
          </w:p>
        </w:tc>
        <w:tc>
          <w:tcPr>
            <w:tcW w:w="2612" w:type="dxa"/>
            <w:tcBorders>
              <w:top w:val="nil"/>
              <w:left w:val="nil"/>
              <w:bottom w:val="single" w:sz="4" w:space="0" w:color="auto"/>
              <w:right w:val="single" w:sz="4" w:space="0" w:color="auto"/>
            </w:tcBorders>
            <w:shd w:val="clear" w:color="auto" w:fill="auto"/>
            <w:noWrap/>
            <w:vAlign w:val="center"/>
            <w:hideMark/>
          </w:tcPr>
          <w:p w14:paraId="199F6DCC" w14:textId="77777777" w:rsidR="00E50B6B" w:rsidRPr="00000F38" w:rsidRDefault="00E50B6B" w:rsidP="00E50B6B">
            <w:pPr>
              <w:spacing w:after="0" w:line="240" w:lineRule="auto"/>
              <w:jc w:val="both"/>
              <w:rPr>
                <w:rFonts w:eastAsia="Times New Roman" w:cstheme="minorHAnsi"/>
                <w:color w:val="000000"/>
                <w:lang w:val="en-GB" w:eastAsia="en-GB"/>
              </w:rPr>
            </w:pPr>
            <w:r w:rsidRPr="00000F38">
              <w:rPr>
                <w:rFonts w:eastAsia="Times New Roman" w:cstheme="minorHAnsi"/>
                <w:color w:val="000000"/>
                <w:lang w:val="en-GB" w:eastAsia="en-GB"/>
              </w:rPr>
              <w:t>File Upload Security Solution</w:t>
            </w:r>
          </w:p>
        </w:tc>
        <w:tc>
          <w:tcPr>
            <w:tcW w:w="536" w:type="dxa"/>
            <w:tcBorders>
              <w:top w:val="single" w:sz="4" w:space="0" w:color="auto"/>
              <w:left w:val="nil"/>
              <w:bottom w:val="single" w:sz="4" w:space="0" w:color="auto"/>
              <w:right w:val="single" w:sz="4" w:space="0" w:color="auto"/>
            </w:tcBorders>
            <w:shd w:val="clear" w:color="auto" w:fill="auto"/>
            <w:hideMark/>
          </w:tcPr>
          <w:p w14:paraId="1443DD9D" w14:textId="77777777" w:rsidR="00E50B6B" w:rsidRPr="00000F38" w:rsidRDefault="00E50B6B" w:rsidP="00E50B6B">
            <w:pPr>
              <w:spacing w:after="0" w:line="240" w:lineRule="auto"/>
              <w:rPr>
                <w:rFonts w:eastAsia="Times New Roman" w:cstheme="minorHAnsi"/>
                <w:b/>
                <w:bCs/>
                <w:i/>
                <w:iCs/>
                <w:color w:val="000000"/>
                <w:lang w:val="en-GB" w:eastAsia="en-GB"/>
              </w:rPr>
            </w:pPr>
            <w:r w:rsidRPr="00000F38">
              <w:rPr>
                <w:rFonts w:eastAsia="Times New Roman" w:cstheme="minorHAnsi"/>
                <w:b/>
                <w:bCs/>
                <w:i/>
                <w:iCs/>
                <w:color w:val="000000"/>
                <w:lang w:val="en-GB" w:eastAsia="en-GB"/>
              </w:rPr>
              <w:t> </w:t>
            </w:r>
          </w:p>
        </w:tc>
        <w:tc>
          <w:tcPr>
            <w:tcW w:w="420" w:type="dxa"/>
            <w:tcBorders>
              <w:top w:val="nil"/>
              <w:left w:val="nil"/>
              <w:bottom w:val="single" w:sz="4" w:space="0" w:color="auto"/>
              <w:right w:val="single" w:sz="4" w:space="0" w:color="auto"/>
            </w:tcBorders>
            <w:shd w:val="clear" w:color="auto" w:fill="auto"/>
            <w:hideMark/>
          </w:tcPr>
          <w:p w14:paraId="0A999F5A"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55" w:type="dxa"/>
            <w:tcBorders>
              <w:top w:val="nil"/>
              <w:left w:val="nil"/>
              <w:bottom w:val="single" w:sz="4" w:space="0" w:color="auto"/>
              <w:right w:val="single" w:sz="4" w:space="0" w:color="auto"/>
            </w:tcBorders>
            <w:shd w:val="clear" w:color="auto" w:fill="auto"/>
            <w:hideMark/>
          </w:tcPr>
          <w:p w14:paraId="4282EA38"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89" w:type="dxa"/>
            <w:tcBorders>
              <w:top w:val="nil"/>
              <w:left w:val="nil"/>
              <w:bottom w:val="single" w:sz="4" w:space="0" w:color="auto"/>
              <w:right w:val="single" w:sz="4" w:space="0" w:color="auto"/>
            </w:tcBorders>
            <w:shd w:val="clear" w:color="auto" w:fill="auto"/>
            <w:hideMark/>
          </w:tcPr>
          <w:p w14:paraId="3360301D"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20" w:type="dxa"/>
            <w:tcBorders>
              <w:top w:val="nil"/>
              <w:left w:val="nil"/>
              <w:bottom w:val="single" w:sz="4" w:space="0" w:color="auto"/>
              <w:right w:val="single" w:sz="4" w:space="0" w:color="auto"/>
            </w:tcBorders>
            <w:shd w:val="pct50" w:color="000000" w:fill="auto"/>
            <w:hideMark/>
          </w:tcPr>
          <w:p w14:paraId="0C228887"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23DC5B2B"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57A235F8"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04FD5186"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052D40C6"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341A9D29"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7C0BEE54"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70C314CF"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070232A1"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7A5CED7A"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5A0F5ADA"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1A1D4F04"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clear" w:color="auto" w:fill="auto"/>
            <w:hideMark/>
          </w:tcPr>
          <w:p w14:paraId="716CFC8E"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E50B6B" w:rsidRPr="00000F38" w14:paraId="51B4755F" w14:textId="77777777" w:rsidTr="00E50B6B">
        <w:trPr>
          <w:trHeight w:val="255"/>
        </w:trPr>
        <w:tc>
          <w:tcPr>
            <w:tcW w:w="159" w:type="dxa"/>
            <w:tcBorders>
              <w:top w:val="nil"/>
              <w:left w:val="single" w:sz="4" w:space="0" w:color="auto"/>
              <w:bottom w:val="single" w:sz="4" w:space="0" w:color="auto"/>
              <w:right w:val="single" w:sz="4" w:space="0" w:color="auto"/>
            </w:tcBorders>
            <w:shd w:val="clear" w:color="auto" w:fill="auto"/>
            <w:hideMark/>
          </w:tcPr>
          <w:p w14:paraId="138D97BD" w14:textId="77777777" w:rsidR="00E50B6B" w:rsidRPr="00000F38" w:rsidRDefault="00E50B6B" w:rsidP="00E50B6B">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3</w:t>
            </w:r>
          </w:p>
        </w:tc>
        <w:tc>
          <w:tcPr>
            <w:tcW w:w="2612" w:type="dxa"/>
            <w:tcBorders>
              <w:top w:val="nil"/>
              <w:left w:val="nil"/>
              <w:bottom w:val="single" w:sz="4" w:space="0" w:color="auto"/>
              <w:right w:val="single" w:sz="4" w:space="0" w:color="auto"/>
            </w:tcBorders>
            <w:shd w:val="clear" w:color="auto" w:fill="auto"/>
            <w:noWrap/>
            <w:vAlign w:val="center"/>
            <w:hideMark/>
          </w:tcPr>
          <w:p w14:paraId="3A02F212" w14:textId="77777777" w:rsidR="00E50B6B" w:rsidRPr="00000F38" w:rsidRDefault="00E50B6B" w:rsidP="00E50B6B">
            <w:pPr>
              <w:spacing w:after="0" w:line="240" w:lineRule="auto"/>
              <w:jc w:val="both"/>
              <w:rPr>
                <w:rFonts w:eastAsia="Times New Roman" w:cstheme="minorHAnsi"/>
                <w:color w:val="000000"/>
                <w:lang w:val="en-GB" w:eastAsia="en-GB"/>
              </w:rPr>
            </w:pPr>
            <w:r w:rsidRPr="00000F38">
              <w:rPr>
                <w:rFonts w:eastAsia="Times New Roman" w:cstheme="minorHAnsi"/>
                <w:color w:val="000000"/>
                <w:lang w:val="en-GB" w:eastAsia="en-GB"/>
              </w:rPr>
              <w:t>Attack Surface Management (ASM)</w:t>
            </w:r>
          </w:p>
        </w:tc>
        <w:tc>
          <w:tcPr>
            <w:tcW w:w="536" w:type="dxa"/>
            <w:tcBorders>
              <w:top w:val="nil"/>
              <w:left w:val="nil"/>
              <w:bottom w:val="single" w:sz="4" w:space="0" w:color="auto"/>
              <w:right w:val="single" w:sz="4" w:space="0" w:color="auto"/>
            </w:tcBorders>
            <w:shd w:val="clear" w:color="auto" w:fill="auto"/>
            <w:hideMark/>
          </w:tcPr>
          <w:p w14:paraId="1E0D7029" w14:textId="77777777" w:rsidR="00E50B6B" w:rsidRPr="00000F38" w:rsidRDefault="00E50B6B" w:rsidP="00E50B6B">
            <w:pPr>
              <w:spacing w:after="0" w:line="240" w:lineRule="auto"/>
              <w:rPr>
                <w:rFonts w:eastAsia="Times New Roman" w:cstheme="minorHAnsi"/>
                <w:b/>
                <w:bCs/>
                <w:i/>
                <w:iCs/>
                <w:color w:val="000000"/>
                <w:lang w:val="en-GB" w:eastAsia="en-GB"/>
              </w:rPr>
            </w:pPr>
            <w:r w:rsidRPr="00000F38">
              <w:rPr>
                <w:rFonts w:eastAsia="Times New Roman" w:cstheme="minorHAnsi"/>
                <w:b/>
                <w:bCs/>
                <w:i/>
                <w:iCs/>
                <w:color w:val="000000"/>
                <w:lang w:val="en-GB" w:eastAsia="en-GB"/>
              </w:rPr>
              <w:t> </w:t>
            </w:r>
          </w:p>
        </w:tc>
        <w:tc>
          <w:tcPr>
            <w:tcW w:w="420" w:type="dxa"/>
            <w:tcBorders>
              <w:top w:val="nil"/>
              <w:left w:val="nil"/>
              <w:bottom w:val="single" w:sz="4" w:space="0" w:color="auto"/>
              <w:right w:val="single" w:sz="4" w:space="0" w:color="auto"/>
            </w:tcBorders>
            <w:shd w:val="clear" w:color="auto" w:fill="auto"/>
            <w:hideMark/>
          </w:tcPr>
          <w:p w14:paraId="0494A3A6"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55" w:type="dxa"/>
            <w:tcBorders>
              <w:top w:val="nil"/>
              <w:left w:val="nil"/>
              <w:bottom w:val="single" w:sz="4" w:space="0" w:color="auto"/>
              <w:right w:val="single" w:sz="4" w:space="0" w:color="auto"/>
            </w:tcBorders>
            <w:shd w:val="clear" w:color="auto" w:fill="auto"/>
            <w:hideMark/>
          </w:tcPr>
          <w:p w14:paraId="5556C71C"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89" w:type="dxa"/>
            <w:tcBorders>
              <w:top w:val="nil"/>
              <w:left w:val="nil"/>
              <w:bottom w:val="single" w:sz="4" w:space="0" w:color="auto"/>
              <w:right w:val="single" w:sz="4" w:space="0" w:color="auto"/>
            </w:tcBorders>
            <w:shd w:val="clear" w:color="auto" w:fill="auto"/>
            <w:hideMark/>
          </w:tcPr>
          <w:p w14:paraId="7D2152A9"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20" w:type="dxa"/>
            <w:tcBorders>
              <w:top w:val="nil"/>
              <w:left w:val="nil"/>
              <w:bottom w:val="single" w:sz="4" w:space="0" w:color="auto"/>
              <w:right w:val="single" w:sz="4" w:space="0" w:color="auto"/>
            </w:tcBorders>
            <w:shd w:val="pct50" w:color="000000" w:fill="auto"/>
            <w:hideMark/>
          </w:tcPr>
          <w:p w14:paraId="026D2744"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30881792"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6FFD1AE6"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5BFDD8BF"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34710682"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6F136B03"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56FD3E5C"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4C4E3B65"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704961B6"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4A368305"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284D330E"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34AC6A91"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clear" w:color="auto" w:fill="auto"/>
            <w:hideMark/>
          </w:tcPr>
          <w:p w14:paraId="55810548"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E50B6B" w:rsidRPr="00000F38" w14:paraId="1E76F686" w14:textId="77777777" w:rsidTr="00E50B6B">
        <w:trPr>
          <w:trHeight w:val="510"/>
        </w:trPr>
        <w:tc>
          <w:tcPr>
            <w:tcW w:w="159" w:type="dxa"/>
            <w:tcBorders>
              <w:top w:val="nil"/>
              <w:left w:val="single" w:sz="4" w:space="0" w:color="auto"/>
              <w:bottom w:val="single" w:sz="4" w:space="0" w:color="auto"/>
              <w:right w:val="single" w:sz="4" w:space="0" w:color="auto"/>
            </w:tcBorders>
            <w:shd w:val="clear" w:color="auto" w:fill="auto"/>
            <w:hideMark/>
          </w:tcPr>
          <w:p w14:paraId="13078BAA" w14:textId="77777777" w:rsidR="00E50B6B" w:rsidRPr="00000F38" w:rsidRDefault="00E50B6B" w:rsidP="00E50B6B">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4</w:t>
            </w:r>
          </w:p>
        </w:tc>
        <w:tc>
          <w:tcPr>
            <w:tcW w:w="2612" w:type="dxa"/>
            <w:tcBorders>
              <w:top w:val="nil"/>
              <w:left w:val="nil"/>
              <w:bottom w:val="single" w:sz="4" w:space="0" w:color="auto"/>
              <w:right w:val="single" w:sz="4" w:space="0" w:color="auto"/>
            </w:tcBorders>
            <w:shd w:val="clear" w:color="auto" w:fill="auto"/>
            <w:noWrap/>
            <w:vAlign w:val="center"/>
            <w:hideMark/>
          </w:tcPr>
          <w:p w14:paraId="2385BD8B" w14:textId="77777777" w:rsidR="00E50B6B" w:rsidRPr="00000F38" w:rsidRDefault="00E50B6B" w:rsidP="00E50B6B">
            <w:pPr>
              <w:spacing w:after="0" w:line="240" w:lineRule="auto"/>
              <w:jc w:val="both"/>
              <w:rPr>
                <w:rFonts w:eastAsia="Times New Roman" w:cstheme="minorHAnsi"/>
                <w:color w:val="000000"/>
                <w:lang w:val="en-GB" w:eastAsia="en-GB"/>
              </w:rPr>
            </w:pPr>
            <w:r w:rsidRPr="00000F38">
              <w:rPr>
                <w:rFonts w:eastAsia="Times New Roman" w:cstheme="minorHAnsi"/>
                <w:color w:val="000000"/>
                <w:lang w:val="en-GB" w:eastAsia="en-GB"/>
              </w:rPr>
              <w:t>Breach and Attack Simulation (BAS) with Red Team Solution</w:t>
            </w:r>
          </w:p>
        </w:tc>
        <w:tc>
          <w:tcPr>
            <w:tcW w:w="536" w:type="dxa"/>
            <w:tcBorders>
              <w:top w:val="nil"/>
              <w:left w:val="nil"/>
              <w:bottom w:val="single" w:sz="4" w:space="0" w:color="auto"/>
              <w:right w:val="single" w:sz="4" w:space="0" w:color="auto"/>
            </w:tcBorders>
            <w:shd w:val="clear" w:color="auto" w:fill="auto"/>
            <w:hideMark/>
          </w:tcPr>
          <w:p w14:paraId="5CC54D98" w14:textId="77777777" w:rsidR="00E50B6B" w:rsidRPr="00000F38" w:rsidRDefault="00E50B6B" w:rsidP="00E50B6B">
            <w:pPr>
              <w:spacing w:after="0" w:line="240" w:lineRule="auto"/>
              <w:rPr>
                <w:rFonts w:eastAsia="Times New Roman" w:cstheme="minorHAnsi"/>
                <w:b/>
                <w:bCs/>
                <w:i/>
                <w:iCs/>
                <w:color w:val="000000"/>
                <w:lang w:val="en-GB" w:eastAsia="en-GB"/>
              </w:rPr>
            </w:pPr>
            <w:r w:rsidRPr="00000F38">
              <w:rPr>
                <w:rFonts w:eastAsia="Times New Roman" w:cstheme="minorHAnsi"/>
                <w:b/>
                <w:bCs/>
                <w:i/>
                <w:iCs/>
                <w:color w:val="000000"/>
                <w:lang w:val="en-GB" w:eastAsia="en-GB"/>
              </w:rPr>
              <w:t> </w:t>
            </w:r>
          </w:p>
        </w:tc>
        <w:tc>
          <w:tcPr>
            <w:tcW w:w="420" w:type="dxa"/>
            <w:tcBorders>
              <w:top w:val="nil"/>
              <w:left w:val="nil"/>
              <w:bottom w:val="single" w:sz="4" w:space="0" w:color="auto"/>
              <w:right w:val="single" w:sz="4" w:space="0" w:color="auto"/>
            </w:tcBorders>
            <w:shd w:val="clear" w:color="auto" w:fill="auto"/>
            <w:hideMark/>
          </w:tcPr>
          <w:p w14:paraId="183EA0BB"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55" w:type="dxa"/>
            <w:tcBorders>
              <w:top w:val="nil"/>
              <w:left w:val="nil"/>
              <w:bottom w:val="single" w:sz="4" w:space="0" w:color="auto"/>
              <w:right w:val="single" w:sz="4" w:space="0" w:color="auto"/>
            </w:tcBorders>
            <w:shd w:val="clear" w:color="auto" w:fill="auto"/>
            <w:hideMark/>
          </w:tcPr>
          <w:p w14:paraId="35A8D79D"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89" w:type="dxa"/>
            <w:tcBorders>
              <w:top w:val="nil"/>
              <w:left w:val="nil"/>
              <w:bottom w:val="single" w:sz="4" w:space="0" w:color="auto"/>
              <w:right w:val="single" w:sz="4" w:space="0" w:color="auto"/>
            </w:tcBorders>
            <w:shd w:val="clear" w:color="auto" w:fill="auto"/>
            <w:hideMark/>
          </w:tcPr>
          <w:p w14:paraId="296465EC"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20" w:type="dxa"/>
            <w:tcBorders>
              <w:top w:val="nil"/>
              <w:left w:val="nil"/>
              <w:bottom w:val="single" w:sz="4" w:space="0" w:color="auto"/>
              <w:right w:val="single" w:sz="4" w:space="0" w:color="auto"/>
            </w:tcBorders>
            <w:shd w:val="pct50" w:color="000000" w:fill="auto"/>
            <w:hideMark/>
          </w:tcPr>
          <w:p w14:paraId="0BA6D7F1"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1AB6FDCA"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7932DB90"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2F1E1175"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2F908FF2"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57EEF39B"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05046019"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13E749F2"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2B0C787F"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187760BA"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36C68913"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79857F02"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clear" w:color="auto" w:fill="auto"/>
            <w:hideMark/>
          </w:tcPr>
          <w:p w14:paraId="11665927"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E50B6B" w:rsidRPr="00000F38" w14:paraId="656012F7" w14:textId="77777777" w:rsidTr="00E50B6B">
        <w:trPr>
          <w:trHeight w:val="255"/>
        </w:trPr>
        <w:tc>
          <w:tcPr>
            <w:tcW w:w="159" w:type="dxa"/>
            <w:tcBorders>
              <w:top w:val="nil"/>
              <w:left w:val="single" w:sz="4" w:space="0" w:color="auto"/>
              <w:bottom w:val="single" w:sz="4" w:space="0" w:color="auto"/>
              <w:right w:val="single" w:sz="4" w:space="0" w:color="auto"/>
            </w:tcBorders>
            <w:shd w:val="clear" w:color="auto" w:fill="auto"/>
            <w:hideMark/>
          </w:tcPr>
          <w:p w14:paraId="54DC45D9" w14:textId="77777777" w:rsidR="00E50B6B" w:rsidRPr="00000F38" w:rsidRDefault="00E50B6B" w:rsidP="00E50B6B">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5</w:t>
            </w:r>
          </w:p>
        </w:tc>
        <w:tc>
          <w:tcPr>
            <w:tcW w:w="2612" w:type="dxa"/>
            <w:tcBorders>
              <w:top w:val="nil"/>
              <w:left w:val="nil"/>
              <w:bottom w:val="single" w:sz="4" w:space="0" w:color="auto"/>
              <w:right w:val="single" w:sz="4" w:space="0" w:color="auto"/>
            </w:tcBorders>
            <w:shd w:val="clear" w:color="auto" w:fill="auto"/>
            <w:noWrap/>
            <w:vAlign w:val="center"/>
            <w:hideMark/>
          </w:tcPr>
          <w:p w14:paraId="21708780" w14:textId="77777777" w:rsidR="00E50B6B" w:rsidRPr="00000F38" w:rsidRDefault="00E50B6B" w:rsidP="00E50B6B">
            <w:pPr>
              <w:spacing w:after="0" w:line="240" w:lineRule="auto"/>
              <w:jc w:val="both"/>
              <w:rPr>
                <w:rFonts w:eastAsia="Times New Roman" w:cstheme="minorHAnsi"/>
                <w:color w:val="000000"/>
                <w:lang w:val="en-GB" w:eastAsia="en-GB"/>
              </w:rPr>
            </w:pPr>
            <w:r w:rsidRPr="00000F38">
              <w:rPr>
                <w:rFonts w:eastAsia="Times New Roman" w:cstheme="minorHAnsi"/>
                <w:color w:val="000000"/>
                <w:lang w:val="en-GB" w:eastAsia="en-GB"/>
              </w:rPr>
              <w:t>Phishing Simulation</w:t>
            </w:r>
          </w:p>
        </w:tc>
        <w:tc>
          <w:tcPr>
            <w:tcW w:w="536" w:type="dxa"/>
            <w:tcBorders>
              <w:top w:val="nil"/>
              <w:left w:val="nil"/>
              <w:bottom w:val="single" w:sz="4" w:space="0" w:color="auto"/>
              <w:right w:val="single" w:sz="4" w:space="0" w:color="auto"/>
            </w:tcBorders>
            <w:shd w:val="clear" w:color="auto" w:fill="auto"/>
            <w:hideMark/>
          </w:tcPr>
          <w:p w14:paraId="750B0207" w14:textId="77777777" w:rsidR="00E50B6B" w:rsidRPr="00000F38" w:rsidRDefault="00E50B6B" w:rsidP="00E50B6B">
            <w:pPr>
              <w:spacing w:after="0" w:line="240" w:lineRule="auto"/>
              <w:rPr>
                <w:rFonts w:eastAsia="Times New Roman" w:cstheme="minorHAnsi"/>
                <w:b/>
                <w:bCs/>
                <w:i/>
                <w:iCs/>
                <w:color w:val="000000"/>
                <w:lang w:val="en-GB" w:eastAsia="en-GB"/>
              </w:rPr>
            </w:pPr>
            <w:r w:rsidRPr="00000F38">
              <w:rPr>
                <w:rFonts w:eastAsia="Times New Roman" w:cstheme="minorHAnsi"/>
                <w:b/>
                <w:bCs/>
                <w:i/>
                <w:iCs/>
                <w:color w:val="000000"/>
                <w:lang w:val="en-GB" w:eastAsia="en-GB"/>
              </w:rPr>
              <w:t> </w:t>
            </w:r>
          </w:p>
        </w:tc>
        <w:tc>
          <w:tcPr>
            <w:tcW w:w="420" w:type="dxa"/>
            <w:tcBorders>
              <w:top w:val="nil"/>
              <w:left w:val="nil"/>
              <w:bottom w:val="single" w:sz="4" w:space="0" w:color="auto"/>
              <w:right w:val="single" w:sz="4" w:space="0" w:color="auto"/>
            </w:tcBorders>
            <w:shd w:val="clear" w:color="auto" w:fill="auto"/>
            <w:hideMark/>
          </w:tcPr>
          <w:p w14:paraId="4259C027"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55" w:type="dxa"/>
            <w:tcBorders>
              <w:top w:val="nil"/>
              <w:left w:val="nil"/>
              <w:bottom w:val="single" w:sz="4" w:space="0" w:color="auto"/>
              <w:right w:val="single" w:sz="4" w:space="0" w:color="auto"/>
            </w:tcBorders>
            <w:shd w:val="clear" w:color="auto" w:fill="auto"/>
            <w:hideMark/>
          </w:tcPr>
          <w:p w14:paraId="082D6A85"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89" w:type="dxa"/>
            <w:tcBorders>
              <w:top w:val="nil"/>
              <w:left w:val="nil"/>
              <w:bottom w:val="single" w:sz="4" w:space="0" w:color="auto"/>
              <w:right w:val="single" w:sz="4" w:space="0" w:color="auto"/>
            </w:tcBorders>
            <w:shd w:val="clear" w:color="auto" w:fill="auto"/>
            <w:hideMark/>
          </w:tcPr>
          <w:p w14:paraId="515C1555"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20" w:type="dxa"/>
            <w:tcBorders>
              <w:top w:val="nil"/>
              <w:left w:val="nil"/>
              <w:bottom w:val="single" w:sz="4" w:space="0" w:color="auto"/>
              <w:right w:val="single" w:sz="4" w:space="0" w:color="auto"/>
            </w:tcBorders>
            <w:shd w:val="pct50" w:color="000000" w:fill="auto"/>
            <w:hideMark/>
          </w:tcPr>
          <w:p w14:paraId="54AB2D60"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45F8B15D"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70B90F6E"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0691D637"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23D3BB26"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0CBF5901"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23C637AF"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0652F085"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36E1DDC8"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120615BB"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0E7C52C5"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52800D02"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clear" w:color="auto" w:fill="auto"/>
            <w:hideMark/>
          </w:tcPr>
          <w:p w14:paraId="157FDD78"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E50B6B" w:rsidRPr="00000F38" w14:paraId="73DDD71C" w14:textId="77777777" w:rsidTr="00E50B6B">
        <w:trPr>
          <w:trHeight w:val="255"/>
        </w:trPr>
        <w:tc>
          <w:tcPr>
            <w:tcW w:w="159" w:type="dxa"/>
            <w:tcBorders>
              <w:top w:val="nil"/>
              <w:left w:val="single" w:sz="4" w:space="0" w:color="auto"/>
              <w:bottom w:val="single" w:sz="4" w:space="0" w:color="auto"/>
              <w:right w:val="single" w:sz="4" w:space="0" w:color="auto"/>
            </w:tcBorders>
            <w:shd w:val="clear" w:color="auto" w:fill="auto"/>
            <w:hideMark/>
          </w:tcPr>
          <w:p w14:paraId="31C48DC9" w14:textId="77777777" w:rsidR="00E50B6B" w:rsidRPr="00000F38" w:rsidRDefault="00E50B6B" w:rsidP="00E50B6B">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6</w:t>
            </w:r>
          </w:p>
        </w:tc>
        <w:tc>
          <w:tcPr>
            <w:tcW w:w="2612" w:type="dxa"/>
            <w:tcBorders>
              <w:top w:val="nil"/>
              <w:left w:val="nil"/>
              <w:bottom w:val="single" w:sz="4" w:space="0" w:color="auto"/>
              <w:right w:val="single" w:sz="4" w:space="0" w:color="auto"/>
            </w:tcBorders>
            <w:shd w:val="clear" w:color="auto" w:fill="auto"/>
            <w:noWrap/>
            <w:vAlign w:val="center"/>
            <w:hideMark/>
          </w:tcPr>
          <w:p w14:paraId="5C801BC1" w14:textId="77777777" w:rsidR="00E50B6B" w:rsidRPr="00000F38" w:rsidRDefault="00E50B6B" w:rsidP="00E50B6B">
            <w:pPr>
              <w:spacing w:after="0" w:line="240" w:lineRule="auto"/>
              <w:jc w:val="both"/>
              <w:rPr>
                <w:rFonts w:eastAsia="Times New Roman" w:cstheme="minorHAnsi"/>
                <w:color w:val="000000"/>
                <w:lang w:val="en-GB" w:eastAsia="en-GB"/>
              </w:rPr>
            </w:pPr>
            <w:r w:rsidRPr="00000F38">
              <w:rPr>
                <w:rFonts w:eastAsia="Times New Roman" w:cstheme="minorHAnsi"/>
                <w:color w:val="000000"/>
                <w:lang w:val="en-GB" w:eastAsia="en-GB"/>
              </w:rPr>
              <w:t>AD Security</w:t>
            </w:r>
          </w:p>
        </w:tc>
        <w:tc>
          <w:tcPr>
            <w:tcW w:w="536" w:type="dxa"/>
            <w:tcBorders>
              <w:top w:val="nil"/>
              <w:left w:val="nil"/>
              <w:bottom w:val="single" w:sz="4" w:space="0" w:color="auto"/>
              <w:right w:val="single" w:sz="4" w:space="0" w:color="auto"/>
            </w:tcBorders>
            <w:shd w:val="clear" w:color="auto" w:fill="auto"/>
            <w:hideMark/>
          </w:tcPr>
          <w:p w14:paraId="39B59CBF" w14:textId="77777777" w:rsidR="00E50B6B" w:rsidRPr="00000F38" w:rsidRDefault="00E50B6B" w:rsidP="00E50B6B">
            <w:pPr>
              <w:spacing w:after="0" w:line="240" w:lineRule="auto"/>
              <w:rPr>
                <w:rFonts w:eastAsia="Times New Roman" w:cstheme="minorHAnsi"/>
                <w:b/>
                <w:bCs/>
                <w:i/>
                <w:iCs/>
                <w:color w:val="000000"/>
                <w:lang w:val="en-GB" w:eastAsia="en-GB"/>
              </w:rPr>
            </w:pPr>
            <w:r w:rsidRPr="00000F38">
              <w:rPr>
                <w:rFonts w:eastAsia="Times New Roman" w:cstheme="minorHAnsi"/>
                <w:b/>
                <w:bCs/>
                <w:i/>
                <w:iCs/>
                <w:color w:val="000000"/>
                <w:lang w:val="en-GB" w:eastAsia="en-GB"/>
              </w:rPr>
              <w:t> </w:t>
            </w:r>
          </w:p>
        </w:tc>
        <w:tc>
          <w:tcPr>
            <w:tcW w:w="420" w:type="dxa"/>
            <w:tcBorders>
              <w:top w:val="nil"/>
              <w:left w:val="nil"/>
              <w:bottom w:val="single" w:sz="4" w:space="0" w:color="auto"/>
              <w:right w:val="single" w:sz="4" w:space="0" w:color="auto"/>
            </w:tcBorders>
            <w:shd w:val="clear" w:color="auto" w:fill="auto"/>
            <w:hideMark/>
          </w:tcPr>
          <w:p w14:paraId="074B18DE"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55" w:type="dxa"/>
            <w:tcBorders>
              <w:top w:val="nil"/>
              <w:left w:val="nil"/>
              <w:bottom w:val="single" w:sz="4" w:space="0" w:color="auto"/>
              <w:right w:val="single" w:sz="4" w:space="0" w:color="auto"/>
            </w:tcBorders>
            <w:shd w:val="clear" w:color="auto" w:fill="auto"/>
            <w:hideMark/>
          </w:tcPr>
          <w:p w14:paraId="6705A914"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89" w:type="dxa"/>
            <w:tcBorders>
              <w:top w:val="nil"/>
              <w:left w:val="nil"/>
              <w:bottom w:val="single" w:sz="4" w:space="0" w:color="auto"/>
              <w:right w:val="single" w:sz="4" w:space="0" w:color="auto"/>
            </w:tcBorders>
            <w:shd w:val="clear" w:color="auto" w:fill="auto"/>
            <w:hideMark/>
          </w:tcPr>
          <w:p w14:paraId="5F345974"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20" w:type="dxa"/>
            <w:tcBorders>
              <w:top w:val="nil"/>
              <w:left w:val="nil"/>
              <w:bottom w:val="single" w:sz="4" w:space="0" w:color="auto"/>
              <w:right w:val="single" w:sz="4" w:space="0" w:color="auto"/>
            </w:tcBorders>
            <w:shd w:val="pct50" w:color="000000" w:fill="auto"/>
            <w:hideMark/>
          </w:tcPr>
          <w:p w14:paraId="76589446"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3F3D392A"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2AC6E44A"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2B30B12B"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060980A3"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3598A1AA"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3B7ED64B"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0BEFC56E"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0875B9B2"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2761A600"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682A1AA6"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324D4B8A"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clear" w:color="auto" w:fill="auto"/>
            <w:hideMark/>
          </w:tcPr>
          <w:p w14:paraId="5A57C2ED"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E50B6B" w:rsidRPr="00000F38" w14:paraId="76C42220" w14:textId="77777777" w:rsidTr="00E50B6B">
        <w:trPr>
          <w:trHeight w:val="255"/>
        </w:trPr>
        <w:tc>
          <w:tcPr>
            <w:tcW w:w="159" w:type="dxa"/>
            <w:tcBorders>
              <w:top w:val="nil"/>
              <w:left w:val="single" w:sz="4" w:space="0" w:color="auto"/>
              <w:bottom w:val="single" w:sz="4" w:space="0" w:color="auto"/>
              <w:right w:val="single" w:sz="4" w:space="0" w:color="auto"/>
            </w:tcBorders>
            <w:shd w:val="clear" w:color="auto" w:fill="auto"/>
            <w:hideMark/>
          </w:tcPr>
          <w:p w14:paraId="20924549" w14:textId="77777777" w:rsidR="00E50B6B" w:rsidRPr="00000F38" w:rsidRDefault="00E50B6B" w:rsidP="00E50B6B">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7</w:t>
            </w:r>
          </w:p>
        </w:tc>
        <w:tc>
          <w:tcPr>
            <w:tcW w:w="2612" w:type="dxa"/>
            <w:tcBorders>
              <w:top w:val="nil"/>
              <w:left w:val="nil"/>
              <w:bottom w:val="single" w:sz="4" w:space="0" w:color="auto"/>
              <w:right w:val="single" w:sz="4" w:space="0" w:color="auto"/>
            </w:tcBorders>
            <w:shd w:val="clear" w:color="auto" w:fill="auto"/>
            <w:noWrap/>
            <w:vAlign w:val="center"/>
            <w:hideMark/>
          </w:tcPr>
          <w:p w14:paraId="2678BB97" w14:textId="77777777" w:rsidR="00E50B6B" w:rsidRPr="00000F38" w:rsidRDefault="00E50B6B" w:rsidP="00E50B6B">
            <w:pPr>
              <w:spacing w:after="0" w:line="240" w:lineRule="auto"/>
              <w:jc w:val="both"/>
              <w:rPr>
                <w:rFonts w:eastAsia="Times New Roman" w:cstheme="minorHAnsi"/>
                <w:color w:val="000000"/>
                <w:lang w:val="en-GB" w:eastAsia="en-GB"/>
              </w:rPr>
            </w:pPr>
            <w:r w:rsidRPr="00000F38">
              <w:rPr>
                <w:rFonts w:eastAsia="Times New Roman" w:cstheme="minorHAnsi"/>
                <w:color w:val="000000"/>
                <w:lang w:val="en-GB" w:eastAsia="en-GB"/>
              </w:rPr>
              <w:t>Governance, Risk and Compliance</w:t>
            </w:r>
          </w:p>
        </w:tc>
        <w:tc>
          <w:tcPr>
            <w:tcW w:w="536" w:type="dxa"/>
            <w:tcBorders>
              <w:top w:val="nil"/>
              <w:left w:val="nil"/>
              <w:bottom w:val="single" w:sz="4" w:space="0" w:color="auto"/>
              <w:right w:val="single" w:sz="4" w:space="0" w:color="auto"/>
            </w:tcBorders>
            <w:shd w:val="clear" w:color="auto" w:fill="auto"/>
            <w:hideMark/>
          </w:tcPr>
          <w:p w14:paraId="00C160EF" w14:textId="77777777" w:rsidR="00E50B6B" w:rsidRPr="00000F38" w:rsidRDefault="00E50B6B" w:rsidP="00E50B6B">
            <w:pPr>
              <w:spacing w:after="0" w:line="240" w:lineRule="auto"/>
              <w:rPr>
                <w:rFonts w:eastAsia="Times New Roman" w:cstheme="minorHAnsi"/>
                <w:b/>
                <w:bCs/>
                <w:i/>
                <w:iCs/>
                <w:color w:val="000000"/>
                <w:lang w:val="en-GB" w:eastAsia="en-GB"/>
              </w:rPr>
            </w:pPr>
            <w:r w:rsidRPr="00000F38">
              <w:rPr>
                <w:rFonts w:eastAsia="Times New Roman" w:cstheme="minorHAnsi"/>
                <w:b/>
                <w:bCs/>
                <w:i/>
                <w:iCs/>
                <w:color w:val="000000"/>
                <w:lang w:val="en-GB" w:eastAsia="en-GB"/>
              </w:rPr>
              <w:t> </w:t>
            </w:r>
          </w:p>
        </w:tc>
        <w:tc>
          <w:tcPr>
            <w:tcW w:w="420" w:type="dxa"/>
            <w:tcBorders>
              <w:top w:val="nil"/>
              <w:left w:val="nil"/>
              <w:bottom w:val="single" w:sz="4" w:space="0" w:color="auto"/>
              <w:right w:val="single" w:sz="4" w:space="0" w:color="auto"/>
            </w:tcBorders>
            <w:shd w:val="clear" w:color="auto" w:fill="auto"/>
            <w:hideMark/>
          </w:tcPr>
          <w:p w14:paraId="15B05278"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55" w:type="dxa"/>
            <w:tcBorders>
              <w:top w:val="nil"/>
              <w:left w:val="nil"/>
              <w:bottom w:val="single" w:sz="4" w:space="0" w:color="auto"/>
              <w:right w:val="single" w:sz="4" w:space="0" w:color="auto"/>
            </w:tcBorders>
            <w:shd w:val="clear" w:color="auto" w:fill="auto"/>
            <w:hideMark/>
          </w:tcPr>
          <w:p w14:paraId="28588E6D"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89" w:type="dxa"/>
            <w:tcBorders>
              <w:top w:val="nil"/>
              <w:left w:val="nil"/>
              <w:bottom w:val="single" w:sz="4" w:space="0" w:color="auto"/>
              <w:right w:val="single" w:sz="4" w:space="0" w:color="auto"/>
            </w:tcBorders>
            <w:shd w:val="clear" w:color="auto" w:fill="auto"/>
            <w:hideMark/>
          </w:tcPr>
          <w:p w14:paraId="685CBFDA"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20" w:type="dxa"/>
            <w:tcBorders>
              <w:top w:val="nil"/>
              <w:left w:val="nil"/>
              <w:bottom w:val="single" w:sz="4" w:space="0" w:color="auto"/>
              <w:right w:val="single" w:sz="4" w:space="0" w:color="auto"/>
            </w:tcBorders>
            <w:shd w:val="pct50" w:color="000000" w:fill="auto"/>
            <w:hideMark/>
          </w:tcPr>
          <w:p w14:paraId="493904FE"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2B8170EC"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1FD5CFC0"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688FAD33"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6AF45D0F"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3BA2F8FE"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7636FB84"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365BEF97"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0003386B"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16981C11"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64797EAF"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23FDE451"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clear" w:color="auto" w:fill="auto"/>
            <w:hideMark/>
          </w:tcPr>
          <w:p w14:paraId="5E2CC666"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E50B6B" w:rsidRPr="00000F38" w14:paraId="67728C7B" w14:textId="77777777" w:rsidTr="00E50B6B">
        <w:trPr>
          <w:trHeight w:val="255"/>
        </w:trPr>
        <w:tc>
          <w:tcPr>
            <w:tcW w:w="159" w:type="dxa"/>
            <w:tcBorders>
              <w:top w:val="nil"/>
              <w:left w:val="single" w:sz="4" w:space="0" w:color="auto"/>
              <w:bottom w:val="single" w:sz="4" w:space="0" w:color="auto"/>
              <w:right w:val="single" w:sz="4" w:space="0" w:color="auto"/>
            </w:tcBorders>
            <w:shd w:val="clear" w:color="auto" w:fill="auto"/>
            <w:hideMark/>
          </w:tcPr>
          <w:p w14:paraId="5D5E151E" w14:textId="77777777" w:rsidR="00E50B6B" w:rsidRPr="00000F38" w:rsidRDefault="00E50B6B" w:rsidP="00E50B6B">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8</w:t>
            </w:r>
          </w:p>
        </w:tc>
        <w:tc>
          <w:tcPr>
            <w:tcW w:w="2612" w:type="dxa"/>
            <w:tcBorders>
              <w:top w:val="nil"/>
              <w:left w:val="nil"/>
              <w:bottom w:val="single" w:sz="4" w:space="0" w:color="auto"/>
              <w:right w:val="single" w:sz="4" w:space="0" w:color="auto"/>
            </w:tcBorders>
            <w:shd w:val="clear" w:color="auto" w:fill="auto"/>
            <w:noWrap/>
            <w:vAlign w:val="center"/>
            <w:hideMark/>
          </w:tcPr>
          <w:p w14:paraId="7D5D0486" w14:textId="77777777" w:rsidR="00E50B6B" w:rsidRPr="00000F38" w:rsidRDefault="00E50B6B" w:rsidP="00E50B6B">
            <w:pPr>
              <w:spacing w:after="0" w:line="240" w:lineRule="auto"/>
              <w:jc w:val="both"/>
              <w:rPr>
                <w:rFonts w:eastAsia="Times New Roman" w:cstheme="minorHAnsi"/>
                <w:color w:val="000000"/>
                <w:lang w:val="en-GB" w:eastAsia="en-GB"/>
              </w:rPr>
            </w:pPr>
            <w:r w:rsidRPr="00000F38">
              <w:rPr>
                <w:rFonts w:eastAsia="Times New Roman" w:cstheme="minorHAnsi"/>
                <w:color w:val="000000"/>
                <w:lang w:val="en-GB" w:eastAsia="en-GB"/>
              </w:rPr>
              <w:t>Decoy (Honeypot)</w:t>
            </w:r>
          </w:p>
        </w:tc>
        <w:tc>
          <w:tcPr>
            <w:tcW w:w="536" w:type="dxa"/>
            <w:tcBorders>
              <w:top w:val="nil"/>
              <w:left w:val="nil"/>
              <w:bottom w:val="single" w:sz="4" w:space="0" w:color="auto"/>
              <w:right w:val="single" w:sz="4" w:space="0" w:color="auto"/>
            </w:tcBorders>
            <w:shd w:val="clear" w:color="auto" w:fill="auto"/>
            <w:hideMark/>
          </w:tcPr>
          <w:p w14:paraId="748386B5" w14:textId="77777777" w:rsidR="00E50B6B" w:rsidRPr="00000F38" w:rsidRDefault="00E50B6B" w:rsidP="00E50B6B">
            <w:pPr>
              <w:spacing w:after="0" w:line="240" w:lineRule="auto"/>
              <w:rPr>
                <w:rFonts w:eastAsia="Times New Roman" w:cstheme="minorHAnsi"/>
                <w:b/>
                <w:bCs/>
                <w:i/>
                <w:iCs/>
                <w:color w:val="000000"/>
                <w:lang w:val="en-GB" w:eastAsia="en-GB"/>
              </w:rPr>
            </w:pPr>
            <w:r w:rsidRPr="00000F38">
              <w:rPr>
                <w:rFonts w:eastAsia="Times New Roman" w:cstheme="minorHAnsi"/>
                <w:b/>
                <w:bCs/>
                <w:i/>
                <w:iCs/>
                <w:color w:val="000000"/>
                <w:lang w:val="en-GB" w:eastAsia="en-GB"/>
              </w:rPr>
              <w:t> </w:t>
            </w:r>
          </w:p>
        </w:tc>
        <w:tc>
          <w:tcPr>
            <w:tcW w:w="420" w:type="dxa"/>
            <w:tcBorders>
              <w:top w:val="nil"/>
              <w:left w:val="nil"/>
              <w:bottom w:val="single" w:sz="4" w:space="0" w:color="auto"/>
              <w:right w:val="single" w:sz="4" w:space="0" w:color="auto"/>
            </w:tcBorders>
            <w:shd w:val="clear" w:color="auto" w:fill="auto"/>
            <w:hideMark/>
          </w:tcPr>
          <w:p w14:paraId="74D3BBAC"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55" w:type="dxa"/>
            <w:tcBorders>
              <w:top w:val="nil"/>
              <w:left w:val="nil"/>
              <w:bottom w:val="single" w:sz="4" w:space="0" w:color="auto"/>
              <w:right w:val="single" w:sz="4" w:space="0" w:color="auto"/>
            </w:tcBorders>
            <w:shd w:val="clear" w:color="auto" w:fill="auto"/>
            <w:hideMark/>
          </w:tcPr>
          <w:p w14:paraId="79D3A14E"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89" w:type="dxa"/>
            <w:tcBorders>
              <w:top w:val="nil"/>
              <w:left w:val="nil"/>
              <w:bottom w:val="single" w:sz="4" w:space="0" w:color="auto"/>
              <w:right w:val="single" w:sz="4" w:space="0" w:color="auto"/>
            </w:tcBorders>
            <w:shd w:val="clear" w:color="auto" w:fill="auto"/>
            <w:hideMark/>
          </w:tcPr>
          <w:p w14:paraId="46E015DC"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20" w:type="dxa"/>
            <w:tcBorders>
              <w:top w:val="nil"/>
              <w:left w:val="nil"/>
              <w:bottom w:val="single" w:sz="4" w:space="0" w:color="auto"/>
              <w:right w:val="single" w:sz="4" w:space="0" w:color="auto"/>
            </w:tcBorders>
            <w:shd w:val="pct50" w:color="000000" w:fill="auto"/>
            <w:hideMark/>
          </w:tcPr>
          <w:p w14:paraId="1DB381C0"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0A855AA6"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38F3591D"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6AAE79F6"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4289B6B2"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3832ACD2"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0B1CCC2F"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6AD1DD05"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101900A1"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2A39E50D"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0A14DEEB"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5DB8A3E1"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clear" w:color="auto" w:fill="auto"/>
            <w:hideMark/>
          </w:tcPr>
          <w:p w14:paraId="0F73C5A9"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E50B6B" w:rsidRPr="00000F38" w14:paraId="2642B09F" w14:textId="77777777" w:rsidTr="00E50B6B">
        <w:trPr>
          <w:trHeight w:val="255"/>
        </w:trPr>
        <w:tc>
          <w:tcPr>
            <w:tcW w:w="159" w:type="dxa"/>
            <w:tcBorders>
              <w:top w:val="nil"/>
              <w:left w:val="single" w:sz="4" w:space="0" w:color="auto"/>
              <w:bottom w:val="single" w:sz="4" w:space="0" w:color="auto"/>
              <w:right w:val="single" w:sz="4" w:space="0" w:color="auto"/>
            </w:tcBorders>
            <w:shd w:val="clear" w:color="auto" w:fill="auto"/>
            <w:hideMark/>
          </w:tcPr>
          <w:p w14:paraId="30842B58" w14:textId="77777777" w:rsidR="00E50B6B" w:rsidRPr="00000F38" w:rsidRDefault="00E50B6B" w:rsidP="00E50B6B">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9</w:t>
            </w:r>
          </w:p>
        </w:tc>
        <w:tc>
          <w:tcPr>
            <w:tcW w:w="2612" w:type="dxa"/>
            <w:tcBorders>
              <w:top w:val="nil"/>
              <w:left w:val="nil"/>
              <w:bottom w:val="single" w:sz="4" w:space="0" w:color="auto"/>
              <w:right w:val="single" w:sz="4" w:space="0" w:color="auto"/>
            </w:tcBorders>
            <w:shd w:val="clear" w:color="auto" w:fill="auto"/>
            <w:noWrap/>
            <w:vAlign w:val="center"/>
            <w:hideMark/>
          </w:tcPr>
          <w:p w14:paraId="597F8E95" w14:textId="77777777" w:rsidR="00E50B6B" w:rsidRPr="00000F38" w:rsidRDefault="00E50B6B" w:rsidP="00E50B6B">
            <w:pPr>
              <w:spacing w:after="0" w:line="240" w:lineRule="auto"/>
              <w:jc w:val="both"/>
              <w:rPr>
                <w:rFonts w:eastAsia="Times New Roman" w:cstheme="minorHAnsi"/>
                <w:color w:val="000000"/>
                <w:lang w:val="en-GB" w:eastAsia="en-GB"/>
              </w:rPr>
            </w:pPr>
            <w:r w:rsidRPr="00000F38">
              <w:rPr>
                <w:rFonts w:eastAsia="Times New Roman" w:cstheme="minorHAnsi"/>
                <w:color w:val="000000"/>
                <w:lang w:val="en-GB" w:eastAsia="en-GB"/>
              </w:rPr>
              <w:t>Mobile Device Management</w:t>
            </w:r>
          </w:p>
        </w:tc>
        <w:tc>
          <w:tcPr>
            <w:tcW w:w="536" w:type="dxa"/>
            <w:tcBorders>
              <w:top w:val="nil"/>
              <w:left w:val="nil"/>
              <w:bottom w:val="single" w:sz="4" w:space="0" w:color="auto"/>
              <w:right w:val="single" w:sz="4" w:space="0" w:color="auto"/>
            </w:tcBorders>
            <w:shd w:val="clear" w:color="auto" w:fill="auto"/>
            <w:hideMark/>
          </w:tcPr>
          <w:p w14:paraId="0D8DCC23" w14:textId="77777777" w:rsidR="00E50B6B" w:rsidRPr="00000F38" w:rsidRDefault="00E50B6B" w:rsidP="00E50B6B">
            <w:pPr>
              <w:spacing w:after="0" w:line="240" w:lineRule="auto"/>
              <w:rPr>
                <w:rFonts w:eastAsia="Times New Roman" w:cstheme="minorHAnsi"/>
                <w:b/>
                <w:bCs/>
                <w:i/>
                <w:iCs/>
                <w:color w:val="000000"/>
                <w:lang w:val="en-GB" w:eastAsia="en-GB"/>
              </w:rPr>
            </w:pPr>
            <w:r w:rsidRPr="00000F38">
              <w:rPr>
                <w:rFonts w:eastAsia="Times New Roman" w:cstheme="minorHAnsi"/>
                <w:b/>
                <w:bCs/>
                <w:i/>
                <w:iCs/>
                <w:color w:val="000000"/>
                <w:lang w:val="en-GB" w:eastAsia="en-GB"/>
              </w:rPr>
              <w:t> </w:t>
            </w:r>
          </w:p>
        </w:tc>
        <w:tc>
          <w:tcPr>
            <w:tcW w:w="420" w:type="dxa"/>
            <w:tcBorders>
              <w:top w:val="nil"/>
              <w:left w:val="nil"/>
              <w:bottom w:val="single" w:sz="4" w:space="0" w:color="auto"/>
              <w:right w:val="single" w:sz="4" w:space="0" w:color="auto"/>
            </w:tcBorders>
            <w:shd w:val="clear" w:color="auto" w:fill="auto"/>
            <w:hideMark/>
          </w:tcPr>
          <w:p w14:paraId="13DD24AC"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55" w:type="dxa"/>
            <w:tcBorders>
              <w:top w:val="nil"/>
              <w:left w:val="nil"/>
              <w:bottom w:val="single" w:sz="4" w:space="0" w:color="auto"/>
              <w:right w:val="single" w:sz="4" w:space="0" w:color="auto"/>
            </w:tcBorders>
            <w:shd w:val="clear" w:color="auto" w:fill="auto"/>
            <w:hideMark/>
          </w:tcPr>
          <w:p w14:paraId="25D498AD"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89" w:type="dxa"/>
            <w:tcBorders>
              <w:top w:val="nil"/>
              <w:left w:val="nil"/>
              <w:bottom w:val="single" w:sz="4" w:space="0" w:color="auto"/>
              <w:right w:val="single" w:sz="4" w:space="0" w:color="auto"/>
            </w:tcBorders>
            <w:shd w:val="clear" w:color="auto" w:fill="auto"/>
            <w:hideMark/>
          </w:tcPr>
          <w:p w14:paraId="67F1F58B"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20" w:type="dxa"/>
            <w:tcBorders>
              <w:top w:val="nil"/>
              <w:left w:val="nil"/>
              <w:bottom w:val="single" w:sz="4" w:space="0" w:color="auto"/>
              <w:right w:val="single" w:sz="4" w:space="0" w:color="auto"/>
            </w:tcBorders>
            <w:shd w:val="pct50" w:color="000000" w:fill="auto"/>
            <w:hideMark/>
          </w:tcPr>
          <w:p w14:paraId="4865C763"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039EFE68"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05927C4E"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5FB7695E"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1A521B5C"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5AF05497"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50E9F939"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3B0AEDC7"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2D50BE9D"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0DAD6647"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50397215"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46DA63A0"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clear" w:color="auto" w:fill="auto"/>
            <w:hideMark/>
          </w:tcPr>
          <w:p w14:paraId="432CBC5A"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E50B6B" w:rsidRPr="00000F38" w14:paraId="7AC4D905" w14:textId="77777777" w:rsidTr="00E50B6B">
        <w:trPr>
          <w:trHeight w:val="510"/>
        </w:trPr>
        <w:tc>
          <w:tcPr>
            <w:tcW w:w="159" w:type="dxa"/>
            <w:tcBorders>
              <w:top w:val="nil"/>
              <w:left w:val="single" w:sz="4" w:space="0" w:color="auto"/>
              <w:bottom w:val="single" w:sz="4" w:space="0" w:color="auto"/>
              <w:right w:val="single" w:sz="4" w:space="0" w:color="auto"/>
            </w:tcBorders>
            <w:shd w:val="clear" w:color="auto" w:fill="auto"/>
            <w:hideMark/>
          </w:tcPr>
          <w:p w14:paraId="677E9B20" w14:textId="77777777" w:rsidR="00E50B6B" w:rsidRPr="00000F38" w:rsidRDefault="00E50B6B" w:rsidP="00E50B6B">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10</w:t>
            </w:r>
          </w:p>
        </w:tc>
        <w:tc>
          <w:tcPr>
            <w:tcW w:w="2612" w:type="dxa"/>
            <w:tcBorders>
              <w:top w:val="nil"/>
              <w:left w:val="nil"/>
              <w:bottom w:val="single" w:sz="4" w:space="0" w:color="auto"/>
              <w:right w:val="single" w:sz="4" w:space="0" w:color="auto"/>
            </w:tcBorders>
            <w:shd w:val="clear" w:color="auto" w:fill="auto"/>
            <w:noWrap/>
            <w:vAlign w:val="center"/>
            <w:hideMark/>
          </w:tcPr>
          <w:p w14:paraId="7F1212E2" w14:textId="77777777" w:rsidR="00E50B6B" w:rsidRPr="00000F38" w:rsidRDefault="00E50B6B" w:rsidP="00E50B6B">
            <w:pPr>
              <w:spacing w:after="0" w:line="240" w:lineRule="auto"/>
              <w:jc w:val="both"/>
              <w:rPr>
                <w:rFonts w:eastAsia="Times New Roman" w:cstheme="minorHAnsi"/>
                <w:color w:val="000000"/>
                <w:lang w:val="en-GB" w:eastAsia="en-GB"/>
              </w:rPr>
            </w:pPr>
            <w:r w:rsidRPr="00000F38">
              <w:rPr>
                <w:rFonts w:eastAsia="Times New Roman" w:cstheme="minorHAnsi"/>
                <w:color w:val="000000"/>
                <w:lang w:val="en-GB" w:eastAsia="en-GB"/>
              </w:rPr>
              <w:t>Secure Data Backup and Recovery (Ransomware Solution)</w:t>
            </w:r>
          </w:p>
        </w:tc>
        <w:tc>
          <w:tcPr>
            <w:tcW w:w="536" w:type="dxa"/>
            <w:tcBorders>
              <w:top w:val="nil"/>
              <w:left w:val="nil"/>
              <w:bottom w:val="single" w:sz="4" w:space="0" w:color="auto"/>
              <w:right w:val="single" w:sz="4" w:space="0" w:color="auto"/>
            </w:tcBorders>
            <w:shd w:val="clear" w:color="auto" w:fill="auto"/>
            <w:hideMark/>
          </w:tcPr>
          <w:p w14:paraId="736B5665" w14:textId="77777777" w:rsidR="00E50B6B" w:rsidRPr="00000F38" w:rsidRDefault="00E50B6B" w:rsidP="00E50B6B">
            <w:pPr>
              <w:spacing w:after="0" w:line="240" w:lineRule="auto"/>
              <w:rPr>
                <w:rFonts w:eastAsia="Times New Roman" w:cstheme="minorHAnsi"/>
                <w:b/>
                <w:bCs/>
                <w:i/>
                <w:iCs/>
                <w:color w:val="000000"/>
                <w:lang w:val="en-GB" w:eastAsia="en-GB"/>
              </w:rPr>
            </w:pPr>
            <w:r w:rsidRPr="00000F38">
              <w:rPr>
                <w:rFonts w:eastAsia="Times New Roman" w:cstheme="minorHAnsi"/>
                <w:b/>
                <w:bCs/>
                <w:i/>
                <w:iCs/>
                <w:color w:val="000000"/>
                <w:lang w:val="en-GB" w:eastAsia="en-GB"/>
              </w:rPr>
              <w:t> </w:t>
            </w:r>
          </w:p>
        </w:tc>
        <w:tc>
          <w:tcPr>
            <w:tcW w:w="420" w:type="dxa"/>
            <w:tcBorders>
              <w:top w:val="nil"/>
              <w:left w:val="nil"/>
              <w:bottom w:val="single" w:sz="4" w:space="0" w:color="auto"/>
              <w:right w:val="single" w:sz="4" w:space="0" w:color="auto"/>
            </w:tcBorders>
            <w:shd w:val="clear" w:color="auto" w:fill="auto"/>
            <w:hideMark/>
          </w:tcPr>
          <w:p w14:paraId="77DE48EA"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55" w:type="dxa"/>
            <w:tcBorders>
              <w:top w:val="nil"/>
              <w:left w:val="nil"/>
              <w:bottom w:val="single" w:sz="4" w:space="0" w:color="auto"/>
              <w:right w:val="single" w:sz="4" w:space="0" w:color="auto"/>
            </w:tcBorders>
            <w:shd w:val="clear" w:color="auto" w:fill="auto"/>
            <w:hideMark/>
          </w:tcPr>
          <w:p w14:paraId="25A02C53"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89" w:type="dxa"/>
            <w:tcBorders>
              <w:top w:val="nil"/>
              <w:left w:val="nil"/>
              <w:bottom w:val="single" w:sz="4" w:space="0" w:color="auto"/>
              <w:right w:val="single" w:sz="4" w:space="0" w:color="auto"/>
            </w:tcBorders>
            <w:shd w:val="clear" w:color="auto" w:fill="auto"/>
            <w:hideMark/>
          </w:tcPr>
          <w:p w14:paraId="0CD1349D"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20" w:type="dxa"/>
            <w:tcBorders>
              <w:top w:val="nil"/>
              <w:left w:val="nil"/>
              <w:bottom w:val="single" w:sz="4" w:space="0" w:color="auto"/>
              <w:right w:val="single" w:sz="4" w:space="0" w:color="auto"/>
            </w:tcBorders>
            <w:shd w:val="pct50" w:color="000000" w:fill="auto"/>
            <w:hideMark/>
          </w:tcPr>
          <w:p w14:paraId="50DC10F3"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258310AC"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30235A85"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57547775"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5E77A6DB"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2F491A38"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227F9715"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13D3D813"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41150367"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5E307097"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035C3976"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041506DD"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clear" w:color="auto" w:fill="auto"/>
            <w:hideMark/>
          </w:tcPr>
          <w:p w14:paraId="35B4F918"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E50B6B" w:rsidRPr="00000F38" w14:paraId="152D1E4D" w14:textId="77777777" w:rsidTr="00E50B6B">
        <w:trPr>
          <w:trHeight w:val="255"/>
        </w:trPr>
        <w:tc>
          <w:tcPr>
            <w:tcW w:w="159" w:type="dxa"/>
            <w:tcBorders>
              <w:top w:val="nil"/>
              <w:left w:val="single" w:sz="4" w:space="0" w:color="auto"/>
              <w:bottom w:val="single" w:sz="4" w:space="0" w:color="auto"/>
              <w:right w:val="single" w:sz="4" w:space="0" w:color="auto"/>
            </w:tcBorders>
            <w:shd w:val="clear" w:color="auto" w:fill="auto"/>
            <w:hideMark/>
          </w:tcPr>
          <w:p w14:paraId="6CC683B5" w14:textId="77777777" w:rsidR="00E50B6B" w:rsidRPr="00000F38" w:rsidRDefault="00E50B6B" w:rsidP="00E50B6B">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11</w:t>
            </w:r>
          </w:p>
        </w:tc>
        <w:tc>
          <w:tcPr>
            <w:tcW w:w="2612" w:type="dxa"/>
            <w:tcBorders>
              <w:top w:val="nil"/>
              <w:left w:val="nil"/>
              <w:bottom w:val="single" w:sz="4" w:space="0" w:color="auto"/>
              <w:right w:val="single" w:sz="4" w:space="0" w:color="auto"/>
            </w:tcBorders>
            <w:shd w:val="clear" w:color="auto" w:fill="auto"/>
            <w:hideMark/>
          </w:tcPr>
          <w:p w14:paraId="16B7B05E"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Network Access Control (NAC)</w:t>
            </w:r>
          </w:p>
        </w:tc>
        <w:tc>
          <w:tcPr>
            <w:tcW w:w="536" w:type="dxa"/>
            <w:tcBorders>
              <w:top w:val="nil"/>
              <w:left w:val="nil"/>
              <w:bottom w:val="single" w:sz="4" w:space="0" w:color="auto"/>
              <w:right w:val="single" w:sz="4" w:space="0" w:color="auto"/>
            </w:tcBorders>
            <w:shd w:val="clear" w:color="auto" w:fill="auto"/>
            <w:hideMark/>
          </w:tcPr>
          <w:p w14:paraId="1FF5B222" w14:textId="77777777" w:rsidR="00E50B6B" w:rsidRPr="00000F38" w:rsidRDefault="00E50B6B" w:rsidP="00E50B6B">
            <w:pPr>
              <w:spacing w:after="0" w:line="240" w:lineRule="auto"/>
              <w:rPr>
                <w:rFonts w:eastAsia="Times New Roman" w:cstheme="minorHAnsi"/>
                <w:b/>
                <w:bCs/>
                <w:i/>
                <w:iCs/>
                <w:color w:val="000000"/>
                <w:lang w:val="en-GB" w:eastAsia="en-GB"/>
              </w:rPr>
            </w:pPr>
            <w:r w:rsidRPr="00000F38">
              <w:rPr>
                <w:rFonts w:eastAsia="Times New Roman" w:cstheme="minorHAnsi"/>
                <w:b/>
                <w:bCs/>
                <w:i/>
                <w:iCs/>
                <w:color w:val="000000"/>
                <w:lang w:val="en-GB" w:eastAsia="en-GB"/>
              </w:rPr>
              <w:t> </w:t>
            </w:r>
          </w:p>
        </w:tc>
        <w:tc>
          <w:tcPr>
            <w:tcW w:w="420" w:type="dxa"/>
            <w:tcBorders>
              <w:top w:val="nil"/>
              <w:left w:val="nil"/>
              <w:bottom w:val="single" w:sz="4" w:space="0" w:color="auto"/>
              <w:right w:val="single" w:sz="4" w:space="0" w:color="auto"/>
            </w:tcBorders>
            <w:shd w:val="clear" w:color="auto" w:fill="auto"/>
            <w:hideMark/>
          </w:tcPr>
          <w:p w14:paraId="2FBF8DBB"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55" w:type="dxa"/>
            <w:tcBorders>
              <w:top w:val="nil"/>
              <w:left w:val="nil"/>
              <w:bottom w:val="single" w:sz="4" w:space="0" w:color="auto"/>
              <w:right w:val="single" w:sz="4" w:space="0" w:color="auto"/>
            </w:tcBorders>
            <w:shd w:val="clear" w:color="auto" w:fill="auto"/>
            <w:hideMark/>
          </w:tcPr>
          <w:p w14:paraId="62AD0E6E"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89" w:type="dxa"/>
            <w:tcBorders>
              <w:top w:val="nil"/>
              <w:left w:val="nil"/>
              <w:bottom w:val="single" w:sz="4" w:space="0" w:color="auto"/>
              <w:right w:val="single" w:sz="4" w:space="0" w:color="auto"/>
            </w:tcBorders>
            <w:shd w:val="clear" w:color="auto" w:fill="auto"/>
            <w:hideMark/>
          </w:tcPr>
          <w:p w14:paraId="240F8773"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20" w:type="dxa"/>
            <w:tcBorders>
              <w:top w:val="nil"/>
              <w:left w:val="nil"/>
              <w:bottom w:val="single" w:sz="4" w:space="0" w:color="auto"/>
              <w:right w:val="single" w:sz="4" w:space="0" w:color="auto"/>
            </w:tcBorders>
            <w:shd w:val="pct50" w:color="000000" w:fill="auto"/>
            <w:hideMark/>
          </w:tcPr>
          <w:p w14:paraId="02CC196D"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6AF82B7C"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4DA9196D"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6B415239"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43FC3690"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3DC614D8"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731A76D6"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594DDDD0"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1B4347F6"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7F2C6235"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64C09425"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4B004A40"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clear" w:color="auto" w:fill="auto"/>
            <w:hideMark/>
          </w:tcPr>
          <w:p w14:paraId="652D47EC"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E50B6B" w:rsidRPr="00000F38" w14:paraId="4B9438A5" w14:textId="77777777" w:rsidTr="00E50B6B">
        <w:trPr>
          <w:trHeight w:val="255"/>
        </w:trPr>
        <w:tc>
          <w:tcPr>
            <w:tcW w:w="159" w:type="dxa"/>
            <w:tcBorders>
              <w:top w:val="nil"/>
              <w:left w:val="single" w:sz="4" w:space="0" w:color="auto"/>
              <w:bottom w:val="single" w:sz="4" w:space="0" w:color="auto"/>
              <w:right w:val="single" w:sz="4" w:space="0" w:color="auto"/>
            </w:tcBorders>
            <w:shd w:val="clear" w:color="auto" w:fill="auto"/>
            <w:hideMark/>
          </w:tcPr>
          <w:p w14:paraId="7EF02338" w14:textId="77777777" w:rsidR="00E50B6B" w:rsidRPr="00000F38" w:rsidRDefault="00E50B6B" w:rsidP="00E50B6B">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2612" w:type="dxa"/>
            <w:tcBorders>
              <w:top w:val="nil"/>
              <w:left w:val="nil"/>
              <w:bottom w:val="single" w:sz="4" w:space="0" w:color="auto"/>
              <w:right w:val="single" w:sz="4" w:space="0" w:color="auto"/>
            </w:tcBorders>
            <w:shd w:val="clear" w:color="auto" w:fill="auto"/>
            <w:hideMark/>
          </w:tcPr>
          <w:p w14:paraId="5D8424D6"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536" w:type="dxa"/>
            <w:tcBorders>
              <w:top w:val="nil"/>
              <w:left w:val="nil"/>
              <w:bottom w:val="single" w:sz="4" w:space="0" w:color="auto"/>
              <w:right w:val="single" w:sz="4" w:space="0" w:color="auto"/>
            </w:tcBorders>
            <w:shd w:val="clear" w:color="auto" w:fill="auto"/>
            <w:hideMark/>
          </w:tcPr>
          <w:p w14:paraId="31860B92" w14:textId="77777777" w:rsidR="00E50B6B" w:rsidRPr="00000F38" w:rsidRDefault="00E50B6B" w:rsidP="00E50B6B">
            <w:pPr>
              <w:spacing w:after="0" w:line="240" w:lineRule="auto"/>
              <w:rPr>
                <w:rFonts w:eastAsia="Times New Roman" w:cstheme="minorHAnsi"/>
                <w:b/>
                <w:bCs/>
                <w:i/>
                <w:iCs/>
                <w:color w:val="000000"/>
                <w:lang w:val="en-GB" w:eastAsia="en-GB"/>
              </w:rPr>
            </w:pPr>
            <w:r w:rsidRPr="00000F38">
              <w:rPr>
                <w:rFonts w:eastAsia="Times New Roman" w:cstheme="minorHAnsi"/>
                <w:b/>
                <w:bCs/>
                <w:i/>
                <w:iCs/>
                <w:color w:val="000000"/>
                <w:lang w:val="en-GB" w:eastAsia="en-GB"/>
              </w:rPr>
              <w:t> </w:t>
            </w:r>
          </w:p>
        </w:tc>
        <w:tc>
          <w:tcPr>
            <w:tcW w:w="420" w:type="dxa"/>
            <w:tcBorders>
              <w:top w:val="nil"/>
              <w:left w:val="nil"/>
              <w:bottom w:val="single" w:sz="4" w:space="0" w:color="auto"/>
              <w:right w:val="single" w:sz="4" w:space="0" w:color="auto"/>
            </w:tcBorders>
            <w:shd w:val="clear" w:color="auto" w:fill="auto"/>
            <w:hideMark/>
          </w:tcPr>
          <w:p w14:paraId="7E76B41B"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55" w:type="dxa"/>
            <w:tcBorders>
              <w:top w:val="nil"/>
              <w:left w:val="nil"/>
              <w:bottom w:val="single" w:sz="4" w:space="0" w:color="auto"/>
              <w:right w:val="single" w:sz="4" w:space="0" w:color="auto"/>
            </w:tcBorders>
            <w:shd w:val="clear" w:color="auto" w:fill="auto"/>
            <w:hideMark/>
          </w:tcPr>
          <w:p w14:paraId="2AE8685F"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89" w:type="dxa"/>
            <w:tcBorders>
              <w:top w:val="nil"/>
              <w:left w:val="nil"/>
              <w:bottom w:val="single" w:sz="4" w:space="0" w:color="auto"/>
              <w:right w:val="single" w:sz="4" w:space="0" w:color="auto"/>
            </w:tcBorders>
            <w:shd w:val="clear" w:color="auto" w:fill="auto"/>
            <w:hideMark/>
          </w:tcPr>
          <w:p w14:paraId="30F8C207"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52386540"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589138DE"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563F76B6"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5BBA0AB1"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0B391BB2"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28E824A7"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6CD2DBDA"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70493B72"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447A6AFE"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27675F60"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43C2BC31"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20BA873C"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clear" w:color="auto" w:fill="auto"/>
            <w:hideMark/>
          </w:tcPr>
          <w:p w14:paraId="2EE2BDB3"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r>
      <w:tr w:rsidR="00E50B6B" w:rsidRPr="00000F38" w14:paraId="36305CFB" w14:textId="77777777" w:rsidTr="00E50B6B">
        <w:trPr>
          <w:trHeight w:val="255"/>
        </w:trPr>
        <w:tc>
          <w:tcPr>
            <w:tcW w:w="159" w:type="dxa"/>
            <w:tcBorders>
              <w:top w:val="nil"/>
              <w:left w:val="single" w:sz="4" w:space="0" w:color="auto"/>
              <w:bottom w:val="single" w:sz="4" w:space="0" w:color="auto"/>
              <w:right w:val="single" w:sz="4" w:space="0" w:color="auto"/>
            </w:tcBorders>
            <w:shd w:val="clear" w:color="auto" w:fill="auto"/>
            <w:hideMark/>
          </w:tcPr>
          <w:p w14:paraId="104DE9C3" w14:textId="77777777" w:rsidR="00E50B6B" w:rsidRPr="00000F38" w:rsidRDefault="00E50B6B" w:rsidP="00E50B6B">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lastRenderedPageBreak/>
              <w:t> </w:t>
            </w:r>
          </w:p>
        </w:tc>
        <w:tc>
          <w:tcPr>
            <w:tcW w:w="2612" w:type="dxa"/>
            <w:tcBorders>
              <w:top w:val="nil"/>
              <w:left w:val="nil"/>
              <w:bottom w:val="single" w:sz="4" w:space="0" w:color="auto"/>
              <w:right w:val="single" w:sz="4" w:space="0" w:color="auto"/>
            </w:tcBorders>
            <w:shd w:val="clear" w:color="auto" w:fill="auto"/>
            <w:hideMark/>
          </w:tcPr>
          <w:p w14:paraId="180D8CD3"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Any other (Please specify)</w:t>
            </w:r>
          </w:p>
        </w:tc>
        <w:tc>
          <w:tcPr>
            <w:tcW w:w="536" w:type="dxa"/>
            <w:tcBorders>
              <w:top w:val="nil"/>
              <w:left w:val="nil"/>
              <w:bottom w:val="nil"/>
              <w:right w:val="nil"/>
            </w:tcBorders>
            <w:shd w:val="clear" w:color="auto" w:fill="auto"/>
            <w:hideMark/>
          </w:tcPr>
          <w:p w14:paraId="5AE029DB" w14:textId="77777777" w:rsidR="00E50B6B" w:rsidRPr="00000F38" w:rsidRDefault="00E50B6B" w:rsidP="00E50B6B">
            <w:pPr>
              <w:spacing w:after="0" w:line="240" w:lineRule="auto"/>
              <w:rPr>
                <w:rFonts w:eastAsia="Times New Roman" w:cstheme="minorHAnsi"/>
                <w:color w:val="000000"/>
                <w:lang w:val="en-GB" w:eastAsia="en-GB"/>
              </w:rPr>
            </w:pPr>
          </w:p>
        </w:tc>
        <w:tc>
          <w:tcPr>
            <w:tcW w:w="420" w:type="dxa"/>
            <w:tcBorders>
              <w:top w:val="nil"/>
              <w:left w:val="single" w:sz="4" w:space="0" w:color="auto"/>
              <w:bottom w:val="single" w:sz="4" w:space="0" w:color="auto"/>
              <w:right w:val="single" w:sz="4" w:space="0" w:color="auto"/>
            </w:tcBorders>
            <w:shd w:val="clear" w:color="auto" w:fill="auto"/>
            <w:hideMark/>
          </w:tcPr>
          <w:p w14:paraId="64B2A108"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clear" w:color="auto" w:fill="auto"/>
            <w:hideMark/>
          </w:tcPr>
          <w:p w14:paraId="33D88E04"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89" w:type="dxa"/>
            <w:tcBorders>
              <w:top w:val="nil"/>
              <w:left w:val="nil"/>
              <w:bottom w:val="single" w:sz="4" w:space="0" w:color="auto"/>
              <w:right w:val="single" w:sz="4" w:space="0" w:color="auto"/>
            </w:tcBorders>
            <w:shd w:val="clear" w:color="auto" w:fill="auto"/>
            <w:hideMark/>
          </w:tcPr>
          <w:p w14:paraId="15CD0EB1"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20" w:type="dxa"/>
            <w:tcBorders>
              <w:top w:val="nil"/>
              <w:left w:val="nil"/>
              <w:bottom w:val="single" w:sz="4" w:space="0" w:color="auto"/>
              <w:right w:val="single" w:sz="4" w:space="0" w:color="auto"/>
            </w:tcBorders>
            <w:shd w:val="pct50" w:color="000000" w:fill="auto"/>
            <w:hideMark/>
          </w:tcPr>
          <w:p w14:paraId="76B94A9A"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3D6FFFE4"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0CB890BE"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1F95845E"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4603DE98"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1D7F3BE5"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35298F64"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166EC8F2"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331FA8AF"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609700F6"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1C0CD0D6"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32B451B3"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clear" w:color="auto" w:fill="auto"/>
            <w:hideMark/>
          </w:tcPr>
          <w:p w14:paraId="4AAEFD18"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E50B6B" w:rsidRPr="00000F38" w14:paraId="25BB695D" w14:textId="77777777" w:rsidTr="00E50B6B">
        <w:trPr>
          <w:trHeight w:val="255"/>
        </w:trPr>
        <w:tc>
          <w:tcPr>
            <w:tcW w:w="159" w:type="dxa"/>
            <w:tcBorders>
              <w:top w:val="nil"/>
              <w:left w:val="single" w:sz="4" w:space="0" w:color="auto"/>
              <w:bottom w:val="single" w:sz="4" w:space="0" w:color="auto"/>
              <w:right w:val="single" w:sz="4" w:space="0" w:color="auto"/>
            </w:tcBorders>
            <w:shd w:val="clear" w:color="auto" w:fill="auto"/>
            <w:hideMark/>
          </w:tcPr>
          <w:p w14:paraId="786BEC29" w14:textId="77777777" w:rsidR="00E50B6B" w:rsidRPr="00000F38" w:rsidRDefault="00E50B6B" w:rsidP="00E50B6B">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2612" w:type="dxa"/>
            <w:tcBorders>
              <w:top w:val="nil"/>
              <w:left w:val="nil"/>
              <w:bottom w:val="single" w:sz="4" w:space="0" w:color="auto"/>
              <w:right w:val="single" w:sz="4" w:space="0" w:color="auto"/>
            </w:tcBorders>
            <w:shd w:val="clear" w:color="auto" w:fill="auto"/>
            <w:hideMark/>
          </w:tcPr>
          <w:p w14:paraId="5F4FDF12"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Any other (Please specify)</w:t>
            </w:r>
          </w:p>
        </w:tc>
        <w:tc>
          <w:tcPr>
            <w:tcW w:w="536" w:type="dxa"/>
            <w:tcBorders>
              <w:top w:val="single" w:sz="4" w:space="0" w:color="auto"/>
              <w:left w:val="nil"/>
              <w:bottom w:val="single" w:sz="4" w:space="0" w:color="auto"/>
              <w:right w:val="single" w:sz="4" w:space="0" w:color="auto"/>
            </w:tcBorders>
            <w:shd w:val="clear" w:color="auto" w:fill="auto"/>
            <w:hideMark/>
          </w:tcPr>
          <w:p w14:paraId="162DB140"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clear" w:color="auto" w:fill="auto"/>
            <w:hideMark/>
          </w:tcPr>
          <w:p w14:paraId="71F59374"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clear" w:color="auto" w:fill="auto"/>
            <w:hideMark/>
          </w:tcPr>
          <w:p w14:paraId="7526B39C"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89" w:type="dxa"/>
            <w:tcBorders>
              <w:top w:val="nil"/>
              <w:left w:val="nil"/>
              <w:bottom w:val="single" w:sz="4" w:space="0" w:color="auto"/>
              <w:right w:val="single" w:sz="4" w:space="0" w:color="auto"/>
            </w:tcBorders>
            <w:shd w:val="clear" w:color="auto" w:fill="auto"/>
            <w:hideMark/>
          </w:tcPr>
          <w:p w14:paraId="68C56C38"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20" w:type="dxa"/>
            <w:tcBorders>
              <w:top w:val="nil"/>
              <w:left w:val="nil"/>
              <w:bottom w:val="single" w:sz="4" w:space="0" w:color="auto"/>
              <w:right w:val="single" w:sz="4" w:space="0" w:color="auto"/>
            </w:tcBorders>
            <w:shd w:val="pct50" w:color="000000" w:fill="auto"/>
            <w:hideMark/>
          </w:tcPr>
          <w:p w14:paraId="78D5869E"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329A5947"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665FD8A0"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0606582E"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3C719F53"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6DF9F8FC"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29D1C07A"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6ED1D592"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02FB264C"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pct50" w:color="000000" w:fill="auto"/>
            <w:hideMark/>
          </w:tcPr>
          <w:p w14:paraId="77F8E695"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pct50" w:color="000000" w:fill="auto"/>
            <w:hideMark/>
          </w:tcPr>
          <w:p w14:paraId="22B2CC15"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pct50" w:color="000000" w:fill="auto"/>
            <w:hideMark/>
          </w:tcPr>
          <w:p w14:paraId="404C060A"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clear" w:color="auto" w:fill="auto"/>
            <w:hideMark/>
          </w:tcPr>
          <w:p w14:paraId="3F908141"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E50B6B" w:rsidRPr="00000F38" w14:paraId="183F2E45" w14:textId="77777777" w:rsidTr="00E50B6B">
        <w:trPr>
          <w:trHeight w:val="255"/>
        </w:trPr>
        <w:tc>
          <w:tcPr>
            <w:tcW w:w="159" w:type="dxa"/>
            <w:tcBorders>
              <w:top w:val="nil"/>
              <w:left w:val="single" w:sz="4" w:space="0" w:color="auto"/>
              <w:bottom w:val="single" w:sz="4" w:space="0" w:color="auto"/>
              <w:right w:val="single" w:sz="4" w:space="0" w:color="auto"/>
            </w:tcBorders>
            <w:shd w:val="clear" w:color="000000" w:fill="F2F2F2"/>
            <w:hideMark/>
          </w:tcPr>
          <w:p w14:paraId="21C5EAF4"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612" w:type="dxa"/>
            <w:tcBorders>
              <w:top w:val="nil"/>
              <w:left w:val="nil"/>
              <w:bottom w:val="single" w:sz="4" w:space="0" w:color="auto"/>
              <w:right w:val="single" w:sz="4" w:space="0" w:color="auto"/>
            </w:tcBorders>
            <w:shd w:val="clear" w:color="000000" w:fill="F2F2F2"/>
            <w:hideMark/>
          </w:tcPr>
          <w:p w14:paraId="40D36822"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Total (B)</w:t>
            </w:r>
          </w:p>
        </w:tc>
        <w:tc>
          <w:tcPr>
            <w:tcW w:w="536" w:type="dxa"/>
            <w:tcBorders>
              <w:top w:val="nil"/>
              <w:left w:val="nil"/>
              <w:bottom w:val="single" w:sz="4" w:space="0" w:color="auto"/>
              <w:right w:val="single" w:sz="4" w:space="0" w:color="auto"/>
            </w:tcBorders>
            <w:shd w:val="clear" w:color="000000" w:fill="F2F2F2"/>
            <w:hideMark/>
          </w:tcPr>
          <w:p w14:paraId="094EC3DC"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20" w:type="dxa"/>
            <w:tcBorders>
              <w:top w:val="nil"/>
              <w:left w:val="nil"/>
              <w:bottom w:val="single" w:sz="4" w:space="0" w:color="auto"/>
              <w:right w:val="single" w:sz="4" w:space="0" w:color="auto"/>
            </w:tcBorders>
            <w:shd w:val="clear" w:color="000000" w:fill="F2F2F2"/>
            <w:hideMark/>
          </w:tcPr>
          <w:p w14:paraId="2DBC8ACB"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55" w:type="dxa"/>
            <w:tcBorders>
              <w:top w:val="nil"/>
              <w:left w:val="nil"/>
              <w:bottom w:val="single" w:sz="4" w:space="0" w:color="auto"/>
              <w:right w:val="single" w:sz="4" w:space="0" w:color="auto"/>
            </w:tcBorders>
            <w:shd w:val="clear" w:color="000000" w:fill="F2F2F2"/>
            <w:hideMark/>
          </w:tcPr>
          <w:p w14:paraId="3525463E"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c>
          <w:tcPr>
            <w:tcW w:w="389" w:type="dxa"/>
            <w:tcBorders>
              <w:top w:val="nil"/>
              <w:left w:val="nil"/>
              <w:bottom w:val="single" w:sz="4" w:space="0" w:color="auto"/>
              <w:right w:val="single" w:sz="4" w:space="0" w:color="auto"/>
            </w:tcBorders>
            <w:shd w:val="clear" w:color="000000" w:fill="F2F2F2"/>
            <w:hideMark/>
          </w:tcPr>
          <w:p w14:paraId="720490B6"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c>
          <w:tcPr>
            <w:tcW w:w="420" w:type="dxa"/>
            <w:tcBorders>
              <w:top w:val="nil"/>
              <w:left w:val="nil"/>
              <w:bottom w:val="single" w:sz="4" w:space="0" w:color="auto"/>
              <w:right w:val="single" w:sz="4" w:space="0" w:color="auto"/>
            </w:tcBorders>
            <w:shd w:val="clear" w:color="000000" w:fill="F2F2F2"/>
            <w:hideMark/>
          </w:tcPr>
          <w:p w14:paraId="34308E4E"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55" w:type="dxa"/>
            <w:tcBorders>
              <w:top w:val="nil"/>
              <w:left w:val="nil"/>
              <w:bottom w:val="single" w:sz="4" w:space="0" w:color="auto"/>
              <w:right w:val="single" w:sz="4" w:space="0" w:color="auto"/>
            </w:tcBorders>
            <w:shd w:val="clear" w:color="000000" w:fill="F2F2F2"/>
            <w:hideMark/>
          </w:tcPr>
          <w:p w14:paraId="45D0074C"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89" w:type="dxa"/>
            <w:tcBorders>
              <w:top w:val="nil"/>
              <w:left w:val="nil"/>
              <w:bottom w:val="single" w:sz="4" w:space="0" w:color="auto"/>
              <w:right w:val="single" w:sz="4" w:space="0" w:color="auto"/>
            </w:tcBorders>
            <w:shd w:val="clear" w:color="000000" w:fill="F2F2F2"/>
            <w:hideMark/>
          </w:tcPr>
          <w:p w14:paraId="58B4DAF4"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20" w:type="dxa"/>
            <w:tcBorders>
              <w:top w:val="nil"/>
              <w:left w:val="nil"/>
              <w:bottom w:val="single" w:sz="4" w:space="0" w:color="auto"/>
              <w:right w:val="single" w:sz="4" w:space="0" w:color="auto"/>
            </w:tcBorders>
            <w:shd w:val="clear" w:color="000000" w:fill="F2F2F2"/>
            <w:hideMark/>
          </w:tcPr>
          <w:p w14:paraId="2D40B582"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55" w:type="dxa"/>
            <w:tcBorders>
              <w:top w:val="nil"/>
              <w:left w:val="nil"/>
              <w:bottom w:val="single" w:sz="4" w:space="0" w:color="auto"/>
              <w:right w:val="single" w:sz="4" w:space="0" w:color="auto"/>
            </w:tcBorders>
            <w:shd w:val="clear" w:color="000000" w:fill="F2F2F2"/>
            <w:hideMark/>
          </w:tcPr>
          <w:p w14:paraId="2680012A"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89" w:type="dxa"/>
            <w:tcBorders>
              <w:top w:val="nil"/>
              <w:left w:val="nil"/>
              <w:bottom w:val="single" w:sz="4" w:space="0" w:color="auto"/>
              <w:right w:val="single" w:sz="4" w:space="0" w:color="auto"/>
            </w:tcBorders>
            <w:shd w:val="clear" w:color="000000" w:fill="F2F2F2"/>
            <w:hideMark/>
          </w:tcPr>
          <w:p w14:paraId="17B95FEF"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20" w:type="dxa"/>
            <w:tcBorders>
              <w:top w:val="nil"/>
              <w:left w:val="nil"/>
              <w:bottom w:val="single" w:sz="4" w:space="0" w:color="auto"/>
              <w:right w:val="single" w:sz="4" w:space="0" w:color="auto"/>
            </w:tcBorders>
            <w:shd w:val="clear" w:color="000000" w:fill="F2F2F2"/>
            <w:hideMark/>
          </w:tcPr>
          <w:p w14:paraId="3DA205BA"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55" w:type="dxa"/>
            <w:tcBorders>
              <w:top w:val="nil"/>
              <w:left w:val="nil"/>
              <w:bottom w:val="single" w:sz="4" w:space="0" w:color="auto"/>
              <w:right w:val="single" w:sz="4" w:space="0" w:color="auto"/>
            </w:tcBorders>
            <w:shd w:val="clear" w:color="000000" w:fill="F2F2F2"/>
            <w:hideMark/>
          </w:tcPr>
          <w:p w14:paraId="0BC2895D"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89" w:type="dxa"/>
            <w:tcBorders>
              <w:top w:val="nil"/>
              <w:left w:val="nil"/>
              <w:bottom w:val="single" w:sz="4" w:space="0" w:color="auto"/>
              <w:right w:val="single" w:sz="4" w:space="0" w:color="auto"/>
            </w:tcBorders>
            <w:shd w:val="clear" w:color="000000" w:fill="F2F2F2"/>
            <w:hideMark/>
          </w:tcPr>
          <w:p w14:paraId="411C71A1"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20" w:type="dxa"/>
            <w:tcBorders>
              <w:top w:val="nil"/>
              <w:left w:val="nil"/>
              <w:bottom w:val="single" w:sz="4" w:space="0" w:color="auto"/>
              <w:right w:val="single" w:sz="4" w:space="0" w:color="auto"/>
            </w:tcBorders>
            <w:shd w:val="clear" w:color="000000" w:fill="F2F2F2"/>
            <w:hideMark/>
          </w:tcPr>
          <w:p w14:paraId="7B3FF3D8"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55" w:type="dxa"/>
            <w:tcBorders>
              <w:top w:val="nil"/>
              <w:left w:val="nil"/>
              <w:bottom w:val="single" w:sz="4" w:space="0" w:color="auto"/>
              <w:right w:val="single" w:sz="4" w:space="0" w:color="auto"/>
            </w:tcBorders>
            <w:shd w:val="clear" w:color="000000" w:fill="F2F2F2"/>
            <w:hideMark/>
          </w:tcPr>
          <w:p w14:paraId="5F7A94D0"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89" w:type="dxa"/>
            <w:tcBorders>
              <w:top w:val="nil"/>
              <w:left w:val="nil"/>
              <w:bottom w:val="single" w:sz="4" w:space="0" w:color="auto"/>
              <w:right w:val="single" w:sz="4" w:space="0" w:color="auto"/>
            </w:tcBorders>
            <w:shd w:val="clear" w:color="000000" w:fill="F2F2F2"/>
            <w:hideMark/>
          </w:tcPr>
          <w:p w14:paraId="7CABC667"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89" w:type="dxa"/>
            <w:tcBorders>
              <w:top w:val="nil"/>
              <w:left w:val="nil"/>
              <w:bottom w:val="single" w:sz="4" w:space="0" w:color="auto"/>
              <w:right w:val="single" w:sz="4" w:space="0" w:color="auto"/>
            </w:tcBorders>
            <w:shd w:val="clear" w:color="000000" w:fill="F2F2F2"/>
            <w:hideMark/>
          </w:tcPr>
          <w:p w14:paraId="64E74B43"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E50B6B" w:rsidRPr="00000F38" w14:paraId="38AEADB0" w14:textId="77777777" w:rsidTr="00E50B6B">
        <w:trPr>
          <w:trHeight w:val="255"/>
        </w:trPr>
        <w:tc>
          <w:tcPr>
            <w:tcW w:w="159" w:type="dxa"/>
            <w:tcBorders>
              <w:top w:val="nil"/>
              <w:left w:val="single" w:sz="4" w:space="0" w:color="auto"/>
              <w:bottom w:val="single" w:sz="4" w:space="0" w:color="auto"/>
              <w:right w:val="single" w:sz="4" w:space="0" w:color="auto"/>
            </w:tcBorders>
            <w:shd w:val="clear" w:color="auto" w:fill="auto"/>
            <w:hideMark/>
          </w:tcPr>
          <w:p w14:paraId="4ADEDA3E"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612" w:type="dxa"/>
            <w:tcBorders>
              <w:top w:val="nil"/>
              <w:left w:val="nil"/>
              <w:bottom w:val="single" w:sz="4" w:space="0" w:color="auto"/>
              <w:right w:val="single" w:sz="4" w:space="0" w:color="auto"/>
            </w:tcBorders>
            <w:shd w:val="clear" w:color="auto" w:fill="auto"/>
            <w:hideMark/>
          </w:tcPr>
          <w:p w14:paraId="626759CF"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536" w:type="dxa"/>
            <w:tcBorders>
              <w:top w:val="nil"/>
              <w:left w:val="nil"/>
              <w:bottom w:val="single" w:sz="4" w:space="0" w:color="auto"/>
              <w:right w:val="single" w:sz="4" w:space="0" w:color="auto"/>
            </w:tcBorders>
            <w:shd w:val="clear" w:color="auto" w:fill="auto"/>
            <w:hideMark/>
          </w:tcPr>
          <w:p w14:paraId="31ED3982"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20" w:type="dxa"/>
            <w:tcBorders>
              <w:top w:val="nil"/>
              <w:left w:val="nil"/>
              <w:bottom w:val="single" w:sz="4" w:space="0" w:color="auto"/>
              <w:right w:val="single" w:sz="4" w:space="0" w:color="auto"/>
            </w:tcBorders>
            <w:shd w:val="clear" w:color="auto" w:fill="auto"/>
            <w:hideMark/>
          </w:tcPr>
          <w:p w14:paraId="74C40BDC"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55" w:type="dxa"/>
            <w:tcBorders>
              <w:top w:val="nil"/>
              <w:left w:val="nil"/>
              <w:bottom w:val="single" w:sz="4" w:space="0" w:color="auto"/>
              <w:right w:val="single" w:sz="4" w:space="0" w:color="auto"/>
            </w:tcBorders>
            <w:shd w:val="clear" w:color="auto" w:fill="auto"/>
            <w:hideMark/>
          </w:tcPr>
          <w:p w14:paraId="2007FCBF"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89" w:type="dxa"/>
            <w:tcBorders>
              <w:top w:val="nil"/>
              <w:left w:val="nil"/>
              <w:bottom w:val="single" w:sz="4" w:space="0" w:color="auto"/>
              <w:right w:val="single" w:sz="4" w:space="0" w:color="auto"/>
            </w:tcBorders>
            <w:shd w:val="clear" w:color="auto" w:fill="auto"/>
            <w:hideMark/>
          </w:tcPr>
          <w:p w14:paraId="6D77EEBF"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20" w:type="dxa"/>
            <w:tcBorders>
              <w:top w:val="nil"/>
              <w:left w:val="nil"/>
              <w:bottom w:val="single" w:sz="4" w:space="0" w:color="auto"/>
              <w:right w:val="single" w:sz="4" w:space="0" w:color="auto"/>
            </w:tcBorders>
            <w:shd w:val="clear" w:color="auto" w:fill="auto"/>
            <w:hideMark/>
          </w:tcPr>
          <w:p w14:paraId="2D0EFA8B"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55" w:type="dxa"/>
            <w:tcBorders>
              <w:top w:val="nil"/>
              <w:left w:val="nil"/>
              <w:bottom w:val="single" w:sz="4" w:space="0" w:color="auto"/>
              <w:right w:val="single" w:sz="4" w:space="0" w:color="auto"/>
            </w:tcBorders>
            <w:shd w:val="clear" w:color="auto" w:fill="auto"/>
            <w:hideMark/>
          </w:tcPr>
          <w:p w14:paraId="32AE625D"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89" w:type="dxa"/>
            <w:tcBorders>
              <w:top w:val="nil"/>
              <w:left w:val="nil"/>
              <w:bottom w:val="single" w:sz="4" w:space="0" w:color="auto"/>
              <w:right w:val="single" w:sz="4" w:space="0" w:color="auto"/>
            </w:tcBorders>
            <w:shd w:val="clear" w:color="auto" w:fill="auto"/>
            <w:hideMark/>
          </w:tcPr>
          <w:p w14:paraId="670068A4"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20" w:type="dxa"/>
            <w:tcBorders>
              <w:top w:val="nil"/>
              <w:left w:val="nil"/>
              <w:bottom w:val="single" w:sz="4" w:space="0" w:color="auto"/>
              <w:right w:val="single" w:sz="4" w:space="0" w:color="auto"/>
            </w:tcBorders>
            <w:shd w:val="clear" w:color="auto" w:fill="auto"/>
            <w:hideMark/>
          </w:tcPr>
          <w:p w14:paraId="15BB5A23"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55" w:type="dxa"/>
            <w:tcBorders>
              <w:top w:val="nil"/>
              <w:left w:val="nil"/>
              <w:bottom w:val="single" w:sz="4" w:space="0" w:color="auto"/>
              <w:right w:val="single" w:sz="4" w:space="0" w:color="auto"/>
            </w:tcBorders>
            <w:shd w:val="clear" w:color="auto" w:fill="auto"/>
            <w:hideMark/>
          </w:tcPr>
          <w:p w14:paraId="4F7D9C2C"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89" w:type="dxa"/>
            <w:tcBorders>
              <w:top w:val="nil"/>
              <w:left w:val="nil"/>
              <w:bottom w:val="single" w:sz="4" w:space="0" w:color="auto"/>
              <w:right w:val="single" w:sz="4" w:space="0" w:color="auto"/>
            </w:tcBorders>
            <w:shd w:val="clear" w:color="auto" w:fill="auto"/>
            <w:hideMark/>
          </w:tcPr>
          <w:p w14:paraId="20DD2B50"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20" w:type="dxa"/>
            <w:tcBorders>
              <w:top w:val="nil"/>
              <w:left w:val="nil"/>
              <w:bottom w:val="single" w:sz="4" w:space="0" w:color="auto"/>
              <w:right w:val="single" w:sz="4" w:space="0" w:color="auto"/>
            </w:tcBorders>
            <w:shd w:val="clear" w:color="auto" w:fill="auto"/>
            <w:hideMark/>
          </w:tcPr>
          <w:p w14:paraId="5FD3620B"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55" w:type="dxa"/>
            <w:tcBorders>
              <w:top w:val="nil"/>
              <w:left w:val="nil"/>
              <w:bottom w:val="single" w:sz="4" w:space="0" w:color="auto"/>
              <w:right w:val="single" w:sz="4" w:space="0" w:color="auto"/>
            </w:tcBorders>
            <w:shd w:val="clear" w:color="auto" w:fill="auto"/>
            <w:hideMark/>
          </w:tcPr>
          <w:p w14:paraId="4B6532DC"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89" w:type="dxa"/>
            <w:tcBorders>
              <w:top w:val="nil"/>
              <w:left w:val="nil"/>
              <w:bottom w:val="single" w:sz="4" w:space="0" w:color="auto"/>
              <w:right w:val="single" w:sz="4" w:space="0" w:color="auto"/>
            </w:tcBorders>
            <w:shd w:val="clear" w:color="auto" w:fill="auto"/>
            <w:hideMark/>
          </w:tcPr>
          <w:p w14:paraId="045D0D39"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20" w:type="dxa"/>
            <w:tcBorders>
              <w:top w:val="nil"/>
              <w:left w:val="nil"/>
              <w:bottom w:val="single" w:sz="4" w:space="0" w:color="auto"/>
              <w:right w:val="single" w:sz="4" w:space="0" w:color="auto"/>
            </w:tcBorders>
            <w:shd w:val="clear" w:color="auto" w:fill="auto"/>
            <w:hideMark/>
          </w:tcPr>
          <w:p w14:paraId="00D0FB62"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55" w:type="dxa"/>
            <w:tcBorders>
              <w:top w:val="nil"/>
              <w:left w:val="nil"/>
              <w:bottom w:val="single" w:sz="4" w:space="0" w:color="auto"/>
              <w:right w:val="single" w:sz="4" w:space="0" w:color="auto"/>
            </w:tcBorders>
            <w:shd w:val="clear" w:color="auto" w:fill="auto"/>
            <w:hideMark/>
          </w:tcPr>
          <w:p w14:paraId="6C489080"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89" w:type="dxa"/>
            <w:tcBorders>
              <w:top w:val="nil"/>
              <w:left w:val="nil"/>
              <w:bottom w:val="single" w:sz="4" w:space="0" w:color="auto"/>
              <w:right w:val="single" w:sz="4" w:space="0" w:color="auto"/>
            </w:tcBorders>
            <w:shd w:val="clear" w:color="auto" w:fill="auto"/>
            <w:hideMark/>
          </w:tcPr>
          <w:p w14:paraId="36DC7DA8"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89" w:type="dxa"/>
            <w:tcBorders>
              <w:top w:val="nil"/>
              <w:left w:val="nil"/>
              <w:bottom w:val="single" w:sz="4" w:space="0" w:color="auto"/>
              <w:right w:val="single" w:sz="4" w:space="0" w:color="auto"/>
            </w:tcBorders>
            <w:shd w:val="clear" w:color="auto" w:fill="auto"/>
            <w:hideMark/>
          </w:tcPr>
          <w:p w14:paraId="43CD5E7D"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r>
      <w:tr w:rsidR="00E50B6B" w:rsidRPr="00000F38" w14:paraId="2F0F708D" w14:textId="77777777" w:rsidTr="00E50B6B">
        <w:trPr>
          <w:trHeight w:val="255"/>
        </w:trPr>
        <w:tc>
          <w:tcPr>
            <w:tcW w:w="159" w:type="dxa"/>
            <w:tcBorders>
              <w:top w:val="nil"/>
              <w:left w:val="single" w:sz="4" w:space="0" w:color="auto"/>
              <w:bottom w:val="single" w:sz="4" w:space="0" w:color="auto"/>
              <w:right w:val="single" w:sz="4" w:space="0" w:color="auto"/>
            </w:tcBorders>
            <w:shd w:val="clear" w:color="000000" w:fill="FFFFFF"/>
            <w:hideMark/>
          </w:tcPr>
          <w:p w14:paraId="204A0F55"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612" w:type="dxa"/>
            <w:tcBorders>
              <w:top w:val="nil"/>
              <w:left w:val="nil"/>
              <w:bottom w:val="single" w:sz="4" w:space="0" w:color="auto"/>
              <w:right w:val="single" w:sz="4" w:space="0" w:color="auto"/>
            </w:tcBorders>
            <w:shd w:val="clear" w:color="000000" w:fill="FFFFFF"/>
            <w:hideMark/>
          </w:tcPr>
          <w:p w14:paraId="543AF3EA"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Grand Total (A+B)</w:t>
            </w:r>
          </w:p>
        </w:tc>
        <w:tc>
          <w:tcPr>
            <w:tcW w:w="536" w:type="dxa"/>
            <w:tcBorders>
              <w:top w:val="nil"/>
              <w:left w:val="nil"/>
              <w:bottom w:val="single" w:sz="4" w:space="0" w:color="auto"/>
              <w:right w:val="single" w:sz="4" w:space="0" w:color="auto"/>
            </w:tcBorders>
            <w:shd w:val="clear" w:color="000000" w:fill="FFFFFF"/>
            <w:hideMark/>
          </w:tcPr>
          <w:p w14:paraId="74AC2F26"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clear" w:color="000000" w:fill="FFFFFF"/>
            <w:hideMark/>
          </w:tcPr>
          <w:p w14:paraId="0C99A82A"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clear" w:color="auto" w:fill="auto"/>
            <w:hideMark/>
          </w:tcPr>
          <w:p w14:paraId="7DD50156" w14:textId="77777777" w:rsidR="00E50B6B" w:rsidRPr="00000F38" w:rsidRDefault="00E50B6B" w:rsidP="00E50B6B">
            <w:pPr>
              <w:spacing w:after="0" w:line="240" w:lineRule="auto"/>
              <w:jc w:val="center"/>
              <w:rPr>
                <w:rFonts w:eastAsia="Times New Roman" w:cstheme="minorHAnsi"/>
                <w:b/>
                <w:bCs/>
                <w:lang w:val="en-GB" w:eastAsia="en-GB"/>
              </w:rPr>
            </w:pPr>
            <w:r w:rsidRPr="00000F38">
              <w:rPr>
                <w:rFonts w:eastAsia="Times New Roman" w:cstheme="minorHAnsi"/>
                <w:b/>
                <w:bCs/>
                <w:lang w:val="en-GB" w:eastAsia="en-GB"/>
              </w:rPr>
              <w:t>XX</w:t>
            </w:r>
          </w:p>
        </w:tc>
        <w:tc>
          <w:tcPr>
            <w:tcW w:w="389" w:type="dxa"/>
            <w:tcBorders>
              <w:top w:val="nil"/>
              <w:left w:val="nil"/>
              <w:bottom w:val="single" w:sz="4" w:space="0" w:color="auto"/>
              <w:right w:val="single" w:sz="4" w:space="0" w:color="auto"/>
            </w:tcBorders>
            <w:shd w:val="clear" w:color="auto" w:fill="auto"/>
            <w:hideMark/>
          </w:tcPr>
          <w:p w14:paraId="6FA13547" w14:textId="77777777" w:rsidR="00E50B6B" w:rsidRPr="00000F38" w:rsidRDefault="00E50B6B" w:rsidP="00E50B6B">
            <w:pPr>
              <w:spacing w:after="0" w:line="240" w:lineRule="auto"/>
              <w:jc w:val="center"/>
              <w:rPr>
                <w:rFonts w:eastAsia="Times New Roman" w:cstheme="minorHAnsi"/>
                <w:b/>
                <w:bCs/>
                <w:lang w:val="en-GB" w:eastAsia="en-GB"/>
              </w:rPr>
            </w:pPr>
            <w:r w:rsidRPr="00000F38">
              <w:rPr>
                <w:rFonts w:eastAsia="Times New Roman" w:cstheme="minorHAnsi"/>
                <w:b/>
                <w:bCs/>
                <w:lang w:val="en-GB" w:eastAsia="en-GB"/>
              </w:rPr>
              <w:t>XX</w:t>
            </w:r>
          </w:p>
        </w:tc>
        <w:tc>
          <w:tcPr>
            <w:tcW w:w="420" w:type="dxa"/>
            <w:tcBorders>
              <w:top w:val="nil"/>
              <w:left w:val="nil"/>
              <w:bottom w:val="single" w:sz="4" w:space="0" w:color="auto"/>
              <w:right w:val="single" w:sz="4" w:space="0" w:color="auto"/>
            </w:tcBorders>
            <w:shd w:val="clear" w:color="000000" w:fill="FFFFFF"/>
            <w:hideMark/>
          </w:tcPr>
          <w:p w14:paraId="1685DA82"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clear" w:color="000000" w:fill="FFFFFF"/>
            <w:hideMark/>
          </w:tcPr>
          <w:p w14:paraId="281C6E7E"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clear" w:color="000000" w:fill="FFFFFF"/>
            <w:hideMark/>
          </w:tcPr>
          <w:p w14:paraId="65C79344"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clear" w:color="000000" w:fill="FFFFFF"/>
            <w:hideMark/>
          </w:tcPr>
          <w:p w14:paraId="34697A16"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clear" w:color="000000" w:fill="FFFFFF"/>
            <w:hideMark/>
          </w:tcPr>
          <w:p w14:paraId="4D7D646D"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clear" w:color="000000" w:fill="FFFFFF"/>
            <w:hideMark/>
          </w:tcPr>
          <w:p w14:paraId="5E82798B"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clear" w:color="000000" w:fill="FFFFFF"/>
            <w:hideMark/>
          </w:tcPr>
          <w:p w14:paraId="4E7DC26E"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clear" w:color="000000" w:fill="FFFFFF"/>
            <w:hideMark/>
          </w:tcPr>
          <w:p w14:paraId="4998D63E"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clear" w:color="000000" w:fill="FFFFFF"/>
            <w:hideMark/>
          </w:tcPr>
          <w:p w14:paraId="075FF207"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20" w:type="dxa"/>
            <w:tcBorders>
              <w:top w:val="nil"/>
              <w:left w:val="nil"/>
              <w:bottom w:val="single" w:sz="4" w:space="0" w:color="auto"/>
              <w:right w:val="single" w:sz="4" w:space="0" w:color="auto"/>
            </w:tcBorders>
            <w:shd w:val="clear" w:color="000000" w:fill="FFFFFF"/>
            <w:hideMark/>
          </w:tcPr>
          <w:p w14:paraId="06D4A06F"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55" w:type="dxa"/>
            <w:tcBorders>
              <w:top w:val="nil"/>
              <w:left w:val="nil"/>
              <w:bottom w:val="single" w:sz="4" w:space="0" w:color="auto"/>
              <w:right w:val="single" w:sz="4" w:space="0" w:color="auto"/>
            </w:tcBorders>
            <w:shd w:val="clear" w:color="000000" w:fill="FFFFFF"/>
            <w:hideMark/>
          </w:tcPr>
          <w:p w14:paraId="261B640B"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clear" w:color="000000" w:fill="FFFFFF"/>
            <w:hideMark/>
          </w:tcPr>
          <w:p w14:paraId="03D9C9CC"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89" w:type="dxa"/>
            <w:tcBorders>
              <w:top w:val="nil"/>
              <w:left w:val="nil"/>
              <w:bottom w:val="single" w:sz="4" w:space="0" w:color="auto"/>
              <w:right w:val="single" w:sz="4" w:space="0" w:color="auto"/>
            </w:tcBorders>
            <w:shd w:val="clear" w:color="auto" w:fill="auto"/>
            <w:hideMark/>
          </w:tcPr>
          <w:p w14:paraId="551F5BBE"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bl>
    <w:p w14:paraId="15B893A2" w14:textId="77777777" w:rsidR="00E50B6B" w:rsidRPr="00000F38" w:rsidRDefault="00E50B6B" w:rsidP="00A54361">
      <w:pPr>
        <w:jc w:val="both"/>
        <w:rPr>
          <w:rFonts w:cstheme="minorHAnsi"/>
        </w:rPr>
      </w:pPr>
    </w:p>
    <w:p w14:paraId="383F7E28" w14:textId="77777777" w:rsidR="00E50B6B" w:rsidRPr="00000F38" w:rsidRDefault="00E50B6B" w:rsidP="00A54361">
      <w:pPr>
        <w:jc w:val="both"/>
        <w:rPr>
          <w:rFonts w:cstheme="minorHAnsi"/>
        </w:rPr>
      </w:pPr>
    </w:p>
    <w:p w14:paraId="76D7954D" w14:textId="77777777" w:rsidR="00E50B6B" w:rsidRPr="00000F38" w:rsidRDefault="00E50B6B" w:rsidP="00A54361">
      <w:pPr>
        <w:jc w:val="both"/>
        <w:rPr>
          <w:rFonts w:cstheme="minorHAnsi"/>
        </w:rPr>
      </w:pPr>
    </w:p>
    <w:p w14:paraId="470E492B" w14:textId="4FF01876" w:rsidR="00E50B6B" w:rsidRPr="00000F38" w:rsidRDefault="00E50B6B">
      <w:pPr>
        <w:rPr>
          <w:rFonts w:cstheme="minorHAnsi"/>
        </w:rPr>
      </w:pPr>
      <w:r w:rsidRPr="00000F38">
        <w:rPr>
          <w:rFonts w:cstheme="minorHAnsi"/>
        </w:rPr>
        <w:br w:type="page"/>
      </w:r>
    </w:p>
    <w:p w14:paraId="48E740DB" w14:textId="2FD00E20" w:rsidR="00B13BFE" w:rsidRPr="00000F38" w:rsidRDefault="00E50B6B" w:rsidP="00A54361">
      <w:pPr>
        <w:jc w:val="both"/>
        <w:rPr>
          <w:rFonts w:cstheme="minorHAnsi"/>
          <w:b/>
        </w:rPr>
      </w:pPr>
      <w:r w:rsidRPr="00000F38">
        <w:rPr>
          <w:rFonts w:cstheme="minorHAnsi"/>
          <w:b/>
        </w:rPr>
        <w:lastRenderedPageBreak/>
        <w:t>Hardware Cost</w:t>
      </w:r>
    </w:p>
    <w:tbl>
      <w:tblPr>
        <w:tblW w:w="9026" w:type="dxa"/>
        <w:tblLook w:val="04A0" w:firstRow="1" w:lastRow="0" w:firstColumn="1" w:lastColumn="0" w:noHBand="0" w:noVBand="1"/>
      </w:tblPr>
      <w:tblGrid>
        <w:gridCol w:w="418"/>
        <w:gridCol w:w="1808"/>
        <w:gridCol w:w="825"/>
        <w:gridCol w:w="772"/>
        <w:gridCol w:w="536"/>
        <w:gridCol w:w="727"/>
        <w:gridCol w:w="772"/>
        <w:gridCol w:w="536"/>
        <w:gridCol w:w="727"/>
        <w:gridCol w:w="772"/>
        <w:gridCol w:w="536"/>
        <w:gridCol w:w="727"/>
        <w:gridCol w:w="772"/>
        <w:gridCol w:w="536"/>
        <w:gridCol w:w="727"/>
        <w:gridCol w:w="772"/>
        <w:gridCol w:w="536"/>
        <w:gridCol w:w="727"/>
        <w:gridCol w:w="727"/>
      </w:tblGrid>
      <w:tr w:rsidR="00E50B6B" w:rsidRPr="00000F38" w14:paraId="76A5444D" w14:textId="77777777" w:rsidTr="00E50B6B">
        <w:trPr>
          <w:trHeight w:val="255"/>
        </w:trPr>
        <w:tc>
          <w:tcPr>
            <w:tcW w:w="508" w:type="dxa"/>
            <w:tcBorders>
              <w:top w:val="nil"/>
              <w:left w:val="nil"/>
              <w:bottom w:val="nil"/>
              <w:right w:val="nil"/>
            </w:tcBorders>
            <w:shd w:val="clear" w:color="auto" w:fill="auto"/>
            <w:noWrap/>
            <w:hideMark/>
          </w:tcPr>
          <w:p w14:paraId="4569A6F9" w14:textId="77777777" w:rsidR="00E50B6B" w:rsidRPr="00000F38" w:rsidRDefault="00E50B6B" w:rsidP="00E50B6B">
            <w:pPr>
              <w:spacing w:after="0" w:line="240" w:lineRule="auto"/>
              <w:rPr>
                <w:rFonts w:eastAsia="Times New Roman" w:cstheme="minorHAnsi"/>
                <w:lang w:val="en-GB" w:eastAsia="en-GB"/>
              </w:rPr>
            </w:pPr>
          </w:p>
        </w:tc>
        <w:tc>
          <w:tcPr>
            <w:tcW w:w="2528" w:type="dxa"/>
            <w:tcBorders>
              <w:top w:val="single" w:sz="4" w:space="0" w:color="auto"/>
              <w:left w:val="single" w:sz="4" w:space="0" w:color="auto"/>
              <w:bottom w:val="single" w:sz="4" w:space="0" w:color="auto"/>
              <w:right w:val="single" w:sz="4" w:space="0" w:color="auto"/>
            </w:tcBorders>
            <w:shd w:val="clear" w:color="auto" w:fill="auto"/>
            <w:hideMark/>
          </w:tcPr>
          <w:p w14:paraId="0137741B"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43" w:type="dxa"/>
            <w:tcBorders>
              <w:top w:val="single" w:sz="4" w:space="0" w:color="auto"/>
              <w:left w:val="nil"/>
              <w:bottom w:val="single" w:sz="4" w:space="0" w:color="auto"/>
              <w:right w:val="single" w:sz="4" w:space="0" w:color="auto"/>
            </w:tcBorders>
            <w:shd w:val="clear" w:color="auto" w:fill="auto"/>
            <w:hideMark/>
          </w:tcPr>
          <w:p w14:paraId="476DD486"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1033" w:type="dxa"/>
            <w:gridSpan w:val="3"/>
            <w:tcBorders>
              <w:top w:val="single" w:sz="4" w:space="0" w:color="auto"/>
              <w:left w:val="nil"/>
              <w:bottom w:val="single" w:sz="4" w:space="0" w:color="auto"/>
              <w:right w:val="single" w:sz="4" w:space="0" w:color="auto"/>
            </w:tcBorders>
            <w:shd w:val="clear" w:color="000000" w:fill="FFC000"/>
            <w:hideMark/>
          </w:tcPr>
          <w:p w14:paraId="5B7EF2AB"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YEAR 1</w:t>
            </w:r>
          </w:p>
        </w:tc>
        <w:tc>
          <w:tcPr>
            <w:tcW w:w="1034" w:type="dxa"/>
            <w:gridSpan w:val="3"/>
            <w:tcBorders>
              <w:top w:val="single" w:sz="4" w:space="0" w:color="auto"/>
              <w:left w:val="nil"/>
              <w:bottom w:val="single" w:sz="4" w:space="0" w:color="auto"/>
              <w:right w:val="single" w:sz="4" w:space="0" w:color="auto"/>
            </w:tcBorders>
            <w:shd w:val="clear" w:color="000000" w:fill="FFC000"/>
            <w:hideMark/>
          </w:tcPr>
          <w:p w14:paraId="30307532"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YEAR 2</w:t>
            </w:r>
          </w:p>
        </w:tc>
        <w:tc>
          <w:tcPr>
            <w:tcW w:w="1034" w:type="dxa"/>
            <w:gridSpan w:val="3"/>
            <w:tcBorders>
              <w:top w:val="single" w:sz="4" w:space="0" w:color="auto"/>
              <w:left w:val="nil"/>
              <w:bottom w:val="single" w:sz="4" w:space="0" w:color="auto"/>
              <w:right w:val="single" w:sz="4" w:space="0" w:color="auto"/>
            </w:tcBorders>
            <w:shd w:val="clear" w:color="000000" w:fill="FFC000"/>
            <w:hideMark/>
          </w:tcPr>
          <w:p w14:paraId="4E0CC84B"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YEAR 3</w:t>
            </w:r>
          </w:p>
        </w:tc>
        <w:tc>
          <w:tcPr>
            <w:tcW w:w="1034" w:type="dxa"/>
            <w:gridSpan w:val="3"/>
            <w:tcBorders>
              <w:top w:val="single" w:sz="4" w:space="0" w:color="auto"/>
              <w:left w:val="nil"/>
              <w:bottom w:val="single" w:sz="4" w:space="0" w:color="auto"/>
              <w:right w:val="single" w:sz="4" w:space="0" w:color="auto"/>
            </w:tcBorders>
            <w:shd w:val="clear" w:color="000000" w:fill="FFC000"/>
            <w:hideMark/>
          </w:tcPr>
          <w:p w14:paraId="5B6CC9E0"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YEAR 4</w:t>
            </w:r>
          </w:p>
        </w:tc>
        <w:tc>
          <w:tcPr>
            <w:tcW w:w="1034" w:type="dxa"/>
            <w:gridSpan w:val="3"/>
            <w:tcBorders>
              <w:top w:val="single" w:sz="4" w:space="0" w:color="auto"/>
              <w:left w:val="nil"/>
              <w:bottom w:val="single" w:sz="4" w:space="0" w:color="auto"/>
              <w:right w:val="single" w:sz="4" w:space="0" w:color="auto"/>
            </w:tcBorders>
            <w:shd w:val="clear" w:color="000000" w:fill="FFC000"/>
            <w:hideMark/>
          </w:tcPr>
          <w:p w14:paraId="77896E0A"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YEAR 5</w:t>
            </w:r>
          </w:p>
        </w:tc>
        <w:tc>
          <w:tcPr>
            <w:tcW w:w="378" w:type="dxa"/>
            <w:tcBorders>
              <w:top w:val="single" w:sz="4" w:space="0" w:color="auto"/>
              <w:left w:val="nil"/>
              <w:bottom w:val="single" w:sz="4" w:space="0" w:color="auto"/>
              <w:right w:val="single" w:sz="4" w:space="0" w:color="auto"/>
            </w:tcBorders>
            <w:shd w:val="clear" w:color="auto" w:fill="auto"/>
            <w:hideMark/>
          </w:tcPr>
          <w:p w14:paraId="6E4F6366"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r>
      <w:tr w:rsidR="00E50B6B" w:rsidRPr="00000F38" w14:paraId="247D6178" w14:textId="77777777" w:rsidTr="00E50B6B">
        <w:trPr>
          <w:trHeight w:val="765"/>
        </w:trPr>
        <w:tc>
          <w:tcPr>
            <w:tcW w:w="508" w:type="dxa"/>
            <w:tcBorders>
              <w:top w:val="single" w:sz="4" w:space="0" w:color="auto"/>
              <w:left w:val="single" w:sz="4" w:space="0" w:color="auto"/>
              <w:bottom w:val="single" w:sz="4" w:space="0" w:color="auto"/>
              <w:right w:val="single" w:sz="4" w:space="0" w:color="auto"/>
            </w:tcBorders>
            <w:shd w:val="clear" w:color="000000" w:fill="002060"/>
            <w:hideMark/>
          </w:tcPr>
          <w:p w14:paraId="3D3A2EBE" w14:textId="77777777" w:rsidR="00E50B6B" w:rsidRPr="00000F38" w:rsidRDefault="00E50B6B" w:rsidP="00E50B6B">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S. No</w:t>
            </w:r>
          </w:p>
        </w:tc>
        <w:tc>
          <w:tcPr>
            <w:tcW w:w="2528" w:type="dxa"/>
            <w:tcBorders>
              <w:top w:val="nil"/>
              <w:left w:val="nil"/>
              <w:bottom w:val="single" w:sz="4" w:space="0" w:color="auto"/>
              <w:right w:val="single" w:sz="4" w:space="0" w:color="auto"/>
            </w:tcBorders>
            <w:shd w:val="clear" w:color="000000" w:fill="002060"/>
            <w:hideMark/>
          </w:tcPr>
          <w:p w14:paraId="7C1FF0BB" w14:textId="77777777" w:rsidR="00E50B6B" w:rsidRPr="00000F38" w:rsidRDefault="00E50B6B" w:rsidP="00E50B6B">
            <w:pPr>
              <w:spacing w:after="0" w:line="240" w:lineRule="auto"/>
              <w:rPr>
                <w:rFonts w:eastAsia="Times New Roman" w:cstheme="minorHAnsi"/>
                <w:b/>
                <w:bCs/>
                <w:color w:val="FFFFFF"/>
                <w:lang w:val="en-GB" w:eastAsia="en-GB"/>
              </w:rPr>
            </w:pPr>
            <w:r w:rsidRPr="00000F38">
              <w:rPr>
                <w:rFonts w:eastAsia="Times New Roman" w:cstheme="minorHAnsi"/>
                <w:b/>
                <w:bCs/>
                <w:color w:val="FFFFFF"/>
                <w:lang w:val="en-GB" w:eastAsia="en-GB"/>
              </w:rPr>
              <w:t>Hardware Cost at DC</w:t>
            </w:r>
          </w:p>
        </w:tc>
        <w:tc>
          <w:tcPr>
            <w:tcW w:w="443" w:type="dxa"/>
            <w:tcBorders>
              <w:top w:val="nil"/>
              <w:left w:val="nil"/>
              <w:bottom w:val="single" w:sz="4" w:space="0" w:color="auto"/>
              <w:right w:val="single" w:sz="4" w:space="0" w:color="auto"/>
            </w:tcBorders>
            <w:shd w:val="clear" w:color="000000" w:fill="203764"/>
            <w:hideMark/>
          </w:tcPr>
          <w:p w14:paraId="70634199" w14:textId="77777777" w:rsidR="00E50B6B" w:rsidRPr="00000F38" w:rsidRDefault="00E50B6B" w:rsidP="00E50B6B">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Details of the proposed hardware</w:t>
            </w:r>
            <w:r w:rsidRPr="00000F38">
              <w:rPr>
                <w:rFonts w:eastAsia="Times New Roman" w:cstheme="minorHAnsi"/>
                <w:b/>
                <w:bCs/>
                <w:color w:val="FFFFFF"/>
                <w:lang w:val="en-GB" w:eastAsia="en-GB"/>
              </w:rPr>
              <w:br/>
              <w:t>(Make, Model, etc)</w:t>
            </w:r>
          </w:p>
        </w:tc>
        <w:tc>
          <w:tcPr>
            <w:tcW w:w="407" w:type="dxa"/>
            <w:tcBorders>
              <w:top w:val="nil"/>
              <w:left w:val="nil"/>
              <w:bottom w:val="single" w:sz="4" w:space="0" w:color="auto"/>
              <w:right w:val="single" w:sz="4" w:space="0" w:color="auto"/>
            </w:tcBorders>
            <w:shd w:val="clear" w:color="000000" w:fill="002060"/>
            <w:hideMark/>
          </w:tcPr>
          <w:p w14:paraId="2AD87A9A" w14:textId="77777777" w:rsidR="00E50B6B" w:rsidRPr="00000F38" w:rsidRDefault="00E50B6B" w:rsidP="00E50B6B">
            <w:pPr>
              <w:spacing w:after="0" w:line="240" w:lineRule="auto"/>
              <w:rPr>
                <w:rFonts w:eastAsia="Times New Roman" w:cstheme="minorHAnsi"/>
                <w:b/>
                <w:bCs/>
                <w:color w:val="FFFFFF"/>
                <w:lang w:val="en-GB" w:eastAsia="en-GB"/>
              </w:rPr>
            </w:pPr>
            <w:r w:rsidRPr="00000F38">
              <w:rPr>
                <w:rFonts w:eastAsia="Times New Roman" w:cstheme="minorHAnsi"/>
                <w:b/>
                <w:bCs/>
                <w:color w:val="FFFFFF"/>
                <w:lang w:val="en-GB" w:eastAsia="en-GB"/>
              </w:rPr>
              <w:t>Quantity</w:t>
            </w:r>
          </w:p>
        </w:tc>
        <w:tc>
          <w:tcPr>
            <w:tcW w:w="248" w:type="dxa"/>
            <w:tcBorders>
              <w:top w:val="nil"/>
              <w:left w:val="nil"/>
              <w:bottom w:val="single" w:sz="4" w:space="0" w:color="auto"/>
              <w:right w:val="single" w:sz="4" w:space="0" w:color="auto"/>
            </w:tcBorders>
            <w:shd w:val="clear" w:color="000000" w:fill="002060"/>
            <w:hideMark/>
          </w:tcPr>
          <w:p w14:paraId="4DE42EB3" w14:textId="77777777" w:rsidR="00E50B6B" w:rsidRPr="00000F38" w:rsidRDefault="00E50B6B" w:rsidP="00E50B6B">
            <w:pPr>
              <w:spacing w:after="0" w:line="240" w:lineRule="auto"/>
              <w:rPr>
                <w:rFonts w:eastAsia="Times New Roman" w:cstheme="minorHAnsi"/>
                <w:b/>
                <w:bCs/>
                <w:color w:val="FFFFFF"/>
                <w:lang w:val="en-GB" w:eastAsia="en-GB"/>
              </w:rPr>
            </w:pPr>
            <w:r w:rsidRPr="00000F38">
              <w:rPr>
                <w:rFonts w:eastAsia="Times New Roman" w:cstheme="minorHAnsi"/>
                <w:b/>
                <w:bCs/>
                <w:color w:val="FFFFFF"/>
                <w:lang w:val="en-GB" w:eastAsia="en-GB"/>
              </w:rPr>
              <w:t>Rate (INR)</w:t>
            </w:r>
          </w:p>
        </w:tc>
        <w:tc>
          <w:tcPr>
            <w:tcW w:w="378" w:type="dxa"/>
            <w:tcBorders>
              <w:top w:val="nil"/>
              <w:left w:val="nil"/>
              <w:bottom w:val="single" w:sz="4" w:space="0" w:color="auto"/>
              <w:right w:val="single" w:sz="4" w:space="0" w:color="auto"/>
            </w:tcBorders>
            <w:shd w:val="clear" w:color="000000" w:fill="002060"/>
            <w:hideMark/>
          </w:tcPr>
          <w:p w14:paraId="45E0712D" w14:textId="77777777" w:rsidR="00E50B6B" w:rsidRPr="00000F38" w:rsidRDefault="00E50B6B" w:rsidP="00E50B6B">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Total Amount   (INR)</w:t>
            </w:r>
          </w:p>
        </w:tc>
        <w:tc>
          <w:tcPr>
            <w:tcW w:w="408" w:type="dxa"/>
            <w:tcBorders>
              <w:top w:val="nil"/>
              <w:left w:val="nil"/>
              <w:bottom w:val="single" w:sz="4" w:space="0" w:color="auto"/>
              <w:right w:val="single" w:sz="4" w:space="0" w:color="auto"/>
            </w:tcBorders>
            <w:shd w:val="clear" w:color="000000" w:fill="002060"/>
            <w:hideMark/>
          </w:tcPr>
          <w:p w14:paraId="4E62B79E" w14:textId="77777777" w:rsidR="00E50B6B" w:rsidRPr="00000F38" w:rsidRDefault="00E50B6B" w:rsidP="00E50B6B">
            <w:pPr>
              <w:spacing w:after="0" w:line="240" w:lineRule="auto"/>
              <w:rPr>
                <w:rFonts w:eastAsia="Times New Roman" w:cstheme="minorHAnsi"/>
                <w:b/>
                <w:bCs/>
                <w:color w:val="FFFFFF"/>
                <w:lang w:val="en-GB" w:eastAsia="en-GB"/>
              </w:rPr>
            </w:pPr>
            <w:r w:rsidRPr="00000F38">
              <w:rPr>
                <w:rFonts w:eastAsia="Times New Roman" w:cstheme="minorHAnsi"/>
                <w:b/>
                <w:bCs/>
                <w:color w:val="FFFFFF"/>
                <w:lang w:val="en-GB" w:eastAsia="en-GB"/>
              </w:rPr>
              <w:t>Quantity</w:t>
            </w:r>
          </w:p>
        </w:tc>
        <w:tc>
          <w:tcPr>
            <w:tcW w:w="248" w:type="dxa"/>
            <w:tcBorders>
              <w:top w:val="nil"/>
              <w:left w:val="nil"/>
              <w:bottom w:val="single" w:sz="4" w:space="0" w:color="auto"/>
              <w:right w:val="single" w:sz="4" w:space="0" w:color="auto"/>
            </w:tcBorders>
            <w:shd w:val="clear" w:color="000000" w:fill="002060"/>
            <w:hideMark/>
          </w:tcPr>
          <w:p w14:paraId="3C2B144C" w14:textId="77777777" w:rsidR="00E50B6B" w:rsidRPr="00000F38" w:rsidRDefault="00E50B6B" w:rsidP="00E50B6B">
            <w:pPr>
              <w:spacing w:after="0" w:line="240" w:lineRule="auto"/>
              <w:rPr>
                <w:rFonts w:eastAsia="Times New Roman" w:cstheme="minorHAnsi"/>
                <w:b/>
                <w:bCs/>
                <w:color w:val="FFFFFF"/>
                <w:lang w:val="en-GB" w:eastAsia="en-GB"/>
              </w:rPr>
            </w:pPr>
            <w:r w:rsidRPr="00000F38">
              <w:rPr>
                <w:rFonts w:eastAsia="Times New Roman" w:cstheme="minorHAnsi"/>
                <w:b/>
                <w:bCs/>
                <w:color w:val="FFFFFF"/>
                <w:lang w:val="en-GB" w:eastAsia="en-GB"/>
              </w:rPr>
              <w:t>Rate (INR)</w:t>
            </w:r>
          </w:p>
        </w:tc>
        <w:tc>
          <w:tcPr>
            <w:tcW w:w="378" w:type="dxa"/>
            <w:tcBorders>
              <w:top w:val="nil"/>
              <w:left w:val="nil"/>
              <w:bottom w:val="single" w:sz="4" w:space="0" w:color="auto"/>
              <w:right w:val="single" w:sz="4" w:space="0" w:color="auto"/>
            </w:tcBorders>
            <w:shd w:val="clear" w:color="000000" w:fill="002060"/>
            <w:hideMark/>
          </w:tcPr>
          <w:p w14:paraId="5BB670AA" w14:textId="77777777" w:rsidR="00E50B6B" w:rsidRPr="00000F38" w:rsidRDefault="00E50B6B" w:rsidP="00E50B6B">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Total Amount   (INR)</w:t>
            </w:r>
          </w:p>
        </w:tc>
        <w:tc>
          <w:tcPr>
            <w:tcW w:w="408" w:type="dxa"/>
            <w:tcBorders>
              <w:top w:val="nil"/>
              <w:left w:val="nil"/>
              <w:bottom w:val="single" w:sz="4" w:space="0" w:color="auto"/>
              <w:right w:val="single" w:sz="4" w:space="0" w:color="auto"/>
            </w:tcBorders>
            <w:shd w:val="clear" w:color="000000" w:fill="002060"/>
            <w:hideMark/>
          </w:tcPr>
          <w:p w14:paraId="010D076C" w14:textId="77777777" w:rsidR="00E50B6B" w:rsidRPr="00000F38" w:rsidRDefault="00E50B6B" w:rsidP="00E50B6B">
            <w:pPr>
              <w:spacing w:after="0" w:line="240" w:lineRule="auto"/>
              <w:rPr>
                <w:rFonts w:eastAsia="Times New Roman" w:cstheme="minorHAnsi"/>
                <w:b/>
                <w:bCs/>
                <w:color w:val="FFFFFF"/>
                <w:lang w:val="en-GB" w:eastAsia="en-GB"/>
              </w:rPr>
            </w:pPr>
            <w:r w:rsidRPr="00000F38">
              <w:rPr>
                <w:rFonts w:eastAsia="Times New Roman" w:cstheme="minorHAnsi"/>
                <w:b/>
                <w:bCs/>
                <w:color w:val="FFFFFF"/>
                <w:lang w:val="en-GB" w:eastAsia="en-GB"/>
              </w:rPr>
              <w:t>Quantity</w:t>
            </w:r>
          </w:p>
        </w:tc>
        <w:tc>
          <w:tcPr>
            <w:tcW w:w="248" w:type="dxa"/>
            <w:tcBorders>
              <w:top w:val="nil"/>
              <w:left w:val="nil"/>
              <w:bottom w:val="single" w:sz="4" w:space="0" w:color="auto"/>
              <w:right w:val="single" w:sz="4" w:space="0" w:color="auto"/>
            </w:tcBorders>
            <w:shd w:val="clear" w:color="000000" w:fill="002060"/>
            <w:hideMark/>
          </w:tcPr>
          <w:p w14:paraId="6BE26FA8" w14:textId="77777777" w:rsidR="00E50B6B" w:rsidRPr="00000F38" w:rsidRDefault="00E50B6B" w:rsidP="00E50B6B">
            <w:pPr>
              <w:spacing w:after="0" w:line="240" w:lineRule="auto"/>
              <w:rPr>
                <w:rFonts w:eastAsia="Times New Roman" w:cstheme="minorHAnsi"/>
                <w:b/>
                <w:bCs/>
                <w:color w:val="FFFFFF"/>
                <w:lang w:val="en-GB" w:eastAsia="en-GB"/>
              </w:rPr>
            </w:pPr>
            <w:r w:rsidRPr="00000F38">
              <w:rPr>
                <w:rFonts w:eastAsia="Times New Roman" w:cstheme="minorHAnsi"/>
                <w:b/>
                <w:bCs/>
                <w:color w:val="FFFFFF"/>
                <w:lang w:val="en-GB" w:eastAsia="en-GB"/>
              </w:rPr>
              <w:t>Rate (INR)</w:t>
            </w:r>
          </w:p>
        </w:tc>
        <w:tc>
          <w:tcPr>
            <w:tcW w:w="378" w:type="dxa"/>
            <w:tcBorders>
              <w:top w:val="nil"/>
              <w:left w:val="nil"/>
              <w:bottom w:val="single" w:sz="4" w:space="0" w:color="auto"/>
              <w:right w:val="single" w:sz="4" w:space="0" w:color="auto"/>
            </w:tcBorders>
            <w:shd w:val="clear" w:color="000000" w:fill="002060"/>
            <w:hideMark/>
          </w:tcPr>
          <w:p w14:paraId="68E26D6D" w14:textId="77777777" w:rsidR="00E50B6B" w:rsidRPr="00000F38" w:rsidRDefault="00E50B6B" w:rsidP="00E50B6B">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Total Amount   (INR)</w:t>
            </w:r>
          </w:p>
        </w:tc>
        <w:tc>
          <w:tcPr>
            <w:tcW w:w="408" w:type="dxa"/>
            <w:tcBorders>
              <w:top w:val="nil"/>
              <w:left w:val="nil"/>
              <w:bottom w:val="single" w:sz="4" w:space="0" w:color="auto"/>
              <w:right w:val="single" w:sz="4" w:space="0" w:color="auto"/>
            </w:tcBorders>
            <w:shd w:val="clear" w:color="000000" w:fill="002060"/>
            <w:hideMark/>
          </w:tcPr>
          <w:p w14:paraId="518CDB78" w14:textId="77777777" w:rsidR="00E50B6B" w:rsidRPr="00000F38" w:rsidRDefault="00E50B6B" w:rsidP="00E50B6B">
            <w:pPr>
              <w:spacing w:after="0" w:line="240" w:lineRule="auto"/>
              <w:rPr>
                <w:rFonts w:eastAsia="Times New Roman" w:cstheme="minorHAnsi"/>
                <w:b/>
                <w:bCs/>
                <w:color w:val="FFFFFF"/>
                <w:lang w:val="en-GB" w:eastAsia="en-GB"/>
              </w:rPr>
            </w:pPr>
            <w:r w:rsidRPr="00000F38">
              <w:rPr>
                <w:rFonts w:eastAsia="Times New Roman" w:cstheme="minorHAnsi"/>
                <w:b/>
                <w:bCs/>
                <w:color w:val="FFFFFF"/>
                <w:lang w:val="en-GB" w:eastAsia="en-GB"/>
              </w:rPr>
              <w:t>Quantity</w:t>
            </w:r>
          </w:p>
        </w:tc>
        <w:tc>
          <w:tcPr>
            <w:tcW w:w="248" w:type="dxa"/>
            <w:tcBorders>
              <w:top w:val="nil"/>
              <w:left w:val="nil"/>
              <w:bottom w:val="single" w:sz="4" w:space="0" w:color="auto"/>
              <w:right w:val="single" w:sz="4" w:space="0" w:color="auto"/>
            </w:tcBorders>
            <w:shd w:val="clear" w:color="000000" w:fill="002060"/>
            <w:hideMark/>
          </w:tcPr>
          <w:p w14:paraId="23CC6183" w14:textId="77777777" w:rsidR="00E50B6B" w:rsidRPr="00000F38" w:rsidRDefault="00E50B6B" w:rsidP="00E50B6B">
            <w:pPr>
              <w:spacing w:after="0" w:line="240" w:lineRule="auto"/>
              <w:rPr>
                <w:rFonts w:eastAsia="Times New Roman" w:cstheme="minorHAnsi"/>
                <w:b/>
                <w:bCs/>
                <w:color w:val="FFFFFF"/>
                <w:lang w:val="en-GB" w:eastAsia="en-GB"/>
              </w:rPr>
            </w:pPr>
            <w:r w:rsidRPr="00000F38">
              <w:rPr>
                <w:rFonts w:eastAsia="Times New Roman" w:cstheme="minorHAnsi"/>
                <w:b/>
                <w:bCs/>
                <w:color w:val="FFFFFF"/>
                <w:lang w:val="en-GB" w:eastAsia="en-GB"/>
              </w:rPr>
              <w:t>Rate (INR)</w:t>
            </w:r>
          </w:p>
        </w:tc>
        <w:tc>
          <w:tcPr>
            <w:tcW w:w="378" w:type="dxa"/>
            <w:tcBorders>
              <w:top w:val="nil"/>
              <w:left w:val="nil"/>
              <w:bottom w:val="single" w:sz="4" w:space="0" w:color="auto"/>
              <w:right w:val="single" w:sz="4" w:space="0" w:color="auto"/>
            </w:tcBorders>
            <w:shd w:val="clear" w:color="000000" w:fill="002060"/>
            <w:hideMark/>
          </w:tcPr>
          <w:p w14:paraId="72C5AD09" w14:textId="77777777" w:rsidR="00E50B6B" w:rsidRPr="00000F38" w:rsidRDefault="00E50B6B" w:rsidP="00E50B6B">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Total Amount   (INR)</w:t>
            </w:r>
          </w:p>
        </w:tc>
        <w:tc>
          <w:tcPr>
            <w:tcW w:w="408" w:type="dxa"/>
            <w:tcBorders>
              <w:top w:val="nil"/>
              <w:left w:val="nil"/>
              <w:bottom w:val="single" w:sz="4" w:space="0" w:color="auto"/>
              <w:right w:val="single" w:sz="4" w:space="0" w:color="auto"/>
            </w:tcBorders>
            <w:shd w:val="clear" w:color="000000" w:fill="002060"/>
            <w:hideMark/>
          </w:tcPr>
          <w:p w14:paraId="248C394B" w14:textId="77777777" w:rsidR="00E50B6B" w:rsidRPr="00000F38" w:rsidRDefault="00E50B6B" w:rsidP="00E50B6B">
            <w:pPr>
              <w:spacing w:after="0" w:line="240" w:lineRule="auto"/>
              <w:rPr>
                <w:rFonts w:eastAsia="Times New Roman" w:cstheme="minorHAnsi"/>
                <w:b/>
                <w:bCs/>
                <w:color w:val="FFFFFF"/>
                <w:lang w:val="en-GB" w:eastAsia="en-GB"/>
              </w:rPr>
            </w:pPr>
            <w:r w:rsidRPr="00000F38">
              <w:rPr>
                <w:rFonts w:eastAsia="Times New Roman" w:cstheme="minorHAnsi"/>
                <w:b/>
                <w:bCs/>
                <w:color w:val="FFFFFF"/>
                <w:lang w:val="en-GB" w:eastAsia="en-GB"/>
              </w:rPr>
              <w:t>Quantity</w:t>
            </w:r>
          </w:p>
        </w:tc>
        <w:tc>
          <w:tcPr>
            <w:tcW w:w="248" w:type="dxa"/>
            <w:tcBorders>
              <w:top w:val="nil"/>
              <w:left w:val="nil"/>
              <w:bottom w:val="single" w:sz="4" w:space="0" w:color="auto"/>
              <w:right w:val="single" w:sz="4" w:space="0" w:color="auto"/>
            </w:tcBorders>
            <w:shd w:val="clear" w:color="000000" w:fill="002060"/>
            <w:hideMark/>
          </w:tcPr>
          <w:p w14:paraId="327EB203" w14:textId="77777777" w:rsidR="00E50B6B" w:rsidRPr="00000F38" w:rsidRDefault="00E50B6B" w:rsidP="00E50B6B">
            <w:pPr>
              <w:spacing w:after="0" w:line="240" w:lineRule="auto"/>
              <w:rPr>
                <w:rFonts w:eastAsia="Times New Roman" w:cstheme="minorHAnsi"/>
                <w:b/>
                <w:bCs/>
                <w:color w:val="FFFFFF"/>
                <w:lang w:val="en-GB" w:eastAsia="en-GB"/>
              </w:rPr>
            </w:pPr>
            <w:r w:rsidRPr="00000F38">
              <w:rPr>
                <w:rFonts w:eastAsia="Times New Roman" w:cstheme="minorHAnsi"/>
                <w:b/>
                <w:bCs/>
                <w:color w:val="FFFFFF"/>
                <w:lang w:val="en-GB" w:eastAsia="en-GB"/>
              </w:rPr>
              <w:t>Rate (INR)</w:t>
            </w:r>
          </w:p>
        </w:tc>
        <w:tc>
          <w:tcPr>
            <w:tcW w:w="378" w:type="dxa"/>
            <w:tcBorders>
              <w:top w:val="nil"/>
              <w:left w:val="nil"/>
              <w:bottom w:val="single" w:sz="4" w:space="0" w:color="auto"/>
              <w:right w:val="single" w:sz="4" w:space="0" w:color="auto"/>
            </w:tcBorders>
            <w:shd w:val="clear" w:color="000000" w:fill="002060"/>
            <w:hideMark/>
          </w:tcPr>
          <w:p w14:paraId="417FE6AB" w14:textId="77777777" w:rsidR="00E50B6B" w:rsidRPr="00000F38" w:rsidRDefault="00E50B6B" w:rsidP="00E50B6B">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Total Amount   (INR)</w:t>
            </w:r>
          </w:p>
        </w:tc>
        <w:tc>
          <w:tcPr>
            <w:tcW w:w="378" w:type="dxa"/>
            <w:tcBorders>
              <w:top w:val="nil"/>
              <w:left w:val="nil"/>
              <w:bottom w:val="single" w:sz="4" w:space="0" w:color="auto"/>
              <w:right w:val="single" w:sz="4" w:space="0" w:color="auto"/>
            </w:tcBorders>
            <w:shd w:val="clear" w:color="000000" w:fill="002060"/>
            <w:hideMark/>
          </w:tcPr>
          <w:p w14:paraId="62C11632" w14:textId="77777777" w:rsidR="00E50B6B" w:rsidRPr="00000F38" w:rsidRDefault="00E50B6B" w:rsidP="00E50B6B">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Total Amount for 5 years (INR)</w:t>
            </w:r>
          </w:p>
        </w:tc>
      </w:tr>
      <w:tr w:rsidR="00E50B6B" w:rsidRPr="00000F38" w14:paraId="47EAE7B5" w14:textId="77777777" w:rsidTr="00E50B6B">
        <w:trPr>
          <w:trHeight w:val="255"/>
        </w:trPr>
        <w:tc>
          <w:tcPr>
            <w:tcW w:w="508" w:type="dxa"/>
            <w:tcBorders>
              <w:top w:val="nil"/>
              <w:left w:val="single" w:sz="4" w:space="0" w:color="auto"/>
              <w:bottom w:val="single" w:sz="4" w:space="0" w:color="auto"/>
              <w:right w:val="single" w:sz="4" w:space="0" w:color="auto"/>
            </w:tcBorders>
            <w:shd w:val="clear" w:color="auto" w:fill="auto"/>
            <w:hideMark/>
          </w:tcPr>
          <w:p w14:paraId="7911023F" w14:textId="77777777" w:rsidR="00E50B6B" w:rsidRPr="00000F38" w:rsidRDefault="00E50B6B" w:rsidP="00E50B6B">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1</w:t>
            </w:r>
          </w:p>
        </w:tc>
        <w:tc>
          <w:tcPr>
            <w:tcW w:w="2528" w:type="dxa"/>
            <w:tcBorders>
              <w:top w:val="nil"/>
              <w:left w:val="nil"/>
              <w:bottom w:val="single" w:sz="4" w:space="0" w:color="auto"/>
              <w:right w:val="single" w:sz="4" w:space="0" w:color="auto"/>
            </w:tcBorders>
            <w:shd w:val="clear" w:color="auto" w:fill="auto"/>
            <w:noWrap/>
            <w:vAlign w:val="center"/>
            <w:hideMark/>
          </w:tcPr>
          <w:p w14:paraId="1C9019EF" w14:textId="77777777" w:rsidR="00E50B6B" w:rsidRPr="00000F38" w:rsidRDefault="00E50B6B" w:rsidP="00E50B6B">
            <w:pPr>
              <w:spacing w:after="0" w:line="240" w:lineRule="auto"/>
              <w:jc w:val="both"/>
              <w:rPr>
                <w:rFonts w:eastAsia="Times New Roman" w:cstheme="minorHAnsi"/>
                <w:color w:val="000000"/>
                <w:lang w:val="en-GB" w:eastAsia="en-GB"/>
              </w:rPr>
            </w:pPr>
            <w:r w:rsidRPr="00000F38">
              <w:rPr>
                <w:rFonts w:eastAsia="Times New Roman" w:cstheme="minorHAnsi"/>
                <w:color w:val="000000"/>
                <w:lang w:val="en-GB" w:eastAsia="en-GB"/>
              </w:rPr>
              <w:t>Data Discovery &amp; Classification</w:t>
            </w:r>
          </w:p>
        </w:tc>
        <w:tc>
          <w:tcPr>
            <w:tcW w:w="443" w:type="dxa"/>
            <w:tcBorders>
              <w:top w:val="nil"/>
              <w:left w:val="nil"/>
              <w:bottom w:val="single" w:sz="4" w:space="0" w:color="auto"/>
              <w:right w:val="single" w:sz="4" w:space="0" w:color="auto"/>
            </w:tcBorders>
            <w:shd w:val="clear" w:color="auto" w:fill="auto"/>
            <w:hideMark/>
          </w:tcPr>
          <w:p w14:paraId="5F3FA0CB"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07" w:type="dxa"/>
            <w:tcBorders>
              <w:top w:val="nil"/>
              <w:left w:val="nil"/>
              <w:bottom w:val="single" w:sz="4" w:space="0" w:color="auto"/>
              <w:right w:val="single" w:sz="4" w:space="0" w:color="auto"/>
            </w:tcBorders>
            <w:shd w:val="clear" w:color="auto" w:fill="auto"/>
            <w:hideMark/>
          </w:tcPr>
          <w:p w14:paraId="270863B7"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07E62067"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2275B662"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clear" w:color="000000" w:fill="auto"/>
            <w:hideMark/>
          </w:tcPr>
          <w:p w14:paraId="18E29277"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47198FEF"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3AB3A036"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clear" w:color="000000" w:fill="auto"/>
            <w:hideMark/>
          </w:tcPr>
          <w:p w14:paraId="18161009"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2171E9A3"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2A1CC6D1"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pct50" w:color="000000" w:fill="auto"/>
            <w:hideMark/>
          </w:tcPr>
          <w:p w14:paraId="2D040709"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pct50" w:color="000000" w:fill="auto"/>
            <w:hideMark/>
          </w:tcPr>
          <w:p w14:paraId="0E8EA636"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pct50" w:color="000000" w:fill="auto"/>
            <w:hideMark/>
          </w:tcPr>
          <w:p w14:paraId="118B131A"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08" w:type="dxa"/>
            <w:tcBorders>
              <w:top w:val="nil"/>
              <w:left w:val="nil"/>
              <w:bottom w:val="single" w:sz="4" w:space="0" w:color="auto"/>
              <w:right w:val="single" w:sz="4" w:space="0" w:color="auto"/>
            </w:tcBorders>
            <w:shd w:val="pct50" w:color="000000" w:fill="auto"/>
            <w:hideMark/>
          </w:tcPr>
          <w:p w14:paraId="1F6889BD"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pct50" w:color="000000" w:fill="auto"/>
            <w:hideMark/>
          </w:tcPr>
          <w:p w14:paraId="0878E178"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pct50" w:color="000000" w:fill="auto"/>
            <w:hideMark/>
          </w:tcPr>
          <w:p w14:paraId="206E68DA"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clear" w:color="auto" w:fill="auto"/>
            <w:hideMark/>
          </w:tcPr>
          <w:p w14:paraId="46B925C6"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E50B6B" w:rsidRPr="00000F38" w14:paraId="487A8F56" w14:textId="77777777" w:rsidTr="00E50B6B">
        <w:trPr>
          <w:trHeight w:val="255"/>
        </w:trPr>
        <w:tc>
          <w:tcPr>
            <w:tcW w:w="508" w:type="dxa"/>
            <w:tcBorders>
              <w:top w:val="nil"/>
              <w:left w:val="single" w:sz="4" w:space="0" w:color="auto"/>
              <w:bottom w:val="single" w:sz="4" w:space="0" w:color="auto"/>
              <w:right w:val="single" w:sz="4" w:space="0" w:color="auto"/>
            </w:tcBorders>
            <w:shd w:val="clear" w:color="auto" w:fill="auto"/>
            <w:hideMark/>
          </w:tcPr>
          <w:p w14:paraId="19C7EF3C" w14:textId="77777777" w:rsidR="00E50B6B" w:rsidRPr="00000F38" w:rsidRDefault="00E50B6B" w:rsidP="00E50B6B">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2</w:t>
            </w:r>
          </w:p>
        </w:tc>
        <w:tc>
          <w:tcPr>
            <w:tcW w:w="2528" w:type="dxa"/>
            <w:tcBorders>
              <w:top w:val="nil"/>
              <w:left w:val="nil"/>
              <w:bottom w:val="single" w:sz="4" w:space="0" w:color="auto"/>
              <w:right w:val="single" w:sz="4" w:space="0" w:color="auto"/>
            </w:tcBorders>
            <w:shd w:val="clear" w:color="auto" w:fill="auto"/>
            <w:noWrap/>
            <w:vAlign w:val="center"/>
            <w:hideMark/>
          </w:tcPr>
          <w:p w14:paraId="26319A87" w14:textId="77777777" w:rsidR="00E50B6B" w:rsidRPr="00000F38" w:rsidRDefault="00E50B6B" w:rsidP="00E50B6B">
            <w:pPr>
              <w:spacing w:after="0" w:line="240" w:lineRule="auto"/>
              <w:jc w:val="both"/>
              <w:rPr>
                <w:rFonts w:eastAsia="Times New Roman" w:cstheme="minorHAnsi"/>
                <w:color w:val="000000"/>
                <w:lang w:val="en-GB" w:eastAsia="en-GB"/>
              </w:rPr>
            </w:pPr>
            <w:r w:rsidRPr="00000F38">
              <w:rPr>
                <w:rFonts w:eastAsia="Times New Roman" w:cstheme="minorHAnsi"/>
                <w:color w:val="000000"/>
                <w:lang w:val="en-GB" w:eastAsia="en-GB"/>
              </w:rPr>
              <w:t>File Upload Security Solution</w:t>
            </w:r>
          </w:p>
        </w:tc>
        <w:tc>
          <w:tcPr>
            <w:tcW w:w="443" w:type="dxa"/>
            <w:tcBorders>
              <w:top w:val="nil"/>
              <w:left w:val="nil"/>
              <w:bottom w:val="single" w:sz="4" w:space="0" w:color="auto"/>
              <w:right w:val="single" w:sz="4" w:space="0" w:color="auto"/>
            </w:tcBorders>
            <w:shd w:val="clear" w:color="auto" w:fill="auto"/>
            <w:hideMark/>
          </w:tcPr>
          <w:p w14:paraId="5801FCB1"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07" w:type="dxa"/>
            <w:tcBorders>
              <w:top w:val="nil"/>
              <w:left w:val="nil"/>
              <w:bottom w:val="single" w:sz="4" w:space="0" w:color="auto"/>
              <w:right w:val="single" w:sz="4" w:space="0" w:color="auto"/>
            </w:tcBorders>
            <w:shd w:val="clear" w:color="auto" w:fill="auto"/>
            <w:hideMark/>
          </w:tcPr>
          <w:p w14:paraId="5F47EF5C"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65B68D30"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27535271"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clear" w:color="000000" w:fill="auto"/>
            <w:hideMark/>
          </w:tcPr>
          <w:p w14:paraId="428E7106"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6D92C0F4"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32013F50"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clear" w:color="000000" w:fill="auto"/>
            <w:hideMark/>
          </w:tcPr>
          <w:p w14:paraId="74E69E7A"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4E5A93EC"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03E9AA44"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pct50" w:color="000000" w:fill="auto"/>
            <w:hideMark/>
          </w:tcPr>
          <w:p w14:paraId="3635AAE6"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pct50" w:color="000000" w:fill="auto"/>
            <w:hideMark/>
          </w:tcPr>
          <w:p w14:paraId="43EA1C3C"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pct50" w:color="000000" w:fill="auto"/>
            <w:hideMark/>
          </w:tcPr>
          <w:p w14:paraId="074A0C1B"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08" w:type="dxa"/>
            <w:tcBorders>
              <w:top w:val="nil"/>
              <w:left w:val="nil"/>
              <w:bottom w:val="single" w:sz="4" w:space="0" w:color="auto"/>
              <w:right w:val="single" w:sz="4" w:space="0" w:color="auto"/>
            </w:tcBorders>
            <w:shd w:val="pct50" w:color="000000" w:fill="auto"/>
            <w:hideMark/>
          </w:tcPr>
          <w:p w14:paraId="3EBF2746"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pct50" w:color="000000" w:fill="auto"/>
            <w:hideMark/>
          </w:tcPr>
          <w:p w14:paraId="46527C80"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pct50" w:color="000000" w:fill="auto"/>
            <w:hideMark/>
          </w:tcPr>
          <w:p w14:paraId="657F0CB2"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clear" w:color="auto" w:fill="auto"/>
            <w:hideMark/>
          </w:tcPr>
          <w:p w14:paraId="5616EC78"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E50B6B" w:rsidRPr="00000F38" w14:paraId="44746280" w14:textId="77777777" w:rsidTr="00E50B6B">
        <w:trPr>
          <w:trHeight w:val="255"/>
        </w:trPr>
        <w:tc>
          <w:tcPr>
            <w:tcW w:w="508" w:type="dxa"/>
            <w:tcBorders>
              <w:top w:val="nil"/>
              <w:left w:val="single" w:sz="4" w:space="0" w:color="auto"/>
              <w:bottom w:val="single" w:sz="4" w:space="0" w:color="auto"/>
              <w:right w:val="single" w:sz="4" w:space="0" w:color="auto"/>
            </w:tcBorders>
            <w:shd w:val="clear" w:color="auto" w:fill="auto"/>
            <w:hideMark/>
          </w:tcPr>
          <w:p w14:paraId="20D9A49F" w14:textId="77777777" w:rsidR="00E50B6B" w:rsidRPr="00000F38" w:rsidRDefault="00E50B6B" w:rsidP="00E50B6B">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3</w:t>
            </w:r>
          </w:p>
        </w:tc>
        <w:tc>
          <w:tcPr>
            <w:tcW w:w="2528" w:type="dxa"/>
            <w:tcBorders>
              <w:top w:val="nil"/>
              <w:left w:val="nil"/>
              <w:bottom w:val="single" w:sz="4" w:space="0" w:color="auto"/>
              <w:right w:val="single" w:sz="4" w:space="0" w:color="auto"/>
            </w:tcBorders>
            <w:shd w:val="clear" w:color="auto" w:fill="auto"/>
            <w:noWrap/>
            <w:vAlign w:val="center"/>
            <w:hideMark/>
          </w:tcPr>
          <w:p w14:paraId="588D1B16" w14:textId="77777777" w:rsidR="00E50B6B" w:rsidRPr="00000F38" w:rsidRDefault="00E50B6B" w:rsidP="00E50B6B">
            <w:pPr>
              <w:spacing w:after="0" w:line="240" w:lineRule="auto"/>
              <w:jc w:val="both"/>
              <w:rPr>
                <w:rFonts w:eastAsia="Times New Roman" w:cstheme="minorHAnsi"/>
                <w:color w:val="000000"/>
                <w:lang w:val="en-GB" w:eastAsia="en-GB"/>
              </w:rPr>
            </w:pPr>
            <w:r w:rsidRPr="00000F38">
              <w:rPr>
                <w:rFonts w:eastAsia="Times New Roman" w:cstheme="minorHAnsi"/>
                <w:color w:val="000000"/>
                <w:lang w:val="en-GB" w:eastAsia="en-GB"/>
              </w:rPr>
              <w:t>Attack Surface Management (ASM)</w:t>
            </w:r>
          </w:p>
        </w:tc>
        <w:tc>
          <w:tcPr>
            <w:tcW w:w="443" w:type="dxa"/>
            <w:tcBorders>
              <w:top w:val="nil"/>
              <w:left w:val="nil"/>
              <w:bottom w:val="single" w:sz="4" w:space="0" w:color="auto"/>
              <w:right w:val="single" w:sz="4" w:space="0" w:color="auto"/>
            </w:tcBorders>
            <w:shd w:val="clear" w:color="auto" w:fill="auto"/>
            <w:hideMark/>
          </w:tcPr>
          <w:p w14:paraId="38550517"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07" w:type="dxa"/>
            <w:tcBorders>
              <w:top w:val="nil"/>
              <w:left w:val="nil"/>
              <w:bottom w:val="single" w:sz="4" w:space="0" w:color="auto"/>
              <w:right w:val="single" w:sz="4" w:space="0" w:color="auto"/>
            </w:tcBorders>
            <w:shd w:val="clear" w:color="auto" w:fill="auto"/>
            <w:hideMark/>
          </w:tcPr>
          <w:p w14:paraId="30B124FD"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16E4CB64"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625B67C2"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clear" w:color="000000" w:fill="auto"/>
            <w:hideMark/>
          </w:tcPr>
          <w:p w14:paraId="67A872AA"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4443C0E5"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764BE28F"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clear" w:color="000000" w:fill="auto"/>
            <w:hideMark/>
          </w:tcPr>
          <w:p w14:paraId="583F9231"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19D84096"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18328BB8"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pct50" w:color="000000" w:fill="auto"/>
            <w:hideMark/>
          </w:tcPr>
          <w:p w14:paraId="6626C16C"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pct50" w:color="000000" w:fill="auto"/>
            <w:hideMark/>
          </w:tcPr>
          <w:p w14:paraId="77D7332F"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pct50" w:color="000000" w:fill="auto"/>
            <w:hideMark/>
          </w:tcPr>
          <w:p w14:paraId="15D381F2"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08" w:type="dxa"/>
            <w:tcBorders>
              <w:top w:val="nil"/>
              <w:left w:val="nil"/>
              <w:bottom w:val="single" w:sz="4" w:space="0" w:color="auto"/>
              <w:right w:val="single" w:sz="4" w:space="0" w:color="auto"/>
            </w:tcBorders>
            <w:shd w:val="pct50" w:color="000000" w:fill="auto"/>
            <w:hideMark/>
          </w:tcPr>
          <w:p w14:paraId="6E2CDBBB"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pct50" w:color="000000" w:fill="auto"/>
            <w:hideMark/>
          </w:tcPr>
          <w:p w14:paraId="49F68553"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pct50" w:color="000000" w:fill="auto"/>
            <w:hideMark/>
          </w:tcPr>
          <w:p w14:paraId="1165ACAD"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clear" w:color="auto" w:fill="auto"/>
            <w:hideMark/>
          </w:tcPr>
          <w:p w14:paraId="049E356E"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E50B6B" w:rsidRPr="00000F38" w14:paraId="5D15CBB1" w14:textId="77777777" w:rsidTr="00E50B6B">
        <w:trPr>
          <w:trHeight w:val="510"/>
        </w:trPr>
        <w:tc>
          <w:tcPr>
            <w:tcW w:w="508" w:type="dxa"/>
            <w:tcBorders>
              <w:top w:val="nil"/>
              <w:left w:val="single" w:sz="4" w:space="0" w:color="auto"/>
              <w:bottom w:val="single" w:sz="4" w:space="0" w:color="auto"/>
              <w:right w:val="single" w:sz="4" w:space="0" w:color="auto"/>
            </w:tcBorders>
            <w:shd w:val="clear" w:color="auto" w:fill="auto"/>
            <w:hideMark/>
          </w:tcPr>
          <w:p w14:paraId="3FF3A26A" w14:textId="77777777" w:rsidR="00E50B6B" w:rsidRPr="00000F38" w:rsidRDefault="00E50B6B" w:rsidP="00E50B6B">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4</w:t>
            </w:r>
          </w:p>
        </w:tc>
        <w:tc>
          <w:tcPr>
            <w:tcW w:w="2528" w:type="dxa"/>
            <w:tcBorders>
              <w:top w:val="nil"/>
              <w:left w:val="nil"/>
              <w:bottom w:val="single" w:sz="4" w:space="0" w:color="auto"/>
              <w:right w:val="single" w:sz="4" w:space="0" w:color="auto"/>
            </w:tcBorders>
            <w:shd w:val="clear" w:color="auto" w:fill="auto"/>
            <w:noWrap/>
            <w:vAlign w:val="center"/>
            <w:hideMark/>
          </w:tcPr>
          <w:p w14:paraId="00AA9527" w14:textId="77777777" w:rsidR="00E50B6B" w:rsidRPr="00000F38" w:rsidRDefault="00E50B6B" w:rsidP="00E50B6B">
            <w:pPr>
              <w:spacing w:after="0" w:line="240" w:lineRule="auto"/>
              <w:jc w:val="both"/>
              <w:rPr>
                <w:rFonts w:eastAsia="Times New Roman" w:cstheme="minorHAnsi"/>
                <w:color w:val="000000"/>
                <w:lang w:val="en-GB" w:eastAsia="en-GB"/>
              </w:rPr>
            </w:pPr>
            <w:r w:rsidRPr="00000F38">
              <w:rPr>
                <w:rFonts w:eastAsia="Times New Roman" w:cstheme="minorHAnsi"/>
                <w:color w:val="000000"/>
                <w:lang w:val="en-GB" w:eastAsia="en-GB"/>
              </w:rPr>
              <w:t>Breach and Attack Simulation (BAS) with Red Team Solution</w:t>
            </w:r>
          </w:p>
        </w:tc>
        <w:tc>
          <w:tcPr>
            <w:tcW w:w="443" w:type="dxa"/>
            <w:tcBorders>
              <w:top w:val="nil"/>
              <w:left w:val="nil"/>
              <w:bottom w:val="single" w:sz="4" w:space="0" w:color="auto"/>
              <w:right w:val="single" w:sz="4" w:space="0" w:color="auto"/>
            </w:tcBorders>
            <w:shd w:val="clear" w:color="auto" w:fill="auto"/>
            <w:hideMark/>
          </w:tcPr>
          <w:p w14:paraId="2B28A813"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07" w:type="dxa"/>
            <w:tcBorders>
              <w:top w:val="nil"/>
              <w:left w:val="nil"/>
              <w:bottom w:val="single" w:sz="4" w:space="0" w:color="auto"/>
              <w:right w:val="single" w:sz="4" w:space="0" w:color="auto"/>
            </w:tcBorders>
            <w:shd w:val="clear" w:color="auto" w:fill="auto"/>
            <w:hideMark/>
          </w:tcPr>
          <w:p w14:paraId="51C4AF81"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018DBB9A"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3562A291"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clear" w:color="000000" w:fill="auto"/>
            <w:hideMark/>
          </w:tcPr>
          <w:p w14:paraId="2403612E"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30B3F21C"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025BF232"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clear" w:color="000000" w:fill="auto"/>
            <w:hideMark/>
          </w:tcPr>
          <w:p w14:paraId="1C67095C"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37DED3CF"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7A707E51"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pct50" w:color="000000" w:fill="auto"/>
            <w:hideMark/>
          </w:tcPr>
          <w:p w14:paraId="48AAECA0"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pct50" w:color="000000" w:fill="auto"/>
            <w:hideMark/>
          </w:tcPr>
          <w:p w14:paraId="6044920F"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pct50" w:color="000000" w:fill="auto"/>
            <w:hideMark/>
          </w:tcPr>
          <w:p w14:paraId="41A444C8"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08" w:type="dxa"/>
            <w:tcBorders>
              <w:top w:val="nil"/>
              <w:left w:val="nil"/>
              <w:bottom w:val="single" w:sz="4" w:space="0" w:color="auto"/>
              <w:right w:val="single" w:sz="4" w:space="0" w:color="auto"/>
            </w:tcBorders>
            <w:shd w:val="pct50" w:color="000000" w:fill="auto"/>
            <w:hideMark/>
          </w:tcPr>
          <w:p w14:paraId="55EF85BF"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pct50" w:color="000000" w:fill="auto"/>
            <w:hideMark/>
          </w:tcPr>
          <w:p w14:paraId="60EAC91A"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pct50" w:color="000000" w:fill="auto"/>
            <w:hideMark/>
          </w:tcPr>
          <w:p w14:paraId="2A31C6AF"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clear" w:color="auto" w:fill="auto"/>
            <w:hideMark/>
          </w:tcPr>
          <w:p w14:paraId="529FF20D"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E50B6B" w:rsidRPr="00000F38" w14:paraId="08071350" w14:textId="77777777" w:rsidTr="00E50B6B">
        <w:trPr>
          <w:trHeight w:val="255"/>
        </w:trPr>
        <w:tc>
          <w:tcPr>
            <w:tcW w:w="508" w:type="dxa"/>
            <w:tcBorders>
              <w:top w:val="nil"/>
              <w:left w:val="single" w:sz="4" w:space="0" w:color="auto"/>
              <w:bottom w:val="single" w:sz="4" w:space="0" w:color="auto"/>
              <w:right w:val="single" w:sz="4" w:space="0" w:color="auto"/>
            </w:tcBorders>
            <w:shd w:val="clear" w:color="auto" w:fill="auto"/>
            <w:hideMark/>
          </w:tcPr>
          <w:p w14:paraId="28341F84" w14:textId="77777777" w:rsidR="00E50B6B" w:rsidRPr="00000F38" w:rsidRDefault="00E50B6B" w:rsidP="00E50B6B">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5</w:t>
            </w:r>
          </w:p>
        </w:tc>
        <w:tc>
          <w:tcPr>
            <w:tcW w:w="2528" w:type="dxa"/>
            <w:tcBorders>
              <w:top w:val="nil"/>
              <w:left w:val="nil"/>
              <w:bottom w:val="single" w:sz="4" w:space="0" w:color="auto"/>
              <w:right w:val="single" w:sz="4" w:space="0" w:color="auto"/>
            </w:tcBorders>
            <w:shd w:val="clear" w:color="auto" w:fill="auto"/>
            <w:noWrap/>
            <w:vAlign w:val="center"/>
            <w:hideMark/>
          </w:tcPr>
          <w:p w14:paraId="72A9D91A" w14:textId="77777777" w:rsidR="00E50B6B" w:rsidRPr="00000F38" w:rsidRDefault="00E50B6B" w:rsidP="00E50B6B">
            <w:pPr>
              <w:spacing w:after="0" w:line="240" w:lineRule="auto"/>
              <w:jc w:val="both"/>
              <w:rPr>
                <w:rFonts w:eastAsia="Times New Roman" w:cstheme="minorHAnsi"/>
                <w:color w:val="000000"/>
                <w:lang w:val="en-GB" w:eastAsia="en-GB"/>
              </w:rPr>
            </w:pPr>
            <w:r w:rsidRPr="00000F38">
              <w:rPr>
                <w:rFonts w:eastAsia="Times New Roman" w:cstheme="minorHAnsi"/>
                <w:color w:val="000000"/>
                <w:lang w:val="en-GB" w:eastAsia="en-GB"/>
              </w:rPr>
              <w:t>Phishing Simulation</w:t>
            </w:r>
          </w:p>
        </w:tc>
        <w:tc>
          <w:tcPr>
            <w:tcW w:w="443" w:type="dxa"/>
            <w:tcBorders>
              <w:top w:val="nil"/>
              <w:left w:val="nil"/>
              <w:bottom w:val="single" w:sz="4" w:space="0" w:color="auto"/>
              <w:right w:val="single" w:sz="4" w:space="0" w:color="auto"/>
            </w:tcBorders>
            <w:shd w:val="clear" w:color="auto" w:fill="auto"/>
            <w:hideMark/>
          </w:tcPr>
          <w:p w14:paraId="78FAA597"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07" w:type="dxa"/>
            <w:tcBorders>
              <w:top w:val="nil"/>
              <w:left w:val="nil"/>
              <w:bottom w:val="single" w:sz="4" w:space="0" w:color="auto"/>
              <w:right w:val="single" w:sz="4" w:space="0" w:color="auto"/>
            </w:tcBorders>
            <w:shd w:val="clear" w:color="auto" w:fill="auto"/>
            <w:hideMark/>
          </w:tcPr>
          <w:p w14:paraId="42AF8878"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63132BBF"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71823B84"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clear" w:color="000000" w:fill="auto"/>
            <w:hideMark/>
          </w:tcPr>
          <w:p w14:paraId="2C321DD5"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19AF36FE"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71DD741B"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clear" w:color="000000" w:fill="auto"/>
            <w:hideMark/>
          </w:tcPr>
          <w:p w14:paraId="57BC14BC"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657463E9"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3D29C5E6"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pct50" w:color="000000" w:fill="auto"/>
            <w:hideMark/>
          </w:tcPr>
          <w:p w14:paraId="0699E3BF"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pct50" w:color="000000" w:fill="auto"/>
            <w:hideMark/>
          </w:tcPr>
          <w:p w14:paraId="58C2CC09"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pct50" w:color="000000" w:fill="auto"/>
            <w:hideMark/>
          </w:tcPr>
          <w:p w14:paraId="441A5135"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08" w:type="dxa"/>
            <w:tcBorders>
              <w:top w:val="nil"/>
              <w:left w:val="nil"/>
              <w:bottom w:val="single" w:sz="4" w:space="0" w:color="auto"/>
              <w:right w:val="single" w:sz="4" w:space="0" w:color="auto"/>
            </w:tcBorders>
            <w:shd w:val="pct50" w:color="000000" w:fill="auto"/>
            <w:hideMark/>
          </w:tcPr>
          <w:p w14:paraId="40AA3339"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pct50" w:color="000000" w:fill="auto"/>
            <w:hideMark/>
          </w:tcPr>
          <w:p w14:paraId="5C7BEACC"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pct50" w:color="000000" w:fill="auto"/>
            <w:hideMark/>
          </w:tcPr>
          <w:p w14:paraId="18EB6CD4"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clear" w:color="auto" w:fill="auto"/>
            <w:hideMark/>
          </w:tcPr>
          <w:p w14:paraId="1ABAB6E4"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E50B6B" w:rsidRPr="00000F38" w14:paraId="37E5F402" w14:textId="77777777" w:rsidTr="00E50B6B">
        <w:trPr>
          <w:trHeight w:val="255"/>
        </w:trPr>
        <w:tc>
          <w:tcPr>
            <w:tcW w:w="508" w:type="dxa"/>
            <w:tcBorders>
              <w:top w:val="nil"/>
              <w:left w:val="single" w:sz="4" w:space="0" w:color="auto"/>
              <w:bottom w:val="single" w:sz="4" w:space="0" w:color="auto"/>
              <w:right w:val="single" w:sz="4" w:space="0" w:color="auto"/>
            </w:tcBorders>
            <w:shd w:val="clear" w:color="auto" w:fill="auto"/>
            <w:hideMark/>
          </w:tcPr>
          <w:p w14:paraId="127C864F" w14:textId="77777777" w:rsidR="00E50B6B" w:rsidRPr="00000F38" w:rsidRDefault="00E50B6B" w:rsidP="00E50B6B">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6</w:t>
            </w:r>
          </w:p>
        </w:tc>
        <w:tc>
          <w:tcPr>
            <w:tcW w:w="2528" w:type="dxa"/>
            <w:tcBorders>
              <w:top w:val="nil"/>
              <w:left w:val="nil"/>
              <w:bottom w:val="single" w:sz="4" w:space="0" w:color="auto"/>
              <w:right w:val="single" w:sz="4" w:space="0" w:color="auto"/>
            </w:tcBorders>
            <w:shd w:val="clear" w:color="auto" w:fill="auto"/>
            <w:noWrap/>
            <w:vAlign w:val="center"/>
            <w:hideMark/>
          </w:tcPr>
          <w:p w14:paraId="4E39388D" w14:textId="77777777" w:rsidR="00E50B6B" w:rsidRPr="00000F38" w:rsidRDefault="00E50B6B" w:rsidP="00E50B6B">
            <w:pPr>
              <w:spacing w:after="0" w:line="240" w:lineRule="auto"/>
              <w:jc w:val="both"/>
              <w:rPr>
                <w:rFonts w:eastAsia="Times New Roman" w:cstheme="minorHAnsi"/>
                <w:color w:val="000000"/>
                <w:lang w:val="en-GB" w:eastAsia="en-GB"/>
              </w:rPr>
            </w:pPr>
            <w:r w:rsidRPr="00000F38">
              <w:rPr>
                <w:rFonts w:eastAsia="Times New Roman" w:cstheme="minorHAnsi"/>
                <w:color w:val="000000"/>
                <w:lang w:val="en-GB" w:eastAsia="en-GB"/>
              </w:rPr>
              <w:t>AD Security</w:t>
            </w:r>
          </w:p>
        </w:tc>
        <w:tc>
          <w:tcPr>
            <w:tcW w:w="443" w:type="dxa"/>
            <w:tcBorders>
              <w:top w:val="nil"/>
              <w:left w:val="nil"/>
              <w:bottom w:val="single" w:sz="4" w:space="0" w:color="auto"/>
              <w:right w:val="single" w:sz="4" w:space="0" w:color="auto"/>
            </w:tcBorders>
            <w:shd w:val="clear" w:color="auto" w:fill="auto"/>
            <w:hideMark/>
          </w:tcPr>
          <w:p w14:paraId="043B4760"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07" w:type="dxa"/>
            <w:tcBorders>
              <w:top w:val="nil"/>
              <w:left w:val="nil"/>
              <w:bottom w:val="single" w:sz="4" w:space="0" w:color="auto"/>
              <w:right w:val="single" w:sz="4" w:space="0" w:color="auto"/>
            </w:tcBorders>
            <w:shd w:val="clear" w:color="auto" w:fill="auto"/>
            <w:hideMark/>
          </w:tcPr>
          <w:p w14:paraId="712DF2A8"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0AC30D7F"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77E97B5A"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clear" w:color="000000" w:fill="auto"/>
            <w:hideMark/>
          </w:tcPr>
          <w:p w14:paraId="532E3111"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2E1D3F4E"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33125CEB"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clear" w:color="000000" w:fill="auto"/>
            <w:hideMark/>
          </w:tcPr>
          <w:p w14:paraId="62836515"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65C9BBEE"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073B897C"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pct50" w:color="000000" w:fill="auto"/>
            <w:hideMark/>
          </w:tcPr>
          <w:p w14:paraId="1215FC5E"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pct50" w:color="000000" w:fill="auto"/>
            <w:hideMark/>
          </w:tcPr>
          <w:p w14:paraId="707F5CF7"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pct50" w:color="000000" w:fill="auto"/>
            <w:hideMark/>
          </w:tcPr>
          <w:p w14:paraId="611E601F"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08" w:type="dxa"/>
            <w:tcBorders>
              <w:top w:val="nil"/>
              <w:left w:val="nil"/>
              <w:bottom w:val="single" w:sz="4" w:space="0" w:color="auto"/>
              <w:right w:val="single" w:sz="4" w:space="0" w:color="auto"/>
            </w:tcBorders>
            <w:shd w:val="pct50" w:color="000000" w:fill="auto"/>
            <w:hideMark/>
          </w:tcPr>
          <w:p w14:paraId="655A70C8"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pct50" w:color="000000" w:fill="auto"/>
            <w:hideMark/>
          </w:tcPr>
          <w:p w14:paraId="59A59B98"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pct50" w:color="000000" w:fill="auto"/>
            <w:hideMark/>
          </w:tcPr>
          <w:p w14:paraId="414F087C"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clear" w:color="auto" w:fill="auto"/>
            <w:hideMark/>
          </w:tcPr>
          <w:p w14:paraId="100556F7"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E50B6B" w:rsidRPr="00000F38" w14:paraId="63538203" w14:textId="77777777" w:rsidTr="00E50B6B">
        <w:trPr>
          <w:trHeight w:val="255"/>
        </w:trPr>
        <w:tc>
          <w:tcPr>
            <w:tcW w:w="508" w:type="dxa"/>
            <w:tcBorders>
              <w:top w:val="nil"/>
              <w:left w:val="single" w:sz="4" w:space="0" w:color="auto"/>
              <w:bottom w:val="single" w:sz="4" w:space="0" w:color="auto"/>
              <w:right w:val="single" w:sz="4" w:space="0" w:color="auto"/>
            </w:tcBorders>
            <w:shd w:val="clear" w:color="auto" w:fill="auto"/>
            <w:hideMark/>
          </w:tcPr>
          <w:p w14:paraId="0BCEC600" w14:textId="77777777" w:rsidR="00E50B6B" w:rsidRPr="00000F38" w:rsidRDefault="00E50B6B" w:rsidP="00E50B6B">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7</w:t>
            </w:r>
          </w:p>
        </w:tc>
        <w:tc>
          <w:tcPr>
            <w:tcW w:w="2528" w:type="dxa"/>
            <w:tcBorders>
              <w:top w:val="nil"/>
              <w:left w:val="nil"/>
              <w:bottom w:val="single" w:sz="4" w:space="0" w:color="auto"/>
              <w:right w:val="single" w:sz="4" w:space="0" w:color="auto"/>
            </w:tcBorders>
            <w:shd w:val="clear" w:color="auto" w:fill="auto"/>
            <w:noWrap/>
            <w:vAlign w:val="center"/>
            <w:hideMark/>
          </w:tcPr>
          <w:p w14:paraId="168E963D" w14:textId="77777777" w:rsidR="00E50B6B" w:rsidRPr="00000F38" w:rsidRDefault="00E50B6B" w:rsidP="00E50B6B">
            <w:pPr>
              <w:spacing w:after="0" w:line="240" w:lineRule="auto"/>
              <w:jc w:val="both"/>
              <w:rPr>
                <w:rFonts w:eastAsia="Times New Roman" w:cstheme="minorHAnsi"/>
                <w:color w:val="000000"/>
                <w:lang w:val="en-GB" w:eastAsia="en-GB"/>
              </w:rPr>
            </w:pPr>
            <w:r w:rsidRPr="00000F38">
              <w:rPr>
                <w:rFonts w:eastAsia="Times New Roman" w:cstheme="minorHAnsi"/>
                <w:color w:val="000000"/>
                <w:lang w:val="en-GB" w:eastAsia="en-GB"/>
              </w:rPr>
              <w:t>Governance, Risk and Compliance</w:t>
            </w:r>
          </w:p>
        </w:tc>
        <w:tc>
          <w:tcPr>
            <w:tcW w:w="443" w:type="dxa"/>
            <w:tcBorders>
              <w:top w:val="nil"/>
              <w:left w:val="nil"/>
              <w:bottom w:val="single" w:sz="4" w:space="0" w:color="auto"/>
              <w:right w:val="single" w:sz="4" w:space="0" w:color="auto"/>
            </w:tcBorders>
            <w:shd w:val="clear" w:color="auto" w:fill="auto"/>
            <w:hideMark/>
          </w:tcPr>
          <w:p w14:paraId="77266A63"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07" w:type="dxa"/>
            <w:tcBorders>
              <w:top w:val="nil"/>
              <w:left w:val="nil"/>
              <w:bottom w:val="single" w:sz="4" w:space="0" w:color="auto"/>
              <w:right w:val="single" w:sz="4" w:space="0" w:color="auto"/>
            </w:tcBorders>
            <w:shd w:val="clear" w:color="auto" w:fill="auto"/>
            <w:hideMark/>
          </w:tcPr>
          <w:p w14:paraId="17CC5C11"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15F4B4A5"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67C2E7D2"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clear" w:color="000000" w:fill="auto"/>
            <w:hideMark/>
          </w:tcPr>
          <w:p w14:paraId="3B4440E0"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4479A632"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09E99752"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clear" w:color="000000" w:fill="auto"/>
            <w:hideMark/>
          </w:tcPr>
          <w:p w14:paraId="615EDF62"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0FAC8E18"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69D3D9E0"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pct50" w:color="000000" w:fill="auto"/>
            <w:hideMark/>
          </w:tcPr>
          <w:p w14:paraId="7F5A5830"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pct50" w:color="000000" w:fill="auto"/>
            <w:hideMark/>
          </w:tcPr>
          <w:p w14:paraId="47F62645"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pct50" w:color="000000" w:fill="auto"/>
            <w:hideMark/>
          </w:tcPr>
          <w:p w14:paraId="4926F038"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08" w:type="dxa"/>
            <w:tcBorders>
              <w:top w:val="nil"/>
              <w:left w:val="nil"/>
              <w:bottom w:val="single" w:sz="4" w:space="0" w:color="auto"/>
              <w:right w:val="single" w:sz="4" w:space="0" w:color="auto"/>
            </w:tcBorders>
            <w:shd w:val="pct50" w:color="000000" w:fill="auto"/>
            <w:hideMark/>
          </w:tcPr>
          <w:p w14:paraId="75DA754C"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pct50" w:color="000000" w:fill="auto"/>
            <w:hideMark/>
          </w:tcPr>
          <w:p w14:paraId="58D2E675"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pct50" w:color="000000" w:fill="auto"/>
            <w:hideMark/>
          </w:tcPr>
          <w:p w14:paraId="2DE00E77"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clear" w:color="auto" w:fill="auto"/>
            <w:hideMark/>
          </w:tcPr>
          <w:p w14:paraId="0797BDA8"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E50B6B" w:rsidRPr="00000F38" w14:paraId="100EAD0E" w14:textId="77777777" w:rsidTr="00E50B6B">
        <w:trPr>
          <w:trHeight w:val="255"/>
        </w:trPr>
        <w:tc>
          <w:tcPr>
            <w:tcW w:w="508" w:type="dxa"/>
            <w:tcBorders>
              <w:top w:val="nil"/>
              <w:left w:val="single" w:sz="4" w:space="0" w:color="auto"/>
              <w:bottom w:val="single" w:sz="4" w:space="0" w:color="auto"/>
              <w:right w:val="single" w:sz="4" w:space="0" w:color="auto"/>
            </w:tcBorders>
            <w:shd w:val="clear" w:color="auto" w:fill="auto"/>
            <w:hideMark/>
          </w:tcPr>
          <w:p w14:paraId="15AF9ED5" w14:textId="77777777" w:rsidR="00E50B6B" w:rsidRPr="00000F38" w:rsidRDefault="00E50B6B" w:rsidP="00E50B6B">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lastRenderedPageBreak/>
              <w:t>8</w:t>
            </w:r>
          </w:p>
        </w:tc>
        <w:tc>
          <w:tcPr>
            <w:tcW w:w="2528" w:type="dxa"/>
            <w:tcBorders>
              <w:top w:val="nil"/>
              <w:left w:val="nil"/>
              <w:bottom w:val="single" w:sz="4" w:space="0" w:color="auto"/>
              <w:right w:val="single" w:sz="4" w:space="0" w:color="auto"/>
            </w:tcBorders>
            <w:shd w:val="clear" w:color="auto" w:fill="auto"/>
            <w:noWrap/>
            <w:vAlign w:val="center"/>
            <w:hideMark/>
          </w:tcPr>
          <w:p w14:paraId="0D6D20E2" w14:textId="77777777" w:rsidR="00E50B6B" w:rsidRPr="00000F38" w:rsidRDefault="00E50B6B" w:rsidP="00E50B6B">
            <w:pPr>
              <w:spacing w:after="0" w:line="240" w:lineRule="auto"/>
              <w:jc w:val="both"/>
              <w:rPr>
                <w:rFonts w:eastAsia="Times New Roman" w:cstheme="minorHAnsi"/>
                <w:color w:val="000000"/>
                <w:lang w:val="en-GB" w:eastAsia="en-GB"/>
              </w:rPr>
            </w:pPr>
            <w:r w:rsidRPr="00000F38">
              <w:rPr>
                <w:rFonts w:eastAsia="Times New Roman" w:cstheme="minorHAnsi"/>
                <w:color w:val="000000"/>
                <w:lang w:val="en-GB" w:eastAsia="en-GB"/>
              </w:rPr>
              <w:t>Decoy (Honeypot)</w:t>
            </w:r>
          </w:p>
        </w:tc>
        <w:tc>
          <w:tcPr>
            <w:tcW w:w="443" w:type="dxa"/>
            <w:tcBorders>
              <w:top w:val="nil"/>
              <w:left w:val="nil"/>
              <w:bottom w:val="single" w:sz="4" w:space="0" w:color="auto"/>
              <w:right w:val="single" w:sz="4" w:space="0" w:color="auto"/>
            </w:tcBorders>
            <w:shd w:val="clear" w:color="auto" w:fill="auto"/>
            <w:hideMark/>
          </w:tcPr>
          <w:p w14:paraId="2E9326DD"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07" w:type="dxa"/>
            <w:tcBorders>
              <w:top w:val="nil"/>
              <w:left w:val="nil"/>
              <w:bottom w:val="single" w:sz="4" w:space="0" w:color="auto"/>
              <w:right w:val="single" w:sz="4" w:space="0" w:color="auto"/>
            </w:tcBorders>
            <w:shd w:val="clear" w:color="auto" w:fill="auto"/>
            <w:hideMark/>
          </w:tcPr>
          <w:p w14:paraId="5E46BEEE"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5B1797B6"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3324067F"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clear" w:color="000000" w:fill="auto"/>
            <w:hideMark/>
          </w:tcPr>
          <w:p w14:paraId="081A06C3"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69822B66"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41C7C99D"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clear" w:color="000000" w:fill="auto"/>
            <w:hideMark/>
          </w:tcPr>
          <w:p w14:paraId="288E528B"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77017569"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0E0231F6"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pct50" w:color="000000" w:fill="auto"/>
            <w:hideMark/>
          </w:tcPr>
          <w:p w14:paraId="054364BE"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pct50" w:color="000000" w:fill="auto"/>
            <w:hideMark/>
          </w:tcPr>
          <w:p w14:paraId="057C6D3F"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pct50" w:color="000000" w:fill="auto"/>
            <w:hideMark/>
          </w:tcPr>
          <w:p w14:paraId="1177C169"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08" w:type="dxa"/>
            <w:tcBorders>
              <w:top w:val="nil"/>
              <w:left w:val="nil"/>
              <w:bottom w:val="single" w:sz="4" w:space="0" w:color="auto"/>
              <w:right w:val="single" w:sz="4" w:space="0" w:color="auto"/>
            </w:tcBorders>
            <w:shd w:val="pct50" w:color="000000" w:fill="auto"/>
            <w:hideMark/>
          </w:tcPr>
          <w:p w14:paraId="3A43A379"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pct50" w:color="000000" w:fill="auto"/>
            <w:hideMark/>
          </w:tcPr>
          <w:p w14:paraId="4FE339FD"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pct50" w:color="000000" w:fill="auto"/>
            <w:hideMark/>
          </w:tcPr>
          <w:p w14:paraId="5B34815D"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clear" w:color="auto" w:fill="auto"/>
            <w:hideMark/>
          </w:tcPr>
          <w:p w14:paraId="0853C08E"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E50B6B" w:rsidRPr="00000F38" w14:paraId="6C876722" w14:textId="77777777" w:rsidTr="00E50B6B">
        <w:trPr>
          <w:trHeight w:val="255"/>
        </w:trPr>
        <w:tc>
          <w:tcPr>
            <w:tcW w:w="508" w:type="dxa"/>
            <w:tcBorders>
              <w:top w:val="nil"/>
              <w:left w:val="single" w:sz="4" w:space="0" w:color="auto"/>
              <w:bottom w:val="single" w:sz="4" w:space="0" w:color="auto"/>
              <w:right w:val="single" w:sz="4" w:space="0" w:color="auto"/>
            </w:tcBorders>
            <w:shd w:val="clear" w:color="auto" w:fill="auto"/>
            <w:hideMark/>
          </w:tcPr>
          <w:p w14:paraId="1E119EAC" w14:textId="77777777" w:rsidR="00E50B6B" w:rsidRPr="00000F38" w:rsidRDefault="00E50B6B" w:rsidP="00E50B6B">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9</w:t>
            </w:r>
          </w:p>
        </w:tc>
        <w:tc>
          <w:tcPr>
            <w:tcW w:w="2528" w:type="dxa"/>
            <w:tcBorders>
              <w:top w:val="nil"/>
              <w:left w:val="nil"/>
              <w:bottom w:val="single" w:sz="4" w:space="0" w:color="auto"/>
              <w:right w:val="single" w:sz="4" w:space="0" w:color="auto"/>
            </w:tcBorders>
            <w:shd w:val="clear" w:color="auto" w:fill="auto"/>
            <w:noWrap/>
            <w:vAlign w:val="center"/>
            <w:hideMark/>
          </w:tcPr>
          <w:p w14:paraId="2500E2E2" w14:textId="77777777" w:rsidR="00E50B6B" w:rsidRPr="00000F38" w:rsidRDefault="00E50B6B" w:rsidP="00E50B6B">
            <w:pPr>
              <w:spacing w:after="0" w:line="240" w:lineRule="auto"/>
              <w:jc w:val="both"/>
              <w:rPr>
                <w:rFonts w:eastAsia="Times New Roman" w:cstheme="minorHAnsi"/>
                <w:color w:val="000000"/>
                <w:lang w:val="en-GB" w:eastAsia="en-GB"/>
              </w:rPr>
            </w:pPr>
            <w:r w:rsidRPr="00000F38">
              <w:rPr>
                <w:rFonts w:eastAsia="Times New Roman" w:cstheme="minorHAnsi"/>
                <w:color w:val="000000"/>
                <w:lang w:val="en-GB" w:eastAsia="en-GB"/>
              </w:rPr>
              <w:t>Mobile Device Management</w:t>
            </w:r>
          </w:p>
        </w:tc>
        <w:tc>
          <w:tcPr>
            <w:tcW w:w="443" w:type="dxa"/>
            <w:tcBorders>
              <w:top w:val="nil"/>
              <w:left w:val="nil"/>
              <w:bottom w:val="single" w:sz="4" w:space="0" w:color="auto"/>
              <w:right w:val="single" w:sz="4" w:space="0" w:color="auto"/>
            </w:tcBorders>
            <w:shd w:val="clear" w:color="auto" w:fill="auto"/>
            <w:hideMark/>
          </w:tcPr>
          <w:p w14:paraId="2E0CCCFF"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07" w:type="dxa"/>
            <w:tcBorders>
              <w:top w:val="nil"/>
              <w:left w:val="nil"/>
              <w:bottom w:val="single" w:sz="4" w:space="0" w:color="auto"/>
              <w:right w:val="single" w:sz="4" w:space="0" w:color="auto"/>
            </w:tcBorders>
            <w:shd w:val="clear" w:color="auto" w:fill="auto"/>
            <w:hideMark/>
          </w:tcPr>
          <w:p w14:paraId="3C2124C2"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5E8C0350"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3C67EFED"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clear" w:color="000000" w:fill="auto"/>
            <w:hideMark/>
          </w:tcPr>
          <w:p w14:paraId="7A6C2518"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21D80D4C"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7882CE95"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clear" w:color="000000" w:fill="auto"/>
            <w:hideMark/>
          </w:tcPr>
          <w:p w14:paraId="4D3C3040"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1913E67D"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2B7DF7B8"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pct50" w:color="000000" w:fill="auto"/>
            <w:hideMark/>
          </w:tcPr>
          <w:p w14:paraId="1A950B10"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pct50" w:color="000000" w:fill="auto"/>
            <w:hideMark/>
          </w:tcPr>
          <w:p w14:paraId="62D627A6"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pct50" w:color="000000" w:fill="auto"/>
            <w:hideMark/>
          </w:tcPr>
          <w:p w14:paraId="4CBBE60B"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08" w:type="dxa"/>
            <w:tcBorders>
              <w:top w:val="nil"/>
              <w:left w:val="nil"/>
              <w:bottom w:val="single" w:sz="4" w:space="0" w:color="auto"/>
              <w:right w:val="single" w:sz="4" w:space="0" w:color="auto"/>
            </w:tcBorders>
            <w:shd w:val="pct50" w:color="000000" w:fill="auto"/>
            <w:hideMark/>
          </w:tcPr>
          <w:p w14:paraId="5F750C8F"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pct50" w:color="000000" w:fill="auto"/>
            <w:hideMark/>
          </w:tcPr>
          <w:p w14:paraId="286FBE9D"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pct50" w:color="000000" w:fill="auto"/>
            <w:hideMark/>
          </w:tcPr>
          <w:p w14:paraId="61F05FC1"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clear" w:color="auto" w:fill="auto"/>
            <w:hideMark/>
          </w:tcPr>
          <w:p w14:paraId="5D965D55"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E50B6B" w:rsidRPr="00000F38" w14:paraId="3F39EB72" w14:textId="77777777" w:rsidTr="00E50B6B">
        <w:trPr>
          <w:trHeight w:val="510"/>
        </w:trPr>
        <w:tc>
          <w:tcPr>
            <w:tcW w:w="508" w:type="dxa"/>
            <w:tcBorders>
              <w:top w:val="nil"/>
              <w:left w:val="single" w:sz="4" w:space="0" w:color="auto"/>
              <w:bottom w:val="single" w:sz="4" w:space="0" w:color="auto"/>
              <w:right w:val="single" w:sz="4" w:space="0" w:color="auto"/>
            </w:tcBorders>
            <w:shd w:val="clear" w:color="auto" w:fill="auto"/>
            <w:hideMark/>
          </w:tcPr>
          <w:p w14:paraId="218C7AB7" w14:textId="77777777" w:rsidR="00E50B6B" w:rsidRPr="00000F38" w:rsidRDefault="00E50B6B" w:rsidP="00E50B6B">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10</w:t>
            </w:r>
          </w:p>
        </w:tc>
        <w:tc>
          <w:tcPr>
            <w:tcW w:w="2528" w:type="dxa"/>
            <w:tcBorders>
              <w:top w:val="nil"/>
              <w:left w:val="nil"/>
              <w:bottom w:val="single" w:sz="4" w:space="0" w:color="auto"/>
              <w:right w:val="single" w:sz="4" w:space="0" w:color="auto"/>
            </w:tcBorders>
            <w:shd w:val="clear" w:color="auto" w:fill="auto"/>
            <w:noWrap/>
            <w:vAlign w:val="center"/>
            <w:hideMark/>
          </w:tcPr>
          <w:p w14:paraId="254C7F98" w14:textId="77777777" w:rsidR="00E50B6B" w:rsidRPr="00000F38" w:rsidRDefault="00E50B6B" w:rsidP="00E50B6B">
            <w:pPr>
              <w:spacing w:after="0" w:line="240" w:lineRule="auto"/>
              <w:jc w:val="both"/>
              <w:rPr>
                <w:rFonts w:eastAsia="Times New Roman" w:cstheme="minorHAnsi"/>
                <w:color w:val="000000"/>
                <w:lang w:val="en-GB" w:eastAsia="en-GB"/>
              </w:rPr>
            </w:pPr>
            <w:r w:rsidRPr="00000F38">
              <w:rPr>
                <w:rFonts w:eastAsia="Times New Roman" w:cstheme="minorHAnsi"/>
                <w:color w:val="000000"/>
                <w:lang w:val="en-GB" w:eastAsia="en-GB"/>
              </w:rPr>
              <w:t>Secure Data Backup and Recovery (Ransomware Solution)</w:t>
            </w:r>
          </w:p>
        </w:tc>
        <w:tc>
          <w:tcPr>
            <w:tcW w:w="443" w:type="dxa"/>
            <w:tcBorders>
              <w:top w:val="nil"/>
              <w:left w:val="nil"/>
              <w:bottom w:val="single" w:sz="4" w:space="0" w:color="auto"/>
              <w:right w:val="single" w:sz="4" w:space="0" w:color="auto"/>
            </w:tcBorders>
            <w:shd w:val="clear" w:color="auto" w:fill="auto"/>
            <w:hideMark/>
          </w:tcPr>
          <w:p w14:paraId="02C7BE24"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07" w:type="dxa"/>
            <w:tcBorders>
              <w:top w:val="nil"/>
              <w:left w:val="nil"/>
              <w:bottom w:val="single" w:sz="4" w:space="0" w:color="auto"/>
              <w:right w:val="single" w:sz="4" w:space="0" w:color="auto"/>
            </w:tcBorders>
            <w:shd w:val="clear" w:color="auto" w:fill="auto"/>
            <w:hideMark/>
          </w:tcPr>
          <w:p w14:paraId="43D62F57"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0AE2E24B"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3D101EE1"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clear" w:color="000000" w:fill="auto"/>
            <w:hideMark/>
          </w:tcPr>
          <w:p w14:paraId="2E7D6A17"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1C5BD1B8"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09893FC3"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clear" w:color="000000" w:fill="auto"/>
            <w:hideMark/>
          </w:tcPr>
          <w:p w14:paraId="715FCCFD"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03480C1C"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7E054DEF"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pct50" w:color="000000" w:fill="auto"/>
            <w:hideMark/>
          </w:tcPr>
          <w:p w14:paraId="2C8BB9C5"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pct50" w:color="000000" w:fill="auto"/>
            <w:hideMark/>
          </w:tcPr>
          <w:p w14:paraId="0762935C"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pct50" w:color="000000" w:fill="auto"/>
            <w:hideMark/>
          </w:tcPr>
          <w:p w14:paraId="6BBBED43"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08" w:type="dxa"/>
            <w:tcBorders>
              <w:top w:val="nil"/>
              <w:left w:val="nil"/>
              <w:bottom w:val="single" w:sz="4" w:space="0" w:color="auto"/>
              <w:right w:val="single" w:sz="4" w:space="0" w:color="auto"/>
            </w:tcBorders>
            <w:shd w:val="pct50" w:color="000000" w:fill="auto"/>
            <w:hideMark/>
          </w:tcPr>
          <w:p w14:paraId="238A1010"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pct50" w:color="000000" w:fill="auto"/>
            <w:hideMark/>
          </w:tcPr>
          <w:p w14:paraId="0296FEDF"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pct50" w:color="000000" w:fill="auto"/>
            <w:hideMark/>
          </w:tcPr>
          <w:p w14:paraId="75BC684E"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clear" w:color="auto" w:fill="auto"/>
            <w:hideMark/>
          </w:tcPr>
          <w:p w14:paraId="57FA7A7D"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E50B6B" w:rsidRPr="00000F38" w14:paraId="755306B6" w14:textId="77777777" w:rsidTr="00E50B6B">
        <w:trPr>
          <w:trHeight w:val="255"/>
        </w:trPr>
        <w:tc>
          <w:tcPr>
            <w:tcW w:w="508" w:type="dxa"/>
            <w:tcBorders>
              <w:top w:val="nil"/>
              <w:left w:val="single" w:sz="4" w:space="0" w:color="auto"/>
              <w:bottom w:val="single" w:sz="4" w:space="0" w:color="auto"/>
              <w:right w:val="single" w:sz="4" w:space="0" w:color="auto"/>
            </w:tcBorders>
            <w:shd w:val="clear" w:color="auto" w:fill="auto"/>
            <w:hideMark/>
          </w:tcPr>
          <w:p w14:paraId="2C0A4CAE" w14:textId="77777777" w:rsidR="00E50B6B" w:rsidRPr="00000F38" w:rsidRDefault="00E50B6B" w:rsidP="00E50B6B">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11</w:t>
            </w:r>
          </w:p>
        </w:tc>
        <w:tc>
          <w:tcPr>
            <w:tcW w:w="2528" w:type="dxa"/>
            <w:tcBorders>
              <w:top w:val="nil"/>
              <w:left w:val="nil"/>
              <w:bottom w:val="single" w:sz="4" w:space="0" w:color="auto"/>
              <w:right w:val="single" w:sz="4" w:space="0" w:color="auto"/>
            </w:tcBorders>
            <w:shd w:val="clear" w:color="auto" w:fill="auto"/>
            <w:noWrap/>
            <w:vAlign w:val="center"/>
            <w:hideMark/>
          </w:tcPr>
          <w:p w14:paraId="222C8801" w14:textId="77777777" w:rsidR="00E50B6B" w:rsidRPr="00000F38" w:rsidRDefault="00E50B6B" w:rsidP="00E50B6B">
            <w:pPr>
              <w:spacing w:after="0" w:line="240" w:lineRule="auto"/>
              <w:jc w:val="both"/>
              <w:rPr>
                <w:rFonts w:eastAsia="Times New Roman" w:cstheme="minorHAnsi"/>
                <w:color w:val="000000"/>
                <w:lang w:val="en-GB" w:eastAsia="en-GB"/>
              </w:rPr>
            </w:pPr>
            <w:r w:rsidRPr="00000F38">
              <w:rPr>
                <w:rFonts w:eastAsia="Times New Roman" w:cstheme="minorHAnsi"/>
                <w:color w:val="000000"/>
                <w:lang w:val="en-GB" w:eastAsia="en-GB"/>
              </w:rPr>
              <w:t>Network Access Control (NAC)</w:t>
            </w:r>
          </w:p>
        </w:tc>
        <w:tc>
          <w:tcPr>
            <w:tcW w:w="443" w:type="dxa"/>
            <w:tcBorders>
              <w:top w:val="nil"/>
              <w:left w:val="nil"/>
              <w:bottom w:val="single" w:sz="4" w:space="0" w:color="auto"/>
              <w:right w:val="single" w:sz="4" w:space="0" w:color="auto"/>
            </w:tcBorders>
            <w:shd w:val="clear" w:color="auto" w:fill="auto"/>
            <w:hideMark/>
          </w:tcPr>
          <w:p w14:paraId="216A4B35"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07" w:type="dxa"/>
            <w:tcBorders>
              <w:top w:val="nil"/>
              <w:left w:val="nil"/>
              <w:bottom w:val="single" w:sz="4" w:space="0" w:color="auto"/>
              <w:right w:val="single" w:sz="4" w:space="0" w:color="auto"/>
            </w:tcBorders>
            <w:shd w:val="clear" w:color="auto" w:fill="auto"/>
            <w:hideMark/>
          </w:tcPr>
          <w:p w14:paraId="05D3F69E"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2FA8AE04"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7528A624"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clear" w:color="000000" w:fill="auto"/>
            <w:hideMark/>
          </w:tcPr>
          <w:p w14:paraId="337AB95A"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0625785B"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6686F98C"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clear" w:color="000000" w:fill="auto"/>
            <w:hideMark/>
          </w:tcPr>
          <w:p w14:paraId="63205C6E"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6B86C95E"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2CE7FA16"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pct50" w:color="000000" w:fill="auto"/>
            <w:hideMark/>
          </w:tcPr>
          <w:p w14:paraId="5A71D6DD"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pct50" w:color="000000" w:fill="auto"/>
            <w:hideMark/>
          </w:tcPr>
          <w:p w14:paraId="5C4CB0F4"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pct50" w:color="000000" w:fill="auto"/>
            <w:hideMark/>
          </w:tcPr>
          <w:p w14:paraId="052D6439"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08" w:type="dxa"/>
            <w:tcBorders>
              <w:top w:val="nil"/>
              <w:left w:val="nil"/>
              <w:bottom w:val="single" w:sz="4" w:space="0" w:color="auto"/>
              <w:right w:val="single" w:sz="4" w:space="0" w:color="auto"/>
            </w:tcBorders>
            <w:shd w:val="pct50" w:color="000000" w:fill="auto"/>
            <w:hideMark/>
          </w:tcPr>
          <w:p w14:paraId="396AA18B"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pct50" w:color="000000" w:fill="auto"/>
            <w:hideMark/>
          </w:tcPr>
          <w:p w14:paraId="4AC42C3C"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pct50" w:color="000000" w:fill="auto"/>
            <w:hideMark/>
          </w:tcPr>
          <w:p w14:paraId="62E1D25C"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clear" w:color="auto" w:fill="auto"/>
            <w:hideMark/>
          </w:tcPr>
          <w:p w14:paraId="0C500817"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E50B6B" w:rsidRPr="00000F38" w14:paraId="6F9F062B" w14:textId="77777777" w:rsidTr="00E50B6B">
        <w:trPr>
          <w:trHeight w:val="255"/>
        </w:trPr>
        <w:tc>
          <w:tcPr>
            <w:tcW w:w="508" w:type="dxa"/>
            <w:tcBorders>
              <w:top w:val="nil"/>
              <w:left w:val="nil"/>
              <w:bottom w:val="nil"/>
              <w:right w:val="nil"/>
            </w:tcBorders>
            <w:shd w:val="clear" w:color="auto" w:fill="auto"/>
            <w:hideMark/>
          </w:tcPr>
          <w:p w14:paraId="0D356257" w14:textId="77777777" w:rsidR="00E50B6B" w:rsidRPr="00000F38" w:rsidRDefault="00E50B6B" w:rsidP="00E50B6B">
            <w:pPr>
              <w:spacing w:after="0" w:line="240" w:lineRule="auto"/>
              <w:jc w:val="center"/>
              <w:rPr>
                <w:rFonts w:eastAsia="Times New Roman" w:cstheme="minorHAnsi"/>
                <w:b/>
                <w:bCs/>
                <w:color w:val="000000"/>
                <w:lang w:val="en-GB" w:eastAsia="en-GB"/>
              </w:rPr>
            </w:pPr>
          </w:p>
        </w:tc>
        <w:tc>
          <w:tcPr>
            <w:tcW w:w="2528" w:type="dxa"/>
            <w:tcBorders>
              <w:top w:val="nil"/>
              <w:left w:val="single" w:sz="4" w:space="0" w:color="auto"/>
              <w:bottom w:val="single" w:sz="4" w:space="0" w:color="auto"/>
              <w:right w:val="single" w:sz="4" w:space="0" w:color="auto"/>
            </w:tcBorders>
            <w:shd w:val="clear" w:color="auto" w:fill="auto"/>
            <w:hideMark/>
          </w:tcPr>
          <w:p w14:paraId="540A5E93"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43" w:type="dxa"/>
            <w:tcBorders>
              <w:top w:val="nil"/>
              <w:left w:val="nil"/>
              <w:bottom w:val="single" w:sz="4" w:space="0" w:color="auto"/>
              <w:right w:val="single" w:sz="4" w:space="0" w:color="auto"/>
            </w:tcBorders>
            <w:shd w:val="clear" w:color="auto" w:fill="auto"/>
            <w:hideMark/>
          </w:tcPr>
          <w:p w14:paraId="2CDB055F"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07" w:type="dxa"/>
            <w:tcBorders>
              <w:top w:val="nil"/>
              <w:left w:val="nil"/>
              <w:bottom w:val="single" w:sz="4" w:space="0" w:color="auto"/>
              <w:right w:val="single" w:sz="4" w:space="0" w:color="auto"/>
            </w:tcBorders>
            <w:shd w:val="clear" w:color="auto" w:fill="auto"/>
            <w:hideMark/>
          </w:tcPr>
          <w:p w14:paraId="6969CA6D"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1A87AB4A"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78" w:type="dxa"/>
            <w:tcBorders>
              <w:top w:val="nil"/>
              <w:left w:val="nil"/>
              <w:bottom w:val="single" w:sz="4" w:space="0" w:color="auto"/>
              <w:right w:val="single" w:sz="4" w:space="0" w:color="auto"/>
            </w:tcBorders>
            <w:shd w:val="clear" w:color="auto" w:fill="auto"/>
            <w:hideMark/>
          </w:tcPr>
          <w:p w14:paraId="61C2FABD"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08" w:type="dxa"/>
            <w:tcBorders>
              <w:top w:val="nil"/>
              <w:left w:val="nil"/>
              <w:bottom w:val="single" w:sz="4" w:space="0" w:color="auto"/>
              <w:right w:val="single" w:sz="4" w:space="0" w:color="auto"/>
            </w:tcBorders>
            <w:shd w:val="clear" w:color="000000" w:fill="auto"/>
            <w:hideMark/>
          </w:tcPr>
          <w:p w14:paraId="101A2218"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000000" w:fill="auto"/>
            <w:hideMark/>
          </w:tcPr>
          <w:p w14:paraId="559AA8BE"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78" w:type="dxa"/>
            <w:tcBorders>
              <w:top w:val="nil"/>
              <w:left w:val="nil"/>
              <w:bottom w:val="single" w:sz="4" w:space="0" w:color="auto"/>
              <w:right w:val="single" w:sz="4" w:space="0" w:color="auto"/>
            </w:tcBorders>
            <w:shd w:val="clear" w:color="000000" w:fill="auto"/>
            <w:hideMark/>
          </w:tcPr>
          <w:p w14:paraId="29485971"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08" w:type="dxa"/>
            <w:tcBorders>
              <w:top w:val="nil"/>
              <w:left w:val="nil"/>
              <w:bottom w:val="single" w:sz="4" w:space="0" w:color="auto"/>
              <w:right w:val="single" w:sz="4" w:space="0" w:color="auto"/>
            </w:tcBorders>
            <w:shd w:val="clear" w:color="000000" w:fill="auto"/>
            <w:hideMark/>
          </w:tcPr>
          <w:p w14:paraId="579C046A"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000000" w:fill="auto"/>
            <w:hideMark/>
          </w:tcPr>
          <w:p w14:paraId="17623179"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78" w:type="dxa"/>
            <w:tcBorders>
              <w:top w:val="nil"/>
              <w:left w:val="nil"/>
              <w:bottom w:val="single" w:sz="4" w:space="0" w:color="auto"/>
              <w:right w:val="single" w:sz="4" w:space="0" w:color="auto"/>
            </w:tcBorders>
            <w:shd w:val="clear" w:color="000000" w:fill="auto"/>
            <w:hideMark/>
          </w:tcPr>
          <w:p w14:paraId="2D10B611"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08" w:type="dxa"/>
            <w:tcBorders>
              <w:top w:val="nil"/>
              <w:left w:val="nil"/>
              <w:bottom w:val="single" w:sz="4" w:space="0" w:color="auto"/>
              <w:right w:val="single" w:sz="4" w:space="0" w:color="auto"/>
            </w:tcBorders>
            <w:shd w:val="pct50" w:color="000000" w:fill="auto"/>
            <w:hideMark/>
          </w:tcPr>
          <w:p w14:paraId="75256C1C"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pct50" w:color="000000" w:fill="auto"/>
            <w:hideMark/>
          </w:tcPr>
          <w:p w14:paraId="37B16861"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pct50" w:color="000000" w:fill="auto"/>
            <w:hideMark/>
          </w:tcPr>
          <w:p w14:paraId="2BFE34F8"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08" w:type="dxa"/>
            <w:tcBorders>
              <w:top w:val="nil"/>
              <w:left w:val="nil"/>
              <w:bottom w:val="single" w:sz="4" w:space="0" w:color="auto"/>
              <w:right w:val="single" w:sz="4" w:space="0" w:color="auto"/>
            </w:tcBorders>
            <w:shd w:val="pct50" w:color="000000" w:fill="auto"/>
            <w:hideMark/>
          </w:tcPr>
          <w:p w14:paraId="5242DEDE"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pct50" w:color="000000" w:fill="auto"/>
            <w:hideMark/>
          </w:tcPr>
          <w:p w14:paraId="6A6CBD24"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pct50" w:color="000000" w:fill="auto"/>
            <w:hideMark/>
          </w:tcPr>
          <w:p w14:paraId="68A10DC1"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clear" w:color="auto" w:fill="auto"/>
            <w:hideMark/>
          </w:tcPr>
          <w:p w14:paraId="059992BD"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r>
      <w:tr w:rsidR="00E50B6B" w:rsidRPr="00000F38" w14:paraId="3182CCB0" w14:textId="77777777" w:rsidTr="00E50B6B">
        <w:trPr>
          <w:trHeight w:val="255"/>
        </w:trPr>
        <w:tc>
          <w:tcPr>
            <w:tcW w:w="508" w:type="dxa"/>
            <w:tcBorders>
              <w:top w:val="nil"/>
              <w:left w:val="nil"/>
              <w:bottom w:val="nil"/>
              <w:right w:val="nil"/>
            </w:tcBorders>
            <w:shd w:val="clear" w:color="auto" w:fill="auto"/>
            <w:noWrap/>
            <w:hideMark/>
          </w:tcPr>
          <w:p w14:paraId="42BC9196" w14:textId="77777777" w:rsidR="00E50B6B" w:rsidRPr="00000F38" w:rsidRDefault="00E50B6B" w:rsidP="00E50B6B">
            <w:pPr>
              <w:spacing w:after="0" w:line="240" w:lineRule="auto"/>
              <w:rPr>
                <w:rFonts w:eastAsia="Times New Roman" w:cstheme="minorHAnsi"/>
                <w:b/>
                <w:bCs/>
                <w:color w:val="000000"/>
                <w:lang w:val="en-GB" w:eastAsia="en-GB"/>
              </w:rPr>
            </w:pPr>
          </w:p>
        </w:tc>
        <w:tc>
          <w:tcPr>
            <w:tcW w:w="2528" w:type="dxa"/>
            <w:tcBorders>
              <w:top w:val="nil"/>
              <w:left w:val="single" w:sz="4" w:space="0" w:color="auto"/>
              <w:bottom w:val="single" w:sz="4" w:space="0" w:color="auto"/>
              <w:right w:val="single" w:sz="4" w:space="0" w:color="auto"/>
            </w:tcBorders>
            <w:shd w:val="clear" w:color="auto" w:fill="auto"/>
            <w:hideMark/>
          </w:tcPr>
          <w:p w14:paraId="572A0BF8"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Any Other (Please specify)</w:t>
            </w:r>
          </w:p>
        </w:tc>
        <w:tc>
          <w:tcPr>
            <w:tcW w:w="443" w:type="dxa"/>
            <w:tcBorders>
              <w:top w:val="nil"/>
              <w:left w:val="nil"/>
              <w:bottom w:val="single" w:sz="4" w:space="0" w:color="auto"/>
              <w:right w:val="single" w:sz="4" w:space="0" w:color="auto"/>
            </w:tcBorders>
            <w:shd w:val="clear" w:color="auto" w:fill="auto"/>
            <w:hideMark/>
          </w:tcPr>
          <w:p w14:paraId="031A1931"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07" w:type="dxa"/>
            <w:tcBorders>
              <w:top w:val="nil"/>
              <w:left w:val="nil"/>
              <w:bottom w:val="single" w:sz="4" w:space="0" w:color="auto"/>
              <w:right w:val="single" w:sz="4" w:space="0" w:color="auto"/>
            </w:tcBorders>
            <w:shd w:val="clear" w:color="auto" w:fill="auto"/>
            <w:hideMark/>
          </w:tcPr>
          <w:p w14:paraId="1B451617"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446D270E"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2A80257F"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clear" w:color="000000" w:fill="auto"/>
            <w:hideMark/>
          </w:tcPr>
          <w:p w14:paraId="112B31B6"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411ECBEA"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55819DB5"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clear" w:color="000000" w:fill="auto"/>
            <w:hideMark/>
          </w:tcPr>
          <w:p w14:paraId="688C1074"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60601AF7"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61F753FD"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pct50" w:color="000000" w:fill="auto"/>
            <w:hideMark/>
          </w:tcPr>
          <w:p w14:paraId="685DFE14"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pct50" w:color="000000" w:fill="auto"/>
            <w:hideMark/>
          </w:tcPr>
          <w:p w14:paraId="78E9380D"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pct50" w:color="000000" w:fill="auto"/>
            <w:hideMark/>
          </w:tcPr>
          <w:p w14:paraId="2618556B"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08" w:type="dxa"/>
            <w:tcBorders>
              <w:top w:val="nil"/>
              <w:left w:val="nil"/>
              <w:bottom w:val="single" w:sz="4" w:space="0" w:color="auto"/>
              <w:right w:val="single" w:sz="4" w:space="0" w:color="auto"/>
            </w:tcBorders>
            <w:shd w:val="pct50" w:color="000000" w:fill="auto"/>
            <w:hideMark/>
          </w:tcPr>
          <w:p w14:paraId="0E91A5BE"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pct50" w:color="000000" w:fill="auto"/>
            <w:hideMark/>
          </w:tcPr>
          <w:p w14:paraId="04902286"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pct50" w:color="000000" w:fill="auto"/>
            <w:hideMark/>
          </w:tcPr>
          <w:p w14:paraId="28892082"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clear" w:color="auto" w:fill="auto"/>
            <w:hideMark/>
          </w:tcPr>
          <w:p w14:paraId="2FB0ED0D"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E50B6B" w:rsidRPr="00000F38" w14:paraId="701FF250" w14:textId="77777777" w:rsidTr="00E50B6B">
        <w:trPr>
          <w:trHeight w:val="255"/>
        </w:trPr>
        <w:tc>
          <w:tcPr>
            <w:tcW w:w="508" w:type="dxa"/>
            <w:tcBorders>
              <w:top w:val="nil"/>
              <w:left w:val="nil"/>
              <w:bottom w:val="nil"/>
              <w:right w:val="nil"/>
            </w:tcBorders>
            <w:shd w:val="clear" w:color="auto" w:fill="auto"/>
            <w:noWrap/>
            <w:hideMark/>
          </w:tcPr>
          <w:p w14:paraId="01F341ED" w14:textId="77777777" w:rsidR="00E50B6B" w:rsidRPr="00000F38" w:rsidRDefault="00E50B6B" w:rsidP="00E50B6B">
            <w:pPr>
              <w:spacing w:after="0" w:line="240" w:lineRule="auto"/>
              <w:jc w:val="center"/>
              <w:rPr>
                <w:rFonts w:eastAsia="Times New Roman" w:cstheme="minorHAnsi"/>
                <w:b/>
                <w:bCs/>
                <w:color w:val="000000"/>
                <w:lang w:val="en-GB" w:eastAsia="en-GB"/>
              </w:rPr>
            </w:pPr>
          </w:p>
        </w:tc>
        <w:tc>
          <w:tcPr>
            <w:tcW w:w="2528" w:type="dxa"/>
            <w:tcBorders>
              <w:top w:val="nil"/>
              <w:left w:val="single" w:sz="4" w:space="0" w:color="auto"/>
              <w:bottom w:val="single" w:sz="4" w:space="0" w:color="auto"/>
              <w:right w:val="single" w:sz="4" w:space="0" w:color="auto"/>
            </w:tcBorders>
            <w:shd w:val="clear" w:color="auto" w:fill="auto"/>
            <w:hideMark/>
          </w:tcPr>
          <w:p w14:paraId="6C34C73C"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Any Other (Please specify)</w:t>
            </w:r>
          </w:p>
        </w:tc>
        <w:tc>
          <w:tcPr>
            <w:tcW w:w="443" w:type="dxa"/>
            <w:tcBorders>
              <w:top w:val="nil"/>
              <w:left w:val="nil"/>
              <w:bottom w:val="single" w:sz="4" w:space="0" w:color="auto"/>
              <w:right w:val="single" w:sz="4" w:space="0" w:color="auto"/>
            </w:tcBorders>
            <w:shd w:val="clear" w:color="auto" w:fill="auto"/>
            <w:hideMark/>
          </w:tcPr>
          <w:p w14:paraId="3FCC3419"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07" w:type="dxa"/>
            <w:tcBorders>
              <w:top w:val="nil"/>
              <w:left w:val="nil"/>
              <w:bottom w:val="single" w:sz="4" w:space="0" w:color="auto"/>
              <w:right w:val="single" w:sz="4" w:space="0" w:color="auto"/>
            </w:tcBorders>
            <w:shd w:val="clear" w:color="auto" w:fill="auto"/>
            <w:hideMark/>
          </w:tcPr>
          <w:p w14:paraId="17F771D6"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0AD6CE8D"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6DBEA65A"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clear" w:color="000000" w:fill="auto"/>
            <w:hideMark/>
          </w:tcPr>
          <w:p w14:paraId="4600AE33"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2327BCC3"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46813D56"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clear" w:color="000000" w:fill="auto"/>
            <w:hideMark/>
          </w:tcPr>
          <w:p w14:paraId="671AE46E"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0DBA4826"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3E6E9AC5"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pct50" w:color="000000" w:fill="auto"/>
            <w:hideMark/>
          </w:tcPr>
          <w:p w14:paraId="34343D8D"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pct50" w:color="000000" w:fill="auto"/>
            <w:hideMark/>
          </w:tcPr>
          <w:p w14:paraId="532A16B9"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pct50" w:color="000000" w:fill="auto"/>
            <w:hideMark/>
          </w:tcPr>
          <w:p w14:paraId="10B6A282"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08" w:type="dxa"/>
            <w:tcBorders>
              <w:top w:val="nil"/>
              <w:left w:val="nil"/>
              <w:bottom w:val="single" w:sz="4" w:space="0" w:color="auto"/>
              <w:right w:val="single" w:sz="4" w:space="0" w:color="auto"/>
            </w:tcBorders>
            <w:shd w:val="pct50" w:color="000000" w:fill="auto"/>
            <w:hideMark/>
          </w:tcPr>
          <w:p w14:paraId="49850CE6"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pct50" w:color="000000" w:fill="auto"/>
            <w:hideMark/>
          </w:tcPr>
          <w:p w14:paraId="104CABD3"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pct50" w:color="000000" w:fill="auto"/>
            <w:hideMark/>
          </w:tcPr>
          <w:p w14:paraId="68687014"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clear" w:color="auto" w:fill="auto"/>
            <w:hideMark/>
          </w:tcPr>
          <w:p w14:paraId="09A09279"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E50B6B" w:rsidRPr="00000F38" w14:paraId="004F0294" w14:textId="77777777" w:rsidTr="00E50B6B">
        <w:trPr>
          <w:trHeight w:val="255"/>
        </w:trPr>
        <w:tc>
          <w:tcPr>
            <w:tcW w:w="508" w:type="dxa"/>
            <w:tcBorders>
              <w:top w:val="nil"/>
              <w:left w:val="nil"/>
              <w:bottom w:val="nil"/>
              <w:right w:val="nil"/>
            </w:tcBorders>
            <w:shd w:val="clear" w:color="auto" w:fill="auto"/>
            <w:noWrap/>
            <w:hideMark/>
          </w:tcPr>
          <w:p w14:paraId="149FD669" w14:textId="77777777" w:rsidR="00E50B6B" w:rsidRPr="00000F38" w:rsidRDefault="00E50B6B" w:rsidP="00E50B6B">
            <w:pPr>
              <w:spacing w:after="0" w:line="240" w:lineRule="auto"/>
              <w:jc w:val="center"/>
              <w:rPr>
                <w:rFonts w:eastAsia="Times New Roman" w:cstheme="minorHAnsi"/>
                <w:b/>
                <w:bCs/>
                <w:color w:val="000000"/>
                <w:lang w:val="en-GB" w:eastAsia="en-GB"/>
              </w:rPr>
            </w:pPr>
          </w:p>
        </w:tc>
        <w:tc>
          <w:tcPr>
            <w:tcW w:w="2528" w:type="dxa"/>
            <w:tcBorders>
              <w:top w:val="nil"/>
              <w:left w:val="single" w:sz="4" w:space="0" w:color="auto"/>
              <w:bottom w:val="single" w:sz="4" w:space="0" w:color="auto"/>
              <w:right w:val="single" w:sz="4" w:space="0" w:color="auto"/>
            </w:tcBorders>
            <w:shd w:val="clear" w:color="000000" w:fill="F2F2F2"/>
            <w:hideMark/>
          </w:tcPr>
          <w:p w14:paraId="52F12A9F"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Total Software Cost (A)</w:t>
            </w:r>
          </w:p>
        </w:tc>
        <w:tc>
          <w:tcPr>
            <w:tcW w:w="443" w:type="dxa"/>
            <w:tcBorders>
              <w:top w:val="nil"/>
              <w:left w:val="nil"/>
              <w:bottom w:val="single" w:sz="4" w:space="0" w:color="auto"/>
              <w:right w:val="single" w:sz="4" w:space="0" w:color="auto"/>
            </w:tcBorders>
            <w:shd w:val="clear" w:color="000000" w:fill="F2F2F2"/>
            <w:hideMark/>
          </w:tcPr>
          <w:p w14:paraId="08FD039C"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07" w:type="dxa"/>
            <w:tcBorders>
              <w:top w:val="nil"/>
              <w:left w:val="nil"/>
              <w:bottom w:val="single" w:sz="4" w:space="0" w:color="auto"/>
              <w:right w:val="single" w:sz="4" w:space="0" w:color="auto"/>
            </w:tcBorders>
            <w:shd w:val="clear" w:color="000000" w:fill="F2F2F2"/>
            <w:hideMark/>
          </w:tcPr>
          <w:p w14:paraId="6D803616"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000000" w:fill="F2F2F2"/>
            <w:hideMark/>
          </w:tcPr>
          <w:p w14:paraId="6AA7CF98"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c>
          <w:tcPr>
            <w:tcW w:w="378" w:type="dxa"/>
            <w:tcBorders>
              <w:top w:val="nil"/>
              <w:left w:val="nil"/>
              <w:bottom w:val="single" w:sz="4" w:space="0" w:color="auto"/>
              <w:right w:val="single" w:sz="4" w:space="0" w:color="auto"/>
            </w:tcBorders>
            <w:shd w:val="clear" w:color="000000" w:fill="F2F2F2"/>
            <w:hideMark/>
          </w:tcPr>
          <w:p w14:paraId="42D3DFBF"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c>
          <w:tcPr>
            <w:tcW w:w="408" w:type="dxa"/>
            <w:tcBorders>
              <w:top w:val="nil"/>
              <w:left w:val="nil"/>
              <w:bottom w:val="single" w:sz="4" w:space="0" w:color="auto"/>
              <w:right w:val="single" w:sz="4" w:space="0" w:color="auto"/>
            </w:tcBorders>
            <w:shd w:val="clear" w:color="000000" w:fill="F2F2F2"/>
            <w:hideMark/>
          </w:tcPr>
          <w:p w14:paraId="553B80F2"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000000" w:fill="F2F2F2"/>
            <w:hideMark/>
          </w:tcPr>
          <w:p w14:paraId="66CEA698"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c>
          <w:tcPr>
            <w:tcW w:w="378" w:type="dxa"/>
            <w:tcBorders>
              <w:top w:val="nil"/>
              <w:left w:val="nil"/>
              <w:bottom w:val="single" w:sz="4" w:space="0" w:color="auto"/>
              <w:right w:val="single" w:sz="4" w:space="0" w:color="auto"/>
            </w:tcBorders>
            <w:shd w:val="clear" w:color="000000" w:fill="F2F2F2"/>
            <w:hideMark/>
          </w:tcPr>
          <w:p w14:paraId="20D9F787"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c>
          <w:tcPr>
            <w:tcW w:w="408" w:type="dxa"/>
            <w:tcBorders>
              <w:top w:val="nil"/>
              <w:left w:val="nil"/>
              <w:bottom w:val="single" w:sz="4" w:space="0" w:color="auto"/>
              <w:right w:val="single" w:sz="4" w:space="0" w:color="auto"/>
            </w:tcBorders>
            <w:shd w:val="clear" w:color="000000" w:fill="F2F2F2"/>
            <w:hideMark/>
          </w:tcPr>
          <w:p w14:paraId="64F9B581"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000000" w:fill="F2F2F2"/>
            <w:hideMark/>
          </w:tcPr>
          <w:p w14:paraId="5AB5104B"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c>
          <w:tcPr>
            <w:tcW w:w="378" w:type="dxa"/>
            <w:tcBorders>
              <w:top w:val="nil"/>
              <w:left w:val="nil"/>
              <w:bottom w:val="single" w:sz="4" w:space="0" w:color="auto"/>
              <w:right w:val="single" w:sz="4" w:space="0" w:color="auto"/>
            </w:tcBorders>
            <w:shd w:val="clear" w:color="000000" w:fill="F2F2F2"/>
            <w:hideMark/>
          </w:tcPr>
          <w:p w14:paraId="6F3F05CE"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c>
          <w:tcPr>
            <w:tcW w:w="408" w:type="dxa"/>
            <w:tcBorders>
              <w:top w:val="nil"/>
              <w:left w:val="nil"/>
              <w:bottom w:val="single" w:sz="4" w:space="0" w:color="auto"/>
              <w:right w:val="single" w:sz="4" w:space="0" w:color="auto"/>
            </w:tcBorders>
            <w:shd w:val="clear" w:color="000000" w:fill="F2F2F2"/>
            <w:hideMark/>
          </w:tcPr>
          <w:p w14:paraId="5FCE93A4"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000000" w:fill="F2F2F2"/>
            <w:hideMark/>
          </w:tcPr>
          <w:p w14:paraId="1302D252"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78" w:type="dxa"/>
            <w:tcBorders>
              <w:top w:val="nil"/>
              <w:left w:val="nil"/>
              <w:bottom w:val="single" w:sz="4" w:space="0" w:color="auto"/>
              <w:right w:val="single" w:sz="4" w:space="0" w:color="auto"/>
            </w:tcBorders>
            <w:shd w:val="clear" w:color="000000" w:fill="F2F2F2"/>
            <w:hideMark/>
          </w:tcPr>
          <w:p w14:paraId="6E4B6229"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08" w:type="dxa"/>
            <w:tcBorders>
              <w:top w:val="nil"/>
              <w:left w:val="nil"/>
              <w:bottom w:val="single" w:sz="4" w:space="0" w:color="auto"/>
              <w:right w:val="single" w:sz="4" w:space="0" w:color="auto"/>
            </w:tcBorders>
            <w:shd w:val="clear" w:color="000000" w:fill="F2F2F2"/>
            <w:hideMark/>
          </w:tcPr>
          <w:p w14:paraId="5D01BEF2"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000000" w:fill="F2F2F2"/>
            <w:hideMark/>
          </w:tcPr>
          <w:p w14:paraId="27073417"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78" w:type="dxa"/>
            <w:tcBorders>
              <w:top w:val="nil"/>
              <w:left w:val="nil"/>
              <w:bottom w:val="single" w:sz="4" w:space="0" w:color="auto"/>
              <w:right w:val="single" w:sz="4" w:space="0" w:color="auto"/>
            </w:tcBorders>
            <w:shd w:val="clear" w:color="000000" w:fill="F2F2F2"/>
            <w:hideMark/>
          </w:tcPr>
          <w:p w14:paraId="5A661897"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78" w:type="dxa"/>
            <w:tcBorders>
              <w:top w:val="nil"/>
              <w:left w:val="nil"/>
              <w:bottom w:val="single" w:sz="4" w:space="0" w:color="auto"/>
              <w:right w:val="single" w:sz="4" w:space="0" w:color="auto"/>
            </w:tcBorders>
            <w:shd w:val="clear" w:color="000000" w:fill="F2F2F2"/>
            <w:hideMark/>
          </w:tcPr>
          <w:p w14:paraId="19CA4894"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E50B6B" w:rsidRPr="00000F38" w14:paraId="5287C1D8" w14:textId="77777777" w:rsidTr="00E50B6B">
        <w:trPr>
          <w:trHeight w:val="255"/>
        </w:trPr>
        <w:tc>
          <w:tcPr>
            <w:tcW w:w="508" w:type="dxa"/>
            <w:tcBorders>
              <w:top w:val="nil"/>
              <w:left w:val="nil"/>
              <w:bottom w:val="nil"/>
              <w:right w:val="nil"/>
            </w:tcBorders>
            <w:shd w:val="clear" w:color="auto" w:fill="auto"/>
            <w:noWrap/>
            <w:hideMark/>
          </w:tcPr>
          <w:p w14:paraId="72228CB4" w14:textId="77777777" w:rsidR="00E50B6B" w:rsidRPr="00000F38" w:rsidRDefault="00E50B6B" w:rsidP="00E50B6B">
            <w:pPr>
              <w:spacing w:after="0" w:line="240" w:lineRule="auto"/>
              <w:jc w:val="center"/>
              <w:rPr>
                <w:rFonts w:eastAsia="Times New Roman" w:cstheme="minorHAnsi"/>
                <w:b/>
                <w:bCs/>
                <w:color w:val="000000"/>
                <w:lang w:val="en-GB" w:eastAsia="en-GB"/>
              </w:rPr>
            </w:pPr>
          </w:p>
        </w:tc>
        <w:tc>
          <w:tcPr>
            <w:tcW w:w="2528" w:type="dxa"/>
            <w:tcBorders>
              <w:top w:val="nil"/>
              <w:left w:val="single" w:sz="4" w:space="0" w:color="auto"/>
              <w:bottom w:val="single" w:sz="4" w:space="0" w:color="auto"/>
              <w:right w:val="single" w:sz="4" w:space="0" w:color="auto"/>
            </w:tcBorders>
            <w:shd w:val="clear" w:color="auto" w:fill="auto"/>
            <w:hideMark/>
          </w:tcPr>
          <w:p w14:paraId="327CC44A"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43" w:type="dxa"/>
            <w:tcBorders>
              <w:top w:val="nil"/>
              <w:left w:val="nil"/>
              <w:bottom w:val="single" w:sz="4" w:space="0" w:color="auto"/>
              <w:right w:val="single" w:sz="4" w:space="0" w:color="auto"/>
            </w:tcBorders>
            <w:shd w:val="clear" w:color="auto" w:fill="auto"/>
            <w:hideMark/>
          </w:tcPr>
          <w:p w14:paraId="77830626"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07" w:type="dxa"/>
            <w:tcBorders>
              <w:top w:val="nil"/>
              <w:left w:val="nil"/>
              <w:bottom w:val="single" w:sz="4" w:space="0" w:color="auto"/>
              <w:right w:val="single" w:sz="4" w:space="0" w:color="auto"/>
            </w:tcBorders>
            <w:shd w:val="clear" w:color="auto" w:fill="auto"/>
            <w:hideMark/>
          </w:tcPr>
          <w:p w14:paraId="788FD3A4"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40B733E3"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clear" w:color="auto" w:fill="auto"/>
            <w:hideMark/>
          </w:tcPr>
          <w:p w14:paraId="4F4E684D"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08" w:type="dxa"/>
            <w:tcBorders>
              <w:top w:val="nil"/>
              <w:left w:val="nil"/>
              <w:bottom w:val="single" w:sz="4" w:space="0" w:color="auto"/>
              <w:right w:val="single" w:sz="4" w:space="0" w:color="auto"/>
            </w:tcBorders>
            <w:shd w:val="clear" w:color="auto" w:fill="auto"/>
            <w:hideMark/>
          </w:tcPr>
          <w:p w14:paraId="0E042DD7"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515F38BE"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clear" w:color="auto" w:fill="auto"/>
            <w:hideMark/>
          </w:tcPr>
          <w:p w14:paraId="4D10AE3C"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08" w:type="dxa"/>
            <w:tcBorders>
              <w:top w:val="nil"/>
              <w:left w:val="nil"/>
              <w:bottom w:val="single" w:sz="4" w:space="0" w:color="auto"/>
              <w:right w:val="single" w:sz="4" w:space="0" w:color="auto"/>
            </w:tcBorders>
            <w:shd w:val="clear" w:color="auto" w:fill="auto"/>
            <w:hideMark/>
          </w:tcPr>
          <w:p w14:paraId="13F90C24"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54537A79"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clear" w:color="auto" w:fill="auto"/>
            <w:hideMark/>
          </w:tcPr>
          <w:p w14:paraId="218E530B"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08" w:type="dxa"/>
            <w:tcBorders>
              <w:top w:val="nil"/>
              <w:left w:val="nil"/>
              <w:bottom w:val="single" w:sz="4" w:space="0" w:color="auto"/>
              <w:right w:val="single" w:sz="4" w:space="0" w:color="auto"/>
            </w:tcBorders>
            <w:shd w:val="clear" w:color="auto" w:fill="auto"/>
            <w:hideMark/>
          </w:tcPr>
          <w:p w14:paraId="6C1493BA"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6C743264"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clear" w:color="auto" w:fill="auto"/>
            <w:hideMark/>
          </w:tcPr>
          <w:p w14:paraId="40BE0EDA"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08" w:type="dxa"/>
            <w:tcBorders>
              <w:top w:val="nil"/>
              <w:left w:val="nil"/>
              <w:bottom w:val="single" w:sz="4" w:space="0" w:color="auto"/>
              <w:right w:val="single" w:sz="4" w:space="0" w:color="auto"/>
            </w:tcBorders>
            <w:shd w:val="clear" w:color="auto" w:fill="auto"/>
            <w:hideMark/>
          </w:tcPr>
          <w:p w14:paraId="564CAA05"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56236013"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clear" w:color="auto" w:fill="auto"/>
            <w:hideMark/>
          </w:tcPr>
          <w:p w14:paraId="2629A613"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clear" w:color="auto" w:fill="auto"/>
            <w:hideMark/>
          </w:tcPr>
          <w:p w14:paraId="26D4F355"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r>
      <w:tr w:rsidR="00E50B6B" w:rsidRPr="00000F38" w14:paraId="374B0FDA" w14:textId="77777777" w:rsidTr="00E50B6B">
        <w:trPr>
          <w:trHeight w:val="765"/>
        </w:trPr>
        <w:tc>
          <w:tcPr>
            <w:tcW w:w="508" w:type="dxa"/>
            <w:tcBorders>
              <w:top w:val="single" w:sz="4" w:space="0" w:color="auto"/>
              <w:left w:val="single" w:sz="4" w:space="0" w:color="auto"/>
              <w:bottom w:val="single" w:sz="4" w:space="0" w:color="auto"/>
              <w:right w:val="single" w:sz="4" w:space="0" w:color="auto"/>
            </w:tcBorders>
            <w:shd w:val="clear" w:color="000000" w:fill="002060"/>
            <w:hideMark/>
          </w:tcPr>
          <w:p w14:paraId="3D245DA0" w14:textId="77777777" w:rsidR="00E50B6B" w:rsidRPr="00000F38" w:rsidRDefault="00E50B6B" w:rsidP="00E50B6B">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S. No</w:t>
            </w:r>
          </w:p>
        </w:tc>
        <w:tc>
          <w:tcPr>
            <w:tcW w:w="2528" w:type="dxa"/>
            <w:tcBorders>
              <w:top w:val="nil"/>
              <w:left w:val="nil"/>
              <w:bottom w:val="single" w:sz="4" w:space="0" w:color="auto"/>
              <w:right w:val="single" w:sz="4" w:space="0" w:color="auto"/>
            </w:tcBorders>
            <w:shd w:val="clear" w:color="000000" w:fill="002060"/>
            <w:hideMark/>
          </w:tcPr>
          <w:p w14:paraId="37289B04" w14:textId="77777777" w:rsidR="00E50B6B" w:rsidRPr="00000F38" w:rsidRDefault="00E50B6B" w:rsidP="00E50B6B">
            <w:pPr>
              <w:spacing w:after="0" w:line="240" w:lineRule="auto"/>
              <w:rPr>
                <w:rFonts w:eastAsia="Times New Roman" w:cstheme="minorHAnsi"/>
                <w:b/>
                <w:bCs/>
                <w:color w:val="FFFFFF"/>
                <w:lang w:val="en-GB" w:eastAsia="en-GB"/>
              </w:rPr>
            </w:pPr>
            <w:r w:rsidRPr="00000F38">
              <w:rPr>
                <w:rFonts w:eastAsia="Times New Roman" w:cstheme="minorHAnsi"/>
                <w:b/>
                <w:bCs/>
                <w:color w:val="FFFFFF"/>
                <w:lang w:val="en-GB" w:eastAsia="en-GB"/>
              </w:rPr>
              <w:t>Hardware Cost at DRC</w:t>
            </w:r>
          </w:p>
        </w:tc>
        <w:tc>
          <w:tcPr>
            <w:tcW w:w="443" w:type="dxa"/>
            <w:tcBorders>
              <w:top w:val="nil"/>
              <w:left w:val="nil"/>
              <w:bottom w:val="single" w:sz="4" w:space="0" w:color="auto"/>
              <w:right w:val="single" w:sz="4" w:space="0" w:color="auto"/>
            </w:tcBorders>
            <w:shd w:val="clear" w:color="000000" w:fill="203764"/>
            <w:hideMark/>
          </w:tcPr>
          <w:p w14:paraId="2BCFC4C4" w14:textId="77777777" w:rsidR="00E50B6B" w:rsidRPr="00000F38" w:rsidRDefault="00E50B6B" w:rsidP="00E50B6B">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Details of the proposed hardware</w:t>
            </w:r>
            <w:r w:rsidRPr="00000F38">
              <w:rPr>
                <w:rFonts w:eastAsia="Times New Roman" w:cstheme="minorHAnsi"/>
                <w:b/>
                <w:bCs/>
                <w:color w:val="FFFFFF"/>
                <w:lang w:val="en-GB" w:eastAsia="en-GB"/>
              </w:rPr>
              <w:br/>
              <w:t>(Make, Model, etc)</w:t>
            </w:r>
          </w:p>
        </w:tc>
        <w:tc>
          <w:tcPr>
            <w:tcW w:w="407" w:type="dxa"/>
            <w:tcBorders>
              <w:top w:val="nil"/>
              <w:left w:val="nil"/>
              <w:bottom w:val="single" w:sz="4" w:space="0" w:color="auto"/>
              <w:right w:val="single" w:sz="4" w:space="0" w:color="auto"/>
            </w:tcBorders>
            <w:shd w:val="clear" w:color="000000" w:fill="002060"/>
            <w:hideMark/>
          </w:tcPr>
          <w:p w14:paraId="5CBC64A6" w14:textId="77777777" w:rsidR="00E50B6B" w:rsidRPr="00000F38" w:rsidRDefault="00E50B6B" w:rsidP="00E50B6B">
            <w:pPr>
              <w:spacing w:after="0" w:line="240" w:lineRule="auto"/>
              <w:rPr>
                <w:rFonts w:eastAsia="Times New Roman" w:cstheme="minorHAnsi"/>
                <w:b/>
                <w:bCs/>
                <w:color w:val="FFFFFF"/>
                <w:lang w:val="en-GB" w:eastAsia="en-GB"/>
              </w:rPr>
            </w:pPr>
            <w:r w:rsidRPr="00000F38">
              <w:rPr>
                <w:rFonts w:eastAsia="Times New Roman" w:cstheme="minorHAnsi"/>
                <w:b/>
                <w:bCs/>
                <w:color w:val="FFFFFF"/>
                <w:lang w:val="en-GB" w:eastAsia="en-GB"/>
              </w:rPr>
              <w:t>Quantity</w:t>
            </w:r>
          </w:p>
        </w:tc>
        <w:tc>
          <w:tcPr>
            <w:tcW w:w="248" w:type="dxa"/>
            <w:tcBorders>
              <w:top w:val="nil"/>
              <w:left w:val="nil"/>
              <w:bottom w:val="single" w:sz="4" w:space="0" w:color="auto"/>
              <w:right w:val="single" w:sz="4" w:space="0" w:color="auto"/>
            </w:tcBorders>
            <w:shd w:val="clear" w:color="000000" w:fill="002060"/>
            <w:hideMark/>
          </w:tcPr>
          <w:p w14:paraId="426E1F27" w14:textId="77777777" w:rsidR="00E50B6B" w:rsidRPr="00000F38" w:rsidRDefault="00E50B6B" w:rsidP="00E50B6B">
            <w:pPr>
              <w:spacing w:after="0" w:line="240" w:lineRule="auto"/>
              <w:rPr>
                <w:rFonts w:eastAsia="Times New Roman" w:cstheme="minorHAnsi"/>
                <w:b/>
                <w:bCs/>
                <w:color w:val="FFFFFF"/>
                <w:lang w:val="en-GB" w:eastAsia="en-GB"/>
              </w:rPr>
            </w:pPr>
            <w:r w:rsidRPr="00000F38">
              <w:rPr>
                <w:rFonts w:eastAsia="Times New Roman" w:cstheme="minorHAnsi"/>
                <w:b/>
                <w:bCs/>
                <w:color w:val="FFFFFF"/>
                <w:lang w:val="en-GB" w:eastAsia="en-GB"/>
              </w:rPr>
              <w:t>Rate (INR)</w:t>
            </w:r>
          </w:p>
        </w:tc>
        <w:tc>
          <w:tcPr>
            <w:tcW w:w="378" w:type="dxa"/>
            <w:tcBorders>
              <w:top w:val="nil"/>
              <w:left w:val="nil"/>
              <w:bottom w:val="single" w:sz="4" w:space="0" w:color="auto"/>
              <w:right w:val="single" w:sz="4" w:space="0" w:color="auto"/>
            </w:tcBorders>
            <w:shd w:val="clear" w:color="000000" w:fill="002060"/>
            <w:hideMark/>
          </w:tcPr>
          <w:p w14:paraId="15ADF5C2" w14:textId="77777777" w:rsidR="00E50B6B" w:rsidRPr="00000F38" w:rsidRDefault="00E50B6B" w:rsidP="00E50B6B">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Total Amount   (INR)</w:t>
            </w:r>
          </w:p>
        </w:tc>
        <w:tc>
          <w:tcPr>
            <w:tcW w:w="408" w:type="dxa"/>
            <w:tcBorders>
              <w:top w:val="nil"/>
              <w:left w:val="nil"/>
              <w:bottom w:val="single" w:sz="4" w:space="0" w:color="auto"/>
              <w:right w:val="single" w:sz="4" w:space="0" w:color="auto"/>
            </w:tcBorders>
            <w:shd w:val="clear" w:color="000000" w:fill="002060"/>
            <w:hideMark/>
          </w:tcPr>
          <w:p w14:paraId="4DB9DE1B" w14:textId="77777777" w:rsidR="00E50B6B" w:rsidRPr="00000F38" w:rsidRDefault="00E50B6B" w:rsidP="00E50B6B">
            <w:pPr>
              <w:spacing w:after="0" w:line="240" w:lineRule="auto"/>
              <w:rPr>
                <w:rFonts w:eastAsia="Times New Roman" w:cstheme="minorHAnsi"/>
                <w:b/>
                <w:bCs/>
                <w:color w:val="FFFFFF"/>
                <w:lang w:val="en-GB" w:eastAsia="en-GB"/>
              </w:rPr>
            </w:pPr>
            <w:r w:rsidRPr="00000F38">
              <w:rPr>
                <w:rFonts w:eastAsia="Times New Roman" w:cstheme="minorHAnsi"/>
                <w:b/>
                <w:bCs/>
                <w:color w:val="FFFFFF"/>
                <w:lang w:val="en-GB" w:eastAsia="en-GB"/>
              </w:rPr>
              <w:t>Quantity</w:t>
            </w:r>
          </w:p>
        </w:tc>
        <w:tc>
          <w:tcPr>
            <w:tcW w:w="248" w:type="dxa"/>
            <w:tcBorders>
              <w:top w:val="nil"/>
              <w:left w:val="nil"/>
              <w:bottom w:val="single" w:sz="4" w:space="0" w:color="auto"/>
              <w:right w:val="single" w:sz="4" w:space="0" w:color="auto"/>
            </w:tcBorders>
            <w:shd w:val="clear" w:color="000000" w:fill="002060"/>
            <w:hideMark/>
          </w:tcPr>
          <w:p w14:paraId="6E8A8859" w14:textId="77777777" w:rsidR="00E50B6B" w:rsidRPr="00000F38" w:rsidRDefault="00E50B6B" w:rsidP="00E50B6B">
            <w:pPr>
              <w:spacing w:after="0" w:line="240" w:lineRule="auto"/>
              <w:rPr>
                <w:rFonts w:eastAsia="Times New Roman" w:cstheme="minorHAnsi"/>
                <w:b/>
                <w:bCs/>
                <w:color w:val="FFFFFF"/>
                <w:lang w:val="en-GB" w:eastAsia="en-GB"/>
              </w:rPr>
            </w:pPr>
            <w:r w:rsidRPr="00000F38">
              <w:rPr>
                <w:rFonts w:eastAsia="Times New Roman" w:cstheme="minorHAnsi"/>
                <w:b/>
                <w:bCs/>
                <w:color w:val="FFFFFF"/>
                <w:lang w:val="en-GB" w:eastAsia="en-GB"/>
              </w:rPr>
              <w:t>Rate (INR)</w:t>
            </w:r>
          </w:p>
        </w:tc>
        <w:tc>
          <w:tcPr>
            <w:tcW w:w="378" w:type="dxa"/>
            <w:tcBorders>
              <w:top w:val="nil"/>
              <w:left w:val="nil"/>
              <w:bottom w:val="single" w:sz="4" w:space="0" w:color="auto"/>
              <w:right w:val="single" w:sz="4" w:space="0" w:color="auto"/>
            </w:tcBorders>
            <w:shd w:val="clear" w:color="000000" w:fill="002060"/>
            <w:hideMark/>
          </w:tcPr>
          <w:p w14:paraId="539DB6AA" w14:textId="77777777" w:rsidR="00E50B6B" w:rsidRPr="00000F38" w:rsidRDefault="00E50B6B" w:rsidP="00E50B6B">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Total Amount   (INR)</w:t>
            </w:r>
          </w:p>
        </w:tc>
        <w:tc>
          <w:tcPr>
            <w:tcW w:w="408" w:type="dxa"/>
            <w:tcBorders>
              <w:top w:val="nil"/>
              <w:left w:val="nil"/>
              <w:bottom w:val="single" w:sz="4" w:space="0" w:color="auto"/>
              <w:right w:val="single" w:sz="4" w:space="0" w:color="auto"/>
            </w:tcBorders>
            <w:shd w:val="clear" w:color="000000" w:fill="002060"/>
            <w:hideMark/>
          </w:tcPr>
          <w:p w14:paraId="64758D2B" w14:textId="77777777" w:rsidR="00E50B6B" w:rsidRPr="00000F38" w:rsidRDefault="00E50B6B" w:rsidP="00E50B6B">
            <w:pPr>
              <w:spacing w:after="0" w:line="240" w:lineRule="auto"/>
              <w:rPr>
                <w:rFonts w:eastAsia="Times New Roman" w:cstheme="minorHAnsi"/>
                <w:b/>
                <w:bCs/>
                <w:color w:val="FFFFFF"/>
                <w:lang w:val="en-GB" w:eastAsia="en-GB"/>
              </w:rPr>
            </w:pPr>
            <w:r w:rsidRPr="00000F38">
              <w:rPr>
                <w:rFonts w:eastAsia="Times New Roman" w:cstheme="minorHAnsi"/>
                <w:b/>
                <w:bCs/>
                <w:color w:val="FFFFFF"/>
                <w:lang w:val="en-GB" w:eastAsia="en-GB"/>
              </w:rPr>
              <w:t>Quantity</w:t>
            </w:r>
          </w:p>
        </w:tc>
        <w:tc>
          <w:tcPr>
            <w:tcW w:w="248" w:type="dxa"/>
            <w:tcBorders>
              <w:top w:val="nil"/>
              <w:left w:val="nil"/>
              <w:bottom w:val="single" w:sz="4" w:space="0" w:color="auto"/>
              <w:right w:val="single" w:sz="4" w:space="0" w:color="auto"/>
            </w:tcBorders>
            <w:shd w:val="clear" w:color="000000" w:fill="002060"/>
            <w:hideMark/>
          </w:tcPr>
          <w:p w14:paraId="0CB59CAA" w14:textId="77777777" w:rsidR="00E50B6B" w:rsidRPr="00000F38" w:rsidRDefault="00E50B6B" w:rsidP="00E50B6B">
            <w:pPr>
              <w:spacing w:after="0" w:line="240" w:lineRule="auto"/>
              <w:rPr>
                <w:rFonts w:eastAsia="Times New Roman" w:cstheme="minorHAnsi"/>
                <w:b/>
                <w:bCs/>
                <w:color w:val="FFFFFF"/>
                <w:lang w:val="en-GB" w:eastAsia="en-GB"/>
              </w:rPr>
            </w:pPr>
            <w:r w:rsidRPr="00000F38">
              <w:rPr>
                <w:rFonts w:eastAsia="Times New Roman" w:cstheme="minorHAnsi"/>
                <w:b/>
                <w:bCs/>
                <w:color w:val="FFFFFF"/>
                <w:lang w:val="en-GB" w:eastAsia="en-GB"/>
              </w:rPr>
              <w:t>Rate (INR)</w:t>
            </w:r>
          </w:p>
        </w:tc>
        <w:tc>
          <w:tcPr>
            <w:tcW w:w="378" w:type="dxa"/>
            <w:tcBorders>
              <w:top w:val="nil"/>
              <w:left w:val="nil"/>
              <w:bottom w:val="single" w:sz="4" w:space="0" w:color="auto"/>
              <w:right w:val="single" w:sz="4" w:space="0" w:color="auto"/>
            </w:tcBorders>
            <w:shd w:val="clear" w:color="000000" w:fill="002060"/>
            <w:hideMark/>
          </w:tcPr>
          <w:p w14:paraId="2E47EAC5" w14:textId="77777777" w:rsidR="00E50B6B" w:rsidRPr="00000F38" w:rsidRDefault="00E50B6B" w:rsidP="00E50B6B">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Total Amount   (INR)</w:t>
            </w:r>
          </w:p>
        </w:tc>
        <w:tc>
          <w:tcPr>
            <w:tcW w:w="408" w:type="dxa"/>
            <w:tcBorders>
              <w:top w:val="nil"/>
              <w:left w:val="nil"/>
              <w:bottom w:val="single" w:sz="4" w:space="0" w:color="auto"/>
              <w:right w:val="single" w:sz="4" w:space="0" w:color="auto"/>
            </w:tcBorders>
            <w:shd w:val="clear" w:color="000000" w:fill="002060"/>
            <w:hideMark/>
          </w:tcPr>
          <w:p w14:paraId="18064636" w14:textId="77777777" w:rsidR="00E50B6B" w:rsidRPr="00000F38" w:rsidRDefault="00E50B6B" w:rsidP="00E50B6B">
            <w:pPr>
              <w:spacing w:after="0" w:line="240" w:lineRule="auto"/>
              <w:rPr>
                <w:rFonts w:eastAsia="Times New Roman" w:cstheme="minorHAnsi"/>
                <w:b/>
                <w:bCs/>
                <w:color w:val="FFFFFF"/>
                <w:lang w:val="en-GB" w:eastAsia="en-GB"/>
              </w:rPr>
            </w:pPr>
            <w:r w:rsidRPr="00000F38">
              <w:rPr>
                <w:rFonts w:eastAsia="Times New Roman" w:cstheme="minorHAnsi"/>
                <w:b/>
                <w:bCs/>
                <w:color w:val="FFFFFF"/>
                <w:lang w:val="en-GB" w:eastAsia="en-GB"/>
              </w:rPr>
              <w:t>Quantity</w:t>
            </w:r>
          </w:p>
        </w:tc>
        <w:tc>
          <w:tcPr>
            <w:tcW w:w="248" w:type="dxa"/>
            <w:tcBorders>
              <w:top w:val="nil"/>
              <w:left w:val="nil"/>
              <w:bottom w:val="single" w:sz="4" w:space="0" w:color="auto"/>
              <w:right w:val="single" w:sz="4" w:space="0" w:color="auto"/>
            </w:tcBorders>
            <w:shd w:val="clear" w:color="000000" w:fill="002060"/>
            <w:hideMark/>
          </w:tcPr>
          <w:p w14:paraId="43C03366" w14:textId="77777777" w:rsidR="00E50B6B" w:rsidRPr="00000F38" w:rsidRDefault="00E50B6B" w:rsidP="00E50B6B">
            <w:pPr>
              <w:spacing w:after="0" w:line="240" w:lineRule="auto"/>
              <w:rPr>
                <w:rFonts w:eastAsia="Times New Roman" w:cstheme="minorHAnsi"/>
                <w:b/>
                <w:bCs/>
                <w:color w:val="FFFFFF"/>
                <w:lang w:val="en-GB" w:eastAsia="en-GB"/>
              </w:rPr>
            </w:pPr>
            <w:r w:rsidRPr="00000F38">
              <w:rPr>
                <w:rFonts w:eastAsia="Times New Roman" w:cstheme="minorHAnsi"/>
                <w:b/>
                <w:bCs/>
                <w:color w:val="FFFFFF"/>
                <w:lang w:val="en-GB" w:eastAsia="en-GB"/>
              </w:rPr>
              <w:t>Rate (INR)</w:t>
            </w:r>
          </w:p>
        </w:tc>
        <w:tc>
          <w:tcPr>
            <w:tcW w:w="378" w:type="dxa"/>
            <w:tcBorders>
              <w:top w:val="nil"/>
              <w:left w:val="nil"/>
              <w:bottom w:val="single" w:sz="4" w:space="0" w:color="auto"/>
              <w:right w:val="single" w:sz="4" w:space="0" w:color="auto"/>
            </w:tcBorders>
            <w:shd w:val="clear" w:color="000000" w:fill="002060"/>
            <w:hideMark/>
          </w:tcPr>
          <w:p w14:paraId="3F80A938" w14:textId="77777777" w:rsidR="00E50B6B" w:rsidRPr="00000F38" w:rsidRDefault="00E50B6B" w:rsidP="00E50B6B">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Total Amount   (INR)</w:t>
            </w:r>
          </w:p>
        </w:tc>
        <w:tc>
          <w:tcPr>
            <w:tcW w:w="408" w:type="dxa"/>
            <w:tcBorders>
              <w:top w:val="nil"/>
              <w:left w:val="nil"/>
              <w:bottom w:val="single" w:sz="4" w:space="0" w:color="auto"/>
              <w:right w:val="single" w:sz="4" w:space="0" w:color="auto"/>
            </w:tcBorders>
            <w:shd w:val="clear" w:color="000000" w:fill="002060"/>
            <w:hideMark/>
          </w:tcPr>
          <w:p w14:paraId="45E8A907" w14:textId="77777777" w:rsidR="00E50B6B" w:rsidRPr="00000F38" w:rsidRDefault="00E50B6B" w:rsidP="00E50B6B">
            <w:pPr>
              <w:spacing w:after="0" w:line="240" w:lineRule="auto"/>
              <w:rPr>
                <w:rFonts w:eastAsia="Times New Roman" w:cstheme="minorHAnsi"/>
                <w:b/>
                <w:bCs/>
                <w:color w:val="FFFFFF"/>
                <w:lang w:val="en-GB" w:eastAsia="en-GB"/>
              </w:rPr>
            </w:pPr>
            <w:r w:rsidRPr="00000F38">
              <w:rPr>
                <w:rFonts w:eastAsia="Times New Roman" w:cstheme="minorHAnsi"/>
                <w:b/>
                <w:bCs/>
                <w:color w:val="FFFFFF"/>
                <w:lang w:val="en-GB" w:eastAsia="en-GB"/>
              </w:rPr>
              <w:t>Quantity</w:t>
            </w:r>
          </w:p>
        </w:tc>
        <w:tc>
          <w:tcPr>
            <w:tcW w:w="248" w:type="dxa"/>
            <w:tcBorders>
              <w:top w:val="nil"/>
              <w:left w:val="nil"/>
              <w:bottom w:val="single" w:sz="4" w:space="0" w:color="auto"/>
              <w:right w:val="single" w:sz="4" w:space="0" w:color="auto"/>
            </w:tcBorders>
            <w:shd w:val="clear" w:color="000000" w:fill="002060"/>
            <w:hideMark/>
          </w:tcPr>
          <w:p w14:paraId="09A949AA" w14:textId="77777777" w:rsidR="00E50B6B" w:rsidRPr="00000F38" w:rsidRDefault="00E50B6B" w:rsidP="00E50B6B">
            <w:pPr>
              <w:spacing w:after="0" w:line="240" w:lineRule="auto"/>
              <w:rPr>
                <w:rFonts w:eastAsia="Times New Roman" w:cstheme="minorHAnsi"/>
                <w:b/>
                <w:bCs/>
                <w:color w:val="FFFFFF"/>
                <w:lang w:val="en-GB" w:eastAsia="en-GB"/>
              </w:rPr>
            </w:pPr>
            <w:r w:rsidRPr="00000F38">
              <w:rPr>
                <w:rFonts w:eastAsia="Times New Roman" w:cstheme="minorHAnsi"/>
                <w:b/>
                <w:bCs/>
                <w:color w:val="FFFFFF"/>
                <w:lang w:val="en-GB" w:eastAsia="en-GB"/>
              </w:rPr>
              <w:t>Rate (INR)</w:t>
            </w:r>
          </w:p>
        </w:tc>
        <w:tc>
          <w:tcPr>
            <w:tcW w:w="378" w:type="dxa"/>
            <w:tcBorders>
              <w:top w:val="nil"/>
              <w:left w:val="nil"/>
              <w:bottom w:val="single" w:sz="4" w:space="0" w:color="auto"/>
              <w:right w:val="single" w:sz="4" w:space="0" w:color="auto"/>
            </w:tcBorders>
            <w:shd w:val="clear" w:color="000000" w:fill="002060"/>
            <w:hideMark/>
          </w:tcPr>
          <w:p w14:paraId="3E7BA340" w14:textId="77777777" w:rsidR="00E50B6B" w:rsidRPr="00000F38" w:rsidRDefault="00E50B6B" w:rsidP="00E50B6B">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Total Amount   (INR)</w:t>
            </w:r>
          </w:p>
        </w:tc>
        <w:tc>
          <w:tcPr>
            <w:tcW w:w="378" w:type="dxa"/>
            <w:tcBorders>
              <w:top w:val="nil"/>
              <w:left w:val="nil"/>
              <w:bottom w:val="single" w:sz="4" w:space="0" w:color="auto"/>
              <w:right w:val="single" w:sz="4" w:space="0" w:color="auto"/>
            </w:tcBorders>
            <w:shd w:val="clear" w:color="000000" w:fill="002060"/>
            <w:hideMark/>
          </w:tcPr>
          <w:p w14:paraId="28329356" w14:textId="77777777" w:rsidR="00E50B6B" w:rsidRPr="00000F38" w:rsidRDefault="00E50B6B" w:rsidP="00E50B6B">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Total Amount for 5 years (INR)</w:t>
            </w:r>
          </w:p>
        </w:tc>
      </w:tr>
      <w:tr w:rsidR="00E50B6B" w:rsidRPr="00000F38" w14:paraId="6A09DAB6" w14:textId="77777777" w:rsidTr="00E50B6B">
        <w:trPr>
          <w:trHeight w:val="255"/>
        </w:trPr>
        <w:tc>
          <w:tcPr>
            <w:tcW w:w="508" w:type="dxa"/>
            <w:tcBorders>
              <w:top w:val="nil"/>
              <w:left w:val="single" w:sz="4" w:space="0" w:color="auto"/>
              <w:bottom w:val="single" w:sz="4" w:space="0" w:color="auto"/>
              <w:right w:val="single" w:sz="4" w:space="0" w:color="auto"/>
            </w:tcBorders>
            <w:shd w:val="clear" w:color="auto" w:fill="auto"/>
            <w:hideMark/>
          </w:tcPr>
          <w:p w14:paraId="55ABEE38" w14:textId="77777777" w:rsidR="00E50B6B" w:rsidRPr="00000F38" w:rsidRDefault="00E50B6B" w:rsidP="00E50B6B">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lastRenderedPageBreak/>
              <w:t>1</w:t>
            </w:r>
          </w:p>
        </w:tc>
        <w:tc>
          <w:tcPr>
            <w:tcW w:w="2528" w:type="dxa"/>
            <w:tcBorders>
              <w:top w:val="nil"/>
              <w:left w:val="nil"/>
              <w:bottom w:val="single" w:sz="4" w:space="0" w:color="auto"/>
              <w:right w:val="single" w:sz="4" w:space="0" w:color="auto"/>
            </w:tcBorders>
            <w:shd w:val="clear" w:color="auto" w:fill="auto"/>
            <w:noWrap/>
            <w:vAlign w:val="center"/>
            <w:hideMark/>
          </w:tcPr>
          <w:p w14:paraId="3FDEB3E2" w14:textId="77777777" w:rsidR="00E50B6B" w:rsidRPr="00000F38" w:rsidRDefault="00E50B6B" w:rsidP="00E50B6B">
            <w:pPr>
              <w:spacing w:after="0" w:line="240" w:lineRule="auto"/>
              <w:jc w:val="both"/>
              <w:rPr>
                <w:rFonts w:eastAsia="Times New Roman" w:cstheme="minorHAnsi"/>
                <w:color w:val="000000"/>
                <w:lang w:val="en-GB" w:eastAsia="en-GB"/>
              </w:rPr>
            </w:pPr>
            <w:r w:rsidRPr="00000F38">
              <w:rPr>
                <w:rFonts w:eastAsia="Times New Roman" w:cstheme="minorHAnsi"/>
                <w:color w:val="000000"/>
                <w:lang w:val="en-GB" w:eastAsia="en-GB"/>
              </w:rPr>
              <w:t>Data Discovery &amp; Classification</w:t>
            </w:r>
          </w:p>
        </w:tc>
        <w:tc>
          <w:tcPr>
            <w:tcW w:w="443" w:type="dxa"/>
            <w:tcBorders>
              <w:top w:val="nil"/>
              <w:left w:val="nil"/>
              <w:bottom w:val="single" w:sz="4" w:space="0" w:color="auto"/>
              <w:right w:val="single" w:sz="4" w:space="0" w:color="auto"/>
            </w:tcBorders>
            <w:shd w:val="clear" w:color="auto" w:fill="auto"/>
            <w:hideMark/>
          </w:tcPr>
          <w:p w14:paraId="5DA7C143"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07" w:type="dxa"/>
            <w:tcBorders>
              <w:top w:val="nil"/>
              <w:left w:val="nil"/>
              <w:bottom w:val="single" w:sz="4" w:space="0" w:color="auto"/>
              <w:right w:val="single" w:sz="4" w:space="0" w:color="auto"/>
            </w:tcBorders>
            <w:shd w:val="clear" w:color="auto" w:fill="auto"/>
            <w:hideMark/>
          </w:tcPr>
          <w:p w14:paraId="07AE1138"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3BD737B5"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4A80F498"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clear" w:color="000000" w:fill="auto"/>
            <w:hideMark/>
          </w:tcPr>
          <w:p w14:paraId="50343CE4"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7F10D037"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4310C292"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clear" w:color="000000" w:fill="auto"/>
            <w:hideMark/>
          </w:tcPr>
          <w:p w14:paraId="750526CA"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61AE05B9"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6C1E6B3D"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pct50" w:color="000000" w:fill="auto"/>
            <w:hideMark/>
          </w:tcPr>
          <w:p w14:paraId="6604E59D"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pct50" w:color="000000" w:fill="auto"/>
            <w:hideMark/>
          </w:tcPr>
          <w:p w14:paraId="64E9ABF3"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pct50" w:color="000000" w:fill="auto"/>
            <w:hideMark/>
          </w:tcPr>
          <w:p w14:paraId="7376630A"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08" w:type="dxa"/>
            <w:tcBorders>
              <w:top w:val="nil"/>
              <w:left w:val="nil"/>
              <w:bottom w:val="single" w:sz="4" w:space="0" w:color="auto"/>
              <w:right w:val="single" w:sz="4" w:space="0" w:color="auto"/>
            </w:tcBorders>
            <w:shd w:val="pct50" w:color="000000" w:fill="auto"/>
            <w:hideMark/>
          </w:tcPr>
          <w:p w14:paraId="1FC267B4"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pct50" w:color="000000" w:fill="auto"/>
            <w:hideMark/>
          </w:tcPr>
          <w:p w14:paraId="00111B9E"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pct50" w:color="000000" w:fill="auto"/>
            <w:hideMark/>
          </w:tcPr>
          <w:p w14:paraId="2B5D2ADB"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clear" w:color="auto" w:fill="auto"/>
            <w:hideMark/>
          </w:tcPr>
          <w:p w14:paraId="3041DEB7"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E50B6B" w:rsidRPr="00000F38" w14:paraId="2D970E72" w14:textId="77777777" w:rsidTr="00E50B6B">
        <w:trPr>
          <w:trHeight w:val="255"/>
        </w:trPr>
        <w:tc>
          <w:tcPr>
            <w:tcW w:w="508" w:type="dxa"/>
            <w:tcBorders>
              <w:top w:val="nil"/>
              <w:left w:val="single" w:sz="4" w:space="0" w:color="auto"/>
              <w:bottom w:val="single" w:sz="4" w:space="0" w:color="auto"/>
              <w:right w:val="single" w:sz="4" w:space="0" w:color="auto"/>
            </w:tcBorders>
            <w:shd w:val="clear" w:color="auto" w:fill="auto"/>
            <w:hideMark/>
          </w:tcPr>
          <w:p w14:paraId="171855DB" w14:textId="77777777" w:rsidR="00E50B6B" w:rsidRPr="00000F38" w:rsidRDefault="00E50B6B" w:rsidP="00E50B6B">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2</w:t>
            </w:r>
          </w:p>
        </w:tc>
        <w:tc>
          <w:tcPr>
            <w:tcW w:w="2528" w:type="dxa"/>
            <w:tcBorders>
              <w:top w:val="nil"/>
              <w:left w:val="nil"/>
              <w:bottom w:val="single" w:sz="4" w:space="0" w:color="auto"/>
              <w:right w:val="single" w:sz="4" w:space="0" w:color="auto"/>
            </w:tcBorders>
            <w:shd w:val="clear" w:color="auto" w:fill="auto"/>
            <w:noWrap/>
            <w:vAlign w:val="center"/>
            <w:hideMark/>
          </w:tcPr>
          <w:p w14:paraId="1BA26EF4" w14:textId="77777777" w:rsidR="00E50B6B" w:rsidRPr="00000F38" w:rsidRDefault="00E50B6B" w:rsidP="00E50B6B">
            <w:pPr>
              <w:spacing w:after="0" w:line="240" w:lineRule="auto"/>
              <w:jc w:val="both"/>
              <w:rPr>
                <w:rFonts w:eastAsia="Times New Roman" w:cstheme="minorHAnsi"/>
                <w:color w:val="000000"/>
                <w:lang w:val="en-GB" w:eastAsia="en-GB"/>
              </w:rPr>
            </w:pPr>
            <w:r w:rsidRPr="00000F38">
              <w:rPr>
                <w:rFonts w:eastAsia="Times New Roman" w:cstheme="minorHAnsi"/>
                <w:color w:val="000000"/>
                <w:lang w:val="en-GB" w:eastAsia="en-GB"/>
              </w:rPr>
              <w:t>File Upload Security Solution</w:t>
            </w:r>
          </w:p>
        </w:tc>
        <w:tc>
          <w:tcPr>
            <w:tcW w:w="443" w:type="dxa"/>
            <w:tcBorders>
              <w:top w:val="nil"/>
              <w:left w:val="nil"/>
              <w:bottom w:val="single" w:sz="4" w:space="0" w:color="auto"/>
              <w:right w:val="single" w:sz="4" w:space="0" w:color="auto"/>
            </w:tcBorders>
            <w:shd w:val="clear" w:color="auto" w:fill="auto"/>
            <w:hideMark/>
          </w:tcPr>
          <w:p w14:paraId="4187498D"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07" w:type="dxa"/>
            <w:tcBorders>
              <w:top w:val="nil"/>
              <w:left w:val="nil"/>
              <w:bottom w:val="single" w:sz="4" w:space="0" w:color="auto"/>
              <w:right w:val="single" w:sz="4" w:space="0" w:color="auto"/>
            </w:tcBorders>
            <w:shd w:val="clear" w:color="auto" w:fill="auto"/>
            <w:hideMark/>
          </w:tcPr>
          <w:p w14:paraId="7E1D87ED"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4DF489E8"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395B5808"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clear" w:color="000000" w:fill="auto"/>
            <w:hideMark/>
          </w:tcPr>
          <w:p w14:paraId="004D0114"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252F0B66"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18D50533"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clear" w:color="000000" w:fill="auto"/>
            <w:hideMark/>
          </w:tcPr>
          <w:p w14:paraId="3F353FC8"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78DCB5B8"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46343A6C"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pct50" w:color="000000" w:fill="auto"/>
            <w:hideMark/>
          </w:tcPr>
          <w:p w14:paraId="5CB20E56"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pct50" w:color="000000" w:fill="auto"/>
            <w:hideMark/>
          </w:tcPr>
          <w:p w14:paraId="35DCCF8F"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pct50" w:color="000000" w:fill="auto"/>
            <w:hideMark/>
          </w:tcPr>
          <w:p w14:paraId="73138460"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08" w:type="dxa"/>
            <w:tcBorders>
              <w:top w:val="nil"/>
              <w:left w:val="nil"/>
              <w:bottom w:val="single" w:sz="4" w:space="0" w:color="auto"/>
              <w:right w:val="single" w:sz="4" w:space="0" w:color="auto"/>
            </w:tcBorders>
            <w:shd w:val="pct50" w:color="000000" w:fill="auto"/>
            <w:hideMark/>
          </w:tcPr>
          <w:p w14:paraId="4ECA5880"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pct50" w:color="000000" w:fill="auto"/>
            <w:hideMark/>
          </w:tcPr>
          <w:p w14:paraId="43B209A1"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pct50" w:color="000000" w:fill="auto"/>
            <w:hideMark/>
          </w:tcPr>
          <w:p w14:paraId="20284B3E"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clear" w:color="auto" w:fill="auto"/>
            <w:hideMark/>
          </w:tcPr>
          <w:p w14:paraId="44DB56A0"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E50B6B" w:rsidRPr="00000F38" w14:paraId="6585F14A" w14:textId="77777777" w:rsidTr="00E50B6B">
        <w:trPr>
          <w:trHeight w:val="255"/>
        </w:trPr>
        <w:tc>
          <w:tcPr>
            <w:tcW w:w="508" w:type="dxa"/>
            <w:tcBorders>
              <w:top w:val="nil"/>
              <w:left w:val="single" w:sz="4" w:space="0" w:color="auto"/>
              <w:bottom w:val="single" w:sz="4" w:space="0" w:color="auto"/>
              <w:right w:val="single" w:sz="4" w:space="0" w:color="auto"/>
            </w:tcBorders>
            <w:shd w:val="clear" w:color="auto" w:fill="auto"/>
            <w:hideMark/>
          </w:tcPr>
          <w:p w14:paraId="1711E87C" w14:textId="77777777" w:rsidR="00E50B6B" w:rsidRPr="00000F38" w:rsidRDefault="00E50B6B" w:rsidP="00E50B6B">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3</w:t>
            </w:r>
          </w:p>
        </w:tc>
        <w:tc>
          <w:tcPr>
            <w:tcW w:w="2528" w:type="dxa"/>
            <w:tcBorders>
              <w:top w:val="nil"/>
              <w:left w:val="nil"/>
              <w:bottom w:val="single" w:sz="4" w:space="0" w:color="auto"/>
              <w:right w:val="single" w:sz="4" w:space="0" w:color="auto"/>
            </w:tcBorders>
            <w:shd w:val="clear" w:color="auto" w:fill="auto"/>
            <w:noWrap/>
            <w:vAlign w:val="center"/>
            <w:hideMark/>
          </w:tcPr>
          <w:p w14:paraId="251091F3" w14:textId="77777777" w:rsidR="00E50B6B" w:rsidRPr="00000F38" w:rsidRDefault="00E50B6B" w:rsidP="00E50B6B">
            <w:pPr>
              <w:spacing w:after="0" w:line="240" w:lineRule="auto"/>
              <w:jc w:val="both"/>
              <w:rPr>
                <w:rFonts w:eastAsia="Times New Roman" w:cstheme="minorHAnsi"/>
                <w:color w:val="000000"/>
                <w:lang w:val="en-GB" w:eastAsia="en-GB"/>
              </w:rPr>
            </w:pPr>
            <w:r w:rsidRPr="00000F38">
              <w:rPr>
                <w:rFonts w:eastAsia="Times New Roman" w:cstheme="minorHAnsi"/>
                <w:color w:val="000000"/>
                <w:lang w:val="en-GB" w:eastAsia="en-GB"/>
              </w:rPr>
              <w:t>Attack Surface Management (ASM)</w:t>
            </w:r>
          </w:p>
        </w:tc>
        <w:tc>
          <w:tcPr>
            <w:tcW w:w="443" w:type="dxa"/>
            <w:tcBorders>
              <w:top w:val="nil"/>
              <w:left w:val="nil"/>
              <w:bottom w:val="single" w:sz="4" w:space="0" w:color="auto"/>
              <w:right w:val="single" w:sz="4" w:space="0" w:color="auto"/>
            </w:tcBorders>
            <w:shd w:val="clear" w:color="auto" w:fill="auto"/>
            <w:hideMark/>
          </w:tcPr>
          <w:p w14:paraId="07BBD3E6"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07" w:type="dxa"/>
            <w:tcBorders>
              <w:top w:val="nil"/>
              <w:left w:val="nil"/>
              <w:bottom w:val="single" w:sz="4" w:space="0" w:color="auto"/>
              <w:right w:val="single" w:sz="4" w:space="0" w:color="auto"/>
            </w:tcBorders>
            <w:shd w:val="clear" w:color="auto" w:fill="auto"/>
            <w:hideMark/>
          </w:tcPr>
          <w:p w14:paraId="4BBCD002"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2584B212"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6EB0321B"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clear" w:color="000000" w:fill="auto"/>
            <w:hideMark/>
          </w:tcPr>
          <w:p w14:paraId="787F2047"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40064857"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4C1217E2"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clear" w:color="000000" w:fill="auto"/>
            <w:hideMark/>
          </w:tcPr>
          <w:p w14:paraId="6D2B109E"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28295D3C"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55EA868F"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pct50" w:color="000000" w:fill="auto"/>
            <w:hideMark/>
          </w:tcPr>
          <w:p w14:paraId="21390BE5"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pct50" w:color="000000" w:fill="auto"/>
            <w:hideMark/>
          </w:tcPr>
          <w:p w14:paraId="248A11E8"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pct50" w:color="000000" w:fill="auto"/>
            <w:hideMark/>
          </w:tcPr>
          <w:p w14:paraId="5FDDB038"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08" w:type="dxa"/>
            <w:tcBorders>
              <w:top w:val="nil"/>
              <w:left w:val="nil"/>
              <w:bottom w:val="single" w:sz="4" w:space="0" w:color="auto"/>
              <w:right w:val="single" w:sz="4" w:space="0" w:color="auto"/>
            </w:tcBorders>
            <w:shd w:val="pct50" w:color="000000" w:fill="auto"/>
            <w:hideMark/>
          </w:tcPr>
          <w:p w14:paraId="56BE445C"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pct50" w:color="000000" w:fill="auto"/>
            <w:hideMark/>
          </w:tcPr>
          <w:p w14:paraId="5C516C77"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pct50" w:color="000000" w:fill="auto"/>
            <w:hideMark/>
          </w:tcPr>
          <w:p w14:paraId="3ABAF26A"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clear" w:color="auto" w:fill="auto"/>
            <w:hideMark/>
          </w:tcPr>
          <w:p w14:paraId="30F2968A"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E50B6B" w:rsidRPr="00000F38" w14:paraId="6554CF74" w14:textId="77777777" w:rsidTr="00E50B6B">
        <w:trPr>
          <w:trHeight w:val="510"/>
        </w:trPr>
        <w:tc>
          <w:tcPr>
            <w:tcW w:w="508" w:type="dxa"/>
            <w:tcBorders>
              <w:top w:val="nil"/>
              <w:left w:val="single" w:sz="4" w:space="0" w:color="auto"/>
              <w:bottom w:val="single" w:sz="4" w:space="0" w:color="auto"/>
              <w:right w:val="single" w:sz="4" w:space="0" w:color="auto"/>
            </w:tcBorders>
            <w:shd w:val="clear" w:color="auto" w:fill="auto"/>
            <w:hideMark/>
          </w:tcPr>
          <w:p w14:paraId="5E8696D2" w14:textId="77777777" w:rsidR="00E50B6B" w:rsidRPr="00000F38" w:rsidRDefault="00E50B6B" w:rsidP="00E50B6B">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4</w:t>
            </w:r>
          </w:p>
        </w:tc>
        <w:tc>
          <w:tcPr>
            <w:tcW w:w="2528" w:type="dxa"/>
            <w:tcBorders>
              <w:top w:val="nil"/>
              <w:left w:val="nil"/>
              <w:bottom w:val="single" w:sz="4" w:space="0" w:color="auto"/>
              <w:right w:val="single" w:sz="4" w:space="0" w:color="auto"/>
            </w:tcBorders>
            <w:shd w:val="clear" w:color="auto" w:fill="auto"/>
            <w:noWrap/>
            <w:vAlign w:val="center"/>
            <w:hideMark/>
          </w:tcPr>
          <w:p w14:paraId="6C54E88D" w14:textId="77777777" w:rsidR="00E50B6B" w:rsidRPr="00000F38" w:rsidRDefault="00E50B6B" w:rsidP="00E50B6B">
            <w:pPr>
              <w:spacing w:after="0" w:line="240" w:lineRule="auto"/>
              <w:jc w:val="both"/>
              <w:rPr>
                <w:rFonts w:eastAsia="Times New Roman" w:cstheme="minorHAnsi"/>
                <w:color w:val="000000"/>
                <w:lang w:val="en-GB" w:eastAsia="en-GB"/>
              </w:rPr>
            </w:pPr>
            <w:r w:rsidRPr="00000F38">
              <w:rPr>
                <w:rFonts w:eastAsia="Times New Roman" w:cstheme="minorHAnsi"/>
                <w:color w:val="000000"/>
                <w:lang w:val="en-GB" w:eastAsia="en-GB"/>
              </w:rPr>
              <w:t>Breach and Attack Simulation (BAS) with Red Team Solution</w:t>
            </w:r>
          </w:p>
        </w:tc>
        <w:tc>
          <w:tcPr>
            <w:tcW w:w="443" w:type="dxa"/>
            <w:tcBorders>
              <w:top w:val="nil"/>
              <w:left w:val="nil"/>
              <w:bottom w:val="single" w:sz="4" w:space="0" w:color="auto"/>
              <w:right w:val="single" w:sz="4" w:space="0" w:color="auto"/>
            </w:tcBorders>
            <w:shd w:val="clear" w:color="auto" w:fill="auto"/>
            <w:hideMark/>
          </w:tcPr>
          <w:p w14:paraId="106A6981"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07" w:type="dxa"/>
            <w:tcBorders>
              <w:top w:val="nil"/>
              <w:left w:val="nil"/>
              <w:bottom w:val="single" w:sz="4" w:space="0" w:color="auto"/>
              <w:right w:val="single" w:sz="4" w:space="0" w:color="auto"/>
            </w:tcBorders>
            <w:shd w:val="clear" w:color="auto" w:fill="auto"/>
            <w:hideMark/>
          </w:tcPr>
          <w:p w14:paraId="5D5E2C24"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00D0365A"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4EC1C2EE"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clear" w:color="000000" w:fill="auto"/>
            <w:hideMark/>
          </w:tcPr>
          <w:p w14:paraId="7A60130E"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52C7E949"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5A4D7042"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clear" w:color="000000" w:fill="auto"/>
            <w:hideMark/>
          </w:tcPr>
          <w:p w14:paraId="67D86C8A"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74C8DECB"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59180AD4"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pct50" w:color="000000" w:fill="auto"/>
            <w:hideMark/>
          </w:tcPr>
          <w:p w14:paraId="0A64553D"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pct50" w:color="000000" w:fill="auto"/>
            <w:hideMark/>
          </w:tcPr>
          <w:p w14:paraId="4626C00E"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pct50" w:color="000000" w:fill="auto"/>
            <w:hideMark/>
          </w:tcPr>
          <w:p w14:paraId="57A2AA15"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08" w:type="dxa"/>
            <w:tcBorders>
              <w:top w:val="nil"/>
              <w:left w:val="nil"/>
              <w:bottom w:val="single" w:sz="4" w:space="0" w:color="auto"/>
              <w:right w:val="single" w:sz="4" w:space="0" w:color="auto"/>
            </w:tcBorders>
            <w:shd w:val="pct50" w:color="000000" w:fill="auto"/>
            <w:hideMark/>
          </w:tcPr>
          <w:p w14:paraId="1663CF08"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pct50" w:color="000000" w:fill="auto"/>
            <w:hideMark/>
          </w:tcPr>
          <w:p w14:paraId="0E0A32DC"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pct50" w:color="000000" w:fill="auto"/>
            <w:hideMark/>
          </w:tcPr>
          <w:p w14:paraId="384DEA4E"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clear" w:color="auto" w:fill="auto"/>
            <w:hideMark/>
          </w:tcPr>
          <w:p w14:paraId="202277A6"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E50B6B" w:rsidRPr="00000F38" w14:paraId="2FCBD7D7" w14:textId="77777777" w:rsidTr="00E50B6B">
        <w:trPr>
          <w:trHeight w:val="255"/>
        </w:trPr>
        <w:tc>
          <w:tcPr>
            <w:tcW w:w="508" w:type="dxa"/>
            <w:tcBorders>
              <w:top w:val="nil"/>
              <w:left w:val="single" w:sz="4" w:space="0" w:color="auto"/>
              <w:bottom w:val="single" w:sz="4" w:space="0" w:color="auto"/>
              <w:right w:val="single" w:sz="4" w:space="0" w:color="auto"/>
            </w:tcBorders>
            <w:shd w:val="clear" w:color="auto" w:fill="auto"/>
            <w:hideMark/>
          </w:tcPr>
          <w:p w14:paraId="01A77F2B" w14:textId="77777777" w:rsidR="00E50B6B" w:rsidRPr="00000F38" w:rsidRDefault="00E50B6B" w:rsidP="00E50B6B">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5</w:t>
            </w:r>
          </w:p>
        </w:tc>
        <w:tc>
          <w:tcPr>
            <w:tcW w:w="2528" w:type="dxa"/>
            <w:tcBorders>
              <w:top w:val="nil"/>
              <w:left w:val="nil"/>
              <w:bottom w:val="single" w:sz="4" w:space="0" w:color="auto"/>
              <w:right w:val="single" w:sz="4" w:space="0" w:color="auto"/>
            </w:tcBorders>
            <w:shd w:val="clear" w:color="auto" w:fill="auto"/>
            <w:noWrap/>
            <w:vAlign w:val="center"/>
            <w:hideMark/>
          </w:tcPr>
          <w:p w14:paraId="11C648ED" w14:textId="77777777" w:rsidR="00E50B6B" w:rsidRPr="00000F38" w:rsidRDefault="00E50B6B" w:rsidP="00E50B6B">
            <w:pPr>
              <w:spacing w:after="0" w:line="240" w:lineRule="auto"/>
              <w:jc w:val="both"/>
              <w:rPr>
                <w:rFonts w:eastAsia="Times New Roman" w:cstheme="minorHAnsi"/>
                <w:color w:val="000000"/>
                <w:lang w:val="en-GB" w:eastAsia="en-GB"/>
              </w:rPr>
            </w:pPr>
            <w:r w:rsidRPr="00000F38">
              <w:rPr>
                <w:rFonts w:eastAsia="Times New Roman" w:cstheme="minorHAnsi"/>
                <w:color w:val="000000"/>
                <w:lang w:val="en-GB" w:eastAsia="en-GB"/>
              </w:rPr>
              <w:t>Phishing Simulation</w:t>
            </w:r>
          </w:p>
        </w:tc>
        <w:tc>
          <w:tcPr>
            <w:tcW w:w="443" w:type="dxa"/>
            <w:tcBorders>
              <w:top w:val="nil"/>
              <w:left w:val="nil"/>
              <w:bottom w:val="single" w:sz="4" w:space="0" w:color="auto"/>
              <w:right w:val="single" w:sz="4" w:space="0" w:color="auto"/>
            </w:tcBorders>
            <w:shd w:val="clear" w:color="auto" w:fill="auto"/>
            <w:hideMark/>
          </w:tcPr>
          <w:p w14:paraId="7EE85754"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07" w:type="dxa"/>
            <w:tcBorders>
              <w:top w:val="nil"/>
              <w:left w:val="nil"/>
              <w:bottom w:val="single" w:sz="4" w:space="0" w:color="auto"/>
              <w:right w:val="single" w:sz="4" w:space="0" w:color="auto"/>
            </w:tcBorders>
            <w:shd w:val="clear" w:color="auto" w:fill="auto"/>
            <w:hideMark/>
          </w:tcPr>
          <w:p w14:paraId="326B35CD"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55FBDA81"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39FA6952"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clear" w:color="000000" w:fill="auto"/>
            <w:hideMark/>
          </w:tcPr>
          <w:p w14:paraId="56A73C30"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68BCEFA0"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3341C66F"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clear" w:color="000000" w:fill="auto"/>
            <w:hideMark/>
          </w:tcPr>
          <w:p w14:paraId="7D666D15"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5D73B9E2"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3BAF0BA9"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pct50" w:color="000000" w:fill="auto"/>
            <w:hideMark/>
          </w:tcPr>
          <w:p w14:paraId="455F3633"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pct50" w:color="000000" w:fill="auto"/>
            <w:hideMark/>
          </w:tcPr>
          <w:p w14:paraId="70AF1A44"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pct50" w:color="000000" w:fill="auto"/>
            <w:hideMark/>
          </w:tcPr>
          <w:p w14:paraId="088F9772"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08" w:type="dxa"/>
            <w:tcBorders>
              <w:top w:val="nil"/>
              <w:left w:val="nil"/>
              <w:bottom w:val="single" w:sz="4" w:space="0" w:color="auto"/>
              <w:right w:val="single" w:sz="4" w:space="0" w:color="auto"/>
            </w:tcBorders>
            <w:shd w:val="pct50" w:color="000000" w:fill="auto"/>
            <w:hideMark/>
          </w:tcPr>
          <w:p w14:paraId="07B1A3E5"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pct50" w:color="000000" w:fill="auto"/>
            <w:hideMark/>
          </w:tcPr>
          <w:p w14:paraId="44E93380"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pct50" w:color="000000" w:fill="auto"/>
            <w:hideMark/>
          </w:tcPr>
          <w:p w14:paraId="41698EE4"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clear" w:color="auto" w:fill="auto"/>
            <w:hideMark/>
          </w:tcPr>
          <w:p w14:paraId="099B8F0F"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E50B6B" w:rsidRPr="00000F38" w14:paraId="69C21979" w14:textId="77777777" w:rsidTr="00E50B6B">
        <w:trPr>
          <w:trHeight w:val="255"/>
        </w:trPr>
        <w:tc>
          <w:tcPr>
            <w:tcW w:w="508" w:type="dxa"/>
            <w:tcBorders>
              <w:top w:val="nil"/>
              <w:left w:val="single" w:sz="4" w:space="0" w:color="auto"/>
              <w:bottom w:val="single" w:sz="4" w:space="0" w:color="auto"/>
              <w:right w:val="single" w:sz="4" w:space="0" w:color="auto"/>
            </w:tcBorders>
            <w:shd w:val="clear" w:color="auto" w:fill="auto"/>
            <w:hideMark/>
          </w:tcPr>
          <w:p w14:paraId="3A241F15" w14:textId="77777777" w:rsidR="00E50B6B" w:rsidRPr="00000F38" w:rsidRDefault="00E50B6B" w:rsidP="00E50B6B">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6</w:t>
            </w:r>
          </w:p>
        </w:tc>
        <w:tc>
          <w:tcPr>
            <w:tcW w:w="2528" w:type="dxa"/>
            <w:tcBorders>
              <w:top w:val="nil"/>
              <w:left w:val="nil"/>
              <w:bottom w:val="single" w:sz="4" w:space="0" w:color="auto"/>
              <w:right w:val="single" w:sz="4" w:space="0" w:color="auto"/>
            </w:tcBorders>
            <w:shd w:val="clear" w:color="auto" w:fill="auto"/>
            <w:noWrap/>
            <w:vAlign w:val="center"/>
            <w:hideMark/>
          </w:tcPr>
          <w:p w14:paraId="16C94984" w14:textId="77777777" w:rsidR="00E50B6B" w:rsidRPr="00000F38" w:rsidRDefault="00E50B6B" w:rsidP="00E50B6B">
            <w:pPr>
              <w:spacing w:after="0" w:line="240" w:lineRule="auto"/>
              <w:jc w:val="both"/>
              <w:rPr>
                <w:rFonts w:eastAsia="Times New Roman" w:cstheme="minorHAnsi"/>
                <w:color w:val="000000"/>
                <w:lang w:val="en-GB" w:eastAsia="en-GB"/>
              </w:rPr>
            </w:pPr>
            <w:r w:rsidRPr="00000F38">
              <w:rPr>
                <w:rFonts w:eastAsia="Times New Roman" w:cstheme="minorHAnsi"/>
                <w:color w:val="000000"/>
                <w:lang w:val="en-GB" w:eastAsia="en-GB"/>
              </w:rPr>
              <w:t>AD Security</w:t>
            </w:r>
          </w:p>
        </w:tc>
        <w:tc>
          <w:tcPr>
            <w:tcW w:w="443" w:type="dxa"/>
            <w:tcBorders>
              <w:top w:val="nil"/>
              <w:left w:val="nil"/>
              <w:bottom w:val="single" w:sz="4" w:space="0" w:color="auto"/>
              <w:right w:val="single" w:sz="4" w:space="0" w:color="auto"/>
            </w:tcBorders>
            <w:shd w:val="clear" w:color="auto" w:fill="auto"/>
            <w:hideMark/>
          </w:tcPr>
          <w:p w14:paraId="4315FB1C"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07" w:type="dxa"/>
            <w:tcBorders>
              <w:top w:val="nil"/>
              <w:left w:val="nil"/>
              <w:bottom w:val="single" w:sz="4" w:space="0" w:color="auto"/>
              <w:right w:val="single" w:sz="4" w:space="0" w:color="auto"/>
            </w:tcBorders>
            <w:shd w:val="clear" w:color="auto" w:fill="auto"/>
            <w:hideMark/>
          </w:tcPr>
          <w:p w14:paraId="3D4F36D1"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22F6BB02"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6E70EF5A"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clear" w:color="000000" w:fill="auto"/>
            <w:hideMark/>
          </w:tcPr>
          <w:p w14:paraId="7D9B2F4D"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4572947C"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57B72818"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clear" w:color="000000" w:fill="auto"/>
            <w:hideMark/>
          </w:tcPr>
          <w:p w14:paraId="288A12C3"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53FE87D9"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66AE74D5"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pct50" w:color="000000" w:fill="auto"/>
            <w:hideMark/>
          </w:tcPr>
          <w:p w14:paraId="4DC509E3"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pct50" w:color="000000" w:fill="auto"/>
            <w:hideMark/>
          </w:tcPr>
          <w:p w14:paraId="1B1922A2"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pct50" w:color="000000" w:fill="auto"/>
            <w:hideMark/>
          </w:tcPr>
          <w:p w14:paraId="2E525A2C"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08" w:type="dxa"/>
            <w:tcBorders>
              <w:top w:val="nil"/>
              <w:left w:val="nil"/>
              <w:bottom w:val="single" w:sz="4" w:space="0" w:color="auto"/>
              <w:right w:val="single" w:sz="4" w:space="0" w:color="auto"/>
            </w:tcBorders>
            <w:shd w:val="pct50" w:color="000000" w:fill="auto"/>
            <w:hideMark/>
          </w:tcPr>
          <w:p w14:paraId="285A221A"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pct50" w:color="000000" w:fill="auto"/>
            <w:hideMark/>
          </w:tcPr>
          <w:p w14:paraId="24DB0A4D"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pct50" w:color="000000" w:fill="auto"/>
            <w:hideMark/>
          </w:tcPr>
          <w:p w14:paraId="0226F110"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clear" w:color="auto" w:fill="auto"/>
            <w:hideMark/>
          </w:tcPr>
          <w:p w14:paraId="2AFA920F"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E50B6B" w:rsidRPr="00000F38" w14:paraId="2A24D122" w14:textId="77777777" w:rsidTr="00E50B6B">
        <w:trPr>
          <w:trHeight w:val="255"/>
        </w:trPr>
        <w:tc>
          <w:tcPr>
            <w:tcW w:w="508" w:type="dxa"/>
            <w:tcBorders>
              <w:top w:val="nil"/>
              <w:left w:val="single" w:sz="4" w:space="0" w:color="auto"/>
              <w:bottom w:val="single" w:sz="4" w:space="0" w:color="auto"/>
              <w:right w:val="single" w:sz="4" w:space="0" w:color="auto"/>
            </w:tcBorders>
            <w:shd w:val="clear" w:color="auto" w:fill="auto"/>
            <w:hideMark/>
          </w:tcPr>
          <w:p w14:paraId="56582780" w14:textId="77777777" w:rsidR="00E50B6B" w:rsidRPr="00000F38" w:rsidRDefault="00E50B6B" w:rsidP="00E50B6B">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7</w:t>
            </w:r>
          </w:p>
        </w:tc>
        <w:tc>
          <w:tcPr>
            <w:tcW w:w="2528" w:type="dxa"/>
            <w:tcBorders>
              <w:top w:val="nil"/>
              <w:left w:val="nil"/>
              <w:bottom w:val="single" w:sz="4" w:space="0" w:color="auto"/>
              <w:right w:val="single" w:sz="4" w:space="0" w:color="auto"/>
            </w:tcBorders>
            <w:shd w:val="clear" w:color="auto" w:fill="auto"/>
            <w:noWrap/>
            <w:vAlign w:val="center"/>
            <w:hideMark/>
          </w:tcPr>
          <w:p w14:paraId="0EF02C99" w14:textId="77777777" w:rsidR="00E50B6B" w:rsidRPr="00000F38" w:rsidRDefault="00E50B6B" w:rsidP="00E50B6B">
            <w:pPr>
              <w:spacing w:after="0" w:line="240" w:lineRule="auto"/>
              <w:jc w:val="both"/>
              <w:rPr>
                <w:rFonts w:eastAsia="Times New Roman" w:cstheme="minorHAnsi"/>
                <w:color w:val="000000"/>
                <w:lang w:val="en-GB" w:eastAsia="en-GB"/>
              </w:rPr>
            </w:pPr>
            <w:r w:rsidRPr="00000F38">
              <w:rPr>
                <w:rFonts w:eastAsia="Times New Roman" w:cstheme="minorHAnsi"/>
                <w:color w:val="000000"/>
                <w:lang w:val="en-GB" w:eastAsia="en-GB"/>
              </w:rPr>
              <w:t>Governance, Risk and Compliance</w:t>
            </w:r>
          </w:p>
        </w:tc>
        <w:tc>
          <w:tcPr>
            <w:tcW w:w="443" w:type="dxa"/>
            <w:tcBorders>
              <w:top w:val="nil"/>
              <w:left w:val="nil"/>
              <w:bottom w:val="single" w:sz="4" w:space="0" w:color="auto"/>
              <w:right w:val="single" w:sz="4" w:space="0" w:color="auto"/>
            </w:tcBorders>
            <w:shd w:val="clear" w:color="auto" w:fill="auto"/>
            <w:hideMark/>
          </w:tcPr>
          <w:p w14:paraId="2EEBADEB"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07" w:type="dxa"/>
            <w:tcBorders>
              <w:top w:val="nil"/>
              <w:left w:val="nil"/>
              <w:bottom w:val="single" w:sz="4" w:space="0" w:color="auto"/>
              <w:right w:val="single" w:sz="4" w:space="0" w:color="auto"/>
            </w:tcBorders>
            <w:shd w:val="clear" w:color="auto" w:fill="auto"/>
            <w:hideMark/>
          </w:tcPr>
          <w:p w14:paraId="227BDD06"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04DB020E"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60EA8284"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clear" w:color="000000" w:fill="auto"/>
            <w:hideMark/>
          </w:tcPr>
          <w:p w14:paraId="1F9DDAF8"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05E62DD8"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6A797176"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clear" w:color="000000" w:fill="auto"/>
            <w:hideMark/>
          </w:tcPr>
          <w:p w14:paraId="5002AC55"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119A2B5F"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627EA3F7"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pct50" w:color="000000" w:fill="auto"/>
            <w:hideMark/>
          </w:tcPr>
          <w:p w14:paraId="2F652D5F"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pct50" w:color="000000" w:fill="auto"/>
            <w:hideMark/>
          </w:tcPr>
          <w:p w14:paraId="578A6BE7"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pct50" w:color="000000" w:fill="auto"/>
            <w:hideMark/>
          </w:tcPr>
          <w:p w14:paraId="745A6750"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08" w:type="dxa"/>
            <w:tcBorders>
              <w:top w:val="nil"/>
              <w:left w:val="nil"/>
              <w:bottom w:val="single" w:sz="4" w:space="0" w:color="auto"/>
              <w:right w:val="single" w:sz="4" w:space="0" w:color="auto"/>
            </w:tcBorders>
            <w:shd w:val="pct50" w:color="000000" w:fill="auto"/>
            <w:hideMark/>
          </w:tcPr>
          <w:p w14:paraId="4B3A6591"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pct50" w:color="000000" w:fill="auto"/>
            <w:hideMark/>
          </w:tcPr>
          <w:p w14:paraId="1A574F1C"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pct50" w:color="000000" w:fill="auto"/>
            <w:hideMark/>
          </w:tcPr>
          <w:p w14:paraId="22829A13"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clear" w:color="auto" w:fill="auto"/>
            <w:hideMark/>
          </w:tcPr>
          <w:p w14:paraId="075D8786"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E50B6B" w:rsidRPr="00000F38" w14:paraId="6B2F5272" w14:textId="77777777" w:rsidTr="00E50B6B">
        <w:trPr>
          <w:trHeight w:val="255"/>
        </w:trPr>
        <w:tc>
          <w:tcPr>
            <w:tcW w:w="508" w:type="dxa"/>
            <w:tcBorders>
              <w:top w:val="nil"/>
              <w:left w:val="single" w:sz="4" w:space="0" w:color="auto"/>
              <w:bottom w:val="single" w:sz="4" w:space="0" w:color="auto"/>
              <w:right w:val="single" w:sz="4" w:space="0" w:color="auto"/>
            </w:tcBorders>
            <w:shd w:val="clear" w:color="auto" w:fill="auto"/>
            <w:hideMark/>
          </w:tcPr>
          <w:p w14:paraId="6177DAB1" w14:textId="77777777" w:rsidR="00E50B6B" w:rsidRPr="00000F38" w:rsidRDefault="00E50B6B" w:rsidP="00E50B6B">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8</w:t>
            </w:r>
          </w:p>
        </w:tc>
        <w:tc>
          <w:tcPr>
            <w:tcW w:w="2528" w:type="dxa"/>
            <w:tcBorders>
              <w:top w:val="nil"/>
              <w:left w:val="nil"/>
              <w:bottom w:val="single" w:sz="4" w:space="0" w:color="auto"/>
              <w:right w:val="single" w:sz="4" w:space="0" w:color="auto"/>
            </w:tcBorders>
            <w:shd w:val="clear" w:color="auto" w:fill="auto"/>
            <w:noWrap/>
            <w:vAlign w:val="center"/>
            <w:hideMark/>
          </w:tcPr>
          <w:p w14:paraId="4E0DB43B" w14:textId="77777777" w:rsidR="00E50B6B" w:rsidRPr="00000F38" w:rsidRDefault="00E50B6B" w:rsidP="00E50B6B">
            <w:pPr>
              <w:spacing w:after="0" w:line="240" w:lineRule="auto"/>
              <w:jc w:val="both"/>
              <w:rPr>
                <w:rFonts w:eastAsia="Times New Roman" w:cstheme="minorHAnsi"/>
                <w:color w:val="000000"/>
                <w:lang w:val="en-GB" w:eastAsia="en-GB"/>
              </w:rPr>
            </w:pPr>
            <w:r w:rsidRPr="00000F38">
              <w:rPr>
                <w:rFonts w:eastAsia="Times New Roman" w:cstheme="minorHAnsi"/>
                <w:color w:val="000000"/>
                <w:lang w:val="en-GB" w:eastAsia="en-GB"/>
              </w:rPr>
              <w:t>Decoy (Honeypot)</w:t>
            </w:r>
          </w:p>
        </w:tc>
        <w:tc>
          <w:tcPr>
            <w:tcW w:w="443" w:type="dxa"/>
            <w:tcBorders>
              <w:top w:val="nil"/>
              <w:left w:val="nil"/>
              <w:bottom w:val="single" w:sz="4" w:space="0" w:color="auto"/>
              <w:right w:val="single" w:sz="4" w:space="0" w:color="auto"/>
            </w:tcBorders>
            <w:shd w:val="clear" w:color="auto" w:fill="auto"/>
            <w:hideMark/>
          </w:tcPr>
          <w:p w14:paraId="7EC825E7"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07" w:type="dxa"/>
            <w:tcBorders>
              <w:top w:val="nil"/>
              <w:left w:val="nil"/>
              <w:bottom w:val="single" w:sz="4" w:space="0" w:color="auto"/>
              <w:right w:val="single" w:sz="4" w:space="0" w:color="auto"/>
            </w:tcBorders>
            <w:shd w:val="clear" w:color="auto" w:fill="auto"/>
            <w:hideMark/>
          </w:tcPr>
          <w:p w14:paraId="5F631364"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76EBC28F"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4D93E2FB"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clear" w:color="000000" w:fill="auto"/>
            <w:hideMark/>
          </w:tcPr>
          <w:p w14:paraId="3D779AEA"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307ED3C8"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0C8F7228"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clear" w:color="000000" w:fill="auto"/>
            <w:hideMark/>
          </w:tcPr>
          <w:p w14:paraId="761B1B7B"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08FA2B4F"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005C1F4A"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pct50" w:color="000000" w:fill="auto"/>
            <w:hideMark/>
          </w:tcPr>
          <w:p w14:paraId="69290617"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pct50" w:color="000000" w:fill="auto"/>
            <w:hideMark/>
          </w:tcPr>
          <w:p w14:paraId="65DB80A3"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pct50" w:color="000000" w:fill="auto"/>
            <w:hideMark/>
          </w:tcPr>
          <w:p w14:paraId="30E2E51A"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08" w:type="dxa"/>
            <w:tcBorders>
              <w:top w:val="nil"/>
              <w:left w:val="nil"/>
              <w:bottom w:val="single" w:sz="4" w:space="0" w:color="auto"/>
              <w:right w:val="single" w:sz="4" w:space="0" w:color="auto"/>
            </w:tcBorders>
            <w:shd w:val="pct50" w:color="000000" w:fill="auto"/>
            <w:hideMark/>
          </w:tcPr>
          <w:p w14:paraId="0B7BE1E7"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pct50" w:color="000000" w:fill="auto"/>
            <w:hideMark/>
          </w:tcPr>
          <w:p w14:paraId="2A960B06"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pct50" w:color="000000" w:fill="auto"/>
            <w:hideMark/>
          </w:tcPr>
          <w:p w14:paraId="5931B02F"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clear" w:color="auto" w:fill="auto"/>
            <w:hideMark/>
          </w:tcPr>
          <w:p w14:paraId="6240CE18"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E50B6B" w:rsidRPr="00000F38" w14:paraId="64F5CFDC" w14:textId="77777777" w:rsidTr="00E50B6B">
        <w:trPr>
          <w:trHeight w:val="255"/>
        </w:trPr>
        <w:tc>
          <w:tcPr>
            <w:tcW w:w="508" w:type="dxa"/>
            <w:tcBorders>
              <w:top w:val="nil"/>
              <w:left w:val="single" w:sz="4" w:space="0" w:color="auto"/>
              <w:bottom w:val="single" w:sz="4" w:space="0" w:color="auto"/>
              <w:right w:val="single" w:sz="4" w:space="0" w:color="auto"/>
            </w:tcBorders>
            <w:shd w:val="clear" w:color="auto" w:fill="auto"/>
            <w:hideMark/>
          </w:tcPr>
          <w:p w14:paraId="117AD68E" w14:textId="77777777" w:rsidR="00E50B6B" w:rsidRPr="00000F38" w:rsidRDefault="00E50B6B" w:rsidP="00E50B6B">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9</w:t>
            </w:r>
          </w:p>
        </w:tc>
        <w:tc>
          <w:tcPr>
            <w:tcW w:w="2528" w:type="dxa"/>
            <w:tcBorders>
              <w:top w:val="nil"/>
              <w:left w:val="nil"/>
              <w:bottom w:val="single" w:sz="4" w:space="0" w:color="auto"/>
              <w:right w:val="single" w:sz="4" w:space="0" w:color="auto"/>
            </w:tcBorders>
            <w:shd w:val="clear" w:color="auto" w:fill="auto"/>
            <w:noWrap/>
            <w:vAlign w:val="center"/>
            <w:hideMark/>
          </w:tcPr>
          <w:p w14:paraId="3085B1DF" w14:textId="77777777" w:rsidR="00E50B6B" w:rsidRPr="00000F38" w:rsidRDefault="00E50B6B" w:rsidP="00E50B6B">
            <w:pPr>
              <w:spacing w:after="0" w:line="240" w:lineRule="auto"/>
              <w:jc w:val="both"/>
              <w:rPr>
                <w:rFonts w:eastAsia="Times New Roman" w:cstheme="minorHAnsi"/>
                <w:color w:val="000000"/>
                <w:lang w:val="en-GB" w:eastAsia="en-GB"/>
              </w:rPr>
            </w:pPr>
            <w:r w:rsidRPr="00000F38">
              <w:rPr>
                <w:rFonts w:eastAsia="Times New Roman" w:cstheme="minorHAnsi"/>
                <w:color w:val="000000"/>
                <w:lang w:val="en-GB" w:eastAsia="en-GB"/>
              </w:rPr>
              <w:t>Mobile Device Management</w:t>
            </w:r>
          </w:p>
        </w:tc>
        <w:tc>
          <w:tcPr>
            <w:tcW w:w="443" w:type="dxa"/>
            <w:tcBorders>
              <w:top w:val="nil"/>
              <w:left w:val="nil"/>
              <w:bottom w:val="single" w:sz="4" w:space="0" w:color="auto"/>
              <w:right w:val="single" w:sz="4" w:space="0" w:color="auto"/>
            </w:tcBorders>
            <w:shd w:val="clear" w:color="auto" w:fill="auto"/>
            <w:hideMark/>
          </w:tcPr>
          <w:p w14:paraId="140578E7"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07" w:type="dxa"/>
            <w:tcBorders>
              <w:top w:val="nil"/>
              <w:left w:val="nil"/>
              <w:bottom w:val="single" w:sz="4" w:space="0" w:color="auto"/>
              <w:right w:val="single" w:sz="4" w:space="0" w:color="auto"/>
            </w:tcBorders>
            <w:shd w:val="clear" w:color="auto" w:fill="auto"/>
            <w:hideMark/>
          </w:tcPr>
          <w:p w14:paraId="30FBF4EF"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4CF04572"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38A51156"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clear" w:color="000000" w:fill="auto"/>
            <w:hideMark/>
          </w:tcPr>
          <w:p w14:paraId="2F96F1CD"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4CC70BFB"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0B23731B"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clear" w:color="000000" w:fill="auto"/>
            <w:hideMark/>
          </w:tcPr>
          <w:p w14:paraId="6A037AE5"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228E83DA"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506501CF"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pct50" w:color="000000" w:fill="auto"/>
            <w:hideMark/>
          </w:tcPr>
          <w:p w14:paraId="4E034434"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pct50" w:color="000000" w:fill="auto"/>
            <w:hideMark/>
          </w:tcPr>
          <w:p w14:paraId="6E5C6F35"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pct50" w:color="000000" w:fill="auto"/>
            <w:hideMark/>
          </w:tcPr>
          <w:p w14:paraId="6B2328CE"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08" w:type="dxa"/>
            <w:tcBorders>
              <w:top w:val="nil"/>
              <w:left w:val="nil"/>
              <w:bottom w:val="single" w:sz="4" w:space="0" w:color="auto"/>
              <w:right w:val="single" w:sz="4" w:space="0" w:color="auto"/>
            </w:tcBorders>
            <w:shd w:val="pct50" w:color="000000" w:fill="auto"/>
            <w:hideMark/>
          </w:tcPr>
          <w:p w14:paraId="3EE15E0C"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pct50" w:color="000000" w:fill="auto"/>
            <w:hideMark/>
          </w:tcPr>
          <w:p w14:paraId="66E1CBE6"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pct50" w:color="000000" w:fill="auto"/>
            <w:hideMark/>
          </w:tcPr>
          <w:p w14:paraId="7F5812B7"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clear" w:color="auto" w:fill="auto"/>
            <w:hideMark/>
          </w:tcPr>
          <w:p w14:paraId="70D2E05A"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E50B6B" w:rsidRPr="00000F38" w14:paraId="49F746D6" w14:textId="77777777" w:rsidTr="00E50B6B">
        <w:trPr>
          <w:trHeight w:val="510"/>
        </w:trPr>
        <w:tc>
          <w:tcPr>
            <w:tcW w:w="508" w:type="dxa"/>
            <w:tcBorders>
              <w:top w:val="nil"/>
              <w:left w:val="single" w:sz="4" w:space="0" w:color="auto"/>
              <w:bottom w:val="single" w:sz="4" w:space="0" w:color="auto"/>
              <w:right w:val="single" w:sz="4" w:space="0" w:color="auto"/>
            </w:tcBorders>
            <w:shd w:val="clear" w:color="auto" w:fill="auto"/>
            <w:hideMark/>
          </w:tcPr>
          <w:p w14:paraId="45340BCE" w14:textId="77777777" w:rsidR="00E50B6B" w:rsidRPr="00000F38" w:rsidRDefault="00E50B6B" w:rsidP="00E50B6B">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10</w:t>
            </w:r>
          </w:p>
        </w:tc>
        <w:tc>
          <w:tcPr>
            <w:tcW w:w="2528" w:type="dxa"/>
            <w:tcBorders>
              <w:top w:val="nil"/>
              <w:left w:val="nil"/>
              <w:bottom w:val="single" w:sz="4" w:space="0" w:color="auto"/>
              <w:right w:val="single" w:sz="4" w:space="0" w:color="auto"/>
            </w:tcBorders>
            <w:shd w:val="clear" w:color="auto" w:fill="auto"/>
            <w:noWrap/>
            <w:vAlign w:val="center"/>
            <w:hideMark/>
          </w:tcPr>
          <w:p w14:paraId="78B5B25A" w14:textId="77777777" w:rsidR="00E50B6B" w:rsidRPr="00000F38" w:rsidRDefault="00E50B6B" w:rsidP="00E50B6B">
            <w:pPr>
              <w:spacing w:after="0" w:line="240" w:lineRule="auto"/>
              <w:jc w:val="both"/>
              <w:rPr>
                <w:rFonts w:eastAsia="Times New Roman" w:cstheme="minorHAnsi"/>
                <w:color w:val="000000"/>
                <w:lang w:val="en-GB" w:eastAsia="en-GB"/>
              </w:rPr>
            </w:pPr>
            <w:r w:rsidRPr="00000F38">
              <w:rPr>
                <w:rFonts w:eastAsia="Times New Roman" w:cstheme="minorHAnsi"/>
                <w:color w:val="000000"/>
                <w:lang w:val="en-GB" w:eastAsia="en-GB"/>
              </w:rPr>
              <w:t>Secure Data Backup and Recovery (Ransomware Solution)</w:t>
            </w:r>
          </w:p>
        </w:tc>
        <w:tc>
          <w:tcPr>
            <w:tcW w:w="443" w:type="dxa"/>
            <w:tcBorders>
              <w:top w:val="nil"/>
              <w:left w:val="nil"/>
              <w:bottom w:val="single" w:sz="4" w:space="0" w:color="auto"/>
              <w:right w:val="single" w:sz="4" w:space="0" w:color="auto"/>
            </w:tcBorders>
            <w:shd w:val="clear" w:color="auto" w:fill="auto"/>
            <w:hideMark/>
          </w:tcPr>
          <w:p w14:paraId="6D8822B3"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07" w:type="dxa"/>
            <w:tcBorders>
              <w:top w:val="nil"/>
              <w:left w:val="nil"/>
              <w:bottom w:val="single" w:sz="4" w:space="0" w:color="auto"/>
              <w:right w:val="single" w:sz="4" w:space="0" w:color="auto"/>
            </w:tcBorders>
            <w:shd w:val="clear" w:color="auto" w:fill="auto"/>
            <w:hideMark/>
          </w:tcPr>
          <w:p w14:paraId="1AA81E8C"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3EA89B87"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65636C7F"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clear" w:color="000000" w:fill="auto"/>
            <w:hideMark/>
          </w:tcPr>
          <w:p w14:paraId="324637E7"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4ADB64BF"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5DB4C655"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clear" w:color="000000" w:fill="auto"/>
            <w:hideMark/>
          </w:tcPr>
          <w:p w14:paraId="7B2987A3"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0345737A"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1A6BBB28"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pct50" w:color="000000" w:fill="auto"/>
            <w:hideMark/>
          </w:tcPr>
          <w:p w14:paraId="31F7AAFA"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pct50" w:color="000000" w:fill="auto"/>
            <w:hideMark/>
          </w:tcPr>
          <w:p w14:paraId="05670134"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pct50" w:color="000000" w:fill="auto"/>
            <w:hideMark/>
          </w:tcPr>
          <w:p w14:paraId="5BA5ED33"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08" w:type="dxa"/>
            <w:tcBorders>
              <w:top w:val="nil"/>
              <w:left w:val="nil"/>
              <w:bottom w:val="single" w:sz="4" w:space="0" w:color="auto"/>
              <w:right w:val="single" w:sz="4" w:space="0" w:color="auto"/>
            </w:tcBorders>
            <w:shd w:val="pct50" w:color="000000" w:fill="auto"/>
            <w:hideMark/>
          </w:tcPr>
          <w:p w14:paraId="0789980B"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pct50" w:color="000000" w:fill="auto"/>
            <w:hideMark/>
          </w:tcPr>
          <w:p w14:paraId="449AA1A8"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pct50" w:color="000000" w:fill="auto"/>
            <w:hideMark/>
          </w:tcPr>
          <w:p w14:paraId="7B3884B1"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clear" w:color="auto" w:fill="auto"/>
            <w:hideMark/>
          </w:tcPr>
          <w:p w14:paraId="42477243"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E50B6B" w:rsidRPr="00000F38" w14:paraId="31F9132C" w14:textId="77777777" w:rsidTr="00E50B6B">
        <w:trPr>
          <w:trHeight w:val="255"/>
        </w:trPr>
        <w:tc>
          <w:tcPr>
            <w:tcW w:w="508" w:type="dxa"/>
            <w:tcBorders>
              <w:top w:val="nil"/>
              <w:left w:val="single" w:sz="4" w:space="0" w:color="auto"/>
              <w:bottom w:val="single" w:sz="4" w:space="0" w:color="auto"/>
              <w:right w:val="single" w:sz="4" w:space="0" w:color="auto"/>
            </w:tcBorders>
            <w:shd w:val="clear" w:color="auto" w:fill="auto"/>
            <w:hideMark/>
          </w:tcPr>
          <w:p w14:paraId="2E65590F" w14:textId="77777777" w:rsidR="00E50B6B" w:rsidRPr="00000F38" w:rsidRDefault="00E50B6B" w:rsidP="00E50B6B">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11</w:t>
            </w:r>
          </w:p>
        </w:tc>
        <w:tc>
          <w:tcPr>
            <w:tcW w:w="2528" w:type="dxa"/>
            <w:tcBorders>
              <w:top w:val="nil"/>
              <w:left w:val="nil"/>
              <w:bottom w:val="single" w:sz="4" w:space="0" w:color="auto"/>
              <w:right w:val="single" w:sz="4" w:space="0" w:color="auto"/>
            </w:tcBorders>
            <w:shd w:val="clear" w:color="auto" w:fill="auto"/>
            <w:noWrap/>
            <w:vAlign w:val="center"/>
            <w:hideMark/>
          </w:tcPr>
          <w:p w14:paraId="01165BB6" w14:textId="77777777" w:rsidR="00E50B6B" w:rsidRPr="00000F38" w:rsidRDefault="00E50B6B" w:rsidP="00E50B6B">
            <w:pPr>
              <w:spacing w:after="0" w:line="240" w:lineRule="auto"/>
              <w:jc w:val="both"/>
              <w:rPr>
                <w:rFonts w:eastAsia="Times New Roman" w:cstheme="minorHAnsi"/>
                <w:color w:val="000000"/>
                <w:lang w:val="en-GB" w:eastAsia="en-GB"/>
              </w:rPr>
            </w:pPr>
            <w:r w:rsidRPr="00000F38">
              <w:rPr>
                <w:rFonts w:eastAsia="Times New Roman" w:cstheme="minorHAnsi"/>
                <w:color w:val="000000"/>
                <w:lang w:val="en-GB" w:eastAsia="en-GB"/>
              </w:rPr>
              <w:t>Network Access Control (NAC)</w:t>
            </w:r>
          </w:p>
        </w:tc>
        <w:tc>
          <w:tcPr>
            <w:tcW w:w="443" w:type="dxa"/>
            <w:tcBorders>
              <w:top w:val="nil"/>
              <w:left w:val="nil"/>
              <w:bottom w:val="single" w:sz="4" w:space="0" w:color="auto"/>
              <w:right w:val="single" w:sz="4" w:space="0" w:color="auto"/>
            </w:tcBorders>
            <w:shd w:val="clear" w:color="auto" w:fill="auto"/>
            <w:hideMark/>
          </w:tcPr>
          <w:p w14:paraId="51C8FEA0"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07" w:type="dxa"/>
            <w:tcBorders>
              <w:top w:val="nil"/>
              <w:left w:val="nil"/>
              <w:bottom w:val="single" w:sz="4" w:space="0" w:color="auto"/>
              <w:right w:val="single" w:sz="4" w:space="0" w:color="auto"/>
            </w:tcBorders>
            <w:shd w:val="clear" w:color="auto" w:fill="auto"/>
            <w:hideMark/>
          </w:tcPr>
          <w:p w14:paraId="26DD3218"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0ED78C3A"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7E2B47D0"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clear" w:color="000000" w:fill="auto"/>
            <w:hideMark/>
          </w:tcPr>
          <w:p w14:paraId="5D6EDFFC"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0193B645"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1AC421E0"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clear" w:color="000000" w:fill="auto"/>
            <w:hideMark/>
          </w:tcPr>
          <w:p w14:paraId="715459AD"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4C013C3E"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6670F874"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pct50" w:color="000000" w:fill="auto"/>
            <w:hideMark/>
          </w:tcPr>
          <w:p w14:paraId="16F8637E"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pct50" w:color="000000" w:fill="auto"/>
            <w:hideMark/>
          </w:tcPr>
          <w:p w14:paraId="520D9B16"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pct50" w:color="000000" w:fill="auto"/>
            <w:hideMark/>
          </w:tcPr>
          <w:p w14:paraId="6F036B50"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08" w:type="dxa"/>
            <w:tcBorders>
              <w:top w:val="nil"/>
              <w:left w:val="nil"/>
              <w:bottom w:val="single" w:sz="4" w:space="0" w:color="auto"/>
              <w:right w:val="single" w:sz="4" w:space="0" w:color="auto"/>
            </w:tcBorders>
            <w:shd w:val="pct50" w:color="000000" w:fill="auto"/>
            <w:hideMark/>
          </w:tcPr>
          <w:p w14:paraId="7138D179"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pct50" w:color="000000" w:fill="auto"/>
            <w:hideMark/>
          </w:tcPr>
          <w:p w14:paraId="2BC90113"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pct50" w:color="000000" w:fill="auto"/>
            <w:hideMark/>
          </w:tcPr>
          <w:p w14:paraId="593B01F4"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clear" w:color="auto" w:fill="auto"/>
            <w:hideMark/>
          </w:tcPr>
          <w:p w14:paraId="47C6D57E"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E50B6B" w:rsidRPr="00000F38" w14:paraId="70A6736C" w14:textId="77777777" w:rsidTr="00E50B6B">
        <w:trPr>
          <w:trHeight w:val="255"/>
        </w:trPr>
        <w:tc>
          <w:tcPr>
            <w:tcW w:w="508" w:type="dxa"/>
            <w:tcBorders>
              <w:top w:val="nil"/>
              <w:left w:val="single" w:sz="4" w:space="0" w:color="auto"/>
              <w:bottom w:val="single" w:sz="4" w:space="0" w:color="auto"/>
              <w:right w:val="single" w:sz="4" w:space="0" w:color="auto"/>
            </w:tcBorders>
            <w:shd w:val="clear" w:color="auto" w:fill="auto"/>
            <w:hideMark/>
          </w:tcPr>
          <w:p w14:paraId="3B615501" w14:textId="77777777" w:rsidR="00E50B6B" w:rsidRPr="00000F38" w:rsidRDefault="00E50B6B" w:rsidP="00E50B6B">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2528" w:type="dxa"/>
            <w:tcBorders>
              <w:top w:val="nil"/>
              <w:left w:val="nil"/>
              <w:bottom w:val="single" w:sz="4" w:space="0" w:color="auto"/>
              <w:right w:val="single" w:sz="4" w:space="0" w:color="auto"/>
            </w:tcBorders>
            <w:shd w:val="clear" w:color="auto" w:fill="auto"/>
            <w:hideMark/>
          </w:tcPr>
          <w:p w14:paraId="2006CEEC"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43" w:type="dxa"/>
            <w:tcBorders>
              <w:top w:val="nil"/>
              <w:left w:val="nil"/>
              <w:bottom w:val="single" w:sz="4" w:space="0" w:color="auto"/>
              <w:right w:val="single" w:sz="4" w:space="0" w:color="auto"/>
            </w:tcBorders>
            <w:shd w:val="clear" w:color="auto" w:fill="auto"/>
            <w:hideMark/>
          </w:tcPr>
          <w:p w14:paraId="403CF91E"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07" w:type="dxa"/>
            <w:tcBorders>
              <w:top w:val="nil"/>
              <w:left w:val="nil"/>
              <w:bottom w:val="single" w:sz="4" w:space="0" w:color="auto"/>
              <w:right w:val="single" w:sz="4" w:space="0" w:color="auto"/>
            </w:tcBorders>
            <w:shd w:val="clear" w:color="auto" w:fill="auto"/>
            <w:hideMark/>
          </w:tcPr>
          <w:p w14:paraId="7E2DD560"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3F5FD024"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78" w:type="dxa"/>
            <w:tcBorders>
              <w:top w:val="nil"/>
              <w:left w:val="nil"/>
              <w:bottom w:val="single" w:sz="4" w:space="0" w:color="auto"/>
              <w:right w:val="single" w:sz="4" w:space="0" w:color="auto"/>
            </w:tcBorders>
            <w:shd w:val="clear" w:color="auto" w:fill="auto"/>
            <w:hideMark/>
          </w:tcPr>
          <w:p w14:paraId="59C0D01D"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08" w:type="dxa"/>
            <w:tcBorders>
              <w:top w:val="nil"/>
              <w:left w:val="nil"/>
              <w:bottom w:val="single" w:sz="4" w:space="0" w:color="auto"/>
              <w:right w:val="single" w:sz="4" w:space="0" w:color="auto"/>
            </w:tcBorders>
            <w:shd w:val="clear" w:color="000000" w:fill="auto"/>
            <w:hideMark/>
          </w:tcPr>
          <w:p w14:paraId="54FCDCF9"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000000" w:fill="auto"/>
            <w:hideMark/>
          </w:tcPr>
          <w:p w14:paraId="03B620A4"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78" w:type="dxa"/>
            <w:tcBorders>
              <w:top w:val="nil"/>
              <w:left w:val="nil"/>
              <w:bottom w:val="single" w:sz="4" w:space="0" w:color="auto"/>
              <w:right w:val="single" w:sz="4" w:space="0" w:color="auto"/>
            </w:tcBorders>
            <w:shd w:val="clear" w:color="000000" w:fill="auto"/>
            <w:hideMark/>
          </w:tcPr>
          <w:p w14:paraId="7D0EE16E"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08" w:type="dxa"/>
            <w:tcBorders>
              <w:top w:val="nil"/>
              <w:left w:val="nil"/>
              <w:bottom w:val="single" w:sz="4" w:space="0" w:color="auto"/>
              <w:right w:val="single" w:sz="4" w:space="0" w:color="auto"/>
            </w:tcBorders>
            <w:shd w:val="clear" w:color="000000" w:fill="auto"/>
            <w:hideMark/>
          </w:tcPr>
          <w:p w14:paraId="3EEB3F75"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000000" w:fill="auto"/>
            <w:hideMark/>
          </w:tcPr>
          <w:p w14:paraId="61EE4724"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78" w:type="dxa"/>
            <w:tcBorders>
              <w:top w:val="nil"/>
              <w:left w:val="nil"/>
              <w:bottom w:val="single" w:sz="4" w:space="0" w:color="auto"/>
              <w:right w:val="single" w:sz="4" w:space="0" w:color="auto"/>
            </w:tcBorders>
            <w:shd w:val="clear" w:color="000000" w:fill="auto"/>
            <w:hideMark/>
          </w:tcPr>
          <w:p w14:paraId="0D2C0F8A"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08" w:type="dxa"/>
            <w:tcBorders>
              <w:top w:val="nil"/>
              <w:left w:val="nil"/>
              <w:bottom w:val="single" w:sz="4" w:space="0" w:color="auto"/>
              <w:right w:val="single" w:sz="4" w:space="0" w:color="auto"/>
            </w:tcBorders>
            <w:shd w:val="pct50" w:color="000000" w:fill="auto"/>
            <w:hideMark/>
          </w:tcPr>
          <w:p w14:paraId="6E5CE457"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pct50" w:color="000000" w:fill="auto"/>
            <w:hideMark/>
          </w:tcPr>
          <w:p w14:paraId="7CB0DB2F"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pct50" w:color="000000" w:fill="auto"/>
            <w:hideMark/>
          </w:tcPr>
          <w:p w14:paraId="27D58466"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08" w:type="dxa"/>
            <w:tcBorders>
              <w:top w:val="nil"/>
              <w:left w:val="nil"/>
              <w:bottom w:val="single" w:sz="4" w:space="0" w:color="auto"/>
              <w:right w:val="single" w:sz="4" w:space="0" w:color="auto"/>
            </w:tcBorders>
            <w:shd w:val="pct50" w:color="000000" w:fill="auto"/>
            <w:hideMark/>
          </w:tcPr>
          <w:p w14:paraId="45450D4E"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pct50" w:color="000000" w:fill="auto"/>
            <w:hideMark/>
          </w:tcPr>
          <w:p w14:paraId="051C316C"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pct50" w:color="000000" w:fill="auto"/>
            <w:hideMark/>
          </w:tcPr>
          <w:p w14:paraId="25A0A5AC"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clear" w:color="auto" w:fill="auto"/>
            <w:hideMark/>
          </w:tcPr>
          <w:p w14:paraId="1F007C1F"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r>
      <w:tr w:rsidR="00E50B6B" w:rsidRPr="00000F38" w14:paraId="2BCB16D6" w14:textId="77777777" w:rsidTr="00E50B6B">
        <w:trPr>
          <w:trHeight w:val="255"/>
        </w:trPr>
        <w:tc>
          <w:tcPr>
            <w:tcW w:w="508" w:type="dxa"/>
            <w:tcBorders>
              <w:top w:val="nil"/>
              <w:left w:val="single" w:sz="4" w:space="0" w:color="auto"/>
              <w:bottom w:val="single" w:sz="4" w:space="0" w:color="auto"/>
              <w:right w:val="single" w:sz="4" w:space="0" w:color="auto"/>
            </w:tcBorders>
            <w:shd w:val="clear" w:color="auto" w:fill="auto"/>
            <w:hideMark/>
          </w:tcPr>
          <w:p w14:paraId="3CA6DEFC" w14:textId="77777777" w:rsidR="00E50B6B" w:rsidRPr="00000F38" w:rsidRDefault="00E50B6B" w:rsidP="00E50B6B">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2528" w:type="dxa"/>
            <w:tcBorders>
              <w:top w:val="nil"/>
              <w:left w:val="nil"/>
              <w:bottom w:val="single" w:sz="4" w:space="0" w:color="auto"/>
              <w:right w:val="single" w:sz="4" w:space="0" w:color="auto"/>
            </w:tcBorders>
            <w:shd w:val="clear" w:color="auto" w:fill="auto"/>
            <w:hideMark/>
          </w:tcPr>
          <w:p w14:paraId="68C540FC"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Any Other (Please specify)</w:t>
            </w:r>
          </w:p>
        </w:tc>
        <w:tc>
          <w:tcPr>
            <w:tcW w:w="443" w:type="dxa"/>
            <w:tcBorders>
              <w:top w:val="nil"/>
              <w:left w:val="nil"/>
              <w:bottom w:val="single" w:sz="4" w:space="0" w:color="auto"/>
              <w:right w:val="single" w:sz="4" w:space="0" w:color="auto"/>
            </w:tcBorders>
            <w:shd w:val="clear" w:color="auto" w:fill="auto"/>
            <w:hideMark/>
          </w:tcPr>
          <w:p w14:paraId="725B02C6"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07" w:type="dxa"/>
            <w:tcBorders>
              <w:top w:val="nil"/>
              <w:left w:val="nil"/>
              <w:bottom w:val="single" w:sz="4" w:space="0" w:color="auto"/>
              <w:right w:val="single" w:sz="4" w:space="0" w:color="auto"/>
            </w:tcBorders>
            <w:shd w:val="clear" w:color="auto" w:fill="auto"/>
            <w:hideMark/>
          </w:tcPr>
          <w:p w14:paraId="2886501B"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43BBDE1F"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19451B96"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clear" w:color="000000" w:fill="auto"/>
            <w:hideMark/>
          </w:tcPr>
          <w:p w14:paraId="0B40188C"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34FA582D"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03157B5C"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clear" w:color="000000" w:fill="auto"/>
            <w:hideMark/>
          </w:tcPr>
          <w:p w14:paraId="6A2A370F"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708F34F5"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40EF8B2C"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pct50" w:color="000000" w:fill="auto"/>
            <w:hideMark/>
          </w:tcPr>
          <w:p w14:paraId="40BAEDAD"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pct50" w:color="000000" w:fill="auto"/>
            <w:hideMark/>
          </w:tcPr>
          <w:p w14:paraId="5E3CE5C1"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pct50" w:color="000000" w:fill="auto"/>
            <w:hideMark/>
          </w:tcPr>
          <w:p w14:paraId="61470A22"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08" w:type="dxa"/>
            <w:tcBorders>
              <w:top w:val="nil"/>
              <w:left w:val="nil"/>
              <w:bottom w:val="single" w:sz="4" w:space="0" w:color="auto"/>
              <w:right w:val="single" w:sz="4" w:space="0" w:color="auto"/>
            </w:tcBorders>
            <w:shd w:val="pct50" w:color="000000" w:fill="auto"/>
            <w:hideMark/>
          </w:tcPr>
          <w:p w14:paraId="7D5C9F34"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pct50" w:color="000000" w:fill="auto"/>
            <w:hideMark/>
          </w:tcPr>
          <w:p w14:paraId="65547A76"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pct50" w:color="000000" w:fill="auto"/>
            <w:hideMark/>
          </w:tcPr>
          <w:p w14:paraId="74EAE259"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clear" w:color="auto" w:fill="auto"/>
            <w:hideMark/>
          </w:tcPr>
          <w:p w14:paraId="71FA563B"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E50B6B" w:rsidRPr="00000F38" w14:paraId="7C7B103D" w14:textId="77777777" w:rsidTr="00E50B6B">
        <w:trPr>
          <w:trHeight w:val="255"/>
        </w:trPr>
        <w:tc>
          <w:tcPr>
            <w:tcW w:w="508" w:type="dxa"/>
            <w:tcBorders>
              <w:top w:val="nil"/>
              <w:left w:val="single" w:sz="4" w:space="0" w:color="auto"/>
              <w:bottom w:val="single" w:sz="4" w:space="0" w:color="auto"/>
              <w:right w:val="single" w:sz="4" w:space="0" w:color="auto"/>
            </w:tcBorders>
            <w:shd w:val="clear" w:color="auto" w:fill="auto"/>
            <w:hideMark/>
          </w:tcPr>
          <w:p w14:paraId="2937DDE5" w14:textId="77777777" w:rsidR="00E50B6B" w:rsidRPr="00000F38" w:rsidRDefault="00E50B6B" w:rsidP="00E50B6B">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lastRenderedPageBreak/>
              <w:t> </w:t>
            </w:r>
          </w:p>
        </w:tc>
        <w:tc>
          <w:tcPr>
            <w:tcW w:w="2528" w:type="dxa"/>
            <w:tcBorders>
              <w:top w:val="nil"/>
              <w:left w:val="nil"/>
              <w:bottom w:val="single" w:sz="4" w:space="0" w:color="auto"/>
              <w:right w:val="single" w:sz="4" w:space="0" w:color="auto"/>
            </w:tcBorders>
            <w:shd w:val="clear" w:color="auto" w:fill="auto"/>
            <w:hideMark/>
          </w:tcPr>
          <w:p w14:paraId="5F485EF9"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Any Other (Please specify)</w:t>
            </w:r>
          </w:p>
        </w:tc>
        <w:tc>
          <w:tcPr>
            <w:tcW w:w="443" w:type="dxa"/>
            <w:tcBorders>
              <w:top w:val="nil"/>
              <w:left w:val="nil"/>
              <w:bottom w:val="single" w:sz="4" w:space="0" w:color="auto"/>
              <w:right w:val="single" w:sz="4" w:space="0" w:color="auto"/>
            </w:tcBorders>
            <w:shd w:val="clear" w:color="auto" w:fill="auto"/>
            <w:hideMark/>
          </w:tcPr>
          <w:p w14:paraId="76706CEA"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07" w:type="dxa"/>
            <w:tcBorders>
              <w:top w:val="nil"/>
              <w:left w:val="nil"/>
              <w:bottom w:val="single" w:sz="4" w:space="0" w:color="auto"/>
              <w:right w:val="single" w:sz="4" w:space="0" w:color="auto"/>
            </w:tcBorders>
            <w:shd w:val="clear" w:color="auto" w:fill="auto"/>
            <w:hideMark/>
          </w:tcPr>
          <w:p w14:paraId="520F53E1"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3111B6C8"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0F9DDA8B"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clear" w:color="000000" w:fill="auto"/>
            <w:hideMark/>
          </w:tcPr>
          <w:p w14:paraId="35D5CFB4"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668DF19F"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6E7B5AAB"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clear" w:color="000000" w:fill="auto"/>
            <w:hideMark/>
          </w:tcPr>
          <w:p w14:paraId="0D524045"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27784B25"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378" w:type="dxa"/>
            <w:tcBorders>
              <w:top w:val="nil"/>
              <w:left w:val="nil"/>
              <w:bottom w:val="single" w:sz="4" w:space="0" w:color="auto"/>
              <w:right w:val="single" w:sz="4" w:space="0" w:color="auto"/>
            </w:tcBorders>
            <w:shd w:val="clear" w:color="auto" w:fill="auto"/>
            <w:hideMark/>
          </w:tcPr>
          <w:p w14:paraId="4CE78722" w14:textId="77777777" w:rsidR="00E50B6B" w:rsidRPr="00000F38" w:rsidRDefault="00E50B6B" w:rsidP="00E50B6B">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408" w:type="dxa"/>
            <w:tcBorders>
              <w:top w:val="nil"/>
              <w:left w:val="nil"/>
              <w:bottom w:val="single" w:sz="4" w:space="0" w:color="auto"/>
              <w:right w:val="single" w:sz="4" w:space="0" w:color="auto"/>
            </w:tcBorders>
            <w:shd w:val="pct50" w:color="000000" w:fill="auto"/>
            <w:hideMark/>
          </w:tcPr>
          <w:p w14:paraId="69380222"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pct50" w:color="000000" w:fill="auto"/>
            <w:hideMark/>
          </w:tcPr>
          <w:p w14:paraId="24B6C9F0"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pct50" w:color="000000" w:fill="auto"/>
            <w:hideMark/>
          </w:tcPr>
          <w:p w14:paraId="136DD222"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08" w:type="dxa"/>
            <w:tcBorders>
              <w:top w:val="nil"/>
              <w:left w:val="nil"/>
              <w:bottom w:val="single" w:sz="4" w:space="0" w:color="auto"/>
              <w:right w:val="single" w:sz="4" w:space="0" w:color="auto"/>
            </w:tcBorders>
            <w:shd w:val="pct50" w:color="000000" w:fill="auto"/>
            <w:hideMark/>
          </w:tcPr>
          <w:p w14:paraId="772322F0"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pct50" w:color="000000" w:fill="auto"/>
            <w:hideMark/>
          </w:tcPr>
          <w:p w14:paraId="1A00410F"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pct50" w:color="000000" w:fill="auto"/>
            <w:hideMark/>
          </w:tcPr>
          <w:p w14:paraId="16CC9745"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clear" w:color="auto" w:fill="auto"/>
            <w:hideMark/>
          </w:tcPr>
          <w:p w14:paraId="41D3FC19"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E50B6B" w:rsidRPr="00000F38" w14:paraId="2DBAD534" w14:textId="77777777" w:rsidTr="00E50B6B">
        <w:trPr>
          <w:trHeight w:val="255"/>
        </w:trPr>
        <w:tc>
          <w:tcPr>
            <w:tcW w:w="508" w:type="dxa"/>
            <w:tcBorders>
              <w:top w:val="nil"/>
              <w:left w:val="single" w:sz="4" w:space="0" w:color="auto"/>
              <w:bottom w:val="single" w:sz="4" w:space="0" w:color="auto"/>
              <w:right w:val="single" w:sz="4" w:space="0" w:color="auto"/>
            </w:tcBorders>
            <w:shd w:val="clear" w:color="000000" w:fill="F2F2F2"/>
            <w:hideMark/>
          </w:tcPr>
          <w:p w14:paraId="182AE71A"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528" w:type="dxa"/>
            <w:tcBorders>
              <w:top w:val="nil"/>
              <w:left w:val="nil"/>
              <w:bottom w:val="single" w:sz="4" w:space="0" w:color="auto"/>
              <w:right w:val="single" w:sz="4" w:space="0" w:color="auto"/>
            </w:tcBorders>
            <w:shd w:val="clear" w:color="000000" w:fill="F2F2F2"/>
            <w:hideMark/>
          </w:tcPr>
          <w:p w14:paraId="40F09C7F"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Total Software Cost (B)</w:t>
            </w:r>
          </w:p>
        </w:tc>
        <w:tc>
          <w:tcPr>
            <w:tcW w:w="443" w:type="dxa"/>
            <w:tcBorders>
              <w:top w:val="nil"/>
              <w:left w:val="nil"/>
              <w:bottom w:val="single" w:sz="4" w:space="0" w:color="auto"/>
              <w:right w:val="single" w:sz="4" w:space="0" w:color="auto"/>
            </w:tcBorders>
            <w:shd w:val="clear" w:color="000000" w:fill="F2F2F2"/>
            <w:hideMark/>
          </w:tcPr>
          <w:p w14:paraId="69B09BFC"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07" w:type="dxa"/>
            <w:tcBorders>
              <w:top w:val="nil"/>
              <w:left w:val="nil"/>
              <w:bottom w:val="single" w:sz="4" w:space="0" w:color="auto"/>
              <w:right w:val="single" w:sz="4" w:space="0" w:color="auto"/>
            </w:tcBorders>
            <w:shd w:val="clear" w:color="000000" w:fill="F2F2F2"/>
            <w:hideMark/>
          </w:tcPr>
          <w:p w14:paraId="375D094F"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000000" w:fill="F2F2F2"/>
            <w:hideMark/>
          </w:tcPr>
          <w:p w14:paraId="073AF1B8"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c>
          <w:tcPr>
            <w:tcW w:w="378" w:type="dxa"/>
            <w:tcBorders>
              <w:top w:val="nil"/>
              <w:left w:val="nil"/>
              <w:bottom w:val="single" w:sz="4" w:space="0" w:color="auto"/>
              <w:right w:val="single" w:sz="4" w:space="0" w:color="auto"/>
            </w:tcBorders>
            <w:shd w:val="clear" w:color="000000" w:fill="F2F2F2"/>
            <w:hideMark/>
          </w:tcPr>
          <w:p w14:paraId="7B57E766"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c>
          <w:tcPr>
            <w:tcW w:w="408" w:type="dxa"/>
            <w:tcBorders>
              <w:top w:val="nil"/>
              <w:left w:val="nil"/>
              <w:bottom w:val="single" w:sz="4" w:space="0" w:color="auto"/>
              <w:right w:val="single" w:sz="4" w:space="0" w:color="auto"/>
            </w:tcBorders>
            <w:shd w:val="clear" w:color="000000" w:fill="F2F2F2"/>
            <w:hideMark/>
          </w:tcPr>
          <w:p w14:paraId="76551FCC"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000000" w:fill="F2F2F2"/>
            <w:hideMark/>
          </w:tcPr>
          <w:p w14:paraId="3AB1DD1B"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c>
          <w:tcPr>
            <w:tcW w:w="378" w:type="dxa"/>
            <w:tcBorders>
              <w:top w:val="nil"/>
              <w:left w:val="nil"/>
              <w:bottom w:val="single" w:sz="4" w:space="0" w:color="auto"/>
              <w:right w:val="single" w:sz="4" w:space="0" w:color="auto"/>
            </w:tcBorders>
            <w:shd w:val="clear" w:color="000000" w:fill="F2F2F2"/>
            <w:hideMark/>
          </w:tcPr>
          <w:p w14:paraId="547C225C"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c>
          <w:tcPr>
            <w:tcW w:w="408" w:type="dxa"/>
            <w:tcBorders>
              <w:top w:val="nil"/>
              <w:left w:val="nil"/>
              <w:bottom w:val="single" w:sz="4" w:space="0" w:color="auto"/>
              <w:right w:val="single" w:sz="4" w:space="0" w:color="auto"/>
            </w:tcBorders>
            <w:shd w:val="clear" w:color="000000" w:fill="F2F2F2"/>
            <w:hideMark/>
          </w:tcPr>
          <w:p w14:paraId="393EFD30"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000000" w:fill="F2F2F2"/>
            <w:hideMark/>
          </w:tcPr>
          <w:p w14:paraId="4083E524"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c>
          <w:tcPr>
            <w:tcW w:w="378" w:type="dxa"/>
            <w:tcBorders>
              <w:top w:val="nil"/>
              <w:left w:val="nil"/>
              <w:bottom w:val="single" w:sz="4" w:space="0" w:color="auto"/>
              <w:right w:val="single" w:sz="4" w:space="0" w:color="auto"/>
            </w:tcBorders>
            <w:shd w:val="clear" w:color="000000" w:fill="F2F2F2"/>
            <w:hideMark/>
          </w:tcPr>
          <w:p w14:paraId="1EFA7397"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c>
          <w:tcPr>
            <w:tcW w:w="408" w:type="dxa"/>
            <w:tcBorders>
              <w:top w:val="nil"/>
              <w:left w:val="nil"/>
              <w:bottom w:val="single" w:sz="4" w:space="0" w:color="auto"/>
              <w:right w:val="single" w:sz="4" w:space="0" w:color="auto"/>
            </w:tcBorders>
            <w:shd w:val="clear" w:color="000000" w:fill="F2F2F2"/>
            <w:hideMark/>
          </w:tcPr>
          <w:p w14:paraId="093135B6"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000000" w:fill="F2F2F2"/>
            <w:hideMark/>
          </w:tcPr>
          <w:p w14:paraId="3FE63007"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78" w:type="dxa"/>
            <w:tcBorders>
              <w:top w:val="nil"/>
              <w:left w:val="nil"/>
              <w:bottom w:val="single" w:sz="4" w:space="0" w:color="auto"/>
              <w:right w:val="single" w:sz="4" w:space="0" w:color="auto"/>
            </w:tcBorders>
            <w:shd w:val="clear" w:color="000000" w:fill="F2F2F2"/>
            <w:hideMark/>
          </w:tcPr>
          <w:p w14:paraId="7CCD5D1F"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08" w:type="dxa"/>
            <w:tcBorders>
              <w:top w:val="nil"/>
              <w:left w:val="nil"/>
              <w:bottom w:val="single" w:sz="4" w:space="0" w:color="auto"/>
              <w:right w:val="single" w:sz="4" w:space="0" w:color="auto"/>
            </w:tcBorders>
            <w:shd w:val="clear" w:color="000000" w:fill="F2F2F2"/>
            <w:hideMark/>
          </w:tcPr>
          <w:p w14:paraId="6D7A73A2"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000000" w:fill="F2F2F2"/>
            <w:hideMark/>
          </w:tcPr>
          <w:p w14:paraId="0DB2F3FB"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78" w:type="dxa"/>
            <w:tcBorders>
              <w:top w:val="nil"/>
              <w:left w:val="nil"/>
              <w:bottom w:val="single" w:sz="4" w:space="0" w:color="auto"/>
              <w:right w:val="single" w:sz="4" w:space="0" w:color="auto"/>
            </w:tcBorders>
            <w:shd w:val="clear" w:color="000000" w:fill="F2F2F2"/>
            <w:hideMark/>
          </w:tcPr>
          <w:p w14:paraId="2546ADD7"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78" w:type="dxa"/>
            <w:tcBorders>
              <w:top w:val="nil"/>
              <w:left w:val="nil"/>
              <w:bottom w:val="single" w:sz="4" w:space="0" w:color="auto"/>
              <w:right w:val="single" w:sz="4" w:space="0" w:color="auto"/>
            </w:tcBorders>
            <w:shd w:val="clear" w:color="000000" w:fill="F2F2F2"/>
            <w:hideMark/>
          </w:tcPr>
          <w:p w14:paraId="2387D9CA"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E50B6B" w:rsidRPr="00000F38" w14:paraId="18B53745" w14:textId="77777777" w:rsidTr="00E50B6B">
        <w:trPr>
          <w:trHeight w:val="255"/>
        </w:trPr>
        <w:tc>
          <w:tcPr>
            <w:tcW w:w="508" w:type="dxa"/>
            <w:tcBorders>
              <w:top w:val="nil"/>
              <w:left w:val="single" w:sz="4" w:space="0" w:color="auto"/>
              <w:bottom w:val="single" w:sz="4" w:space="0" w:color="auto"/>
              <w:right w:val="single" w:sz="4" w:space="0" w:color="auto"/>
            </w:tcBorders>
            <w:shd w:val="clear" w:color="auto" w:fill="auto"/>
            <w:hideMark/>
          </w:tcPr>
          <w:p w14:paraId="7391F5EB" w14:textId="77777777" w:rsidR="00E50B6B" w:rsidRPr="00000F38" w:rsidRDefault="00E50B6B" w:rsidP="00E50B6B">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2528" w:type="dxa"/>
            <w:tcBorders>
              <w:top w:val="nil"/>
              <w:left w:val="nil"/>
              <w:bottom w:val="single" w:sz="4" w:space="0" w:color="auto"/>
              <w:right w:val="single" w:sz="4" w:space="0" w:color="auto"/>
            </w:tcBorders>
            <w:shd w:val="clear" w:color="auto" w:fill="auto"/>
            <w:hideMark/>
          </w:tcPr>
          <w:p w14:paraId="419423E5"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43" w:type="dxa"/>
            <w:tcBorders>
              <w:top w:val="nil"/>
              <w:left w:val="nil"/>
              <w:bottom w:val="single" w:sz="4" w:space="0" w:color="auto"/>
              <w:right w:val="single" w:sz="4" w:space="0" w:color="auto"/>
            </w:tcBorders>
            <w:shd w:val="clear" w:color="auto" w:fill="auto"/>
            <w:hideMark/>
          </w:tcPr>
          <w:p w14:paraId="6B31D4D7"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07" w:type="dxa"/>
            <w:tcBorders>
              <w:top w:val="nil"/>
              <w:left w:val="nil"/>
              <w:bottom w:val="single" w:sz="4" w:space="0" w:color="auto"/>
              <w:right w:val="single" w:sz="4" w:space="0" w:color="auto"/>
            </w:tcBorders>
            <w:shd w:val="clear" w:color="auto" w:fill="auto"/>
            <w:hideMark/>
          </w:tcPr>
          <w:p w14:paraId="71BF3556"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4F6E208C"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clear" w:color="auto" w:fill="auto"/>
            <w:hideMark/>
          </w:tcPr>
          <w:p w14:paraId="4EE381E3"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08" w:type="dxa"/>
            <w:tcBorders>
              <w:top w:val="nil"/>
              <w:left w:val="nil"/>
              <w:bottom w:val="single" w:sz="4" w:space="0" w:color="auto"/>
              <w:right w:val="single" w:sz="4" w:space="0" w:color="auto"/>
            </w:tcBorders>
            <w:shd w:val="clear" w:color="auto" w:fill="auto"/>
            <w:hideMark/>
          </w:tcPr>
          <w:p w14:paraId="08FAB1F1"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1489212D"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clear" w:color="auto" w:fill="auto"/>
            <w:hideMark/>
          </w:tcPr>
          <w:p w14:paraId="6BCA7EC8"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08" w:type="dxa"/>
            <w:tcBorders>
              <w:top w:val="nil"/>
              <w:left w:val="nil"/>
              <w:bottom w:val="single" w:sz="4" w:space="0" w:color="auto"/>
              <w:right w:val="single" w:sz="4" w:space="0" w:color="auto"/>
            </w:tcBorders>
            <w:shd w:val="clear" w:color="auto" w:fill="auto"/>
            <w:hideMark/>
          </w:tcPr>
          <w:p w14:paraId="526EAAC7"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7A9A7253"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clear" w:color="auto" w:fill="auto"/>
            <w:hideMark/>
          </w:tcPr>
          <w:p w14:paraId="1220D8C9"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08" w:type="dxa"/>
            <w:tcBorders>
              <w:top w:val="nil"/>
              <w:left w:val="nil"/>
              <w:bottom w:val="single" w:sz="4" w:space="0" w:color="auto"/>
              <w:right w:val="single" w:sz="4" w:space="0" w:color="auto"/>
            </w:tcBorders>
            <w:shd w:val="clear" w:color="auto" w:fill="auto"/>
            <w:hideMark/>
          </w:tcPr>
          <w:p w14:paraId="11294999"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77F93D5B"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clear" w:color="auto" w:fill="auto"/>
            <w:hideMark/>
          </w:tcPr>
          <w:p w14:paraId="2FB3D6E7"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08" w:type="dxa"/>
            <w:tcBorders>
              <w:top w:val="nil"/>
              <w:left w:val="nil"/>
              <w:bottom w:val="single" w:sz="4" w:space="0" w:color="auto"/>
              <w:right w:val="single" w:sz="4" w:space="0" w:color="auto"/>
            </w:tcBorders>
            <w:shd w:val="clear" w:color="auto" w:fill="auto"/>
            <w:hideMark/>
          </w:tcPr>
          <w:p w14:paraId="214825B9"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48" w:type="dxa"/>
            <w:tcBorders>
              <w:top w:val="nil"/>
              <w:left w:val="nil"/>
              <w:bottom w:val="single" w:sz="4" w:space="0" w:color="auto"/>
              <w:right w:val="single" w:sz="4" w:space="0" w:color="auto"/>
            </w:tcBorders>
            <w:shd w:val="clear" w:color="auto" w:fill="auto"/>
            <w:hideMark/>
          </w:tcPr>
          <w:p w14:paraId="67DC00D2"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clear" w:color="auto" w:fill="auto"/>
            <w:hideMark/>
          </w:tcPr>
          <w:p w14:paraId="7E187797"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dxa"/>
            <w:tcBorders>
              <w:top w:val="nil"/>
              <w:left w:val="nil"/>
              <w:bottom w:val="single" w:sz="4" w:space="0" w:color="auto"/>
              <w:right w:val="single" w:sz="4" w:space="0" w:color="auto"/>
            </w:tcBorders>
            <w:shd w:val="clear" w:color="auto" w:fill="auto"/>
            <w:hideMark/>
          </w:tcPr>
          <w:p w14:paraId="0BB0CD00"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r>
      <w:tr w:rsidR="00E50B6B" w:rsidRPr="00000F38" w14:paraId="2AED01BA" w14:textId="77777777" w:rsidTr="00E50B6B">
        <w:trPr>
          <w:trHeight w:val="255"/>
        </w:trPr>
        <w:tc>
          <w:tcPr>
            <w:tcW w:w="508" w:type="dxa"/>
            <w:tcBorders>
              <w:top w:val="nil"/>
              <w:left w:val="single" w:sz="4" w:space="0" w:color="auto"/>
              <w:bottom w:val="single" w:sz="4" w:space="0" w:color="auto"/>
              <w:right w:val="single" w:sz="4" w:space="0" w:color="auto"/>
            </w:tcBorders>
            <w:shd w:val="clear" w:color="000000" w:fill="FFFFFF"/>
            <w:hideMark/>
          </w:tcPr>
          <w:p w14:paraId="7B16035E"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528" w:type="dxa"/>
            <w:tcBorders>
              <w:top w:val="nil"/>
              <w:left w:val="nil"/>
              <w:bottom w:val="single" w:sz="4" w:space="0" w:color="auto"/>
              <w:right w:val="single" w:sz="4" w:space="0" w:color="auto"/>
            </w:tcBorders>
            <w:shd w:val="clear" w:color="000000" w:fill="FFFFFF"/>
            <w:hideMark/>
          </w:tcPr>
          <w:p w14:paraId="168C1AEC"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43" w:type="dxa"/>
            <w:tcBorders>
              <w:top w:val="nil"/>
              <w:left w:val="nil"/>
              <w:bottom w:val="single" w:sz="4" w:space="0" w:color="auto"/>
              <w:right w:val="single" w:sz="4" w:space="0" w:color="auto"/>
            </w:tcBorders>
            <w:shd w:val="clear" w:color="000000" w:fill="FFFFFF"/>
            <w:hideMark/>
          </w:tcPr>
          <w:p w14:paraId="17F18742"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07" w:type="dxa"/>
            <w:tcBorders>
              <w:top w:val="nil"/>
              <w:left w:val="nil"/>
              <w:bottom w:val="single" w:sz="4" w:space="0" w:color="auto"/>
              <w:right w:val="single" w:sz="4" w:space="0" w:color="auto"/>
            </w:tcBorders>
            <w:shd w:val="clear" w:color="000000" w:fill="FFFFFF"/>
            <w:hideMark/>
          </w:tcPr>
          <w:p w14:paraId="27DEB94F"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000000" w:fill="FFFFFF"/>
            <w:hideMark/>
          </w:tcPr>
          <w:p w14:paraId="2677C65F"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78" w:type="dxa"/>
            <w:tcBorders>
              <w:top w:val="nil"/>
              <w:left w:val="nil"/>
              <w:bottom w:val="single" w:sz="4" w:space="0" w:color="auto"/>
              <w:right w:val="single" w:sz="4" w:space="0" w:color="auto"/>
            </w:tcBorders>
            <w:shd w:val="clear" w:color="000000" w:fill="FFFFFF"/>
            <w:hideMark/>
          </w:tcPr>
          <w:p w14:paraId="5C01E69A"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08" w:type="dxa"/>
            <w:tcBorders>
              <w:top w:val="nil"/>
              <w:left w:val="nil"/>
              <w:bottom w:val="single" w:sz="4" w:space="0" w:color="auto"/>
              <w:right w:val="single" w:sz="4" w:space="0" w:color="auto"/>
            </w:tcBorders>
            <w:shd w:val="clear" w:color="000000" w:fill="FFFFFF"/>
            <w:hideMark/>
          </w:tcPr>
          <w:p w14:paraId="4FF895B5"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000000" w:fill="FFFFFF"/>
            <w:hideMark/>
          </w:tcPr>
          <w:p w14:paraId="0E9432F3"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78" w:type="dxa"/>
            <w:tcBorders>
              <w:top w:val="nil"/>
              <w:left w:val="nil"/>
              <w:bottom w:val="single" w:sz="4" w:space="0" w:color="auto"/>
              <w:right w:val="single" w:sz="4" w:space="0" w:color="auto"/>
            </w:tcBorders>
            <w:shd w:val="clear" w:color="000000" w:fill="FFFFFF"/>
            <w:hideMark/>
          </w:tcPr>
          <w:p w14:paraId="667340DC"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08" w:type="dxa"/>
            <w:tcBorders>
              <w:top w:val="nil"/>
              <w:left w:val="nil"/>
              <w:bottom w:val="single" w:sz="4" w:space="0" w:color="auto"/>
              <w:right w:val="single" w:sz="4" w:space="0" w:color="auto"/>
            </w:tcBorders>
            <w:shd w:val="clear" w:color="000000" w:fill="FFFFFF"/>
            <w:hideMark/>
          </w:tcPr>
          <w:p w14:paraId="6E8C14AE"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000000" w:fill="FFFFFF"/>
            <w:hideMark/>
          </w:tcPr>
          <w:p w14:paraId="0F025279"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78" w:type="dxa"/>
            <w:tcBorders>
              <w:top w:val="nil"/>
              <w:left w:val="nil"/>
              <w:bottom w:val="single" w:sz="4" w:space="0" w:color="auto"/>
              <w:right w:val="single" w:sz="4" w:space="0" w:color="auto"/>
            </w:tcBorders>
            <w:shd w:val="clear" w:color="000000" w:fill="FFFFFF"/>
            <w:hideMark/>
          </w:tcPr>
          <w:p w14:paraId="672297CA"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08" w:type="dxa"/>
            <w:tcBorders>
              <w:top w:val="nil"/>
              <w:left w:val="nil"/>
              <w:bottom w:val="single" w:sz="4" w:space="0" w:color="auto"/>
              <w:right w:val="single" w:sz="4" w:space="0" w:color="auto"/>
            </w:tcBorders>
            <w:shd w:val="clear" w:color="000000" w:fill="FFFFFF"/>
            <w:hideMark/>
          </w:tcPr>
          <w:p w14:paraId="35260430"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000000" w:fill="FFFFFF"/>
            <w:hideMark/>
          </w:tcPr>
          <w:p w14:paraId="0E7B7D2F"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78" w:type="dxa"/>
            <w:tcBorders>
              <w:top w:val="nil"/>
              <w:left w:val="nil"/>
              <w:bottom w:val="single" w:sz="4" w:space="0" w:color="auto"/>
              <w:right w:val="single" w:sz="4" w:space="0" w:color="auto"/>
            </w:tcBorders>
            <w:shd w:val="clear" w:color="000000" w:fill="FFFFFF"/>
            <w:hideMark/>
          </w:tcPr>
          <w:p w14:paraId="327E1C16"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08" w:type="dxa"/>
            <w:tcBorders>
              <w:top w:val="nil"/>
              <w:left w:val="nil"/>
              <w:bottom w:val="single" w:sz="4" w:space="0" w:color="auto"/>
              <w:right w:val="single" w:sz="4" w:space="0" w:color="auto"/>
            </w:tcBorders>
            <w:shd w:val="clear" w:color="000000" w:fill="FFFFFF"/>
            <w:hideMark/>
          </w:tcPr>
          <w:p w14:paraId="2B0851AF"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000000" w:fill="FFFFFF"/>
            <w:hideMark/>
          </w:tcPr>
          <w:p w14:paraId="79326A4E"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78" w:type="dxa"/>
            <w:tcBorders>
              <w:top w:val="nil"/>
              <w:left w:val="nil"/>
              <w:bottom w:val="single" w:sz="4" w:space="0" w:color="auto"/>
              <w:right w:val="single" w:sz="4" w:space="0" w:color="auto"/>
            </w:tcBorders>
            <w:shd w:val="clear" w:color="000000" w:fill="FFFFFF"/>
            <w:hideMark/>
          </w:tcPr>
          <w:p w14:paraId="1E253A55"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78" w:type="dxa"/>
            <w:tcBorders>
              <w:top w:val="nil"/>
              <w:left w:val="nil"/>
              <w:bottom w:val="single" w:sz="4" w:space="0" w:color="auto"/>
              <w:right w:val="single" w:sz="4" w:space="0" w:color="auto"/>
            </w:tcBorders>
            <w:shd w:val="clear" w:color="000000" w:fill="FFFFFF"/>
            <w:hideMark/>
          </w:tcPr>
          <w:p w14:paraId="153B9C6F"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r>
      <w:tr w:rsidR="00E50B6B" w:rsidRPr="00000F38" w14:paraId="1A8854AC" w14:textId="77777777" w:rsidTr="00E50B6B">
        <w:trPr>
          <w:trHeight w:val="255"/>
        </w:trPr>
        <w:tc>
          <w:tcPr>
            <w:tcW w:w="508" w:type="dxa"/>
            <w:tcBorders>
              <w:top w:val="nil"/>
              <w:left w:val="single" w:sz="4" w:space="0" w:color="auto"/>
              <w:bottom w:val="single" w:sz="4" w:space="0" w:color="auto"/>
              <w:right w:val="single" w:sz="4" w:space="0" w:color="auto"/>
            </w:tcBorders>
            <w:shd w:val="clear" w:color="000000" w:fill="BFBFBF"/>
            <w:hideMark/>
          </w:tcPr>
          <w:p w14:paraId="61680746"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528" w:type="dxa"/>
            <w:tcBorders>
              <w:top w:val="nil"/>
              <w:left w:val="nil"/>
              <w:bottom w:val="single" w:sz="4" w:space="0" w:color="auto"/>
              <w:right w:val="single" w:sz="4" w:space="0" w:color="auto"/>
            </w:tcBorders>
            <w:shd w:val="clear" w:color="000000" w:fill="BFBFBF"/>
            <w:hideMark/>
          </w:tcPr>
          <w:p w14:paraId="6EEBE5F0"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Grand Total (A+B)</w:t>
            </w:r>
          </w:p>
        </w:tc>
        <w:tc>
          <w:tcPr>
            <w:tcW w:w="443" w:type="dxa"/>
            <w:tcBorders>
              <w:top w:val="nil"/>
              <w:left w:val="nil"/>
              <w:bottom w:val="single" w:sz="4" w:space="0" w:color="auto"/>
              <w:right w:val="single" w:sz="4" w:space="0" w:color="auto"/>
            </w:tcBorders>
            <w:shd w:val="clear" w:color="000000" w:fill="BFBFBF"/>
            <w:hideMark/>
          </w:tcPr>
          <w:p w14:paraId="6AE11C66"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07" w:type="dxa"/>
            <w:tcBorders>
              <w:top w:val="nil"/>
              <w:left w:val="nil"/>
              <w:bottom w:val="single" w:sz="4" w:space="0" w:color="auto"/>
              <w:right w:val="single" w:sz="4" w:space="0" w:color="auto"/>
            </w:tcBorders>
            <w:shd w:val="clear" w:color="000000" w:fill="BFBFBF"/>
            <w:hideMark/>
          </w:tcPr>
          <w:p w14:paraId="590B6AC4"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000000" w:fill="BFBFBF"/>
            <w:hideMark/>
          </w:tcPr>
          <w:p w14:paraId="260BC8D5"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c>
          <w:tcPr>
            <w:tcW w:w="378" w:type="dxa"/>
            <w:tcBorders>
              <w:top w:val="nil"/>
              <w:left w:val="nil"/>
              <w:bottom w:val="single" w:sz="4" w:space="0" w:color="auto"/>
              <w:right w:val="single" w:sz="4" w:space="0" w:color="auto"/>
            </w:tcBorders>
            <w:shd w:val="clear" w:color="000000" w:fill="BFBFBF"/>
            <w:hideMark/>
          </w:tcPr>
          <w:p w14:paraId="2D244EE0"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c>
          <w:tcPr>
            <w:tcW w:w="408" w:type="dxa"/>
            <w:tcBorders>
              <w:top w:val="nil"/>
              <w:left w:val="nil"/>
              <w:bottom w:val="single" w:sz="4" w:space="0" w:color="auto"/>
              <w:right w:val="single" w:sz="4" w:space="0" w:color="auto"/>
            </w:tcBorders>
            <w:shd w:val="clear" w:color="000000" w:fill="BFBFBF"/>
            <w:hideMark/>
          </w:tcPr>
          <w:p w14:paraId="64F2A364"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000000" w:fill="BFBFBF"/>
            <w:hideMark/>
          </w:tcPr>
          <w:p w14:paraId="4B732020"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c>
          <w:tcPr>
            <w:tcW w:w="378" w:type="dxa"/>
            <w:tcBorders>
              <w:top w:val="nil"/>
              <w:left w:val="nil"/>
              <w:bottom w:val="single" w:sz="4" w:space="0" w:color="auto"/>
              <w:right w:val="single" w:sz="4" w:space="0" w:color="auto"/>
            </w:tcBorders>
            <w:shd w:val="clear" w:color="000000" w:fill="BFBFBF"/>
            <w:hideMark/>
          </w:tcPr>
          <w:p w14:paraId="1AA43B93"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c>
          <w:tcPr>
            <w:tcW w:w="408" w:type="dxa"/>
            <w:tcBorders>
              <w:top w:val="nil"/>
              <w:left w:val="nil"/>
              <w:bottom w:val="single" w:sz="4" w:space="0" w:color="auto"/>
              <w:right w:val="single" w:sz="4" w:space="0" w:color="auto"/>
            </w:tcBorders>
            <w:shd w:val="clear" w:color="000000" w:fill="BFBFBF"/>
            <w:hideMark/>
          </w:tcPr>
          <w:p w14:paraId="298E48FA"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000000" w:fill="BFBFBF"/>
            <w:hideMark/>
          </w:tcPr>
          <w:p w14:paraId="529258BD"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c>
          <w:tcPr>
            <w:tcW w:w="378" w:type="dxa"/>
            <w:tcBorders>
              <w:top w:val="nil"/>
              <w:left w:val="nil"/>
              <w:bottom w:val="single" w:sz="4" w:space="0" w:color="auto"/>
              <w:right w:val="single" w:sz="4" w:space="0" w:color="auto"/>
            </w:tcBorders>
            <w:shd w:val="clear" w:color="000000" w:fill="BFBFBF"/>
            <w:hideMark/>
          </w:tcPr>
          <w:p w14:paraId="53633429"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c>
          <w:tcPr>
            <w:tcW w:w="408" w:type="dxa"/>
            <w:tcBorders>
              <w:top w:val="nil"/>
              <w:left w:val="nil"/>
              <w:bottom w:val="single" w:sz="4" w:space="0" w:color="auto"/>
              <w:right w:val="single" w:sz="4" w:space="0" w:color="auto"/>
            </w:tcBorders>
            <w:shd w:val="clear" w:color="000000" w:fill="BFBFBF"/>
            <w:hideMark/>
          </w:tcPr>
          <w:p w14:paraId="1FD4D925"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000000" w:fill="BFBFBF"/>
            <w:hideMark/>
          </w:tcPr>
          <w:p w14:paraId="439B2886"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78" w:type="dxa"/>
            <w:tcBorders>
              <w:top w:val="nil"/>
              <w:left w:val="nil"/>
              <w:bottom w:val="single" w:sz="4" w:space="0" w:color="auto"/>
              <w:right w:val="single" w:sz="4" w:space="0" w:color="auto"/>
            </w:tcBorders>
            <w:shd w:val="clear" w:color="000000" w:fill="BFBFBF"/>
            <w:hideMark/>
          </w:tcPr>
          <w:p w14:paraId="326E6C7B"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08" w:type="dxa"/>
            <w:tcBorders>
              <w:top w:val="nil"/>
              <w:left w:val="nil"/>
              <w:bottom w:val="single" w:sz="4" w:space="0" w:color="auto"/>
              <w:right w:val="single" w:sz="4" w:space="0" w:color="auto"/>
            </w:tcBorders>
            <w:shd w:val="clear" w:color="000000" w:fill="BFBFBF"/>
            <w:hideMark/>
          </w:tcPr>
          <w:p w14:paraId="51446F51"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48" w:type="dxa"/>
            <w:tcBorders>
              <w:top w:val="nil"/>
              <w:left w:val="nil"/>
              <w:bottom w:val="single" w:sz="4" w:space="0" w:color="auto"/>
              <w:right w:val="single" w:sz="4" w:space="0" w:color="auto"/>
            </w:tcBorders>
            <w:shd w:val="clear" w:color="000000" w:fill="BFBFBF"/>
            <w:hideMark/>
          </w:tcPr>
          <w:p w14:paraId="496F5EF3"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78" w:type="dxa"/>
            <w:tcBorders>
              <w:top w:val="nil"/>
              <w:left w:val="nil"/>
              <w:bottom w:val="single" w:sz="4" w:space="0" w:color="auto"/>
              <w:right w:val="single" w:sz="4" w:space="0" w:color="auto"/>
            </w:tcBorders>
            <w:shd w:val="clear" w:color="000000" w:fill="BFBFBF"/>
            <w:hideMark/>
          </w:tcPr>
          <w:p w14:paraId="509A7907" w14:textId="77777777" w:rsidR="00E50B6B" w:rsidRPr="00000F38" w:rsidRDefault="00E50B6B" w:rsidP="00E50B6B">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78" w:type="dxa"/>
            <w:tcBorders>
              <w:top w:val="nil"/>
              <w:left w:val="nil"/>
              <w:bottom w:val="single" w:sz="4" w:space="0" w:color="auto"/>
              <w:right w:val="single" w:sz="4" w:space="0" w:color="auto"/>
            </w:tcBorders>
            <w:shd w:val="clear" w:color="000000" w:fill="BFBFBF"/>
            <w:hideMark/>
          </w:tcPr>
          <w:p w14:paraId="5121D8D5" w14:textId="77777777" w:rsidR="00E50B6B" w:rsidRPr="00000F38" w:rsidRDefault="00E50B6B" w:rsidP="00E50B6B">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E50B6B" w:rsidRPr="00000F38" w14:paraId="447F7156" w14:textId="77777777" w:rsidTr="00E50B6B">
        <w:trPr>
          <w:trHeight w:val="255"/>
        </w:trPr>
        <w:tc>
          <w:tcPr>
            <w:tcW w:w="508" w:type="dxa"/>
            <w:tcBorders>
              <w:top w:val="nil"/>
              <w:left w:val="nil"/>
              <w:bottom w:val="nil"/>
              <w:right w:val="nil"/>
            </w:tcBorders>
            <w:shd w:val="clear" w:color="auto" w:fill="auto"/>
            <w:noWrap/>
            <w:hideMark/>
          </w:tcPr>
          <w:p w14:paraId="7B251689" w14:textId="77777777" w:rsidR="00E50B6B" w:rsidRPr="00000F38" w:rsidRDefault="00E50B6B" w:rsidP="00E50B6B">
            <w:pPr>
              <w:spacing w:after="0" w:line="240" w:lineRule="auto"/>
              <w:jc w:val="center"/>
              <w:rPr>
                <w:rFonts w:eastAsia="Times New Roman" w:cstheme="minorHAnsi"/>
                <w:b/>
                <w:bCs/>
                <w:color w:val="000000"/>
                <w:lang w:val="en-GB" w:eastAsia="en-GB"/>
              </w:rPr>
            </w:pPr>
          </w:p>
        </w:tc>
        <w:tc>
          <w:tcPr>
            <w:tcW w:w="2528" w:type="dxa"/>
            <w:tcBorders>
              <w:top w:val="nil"/>
              <w:left w:val="nil"/>
              <w:bottom w:val="nil"/>
              <w:right w:val="nil"/>
            </w:tcBorders>
            <w:shd w:val="clear" w:color="auto" w:fill="auto"/>
            <w:hideMark/>
          </w:tcPr>
          <w:p w14:paraId="58DE6D9E" w14:textId="77777777" w:rsidR="00E50B6B" w:rsidRPr="00000F38" w:rsidRDefault="00E50B6B" w:rsidP="00E50B6B">
            <w:pPr>
              <w:spacing w:after="0" w:line="240" w:lineRule="auto"/>
              <w:jc w:val="center"/>
              <w:rPr>
                <w:rFonts w:eastAsia="Times New Roman" w:cstheme="minorHAnsi"/>
                <w:lang w:val="en-GB" w:eastAsia="en-GB"/>
              </w:rPr>
            </w:pPr>
          </w:p>
        </w:tc>
        <w:tc>
          <w:tcPr>
            <w:tcW w:w="443" w:type="dxa"/>
            <w:tcBorders>
              <w:top w:val="nil"/>
              <w:left w:val="nil"/>
              <w:bottom w:val="nil"/>
              <w:right w:val="nil"/>
            </w:tcBorders>
            <w:shd w:val="clear" w:color="auto" w:fill="auto"/>
            <w:hideMark/>
          </w:tcPr>
          <w:p w14:paraId="68203D4F" w14:textId="77777777" w:rsidR="00E50B6B" w:rsidRPr="00000F38" w:rsidRDefault="00E50B6B" w:rsidP="00E50B6B">
            <w:pPr>
              <w:spacing w:after="0" w:line="240" w:lineRule="auto"/>
              <w:rPr>
                <w:rFonts w:eastAsia="Times New Roman" w:cstheme="minorHAnsi"/>
                <w:lang w:val="en-GB" w:eastAsia="en-GB"/>
              </w:rPr>
            </w:pPr>
          </w:p>
        </w:tc>
        <w:tc>
          <w:tcPr>
            <w:tcW w:w="407" w:type="dxa"/>
            <w:tcBorders>
              <w:top w:val="nil"/>
              <w:left w:val="nil"/>
              <w:bottom w:val="nil"/>
              <w:right w:val="nil"/>
            </w:tcBorders>
            <w:shd w:val="clear" w:color="auto" w:fill="auto"/>
            <w:hideMark/>
          </w:tcPr>
          <w:p w14:paraId="37DCE3A8" w14:textId="77777777" w:rsidR="00E50B6B" w:rsidRPr="00000F38" w:rsidRDefault="00E50B6B" w:rsidP="00E50B6B">
            <w:pPr>
              <w:spacing w:after="0" w:line="240" w:lineRule="auto"/>
              <w:rPr>
                <w:rFonts w:eastAsia="Times New Roman" w:cstheme="minorHAnsi"/>
                <w:lang w:val="en-GB" w:eastAsia="en-GB"/>
              </w:rPr>
            </w:pPr>
          </w:p>
        </w:tc>
        <w:tc>
          <w:tcPr>
            <w:tcW w:w="248" w:type="dxa"/>
            <w:tcBorders>
              <w:top w:val="nil"/>
              <w:left w:val="nil"/>
              <w:bottom w:val="nil"/>
              <w:right w:val="nil"/>
            </w:tcBorders>
            <w:shd w:val="clear" w:color="auto" w:fill="auto"/>
            <w:hideMark/>
          </w:tcPr>
          <w:p w14:paraId="30166359" w14:textId="77777777" w:rsidR="00E50B6B" w:rsidRPr="00000F38" w:rsidRDefault="00E50B6B" w:rsidP="00E50B6B">
            <w:pPr>
              <w:spacing w:after="0" w:line="240" w:lineRule="auto"/>
              <w:rPr>
                <w:rFonts w:eastAsia="Times New Roman" w:cstheme="minorHAnsi"/>
                <w:lang w:val="en-GB" w:eastAsia="en-GB"/>
              </w:rPr>
            </w:pPr>
          </w:p>
        </w:tc>
        <w:tc>
          <w:tcPr>
            <w:tcW w:w="378" w:type="dxa"/>
            <w:tcBorders>
              <w:top w:val="nil"/>
              <w:left w:val="nil"/>
              <w:bottom w:val="nil"/>
              <w:right w:val="nil"/>
            </w:tcBorders>
            <w:shd w:val="clear" w:color="auto" w:fill="auto"/>
            <w:hideMark/>
          </w:tcPr>
          <w:p w14:paraId="65EE1377" w14:textId="77777777" w:rsidR="00E50B6B" w:rsidRPr="00000F38" w:rsidRDefault="00E50B6B" w:rsidP="00E50B6B">
            <w:pPr>
              <w:spacing w:after="0" w:line="240" w:lineRule="auto"/>
              <w:rPr>
                <w:rFonts w:eastAsia="Times New Roman" w:cstheme="minorHAnsi"/>
                <w:lang w:val="en-GB" w:eastAsia="en-GB"/>
              </w:rPr>
            </w:pPr>
          </w:p>
        </w:tc>
        <w:tc>
          <w:tcPr>
            <w:tcW w:w="408" w:type="dxa"/>
            <w:tcBorders>
              <w:top w:val="nil"/>
              <w:left w:val="nil"/>
              <w:bottom w:val="nil"/>
              <w:right w:val="nil"/>
            </w:tcBorders>
            <w:shd w:val="clear" w:color="auto" w:fill="auto"/>
            <w:hideMark/>
          </w:tcPr>
          <w:p w14:paraId="796D96AA" w14:textId="77777777" w:rsidR="00E50B6B" w:rsidRPr="00000F38" w:rsidRDefault="00E50B6B" w:rsidP="00E50B6B">
            <w:pPr>
              <w:spacing w:after="0" w:line="240" w:lineRule="auto"/>
              <w:rPr>
                <w:rFonts w:eastAsia="Times New Roman" w:cstheme="minorHAnsi"/>
                <w:lang w:val="en-GB" w:eastAsia="en-GB"/>
              </w:rPr>
            </w:pPr>
          </w:p>
        </w:tc>
        <w:tc>
          <w:tcPr>
            <w:tcW w:w="248" w:type="dxa"/>
            <w:tcBorders>
              <w:top w:val="nil"/>
              <w:left w:val="nil"/>
              <w:bottom w:val="nil"/>
              <w:right w:val="nil"/>
            </w:tcBorders>
            <w:shd w:val="clear" w:color="auto" w:fill="auto"/>
            <w:hideMark/>
          </w:tcPr>
          <w:p w14:paraId="7C3A012C" w14:textId="77777777" w:rsidR="00E50B6B" w:rsidRPr="00000F38" w:rsidRDefault="00E50B6B" w:rsidP="00E50B6B">
            <w:pPr>
              <w:spacing w:after="0" w:line="240" w:lineRule="auto"/>
              <w:rPr>
                <w:rFonts w:eastAsia="Times New Roman" w:cstheme="minorHAnsi"/>
                <w:lang w:val="en-GB" w:eastAsia="en-GB"/>
              </w:rPr>
            </w:pPr>
          </w:p>
        </w:tc>
        <w:tc>
          <w:tcPr>
            <w:tcW w:w="378" w:type="dxa"/>
            <w:tcBorders>
              <w:top w:val="nil"/>
              <w:left w:val="nil"/>
              <w:bottom w:val="nil"/>
              <w:right w:val="nil"/>
            </w:tcBorders>
            <w:shd w:val="clear" w:color="auto" w:fill="auto"/>
            <w:hideMark/>
          </w:tcPr>
          <w:p w14:paraId="584BFA48" w14:textId="77777777" w:rsidR="00E50B6B" w:rsidRPr="00000F38" w:rsidRDefault="00E50B6B" w:rsidP="00E50B6B">
            <w:pPr>
              <w:spacing w:after="0" w:line="240" w:lineRule="auto"/>
              <w:rPr>
                <w:rFonts w:eastAsia="Times New Roman" w:cstheme="minorHAnsi"/>
                <w:lang w:val="en-GB" w:eastAsia="en-GB"/>
              </w:rPr>
            </w:pPr>
          </w:p>
        </w:tc>
        <w:tc>
          <w:tcPr>
            <w:tcW w:w="408" w:type="dxa"/>
            <w:tcBorders>
              <w:top w:val="nil"/>
              <w:left w:val="nil"/>
              <w:bottom w:val="nil"/>
              <w:right w:val="nil"/>
            </w:tcBorders>
            <w:shd w:val="clear" w:color="auto" w:fill="auto"/>
            <w:hideMark/>
          </w:tcPr>
          <w:p w14:paraId="75CD7B63" w14:textId="77777777" w:rsidR="00E50B6B" w:rsidRPr="00000F38" w:rsidRDefault="00E50B6B" w:rsidP="00E50B6B">
            <w:pPr>
              <w:spacing w:after="0" w:line="240" w:lineRule="auto"/>
              <w:rPr>
                <w:rFonts w:eastAsia="Times New Roman" w:cstheme="minorHAnsi"/>
                <w:lang w:val="en-GB" w:eastAsia="en-GB"/>
              </w:rPr>
            </w:pPr>
          </w:p>
        </w:tc>
        <w:tc>
          <w:tcPr>
            <w:tcW w:w="248" w:type="dxa"/>
            <w:tcBorders>
              <w:top w:val="nil"/>
              <w:left w:val="nil"/>
              <w:bottom w:val="nil"/>
              <w:right w:val="nil"/>
            </w:tcBorders>
            <w:shd w:val="clear" w:color="auto" w:fill="auto"/>
            <w:hideMark/>
          </w:tcPr>
          <w:p w14:paraId="67037FFF" w14:textId="77777777" w:rsidR="00E50B6B" w:rsidRPr="00000F38" w:rsidRDefault="00E50B6B" w:rsidP="00E50B6B">
            <w:pPr>
              <w:spacing w:after="0" w:line="240" w:lineRule="auto"/>
              <w:rPr>
                <w:rFonts w:eastAsia="Times New Roman" w:cstheme="minorHAnsi"/>
                <w:lang w:val="en-GB" w:eastAsia="en-GB"/>
              </w:rPr>
            </w:pPr>
          </w:p>
        </w:tc>
        <w:tc>
          <w:tcPr>
            <w:tcW w:w="378" w:type="dxa"/>
            <w:tcBorders>
              <w:top w:val="nil"/>
              <w:left w:val="nil"/>
              <w:bottom w:val="nil"/>
              <w:right w:val="nil"/>
            </w:tcBorders>
            <w:shd w:val="clear" w:color="auto" w:fill="auto"/>
            <w:hideMark/>
          </w:tcPr>
          <w:p w14:paraId="0C523D5F" w14:textId="77777777" w:rsidR="00E50B6B" w:rsidRPr="00000F38" w:rsidRDefault="00E50B6B" w:rsidP="00E50B6B">
            <w:pPr>
              <w:spacing w:after="0" w:line="240" w:lineRule="auto"/>
              <w:rPr>
                <w:rFonts w:eastAsia="Times New Roman" w:cstheme="minorHAnsi"/>
                <w:lang w:val="en-GB" w:eastAsia="en-GB"/>
              </w:rPr>
            </w:pPr>
          </w:p>
        </w:tc>
        <w:tc>
          <w:tcPr>
            <w:tcW w:w="408" w:type="dxa"/>
            <w:tcBorders>
              <w:top w:val="nil"/>
              <w:left w:val="nil"/>
              <w:bottom w:val="nil"/>
              <w:right w:val="nil"/>
            </w:tcBorders>
            <w:shd w:val="clear" w:color="auto" w:fill="auto"/>
            <w:hideMark/>
          </w:tcPr>
          <w:p w14:paraId="4A090FEC" w14:textId="77777777" w:rsidR="00E50B6B" w:rsidRPr="00000F38" w:rsidRDefault="00E50B6B" w:rsidP="00E50B6B">
            <w:pPr>
              <w:spacing w:after="0" w:line="240" w:lineRule="auto"/>
              <w:rPr>
                <w:rFonts w:eastAsia="Times New Roman" w:cstheme="minorHAnsi"/>
                <w:lang w:val="en-GB" w:eastAsia="en-GB"/>
              </w:rPr>
            </w:pPr>
          </w:p>
        </w:tc>
        <w:tc>
          <w:tcPr>
            <w:tcW w:w="248" w:type="dxa"/>
            <w:tcBorders>
              <w:top w:val="nil"/>
              <w:left w:val="nil"/>
              <w:bottom w:val="nil"/>
              <w:right w:val="nil"/>
            </w:tcBorders>
            <w:shd w:val="clear" w:color="auto" w:fill="auto"/>
            <w:hideMark/>
          </w:tcPr>
          <w:p w14:paraId="58B4A33B" w14:textId="77777777" w:rsidR="00E50B6B" w:rsidRPr="00000F38" w:rsidRDefault="00E50B6B" w:rsidP="00E50B6B">
            <w:pPr>
              <w:spacing w:after="0" w:line="240" w:lineRule="auto"/>
              <w:rPr>
                <w:rFonts w:eastAsia="Times New Roman" w:cstheme="minorHAnsi"/>
                <w:lang w:val="en-GB" w:eastAsia="en-GB"/>
              </w:rPr>
            </w:pPr>
          </w:p>
        </w:tc>
        <w:tc>
          <w:tcPr>
            <w:tcW w:w="378" w:type="dxa"/>
            <w:tcBorders>
              <w:top w:val="nil"/>
              <w:left w:val="nil"/>
              <w:bottom w:val="nil"/>
              <w:right w:val="nil"/>
            </w:tcBorders>
            <w:shd w:val="clear" w:color="auto" w:fill="auto"/>
            <w:hideMark/>
          </w:tcPr>
          <w:p w14:paraId="24E6E7C0" w14:textId="77777777" w:rsidR="00E50B6B" w:rsidRPr="00000F38" w:rsidRDefault="00E50B6B" w:rsidP="00E50B6B">
            <w:pPr>
              <w:spacing w:after="0" w:line="240" w:lineRule="auto"/>
              <w:rPr>
                <w:rFonts w:eastAsia="Times New Roman" w:cstheme="minorHAnsi"/>
                <w:lang w:val="en-GB" w:eastAsia="en-GB"/>
              </w:rPr>
            </w:pPr>
          </w:p>
        </w:tc>
        <w:tc>
          <w:tcPr>
            <w:tcW w:w="408" w:type="dxa"/>
            <w:tcBorders>
              <w:top w:val="nil"/>
              <w:left w:val="nil"/>
              <w:bottom w:val="nil"/>
              <w:right w:val="nil"/>
            </w:tcBorders>
            <w:shd w:val="clear" w:color="auto" w:fill="auto"/>
            <w:hideMark/>
          </w:tcPr>
          <w:p w14:paraId="49557802" w14:textId="77777777" w:rsidR="00E50B6B" w:rsidRPr="00000F38" w:rsidRDefault="00E50B6B" w:rsidP="00E50B6B">
            <w:pPr>
              <w:spacing w:after="0" w:line="240" w:lineRule="auto"/>
              <w:rPr>
                <w:rFonts w:eastAsia="Times New Roman" w:cstheme="minorHAnsi"/>
                <w:lang w:val="en-GB" w:eastAsia="en-GB"/>
              </w:rPr>
            </w:pPr>
          </w:p>
        </w:tc>
        <w:tc>
          <w:tcPr>
            <w:tcW w:w="248" w:type="dxa"/>
            <w:tcBorders>
              <w:top w:val="nil"/>
              <w:left w:val="nil"/>
              <w:bottom w:val="nil"/>
              <w:right w:val="nil"/>
            </w:tcBorders>
            <w:shd w:val="clear" w:color="auto" w:fill="auto"/>
            <w:hideMark/>
          </w:tcPr>
          <w:p w14:paraId="6EE9B499" w14:textId="77777777" w:rsidR="00E50B6B" w:rsidRPr="00000F38" w:rsidRDefault="00E50B6B" w:rsidP="00E50B6B">
            <w:pPr>
              <w:spacing w:after="0" w:line="240" w:lineRule="auto"/>
              <w:rPr>
                <w:rFonts w:eastAsia="Times New Roman" w:cstheme="minorHAnsi"/>
                <w:lang w:val="en-GB" w:eastAsia="en-GB"/>
              </w:rPr>
            </w:pPr>
          </w:p>
        </w:tc>
        <w:tc>
          <w:tcPr>
            <w:tcW w:w="378" w:type="dxa"/>
            <w:tcBorders>
              <w:top w:val="nil"/>
              <w:left w:val="nil"/>
              <w:bottom w:val="nil"/>
              <w:right w:val="nil"/>
            </w:tcBorders>
            <w:shd w:val="clear" w:color="auto" w:fill="auto"/>
            <w:hideMark/>
          </w:tcPr>
          <w:p w14:paraId="16C2438D" w14:textId="77777777" w:rsidR="00E50B6B" w:rsidRPr="00000F38" w:rsidRDefault="00E50B6B" w:rsidP="00E50B6B">
            <w:pPr>
              <w:spacing w:after="0" w:line="240" w:lineRule="auto"/>
              <w:rPr>
                <w:rFonts w:eastAsia="Times New Roman" w:cstheme="minorHAnsi"/>
                <w:lang w:val="en-GB" w:eastAsia="en-GB"/>
              </w:rPr>
            </w:pPr>
          </w:p>
        </w:tc>
        <w:tc>
          <w:tcPr>
            <w:tcW w:w="378" w:type="dxa"/>
            <w:tcBorders>
              <w:top w:val="nil"/>
              <w:left w:val="nil"/>
              <w:bottom w:val="nil"/>
              <w:right w:val="nil"/>
            </w:tcBorders>
            <w:shd w:val="clear" w:color="auto" w:fill="auto"/>
            <w:hideMark/>
          </w:tcPr>
          <w:p w14:paraId="35A63657" w14:textId="77777777" w:rsidR="00E50B6B" w:rsidRPr="00000F38" w:rsidRDefault="00E50B6B" w:rsidP="00E50B6B">
            <w:pPr>
              <w:spacing w:after="0" w:line="240" w:lineRule="auto"/>
              <w:rPr>
                <w:rFonts w:eastAsia="Times New Roman" w:cstheme="minorHAnsi"/>
                <w:lang w:val="en-GB" w:eastAsia="en-GB"/>
              </w:rPr>
            </w:pPr>
          </w:p>
        </w:tc>
      </w:tr>
      <w:tr w:rsidR="00E50B6B" w:rsidRPr="00000F38" w14:paraId="52F739D4" w14:textId="77777777" w:rsidTr="00E50B6B">
        <w:trPr>
          <w:trHeight w:val="255"/>
        </w:trPr>
        <w:tc>
          <w:tcPr>
            <w:tcW w:w="508" w:type="dxa"/>
            <w:tcBorders>
              <w:top w:val="nil"/>
              <w:left w:val="nil"/>
              <w:bottom w:val="nil"/>
              <w:right w:val="nil"/>
            </w:tcBorders>
            <w:shd w:val="clear" w:color="auto" w:fill="auto"/>
            <w:noWrap/>
            <w:hideMark/>
          </w:tcPr>
          <w:p w14:paraId="682BBFE4" w14:textId="77777777" w:rsidR="00E50B6B" w:rsidRPr="00000F38" w:rsidRDefault="00E50B6B" w:rsidP="00E50B6B">
            <w:pPr>
              <w:spacing w:after="0" w:line="240" w:lineRule="auto"/>
              <w:rPr>
                <w:rFonts w:eastAsia="Times New Roman" w:cstheme="minorHAnsi"/>
                <w:lang w:val="en-GB" w:eastAsia="en-GB"/>
              </w:rPr>
            </w:pPr>
          </w:p>
        </w:tc>
        <w:tc>
          <w:tcPr>
            <w:tcW w:w="2528" w:type="dxa"/>
            <w:tcBorders>
              <w:top w:val="nil"/>
              <w:left w:val="nil"/>
              <w:bottom w:val="nil"/>
              <w:right w:val="nil"/>
            </w:tcBorders>
            <w:shd w:val="clear" w:color="auto" w:fill="auto"/>
            <w:hideMark/>
          </w:tcPr>
          <w:p w14:paraId="716D6AE3" w14:textId="77777777" w:rsidR="00E50B6B" w:rsidRPr="00000F38" w:rsidRDefault="00E50B6B" w:rsidP="00E50B6B">
            <w:pPr>
              <w:spacing w:after="0" w:line="240" w:lineRule="auto"/>
              <w:rPr>
                <w:rFonts w:eastAsia="Times New Roman" w:cstheme="minorHAnsi"/>
                <w:b/>
                <w:bCs/>
                <w:color w:val="000000"/>
                <w:u w:val="single"/>
                <w:lang w:val="en-GB" w:eastAsia="en-GB"/>
              </w:rPr>
            </w:pPr>
            <w:r w:rsidRPr="00000F38">
              <w:rPr>
                <w:rFonts w:eastAsia="Times New Roman" w:cstheme="minorHAnsi"/>
                <w:b/>
                <w:bCs/>
                <w:color w:val="000000"/>
                <w:u w:val="single"/>
                <w:lang w:val="en-GB" w:eastAsia="en-GB"/>
              </w:rPr>
              <w:t>Note</w:t>
            </w:r>
          </w:p>
        </w:tc>
        <w:tc>
          <w:tcPr>
            <w:tcW w:w="443" w:type="dxa"/>
            <w:tcBorders>
              <w:top w:val="nil"/>
              <w:left w:val="nil"/>
              <w:bottom w:val="nil"/>
              <w:right w:val="nil"/>
            </w:tcBorders>
            <w:shd w:val="clear" w:color="auto" w:fill="auto"/>
            <w:hideMark/>
          </w:tcPr>
          <w:p w14:paraId="0DAA773C" w14:textId="77777777" w:rsidR="00E50B6B" w:rsidRPr="00000F38" w:rsidRDefault="00E50B6B" w:rsidP="00E50B6B">
            <w:pPr>
              <w:spacing w:after="0" w:line="240" w:lineRule="auto"/>
              <w:rPr>
                <w:rFonts w:eastAsia="Times New Roman" w:cstheme="minorHAnsi"/>
                <w:b/>
                <w:bCs/>
                <w:color w:val="000000"/>
                <w:u w:val="single"/>
                <w:lang w:val="en-GB" w:eastAsia="en-GB"/>
              </w:rPr>
            </w:pPr>
          </w:p>
        </w:tc>
        <w:tc>
          <w:tcPr>
            <w:tcW w:w="407" w:type="dxa"/>
            <w:tcBorders>
              <w:top w:val="nil"/>
              <w:left w:val="nil"/>
              <w:bottom w:val="nil"/>
              <w:right w:val="nil"/>
            </w:tcBorders>
            <w:shd w:val="clear" w:color="auto" w:fill="auto"/>
            <w:hideMark/>
          </w:tcPr>
          <w:p w14:paraId="5FACFA82" w14:textId="77777777" w:rsidR="00E50B6B" w:rsidRPr="00000F38" w:rsidRDefault="00E50B6B" w:rsidP="00E50B6B">
            <w:pPr>
              <w:spacing w:after="0" w:line="240" w:lineRule="auto"/>
              <w:rPr>
                <w:rFonts w:eastAsia="Times New Roman" w:cstheme="minorHAnsi"/>
                <w:lang w:val="en-GB" w:eastAsia="en-GB"/>
              </w:rPr>
            </w:pPr>
          </w:p>
        </w:tc>
        <w:tc>
          <w:tcPr>
            <w:tcW w:w="248" w:type="dxa"/>
            <w:tcBorders>
              <w:top w:val="nil"/>
              <w:left w:val="nil"/>
              <w:bottom w:val="nil"/>
              <w:right w:val="nil"/>
            </w:tcBorders>
            <w:shd w:val="clear" w:color="auto" w:fill="auto"/>
            <w:hideMark/>
          </w:tcPr>
          <w:p w14:paraId="0A133289" w14:textId="77777777" w:rsidR="00E50B6B" w:rsidRPr="00000F38" w:rsidRDefault="00E50B6B" w:rsidP="00E50B6B">
            <w:pPr>
              <w:spacing w:after="0" w:line="240" w:lineRule="auto"/>
              <w:rPr>
                <w:rFonts w:eastAsia="Times New Roman" w:cstheme="minorHAnsi"/>
                <w:lang w:val="en-GB" w:eastAsia="en-GB"/>
              </w:rPr>
            </w:pPr>
          </w:p>
        </w:tc>
        <w:tc>
          <w:tcPr>
            <w:tcW w:w="378" w:type="dxa"/>
            <w:tcBorders>
              <w:top w:val="nil"/>
              <w:left w:val="nil"/>
              <w:bottom w:val="nil"/>
              <w:right w:val="nil"/>
            </w:tcBorders>
            <w:shd w:val="clear" w:color="auto" w:fill="auto"/>
            <w:hideMark/>
          </w:tcPr>
          <w:p w14:paraId="1D865510" w14:textId="77777777" w:rsidR="00E50B6B" w:rsidRPr="00000F38" w:rsidRDefault="00E50B6B" w:rsidP="00E50B6B">
            <w:pPr>
              <w:spacing w:after="0" w:line="240" w:lineRule="auto"/>
              <w:rPr>
                <w:rFonts w:eastAsia="Times New Roman" w:cstheme="minorHAnsi"/>
                <w:lang w:val="en-GB" w:eastAsia="en-GB"/>
              </w:rPr>
            </w:pPr>
          </w:p>
        </w:tc>
        <w:tc>
          <w:tcPr>
            <w:tcW w:w="408" w:type="dxa"/>
            <w:tcBorders>
              <w:top w:val="nil"/>
              <w:left w:val="nil"/>
              <w:bottom w:val="nil"/>
              <w:right w:val="nil"/>
            </w:tcBorders>
            <w:shd w:val="clear" w:color="auto" w:fill="auto"/>
            <w:hideMark/>
          </w:tcPr>
          <w:p w14:paraId="457A0F7E" w14:textId="77777777" w:rsidR="00E50B6B" w:rsidRPr="00000F38" w:rsidRDefault="00E50B6B" w:rsidP="00E50B6B">
            <w:pPr>
              <w:spacing w:after="0" w:line="240" w:lineRule="auto"/>
              <w:rPr>
                <w:rFonts w:eastAsia="Times New Roman" w:cstheme="minorHAnsi"/>
                <w:lang w:val="en-GB" w:eastAsia="en-GB"/>
              </w:rPr>
            </w:pPr>
          </w:p>
        </w:tc>
        <w:tc>
          <w:tcPr>
            <w:tcW w:w="248" w:type="dxa"/>
            <w:tcBorders>
              <w:top w:val="nil"/>
              <w:left w:val="nil"/>
              <w:bottom w:val="nil"/>
              <w:right w:val="nil"/>
            </w:tcBorders>
            <w:shd w:val="clear" w:color="auto" w:fill="auto"/>
            <w:hideMark/>
          </w:tcPr>
          <w:p w14:paraId="76B135F4" w14:textId="77777777" w:rsidR="00E50B6B" w:rsidRPr="00000F38" w:rsidRDefault="00E50B6B" w:rsidP="00E50B6B">
            <w:pPr>
              <w:spacing w:after="0" w:line="240" w:lineRule="auto"/>
              <w:rPr>
                <w:rFonts w:eastAsia="Times New Roman" w:cstheme="minorHAnsi"/>
                <w:lang w:val="en-GB" w:eastAsia="en-GB"/>
              </w:rPr>
            </w:pPr>
          </w:p>
        </w:tc>
        <w:tc>
          <w:tcPr>
            <w:tcW w:w="378" w:type="dxa"/>
            <w:tcBorders>
              <w:top w:val="nil"/>
              <w:left w:val="nil"/>
              <w:bottom w:val="nil"/>
              <w:right w:val="nil"/>
            </w:tcBorders>
            <w:shd w:val="clear" w:color="auto" w:fill="auto"/>
            <w:hideMark/>
          </w:tcPr>
          <w:p w14:paraId="076FC209" w14:textId="77777777" w:rsidR="00E50B6B" w:rsidRPr="00000F38" w:rsidRDefault="00E50B6B" w:rsidP="00E50B6B">
            <w:pPr>
              <w:spacing w:after="0" w:line="240" w:lineRule="auto"/>
              <w:rPr>
                <w:rFonts w:eastAsia="Times New Roman" w:cstheme="minorHAnsi"/>
                <w:lang w:val="en-GB" w:eastAsia="en-GB"/>
              </w:rPr>
            </w:pPr>
          </w:p>
        </w:tc>
        <w:tc>
          <w:tcPr>
            <w:tcW w:w="408" w:type="dxa"/>
            <w:tcBorders>
              <w:top w:val="nil"/>
              <w:left w:val="nil"/>
              <w:bottom w:val="nil"/>
              <w:right w:val="nil"/>
            </w:tcBorders>
            <w:shd w:val="clear" w:color="auto" w:fill="auto"/>
            <w:hideMark/>
          </w:tcPr>
          <w:p w14:paraId="6573986D" w14:textId="77777777" w:rsidR="00E50B6B" w:rsidRPr="00000F38" w:rsidRDefault="00E50B6B" w:rsidP="00E50B6B">
            <w:pPr>
              <w:spacing w:after="0" w:line="240" w:lineRule="auto"/>
              <w:rPr>
                <w:rFonts w:eastAsia="Times New Roman" w:cstheme="minorHAnsi"/>
                <w:lang w:val="en-GB" w:eastAsia="en-GB"/>
              </w:rPr>
            </w:pPr>
          </w:p>
        </w:tc>
        <w:tc>
          <w:tcPr>
            <w:tcW w:w="248" w:type="dxa"/>
            <w:tcBorders>
              <w:top w:val="nil"/>
              <w:left w:val="nil"/>
              <w:bottom w:val="nil"/>
              <w:right w:val="nil"/>
            </w:tcBorders>
            <w:shd w:val="clear" w:color="auto" w:fill="auto"/>
            <w:hideMark/>
          </w:tcPr>
          <w:p w14:paraId="1EAB808A" w14:textId="77777777" w:rsidR="00E50B6B" w:rsidRPr="00000F38" w:rsidRDefault="00E50B6B" w:rsidP="00E50B6B">
            <w:pPr>
              <w:spacing w:after="0" w:line="240" w:lineRule="auto"/>
              <w:rPr>
                <w:rFonts w:eastAsia="Times New Roman" w:cstheme="minorHAnsi"/>
                <w:lang w:val="en-GB" w:eastAsia="en-GB"/>
              </w:rPr>
            </w:pPr>
          </w:p>
        </w:tc>
        <w:tc>
          <w:tcPr>
            <w:tcW w:w="378" w:type="dxa"/>
            <w:tcBorders>
              <w:top w:val="nil"/>
              <w:left w:val="nil"/>
              <w:bottom w:val="nil"/>
              <w:right w:val="nil"/>
            </w:tcBorders>
            <w:shd w:val="clear" w:color="auto" w:fill="auto"/>
            <w:hideMark/>
          </w:tcPr>
          <w:p w14:paraId="346EFA09" w14:textId="77777777" w:rsidR="00E50B6B" w:rsidRPr="00000F38" w:rsidRDefault="00E50B6B" w:rsidP="00E50B6B">
            <w:pPr>
              <w:spacing w:after="0" w:line="240" w:lineRule="auto"/>
              <w:rPr>
                <w:rFonts w:eastAsia="Times New Roman" w:cstheme="minorHAnsi"/>
                <w:lang w:val="en-GB" w:eastAsia="en-GB"/>
              </w:rPr>
            </w:pPr>
          </w:p>
        </w:tc>
        <w:tc>
          <w:tcPr>
            <w:tcW w:w="408" w:type="dxa"/>
            <w:tcBorders>
              <w:top w:val="nil"/>
              <w:left w:val="nil"/>
              <w:bottom w:val="nil"/>
              <w:right w:val="nil"/>
            </w:tcBorders>
            <w:shd w:val="clear" w:color="auto" w:fill="auto"/>
            <w:hideMark/>
          </w:tcPr>
          <w:p w14:paraId="207B0530" w14:textId="77777777" w:rsidR="00E50B6B" w:rsidRPr="00000F38" w:rsidRDefault="00E50B6B" w:rsidP="00E50B6B">
            <w:pPr>
              <w:spacing w:after="0" w:line="240" w:lineRule="auto"/>
              <w:rPr>
                <w:rFonts w:eastAsia="Times New Roman" w:cstheme="minorHAnsi"/>
                <w:lang w:val="en-GB" w:eastAsia="en-GB"/>
              </w:rPr>
            </w:pPr>
          </w:p>
        </w:tc>
        <w:tc>
          <w:tcPr>
            <w:tcW w:w="248" w:type="dxa"/>
            <w:tcBorders>
              <w:top w:val="nil"/>
              <w:left w:val="nil"/>
              <w:bottom w:val="nil"/>
              <w:right w:val="nil"/>
            </w:tcBorders>
            <w:shd w:val="clear" w:color="auto" w:fill="auto"/>
            <w:hideMark/>
          </w:tcPr>
          <w:p w14:paraId="2A82B4B7" w14:textId="77777777" w:rsidR="00E50B6B" w:rsidRPr="00000F38" w:rsidRDefault="00E50B6B" w:rsidP="00E50B6B">
            <w:pPr>
              <w:spacing w:after="0" w:line="240" w:lineRule="auto"/>
              <w:rPr>
                <w:rFonts w:eastAsia="Times New Roman" w:cstheme="minorHAnsi"/>
                <w:lang w:val="en-GB" w:eastAsia="en-GB"/>
              </w:rPr>
            </w:pPr>
          </w:p>
        </w:tc>
        <w:tc>
          <w:tcPr>
            <w:tcW w:w="378" w:type="dxa"/>
            <w:tcBorders>
              <w:top w:val="nil"/>
              <w:left w:val="nil"/>
              <w:bottom w:val="nil"/>
              <w:right w:val="nil"/>
            </w:tcBorders>
            <w:shd w:val="clear" w:color="auto" w:fill="auto"/>
            <w:hideMark/>
          </w:tcPr>
          <w:p w14:paraId="735BA5BF" w14:textId="77777777" w:rsidR="00E50B6B" w:rsidRPr="00000F38" w:rsidRDefault="00E50B6B" w:rsidP="00E50B6B">
            <w:pPr>
              <w:spacing w:after="0" w:line="240" w:lineRule="auto"/>
              <w:rPr>
                <w:rFonts w:eastAsia="Times New Roman" w:cstheme="minorHAnsi"/>
                <w:lang w:val="en-GB" w:eastAsia="en-GB"/>
              </w:rPr>
            </w:pPr>
          </w:p>
        </w:tc>
        <w:tc>
          <w:tcPr>
            <w:tcW w:w="408" w:type="dxa"/>
            <w:tcBorders>
              <w:top w:val="nil"/>
              <w:left w:val="nil"/>
              <w:bottom w:val="nil"/>
              <w:right w:val="nil"/>
            </w:tcBorders>
            <w:shd w:val="clear" w:color="auto" w:fill="auto"/>
            <w:hideMark/>
          </w:tcPr>
          <w:p w14:paraId="1DF2855A" w14:textId="77777777" w:rsidR="00E50B6B" w:rsidRPr="00000F38" w:rsidRDefault="00E50B6B" w:rsidP="00E50B6B">
            <w:pPr>
              <w:spacing w:after="0" w:line="240" w:lineRule="auto"/>
              <w:rPr>
                <w:rFonts w:eastAsia="Times New Roman" w:cstheme="minorHAnsi"/>
                <w:lang w:val="en-GB" w:eastAsia="en-GB"/>
              </w:rPr>
            </w:pPr>
          </w:p>
        </w:tc>
        <w:tc>
          <w:tcPr>
            <w:tcW w:w="248" w:type="dxa"/>
            <w:tcBorders>
              <w:top w:val="nil"/>
              <w:left w:val="nil"/>
              <w:bottom w:val="nil"/>
              <w:right w:val="nil"/>
            </w:tcBorders>
            <w:shd w:val="clear" w:color="auto" w:fill="auto"/>
            <w:hideMark/>
          </w:tcPr>
          <w:p w14:paraId="7BF295FF" w14:textId="77777777" w:rsidR="00E50B6B" w:rsidRPr="00000F38" w:rsidRDefault="00E50B6B" w:rsidP="00E50B6B">
            <w:pPr>
              <w:spacing w:after="0" w:line="240" w:lineRule="auto"/>
              <w:rPr>
                <w:rFonts w:eastAsia="Times New Roman" w:cstheme="minorHAnsi"/>
                <w:lang w:val="en-GB" w:eastAsia="en-GB"/>
              </w:rPr>
            </w:pPr>
          </w:p>
        </w:tc>
        <w:tc>
          <w:tcPr>
            <w:tcW w:w="378" w:type="dxa"/>
            <w:tcBorders>
              <w:top w:val="nil"/>
              <w:left w:val="nil"/>
              <w:bottom w:val="nil"/>
              <w:right w:val="nil"/>
            </w:tcBorders>
            <w:shd w:val="clear" w:color="auto" w:fill="auto"/>
            <w:hideMark/>
          </w:tcPr>
          <w:p w14:paraId="247162B5" w14:textId="77777777" w:rsidR="00E50B6B" w:rsidRPr="00000F38" w:rsidRDefault="00E50B6B" w:rsidP="00E50B6B">
            <w:pPr>
              <w:spacing w:after="0" w:line="240" w:lineRule="auto"/>
              <w:rPr>
                <w:rFonts w:eastAsia="Times New Roman" w:cstheme="minorHAnsi"/>
                <w:lang w:val="en-GB" w:eastAsia="en-GB"/>
              </w:rPr>
            </w:pPr>
          </w:p>
        </w:tc>
        <w:tc>
          <w:tcPr>
            <w:tcW w:w="378" w:type="dxa"/>
            <w:tcBorders>
              <w:top w:val="nil"/>
              <w:left w:val="nil"/>
              <w:bottom w:val="nil"/>
              <w:right w:val="nil"/>
            </w:tcBorders>
            <w:shd w:val="clear" w:color="auto" w:fill="auto"/>
            <w:hideMark/>
          </w:tcPr>
          <w:p w14:paraId="2CE47207" w14:textId="77777777" w:rsidR="00E50B6B" w:rsidRPr="00000F38" w:rsidRDefault="00E50B6B" w:rsidP="00E50B6B">
            <w:pPr>
              <w:spacing w:after="0" w:line="240" w:lineRule="auto"/>
              <w:rPr>
                <w:rFonts w:eastAsia="Times New Roman" w:cstheme="minorHAnsi"/>
                <w:lang w:val="en-GB" w:eastAsia="en-GB"/>
              </w:rPr>
            </w:pPr>
          </w:p>
        </w:tc>
      </w:tr>
      <w:tr w:rsidR="00E50B6B" w:rsidRPr="00000F38" w14:paraId="2C50B1A1" w14:textId="77777777" w:rsidTr="00E50B6B">
        <w:trPr>
          <w:trHeight w:val="330"/>
        </w:trPr>
        <w:tc>
          <w:tcPr>
            <w:tcW w:w="508" w:type="dxa"/>
            <w:tcBorders>
              <w:top w:val="nil"/>
              <w:left w:val="nil"/>
              <w:bottom w:val="nil"/>
              <w:right w:val="nil"/>
            </w:tcBorders>
            <w:shd w:val="clear" w:color="auto" w:fill="auto"/>
            <w:noWrap/>
            <w:hideMark/>
          </w:tcPr>
          <w:p w14:paraId="71725833" w14:textId="77777777" w:rsidR="00E50B6B" w:rsidRPr="00000F38" w:rsidRDefault="00E50B6B" w:rsidP="00E50B6B">
            <w:pPr>
              <w:spacing w:after="0" w:line="240" w:lineRule="auto"/>
              <w:rPr>
                <w:rFonts w:eastAsia="Times New Roman" w:cstheme="minorHAnsi"/>
                <w:lang w:val="en-GB" w:eastAsia="en-GB"/>
              </w:rPr>
            </w:pPr>
          </w:p>
        </w:tc>
        <w:tc>
          <w:tcPr>
            <w:tcW w:w="4660" w:type="dxa"/>
            <w:gridSpan w:val="7"/>
            <w:tcBorders>
              <w:top w:val="nil"/>
              <w:left w:val="nil"/>
              <w:bottom w:val="nil"/>
              <w:right w:val="nil"/>
            </w:tcBorders>
            <w:shd w:val="clear" w:color="auto" w:fill="auto"/>
            <w:hideMark/>
          </w:tcPr>
          <w:p w14:paraId="4AAE82BB"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Bidders have to specify the particulars including the configurations for the listed solutions as per their solution design to meet the requirements of the RFP</w:t>
            </w:r>
          </w:p>
        </w:tc>
        <w:tc>
          <w:tcPr>
            <w:tcW w:w="378" w:type="dxa"/>
            <w:tcBorders>
              <w:top w:val="nil"/>
              <w:left w:val="nil"/>
              <w:bottom w:val="nil"/>
              <w:right w:val="nil"/>
            </w:tcBorders>
            <w:shd w:val="clear" w:color="auto" w:fill="auto"/>
            <w:hideMark/>
          </w:tcPr>
          <w:p w14:paraId="23DA107C" w14:textId="77777777" w:rsidR="00E50B6B" w:rsidRPr="00000F38" w:rsidRDefault="00E50B6B" w:rsidP="00E50B6B">
            <w:pPr>
              <w:spacing w:after="0" w:line="240" w:lineRule="auto"/>
              <w:rPr>
                <w:rFonts w:eastAsia="Times New Roman" w:cstheme="minorHAnsi"/>
                <w:color w:val="000000"/>
                <w:lang w:val="en-GB" w:eastAsia="en-GB"/>
              </w:rPr>
            </w:pPr>
          </w:p>
        </w:tc>
        <w:tc>
          <w:tcPr>
            <w:tcW w:w="408" w:type="dxa"/>
            <w:tcBorders>
              <w:top w:val="nil"/>
              <w:left w:val="nil"/>
              <w:bottom w:val="nil"/>
              <w:right w:val="nil"/>
            </w:tcBorders>
            <w:shd w:val="clear" w:color="auto" w:fill="auto"/>
            <w:hideMark/>
          </w:tcPr>
          <w:p w14:paraId="7FB722A2" w14:textId="77777777" w:rsidR="00E50B6B" w:rsidRPr="00000F38" w:rsidRDefault="00E50B6B" w:rsidP="00E50B6B">
            <w:pPr>
              <w:spacing w:after="0" w:line="240" w:lineRule="auto"/>
              <w:rPr>
                <w:rFonts w:eastAsia="Times New Roman" w:cstheme="minorHAnsi"/>
                <w:lang w:val="en-GB" w:eastAsia="en-GB"/>
              </w:rPr>
            </w:pPr>
          </w:p>
        </w:tc>
        <w:tc>
          <w:tcPr>
            <w:tcW w:w="248" w:type="dxa"/>
            <w:tcBorders>
              <w:top w:val="nil"/>
              <w:left w:val="nil"/>
              <w:bottom w:val="nil"/>
              <w:right w:val="nil"/>
            </w:tcBorders>
            <w:shd w:val="clear" w:color="auto" w:fill="auto"/>
            <w:hideMark/>
          </w:tcPr>
          <w:p w14:paraId="2FB8ACE5" w14:textId="77777777" w:rsidR="00E50B6B" w:rsidRPr="00000F38" w:rsidRDefault="00E50B6B" w:rsidP="00E50B6B">
            <w:pPr>
              <w:spacing w:after="0" w:line="240" w:lineRule="auto"/>
              <w:rPr>
                <w:rFonts w:eastAsia="Times New Roman" w:cstheme="minorHAnsi"/>
                <w:lang w:val="en-GB" w:eastAsia="en-GB"/>
              </w:rPr>
            </w:pPr>
          </w:p>
        </w:tc>
        <w:tc>
          <w:tcPr>
            <w:tcW w:w="378" w:type="dxa"/>
            <w:tcBorders>
              <w:top w:val="nil"/>
              <w:left w:val="nil"/>
              <w:bottom w:val="nil"/>
              <w:right w:val="nil"/>
            </w:tcBorders>
            <w:shd w:val="clear" w:color="auto" w:fill="auto"/>
            <w:hideMark/>
          </w:tcPr>
          <w:p w14:paraId="5ACD9366" w14:textId="77777777" w:rsidR="00E50B6B" w:rsidRPr="00000F38" w:rsidRDefault="00E50B6B" w:rsidP="00E50B6B">
            <w:pPr>
              <w:spacing w:after="0" w:line="240" w:lineRule="auto"/>
              <w:rPr>
                <w:rFonts w:eastAsia="Times New Roman" w:cstheme="minorHAnsi"/>
                <w:lang w:val="en-GB" w:eastAsia="en-GB"/>
              </w:rPr>
            </w:pPr>
          </w:p>
        </w:tc>
        <w:tc>
          <w:tcPr>
            <w:tcW w:w="408" w:type="dxa"/>
            <w:tcBorders>
              <w:top w:val="nil"/>
              <w:left w:val="nil"/>
              <w:bottom w:val="nil"/>
              <w:right w:val="nil"/>
            </w:tcBorders>
            <w:shd w:val="clear" w:color="auto" w:fill="auto"/>
            <w:hideMark/>
          </w:tcPr>
          <w:p w14:paraId="1B9C9177" w14:textId="77777777" w:rsidR="00E50B6B" w:rsidRPr="00000F38" w:rsidRDefault="00E50B6B" w:rsidP="00E50B6B">
            <w:pPr>
              <w:spacing w:after="0" w:line="240" w:lineRule="auto"/>
              <w:rPr>
                <w:rFonts w:eastAsia="Times New Roman" w:cstheme="minorHAnsi"/>
                <w:lang w:val="en-GB" w:eastAsia="en-GB"/>
              </w:rPr>
            </w:pPr>
          </w:p>
        </w:tc>
        <w:tc>
          <w:tcPr>
            <w:tcW w:w="248" w:type="dxa"/>
            <w:tcBorders>
              <w:top w:val="nil"/>
              <w:left w:val="nil"/>
              <w:bottom w:val="nil"/>
              <w:right w:val="nil"/>
            </w:tcBorders>
            <w:shd w:val="clear" w:color="auto" w:fill="auto"/>
            <w:hideMark/>
          </w:tcPr>
          <w:p w14:paraId="60853ACD" w14:textId="77777777" w:rsidR="00E50B6B" w:rsidRPr="00000F38" w:rsidRDefault="00E50B6B" w:rsidP="00E50B6B">
            <w:pPr>
              <w:spacing w:after="0" w:line="240" w:lineRule="auto"/>
              <w:rPr>
                <w:rFonts w:eastAsia="Times New Roman" w:cstheme="minorHAnsi"/>
                <w:lang w:val="en-GB" w:eastAsia="en-GB"/>
              </w:rPr>
            </w:pPr>
          </w:p>
        </w:tc>
        <w:tc>
          <w:tcPr>
            <w:tcW w:w="378" w:type="dxa"/>
            <w:tcBorders>
              <w:top w:val="nil"/>
              <w:left w:val="nil"/>
              <w:bottom w:val="nil"/>
              <w:right w:val="nil"/>
            </w:tcBorders>
            <w:shd w:val="clear" w:color="auto" w:fill="auto"/>
            <w:hideMark/>
          </w:tcPr>
          <w:p w14:paraId="722DA9A1" w14:textId="77777777" w:rsidR="00E50B6B" w:rsidRPr="00000F38" w:rsidRDefault="00E50B6B" w:rsidP="00E50B6B">
            <w:pPr>
              <w:spacing w:after="0" w:line="240" w:lineRule="auto"/>
              <w:rPr>
                <w:rFonts w:eastAsia="Times New Roman" w:cstheme="minorHAnsi"/>
                <w:lang w:val="en-GB" w:eastAsia="en-GB"/>
              </w:rPr>
            </w:pPr>
          </w:p>
        </w:tc>
        <w:tc>
          <w:tcPr>
            <w:tcW w:w="408" w:type="dxa"/>
            <w:tcBorders>
              <w:top w:val="nil"/>
              <w:left w:val="nil"/>
              <w:bottom w:val="nil"/>
              <w:right w:val="nil"/>
            </w:tcBorders>
            <w:shd w:val="clear" w:color="auto" w:fill="auto"/>
            <w:hideMark/>
          </w:tcPr>
          <w:p w14:paraId="5CD1798D" w14:textId="77777777" w:rsidR="00E50B6B" w:rsidRPr="00000F38" w:rsidRDefault="00E50B6B" w:rsidP="00E50B6B">
            <w:pPr>
              <w:spacing w:after="0" w:line="240" w:lineRule="auto"/>
              <w:rPr>
                <w:rFonts w:eastAsia="Times New Roman" w:cstheme="minorHAnsi"/>
                <w:lang w:val="en-GB" w:eastAsia="en-GB"/>
              </w:rPr>
            </w:pPr>
          </w:p>
        </w:tc>
        <w:tc>
          <w:tcPr>
            <w:tcW w:w="248" w:type="dxa"/>
            <w:tcBorders>
              <w:top w:val="nil"/>
              <w:left w:val="nil"/>
              <w:bottom w:val="nil"/>
              <w:right w:val="nil"/>
            </w:tcBorders>
            <w:shd w:val="clear" w:color="auto" w:fill="auto"/>
            <w:hideMark/>
          </w:tcPr>
          <w:p w14:paraId="6B30FDFF" w14:textId="77777777" w:rsidR="00E50B6B" w:rsidRPr="00000F38" w:rsidRDefault="00E50B6B" w:rsidP="00E50B6B">
            <w:pPr>
              <w:spacing w:after="0" w:line="240" w:lineRule="auto"/>
              <w:rPr>
                <w:rFonts w:eastAsia="Times New Roman" w:cstheme="minorHAnsi"/>
                <w:lang w:val="en-GB" w:eastAsia="en-GB"/>
              </w:rPr>
            </w:pPr>
          </w:p>
        </w:tc>
        <w:tc>
          <w:tcPr>
            <w:tcW w:w="378" w:type="dxa"/>
            <w:tcBorders>
              <w:top w:val="nil"/>
              <w:left w:val="nil"/>
              <w:bottom w:val="nil"/>
              <w:right w:val="nil"/>
            </w:tcBorders>
            <w:shd w:val="clear" w:color="auto" w:fill="auto"/>
            <w:hideMark/>
          </w:tcPr>
          <w:p w14:paraId="518D0F6E" w14:textId="77777777" w:rsidR="00E50B6B" w:rsidRPr="00000F38" w:rsidRDefault="00E50B6B" w:rsidP="00E50B6B">
            <w:pPr>
              <w:spacing w:after="0" w:line="240" w:lineRule="auto"/>
              <w:rPr>
                <w:rFonts w:eastAsia="Times New Roman" w:cstheme="minorHAnsi"/>
                <w:lang w:val="en-GB" w:eastAsia="en-GB"/>
              </w:rPr>
            </w:pPr>
          </w:p>
        </w:tc>
        <w:tc>
          <w:tcPr>
            <w:tcW w:w="378" w:type="dxa"/>
            <w:tcBorders>
              <w:top w:val="nil"/>
              <w:left w:val="nil"/>
              <w:bottom w:val="nil"/>
              <w:right w:val="nil"/>
            </w:tcBorders>
            <w:shd w:val="clear" w:color="auto" w:fill="auto"/>
            <w:hideMark/>
          </w:tcPr>
          <w:p w14:paraId="2B95C91A" w14:textId="77777777" w:rsidR="00E50B6B" w:rsidRPr="00000F38" w:rsidRDefault="00E50B6B" w:rsidP="00E50B6B">
            <w:pPr>
              <w:spacing w:after="0" w:line="240" w:lineRule="auto"/>
              <w:rPr>
                <w:rFonts w:eastAsia="Times New Roman" w:cstheme="minorHAnsi"/>
                <w:lang w:val="en-GB" w:eastAsia="en-GB"/>
              </w:rPr>
            </w:pPr>
          </w:p>
        </w:tc>
      </w:tr>
      <w:tr w:rsidR="00E50B6B" w:rsidRPr="00000F38" w14:paraId="7FCFDA5C" w14:textId="77777777" w:rsidTr="00E50B6B">
        <w:trPr>
          <w:trHeight w:val="420"/>
        </w:trPr>
        <w:tc>
          <w:tcPr>
            <w:tcW w:w="508" w:type="dxa"/>
            <w:tcBorders>
              <w:top w:val="nil"/>
              <w:left w:val="nil"/>
              <w:bottom w:val="nil"/>
              <w:right w:val="nil"/>
            </w:tcBorders>
            <w:shd w:val="clear" w:color="auto" w:fill="auto"/>
            <w:noWrap/>
            <w:hideMark/>
          </w:tcPr>
          <w:p w14:paraId="2EBB3665" w14:textId="77777777" w:rsidR="00E50B6B" w:rsidRPr="00000F38" w:rsidRDefault="00E50B6B" w:rsidP="00E50B6B">
            <w:pPr>
              <w:spacing w:after="0" w:line="240" w:lineRule="auto"/>
              <w:rPr>
                <w:rFonts w:eastAsia="Times New Roman" w:cstheme="minorHAnsi"/>
                <w:lang w:val="en-GB" w:eastAsia="en-GB"/>
              </w:rPr>
            </w:pPr>
          </w:p>
        </w:tc>
        <w:tc>
          <w:tcPr>
            <w:tcW w:w="4660" w:type="dxa"/>
            <w:gridSpan w:val="7"/>
            <w:tcBorders>
              <w:top w:val="nil"/>
              <w:left w:val="nil"/>
              <w:bottom w:val="nil"/>
              <w:right w:val="nil"/>
            </w:tcBorders>
            <w:shd w:val="clear" w:color="auto" w:fill="auto"/>
            <w:hideMark/>
          </w:tcPr>
          <w:p w14:paraId="5F22906A"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Bidder to clearly specify the description of all proposed software, Bank may procure the software based on the rate provided on pro-rata basis.</w:t>
            </w:r>
          </w:p>
        </w:tc>
        <w:tc>
          <w:tcPr>
            <w:tcW w:w="378" w:type="dxa"/>
            <w:tcBorders>
              <w:top w:val="nil"/>
              <w:left w:val="nil"/>
              <w:bottom w:val="nil"/>
              <w:right w:val="nil"/>
            </w:tcBorders>
            <w:shd w:val="clear" w:color="auto" w:fill="auto"/>
            <w:hideMark/>
          </w:tcPr>
          <w:p w14:paraId="4C0B1689" w14:textId="77777777" w:rsidR="00E50B6B" w:rsidRPr="00000F38" w:rsidRDefault="00E50B6B" w:rsidP="00E50B6B">
            <w:pPr>
              <w:spacing w:after="0" w:line="240" w:lineRule="auto"/>
              <w:rPr>
                <w:rFonts w:eastAsia="Times New Roman" w:cstheme="minorHAnsi"/>
                <w:color w:val="000000"/>
                <w:lang w:val="en-GB" w:eastAsia="en-GB"/>
              </w:rPr>
            </w:pPr>
          </w:p>
        </w:tc>
        <w:tc>
          <w:tcPr>
            <w:tcW w:w="408" w:type="dxa"/>
            <w:tcBorders>
              <w:top w:val="nil"/>
              <w:left w:val="nil"/>
              <w:bottom w:val="nil"/>
              <w:right w:val="nil"/>
            </w:tcBorders>
            <w:shd w:val="clear" w:color="auto" w:fill="auto"/>
            <w:hideMark/>
          </w:tcPr>
          <w:p w14:paraId="606C726A" w14:textId="77777777" w:rsidR="00E50B6B" w:rsidRPr="00000F38" w:rsidRDefault="00E50B6B" w:rsidP="00E50B6B">
            <w:pPr>
              <w:spacing w:after="0" w:line="240" w:lineRule="auto"/>
              <w:rPr>
                <w:rFonts w:eastAsia="Times New Roman" w:cstheme="minorHAnsi"/>
                <w:lang w:val="en-GB" w:eastAsia="en-GB"/>
              </w:rPr>
            </w:pPr>
          </w:p>
        </w:tc>
        <w:tc>
          <w:tcPr>
            <w:tcW w:w="248" w:type="dxa"/>
            <w:tcBorders>
              <w:top w:val="nil"/>
              <w:left w:val="nil"/>
              <w:bottom w:val="nil"/>
              <w:right w:val="nil"/>
            </w:tcBorders>
            <w:shd w:val="clear" w:color="auto" w:fill="auto"/>
            <w:hideMark/>
          </w:tcPr>
          <w:p w14:paraId="3B6E34E2" w14:textId="77777777" w:rsidR="00E50B6B" w:rsidRPr="00000F38" w:rsidRDefault="00E50B6B" w:rsidP="00E50B6B">
            <w:pPr>
              <w:spacing w:after="0" w:line="240" w:lineRule="auto"/>
              <w:rPr>
                <w:rFonts w:eastAsia="Times New Roman" w:cstheme="minorHAnsi"/>
                <w:lang w:val="en-GB" w:eastAsia="en-GB"/>
              </w:rPr>
            </w:pPr>
          </w:p>
        </w:tc>
        <w:tc>
          <w:tcPr>
            <w:tcW w:w="378" w:type="dxa"/>
            <w:tcBorders>
              <w:top w:val="nil"/>
              <w:left w:val="nil"/>
              <w:bottom w:val="nil"/>
              <w:right w:val="nil"/>
            </w:tcBorders>
            <w:shd w:val="clear" w:color="auto" w:fill="auto"/>
            <w:hideMark/>
          </w:tcPr>
          <w:p w14:paraId="0DEF9CEB" w14:textId="77777777" w:rsidR="00E50B6B" w:rsidRPr="00000F38" w:rsidRDefault="00E50B6B" w:rsidP="00E50B6B">
            <w:pPr>
              <w:spacing w:after="0" w:line="240" w:lineRule="auto"/>
              <w:rPr>
                <w:rFonts w:eastAsia="Times New Roman" w:cstheme="minorHAnsi"/>
                <w:lang w:val="en-GB" w:eastAsia="en-GB"/>
              </w:rPr>
            </w:pPr>
          </w:p>
        </w:tc>
        <w:tc>
          <w:tcPr>
            <w:tcW w:w="408" w:type="dxa"/>
            <w:tcBorders>
              <w:top w:val="nil"/>
              <w:left w:val="nil"/>
              <w:bottom w:val="nil"/>
              <w:right w:val="nil"/>
            </w:tcBorders>
            <w:shd w:val="clear" w:color="auto" w:fill="auto"/>
            <w:hideMark/>
          </w:tcPr>
          <w:p w14:paraId="3C639C8B" w14:textId="77777777" w:rsidR="00E50B6B" w:rsidRPr="00000F38" w:rsidRDefault="00E50B6B" w:rsidP="00E50B6B">
            <w:pPr>
              <w:spacing w:after="0" w:line="240" w:lineRule="auto"/>
              <w:rPr>
                <w:rFonts w:eastAsia="Times New Roman" w:cstheme="minorHAnsi"/>
                <w:lang w:val="en-GB" w:eastAsia="en-GB"/>
              </w:rPr>
            </w:pPr>
          </w:p>
        </w:tc>
        <w:tc>
          <w:tcPr>
            <w:tcW w:w="248" w:type="dxa"/>
            <w:tcBorders>
              <w:top w:val="nil"/>
              <w:left w:val="nil"/>
              <w:bottom w:val="nil"/>
              <w:right w:val="nil"/>
            </w:tcBorders>
            <w:shd w:val="clear" w:color="auto" w:fill="auto"/>
            <w:hideMark/>
          </w:tcPr>
          <w:p w14:paraId="54794AAD" w14:textId="77777777" w:rsidR="00E50B6B" w:rsidRPr="00000F38" w:rsidRDefault="00E50B6B" w:rsidP="00E50B6B">
            <w:pPr>
              <w:spacing w:after="0" w:line="240" w:lineRule="auto"/>
              <w:rPr>
                <w:rFonts w:eastAsia="Times New Roman" w:cstheme="minorHAnsi"/>
                <w:lang w:val="en-GB" w:eastAsia="en-GB"/>
              </w:rPr>
            </w:pPr>
          </w:p>
        </w:tc>
        <w:tc>
          <w:tcPr>
            <w:tcW w:w="378" w:type="dxa"/>
            <w:tcBorders>
              <w:top w:val="nil"/>
              <w:left w:val="nil"/>
              <w:bottom w:val="nil"/>
              <w:right w:val="nil"/>
            </w:tcBorders>
            <w:shd w:val="clear" w:color="auto" w:fill="auto"/>
            <w:hideMark/>
          </w:tcPr>
          <w:p w14:paraId="4C32A1F1" w14:textId="77777777" w:rsidR="00E50B6B" w:rsidRPr="00000F38" w:rsidRDefault="00E50B6B" w:rsidP="00E50B6B">
            <w:pPr>
              <w:spacing w:after="0" w:line="240" w:lineRule="auto"/>
              <w:rPr>
                <w:rFonts w:eastAsia="Times New Roman" w:cstheme="minorHAnsi"/>
                <w:lang w:val="en-GB" w:eastAsia="en-GB"/>
              </w:rPr>
            </w:pPr>
          </w:p>
        </w:tc>
        <w:tc>
          <w:tcPr>
            <w:tcW w:w="408" w:type="dxa"/>
            <w:tcBorders>
              <w:top w:val="nil"/>
              <w:left w:val="nil"/>
              <w:bottom w:val="nil"/>
              <w:right w:val="nil"/>
            </w:tcBorders>
            <w:shd w:val="clear" w:color="auto" w:fill="auto"/>
            <w:hideMark/>
          </w:tcPr>
          <w:p w14:paraId="4D7B8540" w14:textId="77777777" w:rsidR="00E50B6B" w:rsidRPr="00000F38" w:rsidRDefault="00E50B6B" w:rsidP="00E50B6B">
            <w:pPr>
              <w:spacing w:after="0" w:line="240" w:lineRule="auto"/>
              <w:rPr>
                <w:rFonts w:eastAsia="Times New Roman" w:cstheme="minorHAnsi"/>
                <w:lang w:val="en-GB" w:eastAsia="en-GB"/>
              </w:rPr>
            </w:pPr>
          </w:p>
        </w:tc>
        <w:tc>
          <w:tcPr>
            <w:tcW w:w="248" w:type="dxa"/>
            <w:tcBorders>
              <w:top w:val="nil"/>
              <w:left w:val="nil"/>
              <w:bottom w:val="nil"/>
              <w:right w:val="nil"/>
            </w:tcBorders>
            <w:shd w:val="clear" w:color="auto" w:fill="auto"/>
            <w:hideMark/>
          </w:tcPr>
          <w:p w14:paraId="16B3B4E8" w14:textId="77777777" w:rsidR="00E50B6B" w:rsidRPr="00000F38" w:rsidRDefault="00E50B6B" w:rsidP="00E50B6B">
            <w:pPr>
              <w:spacing w:after="0" w:line="240" w:lineRule="auto"/>
              <w:rPr>
                <w:rFonts w:eastAsia="Times New Roman" w:cstheme="minorHAnsi"/>
                <w:lang w:val="en-GB" w:eastAsia="en-GB"/>
              </w:rPr>
            </w:pPr>
          </w:p>
        </w:tc>
        <w:tc>
          <w:tcPr>
            <w:tcW w:w="378" w:type="dxa"/>
            <w:tcBorders>
              <w:top w:val="nil"/>
              <w:left w:val="nil"/>
              <w:bottom w:val="nil"/>
              <w:right w:val="nil"/>
            </w:tcBorders>
            <w:shd w:val="clear" w:color="auto" w:fill="auto"/>
            <w:hideMark/>
          </w:tcPr>
          <w:p w14:paraId="072FD4CB" w14:textId="77777777" w:rsidR="00E50B6B" w:rsidRPr="00000F38" w:rsidRDefault="00E50B6B" w:rsidP="00E50B6B">
            <w:pPr>
              <w:spacing w:after="0" w:line="240" w:lineRule="auto"/>
              <w:rPr>
                <w:rFonts w:eastAsia="Times New Roman" w:cstheme="minorHAnsi"/>
                <w:lang w:val="en-GB" w:eastAsia="en-GB"/>
              </w:rPr>
            </w:pPr>
          </w:p>
        </w:tc>
        <w:tc>
          <w:tcPr>
            <w:tcW w:w="378" w:type="dxa"/>
            <w:tcBorders>
              <w:top w:val="nil"/>
              <w:left w:val="nil"/>
              <w:bottom w:val="nil"/>
              <w:right w:val="nil"/>
            </w:tcBorders>
            <w:shd w:val="clear" w:color="auto" w:fill="auto"/>
            <w:hideMark/>
          </w:tcPr>
          <w:p w14:paraId="51031F2D" w14:textId="77777777" w:rsidR="00E50B6B" w:rsidRPr="00000F38" w:rsidRDefault="00E50B6B" w:rsidP="00E50B6B">
            <w:pPr>
              <w:spacing w:after="0" w:line="240" w:lineRule="auto"/>
              <w:rPr>
                <w:rFonts w:eastAsia="Times New Roman" w:cstheme="minorHAnsi"/>
                <w:lang w:val="en-GB" w:eastAsia="en-GB"/>
              </w:rPr>
            </w:pPr>
          </w:p>
        </w:tc>
      </w:tr>
      <w:tr w:rsidR="00E50B6B" w:rsidRPr="00000F38" w14:paraId="6986E37E" w14:textId="77777777" w:rsidTr="00E50B6B">
        <w:trPr>
          <w:trHeight w:val="510"/>
        </w:trPr>
        <w:tc>
          <w:tcPr>
            <w:tcW w:w="508" w:type="dxa"/>
            <w:tcBorders>
              <w:top w:val="nil"/>
              <w:left w:val="nil"/>
              <w:bottom w:val="nil"/>
              <w:right w:val="nil"/>
            </w:tcBorders>
            <w:shd w:val="clear" w:color="auto" w:fill="auto"/>
            <w:noWrap/>
            <w:hideMark/>
          </w:tcPr>
          <w:p w14:paraId="63F8F388" w14:textId="77777777" w:rsidR="00E50B6B" w:rsidRPr="00000F38" w:rsidRDefault="00E50B6B" w:rsidP="00E50B6B">
            <w:pPr>
              <w:spacing w:after="0" w:line="240" w:lineRule="auto"/>
              <w:rPr>
                <w:rFonts w:eastAsia="Times New Roman" w:cstheme="minorHAnsi"/>
                <w:lang w:val="en-GB" w:eastAsia="en-GB"/>
              </w:rPr>
            </w:pPr>
          </w:p>
        </w:tc>
        <w:tc>
          <w:tcPr>
            <w:tcW w:w="2528" w:type="dxa"/>
            <w:tcBorders>
              <w:top w:val="nil"/>
              <w:left w:val="nil"/>
              <w:bottom w:val="nil"/>
              <w:right w:val="nil"/>
            </w:tcBorders>
            <w:shd w:val="clear" w:color="auto" w:fill="auto"/>
            <w:hideMark/>
          </w:tcPr>
          <w:p w14:paraId="60A388D6" w14:textId="77777777" w:rsidR="00E50B6B" w:rsidRPr="00000F38" w:rsidRDefault="00E50B6B" w:rsidP="00E50B6B">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xml:space="preserve">The Hardware costing should be inclusive of OS </w:t>
            </w:r>
          </w:p>
        </w:tc>
        <w:tc>
          <w:tcPr>
            <w:tcW w:w="443" w:type="dxa"/>
            <w:tcBorders>
              <w:top w:val="nil"/>
              <w:left w:val="nil"/>
              <w:bottom w:val="nil"/>
              <w:right w:val="nil"/>
            </w:tcBorders>
            <w:shd w:val="clear" w:color="auto" w:fill="auto"/>
            <w:hideMark/>
          </w:tcPr>
          <w:p w14:paraId="7CC5712D" w14:textId="77777777" w:rsidR="00E50B6B" w:rsidRPr="00000F38" w:rsidRDefault="00E50B6B" w:rsidP="00E50B6B">
            <w:pPr>
              <w:spacing w:after="0" w:line="240" w:lineRule="auto"/>
              <w:rPr>
                <w:rFonts w:eastAsia="Times New Roman" w:cstheme="minorHAnsi"/>
                <w:color w:val="000000"/>
                <w:lang w:val="en-GB" w:eastAsia="en-GB"/>
              </w:rPr>
            </w:pPr>
          </w:p>
        </w:tc>
        <w:tc>
          <w:tcPr>
            <w:tcW w:w="407" w:type="dxa"/>
            <w:tcBorders>
              <w:top w:val="nil"/>
              <w:left w:val="nil"/>
              <w:bottom w:val="nil"/>
              <w:right w:val="nil"/>
            </w:tcBorders>
            <w:shd w:val="clear" w:color="auto" w:fill="auto"/>
            <w:hideMark/>
          </w:tcPr>
          <w:p w14:paraId="3D93B9B8" w14:textId="77777777" w:rsidR="00E50B6B" w:rsidRPr="00000F38" w:rsidRDefault="00E50B6B" w:rsidP="00E50B6B">
            <w:pPr>
              <w:spacing w:after="0" w:line="240" w:lineRule="auto"/>
              <w:rPr>
                <w:rFonts w:eastAsia="Times New Roman" w:cstheme="minorHAnsi"/>
                <w:lang w:val="en-GB" w:eastAsia="en-GB"/>
              </w:rPr>
            </w:pPr>
          </w:p>
        </w:tc>
        <w:tc>
          <w:tcPr>
            <w:tcW w:w="248" w:type="dxa"/>
            <w:tcBorders>
              <w:top w:val="nil"/>
              <w:left w:val="nil"/>
              <w:bottom w:val="nil"/>
              <w:right w:val="nil"/>
            </w:tcBorders>
            <w:shd w:val="clear" w:color="auto" w:fill="auto"/>
            <w:hideMark/>
          </w:tcPr>
          <w:p w14:paraId="674890BF" w14:textId="77777777" w:rsidR="00E50B6B" w:rsidRPr="00000F38" w:rsidRDefault="00E50B6B" w:rsidP="00E50B6B">
            <w:pPr>
              <w:spacing w:after="0" w:line="240" w:lineRule="auto"/>
              <w:rPr>
                <w:rFonts w:eastAsia="Times New Roman" w:cstheme="minorHAnsi"/>
                <w:lang w:val="en-GB" w:eastAsia="en-GB"/>
              </w:rPr>
            </w:pPr>
          </w:p>
        </w:tc>
        <w:tc>
          <w:tcPr>
            <w:tcW w:w="378" w:type="dxa"/>
            <w:tcBorders>
              <w:top w:val="nil"/>
              <w:left w:val="nil"/>
              <w:bottom w:val="nil"/>
              <w:right w:val="nil"/>
            </w:tcBorders>
            <w:shd w:val="clear" w:color="auto" w:fill="auto"/>
            <w:hideMark/>
          </w:tcPr>
          <w:p w14:paraId="65E5E579" w14:textId="77777777" w:rsidR="00E50B6B" w:rsidRPr="00000F38" w:rsidRDefault="00E50B6B" w:rsidP="00E50B6B">
            <w:pPr>
              <w:spacing w:after="0" w:line="240" w:lineRule="auto"/>
              <w:rPr>
                <w:rFonts w:eastAsia="Times New Roman" w:cstheme="minorHAnsi"/>
                <w:lang w:val="en-GB" w:eastAsia="en-GB"/>
              </w:rPr>
            </w:pPr>
          </w:p>
        </w:tc>
        <w:tc>
          <w:tcPr>
            <w:tcW w:w="408" w:type="dxa"/>
            <w:tcBorders>
              <w:top w:val="nil"/>
              <w:left w:val="nil"/>
              <w:bottom w:val="nil"/>
              <w:right w:val="nil"/>
            </w:tcBorders>
            <w:shd w:val="clear" w:color="auto" w:fill="auto"/>
            <w:hideMark/>
          </w:tcPr>
          <w:p w14:paraId="3FA136FD" w14:textId="77777777" w:rsidR="00E50B6B" w:rsidRPr="00000F38" w:rsidRDefault="00E50B6B" w:rsidP="00E50B6B">
            <w:pPr>
              <w:spacing w:after="0" w:line="240" w:lineRule="auto"/>
              <w:rPr>
                <w:rFonts w:eastAsia="Times New Roman" w:cstheme="minorHAnsi"/>
                <w:lang w:val="en-GB" w:eastAsia="en-GB"/>
              </w:rPr>
            </w:pPr>
          </w:p>
        </w:tc>
        <w:tc>
          <w:tcPr>
            <w:tcW w:w="248" w:type="dxa"/>
            <w:tcBorders>
              <w:top w:val="nil"/>
              <w:left w:val="nil"/>
              <w:bottom w:val="nil"/>
              <w:right w:val="nil"/>
            </w:tcBorders>
            <w:shd w:val="clear" w:color="auto" w:fill="auto"/>
            <w:hideMark/>
          </w:tcPr>
          <w:p w14:paraId="26C74E32" w14:textId="77777777" w:rsidR="00E50B6B" w:rsidRPr="00000F38" w:rsidRDefault="00E50B6B" w:rsidP="00E50B6B">
            <w:pPr>
              <w:spacing w:after="0" w:line="240" w:lineRule="auto"/>
              <w:rPr>
                <w:rFonts w:eastAsia="Times New Roman" w:cstheme="minorHAnsi"/>
                <w:lang w:val="en-GB" w:eastAsia="en-GB"/>
              </w:rPr>
            </w:pPr>
          </w:p>
        </w:tc>
        <w:tc>
          <w:tcPr>
            <w:tcW w:w="378" w:type="dxa"/>
            <w:tcBorders>
              <w:top w:val="nil"/>
              <w:left w:val="nil"/>
              <w:bottom w:val="nil"/>
              <w:right w:val="nil"/>
            </w:tcBorders>
            <w:shd w:val="clear" w:color="auto" w:fill="auto"/>
            <w:hideMark/>
          </w:tcPr>
          <w:p w14:paraId="470F962D" w14:textId="77777777" w:rsidR="00E50B6B" w:rsidRPr="00000F38" w:rsidRDefault="00E50B6B" w:rsidP="00E50B6B">
            <w:pPr>
              <w:spacing w:after="0" w:line="240" w:lineRule="auto"/>
              <w:rPr>
                <w:rFonts w:eastAsia="Times New Roman" w:cstheme="minorHAnsi"/>
                <w:lang w:val="en-GB" w:eastAsia="en-GB"/>
              </w:rPr>
            </w:pPr>
          </w:p>
        </w:tc>
        <w:tc>
          <w:tcPr>
            <w:tcW w:w="408" w:type="dxa"/>
            <w:tcBorders>
              <w:top w:val="nil"/>
              <w:left w:val="nil"/>
              <w:bottom w:val="nil"/>
              <w:right w:val="nil"/>
            </w:tcBorders>
            <w:shd w:val="clear" w:color="auto" w:fill="auto"/>
            <w:hideMark/>
          </w:tcPr>
          <w:p w14:paraId="3C011729" w14:textId="77777777" w:rsidR="00E50B6B" w:rsidRPr="00000F38" w:rsidRDefault="00E50B6B" w:rsidP="00E50B6B">
            <w:pPr>
              <w:spacing w:after="0" w:line="240" w:lineRule="auto"/>
              <w:rPr>
                <w:rFonts w:eastAsia="Times New Roman" w:cstheme="minorHAnsi"/>
                <w:lang w:val="en-GB" w:eastAsia="en-GB"/>
              </w:rPr>
            </w:pPr>
          </w:p>
        </w:tc>
        <w:tc>
          <w:tcPr>
            <w:tcW w:w="248" w:type="dxa"/>
            <w:tcBorders>
              <w:top w:val="nil"/>
              <w:left w:val="nil"/>
              <w:bottom w:val="nil"/>
              <w:right w:val="nil"/>
            </w:tcBorders>
            <w:shd w:val="clear" w:color="auto" w:fill="auto"/>
            <w:hideMark/>
          </w:tcPr>
          <w:p w14:paraId="10E25F6E" w14:textId="77777777" w:rsidR="00E50B6B" w:rsidRPr="00000F38" w:rsidRDefault="00E50B6B" w:rsidP="00E50B6B">
            <w:pPr>
              <w:spacing w:after="0" w:line="240" w:lineRule="auto"/>
              <w:rPr>
                <w:rFonts w:eastAsia="Times New Roman" w:cstheme="minorHAnsi"/>
                <w:lang w:val="en-GB" w:eastAsia="en-GB"/>
              </w:rPr>
            </w:pPr>
          </w:p>
        </w:tc>
        <w:tc>
          <w:tcPr>
            <w:tcW w:w="378" w:type="dxa"/>
            <w:tcBorders>
              <w:top w:val="nil"/>
              <w:left w:val="nil"/>
              <w:bottom w:val="nil"/>
              <w:right w:val="nil"/>
            </w:tcBorders>
            <w:shd w:val="clear" w:color="auto" w:fill="auto"/>
            <w:hideMark/>
          </w:tcPr>
          <w:p w14:paraId="5773C924" w14:textId="77777777" w:rsidR="00E50B6B" w:rsidRPr="00000F38" w:rsidRDefault="00E50B6B" w:rsidP="00E50B6B">
            <w:pPr>
              <w:spacing w:after="0" w:line="240" w:lineRule="auto"/>
              <w:rPr>
                <w:rFonts w:eastAsia="Times New Roman" w:cstheme="minorHAnsi"/>
                <w:lang w:val="en-GB" w:eastAsia="en-GB"/>
              </w:rPr>
            </w:pPr>
          </w:p>
        </w:tc>
        <w:tc>
          <w:tcPr>
            <w:tcW w:w="408" w:type="dxa"/>
            <w:tcBorders>
              <w:top w:val="nil"/>
              <w:left w:val="nil"/>
              <w:bottom w:val="nil"/>
              <w:right w:val="nil"/>
            </w:tcBorders>
            <w:shd w:val="clear" w:color="auto" w:fill="auto"/>
            <w:hideMark/>
          </w:tcPr>
          <w:p w14:paraId="0FF83D2D" w14:textId="77777777" w:rsidR="00E50B6B" w:rsidRPr="00000F38" w:rsidRDefault="00E50B6B" w:rsidP="00E50B6B">
            <w:pPr>
              <w:spacing w:after="0" w:line="240" w:lineRule="auto"/>
              <w:rPr>
                <w:rFonts w:eastAsia="Times New Roman" w:cstheme="minorHAnsi"/>
                <w:lang w:val="en-GB" w:eastAsia="en-GB"/>
              </w:rPr>
            </w:pPr>
          </w:p>
        </w:tc>
        <w:tc>
          <w:tcPr>
            <w:tcW w:w="248" w:type="dxa"/>
            <w:tcBorders>
              <w:top w:val="nil"/>
              <w:left w:val="nil"/>
              <w:bottom w:val="nil"/>
              <w:right w:val="nil"/>
            </w:tcBorders>
            <w:shd w:val="clear" w:color="auto" w:fill="auto"/>
            <w:hideMark/>
          </w:tcPr>
          <w:p w14:paraId="414FABAF" w14:textId="77777777" w:rsidR="00E50B6B" w:rsidRPr="00000F38" w:rsidRDefault="00E50B6B" w:rsidP="00E50B6B">
            <w:pPr>
              <w:spacing w:after="0" w:line="240" w:lineRule="auto"/>
              <w:rPr>
                <w:rFonts w:eastAsia="Times New Roman" w:cstheme="minorHAnsi"/>
                <w:lang w:val="en-GB" w:eastAsia="en-GB"/>
              </w:rPr>
            </w:pPr>
          </w:p>
        </w:tc>
        <w:tc>
          <w:tcPr>
            <w:tcW w:w="378" w:type="dxa"/>
            <w:tcBorders>
              <w:top w:val="nil"/>
              <w:left w:val="nil"/>
              <w:bottom w:val="nil"/>
              <w:right w:val="nil"/>
            </w:tcBorders>
            <w:shd w:val="clear" w:color="auto" w:fill="auto"/>
            <w:hideMark/>
          </w:tcPr>
          <w:p w14:paraId="287A253A" w14:textId="77777777" w:rsidR="00E50B6B" w:rsidRPr="00000F38" w:rsidRDefault="00E50B6B" w:rsidP="00E50B6B">
            <w:pPr>
              <w:spacing w:after="0" w:line="240" w:lineRule="auto"/>
              <w:rPr>
                <w:rFonts w:eastAsia="Times New Roman" w:cstheme="minorHAnsi"/>
                <w:lang w:val="en-GB" w:eastAsia="en-GB"/>
              </w:rPr>
            </w:pPr>
          </w:p>
        </w:tc>
        <w:tc>
          <w:tcPr>
            <w:tcW w:w="408" w:type="dxa"/>
            <w:tcBorders>
              <w:top w:val="nil"/>
              <w:left w:val="nil"/>
              <w:bottom w:val="nil"/>
              <w:right w:val="nil"/>
            </w:tcBorders>
            <w:shd w:val="clear" w:color="auto" w:fill="auto"/>
            <w:hideMark/>
          </w:tcPr>
          <w:p w14:paraId="70F2F4F0" w14:textId="77777777" w:rsidR="00E50B6B" w:rsidRPr="00000F38" w:rsidRDefault="00E50B6B" w:rsidP="00E50B6B">
            <w:pPr>
              <w:spacing w:after="0" w:line="240" w:lineRule="auto"/>
              <w:rPr>
                <w:rFonts w:eastAsia="Times New Roman" w:cstheme="minorHAnsi"/>
                <w:lang w:val="en-GB" w:eastAsia="en-GB"/>
              </w:rPr>
            </w:pPr>
          </w:p>
        </w:tc>
        <w:tc>
          <w:tcPr>
            <w:tcW w:w="248" w:type="dxa"/>
            <w:tcBorders>
              <w:top w:val="nil"/>
              <w:left w:val="nil"/>
              <w:bottom w:val="nil"/>
              <w:right w:val="nil"/>
            </w:tcBorders>
            <w:shd w:val="clear" w:color="auto" w:fill="auto"/>
            <w:hideMark/>
          </w:tcPr>
          <w:p w14:paraId="33AB9758" w14:textId="77777777" w:rsidR="00E50B6B" w:rsidRPr="00000F38" w:rsidRDefault="00E50B6B" w:rsidP="00E50B6B">
            <w:pPr>
              <w:spacing w:after="0" w:line="240" w:lineRule="auto"/>
              <w:rPr>
                <w:rFonts w:eastAsia="Times New Roman" w:cstheme="minorHAnsi"/>
                <w:lang w:val="en-GB" w:eastAsia="en-GB"/>
              </w:rPr>
            </w:pPr>
          </w:p>
        </w:tc>
        <w:tc>
          <w:tcPr>
            <w:tcW w:w="378" w:type="dxa"/>
            <w:tcBorders>
              <w:top w:val="nil"/>
              <w:left w:val="nil"/>
              <w:bottom w:val="nil"/>
              <w:right w:val="nil"/>
            </w:tcBorders>
            <w:shd w:val="clear" w:color="auto" w:fill="auto"/>
            <w:hideMark/>
          </w:tcPr>
          <w:p w14:paraId="58D9E40F" w14:textId="77777777" w:rsidR="00E50B6B" w:rsidRPr="00000F38" w:rsidRDefault="00E50B6B" w:rsidP="00E50B6B">
            <w:pPr>
              <w:spacing w:after="0" w:line="240" w:lineRule="auto"/>
              <w:rPr>
                <w:rFonts w:eastAsia="Times New Roman" w:cstheme="minorHAnsi"/>
                <w:lang w:val="en-GB" w:eastAsia="en-GB"/>
              </w:rPr>
            </w:pPr>
          </w:p>
        </w:tc>
        <w:tc>
          <w:tcPr>
            <w:tcW w:w="378" w:type="dxa"/>
            <w:tcBorders>
              <w:top w:val="nil"/>
              <w:left w:val="nil"/>
              <w:bottom w:val="nil"/>
              <w:right w:val="nil"/>
            </w:tcBorders>
            <w:shd w:val="clear" w:color="auto" w:fill="auto"/>
            <w:hideMark/>
          </w:tcPr>
          <w:p w14:paraId="3A0EEC2A" w14:textId="77777777" w:rsidR="00E50B6B" w:rsidRPr="00000F38" w:rsidRDefault="00E50B6B" w:rsidP="00E50B6B">
            <w:pPr>
              <w:spacing w:after="0" w:line="240" w:lineRule="auto"/>
              <w:rPr>
                <w:rFonts w:eastAsia="Times New Roman" w:cstheme="minorHAnsi"/>
                <w:lang w:val="en-GB" w:eastAsia="en-GB"/>
              </w:rPr>
            </w:pPr>
          </w:p>
        </w:tc>
      </w:tr>
    </w:tbl>
    <w:p w14:paraId="268AA45B" w14:textId="77777777" w:rsidR="00E50B6B" w:rsidRPr="00000F38" w:rsidRDefault="00E50B6B" w:rsidP="00A54361">
      <w:pPr>
        <w:jc w:val="both"/>
        <w:rPr>
          <w:rFonts w:cstheme="minorHAnsi"/>
        </w:rPr>
      </w:pPr>
    </w:p>
    <w:p w14:paraId="76D2499D" w14:textId="6D91E44F" w:rsidR="000A1AD9" w:rsidRPr="00000F38" w:rsidRDefault="00E50B6B">
      <w:pPr>
        <w:rPr>
          <w:rFonts w:cstheme="minorHAnsi"/>
        </w:rPr>
      </w:pPr>
      <w:r w:rsidRPr="00000F38">
        <w:rPr>
          <w:rFonts w:cstheme="minorHAnsi"/>
        </w:rPr>
        <w:br w:type="page"/>
      </w:r>
      <w:r w:rsidR="000A1AD9" w:rsidRPr="00000F38">
        <w:rPr>
          <w:rFonts w:cstheme="minorHAnsi"/>
        </w:rPr>
        <w:lastRenderedPageBreak/>
        <w:br w:type="page"/>
      </w:r>
    </w:p>
    <w:p w14:paraId="10F08C69" w14:textId="14CD8A59" w:rsidR="00E50B6B" w:rsidRPr="00000F38" w:rsidRDefault="000A1AD9">
      <w:pPr>
        <w:rPr>
          <w:rFonts w:cstheme="minorHAnsi"/>
          <w:b/>
        </w:rPr>
      </w:pPr>
      <w:r w:rsidRPr="00000F38">
        <w:rPr>
          <w:rFonts w:cstheme="minorHAnsi"/>
          <w:b/>
        </w:rPr>
        <w:lastRenderedPageBreak/>
        <w:t>Installation and Implementation Cost</w:t>
      </w:r>
    </w:p>
    <w:tbl>
      <w:tblPr>
        <w:tblW w:w="11880" w:type="dxa"/>
        <w:tblInd w:w="5" w:type="dxa"/>
        <w:tblLook w:val="04A0" w:firstRow="1" w:lastRow="0" w:firstColumn="1" w:lastColumn="0" w:noHBand="0" w:noVBand="1"/>
      </w:tblPr>
      <w:tblGrid>
        <w:gridCol w:w="799"/>
        <w:gridCol w:w="4887"/>
        <w:gridCol w:w="1023"/>
        <w:gridCol w:w="1571"/>
        <w:gridCol w:w="1634"/>
        <w:gridCol w:w="1966"/>
      </w:tblGrid>
      <w:tr w:rsidR="000A1AD9" w:rsidRPr="00000F38" w14:paraId="79CB57F4" w14:textId="77777777" w:rsidTr="000A1AD9">
        <w:trPr>
          <w:trHeight w:val="255"/>
        </w:trPr>
        <w:tc>
          <w:tcPr>
            <w:tcW w:w="811" w:type="dxa"/>
            <w:tcBorders>
              <w:top w:val="nil"/>
              <w:left w:val="nil"/>
              <w:bottom w:val="nil"/>
              <w:right w:val="nil"/>
            </w:tcBorders>
            <w:shd w:val="clear" w:color="auto" w:fill="auto"/>
            <w:hideMark/>
          </w:tcPr>
          <w:p w14:paraId="3E54FBD1" w14:textId="77777777" w:rsidR="000A1AD9" w:rsidRPr="00000F38" w:rsidRDefault="000A1AD9" w:rsidP="000A1AD9">
            <w:pPr>
              <w:spacing w:after="0" w:line="240" w:lineRule="auto"/>
              <w:rPr>
                <w:rFonts w:eastAsia="Times New Roman" w:cstheme="minorHAnsi"/>
                <w:lang w:val="en-GB" w:eastAsia="en-GB"/>
              </w:rPr>
            </w:pPr>
          </w:p>
        </w:tc>
        <w:tc>
          <w:tcPr>
            <w:tcW w:w="11069" w:type="dxa"/>
            <w:gridSpan w:val="5"/>
            <w:tcBorders>
              <w:top w:val="single" w:sz="4" w:space="0" w:color="auto"/>
              <w:left w:val="single" w:sz="4" w:space="0" w:color="auto"/>
              <w:bottom w:val="single" w:sz="4" w:space="0" w:color="auto"/>
              <w:right w:val="single" w:sz="4" w:space="0" w:color="auto"/>
            </w:tcBorders>
            <w:shd w:val="clear" w:color="000000" w:fill="000000"/>
            <w:hideMark/>
          </w:tcPr>
          <w:p w14:paraId="5D4D4E8D"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Production Environment</w:t>
            </w:r>
          </w:p>
        </w:tc>
      </w:tr>
      <w:tr w:rsidR="000A1AD9" w:rsidRPr="00000F38" w14:paraId="225C2C5C" w14:textId="77777777" w:rsidTr="000A1AD9">
        <w:trPr>
          <w:trHeight w:val="255"/>
        </w:trPr>
        <w:tc>
          <w:tcPr>
            <w:tcW w:w="811" w:type="dxa"/>
            <w:tcBorders>
              <w:top w:val="nil"/>
              <w:left w:val="nil"/>
              <w:bottom w:val="nil"/>
              <w:right w:val="nil"/>
            </w:tcBorders>
            <w:shd w:val="clear" w:color="auto" w:fill="auto"/>
            <w:hideMark/>
          </w:tcPr>
          <w:p w14:paraId="08FA1897" w14:textId="77777777" w:rsidR="000A1AD9" w:rsidRPr="00000F38" w:rsidRDefault="000A1AD9" w:rsidP="000A1AD9">
            <w:pPr>
              <w:spacing w:after="0" w:line="240" w:lineRule="auto"/>
              <w:jc w:val="center"/>
              <w:rPr>
                <w:rFonts w:eastAsia="Times New Roman" w:cstheme="minorHAnsi"/>
                <w:b/>
                <w:bCs/>
                <w:color w:val="FFFFFF"/>
                <w:lang w:val="en-GB" w:eastAsia="en-GB"/>
              </w:rPr>
            </w:pPr>
          </w:p>
        </w:tc>
        <w:tc>
          <w:tcPr>
            <w:tcW w:w="4887" w:type="dxa"/>
            <w:tcBorders>
              <w:top w:val="nil"/>
              <w:left w:val="single" w:sz="4" w:space="0" w:color="auto"/>
              <w:bottom w:val="single" w:sz="4" w:space="0" w:color="auto"/>
              <w:right w:val="single" w:sz="4" w:space="0" w:color="auto"/>
            </w:tcBorders>
            <w:shd w:val="clear" w:color="auto" w:fill="auto"/>
            <w:hideMark/>
          </w:tcPr>
          <w:p w14:paraId="7D8E1086" w14:textId="77777777" w:rsidR="000A1AD9" w:rsidRPr="00000F38" w:rsidRDefault="000A1AD9" w:rsidP="000A1AD9">
            <w:pPr>
              <w:spacing w:after="0" w:line="240" w:lineRule="auto"/>
              <w:rPr>
                <w:rFonts w:eastAsia="Times New Roman" w:cstheme="minorHAnsi"/>
                <w:color w:val="000000"/>
                <w:lang w:val="en-GB" w:eastAsia="en-GB"/>
              </w:rPr>
            </w:pPr>
            <w:bookmarkStart w:id="262" w:name="RANGE!B2:F37"/>
            <w:r w:rsidRPr="00000F38">
              <w:rPr>
                <w:rFonts w:eastAsia="Times New Roman" w:cstheme="minorHAnsi"/>
                <w:color w:val="000000"/>
                <w:lang w:val="en-GB" w:eastAsia="en-GB"/>
              </w:rPr>
              <w:t> </w:t>
            </w:r>
            <w:bookmarkEnd w:id="262"/>
          </w:p>
        </w:tc>
        <w:tc>
          <w:tcPr>
            <w:tcW w:w="4179" w:type="dxa"/>
            <w:gridSpan w:val="3"/>
            <w:tcBorders>
              <w:top w:val="single" w:sz="4" w:space="0" w:color="auto"/>
              <w:left w:val="nil"/>
              <w:bottom w:val="single" w:sz="4" w:space="0" w:color="auto"/>
              <w:right w:val="single" w:sz="4" w:space="0" w:color="auto"/>
            </w:tcBorders>
            <w:shd w:val="clear" w:color="000000" w:fill="FFC000"/>
            <w:hideMark/>
          </w:tcPr>
          <w:p w14:paraId="4E1CE34F" w14:textId="15A6BC2A"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 xml:space="preserve">Installation and </w:t>
            </w:r>
            <w:r w:rsidR="00342ED2" w:rsidRPr="00000F38">
              <w:rPr>
                <w:rFonts w:eastAsia="Times New Roman" w:cstheme="minorHAnsi"/>
                <w:b/>
                <w:bCs/>
                <w:color w:val="000000"/>
                <w:lang w:val="en-GB" w:eastAsia="en-GB"/>
              </w:rPr>
              <w:t>Commissioning</w:t>
            </w:r>
            <w:r w:rsidRPr="00000F38">
              <w:rPr>
                <w:rFonts w:eastAsia="Times New Roman" w:cstheme="minorHAnsi"/>
                <w:b/>
                <w:bCs/>
                <w:color w:val="000000"/>
                <w:lang w:val="en-GB" w:eastAsia="en-GB"/>
              </w:rPr>
              <w:t xml:space="preserve"> Cost at DC</w:t>
            </w:r>
          </w:p>
        </w:tc>
        <w:tc>
          <w:tcPr>
            <w:tcW w:w="2003" w:type="dxa"/>
            <w:tcBorders>
              <w:top w:val="nil"/>
              <w:left w:val="nil"/>
              <w:bottom w:val="single" w:sz="4" w:space="0" w:color="auto"/>
              <w:right w:val="single" w:sz="4" w:space="0" w:color="auto"/>
            </w:tcBorders>
            <w:shd w:val="clear" w:color="auto" w:fill="auto"/>
            <w:hideMark/>
          </w:tcPr>
          <w:p w14:paraId="454926A4"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r>
      <w:tr w:rsidR="000A1AD9" w:rsidRPr="00000F38" w14:paraId="6795206B" w14:textId="77777777" w:rsidTr="000A1AD9">
        <w:trPr>
          <w:trHeight w:val="510"/>
        </w:trPr>
        <w:tc>
          <w:tcPr>
            <w:tcW w:w="811" w:type="dxa"/>
            <w:tcBorders>
              <w:top w:val="single" w:sz="4" w:space="0" w:color="auto"/>
              <w:left w:val="single" w:sz="4" w:space="0" w:color="auto"/>
              <w:bottom w:val="single" w:sz="4" w:space="0" w:color="auto"/>
              <w:right w:val="single" w:sz="4" w:space="0" w:color="auto"/>
            </w:tcBorders>
            <w:shd w:val="clear" w:color="000000" w:fill="002060"/>
            <w:hideMark/>
          </w:tcPr>
          <w:p w14:paraId="451E838A"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S. No</w:t>
            </w:r>
          </w:p>
        </w:tc>
        <w:tc>
          <w:tcPr>
            <w:tcW w:w="4887" w:type="dxa"/>
            <w:tcBorders>
              <w:top w:val="nil"/>
              <w:left w:val="nil"/>
              <w:bottom w:val="single" w:sz="4" w:space="0" w:color="auto"/>
              <w:right w:val="single" w:sz="4" w:space="0" w:color="auto"/>
            </w:tcBorders>
            <w:shd w:val="clear" w:color="000000" w:fill="002060"/>
            <w:hideMark/>
          </w:tcPr>
          <w:p w14:paraId="3EA90EDD" w14:textId="3C7699C1"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 xml:space="preserve">Installation &amp; </w:t>
            </w:r>
            <w:r w:rsidR="00342ED2" w:rsidRPr="00000F38">
              <w:rPr>
                <w:rFonts w:eastAsia="Times New Roman" w:cstheme="minorHAnsi"/>
                <w:b/>
                <w:bCs/>
                <w:color w:val="FFFFFF"/>
                <w:lang w:val="en-GB" w:eastAsia="en-GB"/>
              </w:rPr>
              <w:t>Commissioning</w:t>
            </w:r>
            <w:r w:rsidRPr="00000F38">
              <w:rPr>
                <w:rFonts w:eastAsia="Times New Roman" w:cstheme="minorHAnsi"/>
                <w:b/>
                <w:bCs/>
                <w:color w:val="FFFFFF"/>
                <w:lang w:val="en-GB" w:eastAsia="en-GB"/>
              </w:rPr>
              <w:t xml:space="preserve"> at DC</w:t>
            </w:r>
          </w:p>
        </w:tc>
        <w:tc>
          <w:tcPr>
            <w:tcW w:w="918" w:type="dxa"/>
            <w:tcBorders>
              <w:top w:val="nil"/>
              <w:left w:val="nil"/>
              <w:bottom w:val="single" w:sz="4" w:space="0" w:color="auto"/>
              <w:right w:val="single" w:sz="4" w:space="0" w:color="auto"/>
            </w:tcBorders>
            <w:shd w:val="clear" w:color="000000" w:fill="002060"/>
            <w:hideMark/>
          </w:tcPr>
          <w:p w14:paraId="76AC03EE"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Quantity</w:t>
            </w:r>
          </w:p>
        </w:tc>
        <w:tc>
          <w:tcPr>
            <w:tcW w:w="1603" w:type="dxa"/>
            <w:tcBorders>
              <w:top w:val="nil"/>
              <w:left w:val="nil"/>
              <w:bottom w:val="single" w:sz="4" w:space="0" w:color="auto"/>
              <w:right w:val="single" w:sz="4" w:space="0" w:color="auto"/>
            </w:tcBorders>
            <w:shd w:val="clear" w:color="000000" w:fill="002060"/>
            <w:hideMark/>
          </w:tcPr>
          <w:p w14:paraId="401FC4E3"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Rate (INR)</w:t>
            </w:r>
          </w:p>
        </w:tc>
        <w:tc>
          <w:tcPr>
            <w:tcW w:w="1658" w:type="dxa"/>
            <w:tcBorders>
              <w:top w:val="nil"/>
              <w:left w:val="nil"/>
              <w:bottom w:val="single" w:sz="4" w:space="0" w:color="auto"/>
              <w:right w:val="single" w:sz="4" w:space="0" w:color="auto"/>
            </w:tcBorders>
            <w:shd w:val="clear" w:color="000000" w:fill="002060"/>
            <w:hideMark/>
          </w:tcPr>
          <w:p w14:paraId="1DD10305"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Total Amount (INR)</w:t>
            </w:r>
          </w:p>
        </w:tc>
        <w:tc>
          <w:tcPr>
            <w:tcW w:w="2003" w:type="dxa"/>
            <w:tcBorders>
              <w:top w:val="nil"/>
              <w:left w:val="nil"/>
              <w:bottom w:val="single" w:sz="4" w:space="0" w:color="auto"/>
              <w:right w:val="single" w:sz="4" w:space="0" w:color="auto"/>
            </w:tcBorders>
            <w:shd w:val="clear" w:color="000000" w:fill="002060"/>
            <w:hideMark/>
          </w:tcPr>
          <w:p w14:paraId="766DA663"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Total Amount for 5 yrs (INR)</w:t>
            </w:r>
          </w:p>
        </w:tc>
      </w:tr>
      <w:tr w:rsidR="000A1AD9" w:rsidRPr="00000F38" w14:paraId="066737B8" w14:textId="77777777" w:rsidTr="000A1AD9">
        <w:trPr>
          <w:trHeight w:val="255"/>
        </w:trPr>
        <w:tc>
          <w:tcPr>
            <w:tcW w:w="811" w:type="dxa"/>
            <w:tcBorders>
              <w:top w:val="nil"/>
              <w:left w:val="single" w:sz="4" w:space="0" w:color="auto"/>
              <w:bottom w:val="single" w:sz="4" w:space="0" w:color="auto"/>
              <w:right w:val="single" w:sz="4" w:space="0" w:color="auto"/>
            </w:tcBorders>
            <w:shd w:val="clear" w:color="auto" w:fill="auto"/>
            <w:hideMark/>
          </w:tcPr>
          <w:p w14:paraId="5F099DD5"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1</w:t>
            </w:r>
          </w:p>
        </w:tc>
        <w:tc>
          <w:tcPr>
            <w:tcW w:w="4887" w:type="dxa"/>
            <w:tcBorders>
              <w:top w:val="nil"/>
              <w:left w:val="nil"/>
              <w:bottom w:val="single" w:sz="4" w:space="0" w:color="auto"/>
              <w:right w:val="single" w:sz="4" w:space="0" w:color="auto"/>
            </w:tcBorders>
            <w:shd w:val="clear" w:color="auto" w:fill="auto"/>
            <w:noWrap/>
            <w:vAlign w:val="center"/>
            <w:hideMark/>
          </w:tcPr>
          <w:p w14:paraId="0EF8E2FA" w14:textId="77777777" w:rsidR="000A1AD9" w:rsidRPr="00000F38" w:rsidRDefault="000A1AD9" w:rsidP="000A1AD9">
            <w:pPr>
              <w:spacing w:after="0" w:line="240" w:lineRule="auto"/>
              <w:jc w:val="both"/>
              <w:rPr>
                <w:rFonts w:eastAsia="Times New Roman" w:cstheme="minorHAnsi"/>
                <w:color w:val="000000"/>
                <w:lang w:val="en-GB" w:eastAsia="en-GB"/>
              </w:rPr>
            </w:pPr>
            <w:r w:rsidRPr="00000F38">
              <w:rPr>
                <w:rFonts w:eastAsia="Times New Roman" w:cstheme="minorHAnsi"/>
                <w:color w:val="000000"/>
                <w:lang w:val="en-GB" w:eastAsia="en-GB"/>
              </w:rPr>
              <w:t>Data Discovery &amp; Classification</w:t>
            </w:r>
          </w:p>
        </w:tc>
        <w:tc>
          <w:tcPr>
            <w:tcW w:w="918" w:type="dxa"/>
            <w:tcBorders>
              <w:top w:val="nil"/>
              <w:left w:val="nil"/>
              <w:bottom w:val="single" w:sz="4" w:space="0" w:color="auto"/>
              <w:right w:val="single" w:sz="4" w:space="0" w:color="auto"/>
            </w:tcBorders>
            <w:shd w:val="clear" w:color="auto" w:fill="auto"/>
            <w:hideMark/>
          </w:tcPr>
          <w:p w14:paraId="7D284830"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1603" w:type="dxa"/>
            <w:tcBorders>
              <w:top w:val="nil"/>
              <w:left w:val="nil"/>
              <w:bottom w:val="single" w:sz="4" w:space="0" w:color="auto"/>
              <w:right w:val="single" w:sz="4" w:space="0" w:color="auto"/>
            </w:tcBorders>
            <w:shd w:val="clear" w:color="auto" w:fill="auto"/>
            <w:hideMark/>
          </w:tcPr>
          <w:p w14:paraId="0D66628F" w14:textId="77777777" w:rsidR="000A1AD9" w:rsidRPr="00000F38" w:rsidRDefault="000A1AD9" w:rsidP="000A1AD9">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1658" w:type="dxa"/>
            <w:tcBorders>
              <w:top w:val="nil"/>
              <w:left w:val="nil"/>
              <w:bottom w:val="single" w:sz="4" w:space="0" w:color="auto"/>
              <w:right w:val="single" w:sz="4" w:space="0" w:color="auto"/>
            </w:tcBorders>
            <w:shd w:val="clear" w:color="auto" w:fill="auto"/>
            <w:hideMark/>
          </w:tcPr>
          <w:p w14:paraId="2BDFCB03" w14:textId="77777777" w:rsidR="000A1AD9" w:rsidRPr="00000F38" w:rsidRDefault="000A1AD9" w:rsidP="000A1AD9">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2003" w:type="dxa"/>
            <w:tcBorders>
              <w:top w:val="nil"/>
              <w:left w:val="nil"/>
              <w:bottom w:val="single" w:sz="4" w:space="0" w:color="auto"/>
              <w:right w:val="single" w:sz="4" w:space="0" w:color="auto"/>
            </w:tcBorders>
            <w:shd w:val="clear" w:color="auto" w:fill="auto"/>
            <w:hideMark/>
          </w:tcPr>
          <w:p w14:paraId="437BFB5F" w14:textId="77777777" w:rsidR="000A1AD9" w:rsidRPr="00000F38" w:rsidRDefault="000A1AD9" w:rsidP="000A1AD9">
            <w:pPr>
              <w:spacing w:after="0" w:line="240" w:lineRule="auto"/>
              <w:jc w:val="center"/>
              <w:rPr>
                <w:rFonts w:eastAsia="Times New Roman" w:cstheme="minorHAnsi"/>
                <w:b/>
                <w:bCs/>
                <w:lang w:val="en-GB" w:eastAsia="en-GB"/>
              </w:rPr>
            </w:pPr>
            <w:r w:rsidRPr="00000F38">
              <w:rPr>
                <w:rFonts w:eastAsia="Times New Roman" w:cstheme="minorHAnsi"/>
                <w:b/>
                <w:bCs/>
                <w:lang w:val="en-GB" w:eastAsia="en-GB"/>
              </w:rPr>
              <w:t>XX</w:t>
            </w:r>
          </w:p>
        </w:tc>
      </w:tr>
      <w:tr w:rsidR="000A1AD9" w:rsidRPr="00000F38" w14:paraId="78AAB3C8" w14:textId="77777777" w:rsidTr="000A1AD9">
        <w:trPr>
          <w:trHeight w:val="255"/>
        </w:trPr>
        <w:tc>
          <w:tcPr>
            <w:tcW w:w="811" w:type="dxa"/>
            <w:tcBorders>
              <w:top w:val="nil"/>
              <w:left w:val="single" w:sz="4" w:space="0" w:color="auto"/>
              <w:bottom w:val="single" w:sz="4" w:space="0" w:color="auto"/>
              <w:right w:val="single" w:sz="4" w:space="0" w:color="auto"/>
            </w:tcBorders>
            <w:shd w:val="clear" w:color="auto" w:fill="auto"/>
            <w:hideMark/>
          </w:tcPr>
          <w:p w14:paraId="40D136E8"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2</w:t>
            </w:r>
          </w:p>
        </w:tc>
        <w:tc>
          <w:tcPr>
            <w:tcW w:w="4887" w:type="dxa"/>
            <w:tcBorders>
              <w:top w:val="nil"/>
              <w:left w:val="nil"/>
              <w:bottom w:val="single" w:sz="4" w:space="0" w:color="auto"/>
              <w:right w:val="single" w:sz="4" w:space="0" w:color="auto"/>
            </w:tcBorders>
            <w:shd w:val="clear" w:color="auto" w:fill="auto"/>
            <w:noWrap/>
            <w:vAlign w:val="center"/>
            <w:hideMark/>
          </w:tcPr>
          <w:p w14:paraId="35342A70" w14:textId="77777777" w:rsidR="000A1AD9" w:rsidRPr="00000F38" w:rsidRDefault="000A1AD9" w:rsidP="000A1AD9">
            <w:pPr>
              <w:spacing w:after="0" w:line="240" w:lineRule="auto"/>
              <w:jc w:val="both"/>
              <w:rPr>
                <w:rFonts w:eastAsia="Times New Roman" w:cstheme="minorHAnsi"/>
                <w:color w:val="000000"/>
                <w:lang w:val="en-GB" w:eastAsia="en-GB"/>
              </w:rPr>
            </w:pPr>
            <w:r w:rsidRPr="00000F38">
              <w:rPr>
                <w:rFonts w:eastAsia="Times New Roman" w:cstheme="minorHAnsi"/>
                <w:color w:val="000000"/>
                <w:lang w:val="en-GB" w:eastAsia="en-GB"/>
              </w:rPr>
              <w:t>File Upload Security Solution</w:t>
            </w:r>
          </w:p>
        </w:tc>
        <w:tc>
          <w:tcPr>
            <w:tcW w:w="918" w:type="dxa"/>
            <w:tcBorders>
              <w:top w:val="nil"/>
              <w:left w:val="nil"/>
              <w:bottom w:val="single" w:sz="4" w:space="0" w:color="auto"/>
              <w:right w:val="single" w:sz="4" w:space="0" w:color="auto"/>
            </w:tcBorders>
            <w:shd w:val="clear" w:color="auto" w:fill="auto"/>
            <w:hideMark/>
          </w:tcPr>
          <w:p w14:paraId="2D4CE175"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1603" w:type="dxa"/>
            <w:tcBorders>
              <w:top w:val="nil"/>
              <w:left w:val="nil"/>
              <w:bottom w:val="single" w:sz="4" w:space="0" w:color="auto"/>
              <w:right w:val="single" w:sz="4" w:space="0" w:color="auto"/>
            </w:tcBorders>
            <w:shd w:val="clear" w:color="auto" w:fill="auto"/>
            <w:hideMark/>
          </w:tcPr>
          <w:p w14:paraId="79720604" w14:textId="77777777" w:rsidR="000A1AD9" w:rsidRPr="00000F38" w:rsidRDefault="000A1AD9" w:rsidP="000A1AD9">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1658" w:type="dxa"/>
            <w:tcBorders>
              <w:top w:val="nil"/>
              <w:left w:val="nil"/>
              <w:bottom w:val="single" w:sz="4" w:space="0" w:color="auto"/>
              <w:right w:val="single" w:sz="4" w:space="0" w:color="auto"/>
            </w:tcBorders>
            <w:shd w:val="clear" w:color="auto" w:fill="auto"/>
            <w:hideMark/>
          </w:tcPr>
          <w:p w14:paraId="265DB05B" w14:textId="77777777" w:rsidR="000A1AD9" w:rsidRPr="00000F38" w:rsidRDefault="000A1AD9" w:rsidP="000A1AD9">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2003" w:type="dxa"/>
            <w:tcBorders>
              <w:top w:val="nil"/>
              <w:left w:val="nil"/>
              <w:bottom w:val="single" w:sz="4" w:space="0" w:color="auto"/>
              <w:right w:val="single" w:sz="4" w:space="0" w:color="auto"/>
            </w:tcBorders>
            <w:shd w:val="clear" w:color="auto" w:fill="auto"/>
            <w:hideMark/>
          </w:tcPr>
          <w:p w14:paraId="734351EC" w14:textId="77777777" w:rsidR="000A1AD9" w:rsidRPr="00000F38" w:rsidRDefault="000A1AD9" w:rsidP="000A1AD9">
            <w:pPr>
              <w:spacing w:after="0" w:line="240" w:lineRule="auto"/>
              <w:jc w:val="center"/>
              <w:rPr>
                <w:rFonts w:eastAsia="Times New Roman" w:cstheme="minorHAnsi"/>
                <w:b/>
                <w:bCs/>
                <w:lang w:val="en-GB" w:eastAsia="en-GB"/>
              </w:rPr>
            </w:pPr>
            <w:r w:rsidRPr="00000F38">
              <w:rPr>
                <w:rFonts w:eastAsia="Times New Roman" w:cstheme="minorHAnsi"/>
                <w:b/>
                <w:bCs/>
                <w:lang w:val="en-GB" w:eastAsia="en-GB"/>
              </w:rPr>
              <w:t>XX</w:t>
            </w:r>
          </w:p>
        </w:tc>
      </w:tr>
      <w:tr w:rsidR="000A1AD9" w:rsidRPr="00000F38" w14:paraId="0136ED13" w14:textId="77777777" w:rsidTr="000A1AD9">
        <w:trPr>
          <w:trHeight w:val="255"/>
        </w:trPr>
        <w:tc>
          <w:tcPr>
            <w:tcW w:w="811" w:type="dxa"/>
            <w:tcBorders>
              <w:top w:val="nil"/>
              <w:left w:val="single" w:sz="4" w:space="0" w:color="auto"/>
              <w:bottom w:val="single" w:sz="4" w:space="0" w:color="auto"/>
              <w:right w:val="single" w:sz="4" w:space="0" w:color="auto"/>
            </w:tcBorders>
            <w:shd w:val="clear" w:color="auto" w:fill="auto"/>
            <w:hideMark/>
          </w:tcPr>
          <w:p w14:paraId="47BFF2F9"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3</w:t>
            </w:r>
          </w:p>
        </w:tc>
        <w:tc>
          <w:tcPr>
            <w:tcW w:w="4887" w:type="dxa"/>
            <w:tcBorders>
              <w:top w:val="nil"/>
              <w:left w:val="nil"/>
              <w:bottom w:val="single" w:sz="4" w:space="0" w:color="auto"/>
              <w:right w:val="single" w:sz="4" w:space="0" w:color="auto"/>
            </w:tcBorders>
            <w:shd w:val="clear" w:color="auto" w:fill="auto"/>
            <w:noWrap/>
            <w:vAlign w:val="center"/>
            <w:hideMark/>
          </w:tcPr>
          <w:p w14:paraId="29D902EA" w14:textId="77777777" w:rsidR="000A1AD9" w:rsidRPr="00000F38" w:rsidRDefault="000A1AD9" w:rsidP="000A1AD9">
            <w:pPr>
              <w:spacing w:after="0" w:line="240" w:lineRule="auto"/>
              <w:jc w:val="both"/>
              <w:rPr>
                <w:rFonts w:eastAsia="Times New Roman" w:cstheme="minorHAnsi"/>
                <w:color w:val="000000"/>
                <w:lang w:val="en-GB" w:eastAsia="en-GB"/>
              </w:rPr>
            </w:pPr>
            <w:r w:rsidRPr="00000F38">
              <w:rPr>
                <w:rFonts w:eastAsia="Times New Roman" w:cstheme="minorHAnsi"/>
                <w:color w:val="000000"/>
                <w:lang w:val="en-GB" w:eastAsia="en-GB"/>
              </w:rPr>
              <w:t>Attack Surface Management (ASM)</w:t>
            </w:r>
          </w:p>
        </w:tc>
        <w:tc>
          <w:tcPr>
            <w:tcW w:w="918" w:type="dxa"/>
            <w:tcBorders>
              <w:top w:val="nil"/>
              <w:left w:val="nil"/>
              <w:bottom w:val="single" w:sz="4" w:space="0" w:color="auto"/>
              <w:right w:val="single" w:sz="4" w:space="0" w:color="auto"/>
            </w:tcBorders>
            <w:shd w:val="clear" w:color="auto" w:fill="auto"/>
            <w:hideMark/>
          </w:tcPr>
          <w:p w14:paraId="0551974A"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1603" w:type="dxa"/>
            <w:tcBorders>
              <w:top w:val="nil"/>
              <w:left w:val="nil"/>
              <w:bottom w:val="single" w:sz="4" w:space="0" w:color="auto"/>
              <w:right w:val="single" w:sz="4" w:space="0" w:color="auto"/>
            </w:tcBorders>
            <w:shd w:val="clear" w:color="auto" w:fill="auto"/>
            <w:hideMark/>
          </w:tcPr>
          <w:p w14:paraId="2625A1EA" w14:textId="77777777" w:rsidR="000A1AD9" w:rsidRPr="00000F38" w:rsidRDefault="000A1AD9" w:rsidP="000A1AD9">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1658" w:type="dxa"/>
            <w:tcBorders>
              <w:top w:val="nil"/>
              <w:left w:val="nil"/>
              <w:bottom w:val="single" w:sz="4" w:space="0" w:color="auto"/>
              <w:right w:val="single" w:sz="4" w:space="0" w:color="auto"/>
            </w:tcBorders>
            <w:shd w:val="clear" w:color="auto" w:fill="auto"/>
            <w:hideMark/>
          </w:tcPr>
          <w:p w14:paraId="0CC1520C" w14:textId="77777777" w:rsidR="000A1AD9" w:rsidRPr="00000F38" w:rsidRDefault="000A1AD9" w:rsidP="000A1AD9">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2003" w:type="dxa"/>
            <w:tcBorders>
              <w:top w:val="nil"/>
              <w:left w:val="nil"/>
              <w:bottom w:val="single" w:sz="4" w:space="0" w:color="auto"/>
              <w:right w:val="single" w:sz="4" w:space="0" w:color="auto"/>
            </w:tcBorders>
            <w:shd w:val="clear" w:color="auto" w:fill="auto"/>
            <w:hideMark/>
          </w:tcPr>
          <w:p w14:paraId="6F754723" w14:textId="77777777" w:rsidR="000A1AD9" w:rsidRPr="00000F38" w:rsidRDefault="000A1AD9" w:rsidP="000A1AD9">
            <w:pPr>
              <w:spacing w:after="0" w:line="240" w:lineRule="auto"/>
              <w:jc w:val="center"/>
              <w:rPr>
                <w:rFonts w:eastAsia="Times New Roman" w:cstheme="minorHAnsi"/>
                <w:b/>
                <w:bCs/>
                <w:lang w:val="en-GB" w:eastAsia="en-GB"/>
              </w:rPr>
            </w:pPr>
            <w:r w:rsidRPr="00000F38">
              <w:rPr>
                <w:rFonts w:eastAsia="Times New Roman" w:cstheme="minorHAnsi"/>
                <w:b/>
                <w:bCs/>
                <w:lang w:val="en-GB" w:eastAsia="en-GB"/>
              </w:rPr>
              <w:t>XX</w:t>
            </w:r>
          </w:p>
        </w:tc>
      </w:tr>
      <w:tr w:rsidR="000A1AD9" w:rsidRPr="00000F38" w14:paraId="4C2E4BAF" w14:textId="77777777" w:rsidTr="000A1AD9">
        <w:trPr>
          <w:trHeight w:val="510"/>
        </w:trPr>
        <w:tc>
          <w:tcPr>
            <w:tcW w:w="811" w:type="dxa"/>
            <w:tcBorders>
              <w:top w:val="nil"/>
              <w:left w:val="single" w:sz="4" w:space="0" w:color="auto"/>
              <w:bottom w:val="single" w:sz="4" w:space="0" w:color="auto"/>
              <w:right w:val="single" w:sz="4" w:space="0" w:color="auto"/>
            </w:tcBorders>
            <w:shd w:val="clear" w:color="auto" w:fill="auto"/>
            <w:hideMark/>
          </w:tcPr>
          <w:p w14:paraId="33319FFC"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4</w:t>
            </w:r>
          </w:p>
        </w:tc>
        <w:tc>
          <w:tcPr>
            <w:tcW w:w="4887" w:type="dxa"/>
            <w:tcBorders>
              <w:top w:val="nil"/>
              <w:left w:val="nil"/>
              <w:bottom w:val="single" w:sz="4" w:space="0" w:color="auto"/>
              <w:right w:val="single" w:sz="4" w:space="0" w:color="auto"/>
            </w:tcBorders>
            <w:shd w:val="clear" w:color="auto" w:fill="auto"/>
            <w:noWrap/>
            <w:vAlign w:val="center"/>
            <w:hideMark/>
          </w:tcPr>
          <w:p w14:paraId="11D3553A" w14:textId="77777777" w:rsidR="000A1AD9" w:rsidRPr="00000F38" w:rsidRDefault="000A1AD9" w:rsidP="000A1AD9">
            <w:pPr>
              <w:spacing w:after="0" w:line="240" w:lineRule="auto"/>
              <w:jc w:val="both"/>
              <w:rPr>
                <w:rFonts w:eastAsia="Times New Roman" w:cstheme="minorHAnsi"/>
                <w:color w:val="000000"/>
                <w:lang w:val="en-GB" w:eastAsia="en-GB"/>
              </w:rPr>
            </w:pPr>
            <w:r w:rsidRPr="00000F38">
              <w:rPr>
                <w:rFonts w:eastAsia="Times New Roman" w:cstheme="minorHAnsi"/>
                <w:color w:val="000000"/>
                <w:lang w:val="en-GB" w:eastAsia="en-GB"/>
              </w:rPr>
              <w:t>Breach and Attack Simulation (BAS) with Red Team Solution</w:t>
            </w:r>
          </w:p>
        </w:tc>
        <w:tc>
          <w:tcPr>
            <w:tcW w:w="918" w:type="dxa"/>
            <w:tcBorders>
              <w:top w:val="nil"/>
              <w:left w:val="nil"/>
              <w:bottom w:val="single" w:sz="4" w:space="0" w:color="auto"/>
              <w:right w:val="single" w:sz="4" w:space="0" w:color="auto"/>
            </w:tcBorders>
            <w:shd w:val="clear" w:color="auto" w:fill="auto"/>
            <w:hideMark/>
          </w:tcPr>
          <w:p w14:paraId="73794668"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1603" w:type="dxa"/>
            <w:tcBorders>
              <w:top w:val="nil"/>
              <w:left w:val="nil"/>
              <w:bottom w:val="single" w:sz="4" w:space="0" w:color="auto"/>
              <w:right w:val="single" w:sz="4" w:space="0" w:color="auto"/>
            </w:tcBorders>
            <w:shd w:val="clear" w:color="auto" w:fill="auto"/>
            <w:hideMark/>
          </w:tcPr>
          <w:p w14:paraId="0E8EEC0C" w14:textId="77777777" w:rsidR="000A1AD9" w:rsidRPr="00000F38" w:rsidRDefault="000A1AD9" w:rsidP="000A1AD9">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1658" w:type="dxa"/>
            <w:tcBorders>
              <w:top w:val="nil"/>
              <w:left w:val="nil"/>
              <w:bottom w:val="single" w:sz="4" w:space="0" w:color="auto"/>
              <w:right w:val="single" w:sz="4" w:space="0" w:color="auto"/>
            </w:tcBorders>
            <w:shd w:val="clear" w:color="auto" w:fill="auto"/>
            <w:hideMark/>
          </w:tcPr>
          <w:p w14:paraId="1C024594" w14:textId="77777777" w:rsidR="000A1AD9" w:rsidRPr="00000F38" w:rsidRDefault="000A1AD9" w:rsidP="000A1AD9">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2003" w:type="dxa"/>
            <w:tcBorders>
              <w:top w:val="nil"/>
              <w:left w:val="nil"/>
              <w:bottom w:val="single" w:sz="4" w:space="0" w:color="auto"/>
              <w:right w:val="single" w:sz="4" w:space="0" w:color="auto"/>
            </w:tcBorders>
            <w:shd w:val="clear" w:color="auto" w:fill="auto"/>
            <w:hideMark/>
          </w:tcPr>
          <w:p w14:paraId="1E34019B" w14:textId="77777777" w:rsidR="000A1AD9" w:rsidRPr="00000F38" w:rsidRDefault="000A1AD9" w:rsidP="000A1AD9">
            <w:pPr>
              <w:spacing w:after="0" w:line="240" w:lineRule="auto"/>
              <w:jc w:val="center"/>
              <w:rPr>
                <w:rFonts w:eastAsia="Times New Roman" w:cstheme="minorHAnsi"/>
                <w:b/>
                <w:bCs/>
                <w:lang w:val="en-GB" w:eastAsia="en-GB"/>
              </w:rPr>
            </w:pPr>
            <w:r w:rsidRPr="00000F38">
              <w:rPr>
                <w:rFonts w:eastAsia="Times New Roman" w:cstheme="minorHAnsi"/>
                <w:b/>
                <w:bCs/>
                <w:lang w:val="en-GB" w:eastAsia="en-GB"/>
              </w:rPr>
              <w:t>XX</w:t>
            </w:r>
          </w:p>
        </w:tc>
      </w:tr>
      <w:tr w:rsidR="000A1AD9" w:rsidRPr="00000F38" w14:paraId="7D0C71F8" w14:textId="77777777" w:rsidTr="000A1AD9">
        <w:trPr>
          <w:trHeight w:val="255"/>
        </w:trPr>
        <w:tc>
          <w:tcPr>
            <w:tcW w:w="811" w:type="dxa"/>
            <w:tcBorders>
              <w:top w:val="nil"/>
              <w:left w:val="single" w:sz="4" w:space="0" w:color="auto"/>
              <w:bottom w:val="single" w:sz="4" w:space="0" w:color="auto"/>
              <w:right w:val="single" w:sz="4" w:space="0" w:color="auto"/>
            </w:tcBorders>
            <w:shd w:val="clear" w:color="auto" w:fill="auto"/>
            <w:hideMark/>
          </w:tcPr>
          <w:p w14:paraId="271A5124"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5</w:t>
            </w:r>
          </w:p>
        </w:tc>
        <w:tc>
          <w:tcPr>
            <w:tcW w:w="4887" w:type="dxa"/>
            <w:tcBorders>
              <w:top w:val="nil"/>
              <w:left w:val="nil"/>
              <w:bottom w:val="single" w:sz="4" w:space="0" w:color="auto"/>
              <w:right w:val="single" w:sz="4" w:space="0" w:color="auto"/>
            </w:tcBorders>
            <w:shd w:val="clear" w:color="auto" w:fill="auto"/>
            <w:noWrap/>
            <w:vAlign w:val="center"/>
            <w:hideMark/>
          </w:tcPr>
          <w:p w14:paraId="37A7A061" w14:textId="77777777" w:rsidR="000A1AD9" w:rsidRPr="00000F38" w:rsidRDefault="000A1AD9" w:rsidP="000A1AD9">
            <w:pPr>
              <w:spacing w:after="0" w:line="240" w:lineRule="auto"/>
              <w:jc w:val="both"/>
              <w:rPr>
                <w:rFonts w:eastAsia="Times New Roman" w:cstheme="minorHAnsi"/>
                <w:color w:val="000000"/>
                <w:lang w:val="en-GB" w:eastAsia="en-GB"/>
              </w:rPr>
            </w:pPr>
            <w:r w:rsidRPr="00000F38">
              <w:rPr>
                <w:rFonts w:eastAsia="Times New Roman" w:cstheme="minorHAnsi"/>
                <w:color w:val="000000"/>
                <w:lang w:val="en-GB" w:eastAsia="en-GB"/>
              </w:rPr>
              <w:t>Phishing Simulation</w:t>
            </w:r>
          </w:p>
        </w:tc>
        <w:tc>
          <w:tcPr>
            <w:tcW w:w="918" w:type="dxa"/>
            <w:tcBorders>
              <w:top w:val="nil"/>
              <w:left w:val="nil"/>
              <w:bottom w:val="single" w:sz="4" w:space="0" w:color="auto"/>
              <w:right w:val="single" w:sz="4" w:space="0" w:color="auto"/>
            </w:tcBorders>
            <w:shd w:val="clear" w:color="auto" w:fill="auto"/>
            <w:hideMark/>
          </w:tcPr>
          <w:p w14:paraId="34C07BF6"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1603" w:type="dxa"/>
            <w:tcBorders>
              <w:top w:val="nil"/>
              <w:left w:val="nil"/>
              <w:bottom w:val="single" w:sz="4" w:space="0" w:color="auto"/>
              <w:right w:val="single" w:sz="4" w:space="0" w:color="auto"/>
            </w:tcBorders>
            <w:shd w:val="clear" w:color="auto" w:fill="auto"/>
            <w:hideMark/>
          </w:tcPr>
          <w:p w14:paraId="57605439" w14:textId="77777777" w:rsidR="000A1AD9" w:rsidRPr="00000F38" w:rsidRDefault="000A1AD9" w:rsidP="000A1AD9">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1658" w:type="dxa"/>
            <w:tcBorders>
              <w:top w:val="nil"/>
              <w:left w:val="nil"/>
              <w:bottom w:val="single" w:sz="4" w:space="0" w:color="auto"/>
              <w:right w:val="single" w:sz="4" w:space="0" w:color="auto"/>
            </w:tcBorders>
            <w:shd w:val="clear" w:color="auto" w:fill="auto"/>
            <w:hideMark/>
          </w:tcPr>
          <w:p w14:paraId="258BEFF7" w14:textId="77777777" w:rsidR="000A1AD9" w:rsidRPr="00000F38" w:rsidRDefault="000A1AD9" w:rsidP="000A1AD9">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2003" w:type="dxa"/>
            <w:tcBorders>
              <w:top w:val="nil"/>
              <w:left w:val="nil"/>
              <w:bottom w:val="single" w:sz="4" w:space="0" w:color="auto"/>
              <w:right w:val="single" w:sz="4" w:space="0" w:color="auto"/>
            </w:tcBorders>
            <w:shd w:val="clear" w:color="auto" w:fill="auto"/>
            <w:hideMark/>
          </w:tcPr>
          <w:p w14:paraId="0481A7BB" w14:textId="77777777" w:rsidR="000A1AD9" w:rsidRPr="00000F38" w:rsidRDefault="000A1AD9" w:rsidP="000A1AD9">
            <w:pPr>
              <w:spacing w:after="0" w:line="240" w:lineRule="auto"/>
              <w:jc w:val="center"/>
              <w:rPr>
                <w:rFonts w:eastAsia="Times New Roman" w:cstheme="minorHAnsi"/>
                <w:b/>
                <w:bCs/>
                <w:lang w:val="en-GB" w:eastAsia="en-GB"/>
              </w:rPr>
            </w:pPr>
            <w:r w:rsidRPr="00000F38">
              <w:rPr>
                <w:rFonts w:eastAsia="Times New Roman" w:cstheme="minorHAnsi"/>
                <w:b/>
                <w:bCs/>
                <w:lang w:val="en-GB" w:eastAsia="en-GB"/>
              </w:rPr>
              <w:t>XX</w:t>
            </w:r>
          </w:p>
        </w:tc>
      </w:tr>
      <w:tr w:rsidR="000A1AD9" w:rsidRPr="00000F38" w14:paraId="3D35A0C5" w14:textId="77777777" w:rsidTr="000A1AD9">
        <w:trPr>
          <w:trHeight w:val="255"/>
        </w:trPr>
        <w:tc>
          <w:tcPr>
            <w:tcW w:w="811" w:type="dxa"/>
            <w:tcBorders>
              <w:top w:val="nil"/>
              <w:left w:val="single" w:sz="4" w:space="0" w:color="auto"/>
              <w:bottom w:val="single" w:sz="4" w:space="0" w:color="auto"/>
              <w:right w:val="single" w:sz="4" w:space="0" w:color="auto"/>
            </w:tcBorders>
            <w:shd w:val="clear" w:color="auto" w:fill="auto"/>
            <w:hideMark/>
          </w:tcPr>
          <w:p w14:paraId="617D2A68"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6</w:t>
            </w:r>
          </w:p>
        </w:tc>
        <w:tc>
          <w:tcPr>
            <w:tcW w:w="4887" w:type="dxa"/>
            <w:tcBorders>
              <w:top w:val="nil"/>
              <w:left w:val="nil"/>
              <w:bottom w:val="single" w:sz="4" w:space="0" w:color="auto"/>
              <w:right w:val="single" w:sz="4" w:space="0" w:color="auto"/>
            </w:tcBorders>
            <w:shd w:val="clear" w:color="auto" w:fill="auto"/>
            <w:noWrap/>
            <w:vAlign w:val="center"/>
            <w:hideMark/>
          </w:tcPr>
          <w:p w14:paraId="19D0C69A" w14:textId="77777777" w:rsidR="000A1AD9" w:rsidRPr="00000F38" w:rsidRDefault="000A1AD9" w:rsidP="000A1AD9">
            <w:pPr>
              <w:spacing w:after="0" w:line="240" w:lineRule="auto"/>
              <w:jc w:val="both"/>
              <w:rPr>
                <w:rFonts w:eastAsia="Times New Roman" w:cstheme="minorHAnsi"/>
                <w:color w:val="000000"/>
                <w:lang w:val="en-GB" w:eastAsia="en-GB"/>
              </w:rPr>
            </w:pPr>
            <w:r w:rsidRPr="00000F38">
              <w:rPr>
                <w:rFonts w:eastAsia="Times New Roman" w:cstheme="minorHAnsi"/>
                <w:color w:val="000000"/>
                <w:lang w:val="en-GB" w:eastAsia="en-GB"/>
              </w:rPr>
              <w:t>AD Security</w:t>
            </w:r>
          </w:p>
        </w:tc>
        <w:tc>
          <w:tcPr>
            <w:tcW w:w="918" w:type="dxa"/>
            <w:tcBorders>
              <w:top w:val="nil"/>
              <w:left w:val="nil"/>
              <w:bottom w:val="single" w:sz="4" w:space="0" w:color="auto"/>
              <w:right w:val="single" w:sz="4" w:space="0" w:color="auto"/>
            </w:tcBorders>
            <w:shd w:val="clear" w:color="auto" w:fill="auto"/>
            <w:hideMark/>
          </w:tcPr>
          <w:p w14:paraId="795FCE38"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1603" w:type="dxa"/>
            <w:tcBorders>
              <w:top w:val="nil"/>
              <w:left w:val="nil"/>
              <w:bottom w:val="single" w:sz="4" w:space="0" w:color="auto"/>
              <w:right w:val="single" w:sz="4" w:space="0" w:color="auto"/>
            </w:tcBorders>
            <w:shd w:val="clear" w:color="auto" w:fill="auto"/>
            <w:hideMark/>
          </w:tcPr>
          <w:p w14:paraId="6B773719" w14:textId="77777777" w:rsidR="000A1AD9" w:rsidRPr="00000F38" w:rsidRDefault="000A1AD9" w:rsidP="000A1AD9">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1658" w:type="dxa"/>
            <w:tcBorders>
              <w:top w:val="nil"/>
              <w:left w:val="nil"/>
              <w:bottom w:val="single" w:sz="4" w:space="0" w:color="auto"/>
              <w:right w:val="single" w:sz="4" w:space="0" w:color="auto"/>
            </w:tcBorders>
            <w:shd w:val="clear" w:color="auto" w:fill="auto"/>
            <w:hideMark/>
          </w:tcPr>
          <w:p w14:paraId="5789A48E" w14:textId="77777777" w:rsidR="000A1AD9" w:rsidRPr="00000F38" w:rsidRDefault="000A1AD9" w:rsidP="000A1AD9">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2003" w:type="dxa"/>
            <w:tcBorders>
              <w:top w:val="nil"/>
              <w:left w:val="nil"/>
              <w:bottom w:val="single" w:sz="4" w:space="0" w:color="auto"/>
              <w:right w:val="single" w:sz="4" w:space="0" w:color="auto"/>
            </w:tcBorders>
            <w:shd w:val="clear" w:color="auto" w:fill="auto"/>
            <w:hideMark/>
          </w:tcPr>
          <w:p w14:paraId="567AB9C5" w14:textId="77777777" w:rsidR="000A1AD9" w:rsidRPr="00000F38" w:rsidRDefault="000A1AD9" w:rsidP="000A1AD9">
            <w:pPr>
              <w:spacing w:after="0" w:line="240" w:lineRule="auto"/>
              <w:jc w:val="center"/>
              <w:rPr>
                <w:rFonts w:eastAsia="Times New Roman" w:cstheme="minorHAnsi"/>
                <w:b/>
                <w:bCs/>
                <w:lang w:val="en-GB" w:eastAsia="en-GB"/>
              </w:rPr>
            </w:pPr>
            <w:r w:rsidRPr="00000F38">
              <w:rPr>
                <w:rFonts w:eastAsia="Times New Roman" w:cstheme="minorHAnsi"/>
                <w:b/>
                <w:bCs/>
                <w:lang w:val="en-GB" w:eastAsia="en-GB"/>
              </w:rPr>
              <w:t>XX</w:t>
            </w:r>
          </w:p>
        </w:tc>
      </w:tr>
      <w:tr w:rsidR="000A1AD9" w:rsidRPr="00000F38" w14:paraId="253EC61F" w14:textId="77777777" w:rsidTr="000A1AD9">
        <w:trPr>
          <w:trHeight w:val="255"/>
        </w:trPr>
        <w:tc>
          <w:tcPr>
            <w:tcW w:w="811" w:type="dxa"/>
            <w:tcBorders>
              <w:top w:val="nil"/>
              <w:left w:val="single" w:sz="4" w:space="0" w:color="auto"/>
              <w:bottom w:val="single" w:sz="4" w:space="0" w:color="auto"/>
              <w:right w:val="single" w:sz="4" w:space="0" w:color="auto"/>
            </w:tcBorders>
            <w:shd w:val="clear" w:color="auto" w:fill="auto"/>
            <w:hideMark/>
          </w:tcPr>
          <w:p w14:paraId="4D65761D"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7</w:t>
            </w:r>
          </w:p>
        </w:tc>
        <w:tc>
          <w:tcPr>
            <w:tcW w:w="4887" w:type="dxa"/>
            <w:tcBorders>
              <w:top w:val="nil"/>
              <w:left w:val="nil"/>
              <w:bottom w:val="single" w:sz="4" w:space="0" w:color="auto"/>
              <w:right w:val="single" w:sz="4" w:space="0" w:color="auto"/>
            </w:tcBorders>
            <w:shd w:val="clear" w:color="auto" w:fill="auto"/>
            <w:noWrap/>
            <w:vAlign w:val="center"/>
            <w:hideMark/>
          </w:tcPr>
          <w:p w14:paraId="48711A7D" w14:textId="77777777" w:rsidR="000A1AD9" w:rsidRPr="00000F38" w:rsidRDefault="000A1AD9" w:rsidP="000A1AD9">
            <w:pPr>
              <w:spacing w:after="0" w:line="240" w:lineRule="auto"/>
              <w:jc w:val="both"/>
              <w:rPr>
                <w:rFonts w:eastAsia="Times New Roman" w:cstheme="minorHAnsi"/>
                <w:color w:val="000000"/>
                <w:lang w:val="en-GB" w:eastAsia="en-GB"/>
              </w:rPr>
            </w:pPr>
            <w:r w:rsidRPr="00000F38">
              <w:rPr>
                <w:rFonts w:eastAsia="Times New Roman" w:cstheme="minorHAnsi"/>
                <w:color w:val="000000"/>
                <w:lang w:val="en-GB" w:eastAsia="en-GB"/>
              </w:rPr>
              <w:t>Governance, Risk and Compliance</w:t>
            </w:r>
          </w:p>
        </w:tc>
        <w:tc>
          <w:tcPr>
            <w:tcW w:w="918" w:type="dxa"/>
            <w:tcBorders>
              <w:top w:val="nil"/>
              <w:left w:val="nil"/>
              <w:bottom w:val="single" w:sz="4" w:space="0" w:color="auto"/>
              <w:right w:val="single" w:sz="4" w:space="0" w:color="auto"/>
            </w:tcBorders>
            <w:shd w:val="clear" w:color="auto" w:fill="auto"/>
            <w:hideMark/>
          </w:tcPr>
          <w:p w14:paraId="36121317"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1603" w:type="dxa"/>
            <w:tcBorders>
              <w:top w:val="nil"/>
              <w:left w:val="nil"/>
              <w:bottom w:val="single" w:sz="4" w:space="0" w:color="auto"/>
              <w:right w:val="single" w:sz="4" w:space="0" w:color="auto"/>
            </w:tcBorders>
            <w:shd w:val="clear" w:color="auto" w:fill="auto"/>
            <w:hideMark/>
          </w:tcPr>
          <w:p w14:paraId="6E731F7C" w14:textId="77777777" w:rsidR="000A1AD9" w:rsidRPr="00000F38" w:rsidRDefault="000A1AD9" w:rsidP="000A1AD9">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1658" w:type="dxa"/>
            <w:tcBorders>
              <w:top w:val="nil"/>
              <w:left w:val="nil"/>
              <w:bottom w:val="single" w:sz="4" w:space="0" w:color="auto"/>
              <w:right w:val="single" w:sz="4" w:space="0" w:color="auto"/>
            </w:tcBorders>
            <w:shd w:val="clear" w:color="auto" w:fill="auto"/>
            <w:hideMark/>
          </w:tcPr>
          <w:p w14:paraId="518BD8D9" w14:textId="77777777" w:rsidR="000A1AD9" w:rsidRPr="00000F38" w:rsidRDefault="000A1AD9" w:rsidP="000A1AD9">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2003" w:type="dxa"/>
            <w:tcBorders>
              <w:top w:val="nil"/>
              <w:left w:val="nil"/>
              <w:bottom w:val="single" w:sz="4" w:space="0" w:color="auto"/>
              <w:right w:val="single" w:sz="4" w:space="0" w:color="auto"/>
            </w:tcBorders>
            <w:shd w:val="clear" w:color="auto" w:fill="auto"/>
            <w:hideMark/>
          </w:tcPr>
          <w:p w14:paraId="7D0ADFF5" w14:textId="77777777" w:rsidR="000A1AD9" w:rsidRPr="00000F38" w:rsidRDefault="000A1AD9" w:rsidP="000A1AD9">
            <w:pPr>
              <w:spacing w:after="0" w:line="240" w:lineRule="auto"/>
              <w:jc w:val="center"/>
              <w:rPr>
                <w:rFonts w:eastAsia="Times New Roman" w:cstheme="minorHAnsi"/>
                <w:b/>
                <w:bCs/>
                <w:lang w:val="en-GB" w:eastAsia="en-GB"/>
              </w:rPr>
            </w:pPr>
            <w:r w:rsidRPr="00000F38">
              <w:rPr>
                <w:rFonts w:eastAsia="Times New Roman" w:cstheme="minorHAnsi"/>
                <w:b/>
                <w:bCs/>
                <w:lang w:val="en-GB" w:eastAsia="en-GB"/>
              </w:rPr>
              <w:t>XX</w:t>
            </w:r>
          </w:p>
        </w:tc>
      </w:tr>
      <w:tr w:rsidR="000A1AD9" w:rsidRPr="00000F38" w14:paraId="59C0385B" w14:textId="77777777" w:rsidTr="000A1AD9">
        <w:trPr>
          <w:trHeight w:val="255"/>
        </w:trPr>
        <w:tc>
          <w:tcPr>
            <w:tcW w:w="811" w:type="dxa"/>
            <w:tcBorders>
              <w:top w:val="nil"/>
              <w:left w:val="single" w:sz="4" w:space="0" w:color="auto"/>
              <w:bottom w:val="single" w:sz="4" w:space="0" w:color="auto"/>
              <w:right w:val="single" w:sz="4" w:space="0" w:color="auto"/>
            </w:tcBorders>
            <w:shd w:val="clear" w:color="auto" w:fill="auto"/>
            <w:hideMark/>
          </w:tcPr>
          <w:p w14:paraId="74436083"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8</w:t>
            </w:r>
          </w:p>
        </w:tc>
        <w:tc>
          <w:tcPr>
            <w:tcW w:w="4887" w:type="dxa"/>
            <w:tcBorders>
              <w:top w:val="nil"/>
              <w:left w:val="nil"/>
              <w:bottom w:val="single" w:sz="4" w:space="0" w:color="auto"/>
              <w:right w:val="single" w:sz="4" w:space="0" w:color="auto"/>
            </w:tcBorders>
            <w:shd w:val="clear" w:color="auto" w:fill="auto"/>
            <w:noWrap/>
            <w:vAlign w:val="center"/>
            <w:hideMark/>
          </w:tcPr>
          <w:p w14:paraId="57DA65D8" w14:textId="77777777" w:rsidR="000A1AD9" w:rsidRPr="00000F38" w:rsidRDefault="000A1AD9" w:rsidP="000A1AD9">
            <w:pPr>
              <w:spacing w:after="0" w:line="240" w:lineRule="auto"/>
              <w:jc w:val="both"/>
              <w:rPr>
                <w:rFonts w:eastAsia="Times New Roman" w:cstheme="minorHAnsi"/>
                <w:color w:val="000000"/>
                <w:lang w:val="en-GB" w:eastAsia="en-GB"/>
              </w:rPr>
            </w:pPr>
            <w:r w:rsidRPr="00000F38">
              <w:rPr>
                <w:rFonts w:eastAsia="Times New Roman" w:cstheme="minorHAnsi"/>
                <w:color w:val="000000"/>
                <w:lang w:val="en-GB" w:eastAsia="en-GB"/>
              </w:rPr>
              <w:t>Decoy (Honeypot)</w:t>
            </w:r>
          </w:p>
        </w:tc>
        <w:tc>
          <w:tcPr>
            <w:tcW w:w="918" w:type="dxa"/>
            <w:tcBorders>
              <w:top w:val="nil"/>
              <w:left w:val="nil"/>
              <w:bottom w:val="single" w:sz="4" w:space="0" w:color="auto"/>
              <w:right w:val="single" w:sz="4" w:space="0" w:color="auto"/>
            </w:tcBorders>
            <w:shd w:val="clear" w:color="auto" w:fill="auto"/>
            <w:hideMark/>
          </w:tcPr>
          <w:p w14:paraId="7081EACE"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1603" w:type="dxa"/>
            <w:tcBorders>
              <w:top w:val="nil"/>
              <w:left w:val="nil"/>
              <w:bottom w:val="single" w:sz="4" w:space="0" w:color="auto"/>
              <w:right w:val="single" w:sz="4" w:space="0" w:color="auto"/>
            </w:tcBorders>
            <w:shd w:val="clear" w:color="auto" w:fill="auto"/>
            <w:hideMark/>
          </w:tcPr>
          <w:p w14:paraId="4319CAC9" w14:textId="77777777" w:rsidR="000A1AD9" w:rsidRPr="00000F38" w:rsidRDefault="000A1AD9" w:rsidP="000A1AD9">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1658" w:type="dxa"/>
            <w:tcBorders>
              <w:top w:val="nil"/>
              <w:left w:val="nil"/>
              <w:bottom w:val="single" w:sz="4" w:space="0" w:color="auto"/>
              <w:right w:val="single" w:sz="4" w:space="0" w:color="auto"/>
            </w:tcBorders>
            <w:shd w:val="clear" w:color="auto" w:fill="auto"/>
            <w:hideMark/>
          </w:tcPr>
          <w:p w14:paraId="4F8554DD" w14:textId="77777777" w:rsidR="000A1AD9" w:rsidRPr="00000F38" w:rsidRDefault="000A1AD9" w:rsidP="000A1AD9">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2003" w:type="dxa"/>
            <w:tcBorders>
              <w:top w:val="nil"/>
              <w:left w:val="nil"/>
              <w:bottom w:val="single" w:sz="4" w:space="0" w:color="auto"/>
              <w:right w:val="single" w:sz="4" w:space="0" w:color="auto"/>
            </w:tcBorders>
            <w:shd w:val="clear" w:color="auto" w:fill="auto"/>
            <w:hideMark/>
          </w:tcPr>
          <w:p w14:paraId="491585F1" w14:textId="77777777" w:rsidR="000A1AD9" w:rsidRPr="00000F38" w:rsidRDefault="000A1AD9" w:rsidP="000A1AD9">
            <w:pPr>
              <w:spacing w:after="0" w:line="240" w:lineRule="auto"/>
              <w:jc w:val="center"/>
              <w:rPr>
                <w:rFonts w:eastAsia="Times New Roman" w:cstheme="minorHAnsi"/>
                <w:b/>
                <w:bCs/>
                <w:lang w:val="en-GB" w:eastAsia="en-GB"/>
              </w:rPr>
            </w:pPr>
            <w:r w:rsidRPr="00000F38">
              <w:rPr>
                <w:rFonts w:eastAsia="Times New Roman" w:cstheme="minorHAnsi"/>
                <w:b/>
                <w:bCs/>
                <w:lang w:val="en-GB" w:eastAsia="en-GB"/>
              </w:rPr>
              <w:t>XX</w:t>
            </w:r>
          </w:p>
        </w:tc>
      </w:tr>
      <w:tr w:rsidR="000A1AD9" w:rsidRPr="00000F38" w14:paraId="03F26C12" w14:textId="77777777" w:rsidTr="000A1AD9">
        <w:trPr>
          <w:trHeight w:val="255"/>
        </w:trPr>
        <w:tc>
          <w:tcPr>
            <w:tcW w:w="811" w:type="dxa"/>
            <w:tcBorders>
              <w:top w:val="nil"/>
              <w:left w:val="single" w:sz="4" w:space="0" w:color="auto"/>
              <w:bottom w:val="single" w:sz="4" w:space="0" w:color="auto"/>
              <w:right w:val="single" w:sz="4" w:space="0" w:color="auto"/>
            </w:tcBorders>
            <w:shd w:val="clear" w:color="auto" w:fill="auto"/>
            <w:hideMark/>
          </w:tcPr>
          <w:p w14:paraId="3E3ED1AD"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9</w:t>
            </w:r>
          </w:p>
        </w:tc>
        <w:tc>
          <w:tcPr>
            <w:tcW w:w="4887" w:type="dxa"/>
            <w:tcBorders>
              <w:top w:val="nil"/>
              <w:left w:val="nil"/>
              <w:bottom w:val="single" w:sz="4" w:space="0" w:color="auto"/>
              <w:right w:val="single" w:sz="4" w:space="0" w:color="auto"/>
            </w:tcBorders>
            <w:shd w:val="clear" w:color="auto" w:fill="auto"/>
            <w:noWrap/>
            <w:vAlign w:val="center"/>
            <w:hideMark/>
          </w:tcPr>
          <w:p w14:paraId="0AFEB2CB" w14:textId="77777777" w:rsidR="000A1AD9" w:rsidRPr="00000F38" w:rsidRDefault="000A1AD9" w:rsidP="000A1AD9">
            <w:pPr>
              <w:spacing w:after="0" w:line="240" w:lineRule="auto"/>
              <w:jc w:val="both"/>
              <w:rPr>
                <w:rFonts w:eastAsia="Times New Roman" w:cstheme="minorHAnsi"/>
                <w:color w:val="000000"/>
                <w:lang w:val="en-GB" w:eastAsia="en-GB"/>
              </w:rPr>
            </w:pPr>
            <w:r w:rsidRPr="00000F38">
              <w:rPr>
                <w:rFonts w:eastAsia="Times New Roman" w:cstheme="minorHAnsi"/>
                <w:color w:val="000000"/>
                <w:lang w:val="en-GB" w:eastAsia="en-GB"/>
              </w:rPr>
              <w:t>Mobile Device Management</w:t>
            </w:r>
          </w:p>
        </w:tc>
        <w:tc>
          <w:tcPr>
            <w:tcW w:w="918" w:type="dxa"/>
            <w:tcBorders>
              <w:top w:val="nil"/>
              <w:left w:val="nil"/>
              <w:bottom w:val="single" w:sz="4" w:space="0" w:color="auto"/>
              <w:right w:val="single" w:sz="4" w:space="0" w:color="auto"/>
            </w:tcBorders>
            <w:shd w:val="clear" w:color="auto" w:fill="auto"/>
            <w:hideMark/>
          </w:tcPr>
          <w:p w14:paraId="681DBA29"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1603" w:type="dxa"/>
            <w:tcBorders>
              <w:top w:val="nil"/>
              <w:left w:val="nil"/>
              <w:bottom w:val="single" w:sz="4" w:space="0" w:color="auto"/>
              <w:right w:val="single" w:sz="4" w:space="0" w:color="auto"/>
            </w:tcBorders>
            <w:shd w:val="clear" w:color="auto" w:fill="auto"/>
            <w:hideMark/>
          </w:tcPr>
          <w:p w14:paraId="577B9B5F" w14:textId="77777777" w:rsidR="000A1AD9" w:rsidRPr="00000F38" w:rsidRDefault="000A1AD9" w:rsidP="000A1AD9">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1658" w:type="dxa"/>
            <w:tcBorders>
              <w:top w:val="nil"/>
              <w:left w:val="nil"/>
              <w:bottom w:val="single" w:sz="4" w:space="0" w:color="auto"/>
              <w:right w:val="single" w:sz="4" w:space="0" w:color="auto"/>
            </w:tcBorders>
            <w:shd w:val="clear" w:color="auto" w:fill="auto"/>
            <w:hideMark/>
          </w:tcPr>
          <w:p w14:paraId="3C047B9B" w14:textId="77777777" w:rsidR="000A1AD9" w:rsidRPr="00000F38" w:rsidRDefault="000A1AD9" w:rsidP="000A1AD9">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2003" w:type="dxa"/>
            <w:tcBorders>
              <w:top w:val="nil"/>
              <w:left w:val="nil"/>
              <w:bottom w:val="single" w:sz="4" w:space="0" w:color="auto"/>
              <w:right w:val="single" w:sz="4" w:space="0" w:color="auto"/>
            </w:tcBorders>
            <w:shd w:val="clear" w:color="auto" w:fill="auto"/>
            <w:hideMark/>
          </w:tcPr>
          <w:p w14:paraId="1306B8F6" w14:textId="77777777" w:rsidR="000A1AD9" w:rsidRPr="00000F38" w:rsidRDefault="000A1AD9" w:rsidP="000A1AD9">
            <w:pPr>
              <w:spacing w:after="0" w:line="240" w:lineRule="auto"/>
              <w:jc w:val="center"/>
              <w:rPr>
                <w:rFonts w:eastAsia="Times New Roman" w:cstheme="minorHAnsi"/>
                <w:b/>
                <w:bCs/>
                <w:lang w:val="en-GB" w:eastAsia="en-GB"/>
              </w:rPr>
            </w:pPr>
            <w:r w:rsidRPr="00000F38">
              <w:rPr>
                <w:rFonts w:eastAsia="Times New Roman" w:cstheme="minorHAnsi"/>
                <w:b/>
                <w:bCs/>
                <w:lang w:val="en-GB" w:eastAsia="en-GB"/>
              </w:rPr>
              <w:t>XX</w:t>
            </w:r>
          </w:p>
        </w:tc>
      </w:tr>
      <w:tr w:rsidR="000A1AD9" w:rsidRPr="00000F38" w14:paraId="1ACF7AD2" w14:textId="77777777" w:rsidTr="000A1AD9">
        <w:trPr>
          <w:trHeight w:val="510"/>
        </w:trPr>
        <w:tc>
          <w:tcPr>
            <w:tcW w:w="811" w:type="dxa"/>
            <w:tcBorders>
              <w:top w:val="nil"/>
              <w:left w:val="single" w:sz="4" w:space="0" w:color="auto"/>
              <w:bottom w:val="single" w:sz="4" w:space="0" w:color="auto"/>
              <w:right w:val="single" w:sz="4" w:space="0" w:color="auto"/>
            </w:tcBorders>
            <w:shd w:val="clear" w:color="auto" w:fill="auto"/>
            <w:hideMark/>
          </w:tcPr>
          <w:p w14:paraId="06289295"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10</w:t>
            </w:r>
          </w:p>
        </w:tc>
        <w:tc>
          <w:tcPr>
            <w:tcW w:w="4887" w:type="dxa"/>
            <w:tcBorders>
              <w:top w:val="nil"/>
              <w:left w:val="nil"/>
              <w:bottom w:val="single" w:sz="4" w:space="0" w:color="auto"/>
              <w:right w:val="single" w:sz="4" w:space="0" w:color="auto"/>
            </w:tcBorders>
            <w:shd w:val="clear" w:color="auto" w:fill="auto"/>
            <w:noWrap/>
            <w:vAlign w:val="center"/>
            <w:hideMark/>
          </w:tcPr>
          <w:p w14:paraId="5D8C1FC4" w14:textId="77777777" w:rsidR="000A1AD9" w:rsidRPr="00000F38" w:rsidRDefault="000A1AD9" w:rsidP="000A1AD9">
            <w:pPr>
              <w:spacing w:after="0" w:line="240" w:lineRule="auto"/>
              <w:jc w:val="both"/>
              <w:rPr>
                <w:rFonts w:eastAsia="Times New Roman" w:cstheme="minorHAnsi"/>
                <w:color w:val="000000"/>
                <w:lang w:val="en-GB" w:eastAsia="en-GB"/>
              </w:rPr>
            </w:pPr>
            <w:r w:rsidRPr="00000F38">
              <w:rPr>
                <w:rFonts w:eastAsia="Times New Roman" w:cstheme="minorHAnsi"/>
                <w:color w:val="000000"/>
                <w:lang w:val="en-GB" w:eastAsia="en-GB"/>
              </w:rPr>
              <w:t>Secure Data Backup and Recovery (Ransomware Solution)</w:t>
            </w:r>
          </w:p>
        </w:tc>
        <w:tc>
          <w:tcPr>
            <w:tcW w:w="918" w:type="dxa"/>
            <w:tcBorders>
              <w:top w:val="nil"/>
              <w:left w:val="nil"/>
              <w:bottom w:val="single" w:sz="4" w:space="0" w:color="auto"/>
              <w:right w:val="single" w:sz="4" w:space="0" w:color="auto"/>
            </w:tcBorders>
            <w:shd w:val="clear" w:color="auto" w:fill="auto"/>
            <w:hideMark/>
          </w:tcPr>
          <w:p w14:paraId="63AB8089"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1603" w:type="dxa"/>
            <w:tcBorders>
              <w:top w:val="nil"/>
              <w:left w:val="nil"/>
              <w:bottom w:val="single" w:sz="4" w:space="0" w:color="auto"/>
              <w:right w:val="single" w:sz="4" w:space="0" w:color="auto"/>
            </w:tcBorders>
            <w:shd w:val="clear" w:color="auto" w:fill="auto"/>
            <w:hideMark/>
          </w:tcPr>
          <w:p w14:paraId="456EFBE9" w14:textId="77777777" w:rsidR="000A1AD9" w:rsidRPr="00000F38" w:rsidRDefault="000A1AD9" w:rsidP="000A1AD9">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1658" w:type="dxa"/>
            <w:tcBorders>
              <w:top w:val="nil"/>
              <w:left w:val="nil"/>
              <w:bottom w:val="single" w:sz="4" w:space="0" w:color="auto"/>
              <w:right w:val="single" w:sz="4" w:space="0" w:color="auto"/>
            </w:tcBorders>
            <w:shd w:val="clear" w:color="auto" w:fill="auto"/>
            <w:hideMark/>
          </w:tcPr>
          <w:p w14:paraId="4DC2E1F3" w14:textId="77777777" w:rsidR="000A1AD9" w:rsidRPr="00000F38" w:rsidRDefault="000A1AD9" w:rsidP="000A1AD9">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2003" w:type="dxa"/>
            <w:tcBorders>
              <w:top w:val="nil"/>
              <w:left w:val="nil"/>
              <w:bottom w:val="single" w:sz="4" w:space="0" w:color="auto"/>
              <w:right w:val="single" w:sz="4" w:space="0" w:color="auto"/>
            </w:tcBorders>
            <w:shd w:val="clear" w:color="auto" w:fill="auto"/>
            <w:hideMark/>
          </w:tcPr>
          <w:p w14:paraId="48630BFB" w14:textId="77777777" w:rsidR="000A1AD9" w:rsidRPr="00000F38" w:rsidRDefault="000A1AD9" w:rsidP="000A1AD9">
            <w:pPr>
              <w:spacing w:after="0" w:line="240" w:lineRule="auto"/>
              <w:jc w:val="center"/>
              <w:rPr>
                <w:rFonts w:eastAsia="Times New Roman" w:cstheme="minorHAnsi"/>
                <w:b/>
                <w:bCs/>
                <w:lang w:val="en-GB" w:eastAsia="en-GB"/>
              </w:rPr>
            </w:pPr>
            <w:r w:rsidRPr="00000F38">
              <w:rPr>
                <w:rFonts w:eastAsia="Times New Roman" w:cstheme="minorHAnsi"/>
                <w:b/>
                <w:bCs/>
                <w:lang w:val="en-GB" w:eastAsia="en-GB"/>
              </w:rPr>
              <w:t>XX</w:t>
            </w:r>
          </w:p>
        </w:tc>
      </w:tr>
      <w:tr w:rsidR="000A1AD9" w:rsidRPr="00000F38" w14:paraId="4F51B0B8" w14:textId="77777777" w:rsidTr="000A1AD9">
        <w:trPr>
          <w:trHeight w:val="255"/>
        </w:trPr>
        <w:tc>
          <w:tcPr>
            <w:tcW w:w="811" w:type="dxa"/>
            <w:tcBorders>
              <w:top w:val="nil"/>
              <w:left w:val="single" w:sz="4" w:space="0" w:color="auto"/>
              <w:bottom w:val="single" w:sz="4" w:space="0" w:color="auto"/>
              <w:right w:val="single" w:sz="4" w:space="0" w:color="auto"/>
            </w:tcBorders>
            <w:shd w:val="clear" w:color="auto" w:fill="auto"/>
            <w:hideMark/>
          </w:tcPr>
          <w:p w14:paraId="24A78D94"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887" w:type="dxa"/>
            <w:tcBorders>
              <w:top w:val="nil"/>
              <w:left w:val="nil"/>
              <w:bottom w:val="single" w:sz="4" w:space="0" w:color="auto"/>
              <w:right w:val="single" w:sz="4" w:space="0" w:color="auto"/>
            </w:tcBorders>
            <w:shd w:val="clear" w:color="auto" w:fill="auto"/>
            <w:hideMark/>
          </w:tcPr>
          <w:p w14:paraId="4AEF1E96"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918" w:type="dxa"/>
            <w:tcBorders>
              <w:top w:val="nil"/>
              <w:left w:val="nil"/>
              <w:bottom w:val="single" w:sz="4" w:space="0" w:color="auto"/>
              <w:right w:val="single" w:sz="4" w:space="0" w:color="auto"/>
            </w:tcBorders>
            <w:shd w:val="clear" w:color="auto" w:fill="auto"/>
            <w:hideMark/>
          </w:tcPr>
          <w:p w14:paraId="527546B2"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1603" w:type="dxa"/>
            <w:tcBorders>
              <w:top w:val="nil"/>
              <w:left w:val="nil"/>
              <w:bottom w:val="single" w:sz="4" w:space="0" w:color="auto"/>
              <w:right w:val="single" w:sz="4" w:space="0" w:color="auto"/>
            </w:tcBorders>
            <w:shd w:val="clear" w:color="auto" w:fill="auto"/>
            <w:hideMark/>
          </w:tcPr>
          <w:p w14:paraId="7825EB35"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1658" w:type="dxa"/>
            <w:tcBorders>
              <w:top w:val="nil"/>
              <w:left w:val="nil"/>
              <w:bottom w:val="single" w:sz="4" w:space="0" w:color="auto"/>
              <w:right w:val="single" w:sz="4" w:space="0" w:color="auto"/>
            </w:tcBorders>
            <w:shd w:val="clear" w:color="auto" w:fill="auto"/>
            <w:hideMark/>
          </w:tcPr>
          <w:p w14:paraId="61BD5A92"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003" w:type="dxa"/>
            <w:tcBorders>
              <w:top w:val="nil"/>
              <w:left w:val="nil"/>
              <w:bottom w:val="single" w:sz="4" w:space="0" w:color="auto"/>
              <w:right w:val="single" w:sz="4" w:space="0" w:color="auto"/>
            </w:tcBorders>
            <w:shd w:val="clear" w:color="auto" w:fill="auto"/>
            <w:hideMark/>
          </w:tcPr>
          <w:p w14:paraId="384878DE"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r>
      <w:tr w:rsidR="000A1AD9" w:rsidRPr="00000F38" w14:paraId="4476F1B1" w14:textId="77777777" w:rsidTr="000A1AD9">
        <w:trPr>
          <w:trHeight w:val="255"/>
        </w:trPr>
        <w:tc>
          <w:tcPr>
            <w:tcW w:w="811" w:type="dxa"/>
            <w:tcBorders>
              <w:top w:val="nil"/>
              <w:left w:val="single" w:sz="4" w:space="0" w:color="auto"/>
              <w:bottom w:val="single" w:sz="4" w:space="0" w:color="auto"/>
              <w:right w:val="single" w:sz="4" w:space="0" w:color="auto"/>
            </w:tcBorders>
            <w:shd w:val="clear" w:color="auto" w:fill="auto"/>
            <w:hideMark/>
          </w:tcPr>
          <w:p w14:paraId="0BF5550B"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887" w:type="dxa"/>
            <w:tcBorders>
              <w:top w:val="nil"/>
              <w:left w:val="nil"/>
              <w:bottom w:val="single" w:sz="4" w:space="0" w:color="auto"/>
              <w:right w:val="single" w:sz="4" w:space="0" w:color="auto"/>
            </w:tcBorders>
            <w:shd w:val="clear" w:color="auto" w:fill="auto"/>
            <w:hideMark/>
          </w:tcPr>
          <w:p w14:paraId="5DCC4470"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Any other (Please specify)</w:t>
            </w:r>
          </w:p>
        </w:tc>
        <w:tc>
          <w:tcPr>
            <w:tcW w:w="918" w:type="dxa"/>
            <w:tcBorders>
              <w:top w:val="nil"/>
              <w:left w:val="nil"/>
              <w:bottom w:val="single" w:sz="4" w:space="0" w:color="auto"/>
              <w:right w:val="single" w:sz="4" w:space="0" w:color="auto"/>
            </w:tcBorders>
            <w:shd w:val="clear" w:color="auto" w:fill="auto"/>
            <w:hideMark/>
          </w:tcPr>
          <w:p w14:paraId="006A546F"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1603" w:type="dxa"/>
            <w:tcBorders>
              <w:top w:val="nil"/>
              <w:left w:val="nil"/>
              <w:bottom w:val="single" w:sz="4" w:space="0" w:color="auto"/>
              <w:right w:val="single" w:sz="4" w:space="0" w:color="auto"/>
            </w:tcBorders>
            <w:shd w:val="clear" w:color="auto" w:fill="auto"/>
            <w:hideMark/>
          </w:tcPr>
          <w:p w14:paraId="0A35CE57" w14:textId="77777777" w:rsidR="000A1AD9" w:rsidRPr="00000F38" w:rsidRDefault="000A1AD9" w:rsidP="000A1AD9">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1658" w:type="dxa"/>
            <w:tcBorders>
              <w:top w:val="nil"/>
              <w:left w:val="nil"/>
              <w:bottom w:val="single" w:sz="4" w:space="0" w:color="auto"/>
              <w:right w:val="single" w:sz="4" w:space="0" w:color="auto"/>
            </w:tcBorders>
            <w:shd w:val="clear" w:color="auto" w:fill="auto"/>
            <w:hideMark/>
          </w:tcPr>
          <w:p w14:paraId="4D3992EF" w14:textId="77777777" w:rsidR="000A1AD9" w:rsidRPr="00000F38" w:rsidRDefault="000A1AD9" w:rsidP="000A1AD9">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2003" w:type="dxa"/>
            <w:tcBorders>
              <w:top w:val="nil"/>
              <w:left w:val="nil"/>
              <w:bottom w:val="single" w:sz="4" w:space="0" w:color="auto"/>
              <w:right w:val="single" w:sz="4" w:space="0" w:color="auto"/>
            </w:tcBorders>
            <w:shd w:val="clear" w:color="auto" w:fill="auto"/>
            <w:hideMark/>
          </w:tcPr>
          <w:p w14:paraId="34C6AA10" w14:textId="77777777" w:rsidR="000A1AD9" w:rsidRPr="00000F38" w:rsidRDefault="000A1AD9" w:rsidP="000A1AD9">
            <w:pPr>
              <w:spacing w:after="0" w:line="240" w:lineRule="auto"/>
              <w:jc w:val="center"/>
              <w:rPr>
                <w:rFonts w:eastAsia="Times New Roman" w:cstheme="minorHAnsi"/>
                <w:b/>
                <w:bCs/>
                <w:lang w:val="en-GB" w:eastAsia="en-GB"/>
              </w:rPr>
            </w:pPr>
            <w:r w:rsidRPr="00000F38">
              <w:rPr>
                <w:rFonts w:eastAsia="Times New Roman" w:cstheme="minorHAnsi"/>
                <w:b/>
                <w:bCs/>
                <w:lang w:val="en-GB" w:eastAsia="en-GB"/>
              </w:rPr>
              <w:t>XX</w:t>
            </w:r>
          </w:p>
        </w:tc>
      </w:tr>
      <w:tr w:rsidR="000A1AD9" w:rsidRPr="00000F38" w14:paraId="4FAAF87C" w14:textId="77777777" w:rsidTr="000A1AD9">
        <w:trPr>
          <w:trHeight w:val="255"/>
        </w:trPr>
        <w:tc>
          <w:tcPr>
            <w:tcW w:w="811" w:type="dxa"/>
            <w:tcBorders>
              <w:top w:val="nil"/>
              <w:left w:val="single" w:sz="4" w:space="0" w:color="auto"/>
              <w:bottom w:val="single" w:sz="4" w:space="0" w:color="auto"/>
              <w:right w:val="single" w:sz="4" w:space="0" w:color="auto"/>
            </w:tcBorders>
            <w:shd w:val="clear" w:color="auto" w:fill="auto"/>
            <w:hideMark/>
          </w:tcPr>
          <w:p w14:paraId="2222F0E3"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887" w:type="dxa"/>
            <w:tcBorders>
              <w:top w:val="nil"/>
              <w:left w:val="nil"/>
              <w:bottom w:val="single" w:sz="4" w:space="0" w:color="auto"/>
              <w:right w:val="single" w:sz="4" w:space="0" w:color="auto"/>
            </w:tcBorders>
            <w:shd w:val="clear" w:color="auto" w:fill="auto"/>
            <w:hideMark/>
          </w:tcPr>
          <w:p w14:paraId="31800949"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Any other (Please specify)</w:t>
            </w:r>
          </w:p>
        </w:tc>
        <w:tc>
          <w:tcPr>
            <w:tcW w:w="918" w:type="dxa"/>
            <w:tcBorders>
              <w:top w:val="nil"/>
              <w:left w:val="nil"/>
              <w:bottom w:val="single" w:sz="4" w:space="0" w:color="auto"/>
              <w:right w:val="single" w:sz="4" w:space="0" w:color="auto"/>
            </w:tcBorders>
            <w:shd w:val="clear" w:color="auto" w:fill="auto"/>
            <w:hideMark/>
          </w:tcPr>
          <w:p w14:paraId="17F100AD"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1603" w:type="dxa"/>
            <w:tcBorders>
              <w:top w:val="nil"/>
              <w:left w:val="nil"/>
              <w:bottom w:val="single" w:sz="4" w:space="0" w:color="auto"/>
              <w:right w:val="single" w:sz="4" w:space="0" w:color="auto"/>
            </w:tcBorders>
            <w:shd w:val="clear" w:color="auto" w:fill="auto"/>
            <w:hideMark/>
          </w:tcPr>
          <w:p w14:paraId="13B3A772" w14:textId="77777777" w:rsidR="000A1AD9" w:rsidRPr="00000F38" w:rsidRDefault="000A1AD9" w:rsidP="000A1AD9">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1658" w:type="dxa"/>
            <w:tcBorders>
              <w:top w:val="nil"/>
              <w:left w:val="nil"/>
              <w:bottom w:val="single" w:sz="4" w:space="0" w:color="auto"/>
              <w:right w:val="single" w:sz="4" w:space="0" w:color="auto"/>
            </w:tcBorders>
            <w:shd w:val="clear" w:color="auto" w:fill="auto"/>
            <w:hideMark/>
          </w:tcPr>
          <w:p w14:paraId="6E2B7589" w14:textId="77777777" w:rsidR="000A1AD9" w:rsidRPr="00000F38" w:rsidRDefault="000A1AD9" w:rsidP="000A1AD9">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2003" w:type="dxa"/>
            <w:tcBorders>
              <w:top w:val="nil"/>
              <w:left w:val="nil"/>
              <w:bottom w:val="single" w:sz="4" w:space="0" w:color="auto"/>
              <w:right w:val="single" w:sz="4" w:space="0" w:color="auto"/>
            </w:tcBorders>
            <w:shd w:val="clear" w:color="auto" w:fill="auto"/>
            <w:hideMark/>
          </w:tcPr>
          <w:p w14:paraId="144900A8" w14:textId="77777777" w:rsidR="000A1AD9" w:rsidRPr="00000F38" w:rsidRDefault="000A1AD9" w:rsidP="000A1AD9">
            <w:pPr>
              <w:spacing w:after="0" w:line="240" w:lineRule="auto"/>
              <w:jc w:val="center"/>
              <w:rPr>
                <w:rFonts w:eastAsia="Times New Roman" w:cstheme="minorHAnsi"/>
                <w:b/>
                <w:bCs/>
                <w:lang w:val="en-GB" w:eastAsia="en-GB"/>
              </w:rPr>
            </w:pPr>
            <w:r w:rsidRPr="00000F38">
              <w:rPr>
                <w:rFonts w:eastAsia="Times New Roman" w:cstheme="minorHAnsi"/>
                <w:b/>
                <w:bCs/>
                <w:lang w:val="en-GB" w:eastAsia="en-GB"/>
              </w:rPr>
              <w:t>XX</w:t>
            </w:r>
          </w:p>
        </w:tc>
      </w:tr>
      <w:tr w:rsidR="000A1AD9" w:rsidRPr="00000F38" w14:paraId="0EC2050A" w14:textId="77777777" w:rsidTr="000A1AD9">
        <w:trPr>
          <w:trHeight w:val="255"/>
        </w:trPr>
        <w:tc>
          <w:tcPr>
            <w:tcW w:w="811" w:type="dxa"/>
            <w:tcBorders>
              <w:top w:val="nil"/>
              <w:left w:val="single" w:sz="4" w:space="0" w:color="auto"/>
              <w:bottom w:val="single" w:sz="4" w:space="0" w:color="auto"/>
              <w:right w:val="single" w:sz="4" w:space="0" w:color="auto"/>
            </w:tcBorders>
            <w:shd w:val="clear" w:color="000000" w:fill="F2F2F2"/>
            <w:hideMark/>
          </w:tcPr>
          <w:p w14:paraId="6D0B8383"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887" w:type="dxa"/>
            <w:tcBorders>
              <w:top w:val="nil"/>
              <w:left w:val="nil"/>
              <w:bottom w:val="single" w:sz="4" w:space="0" w:color="auto"/>
              <w:right w:val="single" w:sz="4" w:space="0" w:color="auto"/>
            </w:tcBorders>
            <w:shd w:val="clear" w:color="000000" w:fill="F2F2F2"/>
            <w:hideMark/>
          </w:tcPr>
          <w:p w14:paraId="6DC129F4"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Total (A)</w:t>
            </w:r>
          </w:p>
        </w:tc>
        <w:tc>
          <w:tcPr>
            <w:tcW w:w="918" w:type="dxa"/>
            <w:tcBorders>
              <w:top w:val="nil"/>
              <w:left w:val="nil"/>
              <w:bottom w:val="single" w:sz="4" w:space="0" w:color="auto"/>
              <w:right w:val="single" w:sz="4" w:space="0" w:color="auto"/>
            </w:tcBorders>
            <w:shd w:val="clear" w:color="000000" w:fill="F2F2F2"/>
            <w:hideMark/>
          </w:tcPr>
          <w:p w14:paraId="26736F1A"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1603" w:type="dxa"/>
            <w:tcBorders>
              <w:top w:val="nil"/>
              <w:left w:val="nil"/>
              <w:bottom w:val="single" w:sz="4" w:space="0" w:color="auto"/>
              <w:right w:val="single" w:sz="4" w:space="0" w:color="auto"/>
            </w:tcBorders>
            <w:shd w:val="clear" w:color="000000" w:fill="F2F2F2"/>
            <w:hideMark/>
          </w:tcPr>
          <w:p w14:paraId="3579FCDB"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c>
          <w:tcPr>
            <w:tcW w:w="1658" w:type="dxa"/>
            <w:tcBorders>
              <w:top w:val="nil"/>
              <w:left w:val="nil"/>
              <w:bottom w:val="single" w:sz="4" w:space="0" w:color="auto"/>
              <w:right w:val="single" w:sz="4" w:space="0" w:color="auto"/>
            </w:tcBorders>
            <w:shd w:val="clear" w:color="000000" w:fill="F2F2F2"/>
            <w:hideMark/>
          </w:tcPr>
          <w:p w14:paraId="23E6312E"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c>
          <w:tcPr>
            <w:tcW w:w="2003" w:type="dxa"/>
            <w:tcBorders>
              <w:top w:val="nil"/>
              <w:left w:val="nil"/>
              <w:bottom w:val="single" w:sz="4" w:space="0" w:color="auto"/>
              <w:right w:val="single" w:sz="4" w:space="0" w:color="auto"/>
            </w:tcBorders>
            <w:shd w:val="clear" w:color="000000" w:fill="F2F2F2"/>
            <w:hideMark/>
          </w:tcPr>
          <w:p w14:paraId="50F98076"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0A1AD9" w:rsidRPr="00000F38" w14:paraId="6A0AA605" w14:textId="77777777" w:rsidTr="000A1AD9">
        <w:trPr>
          <w:trHeight w:val="255"/>
        </w:trPr>
        <w:tc>
          <w:tcPr>
            <w:tcW w:w="811" w:type="dxa"/>
            <w:tcBorders>
              <w:top w:val="nil"/>
              <w:left w:val="single" w:sz="4" w:space="0" w:color="auto"/>
              <w:bottom w:val="single" w:sz="4" w:space="0" w:color="auto"/>
              <w:right w:val="single" w:sz="4" w:space="0" w:color="auto"/>
            </w:tcBorders>
            <w:shd w:val="clear" w:color="auto" w:fill="auto"/>
            <w:hideMark/>
          </w:tcPr>
          <w:p w14:paraId="4447FFC3"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887" w:type="dxa"/>
            <w:tcBorders>
              <w:top w:val="nil"/>
              <w:left w:val="nil"/>
              <w:bottom w:val="single" w:sz="4" w:space="0" w:color="auto"/>
              <w:right w:val="single" w:sz="4" w:space="0" w:color="auto"/>
            </w:tcBorders>
            <w:shd w:val="clear" w:color="auto" w:fill="auto"/>
            <w:hideMark/>
          </w:tcPr>
          <w:p w14:paraId="192BBF59"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918" w:type="dxa"/>
            <w:tcBorders>
              <w:top w:val="nil"/>
              <w:left w:val="nil"/>
              <w:bottom w:val="single" w:sz="4" w:space="0" w:color="auto"/>
              <w:right w:val="single" w:sz="4" w:space="0" w:color="auto"/>
            </w:tcBorders>
            <w:shd w:val="clear" w:color="auto" w:fill="auto"/>
            <w:hideMark/>
          </w:tcPr>
          <w:p w14:paraId="3E587533"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1603" w:type="dxa"/>
            <w:tcBorders>
              <w:top w:val="nil"/>
              <w:left w:val="nil"/>
              <w:bottom w:val="single" w:sz="4" w:space="0" w:color="auto"/>
              <w:right w:val="single" w:sz="4" w:space="0" w:color="auto"/>
            </w:tcBorders>
            <w:shd w:val="clear" w:color="auto" w:fill="auto"/>
            <w:hideMark/>
          </w:tcPr>
          <w:p w14:paraId="62950463"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1658" w:type="dxa"/>
            <w:tcBorders>
              <w:top w:val="nil"/>
              <w:left w:val="nil"/>
              <w:bottom w:val="single" w:sz="4" w:space="0" w:color="auto"/>
              <w:right w:val="single" w:sz="4" w:space="0" w:color="auto"/>
            </w:tcBorders>
            <w:shd w:val="clear" w:color="auto" w:fill="auto"/>
            <w:hideMark/>
          </w:tcPr>
          <w:p w14:paraId="09D62229"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003" w:type="dxa"/>
            <w:tcBorders>
              <w:top w:val="nil"/>
              <w:left w:val="nil"/>
              <w:bottom w:val="single" w:sz="4" w:space="0" w:color="auto"/>
              <w:right w:val="single" w:sz="4" w:space="0" w:color="auto"/>
            </w:tcBorders>
            <w:shd w:val="clear" w:color="auto" w:fill="auto"/>
            <w:hideMark/>
          </w:tcPr>
          <w:p w14:paraId="76E92A5A"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r>
      <w:tr w:rsidR="000A1AD9" w:rsidRPr="00000F38" w14:paraId="35D88A3D" w14:textId="77777777" w:rsidTr="000A1AD9">
        <w:trPr>
          <w:trHeight w:val="255"/>
        </w:trPr>
        <w:tc>
          <w:tcPr>
            <w:tcW w:w="811" w:type="dxa"/>
            <w:tcBorders>
              <w:top w:val="nil"/>
              <w:left w:val="single" w:sz="4" w:space="0" w:color="auto"/>
              <w:bottom w:val="single" w:sz="4" w:space="0" w:color="auto"/>
              <w:right w:val="single" w:sz="4" w:space="0" w:color="auto"/>
            </w:tcBorders>
            <w:shd w:val="clear" w:color="auto" w:fill="auto"/>
            <w:hideMark/>
          </w:tcPr>
          <w:p w14:paraId="358FFA3D"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887" w:type="dxa"/>
            <w:tcBorders>
              <w:top w:val="nil"/>
              <w:left w:val="nil"/>
              <w:bottom w:val="single" w:sz="4" w:space="0" w:color="auto"/>
              <w:right w:val="single" w:sz="4" w:space="0" w:color="auto"/>
            </w:tcBorders>
            <w:shd w:val="clear" w:color="auto" w:fill="auto"/>
            <w:hideMark/>
          </w:tcPr>
          <w:p w14:paraId="6F7FC9A1"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4179" w:type="dxa"/>
            <w:gridSpan w:val="3"/>
            <w:tcBorders>
              <w:top w:val="single" w:sz="4" w:space="0" w:color="auto"/>
              <w:left w:val="nil"/>
              <w:bottom w:val="single" w:sz="4" w:space="0" w:color="auto"/>
              <w:right w:val="single" w:sz="4" w:space="0" w:color="auto"/>
            </w:tcBorders>
            <w:shd w:val="clear" w:color="000000" w:fill="FFC000"/>
            <w:hideMark/>
          </w:tcPr>
          <w:p w14:paraId="14670CAB"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Installation and Commisioning Cost at DRC</w:t>
            </w:r>
          </w:p>
        </w:tc>
        <w:tc>
          <w:tcPr>
            <w:tcW w:w="2003" w:type="dxa"/>
            <w:tcBorders>
              <w:top w:val="nil"/>
              <w:left w:val="nil"/>
              <w:bottom w:val="single" w:sz="4" w:space="0" w:color="auto"/>
              <w:right w:val="single" w:sz="4" w:space="0" w:color="auto"/>
            </w:tcBorders>
            <w:shd w:val="clear" w:color="auto" w:fill="auto"/>
            <w:hideMark/>
          </w:tcPr>
          <w:p w14:paraId="505DB43E"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r>
      <w:tr w:rsidR="000A1AD9" w:rsidRPr="00000F38" w14:paraId="7ECFF31C" w14:textId="77777777" w:rsidTr="000A1AD9">
        <w:trPr>
          <w:trHeight w:val="510"/>
        </w:trPr>
        <w:tc>
          <w:tcPr>
            <w:tcW w:w="811" w:type="dxa"/>
            <w:tcBorders>
              <w:top w:val="nil"/>
              <w:left w:val="single" w:sz="4" w:space="0" w:color="auto"/>
              <w:bottom w:val="single" w:sz="4" w:space="0" w:color="auto"/>
              <w:right w:val="single" w:sz="4" w:space="0" w:color="auto"/>
            </w:tcBorders>
            <w:shd w:val="clear" w:color="000000" w:fill="002060"/>
            <w:hideMark/>
          </w:tcPr>
          <w:p w14:paraId="4F3C0639"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S. No</w:t>
            </w:r>
          </w:p>
        </w:tc>
        <w:tc>
          <w:tcPr>
            <w:tcW w:w="4887" w:type="dxa"/>
            <w:tcBorders>
              <w:top w:val="nil"/>
              <w:left w:val="nil"/>
              <w:bottom w:val="single" w:sz="4" w:space="0" w:color="auto"/>
              <w:right w:val="single" w:sz="4" w:space="0" w:color="auto"/>
            </w:tcBorders>
            <w:shd w:val="clear" w:color="000000" w:fill="002060"/>
            <w:hideMark/>
          </w:tcPr>
          <w:p w14:paraId="4CC79E29"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Installation &amp; Commissioing at DRC</w:t>
            </w:r>
          </w:p>
        </w:tc>
        <w:tc>
          <w:tcPr>
            <w:tcW w:w="918" w:type="dxa"/>
            <w:tcBorders>
              <w:top w:val="nil"/>
              <w:left w:val="nil"/>
              <w:bottom w:val="single" w:sz="4" w:space="0" w:color="auto"/>
              <w:right w:val="single" w:sz="4" w:space="0" w:color="auto"/>
            </w:tcBorders>
            <w:shd w:val="clear" w:color="000000" w:fill="002060"/>
            <w:hideMark/>
          </w:tcPr>
          <w:p w14:paraId="210B627D"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Quantity</w:t>
            </w:r>
          </w:p>
        </w:tc>
        <w:tc>
          <w:tcPr>
            <w:tcW w:w="1603" w:type="dxa"/>
            <w:tcBorders>
              <w:top w:val="nil"/>
              <w:left w:val="nil"/>
              <w:bottom w:val="single" w:sz="4" w:space="0" w:color="auto"/>
              <w:right w:val="single" w:sz="4" w:space="0" w:color="auto"/>
            </w:tcBorders>
            <w:shd w:val="clear" w:color="000000" w:fill="002060"/>
            <w:hideMark/>
          </w:tcPr>
          <w:p w14:paraId="4CCE15D9"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Rate (INR)</w:t>
            </w:r>
          </w:p>
        </w:tc>
        <w:tc>
          <w:tcPr>
            <w:tcW w:w="1658" w:type="dxa"/>
            <w:tcBorders>
              <w:top w:val="nil"/>
              <w:left w:val="nil"/>
              <w:bottom w:val="single" w:sz="4" w:space="0" w:color="auto"/>
              <w:right w:val="single" w:sz="4" w:space="0" w:color="auto"/>
            </w:tcBorders>
            <w:shd w:val="clear" w:color="000000" w:fill="002060"/>
            <w:hideMark/>
          </w:tcPr>
          <w:p w14:paraId="192907C4"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Total Amount (INR)</w:t>
            </w:r>
          </w:p>
        </w:tc>
        <w:tc>
          <w:tcPr>
            <w:tcW w:w="2003" w:type="dxa"/>
            <w:tcBorders>
              <w:top w:val="nil"/>
              <w:left w:val="nil"/>
              <w:bottom w:val="single" w:sz="4" w:space="0" w:color="auto"/>
              <w:right w:val="single" w:sz="4" w:space="0" w:color="auto"/>
            </w:tcBorders>
            <w:shd w:val="clear" w:color="000000" w:fill="002060"/>
            <w:hideMark/>
          </w:tcPr>
          <w:p w14:paraId="561BAD30"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Total Amount for 5 yrs (INR)</w:t>
            </w:r>
          </w:p>
        </w:tc>
      </w:tr>
      <w:tr w:rsidR="000A1AD9" w:rsidRPr="00000F38" w14:paraId="790F8F00" w14:textId="77777777" w:rsidTr="000A1AD9">
        <w:trPr>
          <w:trHeight w:val="255"/>
        </w:trPr>
        <w:tc>
          <w:tcPr>
            <w:tcW w:w="811" w:type="dxa"/>
            <w:tcBorders>
              <w:top w:val="nil"/>
              <w:left w:val="single" w:sz="4" w:space="0" w:color="auto"/>
              <w:bottom w:val="single" w:sz="4" w:space="0" w:color="auto"/>
              <w:right w:val="single" w:sz="4" w:space="0" w:color="auto"/>
            </w:tcBorders>
            <w:shd w:val="clear" w:color="auto" w:fill="auto"/>
            <w:hideMark/>
          </w:tcPr>
          <w:p w14:paraId="0AAE6FDD"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1</w:t>
            </w:r>
          </w:p>
        </w:tc>
        <w:tc>
          <w:tcPr>
            <w:tcW w:w="4887" w:type="dxa"/>
            <w:tcBorders>
              <w:top w:val="nil"/>
              <w:left w:val="nil"/>
              <w:bottom w:val="single" w:sz="4" w:space="0" w:color="auto"/>
              <w:right w:val="single" w:sz="4" w:space="0" w:color="auto"/>
            </w:tcBorders>
            <w:shd w:val="clear" w:color="auto" w:fill="auto"/>
            <w:noWrap/>
            <w:vAlign w:val="center"/>
            <w:hideMark/>
          </w:tcPr>
          <w:p w14:paraId="610619F8" w14:textId="77777777" w:rsidR="000A1AD9" w:rsidRPr="00000F38" w:rsidRDefault="000A1AD9" w:rsidP="000A1AD9">
            <w:pPr>
              <w:spacing w:after="0" w:line="240" w:lineRule="auto"/>
              <w:jc w:val="both"/>
              <w:rPr>
                <w:rFonts w:eastAsia="Times New Roman" w:cstheme="minorHAnsi"/>
                <w:color w:val="000000"/>
                <w:lang w:val="en-GB" w:eastAsia="en-GB"/>
              </w:rPr>
            </w:pPr>
            <w:r w:rsidRPr="00000F38">
              <w:rPr>
                <w:rFonts w:eastAsia="Times New Roman" w:cstheme="minorHAnsi"/>
                <w:color w:val="000000"/>
                <w:lang w:val="en-GB" w:eastAsia="en-GB"/>
              </w:rPr>
              <w:t>Data Discovery &amp; Classification</w:t>
            </w:r>
          </w:p>
        </w:tc>
        <w:tc>
          <w:tcPr>
            <w:tcW w:w="918" w:type="dxa"/>
            <w:tcBorders>
              <w:top w:val="nil"/>
              <w:left w:val="nil"/>
              <w:bottom w:val="single" w:sz="4" w:space="0" w:color="auto"/>
              <w:right w:val="single" w:sz="4" w:space="0" w:color="auto"/>
            </w:tcBorders>
            <w:shd w:val="clear" w:color="auto" w:fill="auto"/>
            <w:hideMark/>
          </w:tcPr>
          <w:p w14:paraId="421F3123"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1603" w:type="dxa"/>
            <w:tcBorders>
              <w:top w:val="nil"/>
              <w:left w:val="nil"/>
              <w:bottom w:val="single" w:sz="4" w:space="0" w:color="auto"/>
              <w:right w:val="single" w:sz="4" w:space="0" w:color="auto"/>
            </w:tcBorders>
            <w:shd w:val="clear" w:color="auto" w:fill="auto"/>
            <w:hideMark/>
          </w:tcPr>
          <w:p w14:paraId="41ACD0B9" w14:textId="77777777" w:rsidR="000A1AD9" w:rsidRPr="00000F38" w:rsidRDefault="000A1AD9" w:rsidP="000A1AD9">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1658" w:type="dxa"/>
            <w:tcBorders>
              <w:top w:val="nil"/>
              <w:left w:val="nil"/>
              <w:bottom w:val="single" w:sz="4" w:space="0" w:color="auto"/>
              <w:right w:val="single" w:sz="4" w:space="0" w:color="auto"/>
            </w:tcBorders>
            <w:shd w:val="clear" w:color="auto" w:fill="auto"/>
            <w:hideMark/>
          </w:tcPr>
          <w:p w14:paraId="1DD02E36" w14:textId="77777777" w:rsidR="000A1AD9" w:rsidRPr="00000F38" w:rsidRDefault="000A1AD9" w:rsidP="000A1AD9">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2003" w:type="dxa"/>
            <w:tcBorders>
              <w:top w:val="nil"/>
              <w:left w:val="nil"/>
              <w:bottom w:val="single" w:sz="4" w:space="0" w:color="auto"/>
              <w:right w:val="single" w:sz="4" w:space="0" w:color="auto"/>
            </w:tcBorders>
            <w:shd w:val="clear" w:color="auto" w:fill="auto"/>
            <w:hideMark/>
          </w:tcPr>
          <w:p w14:paraId="5689A1C3" w14:textId="77777777" w:rsidR="000A1AD9" w:rsidRPr="00000F38" w:rsidRDefault="000A1AD9" w:rsidP="000A1AD9">
            <w:pPr>
              <w:spacing w:after="0" w:line="240" w:lineRule="auto"/>
              <w:jc w:val="center"/>
              <w:rPr>
                <w:rFonts w:eastAsia="Times New Roman" w:cstheme="minorHAnsi"/>
                <w:b/>
                <w:bCs/>
                <w:lang w:val="en-GB" w:eastAsia="en-GB"/>
              </w:rPr>
            </w:pPr>
            <w:r w:rsidRPr="00000F38">
              <w:rPr>
                <w:rFonts w:eastAsia="Times New Roman" w:cstheme="minorHAnsi"/>
                <w:b/>
                <w:bCs/>
                <w:lang w:val="en-GB" w:eastAsia="en-GB"/>
              </w:rPr>
              <w:t>XX</w:t>
            </w:r>
          </w:p>
        </w:tc>
      </w:tr>
      <w:tr w:rsidR="000A1AD9" w:rsidRPr="00000F38" w14:paraId="6F66D746" w14:textId="77777777" w:rsidTr="000A1AD9">
        <w:trPr>
          <w:trHeight w:val="255"/>
        </w:trPr>
        <w:tc>
          <w:tcPr>
            <w:tcW w:w="811" w:type="dxa"/>
            <w:tcBorders>
              <w:top w:val="nil"/>
              <w:left w:val="single" w:sz="4" w:space="0" w:color="auto"/>
              <w:bottom w:val="single" w:sz="4" w:space="0" w:color="auto"/>
              <w:right w:val="single" w:sz="4" w:space="0" w:color="auto"/>
            </w:tcBorders>
            <w:shd w:val="clear" w:color="auto" w:fill="auto"/>
            <w:hideMark/>
          </w:tcPr>
          <w:p w14:paraId="64EDF90B"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2</w:t>
            </w:r>
          </w:p>
        </w:tc>
        <w:tc>
          <w:tcPr>
            <w:tcW w:w="4887" w:type="dxa"/>
            <w:tcBorders>
              <w:top w:val="nil"/>
              <w:left w:val="nil"/>
              <w:bottom w:val="single" w:sz="4" w:space="0" w:color="auto"/>
              <w:right w:val="single" w:sz="4" w:space="0" w:color="auto"/>
            </w:tcBorders>
            <w:shd w:val="clear" w:color="auto" w:fill="auto"/>
            <w:noWrap/>
            <w:vAlign w:val="center"/>
            <w:hideMark/>
          </w:tcPr>
          <w:p w14:paraId="1878198D" w14:textId="77777777" w:rsidR="000A1AD9" w:rsidRPr="00000F38" w:rsidRDefault="000A1AD9" w:rsidP="000A1AD9">
            <w:pPr>
              <w:spacing w:after="0" w:line="240" w:lineRule="auto"/>
              <w:jc w:val="both"/>
              <w:rPr>
                <w:rFonts w:eastAsia="Times New Roman" w:cstheme="minorHAnsi"/>
                <w:color w:val="000000"/>
                <w:lang w:val="en-GB" w:eastAsia="en-GB"/>
              </w:rPr>
            </w:pPr>
            <w:r w:rsidRPr="00000F38">
              <w:rPr>
                <w:rFonts w:eastAsia="Times New Roman" w:cstheme="minorHAnsi"/>
                <w:color w:val="000000"/>
                <w:lang w:val="en-GB" w:eastAsia="en-GB"/>
              </w:rPr>
              <w:t>File Upload Security Solution</w:t>
            </w:r>
          </w:p>
        </w:tc>
        <w:tc>
          <w:tcPr>
            <w:tcW w:w="918" w:type="dxa"/>
            <w:tcBorders>
              <w:top w:val="nil"/>
              <w:left w:val="nil"/>
              <w:bottom w:val="single" w:sz="4" w:space="0" w:color="auto"/>
              <w:right w:val="single" w:sz="4" w:space="0" w:color="auto"/>
            </w:tcBorders>
            <w:shd w:val="clear" w:color="auto" w:fill="auto"/>
            <w:hideMark/>
          </w:tcPr>
          <w:p w14:paraId="5279080B"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1603" w:type="dxa"/>
            <w:tcBorders>
              <w:top w:val="nil"/>
              <w:left w:val="nil"/>
              <w:bottom w:val="single" w:sz="4" w:space="0" w:color="auto"/>
              <w:right w:val="single" w:sz="4" w:space="0" w:color="auto"/>
            </w:tcBorders>
            <w:shd w:val="clear" w:color="auto" w:fill="auto"/>
            <w:hideMark/>
          </w:tcPr>
          <w:p w14:paraId="08367553" w14:textId="77777777" w:rsidR="000A1AD9" w:rsidRPr="00000F38" w:rsidRDefault="000A1AD9" w:rsidP="000A1AD9">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1658" w:type="dxa"/>
            <w:tcBorders>
              <w:top w:val="nil"/>
              <w:left w:val="nil"/>
              <w:bottom w:val="single" w:sz="4" w:space="0" w:color="auto"/>
              <w:right w:val="single" w:sz="4" w:space="0" w:color="auto"/>
            </w:tcBorders>
            <w:shd w:val="clear" w:color="auto" w:fill="auto"/>
            <w:hideMark/>
          </w:tcPr>
          <w:p w14:paraId="2C3FB723" w14:textId="77777777" w:rsidR="000A1AD9" w:rsidRPr="00000F38" w:rsidRDefault="000A1AD9" w:rsidP="000A1AD9">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2003" w:type="dxa"/>
            <w:tcBorders>
              <w:top w:val="nil"/>
              <w:left w:val="nil"/>
              <w:bottom w:val="single" w:sz="4" w:space="0" w:color="auto"/>
              <w:right w:val="single" w:sz="4" w:space="0" w:color="auto"/>
            </w:tcBorders>
            <w:shd w:val="clear" w:color="auto" w:fill="auto"/>
            <w:hideMark/>
          </w:tcPr>
          <w:p w14:paraId="23618638" w14:textId="77777777" w:rsidR="000A1AD9" w:rsidRPr="00000F38" w:rsidRDefault="000A1AD9" w:rsidP="000A1AD9">
            <w:pPr>
              <w:spacing w:after="0" w:line="240" w:lineRule="auto"/>
              <w:jc w:val="center"/>
              <w:rPr>
                <w:rFonts w:eastAsia="Times New Roman" w:cstheme="minorHAnsi"/>
                <w:b/>
                <w:bCs/>
                <w:lang w:val="en-GB" w:eastAsia="en-GB"/>
              </w:rPr>
            </w:pPr>
            <w:r w:rsidRPr="00000F38">
              <w:rPr>
                <w:rFonts w:eastAsia="Times New Roman" w:cstheme="minorHAnsi"/>
                <w:b/>
                <w:bCs/>
                <w:lang w:val="en-GB" w:eastAsia="en-GB"/>
              </w:rPr>
              <w:t>XX</w:t>
            </w:r>
          </w:p>
        </w:tc>
      </w:tr>
      <w:tr w:rsidR="000A1AD9" w:rsidRPr="00000F38" w14:paraId="5914DB9F" w14:textId="77777777" w:rsidTr="000A1AD9">
        <w:trPr>
          <w:trHeight w:val="255"/>
        </w:trPr>
        <w:tc>
          <w:tcPr>
            <w:tcW w:w="811" w:type="dxa"/>
            <w:tcBorders>
              <w:top w:val="nil"/>
              <w:left w:val="single" w:sz="4" w:space="0" w:color="auto"/>
              <w:bottom w:val="single" w:sz="4" w:space="0" w:color="auto"/>
              <w:right w:val="single" w:sz="4" w:space="0" w:color="auto"/>
            </w:tcBorders>
            <w:shd w:val="clear" w:color="auto" w:fill="auto"/>
            <w:hideMark/>
          </w:tcPr>
          <w:p w14:paraId="575D9CD4"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3</w:t>
            </w:r>
          </w:p>
        </w:tc>
        <w:tc>
          <w:tcPr>
            <w:tcW w:w="4887" w:type="dxa"/>
            <w:tcBorders>
              <w:top w:val="nil"/>
              <w:left w:val="nil"/>
              <w:bottom w:val="single" w:sz="4" w:space="0" w:color="auto"/>
              <w:right w:val="single" w:sz="4" w:space="0" w:color="auto"/>
            </w:tcBorders>
            <w:shd w:val="clear" w:color="auto" w:fill="auto"/>
            <w:noWrap/>
            <w:vAlign w:val="center"/>
            <w:hideMark/>
          </w:tcPr>
          <w:p w14:paraId="3D56495B" w14:textId="77777777" w:rsidR="000A1AD9" w:rsidRPr="00000F38" w:rsidRDefault="000A1AD9" w:rsidP="000A1AD9">
            <w:pPr>
              <w:spacing w:after="0" w:line="240" w:lineRule="auto"/>
              <w:jc w:val="both"/>
              <w:rPr>
                <w:rFonts w:eastAsia="Times New Roman" w:cstheme="minorHAnsi"/>
                <w:color w:val="000000"/>
                <w:lang w:val="en-GB" w:eastAsia="en-GB"/>
              </w:rPr>
            </w:pPr>
            <w:r w:rsidRPr="00000F38">
              <w:rPr>
                <w:rFonts w:eastAsia="Times New Roman" w:cstheme="minorHAnsi"/>
                <w:color w:val="000000"/>
                <w:lang w:val="en-GB" w:eastAsia="en-GB"/>
              </w:rPr>
              <w:t>Attack Surface Management (ASM)</w:t>
            </w:r>
          </w:p>
        </w:tc>
        <w:tc>
          <w:tcPr>
            <w:tcW w:w="918" w:type="dxa"/>
            <w:tcBorders>
              <w:top w:val="nil"/>
              <w:left w:val="nil"/>
              <w:bottom w:val="single" w:sz="4" w:space="0" w:color="auto"/>
              <w:right w:val="single" w:sz="4" w:space="0" w:color="auto"/>
            </w:tcBorders>
            <w:shd w:val="clear" w:color="auto" w:fill="auto"/>
            <w:hideMark/>
          </w:tcPr>
          <w:p w14:paraId="324907D1"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1603" w:type="dxa"/>
            <w:tcBorders>
              <w:top w:val="nil"/>
              <w:left w:val="nil"/>
              <w:bottom w:val="single" w:sz="4" w:space="0" w:color="auto"/>
              <w:right w:val="single" w:sz="4" w:space="0" w:color="auto"/>
            </w:tcBorders>
            <w:shd w:val="clear" w:color="auto" w:fill="auto"/>
            <w:hideMark/>
          </w:tcPr>
          <w:p w14:paraId="36BDBC03" w14:textId="77777777" w:rsidR="000A1AD9" w:rsidRPr="00000F38" w:rsidRDefault="000A1AD9" w:rsidP="000A1AD9">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1658" w:type="dxa"/>
            <w:tcBorders>
              <w:top w:val="nil"/>
              <w:left w:val="nil"/>
              <w:bottom w:val="single" w:sz="4" w:space="0" w:color="auto"/>
              <w:right w:val="single" w:sz="4" w:space="0" w:color="auto"/>
            </w:tcBorders>
            <w:shd w:val="clear" w:color="auto" w:fill="auto"/>
            <w:hideMark/>
          </w:tcPr>
          <w:p w14:paraId="27E285D3" w14:textId="77777777" w:rsidR="000A1AD9" w:rsidRPr="00000F38" w:rsidRDefault="000A1AD9" w:rsidP="000A1AD9">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2003" w:type="dxa"/>
            <w:tcBorders>
              <w:top w:val="nil"/>
              <w:left w:val="nil"/>
              <w:bottom w:val="single" w:sz="4" w:space="0" w:color="auto"/>
              <w:right w:val="single" w:sz="4" w:space="0" w:color="auto"/>
            </w:tcBorders>
            <w:shd w:val="clear" w:color="auto" w:fill="auto"/>
            <w:hideMark/>
          </w:tcPr>
          <w:p w14:paraId="3834B51D" w14:textId="77777777" w:rsidR="000A1AD9" w:rsidRPr="00000F38" w:rsidRDefault="000A1AD9" w:rsidP="000A1AD9">
            <w:pPr>
              <w:spacing w:after="0" w:line="240" w:lineRule="auto"/>
              <w:jc w:val="center"/>
              <w:rPr>
                <w:rFonts w:eastAsia="Times New Roman" w:cstheme="minorHAnsi"/>
                <w:b/>
                <w:bCs/>
                <w:lang w:val="en-GB" w:eastAsia="en-GB"/>
              </w:rPr>
            </w:pPr>
            <w:r w:rsidRPr="00000F38">
              <w:rPr>
                <w:rFonts w:eastAsia="Times New Roman" w:cstheme="minorHAnsi"/>
                <w:b/>
                <w:bCs/>
                <w:lang w:val="en-GB" w:eastAsia="en-GB"/>
              </w:rPr>
              <w:t>XX</w:t>
            </w:r>
          </w:p>
        </w:tc>
      </w:tr>
      <w:tr w:rsidR="000A1AD9" w:rsidRPr="00000F38" w14:paraId="19E67771" w14:textId="77777777" w:rsidTr="000A1AD9">
        <w:trPr>
          <w:trHeight w:val="510"/>
        </w:trPr>
        <w:tc>
          <w:tcPr>
            <w:tcW w:w="811" w:type="dxa"/>
            <w:tcBorders>
              <w:top w:val="nil"/>
              <w:left w:val="single" w:sz="4" w:space="0" w:color="auto"/>
              <w:bottom w:val="single" w:sz="4" w:space="0" w:color="auto"/>
              <w:right w:val="single" w:sz="4" w:space="0" w:color="auto"/>
            </w:tcBorders>
            <w:shd w:val="clear" w:color="auto" w:fill="auto"/>
            <w:hideMark/>
          </w:tcPr>
          <w:p w14:paraId="103A448C"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4</w:t>
            </w:r>
          </w:p>
        </w:tc>
        <w:tc>
          <w:tcPr>
            <w:tcW w:w="4887" w:type="dxa"/>
            <w:tcBorders>
              <w:top w:val="nil"/>
              <w:left w:val="nil"/>
              <w:bottom w:val="single" w:sz="4" w:space="0" w:color="auto"/>
              <w:right w:val="single" w:sz="4" w:space="0" w:color="auto"/>
            </w:tcBorders>
            <w:shd w:val="clear" w:color="auto" w:fill="auto"/>
            <w:noWrap/>
            <w:vAlign w:val="center"/>
            <w:hideMark/>
          </w:tcPr>
          <w:p w14:paraId="266463E9" w14:textId="77777777" w:rsidR="000A1AD9" w:rsidRPr="00000F38" w:rsidRDefault="000A1AD9" w:rsidP="000A1AD9">
            <w:pPr>
              <w:spacing w:after="0" w:line="240" w:lineRule="auto"/>
              <w:jc w:val="both"/>
              <w:rPr>
                <w:rFonts w:eastAsia="Times New Roman" w:cstheme="minorHAnsi"/>
                <w:color w:val="000000"/>
                <w:lang w:val="en-GB" w:eastAsia="en-GB"/>
              </w:rPr>
            </w:pPr>
            <w:r w:rsidRPr="00000F38">
              <w:rPr>
                <w:rFonts w:eastAsia="Times New Roman" w:cstheme="minorHAnsi"/>
                <w:color w:val="000000"/>
                <w:lang w:val="en-GB" w:eastAsia="en-GB"/>
              </w:rPr>
              <w:t>Breach and Attack Simulation (BAS) with Red Team Solution</w:t>
            </w:r>
          </w:p>
        </w:tc>
        <w:tc>
          <w:tcPr>
            <w:tcW w:w="918" w:type="dxa"/>
            <w:tcBorders>
              <w:top w:val="nil"/>
              <w:left w:val="nil"/>
              <w:bottom w:val="single" w:sz="4" w:space="0" w:color="auto"/>
              <w:right w:val="single" w:sz="4" w:space="0" w:color="auto"/>
            </w:tcBorders>
            <w:shd w:val="clear" w:color="auto" w:fill="auto"/>
            <w:hideMark/>
          </w:tcPr>
          <w:p w14:paraId="7459AC32"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1603" w:type="dxa"/>
            <w:tcBorders>
              <w:top w:val="nil"/>
              <w:left w:val="nil"/>
              <w:bottom w:val="single" w:sz="4" w:space="0" w:color="auto"/>
              <w:right w:val="single" w:sz="4" w:space="0" w:color="auto"/>
            </w:tcBorders>
            <w:shd w:val="clear" w:color="auto" w:fill="auto"/>
            <w:hideMark/>
          </w:tcPr>
          <w:p w14:paraId="2F2FF01A" w14:textId="77777777" w:rsidR="000A1AD9" w:rsidRPr="00000F38" w:rsidRDefault="000A1AD9" w:rsidP="000A1AD9">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1658" w:type="dxa"/>
            <w:tcBorders>
              <w:top w:val="nil"/>
              <w:left w:val="nil"/>
              <w:bottom w:val="single" w:sz="4" w:space="0" w:color="auto"/>
              <w:right w:val="single" w:sz="4" w:space="0" w:color="auto"/>
            </w:tcBorders>
            <w:shd w:val="clear" w:color="auto" w:fill="auto"/>
            <w:hideMark/>
          </w:tcPr>
          <w:p w14:paraId="5D1AEBB0" w14:textId="77777777" w:rsidR="000A1AD9" w:rsidRPr="00000F38" w:rsidRDefault="000A1AD9" w:rsidP="000A1AD9">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2003" w:type="dxa"/>
            <w:tcBorders>
              <w:top w:val="nil"/>
              <w:left w:val="nil"/>
              <w:bottom w:val="single" w:sz="4" w:space="0" w:color="auto"/>
              <w:right w:val="single" w:sz="4" w:space="0" w:color="auto"/>
            </w:tcBorders>
            <w:shd w:val="clear" w:color="auto" w:fill="auto"/>
            <w:hideMark/>
          </w:tcPr>
          <w:p w14:paraId="6CD09B66" w14:textId="77777777" w:rsidR="000A1AD9" w:rsidRPr="00000F38" w:rsidRDefault="000A1AD9" w:rsidP="000A1AD9">
            <w:pPr>
              <w:spacing w:after="0" w:line="240" w:lineRule="auto"/>
              <w:jc w:val="center"/>
              <w:rPr>
                <w:rFonts w:eastAsia="Times New Roman" w:cstheme="minorHAnsi"/>
                <w:b/>
                <w:bCs/>
                <w:lang w:val="en-GB" w:eastAsia="en-GB"/>
              </w:rPr>
            </w:pPr>
            <w:r w:rsidRPr="00000F38">
              <w:rPr>
                <w:rFonts w:eastAsia="Times New Roman" w:cstheme="minorHAnsi"/>
                <w:b/>
                <w:bCs/>
                <w:lang w:val="en-GB" w:eastAsia="en-GB"/>
              </w:rPr>
              <w:t>XX</w:t>
            </w:r>
          </w:p>
        </w:tc>
      </w:tr>
      <w:tr w:rsidR="000A1AD9" w:rsidRPr="00000F38" w14:paraId="6419ECA7" w14:textId="77777777" w:rsidTr="000A1AD9">
        <w:trPr>
          <w:trHeight w:val="255"/>
        </w:trPr>
        <w:tc>
          <w:tcPr>
            <w:tcW w:w="811" w:type="dxa"/>
            <w:tcBorders>
              <w:top w:val="nil"/>
              <w:left w:val="single" w:sz="4" w:space="0" w:color="auto"/>
              <w:bottom w:val="single" w:sz="4" w:space="0" w:color="auto"/>
              <w:right w:val="single" w:sz="4" w:space="0" w:color="auto"/>
            </w:tcBorders>
            <w:shd w:val="clear" w:color="auto" w:fill="auto"/>
            <w:hideMark/>
          </w:tcPr>
          <w:p w14:paraId="3980E65E"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lastRenderedPageBreak/>
              <w:t>5</w:t>
            </w:r>
          </w:p>
        </w:tc>
        <w:tc>
          <w:tcPr>
            <w:tcW w:w="4887" w:type="dxa"/>
            <w:tcBorders>
              <w:top w:val="nil"/>
              <w:left w:val="nil"/>
              <w:bottom w:val="single" w:sz="4" w:space="0" w:color="auto"/>
              <w:right w:val="single" w:sz="4" w:space="0" w:color="auto"/>
            </w:tcBorders>
            <w:shd w:val="clear" w:color="auto" w:fill="auto"/>
            <w:noWrap/>
            <w:vAlign w:val="center"/>
            <w:hideMark/>
          </w:tcPr>
          <w:p w14:paraId="21128675" w14:textId="77777777" w:rsidR="000A1AD9" w:rsidRPr="00000F38" w:rsidRDefault="000A1AD9" w:rsidP="000A1AD9">
            <w:pPr>
              <w:spacing w:after="0" w:line="240" w:lineRule="auto"/>
              <w:jc w:val="both"/>
              <w:rPr>
                <w:rFonts w:eastAsia="Times New Roman" w:cstheme="minorHAnsi"/>
                <w:color w:val="000000"/>
                <w:lang w:val="en-GB" w:eastAsia="en-GB"/>
              </w:rPr>
            </w:pPr>
            <w:r w:rsidRPr="00000F38">
              <w:rPr>
                <w:rFonts w:eastAsia="Times New Roman" w:cstheme="minorHAnsi"/>
                <w:color w:val="000000"/>
                <w:lang w:val="en-GB" w:eastAsia="en-GB"/>
              </w:rPr>
              <w:t>Phishing Simulation</w:t>
            </w:r>
          </w:p>
        </w:tc>
        <w:tc>
          <w:tcPr>
            <w:tcW w:w="918" w:type="dxa"/>
            <w:tcBorders>
              <w:top w:val="nil"/>
              <w:left w:val="nil"/>
              <w:bottom w:val="single" w:sz="4" w:space="0" w:color="auto"/>
              <w:right w:val="single" w:sz="4" w:space="0" w:color="auto"/>
            </w:tcBorders>
            <w:shd w:val="clear" w:color="auto" w:fill="auto"/>
            <w:hideMark/>
          </w:tcPr>
          <w:p w14:paraId="5EBCF5F7"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1603" w:type="dxa"/>
            <w:tcBorders>
              <w:top w:val="nil"/>
              <w:left w:val="nil"/>
              <w:bottom w:val="single" w:sz="4" w:space="0" w:color="auto"/>
              <w:right w:val="single" w:sz="4" w:space="0" w:color="auto"/>
            </w:tcBorders>
            <w:shd w:val="clear" w:color="auto" w:fill="auto"/>
            <w:hideMark/>
          </w:tcPr>
          <w:p w14:paraId="1234FF2B" w14:textId="77777777" w:rsidR="000A1AD9" w:rsidRPr="00000F38" w:rsidRDefault="000A1AD9" w:rsidP="000A1AD9">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1658" w:type="dxa"/>
            <w:tcBorders>
              <w:top w:val="nil"/>
              <w:left w:val="nil"/>
              <w:bottom w:val="single" w:sz="4" w:space="0" w:color="auto"/>
              <w:right w:val="single" w:sz="4" w:space="0" w:color="auto"/>
            </w:tcBorders>
            <w:shd w:val="clear" w:color="auto" w:fill="auto"/>
            <w:hideMark/>
          </w:tcPr>
          <w:p w14:paraId="162DC075" w14:textId="77777777" w:rsidR="000A1AD9" w:rsidRPr="00000F38" w:rsidRDefault="000A1AD9" w:rsidP="000A1AD9">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2003" w:type="dxa"/>
            <w:tcBorders>
              <w:top w:val="nil"/>
              <w:left w:val="nil"/>
              <w:bottom w:val="single" w:sz="4" w:space="0" w:color="auto"/>
              <w:right w:val="single" w:sz="4" w:space="0" w:color="auto"/>
            </w:tcBorders>
            <w:shd w:val="clear" w:color="auto" w:fill="auto"/>
            <w:hideMark/>
          </w:tcPr>
          <w:p w14:paraId="743D05F1" w14:textId="77777777" w:rsidR="000A1AD9" w:rsidRPr="00000F38" w:rsidRDefault="000A1AD9" w:rsidP="000A1AD9">
            <w:pPr>
              <w:spacing w:after="0" w:line="240" w:lineRule="auto"/>
              <w:jc w:val="center"/>
              <w:rPr>
                <w:rFonts w:eastAsia="Times New Roman" w:cstheme="minorHAnsi"/>
                <w:b/>
                <w:bCs/>
                <w:lang w:val="en-GB" w:eastAsia="en-GB"/>
              </w:rPr>
            </w:pPr>
            <w:r w:rsidRPr="00000F38">
              <w:rPr>
                <w:rFonts w:eastAsia="Times New Roman" w:cstheme="minorHAnsi"/>
                <w:b/>
                <w:bCs/>
                <w:lang w:val="en-GB" w:eastAsia="en-GB"/>
              </w:rPr>
              <w:t>XX</w:t>
            </w:r>
          </w:p>
        </w:tc>
      </w:tr>
      <w:tr w:rsidR="000A1AD9" w:rsidRPr="00000F38" w14:paraId="1F9C28B3" w14:textId="77777777" w:rsidTr="000A1AD9">
        <w:trPr>
          <w:trHeight w:val="255"/>
        </w:trPr>
        <w:tc>
          <w:tcPr>
            <w:tcW w:w="811" w:type="dxa"/>
            <w:tcBorders>
              <w:top w:val="nil"/>
              <w:left w:val="single" w:sz="4" w:space="0" w:color="auto"/>
              <w:bottom w:val="single" w:sz="4" w:space="0" w:color="auto"/>
              <w:right w:val="single" w:sz="4" w:space="0" w:color="auto"/>
            </w:tcBorders>
            <w:shd w:val="clear" w:color="auto" w:fill="auto"/>
            <w:hideMark/>
          </w:tcPr>
          <w:p w14:paraId="5198B77B"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6</w:t>
            </w:r>
          </w:p>
        </w:tc>
        <w:tc>
          <w:tcPr>
            <w:tcW w:w="4887" w:type="dxa"/>
            <w:tcBorders>
              <w:top w:val="nil"/>
              <w:left w:val="nil"/>
              <w:bottom w:val="single" w:sz="4" w:space="0" w:color="auto"/>
              <w:right w:val="single" w:sz="4" w:space="0" w:color="auto"/>
            </w:tcBorders>
            <w:shd w:val="clear" w:color="auto" w:fill="auto"/>
            <w:noWrap/>
            <w:vAlign w:val="center"/>
            <w:hideMark/>
          </w:tcPr>
          <w:p w14:paraId="6AC3CA57" w14:textId="77777777" w:rsidR="000A1AD9" w:rsidRPr="00000F38" w:rsidRDefault="000A1AD9" w:rsidP="000A1AD9">
            <w:pPr>
              <w:spacing w:after="0" w:line="240" w:lineRule="auto"/>
              <w:jc w:val="both"/>
              <w:rPr>
                <w:rFonts w:eastAsia="Times New Roman" w:cstheme="minorHAnsi"/>
                <w:color w:val="000000"/>
                <w:lang w:val="en-GB" w:eastAsia="en-GB"/>
              </w:rPr>
            </w:pPr>
            <w:r w:rsidRPr="00000F38">
              <w:rPr>
                <w:rFonts w:eastAsia="Times New Roman" w:cstheme="minorHAnsi"/>
                <w:color w:val="000000"/>
                <w:lang w:val="en-GB" w:eastAsia="en-GB"/>
              </w:rPr>
              <w:t>AD Security</w:t>
            </w:r>
          </w:p>
        </w:tc>
        <w:tc>
          <w:tcPr>
            <w:tcW w:w="918" w:type="dxa"/>
            <w:tcBorders>
              <w:top w:val="nil"/>
              <w:left w:val="nil"/>
              <w:bottom w:val="single" w:sz="4" w:space="0" w:color="auto"/>
              <w:right w:val="single" w:sz="4" w:space="0" w:color="auto"/>
            </w:tcBorders>
            <w:shd w:val="clear" w:color="auto" w:fill="auto"/>
            <w:hideMark/>
          </w:tcPr>
          <w:p w14:paraId="74365194"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1603" w:type="dxa"/>
            <w:tcBorders>
              <w:top w:val="nil"/>
              <w:left w:val="nil"/>
              <w:bottom w:val="single" w:sz="4" w:space="0" w:color="auto"/>
              <w:right w:val="single" w:sz="4" w:space="0" w:color="auto"/>
            </w:tcBorders>
            <w:shd w:val="clear" w:color="auto" w:fill="auto"/>
            <w:hideMark/>
          </w:tcPr>
          <w:p w14:paraId="62E4A322" w14:textId="77777777" w:rsidR="000A1AD9" w:rsidRPr="00000F38" w:rsidRDefault="000A1AD9" w:rsidP="000A1AD9">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1658" w:type="dxa"/>
            <w:tcBorders>
              <w:top w:val="nil"/>
              <w:left w:val="nil"/>
              <w:bottom w:val="single" w:sz="4" w:space="0" w:color="auto"/>
              <w:right w:val="single" w:sz="4" w:space="0" w:color="auto"/>
            </w:tcBorders>
            <w:shd w:val="clear" w:color="auto" w:fill="auto"/>
            <w:hideMark/>
          </w:tcPr>
          <w:p w14:paraId="78533FAA" w14:textId="77777777" w:rsidR="000A1AD9" w:rsidRPr="00000F38" w:rsidRDefault="000A1AD9" w:rsidP="000A1AD9">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2003" w:type="dxa"/>
            <w:tcBorders>
              <w:top w:val="nil"/>
              <w:left w:val="nil"/>
              <w:bottom w:val="single" w:sz="4" w:space="0" w:color="auto"/>
              <w:right w:val="single" w:sz="4" w:space="0" w:color="auto"/>
            </w:tcBorders>
            <w:shd w:val="clear" w:color="auto" w:fill="auto"/>
            <w:hideMark/>
          </w:tcPr>
          <w:p w14:paraId="2CBE67AD" w14:textId="77777777" w:rsidR="000A1AD9" w:rsidRPr="00000F38" w:rsidRDefault="000A1AD9" w:rsidP="000A1AD9">
            <w:pPr>
              <w:spacing w:after="0" w:line="240" w:lineRule="auto"/>
              <w:jc w:val="center"/>
              <w:rPr>
                <w:rFonts w:eastAsia="Times New Roman" w:cstheme="minorHAnsi"/>
                <w:b/>
                <w:bCs/>
                <w:lang w:val="en-GB" w:eastAsia="en-GB"/>
              </w:rPr>
            </w:pPr>
            <w:r w:rsidRPr="00000F38">
              <w:rPr>
                <w:rFonts w:eastAsia="Times New Roman" w:cstheme="minorHAnsi"/>
                <w:b/>
                <w:bCs/>
                <w:lang w:val="en-GB" w:eastAsia="en-GB"/>
              </w:rPr>
              <w:t>XX</w:t>
            </w:r>
          </w:p>
        </w:tc>
      </w:tr>
      <w:tr w:rsidR="000A1AD9" w:rsidRPr="00000F38" w14:paraId="7DBC8211" w14:textId="77777777" w:rsidTr="000A1AD9">
        <w:trPr>
          <w:trHeight w:val="255"/>
        </w:trPr>
        <w:tc>
          <w:tcPr>
            <w:tcW w:w="811" w:type="dxa"/>
            <w:tcBorders>
              <w:top w:val="nil"/>
              <w:left w:val="single" w:sz="4" w:space="0" w:color="auto"/>
              <w:bottom w:val="single" w:sz="4" w:space="0" w:color="auto"/>
              <w:right w:val="single" w:sz="4" w:space="0" w:color="auto"/>
            </w:tcBorders>
            <w:shd w:val="clear" w:color="auto" w:fill="auto"/>
            <w:hideMark/>
          </w:tcPr>
          <w:p w14:paraId="44D20E21"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7</w:t>
            </w:r>
          </w:p>
        </w:tc>
        <w:tc>
          <w:tcPr>
            <w:tcW w:w="4887" w:type="dxa"/>
            <w:tcBorders>
              <w:top w:val="nil"/>
              <w:left w:val="nil"/>
              <w:bottom w:val="single" w:sz="4" w:space="0" w:color="auto"/>
              <w:right w:val="single" w:sz="4" w:space="0" w:color="auto"/>
            </w:tcBorders>
            <w:shd w:val="clear" w:color="auto" w:fill="auto"/>
            <w:noWrap/>
            <w:vAlign w:val="center"/>
            <w:hideMark/>
          </w:tcPr>
          <w:p w14:paraId="4974DD2E" w14:textId="77777777" w:rsidR="000A1AD9" w:rsidRPr="00000F38" w:rsidRDefault="000A1AD9" w:rsidP="000A1AD9">
            <w:pPr>
              <w:spacing w:after="0" w:line="240" w:lineRule="auto"/>
              <w:jc w:val="both"/>
              <w:rPr>
                <w:rFonts w:eastAsia="Times New Roman" w:cstheme="minorHAnsi"/>
                <w:color w:val="000000"/>
                <w:lang w:val="en-GB" w:eastAsia="en-GB"/>
              </w:rPr>
            </w:pPr>
            <w:r w:rsidRPr="00000F38">
              <w:rPr>
                <w:rFonts w:eastAsia="Times New Roman" w:cstheme="minorHAnsi"/>
                <w:color w:val="000000"/>
                <w:lang w:val="en-GB" w:eastAsia="en-GB"/>
              </w:rPr>
              <w:t>Governance, Risk and Compliance</w:t>
            </w:r>
          </w:p>
        </w:tc>
        <w:tc>
          <w:tcPr>
            <w:tcW w:w="918" w:type="dxa"/>
            <w:tcBorders>
              <w:top w:val="nil"/>
              <w:left w:val="nil"/>
              <w:bottom w:val="single" w:sz="4" w:space="0" w:color="auto"/>
              <w:right w:val="single" w:sz="4" w:space="0" w:color="auto"/>
            </w:tcBorders>
            <w:shd w:val="clear" w:color="auto" w:fill="auto"/>
            <w:hideMark/>
          </w:tcPr>
          <w:p w14:paraId="23561BB5"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1603" w:type="dxa"/>
            <w:tcBorders>
              <w:top w:val="nil"/>
              <w:left w:val="nil"/>
              <w:bottom w:val="single" w:sz="4" w:space="0" w:color="auto"/>
              <w:right w:val="single" w:sz="4" w:space="0" w:color="auto"/>
            </w:tcBorders>
            <w:shd w:val="clear" w:color="auto" w:fill="auto"/>
            <w:hideMark/>
          </w:tcPr>
          <w:p w14:paraId="3971BB1B" w14:textId="77777777" w:rsidR="000A1AD9" w:rsidRPr="00000F38" w:rsidRDefault="000A1AD9" w:rsidP="000A1AD9">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1658" w:type="dxa"/>
            <w:tcBorders>
              <w:top w:val="nil"/>
              <w:left w:val="nil"/>
              <w:bottom w:val="single" w:sz="4" w:space="0" w:color="auto"/>
              <w:right w:val="single" w:sz="4" w:space="0" w:color="auto"/>
            </w:tcBorders>
            <w:shd w:val="clear" w:color="auto" w:fill="auto"/>
            <w:hideMark/>
          </w:tcPr>
          <w:p w14:paraId="5B23D82B" w14:textId="77777777" w:rsidR="000A1AD9" w:rsidRPr="00000F38" w:rsidRDefault="000A1AD9" w:rsidP="000A1AD9">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2003" w:type="dxa"/>
            <w:tcBorders>
              <w:top w:val="nil"/>
              <w:left w:val="nil"/>
              <w:bottom w:val="single" w:sz="4" w:space="0" w:color="auto"/>
              <w:right w:val="single" w:sz="4" w:space="0" w:color="auto"/>
            </w:tcBorders>
            <w:shd w:val="clear" w:color="auto" w:fill="auto"/>
            <w:hideMark/>
          </w:tcPr>
          <w:p w14:paraId="0928CFE7" w14:textId="77777777" w:rsidR="000A1AD9" w:rsidRPr="00000F38" w:rsidRDefault="000A1AD9" w:rsidP="000A1AD9">
            <w:pPr>
              <w:spacing w:after="0" w:line="240" w:lineRule="auto"/>
              <w:jc w:val="center"/>
              <w:rPr>
                <w:rFonts w:eastAsia="Times New Roman" w:cstheme="minorHAnsi"/>
                <w:b/>
                <w:bCs/>
                <w:lang w:val="en-GB" w:eastAsia="en-GB"/>
              </w:rPr>
            </w:pPr>
            <w:r w:rsidRPr="00000F38">
              <w:rPr>
                <w:rFonts w:eastAsia="Times New Roman" w:cstheme="minorHAnsi"/>
                <w:b/>
                <w:bCs/>
                <w:lang w:val="en-GB" w:eastAsia="en-GB"/>
              </w:rPr>
              <w:t>XX</w:t>
            </w:r>
          </w:p>
        </w:tc>
      </w:tr>
      <w:tr w:rsidR="000A1AD9" w:rsidRPr="00000F38" w14:paraId="684286FB" w14:textId="77777777" w:rsidTr="000A1AD9">
        <w:trPr>
          <w:trHeight w:val="255"/>
        </w:trPr>
        <w:tc>
          <w:tcPr>
            <w:tcW w:w="811" w:type="dxa"/>
            <w:tcBorders>
              <w:top w:val="nil"/>
              <w:left w:val="single" w:sz="4" w:space="0" w:color="auto"/>
              <w:bottom w:val="single" w:sz="4" w:space="0" w:color="auto"/>
              <w:right w:val="single" w:sz="4" w:space="0" w:color="auto"/>
            </w:tcBorders>
            <w:shd w:val="clear" w:color="auto" w:fill="auto"/>
            <w:hideMark/>
          </w:tcPr>
          <w:p w14:paraId="43D6CC5F"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8</w:t>
            </w:r>
          </w:p>
        </w:tc>
        <w:tc>
          <w:tcPr>
            <w:tcW w:w="4887" w:type="dxa"/>
            <w:tcBorders>
              <w:top w:val="nil"/>
              <w:left w:val="nil"/>
              <w:bottom w:val="single" w:sz="4" w:space="0" w:color="auto"/>
              <w:right w:val="single" w:sz="4" w:space="0" w:color="auto"/>
            </w:tcBorders>
            <w:shd w:val="clear" w:color="auto" w:fill="auto"/>
            <w:noWrap/>
            <w:vAlign w:val="center"/>
            <w:hideMark/>
          </w:tcPr>
          <w:p w14:paraId="226B3EA4" w14:textId="77777777" w:rsidR="000A1AD9" w:rsidRPr="00000F38" w:rsidRDefault="000A1AD9" w:rsidP="000A1AD9">
            <w:pPr>
              <w:spacing w:after="0" w:line="240" w:lineRule="auto"/>
              <w:jc w:val="both"/>
              <w:rPr>
                <w:rFonts w:eastAsia="Times New Roman" w:cstheme="minorHAnsi"/>
                <w:color w:val="000000"/>
                <w:lang w:val="en-GB" w:eastAsia="en-GB"/>
              </w:rPr>
            </w:pPr>
            <w:r w:rsidRPr="00000F38">
              <w:rPr>
                <w:rFonts w:eastAsia="Times New Roman" w:cstheme="minorHAnsi"/>
                <w:color w:val="000000"/>
                <w:lang w:val="en-GB" w:eastAsia="en-GB"/>
              </w:rPr>
              <w:t>Decoy (Honeypot)</w:t>
            </w:r>
          </w:p>
        </w:tc>
        <w:tc>
          <w:tcPr>
            <w:tcW w:w="918" w:type="dxa"/>
            <w:tcBorders>
              <w:top w:val="nil"/>
              <w:left w:val="nil"/>
              <w:bottom w:val="single" w:sz="4" w:space="0" w:color="auto"/>
              <w:right w:val="single" w:sz="4" w:space="0" w:color="auto"/>
            </w:tcBorders>
            <w:shd w:val="clear" w:color="auto" w:fill="auto"/>
            <w:hideMark/>
          </w:tcPr>
          <w:p w14:paraId="074EE329"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1603" w:type="dxa"/>
            <w:tcBorders>
              <w:top w:val="nil"/>
              <w:left w:val="nil"/>
              <w:bottom w:val="single" w:sz="4" w:space="0" w:color="auto"/>
              <w:right w:val="single" w:sz="4" w:space="0" w:color="auto"/>
            </w:tcBorders>
            <w:shd w:val="clear" w:color="auto" w:fill="auto"/>
            <w:hideMark/>
          </w:tcPr>
          <w:p w14:paraId="786D5D9B" w14:textId="77777777" w:rsidR="000A1AD9" w:rsidRPr="00000F38" w:rsidRDefault="000A1AD9" w:rsidP="000A1AD9">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1658" w:type="dxa"/>
            <w:tcBorders>
              <w:top w:val="nil"/>
              <w:left w:val="nil"/>
              <w:bottom w:val="single" w:sz="4" w:space="0" w:color="auto"/>
              <w:right w:val="single" w:sz="4" w:space="0" w:color="auto"/>
            </w:tcBorders>
            <w:shd w:val="clear" w:color="auto" w:fill="auto"/>
            <w:hideMark/>
          </w:tcPr>
          <w:p w14:paraId="16ACE89D" w14:textId="77777777" w:rsidR="000A1AD9" w:rsidRPr="00000F38" w:rsidRDefault="000A1AD9" w:rsidP="000A1AD9">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2003" w:type="dxa"/>
            <w:tcBorders>
              <w:top w:val="nil"/>
              <w:left w:val="nil"/>
              <w:bottom w:val="single" w:sz="4" w:space="0" w:color="auto"/>
              <w:right w:val="single" w:sz="4" w:space="0" w:color="auto"/>
            </w:tcBorders>
            <w:shd w:val="clear" w:color="auto" w:fill="auto"/>
            <w:hideMark/>
          </w:tcPr>
          <w:p w14:paraId="026498B2" w14:textId="77777777" w:rsidR="000A1AD9" w:rsidRPr="00000F38" w:rsidRDefault="000A1AD9" w:rsidP="000A1AD9">
            <w:pPr>
              <w:spacing w:after="0" w:line="240" w:lineRule="auto"/>
              <w:jc w:val="center"/>
              <w:rPr>
                <w:rFonts w:eastAsia="Times New Roman" w:cstheme="minorHAnsi"/>
                <w:b/>
                <w:bCs/>
                <w:lang w:val="en-GB" w:eastAsia="en-GB"/>
              </w:rPr>
            </w:pPr>
            <w:r w:rsidRPr="00000F38">
              <w:rPr>
                <w:rFonts w:eastAsia="Times New Roman" w:cstheme="minorHAnsi"/>
                <w:b/>
                <w:bCs/>
                <w:lang w:val="en-GB" w:eastAsia="en-GB"/>
              </w:rPr>
              <w:t>XX</w:t>
            </w:r>
          </w:p>
        </w:tc>
      </w:tr>
      <w:tr w:rsidR="000A1AD9" w:rsidRPr="00000F38" w14:paraId="7E8EF1A6" w14:textId="77777777" w:rsidTr="000A1AD9">
        <w:trPr>
          <w:trHeight w:val="255"/>
        </w:trPr>
        <w:tc>
          <w:tcPr>
            <w:tcW w:w="811" w:type="dxa"/>
            <w:tcBorders>
              <w:top w:val="nil"/>
              <w:left w:val="single" w:sz="4" w:space="0" w:color="auto"/>
              <w:bottom w:val="single" w:sz="4" w:space="0" w:color="auto"/>
              <w:right w:val="single" w:sz="4" w:space="0" w:color="auto"/>
            </w:tcBorders>
            <w:shd w:val="clear" w:color="auto" w:fill="auto"/>
            <w:hideMark/>
          </w:tcPr>
          <w:p w14:paraId="5B412C5E"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9</w:t>
            </w:r>
          </w:p>
        </w:tc>
        <w:tc>
          <w:tcPr>
            <w:tcW w:w="4887" w:type="dxa"/>
            <w:tcBorders>
              <w:top w:val="nil"/>
              <w:left w:val="nil"/>
              <w:bottom w:val="single" w:sz="4" w:space="0" w:color="auto"/>
              <w:right w:val="single" w:sz="4" w:space="0" w:color="auto"/>
            </w:tcBorders>
            <w:shd w:val="clear" w:color="auto" w:fill="auto"/>
            <w:noWrap/>
            <w:vAlign w:val="center"/>
            <w:hideMark/>
          </w:tcPr>
          <w:p w14:paraId="6E4FF32E" w14:textId="77777777" w:rsidR="000A1AD9" w:rsidRPr="00000F38" w:rsidRDefault="000A1AD9" w:rsidP="000A1AD9">
            <w:pPr>
              <w:spacing w:after="0" w:line="240" w:lineRule="auto"/>
              <w:jc w:val="both"/>
              <w:rPr>
                <w:rFonts w:eastAsia="Times New Roman" w:cstheme="minorHAnsi"/>
                <w:color w:val="000000"/>
                <w:lang w:val="en-GB" w:eastAsia="en-GB"/>
              </w:rPr>
            </w:pPr>
            <w:r w:rsidRPr="00000F38">
              <w:rPr>
                <w:rFonts w:eastAsia="Times New Roman" w:cstheme="minorHAnsi"/>
                <w:color w:val="000000"/>
                <w:lang w:val="en-GB" w:eastAsia="en-GB"/>
              </w:rPr>
              <w:t>Mobile Device Management</w:t>
            </w:r>
          </w:p>
        </w:tc>
        <w:tc>
          <w:tcPr>
            <w:tcW w:w="918" w:type="dxa"/>
            <w:tcBorders>
              <w:top w:val="nil"/>
              <w:left w:val="nil"/>
              <w:bottom w:val="single" w:sz="4" w:space="0" w:color="auto"/>
              <w:right w:val="single" w:sz="4" w:space="0" w:color="auto"/>
            </w:tcBorders>
            <w:shd w:val="clear" w:color="auto" w:fill="auto"/>
            <w:hideMark/>
          </w:tcPr>
          <w:p w14:paraId="0C310E2C"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1603" w:type="dxa"/>
            <w:tcBorders>
              <w:top w:val="nil"/>
              <w:left w:val="nil"/>
              <w:bottom w:val="single" w:sz="4" w:space="0" w:color="auto"/>
              <w:right w:val="single" w:sz="4" w:space="0" w:color="auto"/>
            </w:tcBorders>
            <w:shd w:val="clear" w:color="auto" w:fill="auto"/>
            <w:hideMark/>
          </w:tcPr>
          <w:p w14:paraId="50F9552C" w14:textId="77777777" w:rsidR="000A1AD9" w:rsidRPr="00000F38" w:rsidRDefault="000A1AD9" w:rsidP="000A1AD9">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1658" w:type="dxa"/>
            <w:tcBorders>
              <w:top w:val="nil"/>
              <w:left w:val="nil"/>
              <w:bottom w:val="single" w:sz="4" w:space="0" w:color="auto"/>
              <w:right w:val="single" w:sz="4" w:space="0" w:color="auto"/>
            </w:tcBorders>
            <w:shd w:val="clear" w:color="auto" w:fill="auto"/>
            <w:hideMark/>
          </w:tcPr>
          <w:p w14:paraId="084552C1" w14:textId="77777777" w:rsidR="000A1AD9" w:rsidRPr="00000F38" w:rsidRDefault="000A1AD9" w:rsidP="000A1AD9">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2003" w:type="dxa"/>
            <w:tcBorders>
              <w:top w:val="nil"/>
              <w:left w:val="nil"/>
              <w:bottom w:val="single" w:sz="4" w:space="0" w:color="auto"/>
              <w:right w:val="single" w:sz="4" w:space="0" w:color="auto"/>
            </w:tcBorders>
            <w:shd w:val="clear" w:color="auto" w:fill="auto"/>
            <w:hideMark/>
          </w:tcPr>
          <w:p w14:paraId="66845A74" w14:textId="77777777" w:rsidR="000A1AD9" w:rsidRPr="00000F38" w:rsidRDefault="000A1AD9" w:rsidP="000A1AD9">
            <w:pPr>
              <w:spacing w:after="0" w:line="240" w:lineRule="auto"/>
              <w:jc w:val="center"/>
              <w:rPr>
                <w:rFonts w:eastAsia="Times New Roman" w:cstheme="minorHAnsi"/>
                <w:b/>
                <w:bCs/>
                <w:lang w:val="en-GB" w:eastAsia="en-GB"/>
              </w:rPr>
            </w:pPr>
            <w:r w:rsidRPr="00000F38">
              <w:rPr>
                <w:rFonts w:eastAsia="Times New Roman" w:cstheme="minorHAnsi"/>
                <w:b/>
                <w:bCs/>
                <w:lang w:val="en-GB" w:eastAsia="en-GB"/>
              </w:rPr>
              <w:t>XX</w:t>
            </w:r>
          </w:p>
        </w:tc>
      </w:tr>
      <w:tr w:rsidR="000A1AD9" w:rsidRPr="00000F38" w14:paraId="2E008423" w14:textId="77777777" w:rsidTr="000A1AD9">
        <w:trPr>
          <w:trHeight w:val="510"/>
        </w:trPr>
        <w:tc>
          <w:tcPr>
            <w:tcW w:w="811" w:type="dxa"/>
            <w:tcBorders>
              <w:top w:val="nil"/>
              <w:left w:val="single" w:sz="4" w:space="0" w:color="auto"/>
              <w:bottom w:val="single" w:sz="4" w:space="0" w:color="auto"/>
              <w:right w:val="single" w:sz="4" w:space="0" w:color="auto"/>
            </w:tcBorders>
            <w:shd w:val="clear" w:color="auto" w:fill="auto"/>
            <w:hideMark/>
          </w:tcPr>
          <w:p w14:paraId="4CD96185"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10</w:t>
            </w:r>
          </w:p>
        </w:tc>
        <w:tc>
          <w:tcPr>
            <w:tcW w:w="4887" w:type="dxa"/>
            <w:tcBorders>
              <w:top w:val="nil"/>
              <w:left w:val="nil"/>
              <w:bottom w:val="single" w:sz="4" w:space="0" w:color="auto"/>
              <w:right w:val="single" w:sz="4" w:space="0" w:color="auto"/>
            </w:tcBorders>
            <w:shd w:val="clear" w:color="auto" w:fill="auto"/>
            <w:noWrap/>
            <w:vAlign w:val="center"/>
            <w:hideMark/>
          </w:tcPr>
          <w:p w14:paraId="4A7EFAAA" w14:textId="77777777" w:rsidR="000A1AD9" w:rsidRPr="00000F38" w:rsidRDefault="000A1AD9" w:rsidP="000A1AD9">
            <w:pPr>
              <w:spacing w:after="0" w:line="240" w:lineRule="auto"/>
              <w:jc w:val="both"/>
              <w:rPr>
                <w:rFonts w:eastAsia="Times New Roman" w:cstheme="minorHAnsi"/>
                <w:color w:val="000000"/>
                <w:lang w:val="en-GB" w:eastAsia="en-GB"/>
              </w:rPr>
            </w:pPr>
            <w:r w:rsidRPr="00000F38">
              <w:rPr>
                <w:rFonts w:eastAsia="Times New Roman" w:cstheme="minorHAnsi"/>
                <w:color w:val="000000"/>
                <w:lang w:val="en-GB" w:eastAsia="en-GB"/>
              </w:rPr>
              <w:t>Secure Data Backup and Recovery (Ransomware Solution)</w:t>
            </w:r>
          </w:p>
        </w:tc>
        <w:tc>
          <w:tcPr>
            <w:tcW w:w="918" w:type="dxa"/>
            <w:tcBorders>
              <w:top w:val="nil"/>
              <w:left w:val="nil"/>
              <w:bottom w:val="single" w:sz="4" w:space="0" w:color="auto"/>
              <w:right w:val="single" w:sz="4" w:space="0" w:color="auto"/>
            </w:tcBorders>
            <w:shd w:val="clear" w:color="auto" w:fill="auto"/>
            <w:hideMark/>
          </w:tcPr>
          <w:p w14:paraId="04633350"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1603" w:type="dxa"/>
            <w:tcBorders>
              <w:top w:val="nil"/>
              <w:left w:val="nil"/>
              <w:bottom w:val="single" w:sz="4" w:space="0" w:color="auto"/>
              <w:right w:val="single" w:sz="4" w:space="0" w:color="auto"/>
            </w:tcBorders>
            <w:shd w:val="clear" w:color="auto" w:fill="auto"/>
            <w:hideMark/>
          </w:tcPr>
          <w:p w14:paraId="6CB43896" w14:textId="77777777" w:rsidR="000A1AD9" w:rsidRPr="00000F38" w:rsidRDefault="000A1AD9" w:rsidP="000A1AD9">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1658" w:type="dxa"/>
            <w:tcBorders>
              <w:top w:val="nil"/>
              <w:left w:val="nil"/>
              <w:bottom w:val="single" w:sz="4" w:space="0" w:color="auto"/>
              <w:right w:val="single" w:sz="4" w:space="0" w:color="auto"/>
            </w:tcBorders>
            <w:shd w:val="clear" w:color="auto" w:fill="auto"/>
            <w:hideMark/>
          </w:tcPr>
          <w:p w14:paraId="58EBB8FE" w14:textId="77777777" w:rsidR="000A1AD9" w:rsidRPr="00000F38" w:rsidRDefault="000A1AD9" w:rsidP="000A1AD9">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2003" w:type="dxa"/>
            <w:tcBorders>
              <w:top w:val="nil"/>
              <w:left w:val="nil"/>
              <w:bottom w:val="single" w:sz="4" w:space="0" w:color="auto"/>
              <w:right w:val="single" w:sz="4" w:space="0" w:color="auto"/>
            </w:tcBorders>
            <w:shd w:val="clear" w:color="auto" w:fill="auto"/>
            <w:hideMark/>
          </w:tcPr>
          <w:p w14:paraId="6624D4B1" w14:textId="77777777" w:rsidR="000A1AD9" w:rsidRPr="00000F38" w:rsidRDefault="000A1AD9" w:rsidP="000A1AD9">
            <w:pPr>
              <w:spacing w:after="0" w:line="240" w:lineRule="auto"/>
              <w:jc w:val="center"/>
              <w:rPr>
                <w:rFonts w:eastAsia="Times New Roman" w:cstheme="minorHAnsi"/>
                <w:b/>
                <w:bCs/>
                <w:lang w:val="en-GB" w:eastAsia="en-GB"/>
              </w:rPr>
            </w:pPr>
            <w:r w:rsidRPr="00000F38">
              <w:rPr>
                <w:rFonts w:eastAsia="Times New Roman" w:cstheme="minorHAnsi"/>
                <w:b/>
                <w:bCs/>
                <w:lang w:val="en-GB" w:eastAsia="en-GB"/>
              </w:rPr>
              <w:t>XX</w:t>
            </w:r>
          </w:p>
        </w:tc>
      </w:tr>
      <w:tr w:rsidR="000A1AD9" w:rsidRPr="00000F38" w14:paraId="4804EE86" w14:textId="77777777" w:rsidTr="000A1AD9">
        <w:trPr>
          <w:trHeight w:val="255"/>
        </w:trPr>
        <w:tc>
          <w:tcPr>
            <w:tcW w:w="811" w:type="dxa"/>
            <w:tcBorders>
              <w:top w:val="nil"/>
              <w:left w:val="single" w:sz="4" w:space="0" w:color="auto"/>
              <w:bottom w:val="single" w:sz="4" w:space="0" w:color="auto"/>
              <w:right w:val="single" w:sz="4" w:space="0" w:color="auto"/>
            </w:tcBorders>
            <w:shd w:val="clear" w:color="auto" w:fill="auto"/>
            <w:hideMark/>
          </w:tcPr>
          <w:p w14:paraId="64D9F387"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11</w:t>
            </w:r>
          </w:p>
        </w:tc>
        <w:tc>
          <w:tcPr>
            <w:tcW w:w="4887" w:type="dxa"/>
            <w:tcBorders>
              <w:top w:val="nil"/>
              <w:left w:val="nil"/>
              <w:bottom w:val="single" w:sz="4" w:space="0" w:color="auto"/>
              <w:right w:val="single" w:sz="4" w:space="0" w:color="auto"/>
            </w:tcBorders>
            <w:shd w:val="clear" w:color="auto" w:fill="auto"/>
            <w:noWrap/>
            <w:vAlign w:val="center"/>
            <w:hideMark/>
          </w:tcPr>
          <w:p w14:paraId="18606075" w14:textId="77777777" w:rsidR="000A1AD9" w:rsidRPr="00000F38" w:rsidRDefault="000A1AD9" w:rsidP="000A1AD9">
            <w:pPr>
              <w:spacing w:after="0" w:line="240" w:lineRule="auto"/>
              <w:jc w:val="both"/>
              <w:rPr>
                <w:rFonts w:eastAsia="Times New Roman" w:cstheme="minorHAnsi"/>
                <w:color w:val="000000"/>
                <w:lang w:val="en-GB" w:eastAsia="en-GB"/>
              </w:rPr>
            </w:pPr>
            <w:r w:rsidRPr="00000F38">
              <w:rPr>
                <w:rFonts w:eastAsia="Times New Roman" w:cstheme="minorHAnsi"/>
                <w:color w:val="000000"/>
                <w:lang w:val="en-GB" w:eastAsia="en-GB"/>
              </w:rPr>
              <w:t>Network Access Control (NAC)</w:t>
            </w:r>
          </w:p>
        </w:tc>
        <w:tc>
          <w:tcPr>
            <w:tcW w:w="918" w:type="dxa"/>
            <w:tcBorders>
              <w:top w:val="nil"/>
              <w:left w:val="nil"/>
              <w:bottom w:val="single" w:sz="4" w:space="0" w:color="auto"/>
              <w:right w:val="single" w:sz="4" w:space="0" w:color="auto"/>
            </w:tcBorders>
            <w:shd w:val="clear" w:color="auto" w:fill="auto"/>
            <w:hideMark/>
          </w:tcPr>
          <w:p w14:paraId="446116E2"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1603" w:type="dxa"/>
            <w:tcBorders>
              <w:top w:val="nil"/>
              <w:left w:val="nil"/>
              <w:bottom w:val="single" w:sz="4" w:space="0" w:color="auto"/>
              <w:right w:val="single" w:sz="4" w:space="0" w:color="auto"/>
            </w:tcBorders>
            <w:shd w:val="clear" w:color="auto" w:fill="auto"/>
            <w:hideMark/>
          </w:tcPr>
          <w:p w14:paraId="5BB7C6A6" w14:textId="77777777" w:rsidR="000A1AD9" w:rsidRPr="00000F38" w:rsidRDefault="000A1AD9" w:rsidP="000A1AD9">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1658" w:type="dxa"/>
            <w:tcBorders>
              <w:top w:val="nil"/>
              <w:left w:val="nil"/>
              <w:bottom w:val="single" w:sz="4" w:space="0" w:color="auto"/>
              <w:right w:val="single" w:sz="4" w:space="0" w:color="auto"/>
            </w:tcBorders>
            <w:shd w:val="clear" w:color="auto" w:fill="auto"/>
            <w:hideMark/>
          </w:tcPr>
          <w:p w14:paraId="344CB362" w14:textId="77777777" w:rsidR="000A1AD9" w:rsidRPr="00000F38" w:rsidRDefault="000A1AD9" w:rsidP="000A1AD9">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2003" w:type="dxa"/>
            <w:tcBorders>
              <w:top w:val="nil"/>
              <w:left w:val="nil"/>
              <w:bottom w:val="single" w:sz="4" w:space="0" w:color="auto"/>
              <w:right w:val="single" w:sz="4" w:space="0" w:color="auto"/>
            </w:tcBorders>
            <w:shd w:val="clear" w:color="auto" w:fill="auto"/>
            <w:hideMark/>
          </w:tcPr>
          <w:p w14:paraId="7D8A91B6" w14:textId="77777777" w:rsidR="000A1AD9" w:rsidRPr="00000F38" w:rsidRDefault="000A1AD9" w:rsidP="000A1AD9">
            <w:pPr>
              <w:spacing w:after="0" w:line="240" w:lineRule="auto"/>
              <w:jc w:val="center"/>
              <w:rPr>
                <w:rFonts w:eastAsia="Times New Roman" w:cstheme="minorHAnsi"/>
                <w:b/>
                <w:bCs/>
                <w:lang w:val="en-GB" w:eastAsia="en-GB"/>
              </w:rPr>
            </w:pPr>
            <w:r w:rsidRPr="00000F38">
              <w:rPr>
                <w:rFonts w:eastAsia="Times New Roman" w:cstheme="minorHAnsi"/>
                <w:b/>
                <w:bCs/>
                <w:lang w:val="en-GB" w:eastAsia="en-GB"/>
              </w:rPr>
              <w:t>XX</w:t>
            </w:r>
          </w:p>
        </w:tc>
      </w:tr>
      <w:tr w:rsidR="000A1AD9" w:rsidRPr="00000F38" w14:paraId="44D41D24" w14:textId="77777777" w:rsidTr="000A1AD9">
        <w:trPr>
          <w:trHeight w:val="255"/>
        </w:trPr>
        <w:tc>
          <w:tcPr>
            <w:tcW w:w="811" w:type="dxa"/>
            <w:tcBorders>
              <w:top w:val="nil"/>
              <w:left w:val="single" w:sz="4" w:space="0" w:color="auto"/>
              <w:bottom w:val="single" w:sz="4" w:space="0" w:color="auto"/>
              <w:right w:val="single" w:sz="4" w:space="0" w:color="auto"/>
            </w:tcBorders>
            <w:shd w:val="clear" w:color="auto" w:fill="auto"/>
            <w:hideMark/>
          </w:tcPr>
          <w:p w14:paraId="003F6AD1"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887" w:type="dxa"/>
            <w:tcBorders>
              <w:top w:val="nil"/>
              <w:left w:val="nil"/>
              <w:bottom w:val="single" w:sz="4" w:space="0" w:color="auto"/>
              <w:right w:val="single" w:sz="4" w:space="0" w:color="auto"/>
            </w:tcBorders>
            <w:shd w:val="clear" w:color="auto" w:fill="auto"/>
            <w:hideMark/>
          </w:tcPr>
          <w:p w14:paraId="1BF18921"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918" w:type="dxa"/>
            <w:tcBorders>
              <w:top w:val="nil"/>
              <w:left w:val="nil"/>
              <w:bottom w:val="single" w:sz="4" w:space="0" w:color="auto"/>
              <w:right w:val="single" w:sz="4" w:space="0" w:color="auto"/>
            </w:tcBorders>
            <w:shd w:val="clear" w:color="auto" w:fill="auto"/>
            <w:hideMark/>
          </w:tcPr>
          <w:p w14:paraId="1C26691F"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1603" w:type="dxa"/>
            <w:tcBorders>
              <w:top w:val="nil"/>
              <w:left w:val="nil"/>
              <w:bottom w:val="single" w:sz="4" w:space="0" w:color="auto"/>
              <w:right w:val="single" w:sz="4" w:space="0" w:color="auto"/>
            </w:tcBorders>
            <w:shd w:val="clear" w:color="auto" w:fill="auto"/>
            <w:hideMark/>
          </w:tcPr>
          <w:p w14:paraId="089B799F"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1658" w:type="dxa"/>
            <w:tcBorders>
              <w:top w:val="nil"/>
              <w:left w:val="nil"/>
              <w:bottom w:val="single" w:sz="4" w:space="0" w:color="auto"/>
              <w:right w:val="single" w:sz="4" w:space="0" w:color="auto"/>
            </w:tcBorders>
            <w:shd w:val="clear" w:color="auto" w:fill="auto"/>
            <w:hideMark/>
          </w:tcPr>
          <w:p w14:paraId="4F957472"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003" w:type="dxa"/>
            <w:tcBorders>
              <w:top w:val="nil"/>
              <w:left w:val="nil"/>
              <w:bottom w:val="single" w:sz="4" w:space="0" w:color="auto"/>
              <w:right w:val="single" w:sz="4" w:space="0" w:color="auto"/>
            </w:tcBorders>
            <w:shd w:val="clear" w:color="auto" w:fill="auto"/>
            <w:hideMark/>
          </w:tcPr>
          <w:p w14:paraId="33A10F48"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r>
      <w:tr w:rsidR="000A1AD9" w:rsidRPr="00000F38" w14:paraId="5A8CC56C" w14:textId="77777777" w:rsidTr="000A1AD9">
        <w:trPr>
          <w:trHeight w:val="255"/>
        </w:trPr>
        <w:tc>
          <w:tcPr>
            <w:tcW w:w="811" w:type="dxa"/>
            <w:tcBorders>
              <w:top w:val="nil"/>
              <w:left w:val="single" w:sz="4" w:space="0" w:color="auto"/>
              <w:bottom w:val="single" w:sz="4" w:space="0" w:color="auto"/>
              <w:right w:val="single" w:sz="4" w:space="0" w:color="auto"/>
            </w:tcBorders>
            <w:shd w:val="clear" w:color="auto" w:fill="auto"/>
            <w:hideMark/>
          </w:tcPr>
          <w:p w14:paraId="186EBBB5"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887" w:type="dxa"/>
            <w:tcBorders>
              <w:top w:val="nil"/>
              <w:left w:val="nil"/>
              <w:bottom w:val="single" w:sz="4" w:space="0" w:color="auto"/>
              <w:right w:val="single" w:sz="4" w:space="0" w:color="auto"/>
            </w:tcBorders>
            <w:shd w:val="clear" w:color="auto" w:fill="auto"/>
            <w:hideMark/>
          </w:tcPr>
          <w:p w14:paraId="6B23C91F"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Any other (Please specify)</w:t>
            </w:r>
          </w:p>
        </w:tc>
        <w:tc>
          <w:tcPr>
            <w:tcW w:w="918" w:type="dxa"/>
            <w:tcBorders>
              <w:top w:val="nil"/>
              <w:left w:val="nil"/>
              <w:bottom w:val="single" w:sz="4" w:space="0" w:color="auto"/>
              <w:right w:val="single" w:sz="4" w:space="0" w:color="auto"/>
            </w:tcBorders>
            <w:shd w:val="clear" w:color="auto" w:fill="auto"/>
            <w:hideMark/>
          </w:tcPr>
          <w:p w14:paraId="56E79735"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1603" w:type="dxa"/>
            <w:tcBorders>
              <w:top w:val="nil"/>
              <w:left w:val="nil"/>
              <w:bottom w:val="single" w:sz="4" w:space="0" w:color="auto"/>
              <w:right w:val="single" w:sz="4" w:space="0" w:color="auto"/>
            </w:tcBorders>
            <w:shd w:val="clear" w:color="auto" w:fill="auto"/>
            <w:hideMark/>
          </w:tcPr>
          <w:p w14:paraId="0DA0AA4B" w14:textId="77777777" w:rsidR="000A1AD9" w:rsidRPr="00000F38" w:rsidRDefault="000A1AD9" w:rsidP="000A1AD9">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1658" w:type="dxa"/>
            <w:tcBorders>
              <w:top w:val="nil"/>
              <w:left w:val="nil"/>
              <w:bottom w:val="single" w:sz="4" w:space="0" w:color="auto"/>
              <w:right w:val="single" w:sz="4" w:space="0" w:color="auto"/>
            </w:tcBorders>
            <w:shd w:val="clear" w:color="auto" w:fill="auto"/>
            <w:hideMark/>
          </w:tcPr>
          <w:p w14:paraId="67B1B125" w14:textId="77777777" w:rsidR="000A1AD9" w:rsidRPr="00000F38" w:rsidRDefault="000A1AD9" w:rsidP="000A1AD9">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2003" w:type="dxa"/>
            <w:tcBorders>
              <w:top w:val="nil"/>
              <w:left w:val="nil"/>
              <w:bottom w:val="single" w:sz="4" w:space="0" w:color="auto"/>
              <w:right w:val="single" w:sz="4" w:space="0" w:color="auto"/>
            </w:tcBorders>
            <w:shd w:val="clear" w:color="auto" w:fill="auto"/>
            <w:hideMark/>
          </w:tcPr>
          <w:p w14:paraId="26E5D799" w14:textId="77777777" w:rsidR="000A1AD9" w:rsidRPr="00000F38" w:rsidRDefault="000A1AD9" w:rsidP="000A1AD9">
            <w:pPr>
              <w:spacing w:after="0" w:line="240" w:lineRule="auto"/>
              <w:jc w:val="center"/>
              <w:rPr>
                <w:rFonts w:eastAsia="Times New Roman" w:cstheme="minorHAnsi"/>
                <w:b/>
                <w:bCs/>
                <w:lang w:val="en-GB" w:eastAsia="en-GB"/>
              </w:rPr>
            </w:pPr>
            <w:r w:rsidRPr="00000F38">
              <w:rPr>
                <w:rFonts w:eastAsia="Times New Roman" w:cstheme="minorHAnsi"/>
                <w:b/>
                <w:bCs/>
                <w:lang w:val="en-GB" w:eastAsia="en-GB"/>
              </w:rPr>
              <w:t>XX</w:t>
            </w:r>
          </w:p>
        </w:tc>
      </w:tr>
      <w:tr w:rsidR="000A1AD9" w:rsidRPr="00000F38" w14:paraId="4AABAB06" w14:textId="77777777" w:rsidTr="000A1AD9">
        <w:trPr>
          <w:trHeight w:val="255"/>
        </w:trPr>
        <w:tc>
          <w:tcPr>
            <w:tcW w:w="811" w:type="dxa"/>
            <w:tcBorders>
              <w:top w:val="nil"/>
              <w:left w:val="single" w:sz="4" w:space="0" w:color="auto"/>
              <w:bottom w:val="single" w:sz="4" w:space="0" w:color="auto"/>
              <w:right w:val="single" w:sz="4" w:space="0" w:color="auto"/>
            </w:tcBorders>
            <w:shd w:val="clear" w:color="auto" w:fill="auto"/>
            <w:hideMark/>
          </w:tcPr>
          <w:p w14:paraId="657EACF4"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887" w:type="dxa"/>
            <w:tcBorders>
              <w:top w:val="nil"/>
              <w:left w:val="nil"/>
              <w:bottom w:val="single" w:sz="4" w:space="0" w:color="auto"/>
              <w:right w:val="single" w:sz="4" w:space="0" w:color="auto"/>
            </w:tcBorders>
            <w:shd w:val="clear" w:color="auto" w:fill="auto"/>
            <w:hideMark/>
          </w:tcPr>
          <w:p w14:paraId="47BDFBFC"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Any other (Please specify)</w:t>
            </w:r>
          </w:p>
        </w:tc>
        <w:tc>
          <w:tcPr>
            <w:tcW w:w="918" w:type="dxa"/>
            <w:tcBorders>
              <w:top w:val="nil"/>
              <w:left w:val="nil"/>
              <w:bottom w:val="single" w:sz="4" w:space="0" w:color="auto"/>
              <w:right w:val="single" w:sz="4" w:space="0" w:color="auto"/>
            </w:tcBorders>
            <w:shd w:val="clear" w:color="auto" w:fill="auto"/>
            <w:hideMark/>
          </w:tcPr>
          <w:p w14:paraId="5E78C93D"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1603" w:type="dxa"/>
            <w:tcBorders>
              <w:top w:val="nil"/>
              <w:left w:val="nil"/>
              <w:bottom w:val="single" w:sz="4" w:space="0" w:color="auto"/>
              <w:right w:val="single" w:sz="4" w:space="0" w:color="auto"/>
            </w:tcBorders>
            <w:shd w:val="clear" w:color="auto" w:fill="auto"/>
            <w:hideMark/>
          </w:tcPr>
          <w:p w14:paraId="5ACD0911" w14:textId="77777777" w:rsidR="000A1AD9" w:rsidRPr="00000F38" w:rsidRDefault="000A1AD9" w:rsidP="000A1AD9">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1658" w:type="dxa"/>
            <w:tcBorders>
              <w:top w:val="nil"/>
              <w:left w:val="nil"/>
              <w:bottom w:val="single" w:sz="4" w:space="0" w:color="auto"/>
              <w:right w:val="single" w:sz="4" w:space="0" w:color="auto"/>
            </w:tcBorders>
            <w:shd w:val="clear" w:color="auto" w:fill="auto"/>
            <w:hideMark/>
          </w:tcPr>
          <w:p w14:paraId="06E1BE33" w14:textId="77777777" w:rsidR="000A1AD9" w:rsidRPr="00000F38" w:rsidRDefault="000A1AD9" w:rsidP="000A1AD9">
            <w:pPr>
              <w:spacing w:after="0" w:line="240" w:lineRule="auto"/>
              <w:jc w:val="center"/>
              <w:rPr>
                <w:rFonts w:eastAsia="Times New Roman" w:cstheme="minorHAnsi"/>
                <w:lang w:val="en-GB" w:eastAsia="en-GB"/>
              </w:rPr>
            </w:pPr>
            <w:r w:rsidRPr="00000F38">
              <w:rPr>
                <w:rFonts w:eastAsia="Times New Roman" w:cstheme="minorHAnsi"/>
                <w:lang w:val="en-GB" w:eastAsia="en-GB"/>
              </w:rPr>
              <w:t>XX</w:t>
            </w:r>
          </w:p>
        </w:tc>
        <w:tc>
          <w:tcPr>
            <w:tcW w:w="2003" w:type="dxa"/>
            <w:tcBorders>
              <w:top w:val="nil"/>
              <w:left w:val="nil"/>
              <w:bottom w:val="single" w:sz="4" w:space="0" w:color="auto"/>
              <w:right w:val="single" w:sz="4" w:space="0" w:color="auto"/>
            </w:tcBorders>
            <w:shd w:val="clear" w:color="auto" w:fill="auto"/>
            <w:hideMark/>
          </w:tcPr>
          <w:p w14:paraId="1D4A6905" w14:textId="77777777" w:rsidR="000A1AD9" w:rsidRPr="00000F38" w:rsidRDefault="000A1AD9" w:rsidP="000A1AD9">
            <w:pPr>
              <w:spacing w:after="0" w:line="240" w:lineRule="auto"/>
              <w:jc w:val="center"/>
              <w:rPr>
                <w:rFonts w:eastAsia="Times New Roman" w:cstheme="minorHAnsi"/>
                <w:b/>
                <w:bCs/>
                <w:lang w:val="en-GB" w:eastAsia="en-GB"/>
              </w:rPr>
            </w:pPr>
            <w:r w:rsidRPr="00000F38">
              <w:rPr>
                <w:rFonts w:eastAsia="Times New Roman" w:cstheme="minorHAnsi"/>
                <w:b/>
                <w:bCs/>
                <w:lang w:val="en-GB" w:eastAsia="en-GB"/>
              </w:rPr>
              <w:t>XX</w:t>
            </w:r>
          </w:p>
        </w:tc>
      </w:tr>
      <w:tr w:rsidR="000A1AD9" w:rsidRPr="00000F38" w14:paraId="6A6A4FBD" w14:textId="77777777" w:rsidTr="000A1AD9">
        <w:trPr>
          <w:trHeight w:val="255"/>
        </w:trPr>
        <w:tc>
          <w:tcPr>
            <w:tcW w:w="811" w:type="dxa"/>
            <w:tcBorders>
              <w:top w:val="nil"/>
              <w:left w:val="single" w:sz="4" w:space="0" w:color="auto"/>
              <w:bottom w:val="single" w:sz="4" w:space="0" w:color="auto"/>
              <w:right w:val="single" w:sz="4" w:space="0" w:color="auto"/>
            </w:tcBorders>
            <w:shd w:val="clear" w:color="000000" w:fill="F2F2F2"/>
            <w:hideMark/>
          </w:tcPr>
          <w:p w14:paraId="36CCE696"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887" w:type="dxa"/>
            <w:tcBorders>
              <w:top w:val="nil"/>
              <w:left w:val="nil"/>
              <w:bottom w:val="single" w:sz="4" w:space="0" w:color="auto"/>
              <w:right w:val="single" w:sz="4" w:space="0" w:color="auto"/>
            </w:tcBorders>
            <w:shd w:val="clear" w:color="000000" w:fill="F2F2F2"/>
            <w:hideMark/>
          </w:tcPr>
          <w:p w14:paraId="6DB6E76D"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Total (B)</w:t>
            </w:r>
          </w:p>
        </w:tc>
        <w:tc>
          <w:tcPr>
            <w:tcW w:w="918" w:type="dxa"/>
            <w:tcBorders>
              <w:top w:val="nil"/>
              <w:left w:val="nil"/>
              <w:bottom w:val="single" w:sz="4" w:space="0" w:color="auto"/>
              <w:right w:val="single" w:sz="4" w:space="0" w:color="auto"/>
            </w:tcBorders>
            <w:shd w:val="clear" w:color="000000" w:fill="F2F2F2"/>
            <w:hideMark/>
          </w:tcPr>
          <w:p w14:paraId="1CD91FC2"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1603" w:type="dxa"/>
            <w:tcBorders>
              <w:top w:val="nil"/>
              <w:left w:val="nil"/>
              <w:bottom w:val="single" w:sz="4" w:space="0" w:color="auto"/>
              <w:right w:val="single" w:sz="4" w:space="0" w:color="auto"/>
            </w:tcBorders>
            <w:shd w:val="clear" w:color="000000" w:fill="F2F2F2"/>
            <w:hideMark/>
          </w:tcPr>
          <w:p w14:paraId="50A42354"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c>
          <w:tcPr>
            <w:tcW w:w="1658" w:type="dxa"/>
            <w:tcBorders>
              <w:top w:val="nil"/>
              <w:left w:val="nil"/>
              <w:bottom w:val="single" w:sz="4" w:space="0" w:color="auto"/>
              <w:right w:val="single" w:sz="4" w:space="0" w:color="auto"/>
            </w:tcBorders>
            <w:shd w:val="clear" w:color="000000" w:fill="F2F2F2"/>
            <w:hideMark/>
          </w:tcPr>
          <w:p w14:paraId="43EC1CCA"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c>
          <w:tcPr>
            <w:tcW w:w="2003" w:type="dxa"/>
            <w:tcBorders>
              <w:top w:val="nil"/>
              <w:left w:val="nil"/>
              <w:bottom w:val="single" w:sz="4" w:space="0" w:color="auto"/>
              <w:right w:val="single" w:sz="4" w:space="0" w:color="auto"/>
            </w:tcBorders>
            <w:shd w:val="clear" w:color="000000" w:fill="F2F2F2"/>
            <w:hideMark/>
          </w:tcPr>
          <w:p w14:paraId="541951F7"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0A1AD9" w:rsidRPr="00000F38" w14:paraId="47E4F514" w14:textId="77777777" w:rsidTr="000A1AD9">
        <w:trPr>
          <w:trHeight w:val="255"/>
        </w:trPr>
        <w:tc>
          <w:tcPr>
            <w:tcW w:w="811" w:type="dxa"/>
            <w:tcBorders>
              <w:top w:val="nil"/>
              <w:left w:val="single" w:sz="4" w:space="0" w:color="auto"/>
              <w:bottom w:val="single" w:sz="4" w:space="0" w:color="auto"/>
              <w:right w:val="single" w:sz="4" w:space="0" w:color="auto"/>
            </w:tcBorders>
            <w:shd w:val="clear" w:color="auto" w:fill="auto"/>
            <w:hideMark/>
          </w:tcPr>
          <w:p w14:paraId="0B81EBCA"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887" w:type="dxa"/>
            <w:tcBorders>
              <w:top w:val="nil"/>
              <w:left w:val="nil"/>
              <w:bottom w:val="single" w:sz="4" w:space="0" w:color="auto"/>
              <w:right w:val="single" w:sz="4" w:space="0" w:color="auto"/>
            </w:tcBorders>
            <w:shd w:val="clear" w:color="auto" w:fill="auto"/>
            <w:hideMark/>
          </w:tcPr>
          <w:p w14:paraId="123F6DF7"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918" w:type="dxa"/>
            <w:tcBorders>
              <w:top w:val="nil"/>
              <w:left w:val="nil"/>
              <w:bottom w:val="single" w:sz="4" w:space="0" w:color="auto"/>
              <w:right w:val="single" w:sz="4" w:space="0" w:color="auto"/>
            </w:tcBorders>
            <w:shd w:val="clear" w:color="auto" w:fill="auto"/>
            <w:hideMark/>
          </w:tcPr>
          <w:p w14:paraId="266A5E72"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1603" w:type="dxa"/>
            <w:tcBorders>
              <w:top w:val="nil"/>
              <w:left w:val="nil"/>
              <w:bottom w:val="single" w:sz="4" w:space="0" w:color="auto"/>
              <w:right w:val="single" w:sz="4" w:space="0" w:color="auto"/>
            </w:tcBorders>
            <w:shd w:val="clear" w:color="auto" w:fill="auto"/>
            <w:hideMark/>
          </w:tcPr>
          <w:p w14:paraId="59B5FA5A"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1658" w:type="dxa"/>
            <w:tcBorders>
              <w:top w:val="nil"/>
              <w:left w:val="nil"/>
              <w:bottom w:val="single" w:sz="4" w:space="0" w:color="auto"/>
              <w:right w:val="single" w:sz="4" w:space="0" w:color="auto"/>
            </w:tcBorders>
            <w:shd w:val="clear" w:color="auto" w:fill="auto"/>
            <w:hideMark/>
          </w:tcPr>
          <w:p w14:paraId="35523EB7"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003" w:type="dxa"/>
            <w:tcBorders>
              <w:top w:val="nil"/>
              <w:left w:val="nil"/>
              <w:bottom w:val="single" w:sz="4" w:space="0" w:color="auto"/>
              <w:right w:val="single" w:sz="4" w:space="0" w:color="auto"/>
            </w:tcBorders>
            <w:shd w:val="clear" w:color="auto" w:fill="auto"/>
            <w:hideMark/>
          </w:tcPr>
          <w:p w14:paraId="2F3CBB2A"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r>
      <w:tr w:rsidR="000A1AD9" w:rsidRPr="00000F38" w14:paraId="1B14E44B" w14:textId="77777777" w:rsidTr="000A1AD9">
        <w:trPr>
          <w:trHeight w:val="255"/>
        </w:trPr>
        <w:tc>
          <w:tcPr>
            <w:tcW w:w="811" w:type="dxa"/>
            <w:tcBorders>
              <w:top w:val="nil"/>
              <w:left w:val="single" w:sz="4" w:space="0" w:color="auto"/>
              <w:bottom w:val="single" w:sz="4" w:space="0" w:color="auto"/>
              <w:right w:val="single" w:sz="4" w:space="0" w:color="auto"/>
            </w:tcBorders>
            <w:shd w:val="clear" w:color="000000" w:fill="BFBFBF"/>
            <w:hideMark/>
          </w:tcPr>
          <w:p w14:paraId="359ACA4C"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887" w:type="dxa"/>
            <w:tcBorders>
              <w:top w:val="nil"/>
              <w:left w:val="nil"/>
              <w:bottom w:val="single" w:sz="4" w:space="0" w:color="auto"/>
              <w:right w:val="single" w:sz="4" w:space="0" w:color="auto"/>
            </w:tcBorders>
            <w:shd w:val="clear" w:color="000000" w:fill="BFBFBF"/>
            <w:hideMark/>
          </w:tcPr>
          <w:p w14:paraId="0E4F8AC6"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Grand Total (A+B)</w:t>
            </w:r>
          </w:p>
        </w:tc>
        <w:tc>
          <w:tcPr>
            <w:tcW w:w="918" w:type="dxa"/>
            <w:tcBorders>
              <w:top w:val="nil"/>
              <w:left w:val="nil"/>
              <w:bottom w:val="single" w:sz="4" w:space="0" w:color="auto"/>
              <w:right w:val="single" w:sz="4" w:space="0" w:color="auto"/>
            </w:tcBorders>
            <w:shd w:val="clear" w:color="000000" w:fill="BFBFBF"/>
            <w:hideMark/>
          </w:tcPr>
          <w:p w14:paraId="1C8B7425"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1603" w:type="dxa"/>
            <w:tcBorders>
              <w:top w:val="nil"/>
              <w:left w:val="nil"/>
              <w:bottom w:val="single" w:sz="4" w:space="0" w:color="auto"/>
              <w:right w:val="single" w:sz="4" w:space="0" w:color="auto"/>
            </w:tcBorders>
            <w:shd w:val="clear" w:color="000000" w:fill="BFBFBF"/>
            <w:hideMark/>
          </w:tcPr>
          <w:p w14:paraId="2CF37B58"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c>
          <w:tcPr>
            <w:tcW w:w="1658" w:type="dxa"/>
            <w:tcBorders>
              <w:top w:val="nil"/>
              <w:left w:val="nil"/>
              <w:bottom w:val="single" w:sz="4" w:space="0" w:color="auto"/>
              <w:right w:val="single" w:sz="4" w:space="0" w:color="auto"/>
            </w:tcBorders>
            <w:shd w:val="clear" w:color="000000" w:fill="BFBFBF"/>
            <w:hideMark/>
          </w:tcPr>
          <w:p w14:paraId="13CFB8E3"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c>
          <w:tcPr>
            <w:tcW w:w="2003" w:type="dxa"/>
            <w:tcBorders>
              <w:top w:val="nil"/>
              <w:left w:val="nil"/>
              <w:bottom w:val="single" w:sz="4" w:space="0" w:color="auto"/>
              <w:right w:val="single" w:sz="4" w:space="0" w:color="auto"/>
            </w:tcBorders>
            <w:shd w:val="clear" w:color="000000" w:fill="BFBFBF"/>
            <w:hideMark/>
          </w:tcPr>
          <w:p w14:paraId="22F48EBE"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bl>
    <w:p w14:paraId="62D02FA6" w14:textId="2C413E64" w:rsidR="000A1AD9" w:rsidRPr="00000F38" w:rsidRDefault="000A1AD9">
      <w:pPr>
        <w:rPr>
          <w:rFonts w:cstheme="minorHAnsi"/>
        </w:rPr>
      </w:pPr>
      <w:r w:rsidRPr="00000F38">
        <w:rPr>
          <w:rFonts w:cstheme="minorHAnsi"/>
        </w:rPr>
        <w:br w:type="page"/>
      </w:r>
      <w:r w:rsidRPr="00000F38">
        <w:rPr>
          <w:rFonts w:cstheme="minorHAnsi"/>
        </w:rPr>
        <w:lastRenderedPageBreak/>
        <w:br w:type="page"/>
      </w:r>
    </w:p>
    <w:tbl>
      <w:tblPr>
        <w:tblW w:w="5000" w:type="pct"/>
        <w:tblLook w:val="04A0" w:firstRow="1" w:lastRow="0" w:firstColumn="1" w:lastColumn="0" w:noHBand="0" w:noVBand="1"/>
      </w:tblPr>
      <w:tblGrid>
        <w:gridCol w:w="440"/>
        <w:gridCol w:w="1257"/>
        <w:gridCol w:w="826"/>
        <w:gridCol w:w="610"/>
        <w:gridCol w:w="846"/>
        <w:gridCol w:w="826"/>
        <w:gridCol w:w="610"/>
        <w:gridCol w:w="846"/>
        <w:gridCol w:w="826"/>
        <w:gridCol w:w="610"/>
        <w:gridCol w:w="846"/>
        <w:gridCol w:w="826"/>
        <w:gridCol w:w="610"/>
        <w:gridCol w:w="846"/>
        <w:gridCol w:w="826"/>
        <w:gridCol w:w="610"/>
        <w:gridCol w:w="846"/>
        <w:gridCol w:w="846"/>
      </w:tblGrid>
      <w:tr w:rsidR="000A1AD9" w:rsidRPr="00000F38" w14:paraId="4FD02F41" w14:textId="77777777" w:rsidTr="00342ED2">
        <w:trPr>
          <w:trHeight w:val="255"/>
        </w:trPr>
        <w:tc>
          <w:tcPr>
            <w:tcW w:w="158" w:type="pct"/>
            <w:tcBorders>
              <w:top w:val="nil"/>
              <w:left w:val="nil"/>
              <w:bottom w:val="nil"/>
              <w:right w:val="nil"/>
            </w:tcBorders>
            <w:shd w:val="clear" w:color="auto" w:fill="auto"/>
            <w:hideMark/>
          </w:tcPr>
          <w:p w14:paraId="036BCFBE" w14:textId="77777777" w:rsidR="000A1AD9" w:rsidRPr="00000F38" w:rsidRDefault="000A1AD9" w:rsidP="000A1AD9">
            <w:pPr>
              <w:spacing w:after="0" w:line="240" w:lineRule="auto"/>
              <w:rPr>
                <w:rFonts w:eastAsia="Times New Roman" w:cstheme="minorHAnsi"/>
                <w:lang w:val="en-GB" w:eastAsia="en-GB"/>
              </w:rPr>
            </w:pPr>
          </w:p>
        </w:tc>
        <w:tc>
          <w:tcPr>
            <w:tcW w:w="4842" w:type="pct"/>
            <w:gridSpan w:val="17"/>
            <w:tcBorders>
              <w:top w:val="single" w:sz="4" w:space="0" w:color="auto"/>
              <w:left w:val="single" w:sz="4" w:space="0" w:color="auto"/>
              <w:bottom w:val="single" w:sz="4" w:space="0" w:color="auto"/>
              <w:right w:val="single" w:sz="4" w:space="0" w:color="auto"/>
            </w:tcBorders>
            <w:shd w:val="clear" w:color="000000" w:fill="000000"/>
            <w:hideMark/>
          </w:tcPr>
          <w:p w14:paraId="5A0D6B09"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Production Environment</w:t>
            </w:r>
          </w:p>
        </w:tc>
      </w:tr>
      <w:tr w:rsidR="000A1AD9" w:rsidRPr="00000F38" w14:paraId="7A0DE7DB" w14:textId="77777777" w:rsidTr="00342ED2">
        <w:trPr>
          <w:trHeight w:val="255"/>
        </w:trPr>
        <w:tc>
          <w:tcPr>
            <w:tcW w:w="158" w:type="pct"/>
            <w:tcBorders>
              <w:top w:val="nil"/>
              <w:left w:val="nil"/>
              <w:bottom w:val="nil"/>
              <w:right w:val="nil"/>
            </w:tcBorders>
            <w:shd w:val="clear" w:color="auto" w:fill="auto"/>
            <w:hideMark/>
          </w:tcPr>
          <w:p w14:paraId="00B1BB8A" w14:textId="77777777" w:rsidR="000A1AD9" w:rsidRPr="00000F38" w:rsidRDefault="000A1AD9" w:rsidP="000A1AD9">
            <w:pPr>
              <w:spacing w:after="0" w:line="240" w:lineRule="auto"/>
              <w:jc w:val="center"/>
              <w:rPr>
                <w:rFonts w:eastAsia="Times New Roman" w:cstheme="minorHAnsi"/>
                <w:b/>
                <w:bCs/>
                <w:color w:val="FFFFFF"/>
                <w:lang w:val="en-GB" w:eastAsia="en-GB"/>
              </w:rPr>
            </w:pPr>
          </w:p>
        </w:tc>
        <w:tc>
          <w:tcPr>
            <w:tcW w:w="450" w:type="pct"/>
            <w:tcBorders>
              <w:top w:val="nil"/>
              <w:left w:val="single" w:sz="4" w:space="0" w:color="auto"/>
              <w:bottom w:val="single" w:sz="4" w:space="0" w:color="auto"/>
              <w:right w:val="single" w:sz="4" w:space="0" w:color="auto"/>
            </w:tcBorders>
            <w:shd w:val="clear" w:color="auto" w:fill="auto"/>
            <w:hideMark/>
          </w:tcPr>
          <w:p w14:paraId="3D745854"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818" w:type="pct"/>
            <w:gridSpan w:val="3"/>
            <w:tcBorders>
              <w:top w:val="single" w:sz="4" w:space="0" w:color="auto"/>
              <w:left w:val="nil"/>
              <w:bottom w:val="single" w:sz="4" w:space="0" w:color="auto"/>
              <w:right w:val="single" w:sz="4" w:space="0" w:color="auto"/>
            </w:tcBorders>
            <w:shd w:val="clear" w:color="000000" w:fill="FFC000"/>
            <w:hideMark/>
          </w:tcPr>
          <w:p w14:paraId="336D5507"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YEAR 1</w:t>
            </w:r>
          </w:p>
        </w:tc>
        <w:tc>
          <w:tcPr>
            <w:tcW w:w="818" w:type="pct"/>
            <w:gridSpan w:val="3"/>
            <w:tcBorders>
              <w:top w:val="single" w:sz="4" w:space="0" w:color="auto"/>
              <w:left w:val="nil"/>
              <w:bottom w:val="single" w:sz="4" w:space="0" w:color="auto"/>
              <w:right w:val="single" w:sz="4" w:space="0" w:color="auto"/>
            </w:tcBorders>
            <w:shd w:val="clear" w:color="000000" w:fill="FFC000"/>
            <w:hideMark/>
          </w:tcPr>
          <w:p w14:paraId="0463A991"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YEAR 2</w:t>
            </w:r>
          </w:p>
        </w:tc>
        <w:tc>
          <w:tcPr>
            <w:tcW w:w="818" w:type="pct"/>
            <w:gridSpan w:val="3"/>
            <w:tcBorders>
              <w:top w:val="single" w:sz="4" w:space="0" w:color="auto"/>
              <w:left w:val="nil"/>
              <w:bottom w:val="single" w:sz="4" w:space="0" w:color="auto"/>
              <w:right w:val="single" w:sz="4" w:space="0" w:color="auto"/>
            </w:tcBorders>
            <w:shd w:val="clear" w:color="000000" w:fill="FFC000"/>
            <w:hideMark/>
          </w:tcPr>
          <w:p w14:paraId="7E6CBFBE"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YEAR 3</w:t>
            </w:r>
          </w:p>
        </w:tc>
        <w:tc>
          <w:tcPr>
            <w:tcW w:w="818" w:type="pct"/>
            <w:gridSpan w:val="3"/>
            <w:tcBorders>
              <w:top w:val="single" w:sz="4" w:space="0" w:color="auto"/>
              <w:left w:val="nil"/>
              <w:bottom w:val="single" w:sz="4" w:space="0" w:color="auto"/>
              <w:right w:val="single" w:sz="4" w:space="0" w:color="auto"/>
            </w:tcBorders>
            <w:shd w:val="clear" w:color="000000" w:fill="FFC000"/>
            <w:hideMark/>
          </w:tcPr>
          <w:p w14:paraId="2D04D256"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YEAR 4</w:t>
            </w:r>
          </w:p>
        </w:tc>
        <w:tc>
          <w:tcPr>
            <w:tcW w:w="818" w:type="pct"/>
            <w:gridSpan w:val="3"/>
            <w:tcBorders>
              <w:top w:val="single" w:sz="4" w:space="0" w:color="auto"/>
              <w:left w:val="nil"/>
              <w:bottom w:val="single" w:sz="4" w:space="0" w:color="auto"/>
              <w:right w:val="single" w:sz="4" w:space="0" w:color="auto"/>
            </w:tcBorders>
            <w:shd w:val="clear" w:color="000000" w:fill="FFC000"/>
            <w:hideMark/>
          </w:tcPr>
          <w:p w14:paraId="2D05FFE4"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YEAR 5</w:t>
            </w:r>
          </w:p>
        </w:tc>
        <w:tc>
          <w:tcPr>
            <w:tcW w:w="303" w:type="pct"/>
            <w:tcBorders>
              <w:top w:val="nil"/>
              <w:left w:val="nil"/>
              <w:bottom w:val="single" w:sz="4" w:space="0" w:color="auto"/>
              <w:right w:val="single" w:sz="4" w:space="0" w:color="auto"/>
            </w:tcBorders>
            <w:shd w:val="clear" w:color="000000" w:fill="FFC000"/>
            <w:hideMark/>
          </w:tcPr>
          <w:p w14:paraId="5A368EB7"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 xml:space="preserve">Total Amount </w:t>
            </w:r>
          </w:p>
        </w:tc>
      </w:tr>
      <w:tr w:rsidR="000A1AD9" w:rsidRPr="00000F38" w14:paraId="58113BD8" w14:textId="77777777" w:rsidTr="00342ED2">
        <w:trPr>
          <w:trHeight w:val="510"/>
        </w:trPr>
        <w:tc>
          <w:tcPr>
            <w:tcW w:w="158"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0284B38C"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S. No</w:t>
            </w:r>
          </w:p>
        </w:tc>
        <w:tc>
          <w:tcPr>
            <w:tcW w:w="450" w:type="pct"/>
            <w:tcBorders>
              <w:top w:val="nil"/>
              <w:left w:val="nil"/>
              <w:bottom w:val="single" w:sz="4" w:space="0" w:color="auto"/>
              <w:right w:val="single" w:sz="4" w:space="0" w:color="auto"/>
            </w:tcBorders>
            <w:shd w:val="clear" w:color="000000" w:fill="002060"/>
            <w:vAlign w:val="center"/>
            <w:hideMark/>
          </w:tcPr>
          <w:p w14:paraId="37E8C66B"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AMC / ATS at DC</w:t>
            </w:r>
          </w:p>
        </w:tc>
        <w:tc>
          <w:tcPr>
            <w:tcW w:w="296" w:type="pct"/>
            <w:tcBorders>
              <w:top w:val="nil"/>
              <w:left w:val="nil"/>
              <w:bottom w:val="single" w:sz="4" w:space="0" w:color="auto"/>
              <w:right w:val="single" w:sz="4" w:space="0" w:color="auto"/>
            </w:tcBorders>
            <w:shd w:val="clear" w:color="000000" w:fill="002060"/>
            <w:vAlign w:val="center"/>
            <w:hideMark/>
          </w:tcPr>
          <w:p w14:paraId="7810D86D"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Base Product Cost</w:t>
            </w:r>
          </w:p>
        </w:tc>
        <w:tc>
          <w:tcPr>
            <w:tcW w:w="219" w:type="pct"/>
            <w:tcBorders>
              <w:top w:val="nil"/>
              <w:left w:val="nil"/>
              <w:bottom w:val="single" w:sz="4" w:space="0" w:color="auto"/>
              <w:right w:val="single" w:sz="4" w:space="0" w:color="auto"/>
            </w:tcBorders>
            <w:shd w:val="clear" w:color="000000" w:fill="002060"/>
            <w:vAlign w:val="center"/>
            <w:hideMark/>
          </w:tcPr>
          <w:p w14:paraId="394BD179"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Rate (INR)</w:t>
            </w:r>
          </w:p>
        </w:tc>
        <w:tc>
          <w:tcPr>
            <w:tcW w:w="303" w:type="pct"/>
            <w:tcBorders>
              <w:top w:val="nil"/>
              <w:left w:val="nil"/>
              <w:bottom w:val="single" w:sz="4" w:space="0" w:color="auto"/>
              <w:right w:val="single" w:sz="4" w:space="0" w:color="auto"/>
            </w:tcBorders>
            <w:shd w:val="clear" w:color="000000" w:fill="002060"/>
            <w:vAlign w:val="center"/>
            <w:hideMark/>
          </w:tcPr>
          <w:p w14:paraId="2CAFDCCF"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Total Amount (INR)</w:t>
            </w:r>
          </w:p>
        </w:tc>
        <w:tc>
          <w:tcPr>
            <w:tcW w:w="296" w:type="pct"/>
            <w:tcBorders>
              <w:top w:val="nil"/>
              <w:left w:val="nil"/>
              <w:bottom w:val="single" w:sz="4" w:space="0" w:color="auto"/>
              <w:right w:val="single" w:sz="4" w:space="0" w:color="auto"/>
            </w:tcBorders>
            <w:shd w:val="clear" w:color="000000" w:fill="002060"/>
            <w:vAlign w:val="center"/>
            <w:hideMark/>
          </w:tcPr>
          <w:p w14:paraId="71B6C078"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Base Product Cost</w:t>
            </w:r>
          </w:p>
        </w:tc>
        <w:tc>
          <w:tcPr>
            <w:tcW w:w="219" w:type="pct"/>
            <w:tcBorders>
              <w:top w:val="nil"/>
              <w:left w:val="nil"/>
              <w:bottom w:val="single" w:sz="4" w:space="0" w:color="auto"/>
              <w:right w:val="single" w:sz="4" w:space="0" w:color="auto"/>
            </w:tcBorders>
            <w:shd w:val="clear" w:color="000000" w:fill="002060"/>
            <w:vAlign w:val="center"/>
            <w:hideMark/>
          </w:tcPr>
          <w:p w14:paraId="0B02C28B"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Rate (INR)</w:t>
            </w:r>
          </w:p>
        </w:tc>
        <w:tc>
          <w:tcPr>
            <w:tcW w:w="303" w:type="pct"/>
            <w:tcBorders>
              <w:top w:val="nil"/>
              <w:left w:val="nil"/>
              <w:bottom w:val="single" w:sz="4" w:space="0" w:color="auto"/>
              <w:right w:val="single" w:sz="4" w:space="0" w:color="auto"/>
            </w:tcBorders>
            <w:shd w:val="clear" w:color="000000" w:fill="002060"/>
            <w:vAlign w:val="center"/>
            <w:hideMark/>
          </w:tcPr>
          <w:p w14:paraId="03EE0739"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Total Amount (INR)</w:t>
            </w:r>
          </w:p>
        </w:tc>
        <w:tc>
          <w:tcPr>
            <w:tcW w:w="296" w:type="pct"/>
            <w:tcBorders>
              <w:top w:val="nil"/>
              <w:left w:val="nil"/>
              <w:bottom w:val="single" w:sz="4" w:space="0" w:color="auto"/>
              <w:right w:val="single" w:sz="4" w:space="0" w:color="auto"/>
            </w:tcBorders>
            <w:shd w:val="clear" w:color="000000" w:fill="002060"/>
            <w:vAlign w:val="center"/>
            <w:hideMark/>
          </w:tcPr>
          <w:p w14:paraId="5D97B613"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Base Product Cost</w:t>
            </w:r>
          </w:p>
        </w:tc>
        <w:tc>
          <w:tcPr>
            <w:tcW w:w="219" w:type="pct"/>
            <w:tcBorders>
              <w:top w:val="nil"/>
              <w:left w:val="nil"/>
              <w:bottom w:val="single" w:sz="4" w:space="0" w:color="auto"/>
              <w:right w:val="single" w:sz="4" w:space="0" w:color="auto"/>
            </w:tcBorders>
            <w:shd w:val="clear" w:color="000000" w:fill="002060"/>
            <w:vAlign w:val="center"/>
            <w:hideMark/>
          </w:tcPr>
          <w:p w14:paraId="2030E2BA"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Rate (INR)</w:t>
            </w:r>
          </w:p>
        </w:tc>
        <w:tc>
          <w:tcPr>
            <w:tcW w:w="303" w:type="pct"/>
            <w:tcBorders>
              <w:top w:val="nil"/>
              <w:left w:val="nil"/>
              <w:bottom w:val="single" w:sz="4" w:space="0" w:color="auto"/>
              <w:right w:val="single" w:sz="4" w:space="0" w:color="auto"/>
            </w:tcBorders>
            <w:shd w:val="clear" w:color="000000" w:fill="002060"/>
            <w:vAlign w:val="center"/>
            <w:hideMark/>
          </w:tcPr>
          <w:p w14:paraId="0E76BBA9"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Total Amount (INR)</w:t>
            </w:r>
          </w:p>
        </w:tc>
        <w:tc>
          <w:tcPr>
            <w:tcW w:w="296" w:type="pct"/>
            <w:tcBorders>
              <w:top w:val="nil"/>
              <w:left w:val="nil"/>
              <w:bottom w:val="single" w:sz="4" w:space="0" w:color="auto"/>
              <w:right w:val="single" w:sz="4" w:space="0" w:color="auto"/>
            </w:tcBorders>
            <w:shd w:val="clear" w:color="000000" w:fill="002060"/>
            <w:vAlign w:val="center"/>
            <w:hideMark/>
          </w:tcPr>
          <w:p w14:paraId="7C09FDCF"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Base Product Cost</w:t>
            </w:r>
          </w:p>
        </w:tc>
        <w:tc>
          <w:tcPr>
            <w:tcW w:w="219" w:type="pct"/>
            <w:tcBorders>
              <w:top w:val="nil"/>
              <w:left w:val="nil"/>
              <w:bottom w:val="single" w:sz="4" w:space="0" w:color="auto"/>
              <w:right w:val="single" w:sz="4" w:space="0" w:color="auto"/>
            </w:tcBorders>
            <w:shd w:val="clear" w:color="000000" w:fill="002060"/>
            <w:vAlign w:val="center"/>
            <w:hideMark/>
          </w:tcPr>
          <w:p w14:paraId="265AEFFA"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Rate (INR)</w:t>
            </w:r>
          </w:p>
        </w:tc>
        <w:tc>
          <w:tcPr>
            <w:tcW w:w="303" w:type="pct"/>
            <w:tcBorders>
              <w:top w:val="nil"/>
              <w:left w:val="nil"/>
              <w:bottom w:val="single" w:sz="4" w:space="0" w:color="auto"/>
              <w:right w:val="single" w:sz="4" w:space="0" w:color="auto"/>
            </w:tcBorders>
            <w:shd w:val="clear" w:color="000000" w:fill="002060"/>
            <w:vAlign w:val="center"/>
            <w:hideMark/>
          </w:tcPr>
          <w:p w14:paraId="09B51461"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Total Amount (INR)</w:t>
            </w:r>
          </w:p>
        </w:tc>
        <w:tc>
          <w:tcPr>
            <w:tcW w:w="296" w:type="pct"/>
            <w:tcBorders>
              <w:top w:val="nil"/>
              <w:left w:val="nil"/>
              <w:bottom w:val="single" w:sz="4" w:space="0" w:color="auto"/>
              <w:right w:val="single" w:sz="4" w:space="0" w:color="auto"/>
            </w:tcBorders>
            <w:shd w:val="clear" w:color="000000" w:fill="002060"/>
            <w:vAlign w:val="center"/>
            <w:hideMark/>
          </w:tcPr>
          <w:p w14:paraId="02DB7674"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Base Product Cost</w:t>
            </w:r>
          </w:p>
        </w:tc>
        <w:tc>
          <w:tcPr>
            <w:tcW w:w="219" w:type="pct"/>
            <w:tcBorders>
              <w:top w:val="nil"/>
              <w:left w:val="nil"/>
              <w:bottom w:val="single" w:sz="4" w:space="0" w:color="auto"/>
              <w:right w:val="single" w:sz="4" w:space="0" w:color="auto"/>
            </w:tcBorders>
            <w:shd w:val="clear" w:color="000000" w:fill="002060"/>
            <w:vAlign w:val="center"/>
            <w:hideMark/>
          </w:tcPr>
          <w:p w14:paraId="385BEFDF"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Rate (INR)</w:t>
            </w:r>
          </w:p>
        </w:tc>
        <w:tc>
          <w:tcPr>
            <w:tcW w:w="303" w:type="pct"/>
            <w:tcBorders>
              <w:top w:val="nil"/>
              <w:left w:val="nil"/>
              <w:bottom w:val="single" w:sz="4" w:space="0" w:color="auto"/>
              <w:right w:val="single" w:sz="4" w:space="0" w:color="auto"/>
            </w:tcBorders>
            <w:shd w:val="clear" w:color="000000" w:fill="002060"/>
            <w:vAlign w:val="center"/>
            <w:hideMark/>
          </w:tcPr>
          <w:p w14:paraId="3A0E0C8A"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Total Amount (INR)</w:t>
            </w:r>
          </w:p>
        </w:tc>
        <w:tc>
          <w:tcPr>
            <w:tcW w:w="303" w:type="pct"/>
            <w:tcBorders>
              <w:top w:val="nil"/>
              <w:left w:val="nil"/>
              <w:bottom w:val="single" w:sz="4" w:space="0" w:color="auto"/>
              <w:right w:val="single" w:sz="4" w:space="0" w:color="auto"/>
            </w:tcBorders>
            <w:shd w:val="clear" w:color="000000" w:fill="002060"/>
            <w:vAlign w:val="center"/>
            <w:hideMark/>
          </w:tcPr>
          <w:p w14:paraId="4803E266"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Total Amount for 5 years (INR)</w:t>
            </w:r>
          </w:p>
        </w:tc>
      </w:tr>
      <w:tr w:rsidR="000A1AD9" w:rsidRPr="00000F38" w14:paraId="137EB9B2" w14:textId="77777777" w:rsidTr="00342ED2">
        <w:trPr>
          <w:trHeight w:val="255"/>
        </w:trPr>
        <w:tc>
          <w:tcPr>
            <w:tcW w:w="158" w:type="pct"/>
            <w:tcBorders>
              <w:top w:val="nil"/>
              <w:left w:val="single" w:sz="4" w:space="0" w:color="auto"/>
              <w:bottom w:val="single" w:sz="4" w:space="0" w:color="auto"/>
              <w:right w:val="single" w:sz="4" w:space="0" w:color="auto"/>
            </w:tcBorders>
            <w:shd w:val="clear" w:color="000000" w:fill="F2F2F2"/>
            <w:hideMark/>
          </w:tcPr>
          <w:p w14:paraId="2831B0AD"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1</w:t>
            </w:r>
          </w:p>
        </w:tc>
        <w:tc>
          <w:tcPr>
            <w:tcW w:w="450" w:type="pct"/>
            <w:tcBorders>
              <w:top w:val="nil"/>
              <w:left w:val="nil"/>
              <w:bottom w:val="single" w:sz="4" w:space="0" w:color="auto"/>
              <w:right w:val="single" w:sz="4" w:space="0" w:color="auto"/>
            </w:tcBorders>
            <w:shd w:val="clear" w:color="000000" w:fill="F2F2F2"/>
            <w:hideMark/>
          </w:tcPr>
          <w:p w14:paraId="1553A335"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Data Discovery &amp; Classification</w:t>
            </w:r>
          </w:p>
        </w:tc>
        <w:tc>
          <w:tcPr>
            <w:tcW w:w="296" w:type="pct"/>
            <w:tcBorders>
              <w:top w:val="nil"/>
              <w:left w:val="nil"/>
              <w:bottom w:val="single" w:sz="4" w:space="0" w:color="auto"/>
              <w:right w:val="single" w:sz="4" w:space="0" w:color="auto"/>
            </w:tcBorders>
            <w:shd w:val="pct50" w:color="000000" w:fill="F2F2F2"/>
            <w:hideMark/>
          </w:tcPr>
          <w:p w14:paraId="44A8F13C"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203B617E"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2117D852"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2AD28873"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69C96244"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6DCBB746"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3B42D9D6"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0EABC5AE"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6ECB5D01"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0ABBE36E"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6510B45F"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4CE4904E"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7780DA79"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254A4181"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2CBFBAEB"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5272A708"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r>
      <w:tr w:rsidR="000A1AD9" w:rsidRPr="00000F38" w14:paraId="7A96F513" w14:textId="77777777" w:rsidTr="00342ED2">
        <w:trPr>
          <w:trHeight w:val="255"/>
        </w:trPr>
        <w:tc>
          <w:tcPr>
            <w:tcW w:w="158" w:type="pct"/>
            <w:tcBorders>
              <w:top w:val="nil"/>
              <w:left w:val="single" w:sz="4" w:space="0" w:color="auto"/>
              <w:bottom w:val="single" w:sz="4" w:space="0" w:color="auto"/>
              <w:right w:val="single" w:sz="4" w:space="0" w:color="auto"/>
            </w:tcBorders>
            <w:shd w:val="clear" w:color="auto" w:fill="auto"/>
            <w:hideMark/>
          </w:tcPr>
          <w:p w14:paraId="7FA6A8B1"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50" w:type="pct"/>
            <w:tcBorders>
              <w:top w:val="nil"/>
              <w:left w:val="nil"/>
              <w:bottom w:val="single" w:sz="4" w:space="0" w:color="auto"/>
              <w:right w:val="single" w:sz="4" w:space="0" w:color="auto"/>
            </w:tcBorders>
            <w:shd w:val="clear" w:color="auto" w:fill="auto"/>
            <w:hideMark/>
          </w:tcPr>
          <w:p w14:paraId="37A295FF"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AMC</w:t>
            </w:r>
          </w:p>
        </w:tc>
        <w:tc>
          <w:tcPr>
            <w:tcW w:w="296" w:type="pct"/>
            <w:tcBorders>
              <w:top w:val="nil"/>
              <w:left w:val="nil"/>
              <w:bottom w:val="single" w:sz="4" w:space="0" w:color="auto"/>
              <w:right w:val="single" w:sz="4" w:space="0" w:color="auto"/>
            </w:tcBorders>
            <w:shd w:val="pct50" w:color="000000" w:fill="auto"/>
            <w:hideMark/>
          </w:tcPr>
          <w:p w14:paraId="73612FAD"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726EEA18"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24178A70"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pct50" w:color="000000" w:fill="auto"/>
            <w:hideMark/>
          </w:tcPr>
          <w:p w14:paraId="3626BDEF"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07514C19"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54E11F7E"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pct50" w:color="000000" w:fill="auto"/>
            <w:hideMark/>
          </w:tcPr>
          <w:p w14:paraId="5B81F864"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24230971"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6F2E0A37"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auto" w:fill="auto"/>
            <w:hideMark/>
          </w:tcPr>
          <w:p w14:paraId="544ADBD6"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56E08452"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7E4126FC"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248192A6"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19E3C2F3"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51BA932F"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7DAD40AC"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0A1AD9" w:rsidRPr="00000F38" w14:paraId="143F4450" w14:textId="77777777" w:rsidTr="00342ED2">
        <w:trPr>
          <w:trHeight w:val="255"/>
        </w:trPr>
        <w:tc>
          <w:tcPr>
            <w:tcW w:w="158" w:type="pct"/>
            <w:tcBorders>
              <w:top w:val="nil"/>
              <w:left w:val="single" w:sz="4" w:space="0" w:color="auto"/>
              <w:bottom w:val="single" w:sz="4" w:space="0" w:color="auto"/>
              <w:right w:val="single" w:sz="4" w:space="0" w:color="auto"/>
            </w:tcBorders>
            <w:shd w:val="clear" w:color="auto" w:fill="auto"/>
            <w:hideMark/>
          </w:tcPr>
          <w:p w14:paraId="0C44DE01"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50" w:type="pct"/>
            <w:tcBorders>
              <w:top w:val="nil"/>
              <w:left w:val="nil"/>
              <w:bottom w:val="single" w:sz="4" w:space="0" w:color="auto"/>
              <w:right w:val="single" w:sz="4" w:space="0" w:color="auto"/>
            </w:tcBorders>
            <w:shd w:val="clear" w:color="auto" w:fill="auto"/>
            <w:hideMark/>
          </w:tcPr>
          <w:p w14:paraId="490588D5"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ATS</w:t>
            </w:r>
          </w:p>
        </w:tc>
        <w:tc>
          <w:tcPr>
            <w:tcW w:w="296" w:type="pct"/>
            <w:tcBorders>
              <w:top w:val="nil"/>
              <w:left w:val="nil"/>
              <w:bottom w:val="single" w:sz="4" w:space="0" w:color="auto"/>
              <w:right w:val="single" w:sz="4" w:space="0" w:color="auto"/>
            </w:tcBorders>
            <w:shd w:val="pct50" w:color="000000" w:fill="auto"/>
            <w:hideMark/>
          </w:tcPr>
          <w:p w14:paraId="745F1D41"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7FF24A8F"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0D234B36"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auto" w:fill="auto"/>
            <w:hideMark/>
          </w:tcPr>
          <w:p w14:paraId="1E090274"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5AAFD995"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273B00DF"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1D9D3964"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33AF64A8"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6AB544C4"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471BF4D6"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168C8339"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2792CE24"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45FB09E7"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4AB7C00E"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064FAA76"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394B2E62"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0A1AD9" w:rsidRPr="00000F38" w14:paraId="5248BDAC" w14:textId="77777777" w:rsidTr="00342ED2">
        <w:trPr>
          <w:trHeight w:val="255"/>
        </w:trPr>
        <w:tc>
          <w:tcPr>
            <w:tcW w:w="158" w:type="pct"/>
            <w:tcBorders>
              <w:top w:val="nil"/>
              <w:left w:val="single" w:sz="4" w:space="0" w:color="auto"/>
              <w:bottom w:val="single" w:sz="4" w:space="0" w:color="auto"/>
              <w:right w:val="single" w:sz="4" w:space="0" w:color="auto"/>
            </w:tcBorders>
            <w:shd w:val="clear" w:color="000000" w:fill="F2F2F2"/>
            <w:hideMark/>
          </w:tcPr>
          <w:p w14:paraId="5A2C7B51"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2</w:t>
            </w:r>
          </w:p>
        </w:tc>
        <w:tc>
          <w:tcPr>
            <w:tcW w:w="450" w:type="pct"/>
            <w:tcBorders>
              <w:top w:val="nil"/>
              <w:left w:val="nil"/>
              <w:bottom w:val="single" w:sz="4" w:space="0" w:color="auto"/>
              <w:right w:val="single" w:sz="4" w:space="0" w:color="auto"/>
            </w:tcBorders>
            <w:shd w:val="clear" w:color="000000" w:fill="F2F2F2"/>
            <w:hideMark/>
          </w:tcPr>
          <w:p w14:paraId="7783AC7D"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File Upload Security Solution</w:t>
            </w:r>
          </w:p>
        </w:tc>
        <w:tc>
          <w:tcPr>
            <w:tcW w:w="296" w:type="pct"/>
            <w:tcBorders>
              <w:top w:val="nil"/>
              <w:left w:val="nil"/>
              <w:bottom w:val="single" w:sz="4" w:space="0" w:color="auto"/>
              <w:right w:val="single" w:sz="4" w:space="0" w:color="auto"/>
            </w:tcBorders>
            <w:shd w:val="pct50" w:color="000000" w:fill="F2F2F2"/>
            <w:hideMark/>
          </w:tcPr>
          <w:p w14:paraId="117D1DFD"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07F44004"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40488968"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39CC3E36"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6B7B78E1"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7AD932B7"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797B94BB"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1505CCB0"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1A8A2E11"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42160982"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62779711"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20EB5506"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7F298597"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76F6FDD2"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7C7446D0"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13CD9E90"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r>
      <w:tr w:rsidR="000A1AD9" w:rsidRPr="00000F38" w14:paraId="5320CB0D" w14:textId="77777777" w:rsidTr="00342ED2">
        <w:trPr>
          <w:trHeight w:val="255"/>
        </w:trPr>
        <w:tc>
          <w:tcPr>
            <w:tcW w:w="158" w:type="pct"/>
            <w:tcBorders>
              <w:top w:val="nil"/>
              <w:left w:val="single" w:sz="4" w:space="0" w:color="auto"/>
              <w:bottom w:val="single" w:sz="4" w:space="0" w:color="auto"/>
              <w:right w:val="single" w:sz="4" w:space="0" w:color="auto"/>
            </w:tcBorders>
            <w:shd w:val="clear" w:color="auto" w:fill="auto"/>
            <w:hideMark/>
          </w:tcPr>
          <w:p w14:paraId="4BA154A3"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50" w:type="pct"/>
            <w:tcBorders>
              <w:top w:val="nil"/>
              <w:left w:val="nil"/>
              <w:bottom w:val="single" w:sz="4" w:space="0" w:color="auto"/>
              <w:right w:val="single" w:sz="4" w:space="0" w:color="auto"/>
            </w:tcBorders>
            <w:shd w:val="clear" w:color="auto" w:fill="auto"/>
            <w:hideMark/>
          </w:tcPr>
          <w:p w14:paraId="0738D34D"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AMC</w:t>
            </w:r>
          </w:p>
        </w:tc>
        <w:tc>
          <w:tcPr>
            <w:tcW w:w="296" w:type="pct"/>
            <w:tcBorders>
              <w:top w:val="nil"/>
              <w:left w:val="nil"/>
              <w:bottom w:val="single" w:sz="4" w:space="0" w:color="auto"/>
              <w:right w:val="single" w:sz="4" w:space="0" w:color="auto"/>
            </w:tcBorders>
            <w:shd w:val="pct50" w:color="000000" w:fill="auto"/>
            <w:hideMark/>
          </w:tcPr>
          <w:p w14:paraId="2A0EDB89"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1708D0D7"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4840992D"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pct50" w:color="000000" w:fill="auto"/>
            <w:hideMark/>
          </w:tcPr>
          <w:p w14:paraId="714141B7"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6F82F8AC"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0E8ACD9B"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pct50" w:color="000000" w:fill="auto"/>
            <w:hideMark/>
          </w:tcPr>
          <w:p w14:paraId="7DFE752B"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25E1E5DD"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663C10D8"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auto" w:fill="auto"/>
            <w:hideMark/>
          </w:tcPr>
          <w:p w14:paraId="295F2C33"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432F726D"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0E458788"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1C6D2E45"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2394D9F2"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2079DA54"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7DB991F1"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0A1AD9" w:rsidRPr="00000F38" w14:paraId="39ED76D7" w14:textId="77777777" w:rsidTr="00342ED2">
        <w:trPr>
          <w:trHeight w:val="255"/>
        </w:trPr>
        <w:tc>
          <w:tcPr>
            <w:tcW w:w="158" w:type="pct"/>
            <w:tcBorders>
              <w:top w:val="nil"/>
              <w:left w:val="single" w:sz="4" w:space="0" w:color="auto"/>
              <w:bottom w:val="single" w:sz="4" w:space="0" w:color="auto"/>
              <w:right w:val="single" w:sz="4" w:space="0" w:color="auto"/>
            </w:tcBorders>
            <w:shd w:val="clear" w:color="auto" w:fill="auto"/>
            <w:hideMark/>
          </w:tcPr>
          <w:p w14:paraId="2C1A9F58"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50" w:type="pct"/>
            <w:tcBorders>
              <w:top w:val="nil"/>
              <w:left w:val="nil"/>
              <w:bottom w:val="single" w:sz="4" w:space="0" w:color="auto"/>
              <w:right w:val="single" w:sz="4" w:space="0" w:color="auto"/>
            </w:tcBorders>
            <w:shd w:val="clear" w:color="auto" w:fill="auto"/>
            <w:hideMark/>
          </w:tcPr>
          <w:p w14:paraId="145FC2D8"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ATS</w:t>
            </w:r>
          </w:p>
        </w:tc>
        <w:tc>
          <w:tcPr>
            <w:tcW w:w="296" w:type="pct"/>
            <w:tcBorders>
              <w:top w:val="nil"/>
              <w:left w:val="nil"/>
              <w:bottom w:val="single" w:sz="4" w:space="0" w:color="auto"/>
              <w:right w:val="single" w:sz="4" w:space="0" w:color="auto"/>
            </w:tcBorders>
            <w:shd w:val="pct50" w:color="000000" w:fill="auto"/>
            <w:hideMark/>
          </w:tcPr>
          <w:p w14:paraId="38C2A412"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1E1D2AF2"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600548AC"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auto" w:fill="auto"/>
            <w:hideMark/>
          </w:tcPr>
          <w:p w14:paraId="45C1E89E"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3B05D216"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695963EA"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255B049E"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2FCCD77F"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60740285"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5D918AEC"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338B5B13"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0431AB7E"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008CAE1C"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30001787"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0E936818"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480D1BBA"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0A1AD9" w:rsidRPr="00000F38" w14:paraId="513C2A58" w14:textId="77777777" w:rsidTr="00342ED2">
        <w:trPr>
          <w:trHeight w:val="255"/>
        </w:trPr>
        <w:tc>
          <w:tcPr>
            <w:tcW w:w="158" w:type="pct"/>
            <w:tcBorders>
              <w:top w:val="nil"/>
              <w:left w:val="single" w:sz="4" w:space="0" w:color="auto"/>
              <w:bottom w:val="single" w:sz="4" w:space="0" w:color="auto"/>
              <w:right w:val="single" w:sz="4" w:space="0" w:color="auto"/>
            </w:tcBorders>
            <w:shd w:val="clear" w:color="000000" w:fill="F2F2F2"/>
            <w:hideMark/>
          </w:tcPr>
          <w:p w14:paraId="65F4E42E"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3</w:t>
            </w:r>
          </w:p>
        </w:tc>
        <w:tc>
          <w:tcPr>
            <w:tcW w:w="450" w:type="pct"/>
            <w:tcBorders>
              <w:top w:val="nil"/>
              <w:left w:val="nil"/>
              <w:bottom w:val="single" w:sz="4" w:space="0" w:color="auto"/>
              <w:right w:val="single" w:sz="4" w:space="0" w:color="auto"/>
            </w:tcBorders>
            <w:shd w:val="clear" w:color="000000" w:fill="F2F2F2"/>
            <w:hideMark/>
          </w:tcPr>
          <w:p w14:paraId="7EE29CE3"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Attack Surface Management (ASM)</w:t>
            </w:r>
          </w:p>
        </w:tc>
        <w:tc>
          <w:tcPr>
            <w:tcW w:w="296" w:type="pct"/>
            <w:tcBorders>
              <w:top w:val="nil"/>
              <w:left w:val="nil"/>
              <w:bottom w:val="single" w:sz="4" w:space="0" w:color="auto"/>
              <w:right w:val="single" w:sz="4" w:space="0" w:color="auto"/>
            </w:tcBorders>
            <w:shd w:val="pct50" w:color="000000" w:fill="F2F2F2"/>
            <w:hideMark/>
          </w:tcPr>
          <w:p w14:paraId="56A9AB0C"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4613CB7E"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00727C57"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4318C7BC"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28B33EA2"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7F7688CA"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016AB994"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765E108B"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11ADA407"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4D7A6567"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6B90F77B"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33732C6F"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647C76D0"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15E6F743"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58A875D1"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51BCC0C5"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r>
      <w:tr w:rsidR="000A1AD9" w:rsidRPr="00000F38" w14:paraId="08BBF167" w14:textId="77777777" w:rsidTr="00342ED2">
        <w:trPr>
          <w:trHeight w:val="255"/>
        </w:trPr>
        <w:tc>
          <w:tcPr>
            <w:tcW w:w="158" w:type="pct"/>
            <w:tcBorders>
              <w:top w:val="nil"/>
              <w:left w:val="single" w:sz="4" w:space="0" w:color="auto"/>
              <w:bottom w:val="single" w:sz="4" w:space="0" w:color="auto"/>
              <w:right w:val="single" w:sz="4" w:space="0" w:color="auto"/>
            </w:tcBorders>
            <w:shd w:val="clear" w:color="auto" w:fill="auto"/>
            <w:hideMark/>
          </w:tcPr>
          <w:p w14:paraId="0C315793"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50" w:type="pct"/>
            <w:tcBorders>
              <w:top w:val="nil"/>
              <w:left w:val="nil"/>
              <w:bottom w:val="single" w:sz="4" w:space="0" w:color="auto"/>
              <w:right w:val="single" w:sz="4" w:space="0" w:color="auto"/>
            </w:tcBorders>
            <w:shd w:val="clear" w:color="auto" w:fill="auto"/>
            <w:hideMark/>
          </w:tcPr>
          <w:p w14:paraId="5BF96191"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AMC</w:t>
            </w:r>
          </w:p>
        </w:tc>
        <w:tc>
          <w:tcPr>
            <w:tcW w:w="296" w:type="pct"/>
            <w:tcBorders>
              <w:top w:val="nil"/>
              <w:left w:val="nil"/>
              <w:bottom w:val="single" w:sz="4" w:space="0" w:color="auto"/>
              <w:right w:val="single" w:sz="4" w:space="0" w:color="auto"/>
            </w:tcBorders>
            <w:shd w:val="pct50" w:color="000000" w:fill="auto"/>
            <w:hideMark/>
          </w:tcPr>
          <w:p w14:paraId="0920D63D"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4BC79E7A"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441790A0"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pct50" w:color="000000" w:fill="auto"/>
            <w:hideMark/>
          </w:tcPr>
          <w:p w14:paraId="57142FF4"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3C8077B6"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277D5351"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pct50" w:color="000000" w:fill="auto"/>
            <w:hideMark/>
          </w:tcPr>
          <w:p w14:paraId="0DF207DF"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1924A764"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2E3675B4"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auto" w:fill="auto"/>
            <w:hideMark/>
          </w:tcPr>
          <w:p w14:paraId="7A4E5414"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29FC6D5E"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53FC6A6A"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158B585A"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1DC92121"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4808BDD0"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1266B1B4"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0A1AD9" w:rsidRPr="00000F38" w14:paraId="22044A75" w14:textId="77777777" w:rsidTr="00342ED2">
        <w:trPr>
          <w:trHeight w:val="255"/>
        </w:trPr>
        <w:tc>
          <w:tcPr>
            <w:tcW w:w="158" w:type="pct"/>
            <w:tcBorders>
              <w:top w:val="nil"/>
              <w:left w:val="single" w:sz="4" w:space="0" w:color="auto"/>
              <w:bottom w:val="single" w:sz="4" w:space="0" w:color="auto"/>
              <w:right w:val="single" w:sz="4" w:space="0" w:color="auto"/>
            </w:tcBorders>
            <w:shd w:val="clear" w:color="auto" w:fill="auto"/>
            <w:hideMark/>
          </w:tcPr>
          <w:p w14:paraId="2D28B9F0"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50" w:type="pct"/>
            <w:tcBorders>
              <w:top w:val="nil"/>
              <w:left w:val="nil"/>
              <w:bottom w:val="single" w:sz="4" w:space="0" w:color="auto"/>
              <w:right w:val="single" w:sz="4" w:space="0" w:color="auto"/>
            </w:tcBorders>
            <w:shd w:val="clear" w:color="auto" w:fill="auto"/>
            <w:hideMark/>
          </w:tcPr>
          <w:p w14:paraId="0E71E489"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ATS</w:t>
            </w:r>
          </w:p>
        </w:tc>
        <w:tc>
          <w:tcPr>
            <w:tcW w:w="296" w:type="pct"/>
            <w:tcBorders>
              <w:top w:val="nil"/>
              <w:left w:val="nil"/>
              <w:bottom w:val="single" w:sz="4" w:space="0" w:color="auto"/>
              <w:right w:val="single" w:sz="4" w:space="0" w:color="auto"/>
            </w:tcBorders>
            <w:shd w:val="pct50" w:color="000000" w:fill="auto"/>
            <w:hideMark/>
          </w:tcPr>
          <w:p w14:paraId="42592606"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71148E3E"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3CA1C71A"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auto" w:fill="auto"/>
            <w:hideMark/>
          </w:tcPr>
          <w:p w14:paraId="255FFD8C"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6E8EBA2D"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748933C6"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4E9434A1"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26B3EE84"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5FD1F240"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14477937"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1501DF0B"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03D654FC"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5086EC90"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632E1FCF"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7B873DAF"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0E565B96"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0A1AD9" w:rsidRPr="00000F38" w14:paraId="17DA2E63" w14:textId="77777777" w:rsidTr="00342ED2">
        <w:trPr>
          <w:trHeight w:val="510"/>
        </w:trPr>
        <w:tc>
          <w:tcPr>
            <w:tcW w:w="158" w:type="pct"/>
            <w:tcBorders>
              <w:top w:val="nil"/>
              <w:left w:val="single" w:sz="4" w:space="0" w:color="auto"/>
              <w:bottom w:val="single" w:sz="4" w:space="0" w:color="auto"/>
              <w:right w:val="single" w:sz="4" w:space="0" w:color="auto"/>
            </w:tcBorders>
            <w:shd w:val="clear" w:color="000000" w:fill="F2F2F2"/>
            <w:hideMark/>
          </w:tcPr>
          <w:p w14:paraId="19A9307D"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4</w:t>
            </w:r>
          </w:p>
        </w:tc>
        <w:tc>
          <w:tcPr>
            <w:tcW w:w="450" w:type="pct"/>
            <w:tcBorders>
              <w:top w:val="nil"/>
              <w:left w:val="nil"/>
              <w:bottom w:val="single" w:sz="4" w:space="0" w:color="auto"/>
              <w:right w:val="single" w:sz="4" w:space="0" w:color="auto"/>
            </w:tcBorders>
            <w:shd w:val="clear" w:color="000000" w:fill="F2F2F2"/>
            <w:hideMark/>
          </w:tcPr>
          <w:p w14:paraId="0AB5F7EA"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xml:space="preserve">Breach and Attack Simulation </w:t>
            </w:r>
            <w:r w:rsidRPr="00000F38">
              <w:rPr>
                <w:rFonts w:eastAsia="Times New Roman" w:cstheme="minorHAnsi"/>
                <w:b/>
                <w:bCs/>
                <w:color w:val="000000"/>
                <w:lang w:val="en-GB" w:eastAsia="en-GB"/>
              </w:rPr>
              <w:lastRenderedPageBreak/>
              <w:t>(BAS) with Red Team Solution</w:t>
            </w:r>
          </w:p>
        </w:tc>
        <w:tc>
          <w:tcPr>
            <w:tcW w:w="296" w:type="pct"/>
            <w:tcBorders>
              <w:top w:val="nil"/>
              <w:left w:val="nil"/>
              <w:bottom w:val="single" w:sz="4" w:space="0" w:color="auto"/>
              <w:right w:val="single" w:sz="4" w:space="0" w:color="auto"/>
            </w:tcBorders>
            <w:shd w:val="pct50" w:color="000000" w:fill="F2F2F2"/>
            <w:hideMark/>
          </w:tcPr>
          <w:p w14:paraId="01F490F2"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lastRenderedPageBreak/>
              <w:t> </w:t>
            </w:r>
          </w:p>
        </w:tc>
        <w:tc>
          <w:tcPr>
            <w:tcW w:w="219" w:type="pct"/>
            <w:tcBorders>
              <w:top w:val="nil"/>
              <w:left w:val="nil"/>
              <w:bottom w:val="single" w:sz="4" w:space="0" w:color="auto"/>
              <w:right w:val="single" w:sz="4" w:space="0" w:color="auto"/>
            </w:tcBorders>
            <w:shd w:val="pct50" w:color="000000" w:fill="F2F2F2"/>
            <w:hideMark/>
          </w:tcPr>
          <w:p w14:paraId="1E694B97"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488591C3"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4735AF45"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7191C434"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0020EC71"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0A1B4DBF"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54824FAF"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2637D6BD"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4735E9F9"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7A5DE313"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7EDD4623"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09D89ED6"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56521D6E"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273FECD0"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5A6CB7F6"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r>
      <w:tr w:rsidR="000A1AD9" w:rsidRPr="00000F38" w14:paraId="09218AFF" w14:textId="77777777" w:rsidTr="00342ED2">
        <w:trPr>
          <w:trHeight w:val="255"/>
        </w:trPr>
        <w:tc>
          <w:tcPr>
            <w:tcW w:w="158" w:type="pct"/>
            <w:tcBorders>
              <w:top w:val="nil"/>
              <w:left w:val="single" w:sz="4" w:space="0" w:color="auto"/>
              <w:bottom w:val="single" w:sz="4" w:space="0" w:color="auto"/>
              <w:right w:val="single" w:sz="4" w:space="0" w:color="auto"/>
            </w:tcBorders>
            <w:shd w:val="clear" w:color="auto" w:fill="auto"/>
            <w:hideMark/>
          </w:tcPr>
          <w:p w14:paraId="28325386"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50" w:type="pct"/>
            <w:tcBorders>
              <w:top w:val="nil"/>
              <w:left w:val="nil"/>
              <w:bottom w:val="single" w:sz="4" w:space="0" w:color="auto"/>
              <w:right w:val="single" w:sz="4" w:space="0" w:color="auto"/>
            </w:tcBorders>
            <w:shd w:val="clear" w:color="auto" w:fill="auto"/>
            <w:hideMark/>
          </w:tcPr>
          <w:p w14:paraId="2DBB0111"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AMC</w:t>
            </w:r>
          </w:p>
        </w:tc>
        <w:tc>
          <w:tcPr>
            <w:tcW w:w="296" w:type="pct"/>
            <w:tcBorders>
              <w:top w:val="nil"/>
              <w:left w:val="nil"/>
              <w:bottom w:val="single" w:sz="4" w:space="0" w:color="auto"/>
              <w:right w:val="single" w:sz="4" w:space="0" w:color="auto"/>
            </w:tcBorders>
            <w:shd w:val="pct50" w:color="000000" w:fill="auto"/>
            <w:hideMark/>
          </w:tcPr>
          <w:p w14:paraId="7A24A44A"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6ABFB725"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57E207D7"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pct50" w:color="000000" w:fill="auto"/>
            <w:hideMark/>
          </w:tcPr>
          <w:p w14:paraId="1553B78C"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47B533AD"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0D8C4812"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pct50" w:color="000000" w:fill="auto"/>
            <w:hideMark/>
          </w:tcPr>
          <w:p w14:paraId="59B5944F"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26077643"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0750C0D5"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auto" w:fill="auto"/>
            <w:hideMark/>
          </w:tcPr>
          <w:p w14:paraId="400272B6"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38F786F6"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0B0152DA"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4CD4339C"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03CCCD47"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62EBDBF5"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0D622491"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0A1AD9" w:rsidRPr="00000F38" w14:paraId="7FB857E7" w14:textId="77777777" w:rsidTr="00342ED2">
        <w:trPr>
          <w:trHeight w:val="255"/>
        </w:trPr>
        <w:tc>
          <w:tcPr>
            <w:tcW w:w="158" w:type="pct"/>
            <w:tcBorders>
              <w:top w:val="nil"/>
              <w:left w:val="single" w:sz="4" w:space="0" w:color="auto"/>
              <w:bottom w:val="single" w:sz="4" w:space="0" w:color="auto"/>
              <w:right w:val="single" w:sz="4" w:space="0" w:color="auto"/>
            </w:tcBorders>
            <w:shd w:val="clear" w:color="auto" w:fill="auto"/>
            <w:hideMark/>
          </w:tcPr>
          <w:p w14:paraId="66DE1494"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50" w:type="pct"/>
            <w:tcBorders>
              <w:top w:val="nil"/>
              <w:left w:val="nil"/>
              <w:bottom w:val="single" w:sz="4" w:space="0" w:color="auto"/>
              <w:right w:val="single" w:sz="4" w:space="0" w:color="auto"/>
            </w:tcBorders>
            <w:shd w:val="clear" w:color="auto" w:fill="auto"/>
            <w:hideMark/>
          </w:tcPr>
          <w:p w14:paraId="70C85797"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ATS</w:t>
            </w:r>
          </w:p>
        </w:tc>
        <w:tc>
          <w:tcPr>
            <w:tcW w:w="296" w:type="pct"/>
            <w:tcBorders>
              <w:top w:val="nil"/>
              <w:left w:val="nil"/>
              <w:bottom w:val="single" w:sz="4" w:space="0" w:color="auto"/>
              <w:right w:val="single" w:sz="4" w:space="0" w:color="auto"/>
            </w:tcBorders>
            <w:shd w:val="pct50" w:color="000000" w:fill="auto"/>
            <w:hideMark/>
          </w:tcPr>
          <w:p w14:paraId="50D5364A"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1E90873B"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29A0ADD0"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auto" w:fill="auto"/>
            <w:hideMark/>
          </w:tcPr>
          <w:p w14:paraId="1438D410"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632C38EF"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329121D6"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04CBCFA2"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19E938DE"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23376D46"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2067DAFE"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4B48FD77"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4A30AB1A"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4820DB5D"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2F8C4D3D"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347BD775"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0E05631F"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0A1AD9" w:rsidRPr="00000F38" w14:paraId="1081C908" w14:textId="77777777" w:rsidTr="00342ED2">
        <w:trPr>
          <w:trHeight w:val="255"/>
        </w:trPr>
        <w:tc>
          <w:tcPr>
            <w:tcW w:w="158" w:type="pct"/>
            <w:tcBorders>
              <w:top w:val="nil"/>
              <w:left w:val="single" w:sz="4" w:space="0" w:color="auto"/>
              <w:bottom w:val="single" w:sz="4" w:space="0" w:color="auto"/>
              <w:right w:val="single" w:sz="4" w:space="0" w:color="auto"/>
            </w:tcBorders>
            <w:shd w:val="clear" w:color="000000" w:fill="F2F2F2"/>
            <w:hideMark/>
          </w:tcPr>
          <w:p w14:paraId="5E11293C"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5</w:t>
            </w:r>
          </w:p>
        </w:tc>
        <w:tc>
          <w:tcPr>
            <w:tcW w:w="450" w:type="pct"/>
            <w:tcBorders>
              <w:top w:val="nil"/>
              <w:left w:val="nil"/>
              <w:bottom w:val="single" w:sz="4" w:space="0" w:color="auto"/>
              <w:right w:val="single" w:sz="4" w:space="0" w:color="auto"/>
            </w:tcBorders>
            <w:shd w:val="clear" w:color="000000" w:fill="F2F2F2"/>
            <w:hideMark/>
          </w:tcPr>
          <w:p w14:paraId="5367C76D"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Phishing Simulation</w:t>
            </w:r>
          </w:p>
        </w:tc>
        <w:tc>
          <w:tcPr>
            <w:tcW w:w="296" w:type="pct"/>
            <w:tcBorders>
              <w:top w:val="nil"/>
              <w:left w:val="nil"/>
              <w:bottom w:val="single" w:sz="4" w:space="0" w:color="auto"/>
              <w:right w:val="single" w:sz="4" w:space="0" w:color="auto"/>
            </w:tcBorders>
            <w:shd w:val="pct50" w:color="000000" w:fill="F2F2F2"/>
            <w:hideMark/>
          </w:tcPr>
          <w:p w14:paraId="4F5A7843"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5CC4901C"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7BD95FFB"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5D4409E8"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163CEE83"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3A96DA47"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4840A298"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72AA8206"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124B1419"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654EB68E"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17BE5DA0"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7D1A7626"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7B338464"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026AE273"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597DFB77"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5124EC15"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r>
      <w:tr w:rsidR="000A1AD9" w:rsidRPr="00000F38" w14:paraId="37D9EC31" w14:textId="77777777" w:rsidTr="00342ED2">
        <w:trPr>
          <w:trHeight w:val="255"/>
        </w:trPr>
        <w:tc>
          <w:tcPr>
            <w:tcW w:w="158" w:type="pct"/>
            <w:tcBorders>
              <w:top w:val="nil"/>
              <w:left w:val="single" w:sz="4" w:space="0" w:color="auto"/>
              <w:bottom w:val="single" w:sz="4" w:space="0" w:color="auto"/>
              <w:right w:val="single" w:sz="4" w:space="0" w:color="auto"/>
            </w:tcBorders>
            <w:shd w:val="clear" w:color="auto" w:fill="auto"/>
            <w:hideMark/>
          </w:tcPr>
          <w:p w14:paraId="5E0A04DB"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50" w:type="pct"/>
            <w:tcBorders>
              <w:top w:val="nil"/>
              <w:left w:val="nil"/>
              <w:bottom w:val="single" w:sz="4" w:space="0" w:color="auto"/>
              <w:right w:val="single" w:sz="4" w:space="0" w:color="auto"/>
            </w:tcBorders>
            <w:shd w:val="clear" w:color="auto" w:fill="auto"/>
            <w:hideMark/>
          </w:tcPr>
          <w:p w14:paraId="4169344E"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AMC</w:t>
            </w:r>
          </w:p>
        </w:tc>
        <w:tc>
          <w:tcPr>
            <w:tcW w:w="296" w:type="pct"/>
            <w:tcBorders>
              <w:top w:val="nil"/>
              <w:left w:val="nil"/>
              <w:bottom w:val="single" w:sz="4" w:space="0" w:color="auto"/>
              <w:right w:val="single" w:sz="4" w:space="0" w:color="auto"/>
            </w:tcBorders>
            <w:shd w:val="pct50" w:color="000000" w:fill="auto"/>
            <w:hideMark/>
          </w:tcPr>
          <w:p w14:paraId="7C0859A4"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6763E974"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7EFFF129"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pct50" w:color="000000" w:fill="auto"/>
            <w:hideMark/>
          </w:tcPr>
          <w:p w14:paraId="3BD3B2EC"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4383D97B"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343B240B"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pct50" w:color="000000" w:fill="auto"/>
            <w:hideMark/>
          </w:tcPr>
          <w:p w14:paraId="5BE28419"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1BF2A593"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46C6C0DC"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auto" w:fill="auto"/>
            <w:hideMark/>
          </w:tcPr>
          <w:p w14:paraId="51E18433"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53996EEB"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404117C5"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1C39B7B6"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6D497E1B"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3777CC78"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09EBD869"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0A1AD9" w:rsidRPr="00000F38" w14:paraId="125BF313" w14:textId="77777777" w:rsidTr="00342ED2">
        <w:trPr>
          <w:trHeight w:val="255"/>
        </w:trPr>
        <w:tc>
          <w:tcPr>
            <w:tcW w:w="158" w:type="pct"/>
            <w:tcBorders>
              <w:top w:val="nil"/>
              <w:left w:val="single" w:sz="4" w:space="0" w:color="auto"/>
              <w:bottom w:val="single" w:sz="4" w:space="0" w:color="auto"/>
              <w:right w:val="single" w:sz="4" w:space="0" w:color="auto"/>
            </w:tcBorders>
            <w:shd w:val="clear" w:color="auto" w:fill="auto"/>
            <w:hideMark/>
          </w:tcPr>
          <w:p w14:paraId="3E46E88C"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50" w:type="pct"/>
            <w:tcBorders>
              <w:top w:val="nil"/>
              <w:left w:val="nil"/>
              <w:bottom w:val="single" w:sz="4" w:space="0" w:color="auto"/>
              <w:right w:val="single" w:sz="4" w:space="0" w:color="auto"/>
            </w:tcBorders>
            <w:shd w:val="clear" w:color="auto" w:fill="auto"/>
            <w:hideMark/>
          </w:tcPr>
          <w:p w14:paraId="4154070B"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ATS</w:t>
            </w:r>
          </w:p>
        </w:tc>
        <w:tc>
          <w:tcPr>
            <w:tcW w:w="296" w:type="pct"/>
            <w:tcBorders>
              <w:top w:val="nil"/>
              <w:left w:val="nil"/>
              <w:bottom w:val="single" w:sz="4" w:space="0" w:color="auto"/>
              <w:right w:val="single" w:sz="4" w:space="0" w:color="auto"/>
            </w:tcBorders>
            <w:shd w:val="pct50" w:color="000000" w:fill="auto"/>
            <w:hideMark/>
          </w:tcPr>
          <w:p w14:paraId="4F9F1613"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251EB204"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25A01880"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auto" w:fill="auto"/>
            <w:hideMark/>
          </w:tcPr>
          <w:p w14:paraId="09D8A033"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568672C2"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7EED5916"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727F8E4F"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22836D81"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270CAAA2"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2BFAC83E"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4EE0BFA0"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1F243372"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4AD6597B"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1C339EF3"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03658CE6"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69DB0501"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0A1AD9" w:rsidRPr="00000F38" w14:paraId="4A9C859E" w14:textId="77777777" w:rsidTr="00342ED2">
        <w:trPr>
          <w:trHeight w:val="255"/>
        </w:trPr>
        <w:tc>
          <w:tcPr>
            <w:tcW w:w="158" w:type="pct"/>
            <w:tcBorders>
              <w:top w:val="nil"/>
              <w:left w:val="single" w:sz="4" w:space="0" w:color="auto"/>
              <w:bottom w:val="single" w:sz="4" w:space="0" w:color="auto"/>
              <w:right w:val="single" w:sz="4" w:space="0" w:color="auto"/>
            </w:tcBorders>
            <w:shd w:val="clear" w:color="000000" w:fill="F2F2F2"/>
            <w:hideMark/>
          </w:tcPr>
          <w:p w14:paraId="6C88CF1B"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6</w:t>
            </w:r>
          </w:p>
        </w:tc>
        <w:tc>
          <w:tcPr>
            <w:tcW w:w="450" w:type="pct"/>
            <w:tcBorders>
              <w:top w:val="nil"/>
              <w:left w:val="nil"/>
              <w:bottom w:val="single" w:sz="4" w:space="0" w:color="auto"/>
              <w:right w:val="single" w:sz="4" w:space="0" w:color="auto"/>
            </w:tcBorders>
            <w:shd w:val="clear" w:color="000000" w:fill="F2F2F2"/>
            <w:hideMark/>
          </w:tcPr>
          <w:p w14:paraId="577E2948"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AD Security</w:t>
            </w:r>
          </w:p>
        </w:tc>
        <w:tc>
          <w:tcPr>
            <w:tcW w:w="296" w:type="pct"/>
            <w:tcBorders>
              <w:top w:val="nil"/>
              <w:left w:val="nil"/>
              <w:bottom w:val="single" w:sz="4" w:space="0" w:color="auto"/>
              <w:right w:val="single" w:sz="4" w:space="0" w:color="auto"/>
            </w:tcBorders>
            <w:shd w:val="pct50" w:color="000000" w:fill="F2F2F2"/>
            <w:hideMark/>
          </w:tcPr>
          <w:p w14:paraId="1E028D58"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62F528CE"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722B5DBF"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04B84C58"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2D558B6F"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45D2F565"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491CF5E3"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7711E944"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052ED3D0"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70807AA6"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0BEE12F7"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475A4D7F"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6E5BCAB7"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527CB68E"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15744AF8"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296CB65B"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r>
      <w:tr w:rsidR="000A1AD9" w:rsidRPr="00000F38" w14:paraId="13BA99DC" w14:textId="77777777" w:rsidTr="00342ED2">
        <w:trPr>
          <w:trHeight w:val="255"/>
        </w:trPr>
        <w:tc>
          <w:tcPr>
            <w:tcW w:w="158" w:type="pct"/>
            <w:tcBorders>
              <w:top w:val="nil"/>
              <w:left w:val="single" w:sz="4" w:space="0" w:color="auto"/>
              <w:bottom w:val="single" w:sz="4" w:space="0" w:color="auto"/>
              <w:right w:val="single" w:sz="4" w:space="0" w:color="auto"/>
            </w:tcBorders>
            <w:shd w:val="clear" w:color="auto" w:fill="auto"/>
            <w:hideMark/>
          </w:tcPr>
          <w:p w14:paraId="71BEDFF4"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50" w:type="pct"/>
            <w:tcBorders>
              <w:top w:val="nil"/>
              <w:left w:val="nil"/>
              <w:bottom w:val="single" w:sz="4" w:space="0" w:color="auto"/>
              <w:right w:val="single" w:sz="4" w:space="0" w:color="auto"/>
            </w:tcBorders>
            <w:shd w:val="clear" w:color="auto" w:fill="auto"/>
            <w:hideMark/>
          </w:tcPr>
          <w:p w14:paraId="42A28083"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AMC</w:t>
            </w:r>
          </w:p>
        </w:tc>
        <w:tc>
          <w:tcPr>
            <w:tcW w:w="296" w:type="pct"/>
            <w:tcBorders>
              <w:top w:val="nil"/>
              <w:left w:val="nil"/>
              <w:bottom w:val="single" w:sz="4" w:space="0" w:color="auto"/>
              <w:right w:val="single" w:sz="4" w:space="0" w:color="auto"/>
            </w:tcBorders>
            <w:shd w:val="pct50" w:color="000000" w:fill="auto"/>
            <w:hideMark/>
          </w:tcPr>
          <w:p w14:paraId="6F28F894"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11D5418D"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3D407465"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pct50" w:color="000000" w:fill="auto"/>
            <w:hideMark/>
          </w:tcPr>
          <w:p w14:paraId="6CBE2D0B"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56D2DD7B"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72879378"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pct50" w:color="000000" w:fill="auto"/>
            <w:hideMark/>
          </w:tcPr>
          <w:p w14:paraId="56314FFD"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3CD67E3E"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0BB5E87E"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auto" w:fill="auto"/>
            <w:hideMark/>
          </w:tcPr>
          <w:p w14:paraId="5CA4E6B0"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3D32E1A1"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6406A258"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6D8F0765"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231BB072"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784CB78A"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322A16D4"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0A1AD9" w:rsidRPr="00000F38" w14:paraId="7D1847D2" w14:textId="77777777" w:rsidTr="00342ED2">
        <w:trPr>
          <w:trHeight w:val="255"/>
        </w:trPr>
        <w:tc>
          <w:tcPr>
            <w:tcW w:w="158" w:type="pct"/>
            <w:tcBorders>
              <w:top w:val="nil"/>
              <w:left w:val="single" w:sz="4" w:space="0" w:color="auto"/>
              <w:bottom w:val="single" w:sz="4" w:space="0" w:color="auto"/>
              <w:right w:val="single" w:sz="4" w:space="0" w:color="auto"/>
            </w:tcBorders>
            <w:shd w:val="clear" w:color="auto" w:fill="auto"/>
            <w:hideMark/>
          </w:tcPr>
          <w:p w14:paraId="78AD5466"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50" w:type="pct"/>
            <w:tcBorders>
              <w:top w:val="nil"/>
              <w:left w:val="nil"/>
              <w:bottom w:val="single" w:sz="4" w:space="0" w:color="auto"/>
              <w:right w:val="single" w:sz="4" w:space="0" w:color="auto"/>
            </w:tcBorders>
            <w:shd w:val="clear" w:color="auto" w:fill="auto"/>
            <w:hideMark/>
          </w:tcPr>
          <w:p w14:paraId="2C8BD833"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ATS</w:t>
            </w:r>
          </w:p>
        </w:tc>
        <w:tc>
          <w:tcPr>
            <w:tcW w:w="296" w:type="pct"/>
            <w:tcBorders>
              <w:top w:val="nil"/>
              <w:left w:val="nil"/>
              <w:bottom w:val="single" w:sz="4" w:space="0" w:color="auto"/>
              <w:right w:val="single" w:sz="4" w:space="0" w:color="auto"/>
            </w:tcBorders>
            <w:shd w:val="pct50" w:color="000000" w:fill="auto"/>
            <w:hideMark/>
          </w:tcPr>
          <w:p w14:paraId="0BF1DBD8"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588BB39A"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0275F563"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auto" w:fill="auto"/>
            <w:hideMark/>
          </w:tcPr>
          <w:p w14:paraId="025393A9"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5B5472D1"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51C5A425"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26370B0A"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28AF522E"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68F0767D"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6BFE9A0F"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21692CEF"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5AED8D7C"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6659C4E2"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1CE2EF17"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48FB08CA"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618D1981"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0A1AD9" w:rsidRPr="00000F38" w14:paraId="1EDA4595" w14:textId="77777777" w:rsidTr="00342ED2">
        <w:trPr>
          <w:trHeight w:val="255"/>
        </w:trPr>
        <w:tc>
          <w:tcPr>
            <w:tcW w:w="158" w:type="pct"/>
            <w:tcBorders>
              <w:top w:val="nil"/>
              <w:left w:val="single" w:sz="4" w:space="0" w:color="auto"/>
              <w:bottom w:val="single" w:sz="4" w:space="0" w:color="auto"/>
              <w:right w:val="single" w:sz="4" w:space="0" w:color="auto"/>
            </w:tcBorders>
            <w:shd w:val="clear" w:color="000000" w:fill="F2F2F2"/>
            <w:hideMark/>
          </w:tcPr>
          <w:p w14:paraId="27883AF4"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7</w:t>
            </w:r>
          </w:p>
        </w:tc>
        <w:tc>
          <w:tcPr>
            <w:tcW w:w="450" w:type="pct"/>
            <w:tcBorders>
              <w:top w:val="nil"/>
              <w:left w:val="nil"/>
              <w:bottom w:val="single" w:sz="4" w:space="0" w:color="auto"/>
              <w:right w:val="single" w:sz="4" w:space="0" w:color="auto"/>
            </w:tcBorders>
            <w:shd w:val="clear" w:color="000000" w:fill="F2F2F2"/>
            <w:hideMark/>
          </w:tcPr>
          <w:p w14:paraId="304A5944"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Governance, Risk and Compliance</w:t>
            </w:r>
          </w:p>
        </w:tc>
        <w:tc>
          <w:tcPr>
            <w:tcW w:w="296" w:type="pct"/>
            <w:tcBorders>
              <w:top w:val="nil"/>
              <w:left w:val="nil"/>
              <w:bottom w:val="single" w:sz="4" w:space="0" w:color="auto"/>
              <w:right w:val="single" w:sz="4" w:space="0" w:color="auto"/>
            </w:tcBorders>
            <w:shd w:val="pct50" w:color="000000" w:fill="F2F2F2"/>
            <w:hideMark/>
          </w:tcPr>
          <w:p w14:paraId="2F4F4924"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0FB5AFD7"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482782B4"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2ECE04B0"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3096B0DA"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200B57AA"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6E2EDEA2"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171FF0CE"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3F65BD5E"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3D1E9145"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58B7E0E7"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213BD9C8"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101E9BA9"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0146593F"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02DA77DE"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1235390C"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r>
      <w:tr w:rsidR="000A1AD9" w:rsidRPr="00000F38" w14:paraId="221ADBFF" w14:textId="77777777" w:rsidTr="00342ED2">
        <w:trPr>
          <w:trHeight w:val="255"/>
        </w:trPr>
        <w:tc>
          <w:tcPr>
            <w:tcW w:w="158" w:type="pct"/>
            <w:tcBorders>
              <w:top w:val="nil"/>
              <w:left w:val="single" w:sz="4" w:space="0" w:color="auto"/>
              <w:bottom w:val="single" w:sz="4" w:space="0" w:color="auto"/>
              <w:right w:val="single" w:sz="4" w:space="0" w:color="auto"/>
            </w:tcBorders>
            <w:shd w:val="clear" w:color="auto" w:fill="auto"/>
            <w:hideMark/>
          </w:tcPr>
          <w:p w14:paraId="36AC2382"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50" w:type="pct"/>
            <w:tcBorders>
              <w:top w:val="nil"/>
              <w:left w:val="nil"/>
              <w:bottom w:val="single" w:sz="4" w:space="0" w:color="auto"/>
              <w:right w:val="single" w:sz="4" w:space="0" w:color="auto"/>
            </w:tcBorders>
            <w:shd w:val="clear" w:color="auto" w:fill="auto"/>
            <w:hideMark/>
          </w:tcPr>
          <w:p w14:paraId="04DB012B"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AMC</w:t>
            </w:r>
          </w:p>
        </w:tc>
        <w:tc>
          <w:tcPr>
            <w:tcW w:w="296" w:type="pct"/>
            <w:tcBorders>
              <w:top w:val="nil"/>
              <w:left w:val="nil"/>
              <w:bottom w:val="single" w:sz="4" w:space="0" w:color="auto"/>
              <w:right w:val="single" w:sz="4" w:space="0" w:color="auto"/>
            </w:tcBorders>
            <w:shd w:val="pct50" w:color="000000" w:fill="auto"/>
            <w:hideMark/>
          </w:tcPr>
          <w:p w14:paraId="60C87CA0"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0661F433"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76E1F57B"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pct50" w:color="000000" w:fill="auto"/>
            <w:hideMark/>
          </w:tcPr>
          <w:p w14:paraId="55936F49"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14212A40"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575E8DD9"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pct50" w:color="000000" w:fill="auto"/>
            <w:hideMark/>
          </w:tcPr>
          <w:p w14:paraId="6174AB4D"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53DC9146"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4FBDFE46"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auto" w:fill="auto"/>
            <w:hideMark/>
          </w:tcPr>
          <w:p w14:paraId="46D0A716"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4DA6C0CC"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113F28BB"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3F0A4083"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0759AC5F"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163676A1"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4271C838"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0A1AD9" w:rsidRPr="00000F38" w14:paraId="1B588F94" w14:textId="77777777" w:rsidTr="00342ED2">
        <w:trPr>
          <w:trHeight w:val="255"/>
        </w:trPr>
        <w:tc>
          <w:tcPr>
            <w:tcW w:w="158" w:type="pct"/>
            <w:tcBorders>
              <w:top w:val="nil"/>
              <w:left w:val="single" w:sz="4" w:space="0" w:color="auto"/>
              <w:bottom w:val="single" w:sz="4" w:space="0" w:color="auto"/>
              <w:right w:val="single" w:sz="4" w:space="0" w:color="auto"/>
            </w:tcBorders>
            <w:shd w:val="clear" w:color="auto" w:fill="auto"/>
            <w:hideMark/>
          </w:tcPr>
          <w:p w14:paraId="7B767C55"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50" w:type="pct"/>
            <w:tcBorders>
              <w:top w:val="nil"/>
              <w:left w:val="nil"/>
              <w:bottom w:val="single" w:sz="4" w:space="0" w:color="auto"/>
              <w:right w:val="single" w:sz="4" w:space="0" w:color="auto"/>
            </w:tcBorders>
            <w:shd w:val="clear" w:color="auto" w:fill="auto"/>
            <w:hideMark/>
          </w:tcPr>
          <w:p w14:paraId="0B8CB9A6"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ATS</w:t>
            </w:r>
          </w:p>
        </w:tc>
        <w:tc>
          <w:tcPr>
            <w:tcW w:w="296" w:type="pct"/>
            <w:tcBorders>
              <w:top w:val="nil"/>
              <w:left w:val="nil"/>
              <w:bottom w:val="single" w:sz="4" w:space="0" w:color="auto"/>
              <w:right w:val="single" w:sz="4" w:space="0" w:color="auto"/>
            </w:tcBorders>
            <w:shd w:val="pct50" w:color="000000" w:fill="auto"/>
            <w:hideMark/>
          </w:tcPr>
          <w:p w14:paraId="30BAD705"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0AD799C2"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0C327122"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auto" w:fill="auto"/>
            <w:hideMark/>
          </w:tcPr>
          <w:p w14:paraId="062AEE09"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37FA8A17"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21905E63"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3A81C120"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1EDAB534"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476657CB"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3C42E0A9"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6CB18C08"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72560A89"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69DF1EE1"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2FB09A58"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251DFE6F"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0AB6A159"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0A1AD9" w:rsidRPr="00000F38" w14:paraId="509F45AD" w14:textId="77777777" w:rsidTr="00342ED2">
        <w:trPr>
          <w:trHeight w:val="255"/>
        </w:trPr>
        <w:tc>
          <w:tcPr>
            <w:tcW w:w="158" w:type="pct"/>
            <w:tcBorders>
              <w:top w:val="nil"/>
              <w:left w:val="single" w:sz="4" w:space="0" w:color="auto"/>
              <w:bottom w:val="single" w:sz="4" w:space="0" w:color="auto"/>
              <w:right w:val="single" w:sz="4" w:space="0" w:color="auto"/>
            </w:tcBorders>
            <w:shd w:val="clear" w:color="000000" w:fill="F2F2F2"/>
            <w:hideMark/>
          </w:tcPr>
          <w:p w14:paraId="2F88D5BE"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8</w:t>
            </w:r>
          </w:p>
        </w:tc>
        <w:tc>
          <w:tcPr>
            <w:tcW w:w="450" w:type="pct"/>
            <w:tcBorders>
              <w:top w:val="nil"/>
              <w:left w:val="nil"/>
              <w:bottom w:val="single" w:sz="4" w:space="0" w:color="auto"/>
              <w:right w:val="single" w:sz="4" w:space="0" w:color="auto"/>
            </w:tcBorders>
            <w:shd w:val="clear" w:color="000000" w:fill="F2F2F2"/>
            <w:hideMark/>
          </w:tcPr>
          <w:p w14:paraId="2F7C9D9C"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Decoy (Honeypot)</w:t>
            </w:r>
          </w:p>
        </w:tc>
        <w:tc>
          <w:tcPr>
            <w:tcW w:w="296" w:type="pct"/>
            <w:tcBorders>
              <w:top w:val="nil"/>
              <w:left w:val="nil"/>
              <w:bottom w:val="single" w:sz="4" w:space="0" w:color="auto"/>
              <w:right w:val="single" w:sz="4" w:space="0" w:color="auto"/>
            </w:tcBorders>
            <w:shd w:val="pct50" w:color="000000" w:fill="F2F2F2"/>
            <w:hideMark/>
          </w:tcPr>
          <w:p w14:paraId="5AB73D5E"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42BA14DE"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77BF5AB1"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03073489"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4677258A"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63E7FAB2"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55896E28"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1453D92A"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6FBED18F"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067A48B9"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1C4498BB"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0EA40844"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45DDD35F"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6A02C5F7"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07718880"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298E3BF7"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r>
      <w:tr w:rsidR="000A1AD9" w:rsidRPr="00000F38" w14:paraId="06E91B87" w14:textId="77777777" w:rsidTr="00342ED2">
        <w:trPr>
          <w:trHeight w:val="255"/>
        </w:trPr>
        <w:tc>
          <w:tcPr>
            <w:tcW w:w="158" w:type="pct"/>
            <w:tcBorders>
              <w:top w:val="nil"/>
              <w:left w:val="single" w:sz="4" w:space="0" w:color="auto"/>
              <w:bottom w:val="single" w:sz="4" w:space="0" w:color="auto"/>
              <w:right w:val="single" w:sz="4" w:space="0" w:color="auto"/>
            </w:tcBorders>
            <w:shd w:val="clear" w:color="auto" w:fill="auto"/>
            <w:hideMark/>
          </w:tcPr>
          <w:p w14:paraId="0940DA9D"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50" w:type="pct"/>
            <w:tcBorders>
              <w:top w:val="nil"/>
              <w:left w:val="nil"/>
              <w:bottom w:val="single" w:sz="4" w:space="0" w:color="auto"/>
              <w:right w:val="single" w:sz="4" w:space="0" w:color="auto"/>
            </w:tcBorders>
            <w:shd w:val="clear" w:color="auto" w:fill="auto"/>
            <w:hideMark/>
          </w:tcPr>
          <w:p w14:paraId="180F6792"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AMC</w:t>
            </w:r>
          </w:p>
        </w:tc>
        <w:tc>
          <w:tcPr>
            <w:tcW w:w="296" w:type="pct"/>
            <w:tcBorders>
              <w:top w:val="nil"/>
              <w:left w:val="nil"/>
              <w:bottom w:val="single" w:sz="4" w:space="0" w:color="auto"/>
              <w:right w:val="single" w:sz="4" w:space="0" w:color="auto"/>
            </w:tcBorders>
            <w:shd w:val="pct50" w:color="000000" w:fill="auto"/>
            <w:hideMark/>
          </w:tcPr>
          <w:p w14:paraId="2204F7CD"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33A329F2"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158D04C7"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pct50" w:color="000000" w:fill="auto"/>
            <w:hideMark/>
          </w:tcPr>
          <w:p w14:paraId="5DFD144B"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51005E75"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163486D9"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pct50" w:color="000000" w:fill="auto"/>
            <w:hideMark/>
          </w:tcPr>
          <w:p w14:paraId="7825EC39"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61E44C27"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0E4A6158"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auto" w:fill="auto"/>
            <w:hideMark/>
          </w:tcPr>
          <w:p w14:paraId="56851308"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4A37FE3C"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612125F4"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4FB9D988"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27DB12B8"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1A69EE4B"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6CE777BA"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0A1AD9" w:rsidRPr="00000F38" w14:paraId="7FB733B0" w14:textId="77777777" w:rsidTr="00342ED2">
        <w:trPr>
          <w:trHeight w:val="255"/>
        </w:trPr>
        <w:tc>
          <w:tcPr>
            <w:tcW w:w="158" w:type="pct"/>
            <w:tcBorders>
              <w:top w:val="nil"/>
              <w:left w:val="single" w:sz="4" w:space="0" w:color="auto"/>
              <w:bottom w:val="single" w:sz="4" w:space="0" w:color="auto"/>
              <w:right w:val="single" w:sz="4" w:space="0" w:color="auto"/>
            </w:tcBorders>
            <w:shd w:val="clear" w:color="auto" w:fill="auto"/>
            <w:hideMark/>
          </w:tcPr>
          <w:p w14:paraId="37D1AE62"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50" w:type="pct"/>
            <w:tcBorders>
              <w:top w:val="nil"/>
              <w:left w:val="nil"/>
              <w:bottom w:val="single" w:sz="4" w:space="0" w:color="auto"/>
              <w:right w:val="single" w:sz="4" w:space="0" w:color="auto"/>
            </w:tcBorders>
            <w:shd w:val="clear" w:color="auto" w:fill="auto"/>
            <w:hideMark/>
          </w:tcPr>
          <w:p w14:paraId="021BC31E"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ATS</w:t>
            </w:r>
          </w:p>
        </w:tc>
        <w:tc>
          <w:tcPr>
            <w:tcW w:w="296" w:type="pct"/>
            <w:tcBorders>
              <w:top w:val="nil"/>
              <w:left w:val="nil"/>
              <w:bottom w:val="single" w:sz="4" w:space="0" w:color="auto"/>
              <w:right w:val="single" w:sz="4" w:space="0" w:color="auto"/>
            </w:tcBorders>
            <w:shd w:val="pct50" w:color="000000" w:fill="auto"/>
            <w:hideMark/>
          </w:tcPr>
          <w:p w14:paraId="7E18FD62"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1FBD8E3E"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4606B1D2"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auto" w:fill="auto"/>
            <w:hideMark/>
          </w:tcPr>
          <w:p w14:paraId="09E0A234"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09BB615D"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7492D04C"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3F4DF78F"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2D1EFDD8"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18FD1998"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40CB92B1"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5CC76C29"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698D5542"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6E0CA22F"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75B6E3C6"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044D2921"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1F2F96C1"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0A1AD9" w:rsidRPr="00000F38" w14:paraId="08F77512" w14:textId="77777777" w:rsidTr="00342ED2">
        <w:trPr>
          <w:trHeight w:val="255"/>
        </w:trPr>
        <w:tc>
          <w:tcPr>
            <w:tcW w:w="158" w:type="pct"/>
            <w:tcBorders>
              <w:top w:val="nil"/>
              <w:left w:val="single" w:sz="4" w:space="0" w:color="auto"/>
              <w:bottom w:val="single" w:sz="4" w:space="0" w:color="auto"/>
              <w:right w:val="single" w:sz="4" w:space="0" w:color="auto"/>
            </w:tcBorders>
            <w:shd w:val="clear" w:color="000000" w:fill="F2F2F2"/>
            <w:hideMark/>
          </w:tcPr>
          <w:p w14:paraId="3246F561"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9</w:t>
            </w:r>
          </w:p>
        </w:tc>
        <w:tc>
          <w:tcPr>
            <w:tcW w:w="450" w:type="pct"/>
            <w:tcBorders>
              <w:top w:val="nil"/>
              <w:left w:val="nil"/>
              <w:bottom w:val="single" w:sz="4" w:space="0" w:color="auto"/>
              <w:right w:val="single" w:sz="4" w:space="0" w:color="auto"/>
            </w:tcBorders>
            <w:shd w:val="clear" w:color="000000" w:fill="F2F2F2"/>
            <w:hideMark/>
          </w:tcPr>
          <w:p w14:paraId="67404940"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Mobile Device Management</w:t>
            </w:r>
          </w:p>
        </w:tc>
        <w:tc>
          <w:tcPr>
            <w:tcW w:w="296" w:type="pct"/>
            <w:tcBorders>
              <w:top w:val="nil"/>
              <w:left w:val="nil"/>
              <w:bottom w:val="single" w:sz="4" w:space="0" w:color="auto"/>
              <w:right w:val="single" w:sz="4" w:space="0" w:color="auto"/>
            </w:tcBorders>
            <w:shd w:val="pct50" w:color="000000" w:fill="F2F2F2"/>
            <w:hideMark/>
          </w:tcPr>
          <w:p w14:paraId="2847133D"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49B9CFB8"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7862A766"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7BBCE0EC"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180DBB18"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61CF36D9"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65780656"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4897F379"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086447D2"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0A23F51F"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207F51B9"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4F6EE72B"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6CA748F7"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68A71E98"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6E4D9897"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31E3BDDC"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r>
      <w:tr w:rsidR="000A1AD9" w:rsidRPr="00000F38" w14:paraId="3196D7EB" w14:textId="77777777" w:rsidTr="00342ED2">
        <w:trPr>
          <w:trHeight w:val="255"/>
        </w:trPr>
        <w:tc>
          <w:tcPr>
            <w:tcW w:w="158" w:type="pct"/>
            <w:tcBorders>
              <w:top w:val="nil"/>
              <w:left w:val="single" w:sz="4" w:space="0" w:color="auto"/>
              <w:bottom w:val="single" w:sz="4" w:space="0" w:color="auto"/>
              <w:right w:val="single" w:sz="4" w:space="0" w:color="auto"/>
            </w:tcBorders>
            <w:shd w:val="clear" w:color="auto" w:fill="auto"/>
            <w:hideMark/>
          </w:tcPr>
          <w:p w14:paraId="1852E658"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50" w:type="pct"/>
            <w:tcBorders>
              <w:top w:val="nil"/>
              <w:left w:val="nil"/>
              <w:bottom w:val="single" w:sz="4" w:space="0" w:color="auto"/>
              <w:right w:val="single" w:sz="4" w:space="0" w:color="auto"/>
            </w:tcBorders>
            <w:shd w:val="clear" w:color="auto" w:fill="auto"/>
            <w:hideMark/>
          </w:tcPr>
          <w:p w14:paraId="3F5B774A"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AMC</w:t>
            </w:r>
          </w:p>
        </w:tc>
        <w:tc>
          <w:tcPr>
            <w:tcW w:w="296" w:type="pct"/>
            <w:tcBorders>
              <w:top w:val="nil"/>
              <w:left w:val="nil"/>
              <w:bottom w:val="single" w:sz="4" w:space="0" w:color="auto"/>
              <w:right w:val="single" w:sz="4" w:space="0" w:color="auto"/>
            </w:tcBorders>
            <w:shd w:val="pct50" w:color="000000" w:fill="auto"/>
            <w:hideMark/>
          </w:tcPr>
          <w:p w14:paraId="32FC2A00"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0EE40CDB"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5DCDF2A4"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pct50" w:color="000000" w:fill="auto"/>
            <w:hideMark/>
          </w:tcPr>
          <w:p w14:paraId="40E2698D"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48F8163F"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707A486C"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pct50" w:color="000000" w:fill="auto"/>
            <w:hideMark/>
          </w:tcPr>
          <w:p w14:paraId="1E3959C3"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19355181"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2D84762A"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auto" w:fill="auto"/>
            <w:hideMark/>
          </w:tcPr>
          <w:p w14:paraId="4DB5FADB"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596575FA"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246BF088"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5BF75CC8"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3BAF5A85"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51306F71"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4A3014B2"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0A1AD9" w:rsidRPr="00000F38" w14:paraId="5A192933" w14:textId="77777777" w:rsidTr="00342ED2">
        <w:trPr>
          <w:trHeight w:val="255"/>
        </w:trPr>
        <w:tc>
          <w:tcPr>
            <w:tcW w:w="158" w:type="pct"/>
            <w:tcBorders>
              <w:top w:val="nil"/>
              <w:left w:val="single" w:sz="4" w:space="0" w:color="auto"/>
              <w:bottom w:val="single" w:sz="4" w:space="0" w:color="auto"/>
              <w:right w:val="single" w:sz="4" w:space="0" w:color="auto"/>
            </w:tcBorders>
            <w:shd w:val="clear" w:color="auto" w:fill="auto"/>
            <w:hideMark/>
          </w:tcPr>
          <w:p w14:paraId="02E61164"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50" w:type="pct"/>
            <w:tcBorders>
              <w:top w:val="nil"/>
              <w:left w:val="nil"/>
              <w:bottom w:val="single" w:sz="4" w:space="0" w:color="auto"/>
              <w:right w:val="single" w:sz="4" w:space="0" w:color="auto"/>
            </w:tcBorders>
            <w:shd w:val="clear" w:color="auto" w:fill="auto"/>
            <w:hideMark/>
          </w:tcPr>
          <w:p w14:paraId="4F35D396"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ATS</w:t>
            </w:r>
          </w:p>
        </w:tc>
        <w:tc>
          <w:tcPr>
            <w:tcW w:w="296" w:type="pct"/>
            <w:tcBorders>
              <w:top w:val="nil"/>
              <w:left w:val="nil"/>
              <w:bottom w:val="single" w:sz="4" w:space="0" w:color="auto"/>
              <w:right w:val="single" w:sz="4" w:space="0" w:color="auto"/>
            </w:tcBorders>
            <w:shd w:val="pct50" w:color="000000" w:fill="auto"/>
            <w:hideMark/>
          </w:tcPr>
          <w:p w14:paraId="5F030C6A"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13003712"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0A4D6AFC"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auto" w:fill="auto"/>
            <w:hideMark/>
          </w:tcPr>
          <w:p w14:paraId="570DF6EC"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4DC6B079"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5A6CEBA5"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1F99030B"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4C167844"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1510962F"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385E3582"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11378B0E"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1ADE4EDC"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5D841F4B"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30B16420"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205AFE56"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5DDBF37F"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0A1AD9" w:rsidRPr="00000F38" w14:paraId="57243FAC" w14:textId="77777777" w:rsidTr="00342ED2">
        <w:trPr>
          <w:trHeight w:val="255"/>
        </w:trPr>
        <w:tc>
          <w:tcPr>
            <w:tcW w:w="158" w:type="pct"/>
            <w:tcBorders>
              <w:top w:val="nil"/>
              <w:left w:val="single" w:sz="4" w:space="0" w:color="auto"/>
              <w:bottom w:val="single" w:sz="4" w:space="0" w:color="auto"/>
              <w:right w:val="single" w:sz="4" w:space="0" w:color="auto"/>
            </w:tcBorders>
            <w:shd w:val="clear" w:color="000000" w:fill="F2F2F2"/>
            <w:hideMark/>
          </w:tcPr>
          <w:p w14:paraId="124E701B"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10</w:t>
            </w:r>
          </w:p>
        </w:tc>
        <w:tc>
          <w:tcPr>
            <w:tcW w:w="450" w:type="pct"/>
            <w:tcBorders>
              <w:top w:val="nil"/>
              <w:left w:val="nil"/>
              <w:bottom w:val="single" w:sz="4" w:space="0" w:color="auto"/>
              <w:right w:val="single" w:sz="4" w:space="0" w:color="auto"/>
            </w:tcBorders>
            <w:shd w:val="clear" w:color="000000" w:fill="F2F2F2"/>
            <w:hideMark/>
          </w:tcPr>
          <w:p w14:paraId="662F88D5"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xml:space="preserve">Secure Data </w:t>
            </w:r>
            <w:r w:rsidRPr="00000F38">
              <w:rPr>
                <w:rFonts w:eastAsia="Times New Roman" w:cstheme="minorHAnsi"/>
                <w:b/>
                <w:bCs/>
                <w:color w:val="000000"/>
                <w:lang w:val="en-GB" w:eastAsia="en-GB"/>
              </w:rPr>
              <w:lastRenderedPageBreak/>
              <w:t>Backup and Recovery</w:t>
            </w:r>
          </w:p>
        </w:tc>
        <w:tc>
          <w:tcPr>
            <w:tcW w:w="296" w:type="pct"/>
            <w:tcBorders>
              <w:top w:val="nil"/>
              <w:left w:val="nil"/>
              <w:bottom w:val="single" w:sz="4" w:space="0" w:color="auto"/>
              <w:right w:val="single" w:sz="4" w:space="0" w:color="auto"/>
            </w:tcBorders>
            <w:shd w:val="pct50" w:color="000000" w:fill="F2F2F2"/>
            <w:hideMark/>
          </w:tcPr>
          <w:p w14:paraId="48A14917"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lastRenderedPageBreak/>
              <w:t> </w:t>
            </w:r>
          </w:p>
        </w:tc>
        <w:tc>
          <w:tcPr>
            <w:tcW w:w="219" w:type="pct"/>
            <w:tcBorders>
              <w:top w:val="nil"/>
              <w:left w:val="nil"/>
              <w:bottom w:val="single" w:sz="4" w:space="0" w:color="auto"/>
              <w:right w:val="single" w:sz="4" w:space="0" w:color="auto"/>
            </w:tcBorders>
            <w:shd w:val="pct50" w:color="000000" w:fill="F2F2F2"/>
            <w:hideMark/>
          </w:tcPr>
          <w:p w14:paraId="6E7DDEE7"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6DDD452B"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5CB36932"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69D796A0"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0EBA74CF"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221FE645"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3CD199F7"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500C7BB6"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09F2CCF0"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42ACC22B"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78A1C130"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707D38E8"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0EFD20D5"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1FE14B4C"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211253C4"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r>
      <w:tr w:rsidR="000A1AD9" w:rsidRPr="00000F38" w14:paraId="1E43676E" w14:textId="77777777" w:rsidTr="00342ED2">
        <w:trPr>
          <w:trHeight w:val="255"/>
        </w:trPr>
        <w:tc>
          <w:tcPr>
            <w:tcW w:w="158" w:type="pct"/>
            <w:tcBorders>
              <w:top w:val="nil"/>
              <w:left w:val="single" w:sz="4" w:space="0" w:color="auto"/>
              <w:bottom w:val="single" w:sz="4" w:space="0" w:color="auto"/>
              <w:right w:val="single" w:sz="4" w:space="0" w:color="auto"/>
            </w:tcBorders>
            <w:shd w:val="clear" w:color="auto" w:fill="auto"/>
            <w:hideMark/>
          </w:tcPr>
          <w:p w14:paraId="24AB8F8A"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50" w:type="pct"/>
            <w:tcBorders>
              <w:top w:val="nil"/>
              <w:left w:val="nil"/>
              <w:bottom w:val="single" w:sz="4" w:space="0" w:color="auto"/>
              <w:right w:val="single" w:sz="4" w:space="0" w:color="auto"/>
            </w:tcBorders>
            <w:shd w:val="clear" w:color="auto" w:fill="auto"/>
            <w:hideMark/>
          </w:tcPr>
          <w:p w14:paraId="64AE63BE"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AMC</w:t>
            </w:r>
          </w:p>
        </w:tc>
        <w:tc>
          <w:tcPr>
            <w:tcW w:w="296" w:type="pct"/>
            <w:tcBorders>
              <w:top w:val="nil"/>
              <w:left w:val="nil"/>
              <w:bottom w:val="single" w:sz="4" w:space="0" w:color="auto"/>
              <w:right w:val="single" w:sz="4" w:space="0" w:color="auto"/>
            </w:tcBorders>
            <w:shd w:val="pct50" w:color="000000" w:fill="auto"/>
            <w:hideMark/>
          </w:tcPr>
          <w:p w14:paraId="11355C39"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471FB546"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267A0B9C"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pct50" w:color="000000" w:fill="auto"/>
            <w:hideMark/>
          </w:tcPr>
          <w:p w14:paraId="331C1698"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579BA487"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0903AAAF"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pct50" w:color="000000" w:fill="auto"/>
            <w:hideMark/>
          </w:tcPr>
          <w:p w14:paraId="6CB7B4AB"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5E9AEDB2"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789D9CF4"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auto" w:fill="auto"/>
            <w:hideMark/>
          </w:tcPr>
          <w:p w14:paraId="519B2DEE"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493DF5E0"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690E7A39"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6B73D377"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5584789C"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5613E697"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54821A9A"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0A1AD9" w:rsidRPr="00000F38" w14:paraId="07DCC2BB" w14:textId="77777777" w:rsidTr="00342ED2">
        <w:trPr>
          <w:trHeight w:val="255"/>
        </w:trPr>
        <w:tc>
          <w:tcPr>
            <w:tcW w:w="158" w:type="pct"/>
            <w:tcBorders>
              <w:top w:val="nil"/>
              <w:left w:val="single" w:sz="4" w:space="0" w:color="auto"/>
              <w:bottom w:val="single" w:sz="4" w:space="0" w:color="auto"/>
              <w:right w:val="single" w:sz="4" w:space="0" w:color="auto"/>
            </w:tcBorders>
            <w:shd w:val="clear" w:color="auto" w:fill="auto"/>
            <w:hideMark/>
          </w:tcPr>
          <w:p w14:paraId="1AE3A681"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50" w:type="pct"/>
            <w:tcBorders>
              <w:top w:val="nil"/>
              <w:left w:val="nil"/>
              <w:bottom w:val="single" w:sz="4" w:space="0" w:color="auto"/>
              <w:right w:val="single" w:sz="4" w:space="0" w:color="auto"/>
            </w:tcBorders>
            <w:shd w:val="clear" w:color="auto" w:fill="auto"/>
            <w:hideMark/>
          </w:tcPr>
          <w:p w14:paraId="2A77578A"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ATS</w:t>
            </w:r>
          </w:p>
        </w:tc>
        <w:tc>
          <w:tcPr>
            <w:tcW w:w="296" w:type="pct"/>
            <w:tcBorders>
              <w:top w:val="nil"/>
              <w:left w:val="nil"/>
              <w:bottom w:val="single" w:sz="4" w:space="0" w:color="auto"/>
              <w:right w:val="single" w:sz="4" w:space="0" w:color="auto"/>
            </w:tcBorders>
            <w:shd w:val="pct50" w:color="000000" w:fill="auto"/>
            <w:hideMark/>
          </w:tcPr>
          <w:p w14:paraId="3F661735"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4A95306F"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586FE68B"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auto" w:fill="auto"/>
            <w:hideMark/>
          </w:tcPr>
          <w:p w14:paraId="57EC42A1"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1DC4F60E"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28202937"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74D9EA4F"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66FED5E7"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5960ECD6"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766AB97C"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775AD1E4"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7232FDCE"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293FA9EB"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0A666D5F"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167E968D"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11626C2D"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0A1AD9" w:rsidRPr="00000F38" w14:paraId="5342BAC6" w14:textId="77777777" w:rsidTr="00342ED2">
        <w:trPr>
          <w:trHeight w:val="255"/>
        </w:trPr>
        <w:tc>
          <w:tcPr>
            <w:tcW w:w="158" w:type="pct"/>
            <w:tcBorders>
              <w:top w:val="nil"/>
              <w:left w:val="single" w:sz="4" w:space="0" w:color="auto"/>
              <w:bottom w:val="single" w:sz="4" w:space="0" w:color="auto"/>
              <w:right w:val="single" w:sz="4" w:space="0" w:color="auto"/>
            </w:tcBorders>
            <w:shd w:val="clear" w:color="000000" w:fill="F2F2F2"/>
            <w:hideMark/>
          </w:tcPr>
          <w:p w14:paraId="3B27453E"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11</w:t>
            </w:r>
          </w:p>
        </w:tc>
        <w:tc>
          <w:tcPr>
            <w:tcW w:w="450" w:type="pct"/>
            <w:tcBorders>
              <w:top w:val="nil"/>
              <w:left w:val="nil"/>
              <w:bottom w:val="single" w:sz="4" w:space="0" w:color="auto"/>
              <w:right w:val="single" w:sz="4" w:space="0" w:color="auto"/>
            </w:tcBorders>
            <w:shd w:val="clear" w:color="000000" w:fill="F2F2F2"/>
            <w:hideMark/>
          </w:tcPr>
          <w:p w14:paraId="6C983609"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Network Access Control (NAC)</w:t>
            </w:r>
          </w:p>
        </w:tc>
        <w:tc>
          <w:tcPr>
            <w:tcW w:w="296" w:type="pct"/>
            <w:tcBorders>
              <w:top w:val="nil"/>
              <w:left w:val="nil"/>
              <w:bottom w:val="single" w:sz="4" w:space="0" w:color="auto"/>
              <w:right w:val="single" w:sz="4" w:space="0" w:color="auto"/>
            </w:tcBorders>
            <w:shd w:val="pct50" w:color="000000" w:fill="F2F2F2"/>
            <w:hideMark/>
          </w:tcPr>
          <w:p w14:paraId="265DE14C"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7A98D4FB"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542FA01C"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421E46FC"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1E961235"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7E453ADD"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40F038A8"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5ABA4EFC"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3874FE1A"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7B44FC24"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2089E2F9"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64D52187"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5F742549"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05C75B48"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4C059300"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0CE54989"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r>
      <w:tr w:rsidR="000A1AD9" w:rsidRPr="00000F38" w14:paraId="39F66225" w14:textId="77777777" w:rsidTr="00342ED2">
        <w:trPr>
          <w:trHeight w:val="255"/>
        </w:trPr>
        <w:tc>
          <w:tcPr>
            <w:tcW w:w="158" w:type="pct"/>
            <w:tcBorders>
              <w:top w:val="nil"/>
              <w:left w:val="single" w:sz="4" w:space="0" w:color="auto"/>
              <w:bottom w:val="single" w:sz="4" w:space="0" w:color="auto"/>
              <w:right w:val="single" w:sz="4" w:space="0" w:color="auto"/>
            </w:tcBorders>
            <w:shd w:val="clear" w:color="auto" w:fill="auto"/>
            <w:hideMark/>
          </w:tcPr>
          <w:p w14:paraId="42042C00"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50" w:type="pct"/>
            <w:tcBorders>
              <w:top w:val="nil"/>
              <w:left w:val="nil"/>
              <w:bottom w:val="single" w:sz="4" w:space="0" w:color="auto"/>
              <w:right w:val="single" w:sz="4" w:space="0" w:color="auto"/>
            </w:tcBorders>
            <w:shd w:val="clear" w:color="auto" w:fill="auto"/>
            <w:hideMark/>
          </w:tcPr>
          <w:p w14:paraId="3518CF52"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AMC</w:t>
            </w:r>
          </w:p>
        </w:tc>
        <w:tc>
          <w:tcPr>
            <w:tcW w:w="296" w:type="pct"/>
            <w:tcBorders>
              <w:top w:val="nil"/>
              <w:left w:val="nil"/>
              <w:bottom w:val="single" w:sz="4" w:space="0" w:color="auto"/>
              <w:right w:val="single" w:sz="4" w:space="0" w:color="auto"/>
            </w:tcBorders>
            <w:shd w:val="pct50" w:color="000000" w:fill="auto"/>
            <w:hideMark/>
          </w:tcPr>
          <w:p w14:paraId="13D65608"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20AF3132"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7BFF1F28"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pct50" w:color="000000" w:fill="auto"/>
            <w:hideMark/>
          </w:tcPr>
          <w:p w14:paraId="055B3320"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16C51431"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21A44CCE"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pct50" w:color="000000" w:fill="auto"/>
            <w:hideMark/>
          </w:tcPr>
          <w:p w14:paraId="37234CBC"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6043903A"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1B00E94C"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auto" w:fill="auto"/>
            <w:hideMark/>
          </w:tcPr>
          <w:p w14:paraId="0D02D57D"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40C4DDD3"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5B7EB115"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265C4CC5"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3DF9E8C0"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3762D6A8"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65D1BAC1"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0A1AD9" w:rsidRPr="00000F38" w14:paraId="549DA3FF" w14:textId="77777777" w:rsidTr="00342ED2">
        <w:trPr>
          <w:trHeight w:val="255"/>
        </w:trPr>
        <w:tc>
          <w:tcPr>
            <w:tcW w:w="158" w:type="pct"/>
            <w:tcBorders>
              <w:top w:val="nil"/>
              <w:left w:val="single" w:sz="4" w:space="0" w:color="auto"/>
              <w:bottom w:val="single" w:sz="4" w:space="0" w:color="auto"/>
              <w:right w:val="single" w:sz="4" w:space="0" w:color="auto"/>
            </w:tcBorders>
            <w:shd w:val="clear" w:color="auto" w:fill="auto"/>
            <w:hideMark/>
          </w:tcPr>
          <w:p w14:paraId="3C1FEBBA"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50" w:type="pct"/>
            <w:tcBorders>
              <w:top w:val="nil"/>
              <w:left w:val="nil"/>
              <w:bottom w:val="single" w:sz="4" w:space="0" w:color="auto"/>
              <w:right w:val="single" w:sz="4" w:space="0" w:color="auto"/>
            </w:tcBorders>
            <w:shd w:val="clear" w:color="auto" w:fill="auto"/>
            <w:hideMark/>
          </w:tcPr>
          <w:p w14:paraId="2FA30095"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ATS</w:t>
            </w:r>
          </w:p>
        </w:tc>
        <w:tc>
          <w:tcPr>
            <w:tcW w:w="296" w:type="pct"/>
            <w:tcBorders>
              <w:top w:val="nil"/>
              <w:left w:val="nil"/>
              <w:bottom w:val="single" w:sz="4" w:space="0" w:color="auto"/>
              <w:right w:val="single" w:sz="4" w:space="0" w:color="auto"/>
            </w:tcBorders>
            <w:shd w:val="pct50" w:color="000000" w:fill="auto"/>
            <w:hideMark/>
          </w:tcPr>
          <w:p w14:paraId="1B5A2EF2"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6DC7B315"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212E1D2C"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auto" w:fill="auto"/>
            <w:hideMark/>
          </w:tcPr>
          <w:p w14:paraId="0121F43C"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0EA34DB5"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29E8DD2B"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65797361"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7F4C2DA2"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287F9CD5"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42B07052"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05D1C492"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5B6ED327"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45A76F43"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43642CFD"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751EC2F8"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382A94DD"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0A1AD9" w:rsidRPr="00000F38" w14:paraId="13967EE4" w14:textId="77777777" w:rsidTr="00342ED2">
        <w:trPr>
          <w:trHeight w:val="255"/>
        </w:trPr>
        <w:tc>
          <w:tcPr>
            <w:tcW w:w="158" w:type="pct"/>
            <w:tcBorders>
              <w:top w:val="nil"/>
              <w:left w:val="single" w:sz="4" w:space="0" w:color="auto"/>
              <w:bottom w:val="single" w:sz="4" w:space="0" w:color="auto"/>
              <w:right w:val="single" w:sz="4" w:space="0" w:color="auto"/>
            </w:tcBorders>
            <w:shd w:val="clear" w:color="auto" w:fill="auto"/>
            <w:hideMark/>
          </w:tcPr>
          <w:p w14:paraId="3EA952F1"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50" w:type="pct"/>
            <w:tcBorders>
              <w:top w:val="nil"/>
              <w:left w:val="nil"/>
              <w:bottom w:val="single" w:sz="4" w:space="0" w:color="auto"/>
              <w:right w:val="single" w:sz="4" w:space="0" w:color="auto"/>
            </w:tcBorders>
            <w:shd w:val="clear" w:color="auto" w:fill="auto"/>
            <w:hideMark/>
          </w:tcPr>
          <w:p w14:paraId="00DFB136"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pct50" w:color="000000" w:fill="auto"/>
            <w:hideMark/>
          </w:tcPr>
          <w:p w14:paraId="209E06F0"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697CE001"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76AA8241"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auto" w:fill="auto"/>
            <w:hideMark/>
          </w:tcPr>
          <w:p w14:paraId="0653F1C0"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clear" w:color="auto" w:fill="auto"/>
            <w:hideMark/>
          </w:tcPr>
          <w:p w14:paraId="5D6E0939"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clear" w:color="auto" w:fill="auto"/>
            <w:hideMark/>
          </w:tcPr>
          <w:p w14:paraId="6164AB91"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auto" w:fill="auto"/>
            <w:hideMark/>
          </w:tcPr>
          <w:p w14:paraId="6E16CE09"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clear" w:color="auto" w:fill="auto"/>
            <w:hideMark/>
          </w:tcPr>
          <w:p w14:paraId="7BEB32D7"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clear" w:color="auto" w:fill="auto"/>
            <w:hideMark/>
          </w:tcPr>
          <w:p w14:paraId="090A60D0"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auto" w:fill="auto"/>
            <w:hideMark/>
          </w:tcPr>
          <w:p w14:paraId="6E30C508"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clear" w:color="auto" w:fill="auto"/>
            <w:hideMark/>
          </w:tcPr>
          <w:p w14:paraId="6003A9F5"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clear" w:color="auto" w:fill="auto"/>
            <w:hideMark/>
          </w:tcPr>
          <w:p w14:paraId="079C0522"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auto" w:fill="auto"/>
            <w:hideMark/>
          </w:tcPr>
          <w:p w14:paraId="077D96C3"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clear" w:color="auto" w:fill="auto"/>
            <w:hideMark/>
          </w:tcPr>
          <w:p w14:paraId="780D6D29"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clear" w:color="auto" w:fill="auto"/>
            <w:hideMark/>
          </w:tcPr>
          <w:p w14:paraId="3621B22F"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clear" w:color="auto" w:fill="auto"/>
            <w:hideMark/>
          </w:tcPr>
          <w:p w14:paraId="45BD8B51"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r>
      <w:tr w:rsidR="000A1AD9" w:rsidRPr="00000F38" w14:paraId="5B75FFCA" w14:textId="77777777" w:rsidTr="00342ED2">
        <w:trPr>
          <w:trHeight w:val="255"/>
        </w:trPr>
        <w:tc>
          <w:tcPr>
            <w:tcW w:w="158" w:type="pct"/>
            <w:tcBorders>
              <w:top w:val="nil"/>
              <w:left w:val="single" w:sz="4" w:space="0" w:color="auto"/>
              <w:bottom w:val="single" w:sz="4" w:space="0" w:color="auto"/>
              <w:right w:val="single" w:sz="4" w:space="0" w:color="auto"/>
            </w:tcBorders>
            <w:shd w:val="clear" w:color="000000" w:fill="F2F2F2"/>
            <w:hideMark/>
          </w:tcPr>
          <w:p w14:paraId="0F8EA9DA"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50" w:type="pct"/>
            <w:tcBorders>
              <w:top w:val="nil"/>
              <w:left w:val="nil"/>
              <w:bottom w:val="single" w:sz="4" w:space="0" w:color="auto"/>
              <w:right w:val="single" w:sz="4" w:space="0" w:color="auto"/>
            </w:tcBorders>
            <w:shd w:val="clear" w:color="000000" w:fill="F2F2F2"/>
            <w:hideMark/>
          </w:tcPr>
          <w:p w14:paraId="6F16CC6F"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Any other, please specify</w:t>
            </w:r>
          </w:p>
        </w:tc>
        <w:tc>
          <w:tcPr>
            <w:tcW w:w="296" w:type="pct"/>
            <w:tcBorders>
              <w:top w:val="nil"/>
              <w:left w:val="nil"/>
              <w:bottom w:val="single" w:sz="4" w:space="0" w:color="auto"/>
              <w:right w:val="single" w:sz="4" w:space="0" w:color="auto"/>
            </w:tcBorders>
            <w:shd w:val="pct50" w:color="000000" w:fill="F2F2F2"/>
            <w:hideMark/>
          </w:tcPr>
          <w:p w14:paraId="58ADC006"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1CAC9035"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2324F58E"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5BED1A2E"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32124F7F"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03808D7D"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75C0996C"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78CABA18"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14522049"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2DAD43D9"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6B109F91"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77C65F4E"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10432741"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7B459C16"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3881F007"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6BE21614"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r>
      <w:tr w:rsidR="000A1AD9" w:rsidRPr="00000F38" w14:paraId="527D16EB" w14:textId="77777777" w:rsidTr="00342ED2">
        <w:trPr>
          <w:trHeight w:val="255"/>
        </w:trPr>
        <w:tc>
          <w:tcPr>
            <w:tcW w:w="158" w:type="pct"/>
            <w:tcBorders>
              <w:top w:val="nil"/>
              <w:left w:val="single" w:sz="4" w:space="0" w:color="auto"/>
              <w:bottom w:val="single" w:sz="4" w:space="0" w:color="auto"/>
              <w:right w:val="single" w:sz="4" w:space="0" w:color="auto"/>
            </w:tcBorders>
            <w:shd w:val="clear" w:color="auto" w:fill="auto"/>
            <w:hideMark/>
          </w:tcPr>
          <w:p w14:paraId="58E2D268"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50" w:type="pct"/>
            <w:tcBorders>
              <w:top w:val="nil"/>
              <w:left w:val="nil"/>
              <w:bottom w:val="single" w:sz="4" w:space="0" w:color="auto"/>
              <w:right w:val="single" w:sz="4" w:space="0" w:color="auto"/>
            </w:tcBorders>
            <w:shd w:val="clear" w:color="auto" w:fill="auto"/>
            <w:hideMark/>
          </w:tcPr>
          <w:p w14:paraId="10AEBA73"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AMC</w:t>
            </w:r>
          </w:p>
        </w:tc>
        <w:tc>
          <w:tcPr>
            <w:tcW w:w="296" w:type="pct"/>
            <w:tcBorders>
              <w:top w:val="nil"/>
              <w:left w:val="nil"/>
              <w:bottom w:val="single" w:sz="4" w:space="0" w:color="auto"/>
              <w:right w:val="single" w:sz="4" w:space="0" w:color="auto"/>
            </w:tcBorders>
            <w:shd w:val="pct50" w:color="000000" w:fill="auto"/>
            <w:hideMark/>
          </w:tcPr>
          <w:p w14:paraId="1A337903"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43B63A83"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40EF85F0"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pct50" w:color="000000" w:fill="auto"/>
            <w:hideMark/>
          </w:tcPr>
          <w:p w14:paraId="3FF21391"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44E5712D"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31339A79"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pct50" w:color="000000" w:fill="auto"/>
            <w:hideMark/>
          </w:tcPr>
          <w:p w14:paraId="23B9E69B"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2DD08933"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342C288B"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auto" w:fill="auto"/>
            <w:hideMark/>
          </w:tcPr>
          <w:p w14:paraId="1D1C2D1F"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5CFBC2D2"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416DD3D9"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2D64F257"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14B1CA86"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03B34522"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0F6FE3A6"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0A1AD9" w:rsidRPr="00000F38" w14:paraId="7C355E01" w14:textId="77777777" w:rsidTr="00342ED2">
        <w:trPr>
          <w:trHeight w:val="255"/>
        </w:trPr>
        <w:tc>
          <w:tcPr>
            <w:tcW w:w="158" w:type="pct"/>
            <w:tcBorders>
              <w:top w:val="nil"/>
              <w:left w:val="single" w:sz="4" w:space="0" w:color="auto"/>
              <w:bottom w:val="single" w:sz="4" w:space="0" w:color="auto"/>
              <w:right w:val="single" w:sz="4" w:space="0" w:color="auto"/>
            </w:tcBorders>
            <w:shd w:val="clear" w:color="auto" w:fill="auto"/>
            <w:hideMark/>
          </w:tcPr>
          <w:p w14:paraId="23E51761"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50" w:type="pct"/>
            <w:tcBorders>
              <w:top w:val="nil"/>
              <w:left w:val="nil"/>
              <w:bottom w:val="single" w:sz="4" w:space="0" w:color="auto"/>
              <w:right w:val="single" w:sz="4" w:space="0" w:color="auto"/>
            </w:tcBorders>
            <w:shd w:val="clear" w:color="auto" w:fill="auto"/>
            <w:hideMark/>
          </w:tcPr>
          <w:p w14:paraId="26BEAE32"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ATS</w:t>
            </w:r>
          </w:p>
        </w:tc>
        <w:tc>
          <w:tcPr>
            <w:tcW w:w="296" w:type="pct"/>
            <w:tcBorders>
              <w:top w:val="nil"/>
              <w:left w:val="nil"/>
              <w:bottom w:val="single" w:sz="4" w:space="0" w:color="auto"/>
              <w:right w:val="single" w:sz="4" w:space="0" w:color="auto"/>
            </w:tcBorders>
            <w:shd w:val="pct50" w:color="000000" w:fill="auto"/>
            <w:hideMark/>
          </w:tcPr>
          <w:p w14:paraId="7C2D725A"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7688DDC1"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7BB02713"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auto" w:fill="auto"/>
            <w:hideMark/>
          </w:tcPr>
          <w:p w14:paraId="2FD80EBF"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0EBA7F32"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23AE516C"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71764ECF"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62BA4C57"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200F8A3D"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0F36F777"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4AC057A3"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4FEEE606"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1AFB5DE8"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384E4C12"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2EC9309F"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775B14AE"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0A1AD9" w:rsidRPr="00000F38" w14:paraId="6ECFE5A8" w14:textId="77777777" w:rsidTr="00342ED2">
        <w:trPr>
          <w:trHeight w:val="255"/>
        </w:trPr>
        <w:tc>
          <w:tcPr>
            <w:tcW w:w="158" w:type="pct"/>
            <w:tcBorders>
              <w:top w:val="nil"/>
              <w:left w:val="single" w:sz="4" w:space="0" w:color="auto"/>
              <w:bottom w:val="single" w:sz="4" w:space="0" w:color="auto"/>
              <w:right w:val="single" w:sz="4" w:space="0" w:color="auto"/>
            </w:tcBorders>
            <w:shd w:val="clear" w:color="000000" w:fill="F2F2F2"/>
            <w:hideMark/>
          </w:tcPr>
          <w:p w14:paraId="266443E0"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50" w:type="pct"/>
            <w:tcBorders>
              <w:top w:val="nil"/>
              <w:left w:val="nil"/>
              <w:bottom w:val="single" w:sz="4" w:space="0" w:color="auto"/>
              <w:right w:val="single" w:sz="4" w:space="0" w:color="auto"/>
            </w:tcBorders>
            <w:shd w:val="clear" w:color="000000" w:fill="F2F2F2"/>
            <w:hideMark/>
          </w:tcPr>
          <w:p w14:paraId="6F8CB76C"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Any other, please specify</w:t>
            </w:r>
          </w:p>
        </w:tc>
        <w:tc>
          <w:tcPr>
            <w:tcW w:w="296" w:type="pct"/>
            <w:tcBorders>
              <w:top w:val="nil"/>
              <w:left w:val="nil"/>
              <w:bottom w:val="single" w:sz="4" w:space="0" w:color="auto"/>
              <w:right w:val="single" w:sz="4" w:space="0" w:color="auto"/>
            </w:tcBorders>
            <w:shd w:val="pct50" w:color="000000" w:fill="F2F2F2"/>
            <w:hideMark/>
          </w:tcPr>
          <w:p w14:paraId="04659C47"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492914F4"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4815A138"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00D6AD40"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46C123CD"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7A87481C"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32E66145"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4B2E5AB9"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4C5B500F"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661B3C05"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3DDA6D39"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7F9D02A3"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457B2CBD"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21701C83"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65029CDD"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3048AADE"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r>
      <w:tr w:rsidR="000A1AD9" w:rsidRPr="00000F38" w14:paraId="091A4F0A" w14:textId="77777777" w:rsidTr="00342ED2">
        <w:trPr>
          <w:trHeight w:val="255"/>
        </w:trPr>
        <w:tc>
          <w:tcPr>
            <w:tcW w:w="158" w:type="pct"/>
            <w:tcBorders>
              <w:top w:val="nil"/>
              <w:left w:val="single" w:sz="4" w:space="0" w:color="auto"/>
              <w:bottom w:val="single" w:sz="4" w:space="0" w:color="auto"/>
              <w:right w:val="single" w:sz="4" w:space="0" w:color="auto"/>
            </w:tcBorders>
            <w:shd w:val="clear" w:color="auto" w:fill="auto"/>
            <w:hideMark/>
          </w:tcPr>
          <w:p w14:paraId="38AA4429"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50" w:type="pct"/>
            <w:tcBorders>
              <w:top w:val="nil"/>
              <w:left w:val="nil"/>
              <w:bottom w:val="single" w:sz="4" w:space="0" w:color="auto"/>
              <w:right w:val="single" w:sz="4" w:space="0" w:color="auto"/>
            </w:tcBorders>
            <w:shd w:val="clear" w:color="auto" w:fill="auto"/>
            <w:hideMark/>
          </w:tcPr>
          <w:p w14:paraId="7705A28C"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AMC</w:t>
            </w:r>
          </w:p>
        </w:tc>
        <w:tc>
          <w:tcPr>
            <w:tcW w:w="296" w:type="pct"/>
            <w:tcBorders>
              <w:top w:val="nil"/>
              <w:left w:val="nil"/>
              <w:bottom w:val="single" w:sz="4" w:space="0" w:color="auto"/>
              <w:right w:val="single" w:sz="4" w:space="0" w:color="auto"/>
            </w:tcBorders>
            <w:shd w:val="pct50" w:color="000000" w:fill="auto"/>
            <w:hideMark/>
          </w:tcPr>
          <w:p w14:paraId="2E39C3E8"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791D563F"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7582AD36"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pct50" w:color="000000" w:fill="auto"/>
            <w:hideMark/>
          </w:tcPr>
          <w:p w14:paraId="313BFA69"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6502697B"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28957DA2"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pct50" w:color="000000" w:fill="auto"/>
            <w:hideMark/>
          </w:tcPr>
          <w:p w14:paraId="0A01838D"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77206793"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31326AD0"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auto" w:fill="auto"/>
            <w:hideMark/>
          </w:tcPr>
          <w:p w14:paraId="76388381"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7119D2D0"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06B96596"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117ACDE3"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2F393F41"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423C6686"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2235E837"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0A1AD9" w:rsidRPr="00000F38" w14:paraId="7D3D9B1C" w14:textId="77777777" w:rsidTr="00342ED2">
        <w:trPr>
          <w:trHeight w:val="255"/>
        </w:trPr>
        <w:tc>
          <w:tcPr>
            <w:tcW w:w="158" w:type="pct"/>
            <w:tcBorders>
              <w:top w:val="nil"/>
              <w:left w:val="single" w:sz="4" w:space="0" w:color="auto"/>
              <w:bottom w:val="single" w:sz="4" w:space="0" w:color="auto"/>
              <w:right w:val="single" w:sz="4" w:space="0" w:color="auto"/>
            </w:tcBorders>
            <w:shd w:val="clear" w:color="auto" w:fill="auto"/>
            <w:hideMark/>
          </w:tcPr>
          <w:p w14:paraId="5156E9EE"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50" w:type="pct"/>
            <w:tcBorders>
              <w:top w:val="nil"/>
              <w:left w:val="nil"/>
              <w:bottom w:val="single" w:sz="4" w:space="0" w:color="auto"/>
              <w:right w:val="single" w:sz="4" w:space="0" w:color="auto"/>
            </w:tcBorders>
            <w:shd w:val="clear" w:color="auto" w:fill="auto"/>
            <w:hideMark/>
          </w:tcPr>
          <w:p w14:paraId="0E592B40"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ATS</w:t>
            </w:r>
          </w:p>
        </w:tc>
        <w:tc>
          <w:tcPr>
            <w:tcW w:w="296" w:type="pct"/>
            <w:tcBorders>
              <w:top w:val="nil"/>
              <w:left w:val="nil"/>
              <w:bottom w:val="single" w:sz="4" w:space="0" w:color="auto"/>
              <w:right w:val="single" w:sz="4" w:space="0" w:color="auto"/>
            </w:tcBorders>
            <w:shd w:val="pct50" w:color="000000" w:fill="auto"/>
            <w:hideMark/>
          </w:tcPr>
          <w:p w14:paraId="0DDCFD49"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71ED947C"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42665760"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auto" w:fill="auto"/>
            <w:hideMark/>
          </w:tcPr>
          <w:p w14:paraId="6B32E14D"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19FA489A"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31BFF8B7"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2CB543DF"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40F98F1D"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40F421DA"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70C38B9F"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18D05464"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0B423D19"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072EA77A"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23DB9A0F"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3AB207C4"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5AE0CDA2"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0A1AD9" w:rsidRPr="00000F38" w14:paraId="64B9F712" w14:textId="77777777" w:rsidTr="00342ED2">
        <w:trPr>
          <w:trHeight w:val="255"/>
        </w:trPr>
        <w:tc>
          <w:tcPr>
            <w:tcW w:w="158" w:type="pct"/>
            <w:tcBorders>
              <w:top w:val="nil"/>
              <w:left w:val="single" w:sz="4" w:space="0" w:color="auto"/>
              <w:bottom w:val="single" w:sz="4" w:space="0" w:color="auto"/>
              <w:right w:val="single" w:sz="4" w:space="0" w:color="auto"/>
            </w:tcBorders>
            <w:shd w:val="clear" w:color="000000" w:fill="F2F2F2"/>
            <w:hideMark/>
          </w:tcPr>
          <w:p w14:paraId="3F748A84"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50" w:type="pct"/>
            <w:tcBorders>
              <w:top w:val="nil"/>
              <w:left w:val="nil"/>
              <w:bottom w:val="single" w:sz="4" w:space="0" w:color="auto"/>
              <w:right w:val="single" w:sz="4" w:space="0" w:color="auto"/>
            </w:tcBorders>
            <w:shd w:val="clear" w:color="000000" w:fill="F2F2F2"/>
            <w:hideMark/>
          </w:tcPr>
          <w:p w14:paraId="74F2C1D7"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TOTAL (A)</w:t>
            </w:r>
          </w:p>
        </w:tc>
        <w:tc>
          <w:tcPr>
            <w:tcW w:w="296" w:type="pct"/>
            <w:tcBorders>
              <w:top w:val="nil"/>
              <w:left w:val="nil"/>
              <w:bottom w:val="single" w:sz="4" w:space="0" w:color="auto"/>
              <w:right w:val="single" w:sz="4" w:space="0" w:color="auto"/>
            </w:tcBorders>
            <w:shd w:val="clear" w:color="000000" w:fill="F2F2F2"/>
            <w:hideMark/>
          </w:tcPr>
          <w:p w14:paraId="200357C8"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clear" w:color="000000" w:fill="F2F2F2"/>
            <w:hideMark/>
          </w:tcPr>
          <w:p w14:paraId="3B4B651B"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clear" w:color="000000" w:fill="F2F2F2"/>
            <w:hideMark/>
          </w:tcPr>
          <w:p w14:paraId="5672814B"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clear" w:color="000000" w:fill="F2F2F2"/>
            <w:hideMark/>
          </w:tcPr>
          <w:p w14:paraId="01D6F4D7"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clear" w:color="000000" w:fill="F2F2F2"/>
            <w:hideMark/>
          </w:tcPr>
          <w:p w14:paraId="2E7B805F"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clear" w:color="000000" w:fill="F2F2F2"/>
            <w:hideMark/>
          </w:tcPr>
          <w:p w14:paraId="52F8930E"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clear" w:color="000000" w:fill="F2F2F2"/>
            <w:hideMark/>
          </w:tcPr>
          <w:p w14:paraId="252E6910"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clear" w:color="000000" w:fill="F2F2F2"/>
            <w:hideMark/>
          </w:tcPr>
          <w:p w14:paraId="008150A6"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clear" w:color="000000" w:fill="F2F2F2"/>
            <w:hideMark/>
          </w:tcPr>
          <w:p w14:paraId="7BFFAEDE"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clear" w:color="000000" w:fill="F2F2F2"/>
            <w:hideMark/>
          </w:tcPr>
          <w:p w14:paraId="1AE46E31"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clear" w:color="000000" w:fill="F2F2F2"/>
            <w:hideMark/>
          </w:tcPr>
          <w:p w14:paraId="48641043"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clear" w:color="000000" w:fill="F2F2F2"/>
            <w:hideMark/>
          </w:tcPr>
          <w:p w14:paraId="41D0B89A"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clear" w:color="000000" w:fill="F2F2F2"/>
            <w:hideMark/>
          </w:tcPr>
          <w:p w14:paraId="7F46B2C0"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clear" w:color="000000" w:fill="F2F2F2"/>
            <w:hideMark/>
          </w:tcPr>
          <w:p w14:paraId="5644628A"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clear" w:color="000000" w:fill="F2F2F2"/>
            <w:hideMark/>
          </w:tcPr>
          <w:p w14:paraId="18852C77"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clear" w:color="000000" w:fill="F2F2F2"/>
            <w:hideMark/>
          </w:tcPr>
          <w:p w14:paraId="48078D06"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r>
      <w:tr w:rsidR="000A1AD9" w:rsidRPr="00000F38" w14:paraId="1D793A26" w14:textId="77777777" w:rsidTr="00342ED2">
        <w:trPr>
          <w:trHeight w:val="255"/>
        </w:trPr>
        <w:tc>
          <w:tcPr>
            <w:tcW w:w="158" w:type="pct"/>
            <w:tcBorders>
              <w:top w:val="nil"/>
              <w:left w:val="single" w:sz="4" w:space="0" w:color="auto"/>
              <w:bottom w:val="single" w:sz="4" w:space="0" w:color="auto"/>
              <w:right w:val="single" w:sz="4" w:space="0" w:color="auto"/>
            </w:tcBorders>
            <w:shd w:val="clear" w:color="000000" w:fill="FFFFFF"/>
            <w:hideMark/>
          </w:tcPr>
          <w:p w14:paraId="4D4849DA"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50" w:type="pct"/>
            <w:tcBorders>
              <w:top w:val="nil"/>
              <w:left w:val="nil"/>
              <w:bottom w:val="single" w:sz="4" w:space="0" w:color="auto"/>
              <w:right w:val="single" w:sz="4" w:space="0" w:color="auto"/>
            </w:tcBorders>
            <w:shd w:val="clear" w:color="000000" w:fill="FFFFFF"/>
            <w:hideMark/>
          </w:tcPr>
          <w:p w14:paraId="694601A4"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clear" w:color="000000" w:fill="FFFFFF"/>
            <w:hideMark/>
          </w:tcPr>
          <w:p w14:paraId="3DB9DB6D"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clear" w:color="000000" w:fill="FFFFFF"/>
            <w:hideMark/>
          </w:tcPr>
          <w:p w14:paraId="1E23BF30"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clear" w:color="000000" w:fill="FFFFFF"/>
            <w:hideMark/>
          </w:tcPr>
          <w:p w14:paraId="5C6A5F11"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000000" w:fill="FFFFFF"/>
            <w:hideMark/>
          </w:tcPr>
          <w:p w14:paraId="77CDE5B7"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clear" w:color="000000" w:fill="FFFFFF"/>
            <w:hideMark/>
          </w:tcPr>
          <w:p w14:paraId="30F295D1"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clear" w:color="000000" w:fill="FFFFFF"/>
            <w:hideMark/>
          </w:tcPr>
          <w:p w14:paraId="656A41F9"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000000" w:fill="FFFFFF"/>
            <w:hideMark/>
          </w:tcPr>
          <w:p w14:paraId="3871DF80"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clear" w:color="000000" w:fill="FFFFFF"/>
            <w:hideMark/>
          </w:tcPr>
          <w:p w14:paraId="0397F683"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clear" w:color="000000" w:fill="FFFFFF"/>
            <w:hideMark/>
          </w:tcPr>
          <w:p w14:paraId="77D8BE3A"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000000" w:fill="FFFFFF"/>
            <w:hideMark/>
          </w:tcPr>
          <w:p w14:paraId="5106B194"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clear" w:color="000000" w:fill="FFFFFF"/>
            <w:hideMark/>
          </w:tcPr>
          <w:p w14:paraId="08D75402"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clear" w:color="000000" w:fill="FFFFFF"/>
            <w:hideMark/>
          </w:tcPr>
          <w:p w14:paraId="47BE9104"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000000" w:fill="FFFFFF"/>
            <w:hideMark/>
          </w:tcPr>
          <w:p w14:paraId="74CE1A72"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clear" w:color="000000" w:fill="FFFFFF"/>
            <w:hideMark/>
          </w:tcPr>
          <w:p w14:paraId="21D97902"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clear" w:color="000000" w:fill="FFFFFF"/>
            <w:hideMark/>
          </w:tcPr>
          <w:p w14:paraId="2F04034A"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clear" w:color="000000" w:fill="FFFFFF"/>
            <w:hideMark/>
          </w:tcPr>
          <w:p w14:paraId="47FF0540"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r>
      <w:tr w:rsidR="000A1AD9" w:rsidRPr="00000F38" w14:paraId="2E120168" w14:textId="77777777" w:rsidTr="00342ED2">
        <w:trPr>
          <w:trHeight w:val="255"/>
        </w:trPr>
        <w:tc>
          <w:tcPr>
            <w:tcW w:w="158" w:type="pct"/>
            <w:tcBorders>
              <w:top w:val="nil"/>
              <w:left w:val="single" w:sz="4" w:space="0" w:color="auto"/>
              <w:bottom w:val="single" w:sz="4" w:space="0" w:color="auto"/>
              <w:right w:val="single" w:sz="4" w:space="0" w:color="auto"/>
            </w:tcBorders>
            <w:shd w:val="clear" w:color="auto" w:fill="auto"/>
            <w:hideMark/>
          </w:tcPr>
          <w:p w14:paraId="4EB88BBC"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50" w:type="pct"/>
            <w:tcBorders>
              <w:top w:val="nil"/>
              <w:left w:val="nil"/>
              <w:bottom w:val="single" w:sz="4" w:space="0" w:color="auto"/>
              <w:right w:val="single" w:sz="4" w:space="0" w:color="auto"/>
            </w:tcBorders>
            <w:shd w:val="clear" w:color="auto" w:fill="auto"/>
            <w:hideMark/>
          </w:tcPr>
          <w:p w14:paraId="18D59386"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818" w:type="pct"/>
            <w:gridSpan w:val="3"/>
            <w:tcBorders>
              <w:top w:val="single" w:sz="4" w:space="0" w:color="auto"/>
              <w:left w:val="nil"/>
              <w:bottom w:val="single" w:sz="4" w:space="0" w:color="auto"/>
              <w:right w:val="single" w:sz="4" w:space="0" w:color="auto"/>
            </w:tcBorders>
            <w:shd w:val="clear" w:color="000000" w:fill="FFC000"/>
            <w:hideMark/>
          </w:tcPr>
          <w:p w14:paraId="5489488E"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YEAR 1</w:t>
            </w:r>
          </w:p>
        </w:tc>
        <w:tc>
          <w:tcPr>
            <w:tcW w:w="818" w:type="pct"/>
            <w:gridSpan w:val="3"/>
            <w:tcBorders>
              <w:top w:val="single" w:sz="4" w:space="0" w:color="auto"/>
              <w:left w:val="nil"/>
              <w:bottom w:val="single" w:sz="4" w:space="0" w:color="auto"/>
              <w:right w:val="single" w:sz="4" w:space="0" w:color="auto"/>
            </w:tcBorders>
            <w:shd w:val="clear" w:color="000000" w:fill="FFC000"/>
            <w:hideMark/>
          </w:tcPr>
          <w:p w14:paraId="31B1575D"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YEAR 2</w:t>
            </w:r>
          </w:p>
        </w:tc>
        <w:tc>
          <w:tcPr>
            <w:tcW w:w="818" w:type="pct"/>
            <w:gridSpan w:val="3"/>
            <w:tcBorders>
              <w:top w:val="single" w:sz="4" w:space="0" w:color="auto"/>
              <w:left w:val="nil"/>
              <w:bottom w:val="single" w:sz="4" w:space="0" w:color="auto"/>
              <w:right w:val="single" w:sz="4" w:space="0" w:color="auto"/>
            </w:tcBorders>
            <w:shd w:val="clear" w:color="000000" w:fill="FFC000"/>
            <w:hideMark/>
          </w:tcPr>
          <w:p w14:paraId="7B715436"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YEAR 3</w:t>
            </w:r>
          </w:p>
        </w:tc>
        <w:tc>
          <w:tcPr>
            <w:tcW w:w="818" w:type="pct"/>
            <w:gridSpan w:val="3"/>
            <w:tcBorders>
              <w:top w:val="single" w:sz="4" w:space="0" w:color="auto"/>
              <w:left w:val="nil"/>
              <w:bottom w:val="single" w:sz="4" w:space="0" w:color="auto"/>
              <w:right w:val="single" w:sz="4" w:space="0" w:color="auto"/>
            </w:tcBorders>
            <w:shd w:val="clear" w:color="000000" w:fill="FFC000"/>
            <w:hideMark/>
          </w:tcPr>
          <w:p w14:paraId="45B89C1F"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YEAR 4</w:t>
            </w:r>
          </w:p>
        </w:tc>
        <w:tc>
          <w:tcPr>
            <w:tcW w:w="818" w:type="pct"/>
            <w:gridSpan w:val="3"/>
            <w:tcBorders>
              <w:top w:val="single" w:sz="4" w:space="0" w:color="auto"/>
              <w:left w:val="nil"/>
              <w:bottom w:val="single" w:sz="4" w:space="0" w:color="auto"/>
              <w:right w:val="single" w:sz="4" w:space="0" w:color="auto"/>
            </w:tcBorders>
            <w:shd w:val="clear" w:color="000000" w:fill="FFC000"/>
            <w:hideMark/>
          </w:tcPr>
          <w:p w14:paraId="564A1884"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YEAR 5</w:t>
            </w:r>
          </w:p>
        </w:tc>
        <w:tc>
          <w:tcPr>
            <w:tcW w:w="303" w:type="pct"/>
            <w:tcBorders>
              <w:top w:val="nil"/>
              <w:left w:val="nil"/>
              <w:bottom w:val="single" w:sz="4" w:space="0" w:color="auto"/>
              <w:right w:val="single" w:sz="4" w:space="0" w:color="auto"/>
            </w:tcBorders>
            <w:shd w:val="clear" w:color="auto" w:fill="auto"/>
            <w:hideMark/>
          </w:tcPr>
          <w:p w14:paraId="739B7630"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 </w:t>
            </w:r>
          </w:p>
        </w:tc>
      </w:tr>
      <w:tr w:rsidR="000A1AD9" w:rsidRPr="00000F38" w14:paraId="7A497DF7" w14:textId="77777777" w:rsidTr="00342ED2">
        <w:trPr>
          <w:trHeight w:val="510"/>
        </w:trPr>
        <w:tc>
          <w:tcPr>
            <w:tcW w:w="158" w:type="pct"/>
            <w:tcBorders>
              <w:top w:val="nil"/>
              <w:left w:val="single" w:sz="4" w:space="0" w:color="auto"/>
              <w:bottom w:val="single" w:sz="4" w:space="0" w:color="auto"/>
              <w:right w:val="single" w:sz="4" w:space="0" w:color="auto"/>
            </w:tcBorders>
            <w:shd w:val="clear" w:color="000000" w:fill="002060"/>
            <w:vAlign w:val="center"/>
            <w:hideMark/>
          </w:tcPr>
          <w:p w14:paraId="03CCB0E7"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 </w:t>
            </w:r>
          </w:p>
        </w:tc>
        <w:tc>
          <w:tcPr>
            <w:tcW w:w="450" w:type="pct"/>
            <w:tcBorders>
              <w:top w:val="nil"/>
              <w:left w:val="nil"/>
              <w:bottom w:val="single" w:sz="4" w:space="0" w:color="auto"/>
              <w:right w:val="single" w:sz="4" w:space="0" w:color="auto"/>
            </w:tcBorders>
            <w:shd w:val="clear" w:color="000000" w:fill="002060"/>
            <w:vAlign w:val="center"/>
            <w:hideMark/>
          </w:tcPr>
          <w:p w14:paraId="5EAB3148"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AMC / ATS at DRC</w:t>
            </w:r>
          </w:p>
        </w:tc>
        <w:tc>
          <w:tcPr>
            <w:tcW w:w="296" w:type="pct"/>
            <w:tcBorders>
              <w:top w:val="nil"/>
              <w:left w:val="nil"/>
              <w:bottom w:val="single" w:sz="4" w:space="0" w:color="auto"/>
              <w:right w:val="single" w:sz="4" w:space="0" w:color="auto"/>
            </w:tcBorders>
            <w:shd w:val="clear" w:color="000000" w:fill="002060"/>
            <w:vAlign w:val="center"/>
            <w:hideMark/>
          </w:tcPr>
          <w:p w14:paraId="688E8D2B"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Base Product Cost</w:t>
            </w:r>
          </w:p>
        </w:tc>
        <w:tc>
          <w:tcPr>
            <w:tcW w:w="219" w:type="pct"/>
            <w:tcBorders>
              <w:top w:val="nil"/>
              <w:left w:val="nil"/>
              <w:bottom w:val="single" w:sz="4" w:space="0" w:color="auto"/>
              <w:right w:val="single" w:sz="4" w:space="0" w:color="auto"/>
            </w:tcBorders>
            <w:shd w:val="clear" w:color="000000" w:fill="002060"/>
            <w:vAlign w:val="center"/>
            <w:hideMark/>
          </w:tcPr>
          <w:p w14:paraId="3FCA87AF"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Rate (INR)</w:t>
            </w:r>
          </w:p>
        </w:tc>
        <w:tc>
          <w:tcPr>
            <w:tcW w:w="303" w:type="pct"/>
            <w:tcBorders>
              <w:top w:val="nil"/>
              <w:left w:val="nil"/>
              <w:bottom w:val="single" w:sz="4" w:space="0" w:color="auto"/>
              <w:right w:val="single" w:sz="4" w:space="0" w:color="auto"/>
            </w:tcBorders>
            <w:shd w:val="clear" w:color="000000" w:fill="002060"/>
            <w:vAlign w:val="center"/>
            <w:hideMark/>
          </w:tcPr>
          <w:p w14:paraId="57C40EFA"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Total Amount (INR)</w:t>
            </w:r>
          </w:p>
        </w:tc>
        <w:tc>
          <w:tcPr>
            <w:tcW w:w="296" w:type="pct"/>
            <w:tcBorders>
              <w:top w:val="nil"/>
              <w:left w:val="nil"/>
              <w:bottom w:val="single" w:sz="4" w:space="0" w:color="auto"/>
              <w:right w:val="single" w:sz="4" w:space="0" w:color="auto"/>
            </w:tcBorders>
            <w:shd w:val="clear" w:color="000000" w:fill="002060"/>
            <w:vAlign w:val="center"/>
            <w:hideMark/>
          </w:tcPr>
          <w:p w14:paraId="177F74D3"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Base Product Cost</w:t>
            </w:r>
          </w:p>
        </w:tc>
        <w:tc>
          <w:tcPr>
            <w:tcW w:w="219" w:type="pct"/>
            <w:tcBorders>
              <w:top w:val="nil"/>
              <w:left w:val="nil"/>
              <w:bottom w:val="single" w:sz="4" w:space="0" w:color="auto"/>
              <w:right w:val="single" w:sz="4" w:space="0" w:color="auto"/>
            </w:tcBorders>
            <w:shd w:val="clear" w:color="000000" w:fill="002060"/>
            <w:vAlign w:val="center"/>
            <w:hideMark/>
          </w:tcPr>
          <w:p w14:paraId="0FB17AA1"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Rate (INR)</w:t>
            </w:r>
          </w:p>
        </w:tc>
        <w:tc>
          <w:tcPr>
            <w:tcW w:w="303" w:type="pct"/>
            <w:tcBorders>
              <w:top w:val="nil"/>
              <w:left w:val="nil"/>
              <w:bottom w:val="single" w:sz="4" w:space="0" w:color="auto"/>
              <w:right w:val="single" w:sz="4" w:space="0" w:color="auto"/>
            </w:tcBorders>
            <w:shd w:val="clear" w:color="000000" w:fill="002060"/>
            <w:vAlign w:val="center"/>
            <w:hideMark/>
          </w:tcPr>
          <w:p w14:paraId="26BA19E7"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Total Amount (INR)</w:t>
            </w:r>
          </w:p>
        </w:tc>
        <w:tc>
          <w:tcPr>
            <w:tcW w:w="296" w:type="pct"/>
            <w:tcBorders>
              <w:top w:val="nil"/>
              <w:left w:val="nil"/>
              <w:bottom w:val="single" w:sz="4" w:space="0" w:color="auto"/>
              <w:right w:val="single" w:sz="4" w:space="0" w:color="auto"/>
            </w:tcBorders>
            <w:shd w:val="clear" w:color="000000" w:fill="002060"/>
            <w:vAlign w:val="center"/>
            <w:hideMark/>
          </w:tcPr>
          <w:p w14:paraId="4C807B39"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Base Product Cost</w:t>
            </w:r>
          </w:p>
        </w:tc>
        <w:tc>
          <w:tcPr>
            <w:tcW w:w="219" w:type="pct"/>
            <w:tcBorders>
              <w:top w:val="nil"/>
              <w:left w:val="nil"/>
              <w:bottom w:val="single" w:sz="4" w:space="0" w:color="auto"/>
              <w:right w:val="single" w:sz="4" w:space="0" w:color="auto"/>
            </w:tcBorders>
            <w:shd w:val="clear" w:color="000000" w:fill="002060"/>
            <w:vAlign w:val="center"/>
            <w:hideMark/>
          </w:tcPr>
          <w:p w14:paraId="78041E68"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Rate (INR)</w:t>
            </w:r>
          </w:p>
        </w:tc>
        <w:tc>
          <w:tcPr>
            <w:tcW w:w="303" w:type="pct"/>
            <w:tcBorders>
              <w:top w:val="nil"/>
              <w:left w:val="nil"/>
              <w:bottom w:val="single" w:sz="4" w:space="0" w:color="auto"/>
              <w:right w:val="single" w:sz="4" w:space="0" w:color="auto"/>
            </w:tcBorders>
            <w:shd w:val="clear" w:color="000000" w:fill="002060"/>
            <w:vAlign w:val="center"/>
            <w:hideMark/>
          </w:tcPr>
          <w:p w14:paraId="510F80C7"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Total Amount (INR)</w:t>
            </w:r>
          </w:p>
        </w:tc>
        <w:tc>
          <w:tcPr>
            <w:tcW w:w="296" w:type="pct"/>
            <w:tcBorders>
              <w:top w:val="nil"/>
              <w:left w:val="nil"/>
              <w:bottom w:val="single" w:sz="4" w:space="0" w:color="auto"/>
              <w:right w:val="single" w:sz="4" w:space="0" w:color="auto"/>
            </w:tcBorders>
            <w:shd w:val="clear" w:color="000000" w:fill="002060"/>
            <w:vAlign w:val="center"/>
            <w:hideMark/>
          </w:tcPr>
          <w:p w14:paraId="5ACC3C04"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Base Product Cost</w:t>
            </w:r>
          </w:p>
        </w:tc>
        <w:tc>
          <w:tcPr>
            <w:tcW w:w="219" w:type="pct"/>
            <w:tcBorders>
              <w:top w:val="nil"/>
              <w:left w:val="nil"/>
              <w:bottom w:val="single" w:sz="4" w:space="0" w:color="auto"/>
              <w:right w:val="single" w:sz="4" w:space="0" w:color="auto"/>
            </w:tcBorders>
            <w:shd w:val="clear" w:color="000000" w:fill="002060"/>
            <w:vAlign w:val="center"/>
            <w:hideMark/>
          </w:tcPr>
          <w:p w14:paraId="68274A9B"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Rate (INR)</w:t>
            </w:r>
          </w:p>
        </w:tc>
        <w:tc>
          <w:tcPr>
            <w:tcW w:w="303" w:type="pct"/>
            <w:tcBorders>
              <w:top w:val="nil"/>
              <w:left w:val="nil"/>
              <w:bottom w:val="single" w:sz="4" w:space="0" w:color="auto"/>
              <w:right w:val="single" w:sz="4" w:space="0" w:color="auto"/>
            </w:tcBorders>
            <w:shd w:val="clear" w:color="000000" w:fill="002060"/>
            <w:vAlign w:val="center"/>
            <w:hideMark/>
          </w:tcPr>
          <w:p w14:paraId="4665FE64"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Total Amount (INR)</w:t>
            </w:r>
          </w:p>
        </w:tc>
        <w:tc>
          <w:tcPr>
            <w:tcW w:w="296" w:type="pct"/>
            <w:tcBorders>
              <w:top w:val="nil"/>
              <w:left w:val="nil"/>
              <w:bottom w:val="single" w:sz="4" w:space="0" w:color="auto"/>
              <w:right w:val="single" w:sz="4" w:space="0" w:color="auto"/>
            </w:tcBorders>
            <w:shd w:val="clear" w:color="000000" w:fill="002060"/>
            <w:vAlign w:val="center"/>
            <w:hideMark/>
          </w:tcPr>
          <w:p w14:paraId="51DD1340"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Base Product Cost</w:t>
            </w:r>
          </w:p>
        </w:tc>
        <w:tc>
          <w:tcPr>
            <w:tcW w:w="219" w:type="pct"/>
            <w:tcBorders>
              <w:top w:val="nil"/>
              <w:left w:val="nil"/>
              <w:bottom w:val="single" w:sz="4" w:space="0" w:color="auto"/>
              <w:right w:val="single" w:sz="4" w:space="0" w:color="auto"/>
            </w:tcBorders>
            <w:shd w:val="clear" w:color="000000" w:fill="002060"/>
            <w:vAlign w:val="center"/>
            <w:hideMark/>
          </w:tcPr>
          <w:p w14:paraId="29385EAF"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Rate (INR)</w:t>
            </w:r>
          </w:p>
        </w:tc>
        <w:tc>
          <w:tcPr>
            <w:tcW w:w="303" w:type="pct"/>
            <w:tcBorders>
              <w:top w:val="nil"/>
              <w:left w:val="nil"/>
              <w:bottom w:val="single" w:sz="4" w:space="0" w:color="auto"/>
              <w:right w:val="single" w:sz="4" w:space="0" w:color="auto"/>
            </w:tcBorders>
            <w:shd w:val="clear" w:color="000000" w:fill="002060"/>
            <w:vAlign w:val="center"/>
            <w:hideMark/>
          </w:tcPr>
          <w:p w14:paraId="729530A5"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Total Amount (INR)</w:t>
            </w:r>
          </w:p>
        </w:tc>
        <w:tc>
          <w:tcPr>
            <w:tcW w:w="303" w:type="pct"/>
            <w:tcBorders>
              <w:top w:val="nil"/>
              <w:left w:val="nil"/>
              <w:bottom w:val="single" w:sz="4" w:space="0" w:color="auto"/>
              <w:right w:val="single" w:sz="4" w:space="0" w:color="auto"/>
            </w:tcBorders>
            <w:shd w:val="clear" w:color="000000" w:fill="002060"/>
            <w:vAlign w:val="center"/>
            <w:hideMark/>
          </w:tcPr>
          <w:p w14:paraId="6078184F"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Total Amount for 5 years (INR)</w:t>
            </w:r>
          </w:p>
        </w:tc>
      </w:tr>
      <w:tr w:rsidR="000A1AD9" w:rsidRPr="00000F38" w14:paraId="6EBFE131" w14:textId="77777777" w:rsidTr="00342ED2">
        <w:trPr>
          <w:trHeight w:val="255"/>
        </w:trPr>
        <w:tc>
          <w:tcPr>
            <w:tcW w:w="158" w:type="pct"/>
            <w:tcBorders>
              <w:top w:val="nil"/>
              <w:left w:val="single" w:sz="4" w:space="0" w:color="auto"/>
              <w:bottom w:val="single" w:sz="4" w:space="0" w:color="auto"/>
              <w:right w:val="single" w:sz="4" w:space="0" w:color="auto"/>
            </w:tcBorders>
            <w:shd w:val="clear" w:color="000000" w:fill="F2F2F2"/>
            <w:hideMark/>
          </w:tcPr>
          <w:p w14:paraId="707262D1"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lastRenderedPageBreak/>
              <w:t>1</w:t>
            </w:r>
          </w:p>
        </w:tc>
        <w:tc>
          <w:tcPr>
            <w:tcW w:w="450" w:type="pct"/>
            <w:tcBorders>
              <w:top w:val="nil"/>
              <w:left w:val="nil"/>
              <w:bottom w:val="single" w:sz="4" w:space="0" w:color="auto"/>
              <w:right w:val="single" w:sz="4" w:space="0" w:color="auto"/>
            </w:tcBorders>
            <w:shd w:val="clear" w:color="000000" w:fill="F2F2F2"/>
            <w:hideMark/>
          </w:tcPr>
          <w:p w14:paraId="6F45CFF4"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Data Discovery &amp; Classification</w:t>
            </w:r>
          </w:p>
        </w:tc>
        <w:tc>
          <w:tcPr>
            <w:tcW w:w="296" w:type="pct"/>
            <w:tcBorders>
              <w:top w:val="nil"/>
              <w:left w:val="nil"/>
              <w:bottom w:val="single" w:sz="4" w:space="0" w:color="auto"/>
              <w:right w:val="single" w:sz="4" w:space="0" w:color="auto"/>
            </w:tcBorders>
            <w:shd w:val="pct50" w:color="000000" w:fill="F2F2F2"/>
            <w:hideMark/>
          </w:tcPr>
          <w:p w14:paraId="6447B05C"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2D45A8D7"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646B1DC4"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7C61C3FD"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4DA8AE4E"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5B33C7AB"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6C7FC316"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7C6C0645"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573978D4"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52DD4F48"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0F375713"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5914262E"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750987FA"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09B276C9"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1E83C554"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4035E5DB"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r>
      <w:tr w:rsidR="000A1AD9" w:rsidRPr="00000F38" w14:paraId="51809E06" w14:textId="77777777" w:rsidTr="00342ED2">
        <w:trPr>
          <w:trHeight w:val="255"/>
        </w:trPr>
        <w:tc>
          <w:tcPr>
            <w:tcW w:w="158" w:type="pct"/>
            <w:tcBorders>
              <w:top w:val="nil"/>
              <w:left w:val="single" w:sz="4" w:space="0" w:color="auto"/>
              <w:bottom w:val="single" w:sz="4" w:space="0" w:color="auto"/>
              <w:right w:val="single" w:sz="4" w:space="0" w:color="auto"/>
            </w:tcBorders>
            <w:shd w:val="clear" w:color="auto" w:fill="auto"/>
            <w:hideMark/>
          </w:tcPr>
          <w:p w14:paraId="522EFE73"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50" w:type="pct"/>
            <w:tcBorders>
              <w:top w:val="nil"/>
              <w:left w:val="nil"/>
              <w:bottom w:val="single" w:sz="4" w:space="0" w:color="auto"/>
              <w:right w:val="single" w:sz="4" w:space="0" w:color="auto"/>
            </w:tcBorders>
            <w:shd w:val="clear" w:color="auto" w:fill="auto"/>
            <w:hideMark/>
          </w:tcPr>
          <w:p w14:paraId="6FE4601C"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AMC</w:t>
            </w:r>
          </w:p>
        </w:tc>
        <w:tc>
          <w:tcPr>
            <w:tcW w:w="296" w:type="pct"/>
            <w:tcBorders>
              <w:top w:val="nil"/>
              <w:left w:val="nil"/>
              <w:bottom w:val="single" w:sz="4" w:space="0" w:color="auto"/>
              <w:right w:val="single" w:sz="4" w:space="0" w:color="auto"/>
            </w:tcBorders>
            <w:shd w:val="pct50" w:color="000000" w:fill="auto"/>
            <w:hideMark/>
          </w:tcPr>
          <w:p w14:paraId="27480650"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1126F385"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1E590199"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pct50" w:color="000000" w:fill="auto"/>
            <w:hideMark/>
          </w:tcPr>
          <w:p w14:paraId="579EFA9C"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09011D13"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0AC512AF"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pct50" w:color="000000" w:fill="auto"/>
            <w:hideMark/>
          </w:tcPr>
          <w:p w14:paraId="456A8091"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21D30EF9"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38F22732"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auto" w:fill="auto"/>
            <w:hideMark/>
          </w:tcPr>
          <w:p w14:paraId="3CD6809B"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0C10932D"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72EAE928"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38FF8C22"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3EAFBDB5"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770D9BEC"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60239E66"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0A1AD9" w:rsidRPr="00000F38" w14:paraId="29D54F40" w14:textId="77777777" w:rsidTr="00342ED2">
        <w:trPr>
          <w:trHeight w:val="255"/>
        </w:trPr>
        <w:tc>
          <w:tcPr>
            <w:tcW w:w="158" w:type="pct"/>
            <w:tcBorders>
              <w:top w:val="nil"/>
              <w:left w:val="single" w:sz="4" w:space="0" w:color="auto"/>
              <w:bottom w:val="single" w:sz="4" w:space="0" w:color="auto"/>
              <w:right w:val="single" w:sz="4" w:space="0" w:color="auto"/>
            </w:tcBorders>
            <w:shd w:val="clear" w:color="auto" w:fill="auto"/>
            <w:hideMark/>
          </w:tcPr>
          <w:p w14:paraId="4E3B2665"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50" w:type="pct"/>
            <w:tcBorders>
              <w:top w:val="nil"/>
              <w:left w:val="nil"/>
              <w:bottom w:val="single" w:sz="4" w:space="0" w:color="auto"/>
              <w:right w:val="single" w:sz="4" w:space="0" w:color="auto"/>
            </w:tcBorders>
            <w:shd w:val="clear" w:color="auto" w:fill="auto"/>
            <w:hideMark/>
          </w:tcPr>
          <w:p w14:paraId="4E3CBED7"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ATS</w:t>
            </w:r>
          </w:p>
        </w:tc>
        <w:tc>
          <w:tcPr>
            <w:tcW w:w="296" w:type="pct"/>
            <w:tcBorders>
              <w:top w:val="nil"/>
              <w:left w:val="nil"/>
              <w:bottom w:val="single" w:sz="4" w:space="0" w:color="auto"/>
              <w:right w:val="single" w:sz="4" w:space="0" w:color="auto"/>
            </w:tcBorders>
            <w:shd w:val="pct50" w:color="000000" w:fill="auto"/>
            <w:hideMark/>
          </w:tcPr>
          <w:p w14:paraId="0B722942"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35A572B6"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272E90A0"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auto" w:fill="auto"/>
            <w:hideMark/>
          </w:tcPr>
          <w:p w14:paraId="406F222B"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027E8F83"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4C54376E"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55DF628F"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75D4F27F"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0567D738"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7BB8342A"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64B631A2"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3C9AEFCA"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1EEDED5B"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28B76EC9"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2021EDBD"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50AA2188"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0A1AD9" w:rsidRPr="00000F38" w14:paraId="5B689F75" w14:textId="77777777" w:rsidTr="00342ED2">
        <w:trPr>
          <w:trHeight w:val="255"/>
        </w:trPr>
        <w:tc>
          <w:tcPr>
            <w:tcW w:w="158" w:type="pct"/>
            <w:tcBorders>
              <w:top w:val="nil"/>
              <w:left w:val="single" w:sz="4" w:space="0" w:color="auto"/>
              <w:bottom w:val="single" w:sz="4" w:space="0" w:color="auto"/>
              <w:right w:val="single" w:sz="4" w:space="0" w:color="auto"/>
            </w:tcBorders>
            <w:shd w:val="clear" w:color="000000" w:fill="F2F2F2"/>
            <w:hideMark/>
          </w:tcPr>
          <w:p w14:paraId="774E12DA"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2</w:t>
            </w:r>
          </w:p>
        </w:tc>
        <w:tc>
          <w:tcPr>
            <w:tcW w:w="450" w:type="pct"/>
            <w:tcBorders>
              <w:top w:val="nil"/>
              <w:left w:val="nil"/>
              <w:bottom w:val="single" w:sz="4" w:space="0" w:color="auto"/>
              <w:right w:val="single" w:sz="4" w:space="0" w:color="auto"/>
            </w:tcBorders>
            <w:shd w:val="clear" w:color="000000" w:fill="F2F2F2"/>
            <w:hideMark/>
          </w:tcPr>
          <w:p w14:paraId="093635C7"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File Upload Security Solution</w:t>
            </w:r>
          </w:p>
        </w:tc>
        <w:tc>
          <w:tcPr>
            <w:tcW w:w="296" w:type="pct"/>
            <w:tcBorders>
              <w:top w:val="nil"/>
              <w:left w:val="nil"/>
              <w:bottom w:val="single" w:sz="4" w:space="0" w:color="auto"/>
              <w:right w:val="single" w:sz="4" w:space="0" w:color="auto"/>
            </w:tcBorders>
            <w:shd w:val="pct50" w:color="000000" w:fill="F2F2F2"/>
            <w:hideMark/>
          </w:tcPr>
          <w:p w14:paraId="7FB9BB14"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134AD96B"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398387C2"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05FBE590"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2BA26EC0"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117F8063"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636D1820"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6B436C5F"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14A1762B"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113F1AA1"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3CED3F25"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749C522B"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2C0932C2"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77ED0F1F"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5C69FF83"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697C2A1E"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r>
      <w:tr w:rsidR="000A1AD9" w:rsidRPr="00000F38" w14:paraId="0AB78464" w14:textId="77777777" w:rsidTr="00342ED2">
        <w:trPr>
          <w:trHeight w:val="255"/>
        </w:trPr>
        <w:tc>
          <w:tcPr>
            <w:tcW w:w="158" w:type="pct"/>
            <w:tcBorders>
              <w:top w:val="nil"/>
              <w:left w:val="single" w:sz="4" w:space="0" w:color="auto"/>
              <w:bottom w:val="single" w:sz="4" w:space="0" w:color="auto"/>
              <w:right w:val="single" w:sz="4" w:space="0" w:color="auto"/>
            </w:tcBorders>
            <w:shd w:val="clear" w:color="auto" w:fill="auto"/>
            <w:hideMark/>
          </w:tcPr>
          <w:p w14:paraId="57BA2E2F"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50" w:type="pct"/>
            <w:tcBorders>
              <w:top w:val="nil"/>
              <w:left w:val="nil"/>
              <w:bottom w:val="single" w:sz="4" w:space="0" w:color="auto"/>
              <w:right w:val="single" w:sz="4" w:space="0" w:color="auto"/>
            </w:tcBorders>
            <w:shd w:val="clear" w:color="auto" w:fill="auto"/>
            <w:hideMark/>
          </w:tcPr>
          <w:p w14:paraId="1C8AA362"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AMC</w:t>
            </w:r>
          </w:p>
        </w:tc>
        <w:tc>
          <w:tcPr>
            <w:tcW w:w="296" w:type="pct"/>
            <w:tcBorders>
              <w:top w:val="nil"/>
              <w:left w:val="nil"/>
              <w:bottom w:val="single" w:sz="4" w:space="0" w:color="auto"/>
              <w:right w:val="single" w:sz="4" w:space="0" w:color="auto"/>
            </w:tcBorders>
            <w:shd w:val="pct50" w:color="000000" w:fill="auto"/>
            <w:hideMark/>
          </w:tcPr>
          <w:p w14:paraId="0DAAA612"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66B1AE3E"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49767915"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pct50" w:color="000000" w:fill="auto"/>
            <w:hideMark/>
          </w:tcPr>
          <w:p w14:paraId="610FFE6F"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3DA0C011"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5AF51A8D"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pct50" w:color="000000" w:fill="auto"/>
            <w:hideMark/>
          </w:tcPr>
          <w:p w14:paraId="08086CEA"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464710BE"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2F5A2AA8"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auto" w:fill="auto"/>
            <w:hideMark/>
          </w:tcPr>
          <w:p w14:paraId="31233C82"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2FD51A06"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1D542702"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40692E80"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1E29B5E0"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41330FE4"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5EF57C89"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0A1AD9" w:rsidRPr="00000F38" w14:paraId="4EE91178" w14:textId="77777777" w:rsidTr="00342ED2">
        <w:trPr>
          <w:trHeight w:val="255"/>
        </w:trPr>
        <w:tc>
          <w:tcPr>
            <w:tcW w:w="158" w:type="pct"/>
            <w:tcBorders>
              <w:top w:val="nil"/>
              <w:left w:val="single" w:sz="4" w:space="0" w:color="auto"/>
              <w:bottom w:val="single" w:sz="4" w:space="0" w:color="auto"/>
              <w:right w:val="single" w:sz="4" w:space="0" w:color="auto"/>
            </w:tcBorders>
            <w:shd w:val="clear" w:color="auto" w:fill="auto"/>
            <w:hideMark/>
          </w:tcPr>
          <w:p w14:paraId="3D5EA407"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50" w:type="pct"/>
            <w:tcBorders>
              <w:top w:val="nil"/>
              <w:left w:val="nil"/>
              <w:bottom w:val="single" w:sz="4" w:space="0" w:color="auto"/>
              <w:right w:val="single" w:sz="4" w:space="0" w:color="auto"/>
            </w:tcBorders>
            <w:shd w:val="clear" w:color="auto" w:fill="auto"/>
            <w:hideMark/>
          </w:tcPr>
          <w:p w14:paraId="72C7871E"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ATS</w:t>
            </w:r>
          </w:p>
        </w:tc>
        <w:tc>
          <w:tcPr>
            <w:tcW w:w="296" w:type="pct"/>
            <w:tcBorders>
              <w:top w:val="nil"/>
              <w:left w:val="nil"/>
              <w:bottom w:val="single" w:sz="4" w:space="0" w:color="auto"/>
              <w:right w:val="single" w:sz="4" w:space="0" w:color="auto"/>
            </w:tcBorders>
            <w:shd w:val="pct50" w:color="000000" w:fill="auto"/>
            <w:hideMark/>
          </w:tcPr>
          <w:p w14:paraId="6B977D49"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2DAE4F3C"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13227210"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auto" w:fill="auto"/>
            <w:hideMark/>
          </w:tcPr>
          <w:p w14:paraId="2B7E8B4F"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30B311B8"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60BB8646"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151B21BF"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4CEA4898"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52EFCF80"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54F84B00"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54620F3F"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50EFD255"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1B64D6AE"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068C95D9"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5A5D67FE"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4C6B6406"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0A1AD9" w:rsidRPr="00000F38" w14:paraId="509F863B" w14:textId="77777777" w:rsidTr="00342ED2">
        <w:trPr>
          <w:trHeight w:val="255"/>
        </w:trPr>
        <w:tc>
          <w:tcPr>
            <w:tcW w:w="158" w:type="pct"/>
            <w:tcBorders>
              <w:top w:val="nil"/>
              <w:left w:val="single" w:sz="4" w:space="0" w:color="auto"/>
              <w:bottom w:val="single" w:sz="4" w:space="0" w:color="auto"/>
              <w:right w:val="single" w:sz="4" w:space="0" w:color="auto"/>
            </w:tcBorders>
            <w:shd w:val="clear" w:color="000000" w:fill="F2F2F2"/>
            <w:hideMark/>
          </w:tcPr>
          <w:p w14:paraId="5E5019E2"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3</w:t>
            </w:r>
          </w:p>
        </w:tc>
        <w:tc>
          <w:tcPr>
            <w:tcW w:w="450" w:type="pct"/>
            <w:tcBorders>
              <w:top w:val="nil"/>
              <w:left w:val="nil"/>
              <w:bottom w:val="single" w:sz="4" w:space="0" w:color="auto"/>
              <w:right w:val="single" w:sz="4" w:space="0" w:color="auto"/>
            </w:tcBorders>
            <w:shd w:val="clear" w:color="000000" w:fill="F2F2F2"/>
            <w:hideMark/>
          </w:tcPr>
          <w:p w14:paraId="41FDE584"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Attack Surface Management (ASM)</w:t>
            </w:r>
          </w:p>
        </w:tc>
        <w:tc>
          <w:tcPr>
            <w:tcW w:w="296" w:type="pct"/>
            <w:tcBorders>
              <w:top w:val="nil"/>
              <w:left w:val="nil"/>
              <w:bottom w:val="single" w:sz="4" w:space="0" w:color="auto"/>
              <w:right w:val="single" w:sz="4" w:space="0" w:color="auto"/>
            </w:tcBorders>
            <w:shd w:val="pct50" w:color="000000" w:fill="F2F2F2"/>
            <w:hideMark/>
          </w:tcPr>
          <w:p w14:paraId="445AE0CE"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6D6F0F3B"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58A846D0"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4AB1877B"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17A7656F"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0BEB0E72"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5395EAF4"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39636DAE"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36737A4A"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072726B4"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04047540"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3A12D205"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7F0FE560"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1FDF92BB"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5F0CD757"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0AAE026B"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r>
      <w:tr w:rsidR="000A1AD9" w:rsidRPr="00000F38" w14:paraId="595C1089" w14:textId="77777777" w:rsidTr="00342ED2">
        <w:trPr>
          <w:trHeight w:val="255"/>
        </w:trPr>
        <w:tc>
          <w:tcPr>
            <w:tcW w:w="158" w:type="pct"/>
            <w:tcBorders>
              <w:top w:val="nil"/>
              <w:left w:val="single" w:sz="4" w:space="0" w:color="auto"/>
              <w:bottom w:val="single" w:sz="4" w:space="0" w:color="auto"/>
              <w:right w:val="single" w:sz="4" w:space="0" w:color="auto"/>
            </w:tcBorders>
            <w:shd w:val="clear" w:color="auto" w:fill="auto"/>
            <w:hideMark/>
          </w:tcPr>
          <w:p w14:paraId="12ED6A97"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50" w:type="pct"/>
            <w:tcBorders>
              <w:top w:val="nil"/>
              <w:left w:val="nil"/>
              <w:bottom w:val="single" w:sz="4" w:space="0" w:color="auto"/>
              <w:right w:val="single" w:sz="4" w:space="0" w:color="auto"/>
            </w:tcBorders>
            <w:shd w:val="clear" w:color="auto" w:fill="auto"/>
            <w:hideMark/>
          </w:tcPr>
          <w:p w14:paraId="391EDE93"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AMC</w:t>
            </w:r>
          </w:p>
        </w:tc>
        <w:tc>
          <w:tcPr>
            <w:tcW w:w="296" w:type="pct"/>
            <w:tcBorders>
              <w:top w:val="nil"/>
              <w:left w:val="nil"/>
              <w:bottom w:val="single" w:sz="4" w:space="0" w:color="auto"/>
              <w:right w:val="single" w:sz="4" w:space="0" w:color="auto"/>
            </w:tcBorders>
            <w:shd w:val="pct50" w:color="000000" w:fill="auto"/>
            <w:hideMark/>
          </w:tcPr>
          <w:p w14:paraId="704D7E53"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67F41695"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1A1349A4"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pct50" w:color="000000" w:fill="auto"/>
            <w:hideMark/>
          </w:tcPr>
          <w:p w14:paraId="70FCE78D"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314BF74C"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4A5AE7D0"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pct50" w:color="000000" w:fill="auto"/>
            <w:hideMark/>
          </w:tcPr>
          <w:p w14:paraId="1C7C0229"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5C6BB270"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2AA960D5"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auto" w:fill="auto"/>
            <w:hideMark/>
          </w:tcPr>
          <w:p w14:paraId="3EF4A5AB"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4A84663D"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54531930"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12FA16EA"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1F4DC5A2"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05A39B4A"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70892BA3"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0A1AD9" w:rsidRPr="00000F38" w14:paraId="769F6721" w14:textId="77777777" w:rsidTr="00342ED2">
        <w:trPr>
          <w:trHeight w:val="255"/>
        </w:trPr>
        <w:tc>
          <w:tcPr>
            <w:tcW w:w="158" w:type="pct"/>
            <w:tcBorders>
              <w:top w:val="nil"/>
              <w:left w:val="single" w:sz="4" w:space="0" w:color="auto"/>
              <w:bottom w:val="single" w:sz="4" w:space="0" w:color="auto"/>
              <w:right w:val="single" w:sz="4" w:space="0" w:color="auto"/>
            </w:tcBorders>
            <w:shd w:val="clear" w:color="auto" w:fill="auto"/>
            <w:hideMark/>
          </w:tcPr>
          <w:p w14:paraId="3BF34F95"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50" w:type="pct"/>
            <w:tcBorders>
              <w:top w:val="nil"/>
              <w:left w:val="nil"/>
              <w:bottom w:val="single" w:sz="4" w:space="0" w:color="auto"/>
              <w:right w:val="single" w:sz="4" w:space="0" w:color="auto"/>
            </w:tcBorders>
            <w:shd w:val="clear" w:color="auto" w:fill="auto"/>
            <w:hideMark/>
          </w:tcPr>
          <w:p w14:paraId="0040CB9E"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ATS</w:t>
            </w:r>
          </w:p>
        </w:tc>
        <w:tc>
          <w:tcPr>
            <w:tcW w:w="296" w:type="pct"/>
            <w:tcBorders>
              <w:top w:val="nil"/>
              <w:left w:val="nil"/>
              <w:bottom w:val="single" w:sz="4" w:space="0" w:color="auto"/>
              <w:right w:val="single" w:sz="4" w:space="0" w:color="auto"/>
            </w:tcBorders>
            <w:shd w:val="pct50" w:color="000000" w:fill="auto"/>
            <w:hideMark/>
          </w:tcPr>
          <w:p w14:paraId="50D0209F"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5B8064C1"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67A6250A"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auto" w:fill="auto"/>
            <w:hideMark/>
          </w:tcPr>
          <w:p w14:paraId="6BE7E42B"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3A294945"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5CECBB73"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00E00D63"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2E6E43F1"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57313823"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164375EA"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350F500D"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277EC57C"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456AF9D1"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33FEA39D"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4AD78BF6"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4A21329C"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0A1AD9" w:rsidRPr="00000F38" w14:paraId="2BC02F77" w14:textId="77777777" w:rsidTr="00342ED2">
        <w:trPr>
          <w:trHeight w:val="510"/>
        </w:trPr>
        <w:tc>
          <w:tcPr>
            <w:tcW w:w="158" w:type="pct"/>
            <w:tcBorders>
              <w:top w:val="nil"/>
              <w:left w:val="single" w:sz="4" w:space="0" w:color="auto"/>
              <w:bottom w:val="single" w:sz="4" w:space="0" w:color="auto"/>
              <w:right w:val="single" w:sz="4" w:space="0" w:color="auto"/>
            </w:tcBorders>
            <w:shd w:val="clear" w:color="000000" w:fill="F2F2F2"/>
            <w:hideMark/>
          </w:tcPr>
          <w:p w14:paraId="5C4462BC"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4</w:t>
            </w:r>
          </w:p>
        </w:tc>
        <w:tc>
          <w:tcPr>
            <w:tcW w:w="450" w:type="pct"/>
            <w:tcBorders>
              <w:top w:val="nil"/>
              <w:left w:val="nil"/>
              <w:bottom w:val="single" w:sz="4" w:space="0" w:color="auto"/>
              <w:right w:val="single" w:sz="4" w:space="0" w:color="auto"/>
            </w:tcBorders>
            <w:shd w:val="clear" w:color="000000" w:fill="F2F2F2"/>
            <w:hideMark/>
          </w:tcPr>
          <w:p w14:paraId="468CA8FA"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Breach and Attack Simulation (BAS) with Red Team Solution</w:t>
            </w:r>
          </w:p>
        </w:tc>
        <w:tc>
          <w:tcPr>
            <w:tcW w:w="296" w:type="pct"/>
            <w:tcBorders>
              <w:top w:val="nil"/>
              <w:left w:val="nil"/>
              <w:bottom w:val="single" w:sz="4" w:space="0" w:color="auto"/>
              <w:right w:val="single" w:sz="4" w:space="0" w:color="auto"/>
            </w:tcBorders>
            <w:shd w:val="pct50" w:color="000000" w:fill="F2F2F2"/>
            <w:hideMark/>
          </w:tcPr>
          <w:p w14:paraId="1D3B6121"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0A09EE75"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3A0DAC36"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399465D0"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0D12C05F"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236AADE4"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4E9DD234"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1795EE95"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6DEE8DDD"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73C538EA"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70255CEB"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646AA392"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6A121026"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52026229"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407CAF5D"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0A604EEA"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r>
      <w:tr w:rsidR="000A1AD9" w:rsidRPr="00000F38" w14:paraId="3F642C2C" w14:textId="77777777" w:rsidTr="00342ED2">
        <w:trPr>
          <w:trHeight w:val="255"/>
        </w:trPr>
        <w:tc>
          <w:tcPr>
            <w:tcW w:w="158" w:type="pct"/>
            <w:tcBorders>
              <w:top w:val="nil"/>
              <w:left w:val="single" w:sz="4" w:space="0" w:color="auto"/>
              <w:bottom w:val="single" w:sz="4" w:space="0" w:color="auto"/>
              <w:right w:val="single" w:sz="4" w:space="0" w:color="auto"/>
            </w:tcBorders>
            <w:shd w:val="clear" w:color="auto" w:fill="auto"/>
            <w:hideMark/>
          </w:tcPr>
          <w:p w14:paraId="06E9B483"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50" w:type="pct"/>
            <w:tcBorders>
              <w:top w:val="nil"/>
              <w:left w:val="nil"/>
              <w:bottom w:val="single" w:sz="4" w:space="0" w:color="auto"/>
              <w:right w:val="single" w:sz="4" w:space="0" w:color="auto"/>
            </w:tcBorders>
            <w:shd w:val="clear" w:color="auto" w:fill="auto"/>
            <w:hideMark/>
          </w:tcPr>
          <w:p w14:paraId="4EBEB59E"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AMC</w:t>
            </w:r>
          </w:p>
        </w:tc>
        <w:tc>
          <w:tcPr>
            <w:tcW w:w="296" w:type="pct"/>
            <w:tcBorders>
              <w:top w:val="nil"/>
              <w:left w:val="nil"/>
              <w:bottom w:val="single" w:sz="4" w:space="0" w:color="auto"/>
              <w:right w:val="single" w:sz="4" w:space="0" w:color="auto"/>
            </w:tcBorders>
            <w:shd w:val="pct50" w:color="000000" w:fill="auto"/>
            <w:hideMark/>
          </w:tcPr>
          <w:p w14:paraId="054A58CD"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103D6141"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1DC8B79B"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pct50" w:color="000000" w:fill="auto"/>
            <w:hideMark/>
          </w:tcPr>
          <w:p w14:paraId="3838899B"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6C03C00B"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66EB63CC"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pct50" w:color="000000" w:fill="auto"/>
            <w:hideMark/>
          </w:tcPr>
          <w:p w14:paraId="6F608869"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655E1549"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65637625"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auto" w:fill="auto"/>
            <w:hideMark/>
          </w:tcPr>
          <w:p w14:paraId="33B86779"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4466545D"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24BF5199"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5AAA1DF1"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4B4B8BB4"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2C3B5A79"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7C0AA4E0"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0A1AD9" w:rsidRPr="00000F38" w14:paraId="17F48017" w14:textId="77777777" w:rsidTr="00342ED2">
        <w:trPr>
          <w:trHeight w:val="255"/>
        </w:trPr>
        <w:tc>
          <w:tcPr>
            <w:tcW w:w="158" w:type="pct"/>
            <w:tcBorders>
              <w:top w:val="nil"/>
              <w:left w:val="single" w:sz="4" w:space="0" w:color="auto"/>
              <w:bottom w:val="single" w:sz="4" w:space="0" w:color="auto"/>
              <w:right w:val="single" w:sz="4" w:space="0" w:color="auto"/>
            </w:tcBorders>
            <w:shd w:val="clear" w:color="auto" w:fill="auto"/>
            <w:hideMark/>
          </w:tcPr>
          <w:p w14:paraId="00FF6523"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50" w:type="pct"/>
            <w:tcBorders>
              <w:top w:val="nil"/>
              <w:left w:val="nil"/>
              <w:bottom w:val="single" w:sz="4" w:space="0" w:color="auto"/>
              <w:right w:val="single" w:sz="4" w:space="0" w:color="auto"/>
            </w:tcBorders>
            <w:shd w:val="clear" w:color="auto" w:fill="auto"/>
            <w:hideMark/>
          </w:tcPr>
          <w:p w14:paraId="60D79853"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ATS</w:t>
            </w:r>
          </w:p>
        </w:tc>
        <w:tc>
          <w:tcPr>
            <w:tcW w:w="296" w:type="pct"/>
            <w:tcBorders>
              <w:top w:val="nil"/>
              <w:left w:val="nil"/>
              <w:bottom w:val="single" w:sz="4" w:space="0" w:color="auto"/>
              <w:right w:val="single" w:sz="4" w:space="0" w:color="auto"/>
            </w:tcBorders>
            <w:shd w:val="pct50" w:color="000000" w:fill="auto"/>
            <w:hideMark/>
          </w:tcPr>
          <w:p w14:paraId="49FB933A"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534BECAA"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22C3125F"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auto" w:fill="auto"/>
            <w:hideMark/>
          </w:tcPr>
          <w:p w14:paraId="30A48D78"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33D40EF5"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694EA917"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09B9BA44"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352B6D30"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5E08A3E6"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0C84AA1D"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587EE22A"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16B757FA"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12B6C8D2"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0942E035"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65A00268"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46892F9D"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0A1AD9" w:rsidRPr="00000F38" w14:paraId="0653EDAF" w14:textId="77777777" w:rsidTr="00342ED2">
        <w:trPr>
          <w:trHeight w:val="255"/>
        </w:trPr>
        <w:tc>
          <w:tcPr>
            <w:tcW w:w="158" w:type="pct"/>
            <w:tcBorders>
              <w:top w:val="nil"/>
              <w:left w:val="single" w:sz="4" w:space="0" w:color="auto"/>
              <w:bottom w:val="single" w:sz="4" w:space="0" w:color="auto"/>
              <w:right w:val="single" w:sz="4" w:space="0" w:color="auto"/>
            </w:tcBorders>
            <w:shd w:val="clear" w:color="000000" w:fill="F2F2F2"/>
            <w:hideMark/>
          </w:tcPr>
          <w:p w14:paraId="19E2B4F8"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5</w:t>
            </w:r>
          </w:p>
        </w:tc>
        <w:tc>
          <w:tcPr>
            <w:tcW w:w="450" w:type="pct"/>
            <w:tcBorders>
              <w:top w:val="nil"/>
              <w:left w:val="nil"/>
              <w:bottom w:val="single" w:sz="4" w:space="0" w:color="auto"/>
              <w:right w:val="single" w:sz="4" w:space="0" w:color="auto"/>
            </w:tcBorders>
            <w:shd w:val="clear" w:color="000000" w:fill="F2F2F2"/>
            <w:hideMark/>
          </w:tcPr>
          <w:p w14:paraId="294553EE"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Phishing Simulation</w:t>
            </w:r>
          </w:p>
        </w:tc>
        <w:tc>
          <w:tcPr>
            <w:tcW w:w="296" w:type="pct"/>
            <w:tcBorders>
              <w:top w:val="nil"/>
              <w:left w:val="nil"/>
              <w:bottom w:val="single" w:sz="4" w:space="0" w:color="auto"/>
              <w:right w:val="single" w:sz="4" w:space="0" w:color="auto"/>
            </w:tcBorders>
            <w:shd w:val="pct50" w:color="000000" w:fill="F2F2F2"/>
            <w:hideMark/>
          </w:tcPr>
          <w:p w14:paraId="63B19006"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2DEF29B8"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4B205521"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326EB24C"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5BBAE93F"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2C92F559"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1CDB1A8C"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1C961DB7"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45FEB971"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581CF439"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69D2162E"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3BA9DCFF"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7E8FE6E5"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7199CB3C"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3416BA4E"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66F5FF67"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r>
      <w:tr w:rsidR="000A1AD9" w:rsidRPr="00000F38" w14:paraId="11F025CB" w14:textId="77777777" w:rsidTr="00342ED2">
        <w:trPr>
          <w:trHeight w:val="255"/>
        </w:trPr>
        <w:tc>
          <w:tcPr>
            <w:tcW w:w="158" w:type="pct"/>
            <w:tcBorders>
              <w:top w:val="nil"/>
              <w:left w:val="single" w:sz="4" w:space="0" w:color="auto"/>
              <w:bottom w:val="single" w:sz="4" w:space="0" w:color="auto"/>
              <w:right w:val="single" w:sz="4" w:space="0" w:color="auto"/>
            </w:tcBorders>
            <w:shd w:val="clear" w:color="auto" w:fill="auto"/>
            <w:hideMark/>
          </w:tcPr>
          <w:p w14:paraId="5CD20F31"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50" w:type="pct"/>
            <w:tcBorders>
              <w:top w:val="nil"/>
              <w:left w:val="nil"/>
              <w:bottom w:val="single" w:sz="4" w:space="0" w:color="auto"/>
              <w:right w:val="single" w:sz="4" w:space="0" w:color="auto"/>
            </w:tcBorders>
            <w:shd w:val="clear" w:color="auto" w:fill="auto"/>
            <w:hideMark/>
          </w:tcPr>
          <w:p w14:paraId="019DA29F"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AMC</w:t>
            </w:r>
          </w:p>
        </w:tc>
        <w:tc>
          <w:tcPr>
            <w:tcW w:w="296" w:type="pct"/>
            <w:tcBorders>
              <w:top w:val="nil"/>
              <w:left w:val="nil"/>
              <w:bottom w:val="single" w:sz="4" w:space="0" w:color="auto"/>
              <w:right w:val="single" w:sz="4" w:space="0" w:color="auto"/>
            </w:tcBorders>
            <w:shd w:val="pct50" w:color="000000" w:fill="auto"/>
            <w:hideMark/>
          </w:tcPr>
          <w:p w14:paraId="17745CBF"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6616BA97"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110128D5"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pct50" w:color="000000" w:fill="auto"/>
            <w:hideMark/>
          </w:tcPr>
          <w:p w14:paraId="748839CF"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291EB083"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1966643D"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pct50" w:color="000000" w:fill="auto"/>
            <w:hideMark/>
          </w:tcPr>
          <w:p w14:paraId="0820390D"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573966BC"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50273148"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auto" w:fill="auto"/>
            <w:hideMark/>
          </w:tcPr>
          <w:p w14:paraId="0A9A8215"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647D1AD2"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2E7AD729"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399D16D0"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5A80F803"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20B76BC0"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37AD645D"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0A1AD9" w:rsidRPr="00000F38" w14:paraId="5883B9F6" w14:textId="77777777" w:rsidTr="00342ED2">
        <w:trPr>
          <w:trHeight w:val="255"/>
        </w:trPr>
        <w:tc>
          <w:tcPr>
            <w:tcW w:w="158" w:type="pct"/>
            <w:tcBorders>
              <w:top w:val="nil"/>
              <w:left w:val="single" w:sz="4" w:space="0" w:color="auto"/>
              <w:bottom w:val="single" w:sz="4" w:space="0" w:color="auto"/>
              <w:right w:val="single" w:sz="4" w:space="0" w:color="auto"/>
            </w:tcBorders>
            <w:shd w:val="clear" w:color="auto" w:fill="auto"/>
            <w:hideMark/>
          </w:tcPr>
          <w:p w14:paraId="44E6A6B3"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50" w:type="pct"/>
            <w:tcBorders>
              <w:top w:val="nil"/>
              <w:left w:val="nil"/>
              <w:bottom w:val="single" w:sz="4" w:space="0" w:color="auto"/>
              <w:right w:val="single" w:sz="4" w:space="0" w:color="auto"/>
            </w:tcBorders>
            <w:shd w:val="clear" w:color="auto" w:fill="auto"/>
            <w:hideMark/>
          </w:tcPr>
          <w:p w14:paraId="5F960594"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ATS</w:t>
            </w:r>
          </w:p>
        </w:tc>
        <w:tc>
          <w:tcPr>
            <w:tcW w:w="296" w:type="pct"/>
            <w:tcBorders>
              <w:top w:val="nil"/>
              <w:left w:val="nil"/>
              <w:bottom w:val="single" w:sz="4" w:space="0" w:color="auto"/>
              <w:right w:val="single" w:sz="4" w:space="0" w:color="auto"/>
            </w:tcBorders>
            <w:shd w:val="pct50" w:color="000000" w:fill="auto"/>
            <w:hideMark/>
          </w:tcPr>
          <w:p w14:paraId="1960F5D4"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37C3918B"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64B35EEE"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auto" w:fill="auto"/>
            <w:hideMark/>
          </w:tcPr>
          <w:p w14:paraId="504DBDB5"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51739C26"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5B3A3E03"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6469DB9E"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4C1B3721"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4B1EDB0F"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79C6A1C4"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5438DBCE"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24555491"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7899F346"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4516B1E6"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12B3ACEF"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11FE0147"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0A1AD9" w:rsidRPr="00000F38" w14:paraId="5BCF693A" w14:textId="77777777" w:rsidTr="00342ED2">
        <w:trPr>
          <w:trHeight w:val="255"/>
        </w:trPr>
        <w:tc>
          <w:tcPr>
            <w:tcW w:w="158" w:type="pct"/>
            <w:tcBorders>
              <w:top w:val="nil"/>
              <w:left w:val="single" w:sz="4" w:space="0" w:color="auto"/>
              <w:bottom w:val="single" w:sz="4" w:space="0" w:color="auto"/>
              <w:right w:val="single" w:sz="4" w:space="0" w:color="auto"/>
            </w:tcBorders>
            <w:shd w:val="clear" w:color="000000" w:fill="F2F2F2"/>
            <w:hideMark/>
          </w:tcPr>
          <w:p w14:paraId="508202E9"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lastRenderedPageBreak/>
              <w:t>6</w:t>
            </w:r>
          </w:p>
        </w:tc>
        <w:tc>
          <w:tcPr>
            <w:tcW w:w="450" w:type="pct"/>
            <w:tcBorders>
              <w:top w:val="nil"/>
              <w:left w:val="nil"/>
              <w:bottom w:val="single" w:sz="4" w:space="0" w:color="auto"/>
              <w:right w:val="single" w:sz="4" w:space="0" w:color="auto"/>
            </w:tcBorders>
            <w:shd w:val="clear" w:color="000000" w:fill="F2F2F2"/>
            <w:hideMark/>
          </w:tcPr>
          <w:p w14:paraId="26B677BE"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AD Security</w:t>
            </w:r>
          </w:p>
        </w:tc>
        <w:tc>
          <w:tcPr>
            <w:tcW w:w="296" w:type="pct"/>
            <w:tcBorders>
              <w:top w:val="nil"/>
              <w:left w:val="nil"/>
              <w:bottom w:val="single" w:sz="4" w:space="0" w:color="auto"/>
              <w:right w:val="single" w:sz="4" w:space="0" w:color="auto"/>
            </w:tcBorders>
            <w:shd w:val="pct50" w:color="000000" w:fill="F2F2F2"/>
            <w:hideMark/>
          </w:tcPr>
          <w:p w14:paraId="411C785C"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7C422E12"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11EE61C7"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0129BEE0"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398C57F7"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5817683C"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1506B25F"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3CF5A18E"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3643A385"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5BE50479"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7BE98A05"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4960C984"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211FB5C8"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588D718D"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454A1B65"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4709BE1E"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r>
      <w:tr w:rsidR="000A1AD9" w:rsidRPr="00000F38" w14:paraId="43C92198" w14:textId="77777777" w:rsidTr="00342ED2">
        <w:trPr>
          <w:trHeight w:val="255"/>
        </w:trPr>
        <w:tc>
          <w:tcPr>
            <w:tcW w:w="158" w:type="pct"/>
            <w:tcBorders>
              <w:top w:val="nil"/>
              <w:left w:val="single" w:sz="4" w:space="0" w:color="auto"/>
              <w:bottom w:val="single" w:sz="4" w:space="0" w:color="auto"/>
              <w:right w:val="single" w:sz="4" w:space="0" w:color="auto"/>
            </w:tcBorders>
            <w:shd w:val="clear" w:color="auto" w:fill="auto"/>
            <w:hideMark/>
          </w:tcPr>
          <w:p w14:paraId="3F04B83A"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50" w:type="pct"/>
            <w:tcBorders>
              <w:top w:val="nil"/>
              <w:left w:val="nil"/>
              <w:bottom w:val="single" w:sz="4" w:space="0" w:color="auto"/>
              <w:right w:val="single" w:sz="4" w:space="0" w:color="auto"/>
            </w:tcBorders>
            <w:shd w:val="clear" w:color="auto" w:fill="auto"/>
            <w:hideMark/>
          </w:tcPr>
          <w:p w14:paraId="331C60F6"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AMC</w:t>
            </w:r>
          </w:p>
        </w:tc>
        <w:tc>
          <w:tcPr>
            <w:tcW w:w="296" w:type="pct"/>
            <w:tcBorders>
              <w:top w:val="nil"/>
              <w:left w:val="nil"/>
              <w:bottom w:val="single" w:sz="4" w:space="0" w:color="auto"/>
              <w:right w:val="single" w:sz="4" w:space="0" w:color="auto"/>
            </w:tcBorders>
            <w:shd w:val="pct50" w:color="000000" w:fill="auto"/>
            <w:hideMark/>
          </w:tcPr>
          <w:p w14:paraId="62C099AD"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11D479A9"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1F4C0CE2"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pct50" w:color="000000" w:fill="auto"/>
            <w:hideMark/>
          </w:tcPr>
          <w:p w14:paraId="4396EE54"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1041D726"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48E77CFC"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pct50" w:color="000000" w:fill="auto"/>
            <w:hideMark/>
          </w:tcPr>
          <w:p w14:paraId="73B2A184"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26EB3A38"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29253429"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auto" w:fill="auto"/>
            <w:hideMark/>
          </w:tcPr>
          <w:p w14:paraId="134EDD1E"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538581AB"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43CC58AF"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11730A11"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0555F583"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4DB85311"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3357A106"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0A1AD9" w:rsidRPr="00000F38" w14:paraId="136A83DD" w14:textId="77777777" w:rsidTr="00342ED2">
        <w:trPr>
          <w:trHeight w:val="255"/>
        </w:trPr>
        <w:tc>
          <w:tcPr>
            <w:tcW w:w="158" w:type="pct"/>
            <w:tcBorders>
              <w:top w:val="nil"/>
              <w:left w:val="single" w:sz="4" w:space="0" w:color="auto"/>
              <w:bottom w:val="single" w:sz="4" w:space="0" w:color="auto"/>
              <w:right w:val="single" w:sz="4" w:space="0" w:color="auto"/>
            </w:tcBorders>
            <w:shd w:val="clear" w:color="auto" w:fill="auto"/>
            <w:hideMark/>
          </w:tcPr>
          <w:p w14:paraId="161AA9D3"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50" w:type="pct"/>
            <w:tcBorders>
              <w:top w:val="nil"/>
              <w:left w:val="nil"/>
              <w:bottom w:val="single" w:sz="4" w:space="0" w:color="auto"/>
              <w:right w:val="single" w:sz="4" w:space="0" w:color="auto"/>
            </w:tcBorders>
            <w:shd w:val="clear" w:color="auto" w:fill="auto"/>
            <w:hideMark/>
          </w:tcPr>
          <w:p w14:paraId="17F1C2D2"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ATS</w:t>
            </w:r>
          </w:p>
        </w:tc>
        <w:tc>
          <w:tcPr>
            <w:tcW w:w="296" w:type="pct"/>
            <w:tcBorders>
              <w:top w:val="nil"/>
              <w:left w:val="nil"/>
              <w:bottom w:val="single" w:sz="4" w:space="0" w:color="auto"/>
              <w:right w:val="single" w:sz="4" w:space="0" w:color="auto"/>
            </w:tcBorders>
            <w:shd w:val="pct50" w:color="000000" w:fill="auto"/>
            <w:hideMark/>
          </w:tcPr>
          <w:p w14:paraId="30CBAA7D"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105839BB"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23AB76E1"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auto" w:fill="auto"/>
            <w:hideMark/>
          </w:tcPr>
          <w:p w14:paraId="03FC5535"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025D7FF7"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5802D290"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7F54C21E"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71A7E7A4"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516E6A66"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13F4B395"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2D9A1D84"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0C6B2840"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05F3C3D2"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73ABF4FA"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26E202AC"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478D5108"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0A1AD9" w:rsidRPr="00000F38" w14:paraId="30A691B5" w14:textId="77777777" w:rsidTr="00342ED2">
        <w:trPr>
          <w:trHeight w:val="255"/>
        </w:trPr>
        <w:tc>
          <w:tcPr>
            <w:tcW w:w="158" w:type="pct"/>
            <w:tcBorders>
              <w:top w:val="nil"/>
              <w:left w:val="single" w:sz="4" w:space="0" w:color="auto"/>
              <w:bottom w:val="single" w:sz="4" w:space="0" w:color="auto"/>
              <w:right w:val="single" w:sz="4" w:space="0" w:color="auto"/>
            </w:tcBorders>
            <w:shd w:val="clear" w:color="000000" w:fill="F2F2F2"/>
            <w:hideMark/>
          </w:tcPr>
          <w:p w14:paraId="78517499"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7</w:t>
            </w:r>
          </w:p>
        </w:tc>
        <w:tc>
          <w:tcPr>
            <w:tcW w:w="450" w:type="pct"/>
            <w:tcBorders>
              <w:top w:val="nil"/>
              <w:left w:val="nil"/>
              <w:bottom w:val="single" w:sz="4" w:space="0" w:color="auto"/>
              <w:right w:val="single" w:sz="4" w:space="0" w:color="auto"/>
            </w:tcBorders>
            <w:shd w:val="clear" w:color="000000" w:fill="F2F2F2"/>
            <w:hideMark/>
          </w:tcPr>
          <w:p w14:paraId="67F2FE13"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Governance, Risk and Compliance</w:t>
            </w:r>
          </w:p>
        </w:tc>
        <w:tc>
          <w:tcPr>
            <w:tcW w:w="296" w:type="pct"/>
            <w:tcBorders>
              <w:top w:val="nil"/>
              <w:left w:val="nil"/>
              <w:bottom w:val="single" w:sz="4" w:space="0" w:color="auto"/>
              <w:right w:val="single" w:sz="4" w:space="0" w:color="auto"/>
            </w:tcBorders>
            <w:shd w:val="pct50" w:color="000000" w:fill="F2F2F2"/>
            <w:hideMark/>
          </w:tcPr>
          <w:p w14:paraId="700A1FB4"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4F6F1F72"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75163758"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7056307D"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358F1FA0"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4EBD0C79"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45946582"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6907071D"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4DA8CA09"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5F5BA7B0"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5A3D04C5"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71ECE0BD"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2776B76F"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1067F212"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7EBE60B8"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68917E48"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r>
      <w:tr w:rsidR="000A1AD9" w:rsidRPr="00000F38" w14:paraId="38B3E2B4" w14:textId="77777777" w:rsidTr="00342ED2">
        <w:trPr>
          <w:trHeight w:val="255"/>
        </w:trPr>
        <w:tc>
          <w:tcPr>
            <w:tcW w:w="158" w:type="pct"/>
            <w:tcBorders>
              <w:top w:val="nil"/>
              <w:left w:val="single" w:sz="4" w:space="0" w:color="auto"/>
              <w:bottom w:val="single" w:sz="4" w:space="0" w:color="auto"/>
              <w:right w:val="single" w:sz="4" w:space="0" w:color="auto"/>
            </w:tcBorders>
            <w:shd w:val="clear" w:color="auto" w:fill="auto"/>
            <w:hideMark/>
          </w:tcPr>
          <w:p w14:paraId="0130A8C5"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50" w:type="pct"/>
            <w:tcBorders>
              <w:top w:val="nil"/>
              <w:left w:val="nil"/>
              <w:bottom w:val="single" w:sz="4" w:space="0" w:color="auto"/>
              <w:right w:val="single" w:sz="4" w:space="0" w:color="auto"/>
            </w:tcBorders>
            <w:shd w:val="clear" w:color="auto" w:fill="auto"/>
            <w:hideMark/>
          </w:tcPr>
          <w:p w14:paraId="42C74324"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AMC</w:t>
            </w:r>
          </w:p>
        </w:tc>
        <w:tc>
          <w:tcPr>
            <w:tcW w:w="296" w:type="pct"/>
            <w:tcBorders>
              <w:top w:val="nil"/>
              <w:left w:val="nil"/>
              <w:bottom w:val="single" w:sz="4" w:space="0" w:color="auto"/>
              <w:right w:val="single" w:sz="4" w:space="0" w:color="auto"/>
            </w:tcBorders>
            <w:shd w:val="pct50" w:color="000000" w:fill="auto"/>
            <w:hideMark/>
          </w:tcPr>
          <w:p w14:paraId="7167910C"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2D345DEA"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4D03AADB"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pct50" w:color="000000" w:fill="auto"/>
            <w:hideMark/>
          </w:tcPr>
          <w:p w14:paraId="20BE6D06"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44695460"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17D6AE82"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pct50" w:color="000000" w:fill="auto"/>
            <w:hideMark/>
          </w:tcPr>
          <w:p w14:paraId="21F17D95"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486B7420"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5D52D5E7"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auto" w:fill="auto"/>
            <w:hideMark/>
          </w:tcPr>
          <w:p w14:paraId="4DE4D66F"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5F034028"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1AC12496"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7EA5511A"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27253EA5"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5AE0FE81"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04908E68"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0A1AD9" w:rsidRPr="00000F38" w14:paraId="1B7D0B0C" w14:textId="77777777" w:rsidTr="00342ED2">
        <w:trPr>
          <w:trHeight w:val="255"/>
        </w:trPr>
        <w:tc>
          <w:tcPr>
            <w:tcW w:w="158" w:type="pct"/>
            <w:tcBorders>
              <w:top w:val="nil"/>
              <w:left w:val="single" w:sz="4" w:space="0" w:color="auto"/>
              <w:bottom w:val="single" w:sz="4" w:space="0" w:color="auto"/>
              <w:right w:val="single" w:sz="4" w:space="0" w:color="auto"/>
            </w:tcBorders>
            <w:shd w:val="clear" w:color="auto" w:fill="auto"/>
            <w:hideMark/>
          </w:tcPr>
          <w:p w14:paraId="680CF2B3"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50" w:type="pct"/>
            <w:tcBorders>
              <w:top w:val="nil"/>
              <w:left w:val="nil"/>
              <w:bottom w:val="single" w:sz="4" w:space="0" w:color="auto"/>
              <w:right w:val="single" w:sz="4" w:space="0" w:color="auto"/>
            </w:tcBorders>
            <w:shd w:val="clear" w:color="auto" w:fill="auto"/>
            <w:hideMark/>
          </w:tcPr>
          <w:p w14:paraId="53C798AA"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ATS</w:t>
            </w:r>
          </w:p>
        </w:tc>
        <w:tc>
          <w:tcPr>
            <w:tcW w:w="296" w:type="pct"/>
            <w:tcBorders>
              <w:top w:val="nil"/>
              <w:left w:val="nil"/>
              <w:bottom w:val="single" w:sz="4" w:space="0" w:color="auto"/>
              <w:right w:val="single" w:sz="4" w:space="0" w:color="auto"/>
            </w:tcBorders>
            <w:shd w:val="pct50" w:color="000000" w:fill="auto"/>
            <w:hideMark/>
          </w:tcPr>
          <w:p w14:paraId="2B389138"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3427D48E"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771222CD"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auto" w:fill="auto"/>
            <w:hideMark/>
          </w:tcPr>
          <w:p w14:paraId="0DCDFCCD"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3267EE5C"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58300780"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459CAFA9"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270BD165"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0B6CD1DB"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68BB80F1"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7C4E9B34"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6EA50B2E"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4CAAD620"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50E5718D"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0D420598"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38DD43C1"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0A1AD9" w:rsidRPr="00000F38" w14:paraId="7DC42F14" w14:textId="77777777" w:rsidTr="00342ED2">
        <w:trPr>
          <w:trHeight w:val="255"/>
        </w:trPr>
        <w:tc>
          <w:tcPr>
            <w:tcW w:w="158" w:type="pct"/>
            <w:tcBorders>
              <w:top w:val="nil"/>
              <w:left w:val="single" w:sz="4" w:space="0" w:color="auto"/>
              <w:bottom w:val="single" w:sz="4" w:space="0" w:color="auto"/>
              <w:right w:val="single" w:sz="4" w:space="0" w:color="auto"/>
            </w:tcBorders>
            <w:shd w:val="clear" w:color="000000" w:fill="F2F2F2"/>
            <w:hideMark/>
          </w:tcPr>
          <w:p w14:paraId="271D8D39"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8</w:t>
            </w:r>
          </w:p>
        </w:tc>
        <w:tc>
          <w:tcPr>
            <w:tcW w:w="450" w:type="pct"/>
            <w:tcBorders>
              <w:top w:val="nil"/>
              <w:left w:val="nil"/>
              <w:bottom w:val="single" w:sz="4" w:space="0" w:color="auto"/>
              <w:right w:val="single" w:sz="4" w:space="0" w:color="auto"/>
            </w:tcBorders>
            <w:shd w:val="clear" w:color="000000" w:fill="F2F2F2"/>
            <w:hideMark/>
          </w:tcPr>
          <w:p w14:paraId="33BF9096"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Decoy (Honeypot)</w:t>
            </w:r>
          </w:p>
        </w:tc>
        <w:tc>
          <w:tcPr>
            <w:tcW w:w="296" w:type="pct"/>
            <w:tcBorders>
              <w:top w:val="nil"/>
              <w:left w:val="nil"/>
              <w:bottom w:val="single" w:sz="4" w:space="0" w:color="auto"/>
              <w:right w:val="single" w:sz="4" w:space="0" w:color="auto"/>
            </w:tcBorders>
            <w:shd w:val="pct50" w:color="000000" w:fill="F2F2F2"/>
            <w:hideMark/>
          </w:tcPr>
          <w:p w14:paraId="571A8BE7"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30760CB6"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3BD27C42"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14F5B729"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318068CD"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26415033"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32AE7232"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695FAE72"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16B433CB"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1A33A733"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4AA208B3"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45348535"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0AE7155A"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5E2AE207"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2E2E198F"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399755D2"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r>
      <w:tr w:rsidR="000A1AD9" w:rsidRPr="00000F38" w14:paraId="5B98D9BA" w14:textId="77777777" w:rsidTr="00342ED2">
        <w:trPr>
          <w:trHeight w:val="255"/>
        </w:trPr>
        <w:tc>
          <w:tcPr>
            <w:tcW w:w="158" w:type="pct"/>
            <w:tcBorders>
              <w:top w:val="nil"/>
              <w:left w:val="single" w:sz="4" w:space="0" w:color="auto"/>
              <w:bottom w:val="single" w:sz="4" w:space="0" w:color="auto"/>
              <w:right w:val="single" w:sz="4" w:space="0" w:color="auto"/>
            </w:tcBorders>
            <w:shd w:val="clear" w:color="auto" w:fill="auto"/>
            <w:hideMark/>
          </w:tcPr>
          <w:p w14:paraId="6A4F11A4"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50" w:type="pct"/>
            <w:tcBorders>
              <w:top w:val="nil"/>
              <w:left w:val="nil"/>
              <w:bottom w:val="single" w:sz="4" w:space="0" w:color="auto"/>
              <w:right w:val="single" w:sz="4" w:space="0" w:color="auto"/>
            </w:tcBorders>
            <w:shd w:val="clear" w:color="auto" w:fill="auto"/>
            <w:hideMark/>
          </w:tcPr>
          <w:p w14:paraId="7664B8AF"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AMC</w:t>
            </w:r>
          </w:p>
        </w:tc>
        <w:tc>
          <w:tcPr>
            <w:tcW w:w="296" w:type="pct"/>
            <w:tcBorders>
              <w:top w:val="nil"/>
              <w:left w:val="nil"/>
              <w:bottom w:val="single" w:sz="4" w:space="0" w:color="auto"/>
              <w:right w:val="single" w:sz="4" w:space="0" w:color="auto"/>
            </w:tcBorders>
            <w:shd w:val="pct50" w:color="000000" w:fill="auto"/>
            <w:hideMark/>
          </w:tcPr>
          <w:p w14:paraId="110E184C"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64C6E5DD"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3D6D2959"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pct50" w:color="000000" w:fill="auto"/>
            <w:hideMark/>
          </w:tcPr>
          <w:p w14:paraId="1FD821E9"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4199B4AC"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40B4F9D5"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pct50" w:color="000000" w:fill="auto"/>
            <w:hideMark/>
          </w:tcPr>
          <w:p w14:paraId="79E147ED"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52915059"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2BC44CE9"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auto" w:fill="auto"/>
            <w:hideMark/>
          </w:tcPr>
          <w:p w14:paraId="24C753AC"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0DE1BCD6"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28161EEE"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73AD6B59"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5EFC1BD5"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08C4A6CE"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7B3FD9F1"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0A1AD9" w:rsidRPr="00000F38" w14:paraId="127F8519" w14:textId="77777777" w:rsidTr="00342ED2">
        <w:trPr>
          <w:trHeight w:val="255"/>
        </w:trPr>
        <w:tc>
          <w:tcPr>
            <w:tcW w:w="158" w:type="pct"/>
            <w:tcBorders>
              <w:top w:val="nil"/>
              <w:left w:val="single" w:sz="4" w:space="0" w:color="auto"/>
              <w:bottom w:val="single" w:sz="4" w:space="0" w:color="auto"/>
              <w:right w:val="single" w:sz="4" w:space="0" w:color="auto"/>
            </w:tcBorders>
            <w:shd w:val="clear" w:color="auto" w:fill="auto"/>
            <w:hideMark/>
          </w:tcPr>
          <w:p w14:paraId="11E5930F"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50" w:type="pct"/>
            <w:tcBorders>
              <w:top w:val="nil"/>
              <w:left w:val="nil"/>
              <w:bottom w:val="single" w:sz="4" w:space="0" w:color="auto"/>
              <w:right w:val="single" w:sz="4" w:space="0" w:color="auto"/>
            </w:tcBorders>
            <w:shd w:val="clear" w:color="auto" w:fill="auto"/>
            <w:hideMark/>
          </w:tcPr>
          <w:p w14:paraId="2F475BCD"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ATS</w:t>
            </w:r>
          </w:p>
        </w:tc>
        <w:tc>
          <w:tcPr>
            <w:tcW w:w="296" w:type="pct"/>
            <w:tcBorders>
              <w:top w:val="nil"/>
              <w:left w:val="nil"/>
              <w:bottom w:val="single" w:sz="4" w:space="0" w:color="auto"/>
              <w:right w:val="single" w:sz="4" w:space="0" w:color="auto"/>
            </w:tcBorders>
            <w:shd w:val="pct50" w:color="000000" w:fill="auto"/>
            <w:hideMark/>
          </w:tcPr>
          <w:p w14:paraId="5F998789"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1FF1783A"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0D9DFA4D"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auto" w:fill="auto"/>
            <w:hideMark/>
          </w:tcPr>
          <w:p w14:paraId="00981C6A"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6686CA13"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5C032440"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7F929F63"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36F987A3"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1DD536A2"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179DA418"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15ACEBE3"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25E21BAA"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6E4C0513"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756B8C35"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39EEB315"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155900C7"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0A1AD9" w:rsidRPr="00000F38" w14:paraId="5F02BB43" w14:textId="77777777" w:rsidTr="00342ED2">
        <w:trPr>
          <w:trHeight w:val="255"/>
        </w:trPr>
        <w:tc>
          <w:tcPr>
            <w:tcW w:w="158" w:type="pct"/>
            <w:tcBorders>
              <w:top w:val="nil"/>
              <w:left w:val="single" w:sz="4" w:space="0" w:color="auto"/>
              <w:bottom w:val="single" w:sz="4" w:space="0" w:color="auto"/>
              <w:right w:val="single" w:sz="4" w:space="0" w:color="auto"/>
            </w:tcBorders>
            <w:shd w:val="clear" w:color="000000" w:fill="F2F2F2"/>
            <w:hideMark/>
          </w:tcPr>
          <w:p w14:paraId="4121C967"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9</w:t>
            </w:r>
          </w:p>
        </w:tc>
        <w:tc>
          <w:tcPr>
            <w:tcW w:w="450" w:type="pct"/>
            <w:tcBorders>
              <w:top w:val="nil"/>
              <w:left w:val="nil"/>
              <w:bottom w:val="single" w:sz="4" w:space="0" w:color="auto"/>
              <w:right w:val="single" w:sz="4" w:space="0" w:color="auto"/>
            </w:tcBorders>
            <w:shd w:val="clear" w:color="000000" w:fill="F2F2F2"/>
            <w:hideMark/>
          </w:tcPr>
          <w:p w14:paraId="48384C89"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Mobile Device Management</w:t>
            </w:r>
          </w:p>
        </w:tc>
        <w:tc>
          <w:tcPr>
            <w:tcW w:w="296" w:type="pct"/>
            <w:tcBorders>
              <w:top w:val="nil"/>
              <w:left w:val="nil"/>
              <w:bottom w:val="single" w:sz="4" w:space="0" w:color="auto"/>
              <w:right w:val="single" w:sz="4" w:space="0" w:color="auto"/>
            </w:tcBorders>
            <w:shd w:val="pct50" w:color="000000" w:fill="F2F2F2"/>
            <w:hideMark/>
          </w:tcPr>
          <w:p w14:paraId="32DCEEA0"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60BB3535"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08F51E3B"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3E956718"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04A0DD43"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2A550924"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1B4C6D97"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5E150695"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67AA5BF7"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0D970AC5"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7684DA97"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61C2C771"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086A2C2C"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6C2D3999"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1E078377"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214B40D4"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r>
      <w:tr w:rsidR="000A1AD9" w:rsidRPr="00000F38" w14:paraId="59CD85D2" w14:textId="77777777" w:rsidTr="00342ED2">
        <w:trPr>
          <w:trHeight w:val="255"/>
        </w:trPr>
        <w:tc>
          <w:tcPr>
            <w:tcW w:w="158" w:type="pct"/>
            <w:tcBorders>
              <w:top w:val="nil"/>
              <w:left w:val="single" w:sz="4" w:space="0" w:color="auto"/>
              <w:bottom w:val="single" w:sz="4" w:space="0" w:color="auto"/>
              <w:right w:val="single" w:sz="4" w:space="0" w:color="auto"/>
            </w:tcBorders>
            <w:shd w:val="clear" w:color="auto" w:fill="auto"/>
            <w:hideMark/>
          </w:tcPr>
          <w:p w14:paraId="06D6E6AA"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50" w:type="pct"/>
            <w:tcBorders>
              <w:top w:val="nil"/>
              <w:left w:val="nil"/>
              <w:bottom w:val="single" w:sz="4" w:space="0" w:color="auto"/>
              <w:right w:val="single" w:sz="4" w:space="0" w:color="auto"/>
            </w:tcBorders>
            <w:shd w:val="clear" w:color="auto" w:fill="auto"/>
            <w:hideMark/>
          </w:tcPr>
          <w:p w14:paraId="7D5BBBC1"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AMC</w:t>
            </w:r>
          </w:p>
        </w:tc>
        <w:tc>
          <w:tcPr>
            <w:tcW w:w="296" w:type="pct"/>
            <w:tcBorders>
              <w:top w:val="nil"/>
              <w:left w:val="nil"/>
              <w:bottom w:val="single" w:sz="4" w:space="0" w:color="auto"/>
              <w:right w:val="single" w:sz="4" w:space="0" w:color="auto"/>
            </w:tcBorders>
            <w:shd w:val="pct50" w:color="000000" w:fill="auto"/>
            <w:hideMark/>
          </w:tcPr>
          <w:p w14:paraId="433EDD90"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5DC6C04B"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2CCBD510"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pct50" w:color="000000" w:fill="auto"/>
            <w:hideMark/>
          </w:tcPr>
          <w:p w14:paraId="22B99C28"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45A88019"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6C47298E"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pct50" w:color="000000" w:fill="auto"/>
            <w:hideMark/>
          </w:tcPr>
          <w:p w14:paraId="01120AB3"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2C312DE6"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75BAA539"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auto" w:fill="auto"/>
            <w:hideMark/>
          </w:tcPr>
          <w:p w14:paraId="14616ACB"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784A98FA"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60DBA79A"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65B9B7A7"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20C77369"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1EA352A5"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7AA65310"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0A1AD9" w:rsidRPr="00000F38" w14:paraId="2F57CD46" w14:textId="77777777" w:rsidTr="00342ED2">
        <w:trPr>
          <w:trHeight w:val="255"/>
        </w:trPr>
        <w:tc>
          <w:tcPr>
            <w:tcW w:w="158" w:type="pct"/>
            <w:tcBorders>
              <w:top w:val="nil"/>
              <w:left w:val="single" w:sz="4" w:space="0" w:color="auto"/>
              <w:bottom w:val="single" w:sz="4" w:space="0" w:color="auto"/>
              <w:right w:val="single" w:sz="4" w:space="0" w:color="auto"/>
            </w:tcBorders>
            <w:shd w:val="clear" w:color="auto" w:fill="auto"/>
            <w:hideMark/>
          </w:tcPr>
          <w:p w14:paraId="3C93B09E"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50" w:type="pct"/>
            <w:tcBorders>
              <w:top w:val="nil"/>
              <w:left w:val="nil"/>
              <w:bottom w:val="single" w:sz="4" w:space="0" w:color="auto"/>
              <w:right w:val="single" w:sz="4" w:space="0" w:color="auto"/>
            </w:tcBorders>
            <w:shd w:val="clear" w:color="auto" w:fill="auto"/>
            <w:hideMark/>
          </w:tcPr>
          <w:p w14:paraId="08EB6363"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ATS</w:t>
            </w:r>
          </w:p>
        </w:tc>
        <w:tc>
          <w:tcPr>
            <w:tcW w:w="296" w:type="pct"/>
            <w:tcBorders>
              <w:top w:val="nil"/>
              <w:left w:val="nil"/>
              <w:bottom w:val="single" w:sz="4" w:space="0" w:color="auto"/>
              <w:right w:val="single" w:sz="4" w:space="0" w:color="auto"/>
            </w:tcBorders>
            <w:shd w:val="pct50" w:color="000000" w:fill="auto"/>
            <w:hideMark/>
          </w:tcPr>
          <w:p w14:paraId="4950731A"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2E5C97BE"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3136320F"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auto" w:fill="auto"/>
            <w:hideMark/>
          </w:tcPr>
          <w:p w14:paraId="072B41B8"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2184E246"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01E95447"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6F52C7C9"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55C7595D"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5BBC328E"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5DEC4F65"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4DAEBF6A"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43F22AA9"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3C5B777A"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1C03543F"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46C3AEF5"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5C1BBE13"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0A1AD9" w:rsidRPr="00000F38" w14:paraId="3B428594" w14:textId="77777777" w:rsidTr="00342ED2">
        <w:trPr>
          <w:trHeight w:val="255"/>
        </w:trPr>
        <w:tc>
          <w:tcPr>
            <w:tcW w:w="158" w:type="pct"/>
            <w:tcBorders>
              <w:top w:val="nil"/>
              <w:left w:val="single" w:sz="4" w:space="0" w:color="auto"/>
              <w:bottom w:val="single" w:sz="4" w:space="0" w:color="auto"/>
              <w:right w:val="single" w:sz="4" w:space="0" w:color="auto"/>
            </w:tcBorders>
            <w:shd w:val="clear" w:color="000000" w:fill="F2F2F2"/>
            <w:hideMark/>
          </w:tcPr>
          <w:p w14:paraId="566ABF42"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10</w:t>
            </w:r>
          </w:p>
        </w:tc>
        <w:tc>
          <w:tcPr>
            <w:tcW w:w="450" w:type="pct"/>
            <w:tcBorders>
              <w:top w:val="nil"/>
              <w:left w:val="nil"/>
              <w:bottom w:val="single" w:sz="4" w:space="0" w:color="auto"/>
              <w:right w:val="single" w:sz="4" w:space="0" w:color="auto"/>
            </w:tcBorders>
            <w:shd w:val="clear" w:color="000000" w:fill="F2F2F2"/>
            <w:hideMark/>
          </w:tcPr>
          <w:p w14:paraId="58383618"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Secure Data Backup and Recovery</w:t>
            </w:r>
          </w:p>
        </w:tc>
        <w:tc>
          <w:tcPr>
            <w:tcW w:w="296" w:type="pct"/>
            <w:tcBorders>
              <w:top w:val="nil"/>
              <w:left w:val="nil"/>
              <w:bottom w:val="single" w:sz="4" w:space="0" w:color="auto"/>
              <w:right w:val="single" w:sz="4" w:space="0" w:color="auto"/>
            </w:tcBorders>
            <w:shd w:val="pct50" w:color="000000" w:fill="F2F2F2"/>
            <w:hideMark/>
          </w:tcPr>
          <w:p w14:paraId="7F801EDE"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712D16EB"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69D52157"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306CFD12"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603555AF"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7924F29D"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197C5B49"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52C6C8E0"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2F150C8C"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558F2229"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6F1E6DC9"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7D66B1A0"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67B93FD5"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48D2C032"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582414A1"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7B3855DA"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r>
      <w:tr w:rsidR="000A1AD9" w:rsidRPr="00000F38" w14:paraId="5337C6D1" w14:textId="77777777" w:rsidTr="00342ED2">
        <w:trPr>
          <w:trHeight w:val="255"/>
        </w:trPr>
        <w:tc>
          <w:tcPr>
            <w:tcW w:w="158" w:type="pct"/>
            <w:tcBorders>
              <w:top w:val="nil"/>
              <w:left w:val="single" w:sz="4" w:space="0" w:color="auto"/>
              <w:bottom w:val="single" w:sz="4" w:space="0" w:color="auto"/>
              <w:right w:val="single" w:sz="4" w:space="0" w:color="auto"/>
            </w:tcBorders>
            <w:shd w:val="clear" w:color="auto" w:fill="auto"/>
            <w:hideMark/>
          </w:tcPr>
          <w:p w14:paraId="020B6280"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50" w:type="pct"/>
            <w:tcBorders>
              <w:top w:val="nil"/>
              <w:left w:val="nil"/>
              <w:bottom w:val="single" w:sz="4" w:space="0" w:color="auto"/>
              <w:right w:val="single" w:sz="4" w:space="0" w:color="auto"/>
            </w:tcBorders>
            <w:shd w:val="clear" w:color="auto" w:fill="auto"/>
            <w:hideMark/>
          </w:tcPr>
          <w:p w14:paraId="09CE72EA"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AMC</w:t>
            </w:r>
          </w:p>
        </w:tc>
        <w:tc>
          <w:tcPr>
            <w:tcW w:w="296" w:type="pct"/>
            <w:tcBorders>
              <w:top w:val="nil"/>
              <w:left w:val="nil"/>
              <w:bottom w:val="single" w:sz="4" w:space="0" w:color="auto"/>
              <w:right w:val="single" w:sz="4" w:space="0" w:color="auto"/>
            </w:tcBorders>
            <w:shd w:val="pct50" w:color="000000" w:fill="auto"/>
            <w:hideMark/>
          </w:tcPr>
          <w:p w14:paraId="501B2724"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3CB98063"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337F2B3C"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pct50" w:color="000000" w:fill="auto"/>
            <w:hideMark/>
          </w:tcPr>
          <w:p w14:paraId="30AA6B66"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14E6F04A"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7A9CFE40"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pct50" w:color="000000" w:fill="auto"/>
            <w:hideMark/>
          </w:tcPr>
          <w:p w14:paraId="73D2E65E"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7CDC8D92"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343009C2"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auto" w:fill="auto"/>
            <w:hideMark/>
          </w:tcPr>
          <w:p w14:paraId="31F32AB9"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58BACD7A"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1169AC19"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1DFBE857"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640D205A"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669F1939"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00979B91"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0A1AD9" w:rsidRPr="00000F38" w14:paraId="415DF74B" w14:textId="77777777" w:rsidTr="00342ED2">
        <w:trPr>
          <w:trHeight w:val="255"/>
        </w:trPr>
        <w:tc>
          <w:tcPr>
            <w:tcW w:w="158" w:type="pct"/>
            <w:tcBorders>
              <w:top w:val="nil"/>
              <w:left w:val="single" w:sz="4" w:space="0" w:color="auto"/>
              <w:bottom w:val="single" w:sz="4" w:space="0" w:color="auto"/>
              <w:right w:val="single" w:sz="4" w:space="0" w:color="auto"/>
            </w:tcBorders>
            <w:shd w:val="clear" w:color="auto" w:fill="auto"/>
            <w:hideMark/>
          </w:tcPr>
          <w:p w14:paraId="1DD32229"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50" w:type="pct"/>
            <w:tcBorders>
              <w:top w:val="nil"/>
              <w:left w:val="nil"/>
              <w:bottom w:val="single" w:sz="4" w:space="0" w:color="auto"/>
              <w:right w:val="single" w:sz="4" w:space="0" w:color="auto"/>
            </w:tcBorders>
            <w:shd w:val="clear" w:color="auto" w:fill="auto"/>
            <w:hideMark/>
          </w:tcPr>
          <w:p w14:paraId="47D242DB"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ATS</w:t>
            </w:r>
          </w:p>
        </w:tc>
        <w:tc>
          <w:tcPr>
            <w:tcW w:w="296" w:type="pct"/>
            <w:tcBorders>
              <w:top w:val="nil"/>
              <w:left w:val="nil"/>
              <w:bottom w:val="single" w:sz="4" w:space="0" w:color="auto"/>
              <w:right w:val="single" w:sz="4" w:space="0" w:color="auto"/>
            </w:tcBorders>
            <w:shd w:val="pct50" w:color="000000" w:fill="auto"/>
            <w:hideMark/>
          </w:tcPr>
          <w:p w14:paraId="685B9BBB"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1D723C69"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42845C10"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auto" w:fill="auto"/>
            <w:hideMark/>
          </w:tcPr>
          <w:p w14:paraId="6ACCBC6F"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4B65DA5F"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1D7745A8"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03B7FB07"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4425E979"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7D7AAE0E"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66744CE3"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16B69FC5"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771C1358"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0B1EFB73"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3EA13495"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496B0EBF"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2B218E54"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0A1AD9" w:rsidRPr="00000F38" w14:paraId="5C7FD9CE" w14:textId="77777777" w:rsidTr="00342ED2">
        <w:trPr>
          <w:trHeight w:val="255"/>
        </w:trPr>
        <w:tc>
          <w:tcPr>
            <w:tcW w:w="158" w:type="pct"/>
            <w:tcBorders>
              <w:top w:val="nil"/>
              <w:left w:val="single" w:sz="4" w:space="0" w:color="auto"/>
              <w:bottom w:val="single" w:sz="4" w:space="0" w:color="auto"/>
              <w:right w:val="single" w:sz="4" w:space="0" w:color="auto"/>
            </w:tcBorders>
            <w:shd w:val="clear" w:color="000000" w:fill="F2F2F2"/>
            <w:hideMark/>
          </w:tcPr>
          <w:p w14:paraId="4CE4DCB9"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11</w:t>
            </w:r>
          </w:p>
        </w:tc>
        <w:tc>
          <w:tcPr>
            <w:tcW w:w="450" w:type="pct"/>
            <w:tcBorders>
              <w:top w:val="nil"/>
              <w:left w:val="nil"/>
              <w:bottom w:val="single" w:sz="4" w:space="0" w:color="auto"/>
              <w:right w:val="single" w:sz="4" w:space="0" w:color="auto"/>
            </w:tcBorders>
            <w:shd w:val="clear" w:color="000000" w:fill="F2F2F2"/>
            <w:hideMark/>
          </w:tcPr>
          <w:p w14:paraId="02F4954E"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Network Access Control (NAC)</w:t>
            </w:r>
          </w:p>
        </w:tc>
        <w:tc>
          <w:tcPr>
            <w:tcW w:w="296" w:type="pct"/>
            <w:tcBorders>
              <w:top w:val="nil"/>
              <w:left w:val="nil"/>
              <w:bottom w:val="single" w:sz="4" w:space="0" w:color="auto"/>
              <w:right w:val="single" w:sz="4" w:space="0" w:color="auto"/>
            </w:tcBorders>
            <w:shd w:val="pct50" w:color="000000" w:fill="F2F2F2"/>
            <w:hideMark/>
          </w:tcPr>
          <w:p w14:paraId="7C107A9E"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1F3D02D4"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02A23A23"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249D1042"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388568A7"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710CB3BE"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0F588181"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516CE08B"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58EF148E"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66F4602E"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481AA152"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40ABB41C"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1629708A"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4ECF13DB"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79399B76"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320DF514"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r>
      <w:tr w:rsidR="000A1AD9" w:rsidRPr="00000F38" w14:paraId="21E64E24" w14:textId="77777777" w:rsidTr="00342ED2">
        <w:trPr>
          <w:trHeight w:val="255"/>
        </w:trPr>
        <w:tc>
          <w:tcPr>
            <w:tcW w:w="158" w:type="pct"/>
            <w:tcBorders>
              <w:top w:val="nil"/>
              <w:left w:val="single" w:sz="4" w:space="0" w:color="auto"/>
              <w:bottom w:val="single" w:sz="4" w:space="0" w:color="auto"/>
              <w:right w:val="single" w:sz="4" w:space="0" w:color="auto"/>
            </w:tcBorders>
            <w:shd w:val="clear" w:color="auto" w:fill="auto"/>
            <w:hideMark/>
          </w:tcPr>
          <w:p w14:paraId="2FD39000"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lastRenderedPageBreak/>
              <w:t> </w:t>
            </w:r>
          </w:p>
        </w:tc>
        <w:tc>
          <w:tcPr>
            <w:tcW w:w="450" w:type="pct"/>
            <w:tcBorders>
              <w:top w:val="nil"/>
              <w:left w:val="nil"/>
              <w:bottom w:val="single" w:sz="4" w:space="0" w:color="auto"/>
              <w:right w:val="single" w:sz="4" w:space="0" w:color="auto"/>
            </w:tcBorders>
            <w:shd w:val="clear" w:color="auto" w:fill="auto"/>
            <w:hideMark/>
          </w:tcPr>
          <w:p w14:paraId="62481382"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AMC</w:t>
            </w:r>
          </w:p>
        </w:tc>
        <w:tc>
          <w:tcPr>
            <w:tcW w:w="296" w:type="pct"/>
            <w:tcBorders>
              <w:top w:val="nil"/>
              <w:left w:val="nil"/>
              <w:bottom w:val="single" w:sz="4" w:space="0" w:color="auto"/>
              <w:right w:val="single" w:sz="4" w:space="0" w:color="auto"/>
            </w:tcBorders>
            <w:shd w:val="pct50" w:color="000000" w:fill="auto"/>
            <w:hideMark/>
          </w:tcPr>
          <w:p w14:paraId="02215552"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53D2DE44"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5BA5A860"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pct50" w:color="000000" w:fill="auto"/>
            <w:hideMark/>
          </w:tcPr>
          <w:p w14:paraId="7D395B44"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1C6F2B3A"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6FDA1CB8"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pct50" w:color="000000" w:fill="auto"/>
            <w:hideMark/>
          </w:tcPr>
          <w:p w14:paraId="1D8CB815"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3A7EAD36"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28C7B135"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auto" w:fill="auto"/>
            <w:hideMark/>
          </w:tcPr>
          <w:p w14:paraId="0FE607C3"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06C47E96"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3B39038E"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154A27DE"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58E83BD9"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604CE99E"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01AB40EC"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0A1AD9" w:rsidRPr="00000F38" w14:paraId="6D184310" w14:textId="77777777" w:rsidTr="00342ED2">
        <w:trPr>
          <w:trHeight w:val="255"/>
        </w:trPr>
        <w:tc>
          <w:tcPr>
            <w:tcW w:w="158" w:type="pct"/>
            <w:tcBorders>
              <w:top w:val="nil"/>
              <w:left w:val="single" w:sz="4" w:space="0" w:color="auto"/>
              <w:bottom w:val="single" w:sz="4" w:space="0" w:color="auto"/>
              <w:right w:val="single" w:sz="4" w:space="0" w:color="auto"/>
            </w:tcBorders>
            <w:shd w:val="clear" w:color="auto" w:fill="auto"/>
            <w:hideMark/>
          </w:tcPr>
          <w:p w14:paraId="1B507B99"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50" w:type="pct"/>
            <w:tcBorders>
              <w:top w:val="nil"/>
              <w:left w:val="nil"/>
              <w:bottom w:val="single" w:sz="4" w:space="0" w:color="auto"/>
              <w:right w:val="single" w:sz="4" w:space="0" w:color="auto"/>
            </w:tcBorders>
            <w:shd w:val="clear" w:color="auto" w:fill="auto"/>
            <w:hideMark/>
          </w:tcPr>
          <w:p w14:paraId="79A24FC1"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ATS</w:t>
            </w:r>
          </w:p>
        </w:tc>
        <w:tc>
          <w:tcPr>
            <w:tcW w:w="296" w:type="pct"/>
            <w:tcBorders>
              <w:top w:val="nil"/>
              <w:left w:val="nil"/>
              <w:bottom w:val="single" w:sz="4" w:space="0" w:color="auto"/>
              <w:right w:val="single" w:sz="4" w:space="0" w:color="auto"/>
            </w:tcBorders>
            <w:shd w:val="pct50" w:color="000000" w:fill="auto"/>
            <w:hideMark/>
          </w:tcPr>
          <w:p w14:paraId="62DAA1A3"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7877D43C"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281602D3"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auto" w:fill="auto"/>
            <w:hideMark/>
          </w:tcPr>
          <w:p w14:paraId="6F772A66"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49A26B6A"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76FF8BC2"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44A191E7"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056731A6"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62E861E7"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0800C864"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21146644"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26A4128D"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7F686883"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637E59C1"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01463E2C"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7ECBD787"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0A1AD9" w:rsidRPr="00000F38" w14:paraId="0C4A2C95" w14:textId="77777777" w:rsidTr="00342ED2">
        <w:trPr>
          <w:trHeight w:val="255"/>
        </w:trPr>
        <w:tc>
          <w:tcPr>
            <w:tcW w:w="158" w:type="pct"/>
            <w:tcBorders>
              <w:top w:val="nil"/>
              <w:left w:val="single" w:sz="4" w:space="0" w:color="auto"/>
              <w:bottom w:val="single" w:sz="4" w:space="0" w:color="auto"/>
              <w:right w:val="single" w:sz="4" w:space="0" w:color="auto"/>
            </w:tcBorders>
            <w:shd w:val="clear" w:color="auto" w:fill="auto"/>
            <w:hideMark/>
          </w:tcPr>
          <w:p w14:paraId="56D1AD47"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50" w:type="pct"/>
            <w:tcBorders>
              <w:top w:val="nil"/>
              <w:left w:val="nil"/>
              <w:bottom w:val="single" w:sz="4" w:space="0" w:color="auto"/>
              <w:right w:val="single" w:sz="4" w:space="0" w:color="auto"/>
            </w:tcBorders>
            <w:shd w:val="clear" w:color="auto" w:fill="auto"/>
            <w:hideMark/>
          </w:tcPr>
          <w:p w14:paraId="44F16F5C"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pct50" w:color="000000" w:fill="auto"/>
            <w:hideMark/>
          </w:tcPr>
          <w:p w14:paraId="7D49EBD8"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17E9ABFE"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7A77DFC0"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auto" w:fill="auto"/>
            <w:hideMark/>
          </w:tcPr>
          <w:p w14:paraId="63CFB698"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clear" w:color="auto" w:fill="auto"/>
            <w:hideMark/>
          </w:tcPr>
          <w:p w14:paraId="329CCA26"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clear" w:color="auto" w:fill="auto"/>
            <w:hideMark/>
          </w:tcPr>
          <w:p w14:paraId="4403E0FB"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auto" w:fill="auto"/>
            <w:hideMark/>
          </w:tcPr>
          <w:p w14:paraId="63DADA78"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clear" w:color="auto" w:fill="auto"/>
            <w:hideMark/>
          </w:tcPr>
          <w:p w14:paraId="5DFC0CE7"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clear" w:color="auto" w:fill="auto"/>
            <w:hideMark/>
          </w:tcPr>
          <w:p w14:paraId="2987D58F"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auto" w:fill="auto"/>
            <w:hideMark/>
          </w:tcPr>
          <w:p w14:paraId="5B18880B"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clear" w:color="auto" w:fill="auto"/>
            <w:hideMark/>
          </w:tcPr>
          <w:p w14:paraId="5727F792"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clear" w:color="auto" w:fill="auto"/>
            <w:hideMark/>
          </w:tcPr>
          <w:p w14:paraId="33517342"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auto" w:fill="auto"/>
            <w:hideMark/>
          </w:tcPr>
          <w:p w14:paraId="56BF6EEF"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clear" w:color="auto" w:fill="auto"/>
            <w:hideMark/>
          </w:tcPr>
          <w:p w14:paraId="090FBD5D"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clear" w:color="auto" w:fill="auto"/>
            <w:hideMark/>
          </w:tcPr>
          <w:p w14:paraId="3BE059E6"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clear" w:color="auto" w:fill="auto"/>
            <w:hideMark/>
          </w:tcPr>
          <w:p w14:paraId="28E5A07A"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r>
      <w:tr w:rsidR="000A1AD9" w:rsidRPr="00000F38" w14:paraId="13A2CD06" w14:textId="77777777" w:rsidTr="00342ED2">
        <w:trPr>
          <w:trHeight w:val="255"/>
        </w:trPr>
        <w:tc>
          <w:tcPr>
            <w:tcW w:w="158" w:type="pct"/>
            <w:tcBorders>
              <w:top w:val="nil"/>
              <w:left w:val="single" w:sz="4" w:space="0" w:color="auto"/>
              <w:bottom w:val="single" w:sz="4" w:space="0" w:color="auto"/>
              <w:right w:val="single" w:sz="4" w:space="0" w:color="auto"/>
            </w:tcBorders>
            <w:shd w:val="clear" w:color="000000" w:fill="F2F2F2"/>
            <w:hideMark/>
          </w:tcPr>
          <w:p w14:paraId="149D15D1"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50" w:type="pct"/>
            <w:tcBorders>
              <w:top w:val="nil"/>
              <w:left w:val="nil"/>
              <w:bottom w:val="single" w:sz="4" w:space="0" w:color="auto"/>
              <w:right w:val="single" w:sz="4" w:space="0" w:color="auto"/>
            </w:tcBorders>
            <w:shd w:val="clear" w:color="000000" w:fill="F2F2F2"/>
            <w:hideMark/>
          </w:tcPr>
          <w:p w14:paraId="695AA38D"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Any other, please specify</w:t>
            </w:r>
          </w:p>
        </w:tc>
        <w:tc>
          <w:tcPr>
            <w:tcW w:w="296" w:type="pct"/>
            <w:tcBorders>
              <w:top w:val="nil"/>
              <w:left w:val="nil"/>
              <w:bottom w:val="single" w:sz="4" w:space="0" w:color="auto"/>
              <w:right w:val="single" w:sz="4" w:space="0" w:color="auto"/>
            </w:tcBorders>
            <w:shd w:val="pct50" w:color="000000" w:fill="F2F2F2"/>
            <w:hideMark/>
          </w:tcPr>
          <w:p w14:paraId="55415401"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464086E6"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34840BE8"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48C9A1C4"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7A4FB7EA"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5F4F726F"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05E5F1DB"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617C16C1"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7081CCCB"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3E9A6A0D"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44E35A8D"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6115A74A"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16BFBA72"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546064DB"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1109FD4E"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47474159"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r>
      <w:tr w:rsidR="000A1AD9" w:rsidRPr="00000F38" w14:paraId="7DE789A6" w14:textId="77777777" w:rsidTr="00342ED2">
        <w:trPr>
          <w:trHeight w:val="255"/>
        </w:trPr>
        <w:tc>
          <w:tcPr>
            <w:tcW w:w="158" w:type="pct"/>
            <w:tcBorders>
              <w:top w:val="nil"/>
              <w:left w:val="single" w:sz="4" w:space="0" w:color="auto"/>
              <w:bottom w:val="single" w:sz="4" w:space="0" w:color="auto"/>
              <w:right w:val="single" w:sz="4" w:space="0" w:color="auto"/>
            </w:tcBorders>
            <w:shd w:val="clear" w:color="auto" w:fill="auto"/>
            <w:hideMark/>
          </w:tcPr>
          <w:p w14:paraId="67A022EA"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50" w:type="pct"/>
            <w:tcBorders>
              <w:top w:val="nil"/>
              <w:left w:val="nil"/>
              <w:bottom w:val="single" w:sz="4" w:space="0" w:color="auto"/>
              <w:right w:val="single" w:sz="4" w:space="0" w:color="auto"/>
            </w:tcBorders>
            <w:shd w:val="clear" w:color="auto" w:fill="auto"/>
            <w:hideMark/>
          </w:tcPr>
          <w:p w14:paraId="05684CA5"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AMC</w:t>
            </w:r>
          </w:p>
        </w:tc>
        <w:tc>
          <w:tcPr>
            <w:tcW w:w="296" w:type="pct"/>
            <w:tcBorders>
              <w:top w:val="nil"/>
              <w:left w:val="nil"/>
              <w:bottom w:val="single" w:sz="4" w:space="0" w:color="auto"/>
              <w:right w:val="single" w:sz="4" w:space="0" w:color="auto"/>
            </w:tcBorders>
            <w:shd w:val="pct50" w:color="000000" w:fill="auto"/>
            <w:hideMark/>
          </w:tcPr>
          <w:p w14:paraId="0D50FD0F"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7708D4E1"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28DBB0EE"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pct50" w:color="000000" w:fill="auto"/>
            <w:hideMark/>
          </w:tcPr>
          <w:p w14:paraId="0F1F513D"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3F7C3C2B"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1C1D2181"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pct50" w:color="000000" w:fill="auto"/>
            <w:hideMark/>
          </w:tcPr>
          <w:p w14:paraId="249B0A36"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6AE383DE"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3546DC14"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auto" w:fill="auto"/>
            <w:hideMark/>
          </w:tcPr>
          <w:p w14:paraId="7A75ABA0"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0F461A74"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0F719B67"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146367EE"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4496E110"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6B450737"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5232B21B"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0A1AD9" w:rsidRPr="00000F38" w14:paraId="446BBF0E" w14:textId="77777777" w:rsidTr="00342ED2">
        <w:trPr>
          <w:trHeight w:val="255"/>
        </w:trPr>
        <w:tc>
          <w:tcPr>
            <w:tcW w:w="158" w:type="pct"/>
            <w:tcBorders>
              <w:top w:val="nil"/>
              <w:left w:val="single" w:sz="4" w:space="0" w:color="auto"/>
              <w:bottom w:val="single" w:sz="4" w:space="0" w:color="auto"/>
              <w:right w:val="single" w:sz="4" w:space="0" w:color="auto"/>
            </w:tcBorders>
            <w:shd w:val="clear" w:color="auto" w:fill="auto"/>
            <w:hideMark/>
          </w:tcPr>
          <w:p w14:paraId="3698AF53"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50" w:type="pct"/>
            <w:tcBorders>
              <w:top w:val="nil"/>
              <w:left w:val="nil"/>
              <w:bottom w:val="single" w:sz="4" w:space="0" w:color="auto"/>
              <w:right w:val="single" w:sz="4" w:space="0" w:color="auto"/>
            </w:tcBorders>
            <w:shd w:val="clear" w:color="auto" w:fill="auto"/>
            <w:hideMark/>
          </w:tcPr>
          <w:p w14:paraId="1A8ACD1C"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ATS</w:t>
            </w:r>
          </w:p>
        </w:tc>
        <w:tc>
          <w:tcPr>
            <w:tcW w:w="296" w:type="pct"/>
            <w:tcBorders>
              <w:top w:val="nil"/>
              <w:left w:val="nil"/>
              <w:bottom w:val="single" w:sz="4" w:space="0" w:color="auto"/>
              <w:right w:val="single" w:sz="4" w:space="0" w:color="auto"/>
            </w:tcBorders>
            <w:shd w:val="pct50" w:color="000000" w:fill="auto"/>
            <w:hideMark/>
          </w:tcPr>
          <w:p w14:paraId="59EB695C"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3735E57C"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29B19194"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auto" w:fill="auto"/>
            <w:hideMark/>
          </w:tcPr>
          <w:p w14:paraId="1C2A91D7"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2829ABFD"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61B7DC4E"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658B7C8B"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3335C307"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3087B7EA"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61A753B6"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6B4366CC"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13CB9FB7"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05BAEFD9"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6F900C6E"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0439C56F"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3757F556"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0A1AD9" w:rsidRPr="00000F38" w14:paraId="0F7F9FE4" w14:textId="77777777" w:rsidTr="00342ED2">
        <w:trPr>
          <w:trHeight w:val="255"/>
        </w:trPr>
        <w:tc>
          <w:tcPr>
            <w:tcW w:w="158" w:type="pct"/>
            <w:tcBorders>
              <w:top w:val="nil"/>
              <w:left w:val="single" w:sz="4" w:space="0" w:color="auto"/>
              <w:bottom w:val="single" w:sz="4" w:space="0" w:color="auto"/>
              <w:right w:val="single" w:sz="4" w:space="0" w:color="auto"/>
            </w:tcBorders>
            <w:shd w:val="clear" w:color="000000" w:fill="F2F2F2"/>
            <w:hideMark/>
          </w:tcPr>
          <w:p w14:paraId="748D5B9E"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50" w:type="pct"/>
            <w:tcBorders>
              <w:top w:val="nil"/>
              <w:left w:val="nil"/>
              <w:bottom w:val="single" w:sz="4" w:space="0" w:color="auto"/>
              <w:right w:val="single" w:sz="4" w:space="0" w:color="auto"/>
            </w:tcBorders>
            <w:shd w:val="clear" w:color="000000" w:fill="F2F2F2"/>
            <w:hideMark/>
          </w:tcPr>
          <w:p w14:paraId="6E00ACF0"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Any other, please specify</w:t>
            </w:r>
          </w:p>
        </w:tc>
        <w:tc>
          <w:tcPr>
            <w:tcW w:w="296" w:type="pct"/>
            <w:tcBorders>
              <w:top w:val="nil"/>
              <w:left w:val="nil"/>
              <w:bottom w:val="single" w:sz="4" w:space="0" w:color="auto"/>
              <w:right w:val="single" w:sz="4" w:space="0" w:color="auto"/>
            </w:tcBorders>
            <w:shd w:val="pct50" w:color="000000" w:fill="F2F2F2"/>
            <w:hideMark/>
          </w:tcPr>
          <w:p w14:paraId="2AF76CCC"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7115A074"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65B973E1"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169F74C1"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7E4EC6CF"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2F2DE3F8"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0E8F62CF"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2DCE5E24"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60FE54BB"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180578FB"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24FEF001"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634A2064"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pct50" w:color="000000" w:fill="F2F2F2"/>
            <w:hideMark/>
          </w:tcPr>
          <w:p w14:paraId="2DC987DA"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pct50" w:color="000000" w:fill="F2F2F2"/>
            <w:hideMark/>
          </w:tcPr>
          <w:p w14:paraId="276D82C6"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2F3EB1D5"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pct50" w:color="000000" w:fill="F2F2F2"/>
            <w:hideMark/>
          </w:tcPr>
          <w:p w14:paraId="1339124C"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r>
      <w:tr w:rsidR="000A1AD9" w:rsidRPr="00000F38" w14:paraId="764A9022" w14:textId="77777777" w:rsidTr="00342ED2">
        <w:trPr>
          <w:trHeight w:val="255"/>
        </w:trPr>
        <w:tc>
          <w:tcPr>
            <w:tcW w:w="158" w:type="pct"/>
            <w:tcBorders>
              <w:top w:val="nil"/>
              <w:left w:val="single" w:sz="4" w:space="0" w:color="auto"/>
              <w:bottom w:val="single" w:sz="4" w:space="0" w:color="auto"/>
              <w:right w:val="single" w:sz="4" w:space="0" w:color="auto"/>
            </w:tcBorders>
            <w:shd w:val="clear" w:color="auto" w:fill="auto"/>
            <w:hideMark/>
          </w:tcPr>
          <w:p w14:paraId="2E259CBC"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50" w:type="pct"/>
            <w:tcBorders>
              <w:top w:val="nil"/>
              <w:left w:val="nil"/>
              <w:bottom w:val="single" w:sz="4" w:space="0" w:color="auto"/>
              <w:right w:val="single" w:sz="4" w:space="0" w:color="auto"/>
            </w:tcBorders>
            <w:shd w:val="clear" w:color="auto" w:fill="auto"/>
            <w:hideMark/>
          </w:tcPr>
          <w:p w14:paraId="73FAA6E5"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AMC</w:t>
            </w:r>
          </w:p>
        </w:tc>
        <w:tc>
          <w:tcPr>
            <w:tcW w:w="296" w:type="pct"/>
            <w:tcBorders>
              <w:top w:val="nil"/>
              <w:left w:val="nil"/>
              <w:bottom w:val="single" w:sz="4" w:space="0" w:color="auto"/>
              <w:right w:val="single" w:sz="4" w:space="0" w:color="auto"/>
            </w:tcBorders>
            <w:shd w:val="pct50" w:color="000000" w:fill="auto"/>
            <w:hideMark/>
          </w:tcPr>
          <w:p w14:paraId="71E18DC8"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750935C0"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7D600FF1"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pct50" w:color="000000" w:fill="auto"/>
            <w:hideMark/>
          </w:tcPr>
          <w:p w14:paraId="695080DE"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506CA947"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73A6E075"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pct50" w:color="000000" w:fill="auto"/>
            <w:hideMark/>
          </w:tcPr>
          <w:p w14:paraId="63FDD646"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1C121951"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7D6202C0"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auto" w:fill="auto"/>
            <w:hideMark/>
          </w:tcPr>
          <w:p w14:paraId="34108725"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791D78F8"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7AB6BCD3"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4F76D8DF"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1D6AC459"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23FB3BF0"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7837231A"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0A1AD9" w:rsidRPr="00000F38" w14:paraId="490F54A8" w14:textId="77777777" w:rsidTr="00342ED2">
        <w:trPr>
          <w:trHeight w:val="255"/>
        </w:trPr>
        <w:tc>
          <w:tcPr>
            <w:tcW w:w="158" w:type="pct"/>
            <w:tcBorders>
              <w:top w:val="nil"/>
              <w:left w:val="single" w:sz="4" w:space="0" w:color="auto"/>
              <w:bottom w:val="single" w:sz="4" w:space="0" w:color="auto"/>
              <w:right w:val="single" w:sz="4" w:space="0" w:color="auto"/>
            </w:tcBorders>
            <w:shd w:val="clear" w:color="auto" w:fill="auto"/>
            <w:hideMark/>
          </w:tcPr>
          <w:p w14:paraId="25885393"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50" w:type="pct"/>
            <w:tcBorders>
              <w:top w:val="nil"/>
              <w:left w:val="nil"/>
              <w:bottom w:val="single" w:sz="4" w:space="0" w:color="auto"/>
              <w:right w:val="single" w:sz="4" w:space="0" w:color="auto"/>
            </w:tcBorders>
            <w:shd w:val="clear" w:color="auto" w:fill="auto"/>
            <w:hideMark/>
          </w:tcPr>
          <w:p w14:paraId="79FB058A"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ATS</w:t>
            </w:r>
          </w:p>
        </w:tc>
        <w:tc>
          <w:tcPr>
            <w:tcW w:w="296" w:type="pct"/>
            <w:tcBorders>
              <w:top w:val="nil"/>
              <w:left w:val="nil"/>
              <w:bottom w:val="single" w:sz="4" w:space="0" w:color="auto"/>
              <w:right w:val="single" w:sz="4" w:space="0" w:color="auto"/>
            </w:tcBorders>
            <w:shd w:val="pct50" w:color="000000" w:fill="auto"/>
            <w:hideMark/>
          </w:tcPr>
          <w:p w14:paraId="2E1088DA"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pct50" w:color="000000" w:fill="auto"/>
            <w:hideMark/>
          </w:tcPr>
          <w:p w14:paraId="4B5EE7A4"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pct50" w:color="000000" w:fill="auto"/>
            <w:hideMark/>
          </w:tcPr>
          <w:p w14:paraId="12E94D42"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auto" w:fill="auto"/>
            <w:hideMark/>
          </w:tcPr>
          <w:p w14:paraId="1B4585D1"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552B562D"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7A95DF79"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62AB3112"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5C867327"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2CFC836C"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6E4AA16B"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401F883F"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14BAB4D4"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96" w:type="pct"/>
            <w:tcBorders>
              <w:top w:val="nil"/>
              <w:left w:val="nil"/>
              <w:bottom w:val="single" w:sz="4" w:space="0" w:color="auto"/>
              <w:right w:val="single" w:sz="4" w:space="0" w:color="auto"/>
            </w:tcBorders>
            <w:shd w:val="clear" w:color="auto" w:fill="auto"/>
            <w:hideMark/>
          </w:tcPr>
          <w:p w14:paraId="59B7D79F"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19" w:type="pct"/>
            <w:tcBorders>
              <w:top w:val="nil"/>
              <w:left w:val="nil"/>
              <w:bottom w:val="single" w:sz="4" w:space="0" w:color="auto"/>
              <w:right w:val="single" w:sz="4" w:space="0" w:color="auto"/>
            </w:tcBorders>
            <w:shd w:val="clear" w:color="auto" w:fill="auto"/>
            <w:hideMark/>
          </w:tcPr>
          <w:p w14:paraId="7CD7C7D9"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7D1ACEE8"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3" w:type="pct"/>
            <w:tcBorders>
              <w:top w:val="nil"/>
              <w:left w:val="nil"/>
              <w:bottom w:val="single" w:sz="4" w:space="0" w:color="auto"/>
              <w:right w:val="single" w:sz="4" w:space="0" w:color="auto"/>
            </w:tcBorders>
            <w:shd w:val="clear" w:color="auto" w:fill="auto"/>
            <w:hideMark/>
          </w:tcPr>
          <w:p w14:paraId="08809CE3"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0A1AD9" w:rsidRPr="00000F38" w14:paraId="515FD165" w14:textId="77777777" w:rsidTr="00342ED2">
        <w:trPr>
          <w:trHeight w:val="255"/>
        </w:trPr>
        <w:tc>
          <w:tcPr>
            <w:tcW w:w="158" w:type="pct"/>
            <w:tcBorders>
              <w:top w:val="nil"/>
              <w:left w:val="single" w:sz="4" w:space="0" w:color="auto"/>
              <w:bottom w:val="single" w:sz="4" w:space="0" w:color="auto"/>
              <w:right w:val="single" w:sz="4" w:space="0" w:color="auto"/>
            </w:tcBorders>
            <w:shd w:val="clear" w:color="000000" w:fill="F2F2F2"/>
            <w:hideMark/>
          </w:tcPr>
          <w:p w14:paraId="6C2F809A"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50" w:type="pct"/>
            <w:tcBorders>
              <w:top w:val="nil"/>
              <w:left w:val="nil"/>
              <w:bottom w:val="single" w:sz="4" w:space="0" w:color="auto"/>
              <w:right w:val="single" w:sz="4" w:space="0" w:color="auto"/>
            </w:tcBorders>
            <w:shd w:val="clear" w:color="000000" w:fill="F2F2F2"/>
            <w:hideMark/>
          </w:tcPr>
          <w:p w14:paraId="75659066"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TOTAL (B)</w:t>
            </w:r>
          </w:p>
        </w:tc>
        <w:tc>
          <w:tcPr>
            <w:tcW w:w="296" w:type="pct"/>
            <w:tcBorders>
              <w:top w:val="nil"/>
              <w:left w:val="nil"/>
              <w:bottom w:val="single" w:sz="4" w:space="0" w:color="auto"/>
              <w:right w:val="single" w:sz="4" w:space="0" w:color="auto"/>
            </w:tcBorders>
            <w:shd w:val="clear" w:color="000000" w:fill="F2F2F2"/>
            <w:hideMark/>
          </w:tcPr>
          <w:p w14:paraId="54618E04"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clear" w:color="000000" w:fill="F2F2F2"/>
            <w:hideMark/>
          </w:tcPr>
          <w:p w14:paraId="3D921E1F"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clear" w:color="000000" w:fill="F2F2F2"/>
            <w:hideMark/>
          </w:tcPr>
          <w:p w14:paraId="299A6FF8"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clear" w:color="000000" w:fill="F2F2F2"/>
            <w:hideMark/>
          </w:tcPr>
          <w:p w14:paraId="24C6355E"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clear" w:color="000000" w:fill="F2F2F2"/>
            <w:hideMark/>
          </w:tcPr>
          <w:p w14:paraId="62FA1A6F"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clear" w:color="000000" w:fill="F2F2F2"/>
            <w:hideMark/>
          </w:tcPr>
          <w:p w14:paraId="2FD4F283"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c>
          <w:tcPr>
            <w:tcW w:w="296" w:type="pct"/>
            <w:tcBorders>
              <w:top w:val="nil"/>
              <w:left w:val="nil"/>
              <w:bottom w:val="single" w:sz="4" w:space="0" w:color="auto"/>
              <w:right w:val="single" w:sz="4" w:space="0" w:color="auto"/>
            </w:tcBorders>
            <w:shd w:val="clear" w:color="000000" w:fill="F2F2F2"/>
            <w:hideMark/>
          </w:tcPr>
          <w:p w14:paraId="17684B6E"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clear" w:color="000000" w:fill="F2F2F2"/>
            <w:hideMark/>
          </w:tcPr>
          <w:p w14:paraId="17228B83"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clear" w:color="000000" w:fill="F2F2F2"/>
            <w:hideMark/>
          </w:tcPr>
          <w:p w14:paraId="234EDE2F"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c>
          <w:tcPr>
            <w:tcW w:w="296" w:type="pct"/>
            <w:tcBorders>
              <w:top w:val="nil"/>
              <w:left w:val="nil"/>
              <w:bottom w:val="single" w:sz="4" w:space="0" w:color="auto"/>
              <w:right w:val="single" w:sz="4" w:space="0" w:color="auto"/>
            </w:tcBorders>
            <w:shd w:val="clear" w:color="000000" w:fill="F2F2F2"/>
            <w:hideMark/>
          </w:tcPr>
          <w:p w14:paraId="23AE7064"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clear" w:color="000000" w:fill="F2F2F2"/>
            <w:hideMark/>
          </w:tcPr>
          <w:p w14:paraId="761A7275"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clear" w:color="000000" w:fill="F2F2F2"/>
            <w:hideMark/>
          </w:tcPr>
          <w:p w14:paraId="6FA5F34E"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c>
          <w:tcPr>
            <w:tcW w:w="296" w:type="pct"/>
            <w:tcBorders>
              <w:top w:val="nil"/>
              <w:left w:val="nil"/>
              <w:bottom w:val="single" w:sz="4" w:space="0" w:color="auto"/>
              <w:right w:val="single" w:sz="4" w:space="0" w:color="auto"/>
            </w:tcBorders>
            <w:shd w:val="clear" w:color="000000" w:fill="F2F2F2"/>
            <w:hideMark/>
          </w:tcPr>
          <w:p w14:paraId="4C73DA77"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clear" w:color="000000" w:fill="F2F2F2"/>
            <w:hideMark/>
          </w:tcPr>
          <w:p w14:paraId="1390ED10"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clear" w:color="000000" w:fill="F2F2F2"/>
            <w:hideMark/>
          </w:tcPr>
          <w:p w14:paraId="39E32C85"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c>
          <w:tcPr>
            <w:tcW w:w="303" w:type="pct"/>
            <w:tcBorders>
              <w:top w:val="nil"/>
              <w:left w:val="nil"/>
              <w:bottom w:val="single" w:sz="4" w:space="0" w:color="auto"/>
              <w:right w:val="single" w:sz="4" w:space="0" w:color="auto"/>
            </w:tcBorders>
            <w:shd w:val="clear" w:color="000000" w:fill="F2F2F2"/>
            <w:hideMark/>
          </w:tcPr>
          <w:p w14:paraId="5B2FBC83"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0A1AD9" w:rsidRPr="00000F38" w14:paraId="5D774AB9" w14:textId="77777777" w:rsidTr="00342ED2">
        <w:trPr>
          <w:trHeight w:val="255"/>
        </w:trPr>
        <w:tc>
          <w:tcPr>
            <w:tcW w:w="158" w:type="pct"/>
            <w:tcBorders>
              <w:top w:val="nil"/>
              <w:left w:val="single" w:sz="4" w:space="0" w:color="auto"/>
              <w:bottom w:val="single" w:sz="4" w:space="0" w:color="auto"/>
              <w:right w:val="single" w:sz="4" w:space="0" w:color="auto"/>
            </w:tcBorders>
            <w:shd w:val="clear" w:color="000000" w:fill="FFFFFF"/>
            <w:hideMark/>
          </w:tcPr>
          <w:p w14:paraId="63F0E76E"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50" w:type="pct"/>
            <w:tcBorders>
              <w:top w:val="nil"/>
              <w:left w:val="nil"/>
              <w:bottom w:val="single" w:sz="4" w:space="0" w:color="auto"/>
              <w:right w:val="single" w:sz="4" w:space="0" w:color="auto"/>
            </w:tcBorders>
            <w:shd w:val="clear" w:color="000000" w:fill="FFFFFF"/>
            <w:hideMark/>
          </w:tcPr>
          <w:p w14:paraId="2BEB5BB3"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clear" w:color="000000" w:fill="FFFFFF"/>
            <w:hideMark/>
          </w:tcPr>
          <w:p w14:paraId="7F29BBB7"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clear" w:color="000000" w:fill="FFFFFF"/>
            <w:hideMark/>
          </w:tcPr>
          <w:p w14:paraId="7F134593"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clear" w:color="000000" w:fill="FFFFFF"/>
            <w:hideMark/>
          </w:tcPr>
          <w:p w14:paraId="21612066"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000000" w:fill="FFFFFF"/>
            <w:hideMark/>
          </w:tcPr>
          <w:p w14:paraId="2624B69B"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clear" w:color="000000" w:fill="FFFFFF"/>
            <w:hideMark/>
          </w:tcPr>
          <w:p w14:paraId="697E3212"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clear" w:color="000000" w:fill="FFFFFF"/>
            <w:hideMark/>
          </w:tcPr>
          <w:p w14:paraId="2953CD9C"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000000" w:fill="FFFFFF"/>
            <w:hideMark/>
          </w:tcPr>
          <w:p w14:paraId="0F0390D3"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clear" w:color="000000" w:fill="FFFFFF"/>
            <w:hideMark/>
          </w:tcPr>
          <w:p w14:paraId="16D79624"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clear" w:color="000000" w:fill="FFFFFF"/>
            <w:hideMark/>
          </w:tcPr>
          <w:p w14:paraId="67A7B25A"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000000" w:fill="FFFFFF"/>
            <w:hideMark/>
          </w:tcPr>
          <w:p w14:paraId="27720748"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clear" w:color="000000" w:fill="FFFFFF"/>
            <w:hideMark/>
          </w:tcPr>
          <w:p w14:paraId="5C8E0DCD"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clear" w:color="000000" w:fill="FFFFFF"/>
            <w:hideMark/>
          </w:tcPr>
          <w:p w14:paraId="50B45799"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000000" w:fill="FFFFFF"/>
            <w:hideMark/>
          </w:tcPr>
          <w:p w14:paraId="31917887"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clear" w:color="000000" w:fill="FFFFFF"/>
            <w:hideMark/>
          </w:tcPr>
          <w:p w14:paraId="34C994C2"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clear" w:color="000000" w:fill="FFFFFF"/>
            <w:hideMark/>
          </w:tcPr>
          <w:p w14:paraId="345C956B"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clear" w:color="000000" w:fill="FFFFFF"/>
            <w:hideMark/>
          </w:tcPr>
          <w:p w14:paraId="5EDCF386"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r>
      <w:tr w:rsidR="000A1AD9" w:rsidRPr="00000F38" w14:paraId="4A8C9029" w14:textId="77777777" w:rsidTr="00342ED2">
        <w:trPr>
          <w:trHeight w:val="255"/>
        </w:trPr>
        <w:tc>
          <w:tcPr>
            <w:tcW w:w="158" w:type="pct"/>
            <w:tcBorders>
              <w:top w:val="nil"/>
              <w:left w:val="single" w:sz="4" w:space="0" w:color="auto"/>
              <w:bottom w:val="single" w:sz="4" w:space="0" w:color="auto"/>
              <w:right w:val="single" w:sz="4" w:space="0" w:color="auto"/>
            </w:tcBorders>
            <w:shd w:val="clear" w:color="auto" w:fill="auto"/>
            <w:hideMark/>
          </w:tcPr>
          <w:p w14:paraId="447A7C64"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50" w:type="pct"/>
            <w:tcBorders>
              <w:top w:val="nil"/>
              <w:left w:val="nil"/>
              <w:bottom w:val="single" w:sz="4" w:space="0" w:color="auto"/>
              <w:right w:val="single" w:sz="4" w:space="0" w:color="auto"/>
            </w:tcBorders>
            <w:shd w:val="clear" w:color="auto" w:fill="auto"/>
            <w:hideMark/>
          </w:tcPr>
          <w:p w14:paraId="2A02D25C"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818" w:type="pct"/>
            <w:gridSpan w:val="3"/>
            <w:tcBorders>
              <w:top w:val="single" w:sz="4" w:space="0" w:color="auto"/>
              <w:left w:val="nil"/>
              <w:bottom w:val="single" w:sz="4" w:space="0" w:color="auto"/>
              <w:right w:val="single" w:sz="4" w:space="0" w:color="auto"/>
            </w:tcBorders>
            <w:shd w:val="clear" w:color="000000" w:fill="FFC000"/>
            <w:hideMark/>
          </w:tcPr>
          <w:p w14:paraId="494CD895"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YEAR 1</w:t>
            </w:r>
          </w:p>
        </w:tc>
        <w:tc>
          <w:tcPr>
            <w:tcW w:w="818" w:type="pct"/>
            <w:gridSpan w:val="3"/>
            <w:tcBorders>
              <w:top w:val="single" w:sz="4" w:space="0" w:color="auto"/>
              <w:left w:val="nil"/>
              <w:bottom w:val="single" w:sz="4" w:space="0" w:color="auto"/>
              <w:right w:val="single" w:sz="4" w:space="0" w:color="auto"/>
            </w:tcBorders>
            <w:shd w:val="clear" w:color="000000" w:fill="FFC000"/>
            <w:hideMark/>
          </w:tcPr>
          <w:p w14:paraId="241D98B5"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YEAR 2</w:t>
            </w:r>
          </w:p>
        </w:tc>
        <w:tc>
          <w:tcPr>
            <w:tcW w:w="818" w:type="pct"/>
            <w:gridSpan w:val="3"/>
            <w:tcBorders>
              <w:top w:val="single" w:sz="4" w:space="0" w:color="auto"/>
              <w:left w:val="nil"/>
              <w:bottom w:val="single" w:sz="4" w:space="0" w:color="auto"/>
              <w:right w:val="single" w:sz="4" w:space="0" w:color="auto"/>
            </w:tcBorders>
            <w:shd w:val="clear" w:color="000000" w:fill="FFC000"/>
            <w:hideMark/>
          </w:tcPr>
          <w:p w14:paraId="1E7823A9"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YEAR 3</w:t>
            </w:r>
          </w:p>
        </w:tc>
        <w:tc>
          <w:tcPr>
            <w:tcW w:w="818" w:type="pct"/>
            <w:gridSpan w:val="3"/>
            <w:tcBorders>
              <w:top w:val="single" w:sz="4" w:space="0" w:color="auto"/>
              <w:left w:val="nil"/>
              <w:bottom w:val="single" w:sz="4" w:space="0" w:color="auto"/>
              <w:right w:val="single" w:sz="4" w:space="0" w:color="auto"/>
            </w:tcBorders>
            <w:shd w:val="clear" w:color="000000" w:fill="FFC000"/>
            <w:hideMark/>
          </w:tcPr>
          <w:p w14:paraId="01FCBDF3"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YEAR 4</w:t>
            </w:r>
          </w:p>
        </w:tc>
        <w:tc>
          <w:tcPr>
            <w:tcW w:w="818" w:type="pct"/>
            <w:gridSpan w:val="3"/>
            <w:tcBorders>
              <w:top w:val="single" w:sz="4" w:space="0" w:color="auto"/>
              <w:left w:val="nil"/>
              <w:bottom w:val="single" w:sz="4" w:space="0" w:color="auto"/>
              <w:right w:val="single" w:sz="4" w:space="0" w:color="auto"/>
            </w:tcBorders>
            <w:shd w:val="clear" w:color="000000" w:fill="FFC000"/>
            <w:hideMark/>
          </w:tcPr>
          <w:p w14:paraId="580FC58E"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YEAR 5</w:t>
            </w:r>
          </w:p>
        </w:tc>
        <w:tc>
          <w:tcPr>
            <w:tcW w:w="303" w:type="pct"/>
            <w:tcBorders>
              <w:top w:val="nil"/>
              <w:left w:val="nil"/>
              <w:bottom w:val="single" w:sz="4" w:space="0" w:color="auto"/>
              <w:right w:val="single" w:sz="4" w:space="0" w:color="auto"/>
            </w:tcBorders>
            <w:shd w:val="clear" w:color="auto" w:fill="auto"/>
            <w:hideMark/>
          </w:tcPr>
          <w:p w14:paraId="701AADDB"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 </w:t>
            </w:r>
          </w:p>
        </w:tc>
      </w:tr>
      <w:tr w:rsidR="000A1AD9" w:rsidRPr="00000F38" w14:paraId="413FCB73" w14:textId="77777777" w:rsidTr="00342ED2">
        <w:trPr>
          <w:trHeight w:val="255"/>
        </w:trPr>
        <w:tc>
          <w:tcPr>
            <w:tcW w:w="158" w:type="pct"/>
            <w:tcBorders>
              <w:top w:val="nil"/>
              <w:left w:val="single" w:sz="4" w:space="0" w:color="auto"/>
              <w:bottom w:val="single" w:sz="4" w:space="0" w:color="auto"/>
              <w:right w:val="single" w:sz="4" w:space="0" w:color="auto"/>
            </w:tcBorders>
            <w:shd w:val="clear" w:color="000000" w:fill="FFFFFF"/>
            <w:hideMark/>
          </w:tcPr>
          <w:p w14:paraId="0D835A6D"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50" w:type="pct"/>
            <w:tcBorders>
              <w:top w:val="nil"/>
              <w:left w:val="nil"/>
              <w:bottom w:val="single" w:sz="4" w:space="0" w:color="auto"/>
              <w:right w:val="single" w:sz="4" w:space="0" w:color="auto"/>
            </w:tcBorders>
            <w:shd w:val="clear" w:color="000000" w:fill="FFFFFF"/>
            <w:hideMark/>
          </w:tcPr>
          <w:p w14:paraId="0330BFCC"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clear" w:color="000000" w:fill="FFFFFF"/>
            <w:hideMark/>
          </w:tcPr>
          <w:p w14:paraId="003AB16E"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clear" w:color="000000" w:fill="FFFFFF"/>
            <w:hideMark/>
          </w:tcPr>
          <w:p w14:paraId="66B584E7"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clear" w:color="000000" w:fill="FFFFFF"/>
            <w:hideMark/>
          </w:tcPr>
          <w:p w14:paraId="5CB88EBE"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000000" w:fill="FFFFFF"/>
            <w:hideMark/>
          </w:tcPr>
          <w:p w14:paraId="2F48F022"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clear" w:color="000000" w:fill="FFFFFF"/>
            <w:hideMark/>
          </w:tcPr>
          <w:p w14:paraId="1C310B6A"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clear" w:color="000000" w:fill="FFFFFF"/>
            <w:hideMark/>
          </w:tcPr>
          <w:p w14:paraId="208FAACA"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000000" w:fill="FFFFFF"/>
            <w:hideMark/>
          </w:tcPr>
          <w:p w14:paraId="4297D396"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clear" w:color="000000" w:fill="FFFFFF"/>
            <w:hideMark/>
          </w:tcPr>
          <w:p w14:paraId="559CF0EA"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clear" w:color="000000" w:fill="FFFFFF"/>
            <w:hideMark/>
          </w:tcPr>
          <w:p w14:paraId="00D32F88"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000000" w:fill="FFFFFF"/>
            <w:hideMark/>
          </w:tcPr>
          <w:p w14:paraId="40D324CF"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clear" w:color="000000" w:fill="FFFFFF"/>
            <w:hideMark/>
          </w:tcPr>
          <w:p w14:paraId="7F380013"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clear" w:color="000000" w:fill="FFFFFF"/>
            <w:hideMark/>
          </w:tcPr>
          <w:p w14:paraId="2267CD45"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6" w:type="pct"/>
            <w:tcBorders>
              <w:top w:val="nil"/>
              <w:left w:val="nil"/>
              <w:bottom w:val="single" w:sz="4" w:space="0" w:color="auto"/>
              <w:right w:val="single" w:sz="4" w:space="0" w:color="auto"/>
            </w:tcBorders>
            <w:shd w:val="clear" w:color="000000" w:fill="FFFFFF"/>
            <w:hideMark/>
          </w:tcPr>
          <w:p w14:paraId="033A86FE"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19" w:type="pct"/>
            <w:tcBorders>
              <w:top w:val="nil"/>
              <w:left w:val="nil"/>
              <w:bottom w:val="single" w:sz="4" w:space="0" w:color="auto"/>
              <w:right w:val="single" w:sz="4" w:space="0" w:color="auto"/>
            </w:tcBorders>
            <w:shd w:val="clear" w:color="000000" w:fill="FFFFFF"/>
            <w:hideMark/>
          </w:tcPr>
          <w:p w14:paraId="77597737"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clear" w:color="000000" w:fill="FFFFFF"/>
            <w:hideMark/>
          </w:tcPr>
          <w:p w14:paraId="3E3F7AFC"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3" w:type="pct"/>
            <w:tcBorders>
              <w:top w:val="nil"/>
              <w:left w:val="nil"/>
              <w:bottom w:val="single" w:sz="4" w:space="0" w:color="auto"/>
              <w:right w:val="single" w:sz="4" w:space="0" w:color="auto"/>
            </w:tcBorders>
            <w:shd w:val="clear" w:color="000000" w:fill="FFFFFF"/>
            <w:hideMark/>
          </w:tcPr>
          <w:p w14:paraId="245DE5A6"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r>
      <w:tr w:rsidR="000A1AD9" w:rsidRPr="00000F38" w14:paraId="6B9ABE19" w14:textId="77777777" w:rsidTr="00342ED2">
        <w:trPr>
          <w:trHeight w:val="255"/>
        </w:trPr>
        <w:tc>
          <w:tcPr>
            <w:tcW w:w="158" w:type="pct"/>
            <w:tcBorders>
              <w:top w:val="nil"/>
              <w:left w:val="single" w:sz="4" w:space="0" w:color="auto"/>
              <w:bottom w:val="single" w:sz="4" w:space="0" w:color="auto"/>
              <w:right w:val="single" w:sz="4" w:space="0" w:color="auto"/>
            </w:tcBorders>
            <w:shd w:val="clear" w:color="auto" w:fill="auto"/>
            <w:hideMark/>
          </w:tcPr>
          <w:p w14:paraId="476CD2D1"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450" w:type="pct"/>
            <w:tcBorders>
              <w:top w:val="nil"/>
              <w:left w:val="nil"/>
              <w:bottom w:val="single" w:sz="4" w:space="0" w:color="auto"/>
              <w:right w:val="single" w:sz="4" w:space="0" w:color="auto"/>
            </w:tcBorders>
            <w:shd w:val="clear" w:color="000000" w:fill="BFBFBF"/>
            <w:hideMark/>
          </w:tcPr>
          <w:p w14:paraId="34E0862D"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Grand Total (A+B+C+D+E)</w:t>
            </w:r>
          </w:p>
        </w:tc>
        <w:tc>
          <w:tcPr>
            <w:tcW w:w="296" w:type="pct"/>
            <w:tcBorders>
              <w:top w:val="nil"/>
              <w:left w:val="nil"/>
              <w:bottom w:val="single" w:sz="4" w:space="0" w:color="auto"/>
              <w:right w:val="single" w:sz="4" w:space="0" w:color="auto"/>
            </w:tcBorders>
            <w:shd w:val="clear" w:color="000000" w:fill="BFBFBF"/>
            <w:hideMark/>
          </w:tcPr>
          <w:p w14:paraId="2488358E"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clear" w:color="000000" w:fill="BFBFBF"/>
            <w:hideMark/>
          </w:tcPr>
          <w:p w14:paraId="187B4DD3"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clear" w:color="000000" w:fill="BFBFBF"/>
            <w:hideMark/>
          </w:tcPr>
          <w:p w14:paraId="4D6544D5"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96" w:type="pct"/>
            <w:tcBorders>
              <w:top w:val="nil"/>
              <w:left w:val="nil"/>
              <w:bottom w:val="single" w:sz="4" w:space="0" w:color="auto"/>
              <w:right w:val="single" w:sz="4" w:space="0" w:color="auto"/>
            </w:tcBorders>
            <w:shd w:val="clear" w:color="000000" w:fill="BFBFBF"/>
            <w:hideMark/>
          </w:tcPr>
          <w:p w14:paraId="410E8D86"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clear" w:color="000000" w:fill="BFBFBF"/>
            <w:hideMark/>
          </w:tcPr>
          <w:p w14:paraId="665827F7"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clear" w:color="000000" w:fill="BFBFBF"/>
            <w:hideMark/>
          </w:tcPr>
          <w:p w14:paraId="5F022A36"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c>
          <w:tcPr>
            <w:tcW w:w="296" w:type="pct"/>
            <w:tcBorders>
              <w:top w:val="nil"/>
              <w:left w:val="nil"/>
              <w:bottom w:val="single" w:sz="4" w:space="0" w:color="auto"/>
              <w:right w:val="single" w:sz="4" w:space="0" w:color="auto"/>
            </w:tcBorders>
            <w:shd w:val="clear" w:color="000000" w:fill="BFBFBF"/>
            <w:hideMark/>
          </w:tcPr>
          <w:p w14:paraId="711A40A4"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clear" w:color="000000" w:fill="BFBFBF"/>
            <w:hideMark/>
          </w:tcPr>
          <w:p w14:paraId="172ECA6B"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clear" w:color="000000" w:fill="BFBFBF"/>
            <w:hideMark/>
          </w:tcPr>
          <w:p w14:paraId="791821A4"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c>
          <w:tcPr>
            <w:tcW w:w="296" w:type="pct"/>
            <w:tcBorders>
              <w:top w:val="nil"/>
              <w:left w:val="nil"/>
              <w:bottom w:val="single" w:sz="4" w:space="0" w:color="auto"/>
              <w:right w:val="single" w:sz="4" w:space="0" w:color="auto"/>
            </w:tcBorders>
            <w:shd w:val="clear" w:color="000000" w:fill="BFBFBF"/>
            <w:hideMark/>
          </w:tcPr>
          <w:p w14:paraId="2DCF8851"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clear" w:color="000000" w:fill="BFBFBF"/>
            <w:hideMark/>
          </w:tcPr>
          <w:p w14:paraId="0DAD4918"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clear" w:color="000000" w:fill="BFBFBF"/>
            <w:hideMark/>
          </w:tcPr>
          <w:p w14:paraId="4BD9E400"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c>
          <w:tcPr>
            <w:tcW w:w="296" w:type="pct"/>
            <w:tcBorders>
              <w:top w:val="nil"/>
              <w:left w:val="nil"/>
              <w:bottom w:val="single" w:sz="4" w:space="0" w:color="auto"/>
              <w:right w:val="single" w:sz="4" w:space="0" w:color="auto"/>
            </w:tcBorders>
            <w:shd w:val="clear" w:color="000000" w:fill="BFBFBF"/>
            <w:hideMark/>
          </w:tcPr>
          <w:p w14:paraId="010CBC61"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219" w:type="pct"/>
            <w:tcBorders>
              <w:top w:val="nil"/>
              <w:left w:val="nil"/>
              <w:bottom w:val="single" w:sz="4" w:space="0" w:color="auto"/>
              <w:right w:val="single" w:sz="4" w:space="0" w:color="auto"/>
            </w:tcBorders>
            <w:shd w:val="clear" w:color="000000" w:fill="BFBFBF"/>
            <w:hideMark/>
          </w:tcPr>
          <w:p w14:paraId="60A389B0"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w:t>
            </w:r>
          </w:p>
        </w:tc>
        <w:tc>
          <w:tcPr>
            <w:tcW w:w="303" w:type="pct"/>
            <w:tcBorders>
              <w:top w:val="nil"/>
              <w:left w:val="nil"/>
              <w:bottom w:val="single" w:sz="4" w:space="0" w:color="auto"/>
              <w:right w:val="single" w:sz="4" w:space="0" w:color="auto"/>
            </w:tcBorders>
            <w:shd w:val="clear" w:color="000000" w:fill="BFBFBF"/>
            <w:hideMark/>
          </w:tcPr>
          <w:p w14:paraId="7CE60478"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c>
          <w:tcPr>
            <w:tcW w:w="303" w:type="pct"/>
            <w:tcBorders>
              <w:top w:val="nil"/>
              <w:left w:val="nil"/>
              <w:bottom w:val="single" w:sz="4" w:space="0" w:color="auto"/>
              <w:right w:val="single" w:sz="4" w:space="0" w:color="auto"/>
            </w:tcBorders>
            <w:shd w:val="clear" w:color="000000" w:fill="BFBFBF"/>
            <w:hideMark/>
          </w:tcPr>
          <w:p w14:paraId="1F466B9A"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XX</w:t>
            </w:r>
          </w:p>
        </w:tc>
      </w:tr>
      <w:tr w:rsidR="000A1AD9" w:rsidRPr="00000F38" w14:paraId="22F4878E" w14:textId="77777777" w:rsidTr="00342ED2">
        <w:trPr>
          <w:trHeight w:val="255"/>
        </w:trPr>
        <w:tc>
          <w:tcPr>
            <w:tcW w:w="158" w:type="pct"/>
            <w:tcBorders>
              <w:top w:val="nil"/>
              <w:left w:val="nil"/>
              <w:bottom w:val="nil"/>
              <w:right w:val="nil"/>
            </w:tcBorders>
            <w:shd w:val="clear" w:color="auto" w:fill="auto"/>
            <w:hideMark/>
          </w:tcPr>
          <w:p w14:paraId="2A7BA60A" w14:textId="77777777" w:rsidR="000A1AD9" w:rsidRPr="00000F38" w:rsidRDefault="000A1AD9" w:rsidP="000A1AD9">
            <w:pPr>
              <w:spacing w:after="0" w:line="240" w:lineRule="auto"/>
              <w:jc w:val="center"/>
              <w:rPr>
                <w:rFonts w:eastAsia="Times New Roman" w:cstheme="minorHAnsi"/>
                <w:b/>
                <w:bCs/>
                <w:color w:val="000000"/>
                <w:lang w:val="en-GB" w:eastAsia="en-GB"/>
              </w:rPr>
            </w:pPr>
          </w:p>
        </w:tc>
        <w:tc>
          <w:tcPr>
            <w:tcW w:w="450" w:type="pct"/>
            <w:tcBorders>
              <w:top w:val="nil"/>
              <w:left w:val="nil"/>
              <w:bottom w:val="nil"/>
              <w:right w:val="nil"/>
            </w:tcBorders>
            <w:shd w:val="clear" w:color="auto" w:fill="auto"/>
            <w:hideMark/>
          </w:tcPr>
          <w:p w14:paraId="649DA945" w14:textId="77777777" w:rsidR="000A1AD9" w:rsidRPr="00000F38" w:rsidRDefault="000A1AD9" w:rsidP="000A1AD9">
            <w:pPr>
              <w:spacing w:after="0" w:line="240" w:lineRule="auto"/>
              <w:jc w:val="center"/>
              <w:rPr>
                <w:rFonts w:eastAsia="Times New Roman" w:cstheme="minorHAnsi"/>
                <w:lang w:val="en-GB" w:eastAsia="en-GB"/>
              </w:rPr>
            </w:pPr>
          </w:p>
        </w:tc>
        <w:tc>
          <w:tcPr>
            <w:tcW w:w="296" w:type="pct"/>
            <w:tcBorders>
              <w:top w:val="nil"/>
              <w:left w:val="nil"/>
              <w:bottom w:val="nil"/>
              <w:right w:val="nil"/>
            </w:tcBorders>
            <w:shd w:val="clear" w:color="auto" w:fill="auto"/>
            <w:hideMark/>
          </w:tcPr>
          <w:p w14:paraId="0F739B87" w14:textId="77777777" w:rsidR="000A1AD9" w:rsidRPr="00000F38" w:rsidRDefault="000A1AD9" w:rsidP="000A1AD9">
            <w:pPr>
              <w:spacing w:after="0" w:line="240" w:lineRule="auto"/>
              <w:rPr>
                <w:rFonts w:eastAsia="Times New Roman" w:cstheme="minorHAnsi"/>
                <w:lang w:val="en-GB" w:eastAsia="en-GB"/>
              </w:rPr>
            </w:pPr>
          </w:p>
        </w:tc>
        <w:tc>
          <w:tcPr>
            <w:tcW w:w="219" w:type="pct"/>
            <w:tcBorders>
              <w:top w:val="nil"/>
              <w:left w:val="nil"/>
              <w:bottom w:val="nil"/>
              <w:right w:val="nil"/>
            </w:tcBorders>
            <w:shd w:val="clear" w:color="auto" w:fill="auto"/>
            <w:hideMark/>
          </w:tcPr>
          <w:p w14:paraId="61224D40" w14:textId="77777777" w:rsidR="000A1AD9" w:rsidRPr="00000F38" w:rsidRDefault="000A1AD9" w:rsidP="000A1AD9">
            <w:pPr>
              <w:spacing w:after="0" w:line="240" w:lineRule="auto"/>
              <w:rPr>
                <w:rFonts w:eastAsia="Times New Roman" w:cstheme="minorHAnsi"/>
                <w:lang w:val="en-GB" w:eastAsia="en-GB"/>
              </w:rPr>
            </w:pPr>
          </w:p>
        </w:tc>
        <w:tc>
          <w:tcPr>
            <w:tcW w:w="303" w:type="pct"/>
            <w:tcBorders>
              <w:top w:val="nil"/>
              <w:left w:val="nil"/>
              <w:bottom w:val="nil"/>
              <w:right w:val="nil"/>
            </w:tcBorders>
            <w:shd w:val="clear" w:color="auto" w:fill="auto"/>
            <w:hideMark/>
          </w:tcPr>
          <w:p w14:paraId="7BFA8DD4" w14:textId="77777777" w:rsidR="000A1AD9" w:rsidRPr="00000F38" w:rsidRDefault="000A1AD9" w:rsidP="000A1AD9">
            <w:pPr>
              <w:spacing w:after="0" w:line="240" w:lineRule="auto"/>
              <w:rPr>
                <w:rFonts w:eastAsia="Times New Roman" w:cstheme="minorHAnsi"/>
                <w:lang w:val="en-GB" w:eastAsia="en-GB"/>
              </w:rPr>
            </w:pPr>
          </w:p>
        </w:tc>
        <w:tc>
          <w:tcPr>
            <w:tcW w:w="296" w:type="pct"/>
            <w:tcBorders>
              <w:top w:val="nil"/>
              <w:left w:val="nil"/>
              <w:bottom w:val="nil"/>
              <w:right w:val="nil"/>
            </w:tcBorders>
            <w:shd w:val="clear" w:color="auto" w:fill="auto"/>
            <w:hideMark/>
          </w:tcPr>
          <w:p w14:paraId="561FE856" w14:textId="77777777" w:rsidR="000A1AD9" w:rsidRPr="00000F38" w:rsidRDefault="000A1AD9" w:rsidP="000A1AD9">
            <w:pPr>
              <w:spacing w:after="0" w:line="240" w:lineRule="auto"/>
              <w:rPr>
                <w:rFonts w:eastAsia="Times New Roman" w:cstheme="minorHAnsi"/>
                <w:lang w:val="en-GB" w:eastAsia="en-GB"/>
              </w:rPr>
            </w:pPr>
          </w:p>
        </w:tc>
        <w:tc>
          <w:tcPr>
            <w:tcW w:w="219" w:type="pct"/>
            <w:tcBorders>
              <w:top w:val="nil"/>
              <w:left w:val="nil"/>
              <w:bottom w:val="nil"/>
              <w:right w:val="nil"/>
            </w:tcBorders>
            <w:shd w:val="clear" w:color="auto" w:fill="auto"/>
            <w:hideMark/>
          </w:tcPr>
          <w:p w14:paraId="212121DB" w14:textId="77777777" w:rsidR="000A1AD9" w:rsidRPr="00000F38" w:rsidRDefault="000A1AD9" w:rsidP="000A1AD9">
            <w:pPr>
              <w:spacing w:after="0" w:line="240" w:lineRule="auto"/>
              <w:rPr>
                <w:rFonts w:eastAsia="Times New Roman" w:cstheme="minorHAnsi"/>
                <w:lang w:val="en-GB" w:eastAsia="en-GB"/>
              </w:rPr>
            </w:pPr>
          </w:p>
        </w:tc>
        <w:tc>
          <w:tcPr>
            <w:tcW w:w="303" w:type="pct"/>
            <w:tcBorders>
              <w:top w:val="nil"/>
              <w:left w:val="nil"/>
              <w:bottom w:val="nil"/>
              <w:right w:val="nil"/>
            </w:tcBorders>
            <w:shd w:val="clear" w:color="auto" w:fill="auto"/>
            <w:hideMark/>
          </w:tcPr>
          <w:p w14:paraId="0F1C96A5" w14:textId="77777777" w:rsidR="000A1AD9" w:rsidRPr="00000F38" w:rsidRDefault="000A1AD9" w:rsidP="000A1AD9">
            <w:pPr>
              <w:spacing w:after="0" w:line="240" w:lineRule="auto"/>
              <w:rPr>
                <w:rFonts w:eastAsia="Times New Roman" w:cstheme="minorHAnsi"/>
                <w:lang w:val="en-GB" w:eastAsia="en-GB"/>
              </w:rPr>
            </w:pPr>
          </w:p>
        </w:tc>
        <w:tc>
          <w:tcPr>
            <w:tcW w:w="296" w:type="pct"/>
            <w:tcBorders>
              <w:top w:val="nil"/>
              <w:left w:val="nil"/>
              <w:bottom w:val="nil"/>
              <w:right w:val="nil"/>
            </w:tcBorders>
            <w:shd w:val="clear" w:color="auto" w:fill="auto"/>
            <w:hideMark/>
          </w:tcPr>
          <w:p w14:paraId="56CBE160" w14:textId="77777777" w:rsidR="000A1AD9" w:rsidRPr="00000F38" w:rsidRDefault="000A1AD9" w:rsidP="000A1AD9">
            <w:pPr>
              <w:spacing w:after="0" w:line="240" w:lineRule="auto"/>
              <w:rPr>
                <w:rFonts w:eastAsia="Times New Roman" w:cstheme="minorHAnsi"/>
                <w:lang w:val="en-GB" w:eastAsia="en-GB"/>
              </w:rPr>
            </w:pPr>
          </w:p>
        </w:tc>
        <w:tc>
          <w:tcPr>
            <w:tcW w:w="219" w:type="pct"/>
            <w:tcBorders>
              <w:top w:val="nil"/>
              <w:left w:val="nil"/>
              <w:bottom w:val="nil"/>
              <w:right w:val="nil"/>
            </w:tcBorders>
            <w:shd w:val="clear" w:color="auto" w:fill="auto"/>
            <w:hideMark/>
          </w:tcPr>
          <w:p w14:paraId="66920ADF" w14:textId="77777777" w:rsidR="000A1AD9" w:rsidRPr="00000F38" w:rsidRDefault="000A1AD9" w:rsidP="000A1AD9">
            <w:pPr>
              <w:spacing w:after="0" w:line="240" w:lineRule="auto"/>
              <w:rPr>
                <w:rFonts w:eastAsia="Times New Roman" w:cstheme="minorHAnsi"/>
                <w:lang w:val="en-GB" w:eastAsia="en-GB"/>
              </w:rPr>
            </w:pPr>
          </w:p>
        </w:tc>
        <w:tc>
          <w:tcPr>
            <w:tcW w:w="303" w:type="pct"/>
            <w:tcBorders>
              <w:top w:val="nil"/>
              <w:left w:val="nil"/>
              <w:bottom w:val="nil"/>
              <w:right w:val="nil"/>
            </w:tcBorders>
            <w:shd w:val="clear" w:color="auto" w:fill="auto"/>
            <w:hideMark/>
          </w:tcPr>
          <w:p w14:paraId="0BB7F58A" w14:textId="77777777" w:rsidR="000A1AD9" w:rsidRPr="00000F38" w:rsidRDefault="000A1AD9" w:rsidP="000A1AD9">
            <w:pPr>
              <w:spacing w:after="0" w:line="240" w:lineRule="auto"/>
              <w:rPr>
                <w:rFonts w:eastAsia="Times New Roman" w:cstheme="minorHAnsi"/>
                <w:lang w:val="en-GB" w:eastAsia="en-GB"/>
              </w:rPr>
            </w:pPr>
          </w:p>
        </w:tc>
        <w:tc>
          <w:tcPr>
            <w:tcW w:w="296" w:type="pct"/>
            <w:tcBorders>
              <w:top w:val="nil"/>
              <w:left w:val="nil"/>
              <w:bottom w:val="nil"/>
              <w:right w:val="nil"/>
            </w:tcBorders>
            <w:shd w:val="clear" w:color="auto" w:fill="auto"/>
            <w:hideMark/>
          </w:tcPr>
          <w:p w14:paraId="2B537185" w14:textId="77777777" w:rsidR="000A1AD9" w:rsidRPr="00000F38" w:rsidRDefault="000A1AD9" w:rsidP="000A1AD9">
            <w:pPr>
              <w:spacing w:after="0" w:line="240" w:lineRule="auto"/>
              <w:rPr>
                <w:rFonts w:eastAsia="Times New Roman" w:cstheme="minorHAnsi"/>
                <w:lang w:val="en-GB" w:eastAsia="en-GB"/>
              </w:rPr>
            </w:pPr>
          </w:p>
        </w:tc>
        <w:tc>
          <w:tcPr>
            <w:tcW w:w="219" w:type="pct"/>
            <w:tcBorders>
              <w:top w:val="nil"/>
              <w:left w:val="nil"/>
              <w:bottom w:val="nil"/>
              <w:right w:val="nil"/>
            </w:tcBorders>
            <w:shd w:val="clear" w:color="auto" w:fill="auto"/>
            <w:hideMark/>
          </w:tcPr>
          <w:p w14:paraId="3B36D29C" w14:textId="77777777" w:rsidR="000A1AD9" w:rsidRPr="00000F38" w:rsidRDefault="000A1AD9" w:rsidP="000A1AD9">
            <w:pPr>
              <w:spacing w:after="0" w:line="240" w:lineRule="auto"/>
              <w:rPr>
                <w:rFonts w:eastAsia="Times New Roman" w:cstheme="minorHAnsi"/>
                <w:lang w:val="en-GB" w:eastAsia="en-GB"/>
              </w:rPr>
            </w:pPr>
          </w:p>
        </w:tc>
        <w:tc>
          <w:tcPr>
            <w:tcW w:w="303" w:type="pct"/>
            <w:tcBorders>
              <w:top w:val="nil"/>
              <w:left w:val="nil"/>
              <w:bottom w:val="nil"/>
              <w:right w:val="nil"/>
            </w:tcBorders>
            <w:shd w:val="clear" w:color="auto" w:fill="auto"/>
            <w:hideMark/>
          </w:tcPr>
          <w:p w14:paraId="413A759A" w14:textId="77777777" w:rsidR="000A1AD9" w:rsidRPr="00000F38" w:rsidRDefault="000A1AD9" w:rsidP="000A1AD9">
            <w:pPr>
              <w:spacing w:after="0" w:line="240" w:lineRule="auto"/>
              <w:rPr>
                <w:rFonts w:eastAsia="Times New Roman" w:cstheme="minorHAnsi"/>
                <w:lang w:val="en-GB" w:eastAsia="en-GB"/>
              </w:rPr>
            </w:pPr>
          </w:p>
        </w:tc>
        <w:tc>
          <w:tcPr>
            <w:tcW w:w="296" w:type="pct"/>
            <w:tcBorders>
              <w:top w:val="nil"/>
              <w:left w:val="nil"/>
              <w:bottom w:val="nil"/>
              <w:right w:val="nil"/>
            </w:tcBorders>
            <w:shd w:val="clear" w:color="auto" w:fill="auto"/>
            <w:hideMark/>
          </w:tcPr>
          <w:p w14:paraId="7ABE60FF" w14:textId="77777777" w:rsidR="000A1AD9" w:rsidRPr="00000F38" w:rsidRDefault="000A1AD9" w:rsidP="000A1AD9">
            <w:pPr>
              <w:spacing w:after="0" w:line="240" w:lineRule="auto"/>
              <w:rPr>
                <w:rFonts w:eastAsia="Times New Roman" w:cstheme="minorHAnsi"/>
                <w:lang w:val="en-GB" w:eastAsia="en-GB"/>
              </w:rPr>
            </w:pPr>
          </w:p>
        </w:tc>
        <w:tc>
          <w:tcPr>
            <w:tcW w:w="219" w:type="pct"/>
            <w:tcBorders>
              <w:top w:val="nil"/>
              <w:left w:val="nil"/>
              <w:bottom w:val="nil"/>
              <w:right w:val="nil"/>
            </w:tcBorders>
            <w:shd w:val="clear" w:color="auto" w:fill="auto"/>
            <w:hideMark/>
          </w:tcPr>
          <w:p w14:paraId="749BFE7C" w14:textId="77777777" w:rsidR="000A1AD9" w:rsidRPr="00000F38" w:rsidRDefault="000A1AD9" w:rsidP="000A1AD9">
            <w:pPr>
              <w:spacing w:after="0" w:line="240" w:lineRule="auto"/>
              <w:rPr>
                <w:rFonts w:eastAsia="Times New Roman" w:cstheme="minorHAnsi"/>
                <w:lang w:val="en-GB" w:eastAsia="en-GB"/>
              </w:rPr>
            </w:pPr>
          </w:p>
        </w:tc>
        <w:tc>
          <w:tcPr>
            <w:tcW w:w="303" w:type="pct"/>
            <w:tcBorders>
              <w:top w:val="nil"/>
              <w:left w:val="nil"/>
              <w:bottom w:val="nil"/>
              <w:right w:val="nil"/>
            </w:tcBorders>
            <w:shd w:val="clear" w:color="auto" w:fill="auto"/>
            <w:hideMark/>
          </w:tcPr>
          <w:p w14:paraId="1F7ED1F6" w14:textId="77777777" w:rsidR="000A1AD9" w:rsidRPr="00000F38" w:rsidRDefault="000A1AD9" w:rsidP="000A1AD9">
            <w:pPr>
              <w:spacing w:after="0" w:line="240" w:lineRule="auto"/>
              <w:rPr>
                <w:rFonts w:eastAsia="Times New Roman" w:cstheme="minorHAnsi"/>
                <w:lang w:val="en-GB" w:eastAsia="en-GB"/>
              </w:rPr>
            </w:pPr>
          </w:p>
        </w:tc>
        <w:tc>
          <w:tcPr>
            <w:tcW w:w="303" w:type="pct"/>
            <w:tcBorders>
              <w:top w:val="nil"/>
              <w:left w:val="nil"/>
              <w:bottom w:val="nil"/>
              <w:right w:val="nil"/>
            </w:tcBorders>
            <w:shd w:val="clear" w:color="auto" w:fill="auto"/>
            <w:hideMark/>
          </w:tcPr>
          <w:p w14:paraId="5F498808" w14:textId="77777777" w:rsidR="000A1AD9" w:rsidRPr="00000F38" w:rsidRDefault="000A1AD9" w:rsidP="000A1AD9">
            <w:pPr>
              <w:spacing w:after="0" w:line="240" w:lineRule="auto"/>
              <w:rPr>
                <w:rFonts w:eastAsia="Times New Roman" w:cstheme="minorHAnsi"/>
                <w:lang w:val="en-GB" w:eastAsia="en-GB"/>
              </w:rPr>
            </w:pPr>
          </w:p>
        </w:tc>
      </w:tr>
      <w:tr w:rsidR="000A1AD9" w:rsidRPr="00000F38" w14:paraId="51987A30" w14:textId="77777777" w:rsidTr="00342ED2">
        <w:trPr>
          <w:trHeight w:val="255"/>
        </w:trPr>
        <w:tc>
          <w:tcPr>
            <w:tcW w:w="158" w:type="pct"/>
            <w:tcBorders>
              <w:top w:val="nil"/>
              <w:left w:val="nil"/>
              <w:bottom w:val="nil"/>
              <w:right w:val="nil"/>
            </w:tcBorders>
            <w:shd w:val="clear" w:color="auto" w:fill="auto"/>
            <w:hideMark/>
          </w:tcPr>
          <w:p w14:paraId="1A01149A" w14:textId="77777777" w:rsidR="000A1AD9" w:rsidRPr="00000F38" w:rsidRDefault="000A1AD9" w:rsidP="000A1AD9">
            <w:pPr>
              <w:spacing w:after="0" w:line="240" w:lineRule="auto"/>
              <w:rPr>
                <w:rFonts w:eastAsia="Times New Roman" w:cstheme="minorHAnsi"/>
                <w:lang w:val="en-GB" w:eastAsia="en-GB"/>
              </w:rPr>
            </w:pPr>
          </w:p>
        </w:tc>
        <w:tc>
          <w:tcPr>
            <w:tcW w:w="450" w:type="pct"/>
            <w:tcBorders>
              <w:top w:val="nil"/>
              <w:left w:val="nil"/>
              <w:bottom w:val="nil"/>
              <w:right w:val="nil"/>
            </w:tcBorders>
            <w:shd w:val="clear" w:color="auto" w:fill="auto"/>
            <w:hideMark/>
          </w:tcPr>
          <w:p w14:paraId="36800C65" w14:textId="77777777" w:rsidR="000A1AD9" w:rsidRPr="00000F38" w:rsidRDefault="000A1AD9" w:rsidP="000A1AD9">
            <w:pPr>
              <w:spacing w:after="0" w:line="240" w:lineRule="auto"/>
              <w:jc w:val="center"/>
              <w:rPr>
                <w:rFonts w:eastAsia="Times New Roman" w:cstheme="minorHAnsi"/>
                <w:lang w:val="en-GB" w:eastAsia="en-GB"/>
              </w:rPr>
            </w:pPr>
          </w:p>
        </w:tc>
        <w:tc>
          <w:tcPr>
            <w:tcW w:w="296" w:type="pct"/>
            <w:tcBorders>
              <w:top w:val="nil"/>
              <w:left w:val="nil"/>
              <w:bottom w:val="nil"/>
              <w:right w:val="nil"/>
            </w:tcBorders>
            <w:shd w:val="clear" w:color="auto" w:fill="auto"/>
            <w:hideMark/>
          </w:tcPr>
          <w:p w14:paraId="69685E39" w14:textId="77777777" w:rsidR="000A1AD9" w:rsidRPr="00000F38" w:rsidRDefault="000A1AD9" w:rsidP="000A1AD9">
            <w:pPr>
              <w:spacing w:after="0" w:line="240" w:lineRule="auto"/>
              <w:rPr>
                <w:rFonts w:eastAsia="Times New Roman" w:cstheme="minorHAnsi"/>
                <w:lang w:val="en-GB" w:eastAsia="en-GB"/>
              </w:rPr>
            </w:pPr>
          </w:p>
        </w:tc>
        <w:tc>
          <w:tcPr>
            <w:tcW w:w="219" w:type="pct"/>
            <w:tcBorders>
              <w:top w:val="nil"/>
              <w:left w:val="nil"/>
              <w:bottom w:val="nil"/>
              <w:right w:val="nil"/>
            </w:tcBorders>
            <w:shd w:val="clear" w:color="auto" w:fill="auto"/>
            <w:hideMark/>
          </w:tcPr>
          <w:p w14:paraId="63F3A13F" w14:textId="77777777" w:rsidR="000A1AD9" w:rsidRPr="00000F38" w:rsidRDefault="000A1AD9" w:rsidP="000A1AD9">
            <w:pPr>
              <w:spacing w:after="0" w:line="240" w:lineRule="auto"/>
              <w:rPr>
                <w:rFonts w:eastAsia="Times New Roman" w:cstheme="minorHAnsi"/>
                <w:lang w:val="en-GB" w:eastAsia="en-GB"/>
              </w:rPr>
            </w:pPr>
          </w:p>
        </w:tc>
        <w:tc>
          <w:tcPr>
            <w:tcW w:w="303" w:type="pct"/>
            <w:tcBorders>
              <w:top w:val="nil"/>
              <w:left w:val="nil"/>
              <w:bottom w:val="nil"/>
              <w:right w:val="nil"/>
            </w:tcBorders>
            <w:shd w:val="clear" w:color="auto" w:fill="auto"/>
            <w:hideMark/>
          </w:tcPr>
          <w:p w14:paraId="147DE759" w14:textId="77777777" w:rsidR="000A1AD9" w:rsidRPr="00000F38" w:rsidRDefault="000A1AD9" w:rsidP="000A1AD9">
            <w:pPr>
              <w:spacing w:after="0" w:line="240" w:lineRule="auto"/>
              <w:rPr>
                <w:rFonts w:eastAsia="Times New Roman" w:cstheme="minorHAnsi"/>
                <w:lang w:val="en-GB" w:eastAsia="en-GB"/>
              </w:rPr>
            </w:pPr>
          </w:p>
        </w:tc>
        <w:tc>
          <w:tcPr>
            <w:tcW w:w="296" w:type="pct"/>
            <w:tcBorders>
              <w:top w:val="nil"/>
              <w:left w:val="nil"/>
              <w:bottom w:val="nil"/>
              <w:right w:val="nil"/>
            </w:tcBorders>
            <w:shd w:val="clear" w:color="auto" w:fill="auto"/>
            <w:hideMark/>
          </w:tcPr>
          <w:p w14:paraId="3D2105AB" w14:textId="77777777" w:rsidR="000A1AD9" w:rsidRPr="00000F38" w:rsidRDefault="000A1AD9" w:rsidP="000A1AD9">
            <w:pPr>
              <w:spacing w:after="0" w:line="240" w:lineRule="auto"/>
              <w:rPr>
                <w:rFonts w:eastAsia="Times New Roman" w:cstheme="minorHAnsi"/>
                <w:lang w:val="en-GB" w:eastAsia="en-GB"/>
              </w:rPr>
            </w:pPr>
          </w:p>
        </w:tc>
        <w:tc>
          <w:tcPr>
            <w:tcW w:w="219" w:type="pct"/>
            <w:tcBorders>
              <w:top w:val="nil"/>
              <w:left w:val="nil"/>
              <w:bottom w:val="nil"/>
              <w:right w:val="nil"/>
            </w:tcBorders>
            <w:shd w:val="clear" w:color="auto" w:fill="auto"/>
            <w:hideMark/>
          </w:tcPr>
          <w:p w14:paraId="36E33DC6" w14:textId="77777777" w:rsidR="000A1AD9" w:rsidRPr="00000F38" w:rsidRDefault="000A1AD9" w:rsidP="000A1AD9">
            <w:pPr>
              <w:spacing w:after="0" w:line="240" w:lineRule="auto"/>
              <w:rPr>
                <w:rFonts w:eastAsia="Times New Roman" w:cstheme="minorHAnsi"/>
                <w:lang w:val="en-GB" w:eastAsia="en-GB"/>
              </w:rPr>
            </w:pPr>
          </w:p>
        </w:tc>
        <w:tc>
          <w:tcPr>
            <w:tcW w:w="303" w:type="pct"/>
            <w:tcBorders>
              <w:top w:val="nil"/>
              <w:left w:val="nil"/>
              <w:bottom w:val="nil"/>
              <w:right w:val="nil"/>
            </w:tcBorders>
            <w:shd w:val="clear" w:color="auto" w:fill="auto"/>
            <w:hideMark/>
          </w:tcPr>
          <w:p w14:paraId="46C5A7CD" w14:textId="77777777" w:rsidR="000A1AD9" w:rsidRPr="00000F38" w:rsidRDefault="000A1AD9" w:rsidP="000A1AD9">
            <w:pPr>
              <w:spacing w:after="0" w:line="240" w:lineRule="auto"/>
              <w:rPr>
                <w:rFonts w:eastAsia="Times New Roman" w:cstheme="minorHAnsi"/>
                <w:lang w:val="en-GB" w:eastAsia="en-GB"/>
              </w:rPr>
            </w:pPr>
          </w:p>
        </w:tc>
        <w:tc>
          <w:tcPr>
            <w:tcW w:w="296" w:type="pct"/>
            <w:tcBorders>
              <w:top w:val="nil"/>
              <w:left w:val="nil"/>
              <w:bottom w:val="nil"/>
              <w:right w:val="nil"/>
            </w:tcBorders>
            <w:shd w:val="clear" w:color="auto" w:fill="auto"/>
            <w:hideMark/>
          </w:tcPr>
          <w:p w14:paraId="27C33944" w14:textId="77777777" w:rsidR="000A1AD9" w:rsidRPr="00000F38" w:rsidRDefault="000A1AD9" w:rsidP="000A1AD9">
            <w:pPr>
              <w:spacing w:after="0" w:line="240" w:lineRule="auto"/>
              <w:rPr>
                <w:rFonts w:eastAsia="Times New Roman" w:cstheme="minorHAnsi"/>
                <w:lang w:val="en-GB" w:eastAsia="en-GB"/>
              </w:rPr>
            </w:pPr>
          </w:p>
        </w:tc>
        <w:tc>
          <w:tcPr>
            <w:tcW w:w="219" w:type="pct"/>
            <w:tcBorders>
              <w:top w:val="nil"/>
              <w:left w:val="nil"/>
              <w:bottom w:val="nil"/>
              <w:right w:val="nil"/>
            </w:tcBorders>
            <w:shd w:val="clear" w:color="auto" w:fill="auto"/>
            <w:hideMark/>
          </w:tcPr>
          <w:p w14:paraId="0778BEB9" w14:textId="77777777" w:rsidR="000A1AD9" w:rsidRPr="00000F38" w:rsidRDefault="000A1AD9" w:rsidP="000A1AD9">
            <w:pPr>
              <w:spacing w:after="0" w:line="240" w:lineRule="auto"/>
              <w:rPr>
                <w:rFonts w:eastAsia="Times New Roman" w:cstheme="minorHAnsi"/>
                <w:lang w:val="en-GB" w:eastAsia="en-GB"/>
              </w:rPr>
            </w:pPr>
          </w:p>
        </w:tc>
        <w:tc>
          <w:tcPr>
            <w:tcW w:w="303" w:type="pct"/>
            <w:tcBorders>
              <w:top w:val="nil"/>
              <w:left w:val="nil"/>
              <w:bottom w:val="nil"/>
              <w:right w:val="nil"/>
            </w:tcBorders>
            <w:shd w:val="clear" w:color="auto" w:fill="auto"/>
            <w:hideMark/>
          </w:tcPr>
          <w:p w14:paraId="3E396A97" w14:textId="77777777" w:rsidR="000A1AD9" w:rsidRPr="00000F38" w:rsidRDefault="000A1AD9" w:rsidP="000A1AD9">
            <w:pPr>
              <w:spacing w:after="0" w:line="240" w:lineRule="auto"/>
              <w:rPr>
                <w:rFonts w:eastAsia="Times New Roman" w:cstheme="minorHAnsi"/>
                <w:lang w:val="en-GB" w:eastAsia="en-GB"/>
              </w:rPr>
            </w:pPr>
          </w:p>
        </w:tc>
        <w:tc>
          <w:tcPr>
            <w:tcW w:w="296" w:type="pct"/>
            <w:tcBorders>
              <w:top w:val="nil"/>
              <w:left w:val="nil"/>
              <w:bottom w:val="nil"/>
              <w:right w:val="nil"/>
            </w:tcBorders>
            <w:shd w:val="clear" w:color="auto" w:fill="auto"/>
            <w:hideMark/>
          </w:tcPr>
          <w:p w14:paraId="3BBB0337" w14:textId="77777777" w:rsidR="000A1AD9" w:rsidRPr="00000F38" w:rsidRDefault="000A1AD9" w:rsidP="000A1AD9">
            <w:pPr>
              <w:spacing w:after="0" w:line="240" w:lineRule="auto"/>
              <w:rPr>
                <w:rFonts w:eastAsia="Times New Roman" w:cstheme="minorHAnsi"/>
                <w:lang w:val="en-GB" w:eastAsia="en-GB"/>
              </w:rPr>
            </w:pPr>
          </w:p>
        </w:tc>
        <w:tc>
          <w:tcPr>
            <w:tcW w:w="219" w:type="pct"/>
            <w:tcBorders>
              <w:top w:val="nil"/>
              <w:left w:val="nil"/>
              <w:bottom w:val="nil"/>
              <w:right w:val="nil"/>
            </w:tcBorders>
            <w:shd w:val="clear" w:color="auto" w:fill="auto"/>
            <w:hideMark/>
          </w:tcPr>
          <w:p w14:paraId="10771F16" w14:textId="77777777" w:rsidR="000A1AD9" w:rsidRPr="00000F38" w:rsidRDefault="000A1AD9" w:rsidP="000A1AD9">
            <w:pPr>
              <w:spacing w:after="0" w:line="240" w:lineRule="auto"/>
              <w:rPr>
                <w:rFonts w:eastAsia="Times New Roman" w:cstheme="minorHAnsi"/>
                <w:lang w:val="en-GB" w:eastAsia="en-GB"/>
              </w:rPr>
            </w:pPr>
          </w:p>
        </w:tc>
        <w:tc>
          <w:tcPr>
            <w:tcW w:w="303" w:type="pct"/>
            <w:tcBorders>
              <w:top w:val="nil"/>
              <w:left w:val="nil"/>
              <w:bottom w:val="nil"/>
              <w:right w:val="nil"/>
            </w:tcBorders>
            <w:shd w:val="clear" w:color="auto" w:fill="auto"/>
            <w:hideMark/>
          </w:tcPr>
          <w:p w14:paraId="44F05B1F" w14:textId="77777777" w:rsidR="000A1AD9" w:rsidRPr="00000F38" w:rsidRDefault="000A1AD9" w:rsidP="000A1AD9">
            <w:pPr>
              <w:spacing w:after="0" w:line="240" w:lineRule="auto"/>
              <w:rPr>
                <w:rFonts w:eastAsia="Times New Roman" w:cstheme="minorHAnsi"/>
                <w:lang w:val="en-GB" w:eastAsia="en-GB"/>
              </w:rPr>
            </w:pPr>
          </w:p>
        </w:tc>
        <w:tc>
          <w:tcPr>
            <w:tcW w:w="296" w:type="pct"/>
            <w:tcBorders>
              <w:top w:val="nil"/>
              <w:left w:val="nil"/>
              <w:bottom w:val="nil"/>
              <w:right w:val="nil"/>
            </w:tcBorders>
            <w:shd w:val="clear" w:color="auto" w:fill="auto"/>
            <w:hideMark/>
          </w:tcPr>
          <w:p w14:paraId="53E47CB7" w14:textId="77777777" w:rsidR="000A1AD9" w:rsidRPr="00000F38" w:rsidRDefault="000A1AD9" w:rsidP="000A1AD9">
            <w:pPr>
              <w:spacing w:after="0" w:line="240" w:lineRule="auto"/>
              <w:rPr>
                <w:rFonts w:eastAsia="Times New Roman" w:cstheme="minorHAnsi"/>
                <w:lang w:val="en-GB" w:eastAsia="en-GB"/>
              </w:rPr>
            </w:pPr>
          </w:p>
        </w:tc>
        <w:tc>
          <w:tcPr>
            <w:tcW w:w="219" w:type="pct"/>
            <w:tcBorders>
              <w:top w:val="nil"/>
              <w:left w:val="nil"/>
              <w:bottom w:val="nil"/>
              <w:right w:val="nil"/>
            </w:tcBorders>
            <w:shd w:val="clear" w:color="auto" w:fill="auto"/>
            <w:hideMark/>
          </w:tcPr>
          <w:p w14:paraId="7F916B1E" w14:textId="77777777" w:rsidR="000A1AD9" w:rsidRPr="00000F38" w:rsidRDefault="000A1AD9" w:rsidP="000A1AD9">
            <w:pPr>
              <w:spacing w:after="0" w:line="240" w:lineRule="auto"/>
              <w:rPr>
                <w:rFonts w:eastAsia="Times New Roman" w:cstheme="minorHAnsi"/>
                <w:lang w:val="en-GB" w:eastAsia="en-GB"/>
              </w:rPr>
            </w:pPr>
          </w:p>
        </w:tc>
        <w:tc>
          <w:tcPr>
            <w:tcW w:w="303" w:type="pct"/>
            <w:tcBorders>
              <w:top w:val="nil"/>
              <w:left w:val="nil"/>
              <w:bottom w:val="nil"/>
              <w:right w:val="nil"/>
            </w:tcBorders>
            <w:shd w:val="clear" w:color="auto" w:fill="auto"/>
            <w:hideMark/>
          </w:tcPr>
          <w:p w14:paraId="08C75AA8" w14:textId="77777777" w:rsidR="000A1AD9" w:rsidRPr="00000F38" w:rsidRDefault="000A1AD9" w:rsidP="000A1AD9">
            <w:pPr>
              <w:spacing w:after="0" w:line="240" w:lineRule="auto"/>
              <w:rPr>
                <w:rFonts w:eastAsia="Times New Roman" w:cstheme="minorHAnsi"/>
                <w:lang w:val="en-GB" w:eastAsia="en-GB"/>
              </w:rPr>
            </w:pPr>
          </w:p>
        </w:tc>
        <w:tc>
          <w:tcPr>
            <w:tcW w:w="303" w:type="pct"/>
            <w:tcBorders>
              <w:top w:val="nil"/>
              <w:left w:val="nil"/>
              <w:bottom w:val="nil"/>
              <w:right w:val="nil"/>
            </w:tcBorders>
            <w:shd w:val="clear" w:color="auto" w:fill="auto"/>
            <w:hideMark/>
          </w:tcPr>
          <w:p w14:paraId="62EDA324" w14:textId="77777777" w:rsidR="000A1AD9" w:rsidRPr="00000F38" w:rsidRDefault="000A1AD9" w:rsidP="000A1AD9">
            <w:pPr>
              <w:spacing w:after="0" w:line="240" w:lineRule="auto"/>
              <w:rPr>
                <w:rFonts w:eastAsia="Times New Roman" w:cstheme="minorHAnsi"/>
                <w:lang w:val="en-GB" w:eastAsia="en-GB"/>
              </w:rPr>
            </w:pPr>
          </w:p>
        </w:tc>
      </w:tr>
    </w:tbl>
    <w:p w14:paraId="5E0355CC" w14:textId="7AF5FCBF" w:rsidR="000A1AD9" w:rsidRPr="00000F38" w:rsidRDefault="000A1AD9">
      <w:pPr>
        <w:rPr>
          <w:rFonts w:cstheme="minorHAnsi"/>
        </w:rPr>
      </w:pPr>
    </w:p>
    <w:p w14:paraId="49EE1496" w14:textId="77777777" w:rsidR="000A1AD9" w:rsidRPr="00000F38" w:rsidRDefault="000A1AD9">
      <w:pPr>
        <w:rPr>
          <w:rFonts w:cstheme="minorHAnsi"/>
          <w:b/>
        </w:rPr>
      </w:pPr>
      <w:r w:rsidRPr="00000F38">
        <w:rPr>
          <w:rFonts w:cstheme="minorHAnsi"/>
        </w:rPr>
        <w:br w:type="page"/>
      </w:r>
    </w:p>
    <w:p w14:paraId="149A3528" w14:textId="66D2DF4C" w:rsidR="000A1AD9" w:rsidRPr="00000F38" w:rsidRDefault="000A1AD9">
      <w:pPr>
        <w:rPr>
          <w:rFonts w:cstheme="minorHAnsi"/>
          <w:b/>
        </w:rPr>
      </w:pPr>
      <w:r w:rsidRPr="00000F38">
        <w:rPr>
          <w:rFonts w:cstheme="minorHAnsi"/>
          <w:b/>
        </w:rPr>
        <w:lastRenderedPageBreak/>
        <w:t>FMS Cost</w:t>
      </w:r>
    </w:p>
    <w:tbl>
      <w:tblPr>
        <w:tblW w:w="5000" w:type="pct"/>
        <w:tblLook w:val="04A0" w:firstRow="1" w:lastRow="0" w:firstColumn="1" w:lastColumn="0" w:noHBand="0" w:noVBand="1"/>
      </w:tblPr>
      <w:tblGrid>
        <w:gridCol w:w="977"/>
        <w:gridCol w:w="890"/>
        <w:gridCol w:w="795"/>
        <w:gridCol w:w="757"/>
        <w:gridCol w:w="891"/>
        <w:gridCol w:w="795"/>
        <w:gridCol w:w="757"/>
        <w:gridCol w:w="891"/>
        <w:gridCol w:w="795"/>
        <w:gridCol w:w="757"/>
        <w:gridCol w:w="891"/>
        <w:gridCol w:w="795"/>
        <w:gridCol w:w="757"/>
        <w:gridCol w:w="891"/>
        <w:gridCol w:w="795"/>
        <w:gridCol w:w="757"/>
        <w:gridCol w:w="757"/>
      </w:tblGrid>
      <w:tr w:rsidR="008E0319" w:rsidRPr="00342ED2" w14:paraId="6FDE2587" w14:textId="77777777" w:rsidTr="00342ED2">
        <w:trPr>
          <w:trHeight w:val="255"/>
        </w:trPr>
        <w:tc>
          <w:tcPr>
            <w:tcW w:w="350" w:type="pct"/>
            <w:tcBorders>
              <w:top w:val="single" w:sz="4" w:space="0" w:color="auto"/>
              <w:left w:val="single" w:sz="4" w:space="0" w:color="auto"/>
              <w:bottom w:val="single" w:sz="4" w:space="0" w:color="auto"/>
              <w:right w:val="single" w:sz="4" w:space="0" w:color="auto"/>
            </w:tcBorders>
            <w:shd w:val="clear" w:color="auto" w:fill="auto"/>
            <w:hideMark/>
          </w:tcPr>
          <w:p w14:paraId="385D1554" w14:textId="77777777" w:rsidR="008E0319" w:rsidRPr="00342ED2" w:rsidRDefault="008E0319" w:rsidP="008E0319">
            <w:pPr>
              <w:spacing w:after="0" w:line="240" w:lineRule="auto"/>
              <w:jc w:val="center"/>
              <w:rPr>
                <w:rFonts w:eastAsia="Times New Roman" w:cstheme="minorHAnsi"/>
                <w:b/>
                <w:bCs/>
                <w:color w:val="000000"/>
                <w:lang w:val="en-GB" w:eastAsia="en-GB"/>
              </w:rPr>
            </w:pPr>
            <w:r w:rsidRPr="00342ED2">
              <w:rPr>
                <w:rFonts w:eastAsia="Times New Roman" w:cstheme="minorHAnsi"/>
                <w:b/>
                <w:bCs/>
                <w:color w:val="000000"/>
                <w:lang w:val="en-GB" w:eastAsia="en-GB"/>
              </w:rPr>
              <w:t> </w:t>
            </w:r>
          </w:p>
        </w:tc>
        <w:tc>
          <w:tcPr>
            <w:tcW w:w="875" w:type="pct"/>
            <w:gridSpan w:val="3"/>
            <w:tcBorders>
              <w:top w:val="single" w:sz="4" w:space="0" w:color="auto"/>
              <w:left w:val="nil"/>
              <w:bottom w:val="single" w:sz="4" w:space="0" w:color="auto"/>
              <w:right w:val="single" w:sz="4" w:space="0" w:color="000000"/>
            </w:tcBorders>
            <w:shd w:val="clear" w:color="000000" w:fill="FFC000"/>
            <w:hideMark/>
          </w:tcPr>
          <w:p w14:paraId="6607FACD" w14:textId="77777777" w:rsidR="008E0319" w:rsidRPr="00342ED2" w:rsidRDefault="008E0319" w:rsidP="008E0319">
            <w:pPr>
              <w:spacing w:after="0" w:line="240" w:lineRule="auto"/>
              <w:jc w:val="center"/>
              <w:rPr>
                <w:rFonts w:eastAsia="Times New Roman" w:cstheme="minorHAnsi"/>
                <w:b/>
                <w:bCs/>
                <w:color w:val="000000"/>
                <w:lang w:val="en-GB" w:eastAsia="en-GB"/>
              </w:rPr>
            </w:pPr>
            <w:r w:rsidRPr="00342ED2">
              <w:rPr>
                <w:rFonts w:eastAsia="Times New Roman" w:cstheme="minorHAnsi"/>
                <w:b/>
                <w:bCs/>
                <w:color w:val="000000"/>
                <w:lang w:val="en-GB" w:eastAsia="en-GB"/>
              </w:rPr>
              <w:t>YEAR 1</w:t>
            </w:r>
          </w:p>
        </w:tc>
        <w:tc>
          <w:tcPr>
            <w:tcW w:w="876" w:type="pct"/>
            <w:gridSpan w:val="3"/>
            <w:tcBorders>
              <w:top w:val="single" w:sz="4" w:space="0" w:color="auto"/>
              <w:left w:val="nil"/>
              <w:bottom w:val="single" w:sz="4" w:space="0" w:color="auto"/>
              <w:right w:val="single" w:sz="4" w:space="0" w:color="000000"/>
            </w:tcBorders>
            <w:shd w:val="clear" w:color="000000" w:fill="FFC000"/>
            <w:hideMark/>
          </w:tcPr>
          <w:p w14:paraId="5B2D68A8" w14:textId="77777777" w:rsidR="008E0319" w:rsidRPr="00342ED2" w:rsidRDefault="008E0319" w:rsidP="008E0319">
            <w:pPr>
              <w:spacing w:after="0" w:line="240" w:lineRule="auto"/>
              <w:jc w:val="center"/>
              <w:rPr>
                <w:rFonts w:eastAsia="Times New Roman" w:cstheme="minorHAnsi"/>
                <w:b/>
                <w:bCs/>
                <w:color w:val="000000"/>
                <w:lang w:val="en-GB" w:eastAsia="en-GB"/>
              </w:rPr>
            </w:pPr>
            <w:r w:rsidRPr="00342ED2">
              <w:rPr>
                <w:rFonts w:eastAsia="Times New Roman" w:cstheme="minorHAnsi"/>
                <w:b/>
                <w:bCs/>
                <w:color w:val="000000"/>
                <w:lang w:val="en-GB" w:eastAsia="en-GB"/>
              </w:rPr>
              <w:t>YEAR 2</w:t>
            </w:r>
          </w:p>
        </w:tc>
        <w:tc>
          <w:tcPr>
            <w:tcW w:w="876" w:type="pct"/>
            <w:gridSpan w:val="3"/>
            <w:tcBorders>
              <w:top w:val="single" w:sz="4" w:space="0" w:color="auto"/>
              <w:left w:val="nil"/>
              <w:bottom w:val="single" w:sz="4" w:space="0" w:color="auto"/>
              <w:right w:val="single" w:sz="4" w:space="0" w:color="000000"/>
            </w:tcBorders>
            <w:shd w:val="clear" w:color="000000" w:fill="FFC000"/>
            <w:hideMark/>
          </w:tcPr>
          <w:p w14:paraId="7814DB3B" w14:textId="77777777" w:rsidR="008E0319" w:rsidRPr="00342ED2" w:rsidRDefault="008E0319" w:rsidP="008E0319">
            <w:pPr>
              <w:spacing w:after="0" w:line="240" w:lineRule="auto"/>
              <w:jc w:val="center"/>
              <w:rPr>
                <w:rFonts w:eastAsia="Times New Roman" w:cstheme="minorHAnsi"/>
                <w:b/>
                <w:bCs/>
                <w:color w:val="000000"/>
                <w:lang w:val="en-GB" w:eastAsia="en-GB"/>
              </w:rPr>
            </w:pPr>
            <w:r w:rsidRPr="00342ED2">
              <w:rPr>
                <w:rFonts w:eastAsia="Times New Roman" w:cstheme="minorHAnsi"/>
                <w:b/>
                <w:bCs/>
                <w:color w:val="000000"/>
                <w:lang w:val="en-GB" w:eastAsia="en-GB"/>
              </w:rPr>
              <w:t>YEAR 3</w:t>
            </w:r>
          </w:p>
        </w:tc>
        <w:tc>
          <w:tcPr>
            <w:tcW w:w="876" w:type="pct"/>
            <w:gridSpan w:val="3"/>
            <w:tcBorders>
              <w:top w:val="single" w:sz="4" w:space="0" w:color="auto"/>
              <w:left w:val="nil"/>
              <w:bottom w:val="single" w:sz="4" w:space="0" w:color="auto"/>
              <w:right w:val="single" w:sz="4" w:space="0" w:color="000000"/>
            </w:tcBorders>
            <w:shd w:val="clear" w:color="000000" w:fill="FFC000"/>
            <w:hideMark/>
          </w:tcPr>
          <w:p w14:paraId="532B5D58" w14:textId="77777777" w:rsidR="008E0319" w:rsidRPr="00342ED2" w:rsidRDefault="008E0319" w:rsidP="008E0319">
            <w:pPr>
              <w:spacing w:after="0" w:line="240" w:lineRule="auto"/>
              <w:jc w:val="center"/>
              <w:rPr>
                <w:rFonts w:eastAsia="Times New Roman" w:cstheme="minorHAnsi"/>
                <w:b/>
                <w:bCs/>
                <w:color w:val="000000"/>
                <w:lang w:val="en-GB" w:eastAsia="en-GB"/>
              </w:rPr>
            </w:pPr>
            <w:r w:rsidRPr="00342ED2">
              <w:rPr>
                <w:rFonts w:eastAsia="Times New Roman" w:cstheme="minorHAnsi"/>
                <w:b/>
                <w:bCs/>
                <w:color w:val="000000"/>
                <w:lang w:val="en-GB" w:eastAsia="en-GB"/>
              </w:rPr>
              <w:t>YEAR 4</w:t>
            </w:r>
          </w:p>
        </w:tc>
        <w:tc>
          <w:tcPr>
            <w:tcW w:w="876" w:type="pct"/>
            <w:gridSpan w:val="3"/>
            <w:tcBorders>
              <w:top w:val="single" w:sz="4" w:space="0" w:color="auto"/>
              <w:left w:val="nil"/>
              <w:bottom w:val="single" w:sz="4" w:space="0" w:color="auto"/>
              <w:right w:val="single" w:sz="4" w:space="0" w:color="000000"/>
            </w:tcBorders>
            <w:shd w:val="clear" w:color="000000" w:fill="FFC000"/>
            <w:hideMark/>
          </w:tcPr>
          <w:p w14:paraId="41A8DD00" w14:textId="77777777" w:rsidR="008E0319" w:rsidRPr="00342ED2" w:rsidRDefault="008E0319" w:rsidP="008E0319">
            <w:pPr>
              <w:spacing w:after="0" w:line="240" w:lineRule="auto"/>
              <w:jc w:val="center"/>
              <w:rPr>
                <w:rFonts w:eastAsia="Times New Roman" w:cstheme="minorHAnsi"/>
                <w:b/>
                <w:bCs/>
                <w:color w:val="000000"/>
                <w:lang w:val="en-GB" w:eastAsia="en-GB"/>
              </w:rPr>
            </w:pPr>
            <w:r w:rsidRPr="00342ED2">
              <w:rPr>
                <w:rFonts w:eastAsia="Times New Roman" w:cstheme="minorHAnsi"/>
                <w:b/>
                <w:bCs/>
                <w:color w:val="000000"/>
                <w:lang w:val="en-GB" w:eastAsia="en-GB"/>
              </w:rPr>
              <w:t>YEAR 5</w:t>
            </w:r>
          </w:p>
        </w:tc>
        <w:tc>
          <w:tcPr>
            <w:tcW w:w="271" w:type="pct"/>
            <w:tcBorders>
              <w:top w:val="single" w:sz="4" w:space="0" w:color="auto"/>
              <w:left w:val="nil"/>
              <w:bottom w:val="single" w:sz="4" w:space="0" w:color="auto"/>
              <w:right w:val="single" w:sz="4" w:space="0" w:color="auto"/>
            </w:tcBorders>
            <w:shd w:val="clear" w:color="auto" w:fill="auto"/>
            <w:hideMark/>
          </w:tcPr>
          <w:p w14:paraId="06330F49" w14:textId="77777777" w:rsidR="008E0319" w:rsidRPr="00342ED2" w:rsidRDefault="008E0319" w:rsidP="008E0319">
            <w:pPr>
              <w:spacing w:after="0" w:line="240" w:lineRule="auto"/>
              <w:jc w:val="right"/>
              <w:rPr>
                <w:rFonts w:eastAsia="Times New Roman" w:cstheme="minorHAnsi"/>
                <w:b/>
                <w:bCs/>
                <w:color w:val="000000"/>
                <w:lang w:val="en-GB" w:eastAsia="en-GB"/>
              </w:rPr>
            </w:pPr>
            <w:r w:rsidRPr="00342ED2">
              <w:rPr>
                <w:rFonts w:eastAsia="Times New Roman" w:cstheme="minorHAnsi"/>
                <w:b/>
                <w:bCs/>
                <w:color w:val="000000"/>
                <w:lang w:val="en-GB" w:eastAsia="en-GB"/>
              </w:rPr>
              <w:t> </w:t>
            </w:r>
          </w:p>
        </w:tc>
      </w:tr>
      <w:tr w:rsidR="008E0319" w:rsidRPr="00342ED2" w14:paraId="7C45F3F5" w14:textId="77777777" w:rsidTr="00342ED2">
        <w:trPr>
          <w:trHeight w:val="510"/>
        </w:trPr>
        <w:tc>
          <w:tcPr>
            <w:tcW w:w="350" w:type="pct"/>
            <w:tcBorders>
              <w:top w:val="nil"/>
              <w:left w:val="single" w:sz="4" w:space="0" w:color="auto"/>
              <w:bottom w:val="single" w:sz="4" w:space="0" w:color="auto"/>
              <w:right w:val="single" w:sz="4" w:space="0" w:color="auto"/>
            </w:tcBorders>
            <w:shd w:val="clear" w:color="000000" w:fill="002060"/>
            <w:hideMark/>
          </w:tcPr>
          <w:p w14:paraId="3852AD38" w14:textId="77777777" w:rsidR="008E0319" w:rsidRPr="00342ED2" w:rsidRDefault="008E0319" w:rsidP="008E0319">
            <w:pPr>
              <w:spacing w:after="0" w:line="240" w:lineRule="auto"/>
              <w:rPr>
                <w:rFonts w:eastAsia="Times New Roman" w:cstheme="minorHAnsi"/>
                <w:b/>
                <w:bCs/>
                <w:color w:val="FFFFFF"/>
                <w:lang w:val="en-GB" w:eastAsia="en-GB"/>
              </w:rPr>
            </w:pPr>
            <w:r w:rsidRPr="00342ED2">
              <w:rPr>
                <w:rFonts w:eastAsia="Times New Roman" w:cstheme="minorHAnsi"/>
                <w:b/>
                <w:bCs/>
                <w:color w:val="FFFFFF"/>
                <w:lang w:val="en-GB" w:eastAsia="en-GB"/>
              </w:rPr>
              <w:t>Description</w:t>
            </w:r>
          </w:p>
        </w:tc>
        <w:tc>
          <w:tcPr>
            <w:tcW w:w="319" w:type="pct"/>
            <w:tcBorders>
              <w:top w:val="nil"/>
              <w:left w:val="nil"/>
              <w:bottom w:val="single" w:sz="4" w:space="0" w:color="auto"/>
              <w:right w:val="single" w:sz="4" w:space="0" w:color="auto"/>
            </w:tcBorders>
            <w:shd w:val="clear" w:color="000000" w:fill="002060"/>
            <w:hideMark/>
          </w:tcPr>
          <w:p w14:paraId="56CC1CE0" w14:textId="77777777" w:rsidR="008E0319" w:rsidRPr="00342ED2" w:rsidRDefault="008E0319" w:rsidP="008E0319">
            <w:pPr>
              <w:spacing w:after="0" w:line="240" w:lineRule="auto"/>
              <w:jc w:val="center"/>
              <w:rPr>
                <w:rFonts w:eastAsia="Times New Roman" w:cstheme="minorHAnsi"/>
                <w:b/>
                <w:bCs/>
                <w:color w:val="FFFFFF"/>
                <w:lang w:val="en-GB" w:eastAsia="en-GB"/>
              </w:rPr>
            </w:pPr>
            <w:r w:rsidRPr="00342ED2">
              <w:rPr>
                <w:rFonts w:eastAsia="Times New Roman" w:cstheme="minorHAnsi"/>
                <w:b/>
                <w:bCs/>
                <w:color w:val="FFFFFF"/>
                <w:lang w:val="en-GB" w:eastAsia="en-GB"/>
              </w:rPr>
              <w:t>No. of Resources</w:t>
            </w:r>
          </w:p>
        </w:tc>
        <w:tc>
          <w:tcPr>
            <w:tcW w:w="285" w:type="pct"/>
            <w:tcBorders>
              <w:top w:val="nil"/>
              <w:left w:val="nil"/>
              <w:bottom w:val="single" w:sz="4" w:space="0" w:color="auto"/>
              <w:right w:val="single" w:sz="4" w:space="0" w:color="auto"/>
            </w:tcBorders>
            <w:shd w:val="clear" w:color="000000" w:fill="002060"/>
            <w:hideMark/>
          </w:tcPr>
          <w:p w14:paraId="6F7CADEA" w14:textId="77777777" w:rsidR="008E0319" w:rsidRPr="00342ED2" w:rsidRDefault="008E0319" w:rsidP="008E0319">
            <w:pPr>
              <w:spacing w:after="0" w:line="240" w:lineRule="auto"/>
              <w:jc w:val="center"/>
              <w:rPr>
                <w:rFonts w:eastAsia="Times New Roman" w:cstheme="minorHAnsi"/>
                <w:b/>
                <w:bCs/>
                <w:color w:val="FFFFFF"/>
                <w:lang w:val="en-GB" w:eastAsia="en-GB"/>
              </w:rPr>
            </w:pPr>
            <w:r w:rsidRPr="00342ED2">
              <w:rPr>
                <w:rFonts w:eastAsia="Times New Roman" w:cstheme="minorHAnsi"/>
                <w:b/>
                <w:bCs/>
                <w:color w:val="FFFFFF"/>
                <w:lang w:val="en-GB" w:eastAsia="en-GB"/>
              </w:rPr>
              <w:t>Rate per resource (INR)</w:t>
            </w:r>
          </w:p>
        </w:tc>
        <w:tc>
          <w:tcPr>
            <w:tcW w:w="271" w:type="pct"/>
            <w:tcBorders>
              <w:top w:val="nil"/>
              <w:left w:val="nil"/>
              <w:bottom w:val="single" w:sz="4" w:space="0" w:color="auto"/>
              <w:right w:val="single" w:sz="4" w:space="0" w:color="auto"/>
            </w:tcBorders>
            <w:shd w:val="clear" w:color="000000" w:fill="002060"/>
            <w:hideMark/>
          </w:tcPr>
          <w:p w14:paraId="1D28E378" w14:textId="77777777" w:rsidR="008E0319" w:rsidRPr="00342ED2" w:rsidRDefault="008E0319" w:rsidP="008E0319">
            <w:pPr>
              <w:spacing w:after="0" w:line="240" w:lineRule="auto"/>
              <w:jc w:val="center"/>
              <w:rPr>
                <w:rFonts w:eastAsia="Times New Roman" w:cstheme="minorHAnsi"/>
                <w:b/>
                <w:bCs/>
                <w:color w:val="FFFFFF"/>
                <w:lang w:val="en-GB" w:eastAsia="en-GB"/>
              </w:rPr>
            </w:pPr>
            <w:r w:rsidRPr="00342ED2">
              <w:rPr>
                <w:rFonts w:eastAsia="Times New Roman" w:cstheme="minorHAnsi"/>
                <w:b/>
                <w:bCs/>
                <w:color w:val="FFFFFF"/>
                <w:lang w:val="en-GB" w:eastAsia="en-GB"/>
              </w:rPr>
              <w:t>Total Amount (INR)</w:t>
            </w:r>
          </w:p>
        </w:tc>
        <w:tc>
          <w:tcPr>
            <w:tcW w:w="319" w:type="pct"/>
            <w:tcBorders>
              <w:top w:val="nil"/>
              <w:left w:val="nil"/>
              <w:bottom w:val="single" w:sz="4" w:space="0" w:color="auto"/>
              <w:right w:val="single" w:sz="4" w:space="0" w:color="auto"/>
            </w:tcBorders>
            <w:shd w:val="clear" w:color="000000" w:fill="002060"/>
            <w:hideMark/>
          </w:tcPr>
          <w:p w14:paraId="44AB3701" w14:textId="77777777" w:rsidR="008E0319" w:rsidRPr="00342ED2" w:rsidRDefault="008E0319" w:rsidP="008E0319">
            <w:pPr>
              <w:spacing w:after="0" w:line="240" w:lineRule="auto"/>
              <w:jc w:val="center"/>
              <w:rPr>
                <w:rFonts w:eastAsia="Times New Roman" w:cstheme="minorHAnsi"/>
                <w:b/>
                <w:bCs/>
                <w:color w:val="FFFFFF"/>
                <w:lang w:val="en-GB" w:eastAsia="en-GB"/>
              </w:rPr>
            </w:pPr>
            <w:r w:rsidRPr="00342ED2">
              <w:rPr>
                <w:rFonts w:eastAsia="Times New Roman" w:cstheme="minorHAnsi"/>
                <w:b/>
                <w:bCs/>
                <w:color w:val="FFFFFF"/>
                <w:lang w:val="en-GB" w:eastAsia="en-GB"/>
              </w:rPr>
              <w:t>No. of Resources</w:t>
            </w:r>
          </w:p>
        </w:tc>
        <w:tc>
          <w:tcPr>
            <w:tcW w:w="285" w:type="pct"/>
            <w:tcBorders>
              <w:top w:val="nil"/>
              <w:left w:val="nil"/>
              <w:bottom w:val="single" w:sz="4" w:space="0" w:color="auto"/>
              <w:right w:val="single" w:sz="4" w:space="0" w:color="auto"/>
            </w:tcBorders>
            <w:shd w:val="clear" w:color="000000" w:fill="002060"/>
            <w:hideMark/>
          </w:tcPr>
          <w:p w14:paraId="7769F4FB" w14:textId="77777777" w:rsidR="008E0319" w:rsidRPr="00342ED2" w:rsidRDefault="008E0319" w:rsidP="008E0319">
            <w:pPr>
              <w:spacing w:after="0" w:line="240" w:lineRule="auto"/>
              <w:jc w:val="center"/>
              <w:rPr>
                <w:rFonts w:eastAsia="Times New Roman" w:cstheme="minorHAnsi"/>
                <w:b/>
                <w:bCs/>
                <w:color w:val="FFFFFF"/>
                <w:lang w:val="en-GB" w:eastAsia="en-GB"/>
              </w:rPr>
            </w:pPr>
            <w:r w:rsidRPr="00342ED2">
              <w:rPr>
                <w:rFonts w:eastAsia="Times New Roman" w:cstheme="minorHAnsi"/>
                <w:b/>
                <w:bCs/>
                <w:color w:val="FFFFFF"/>
                <w:lang w:val="en-GB" w:eastAsia="en-GB"/>
              </w:rPr>
              <w:t>Rate per resource (INR)</w:t>
            </w:r>
          </w:p>
        </w:tc>
        <w:tc>
          <w:tcPr>
            <w:tcW w:w="271" w:type="pct"/>
            <w:tcBorders>
              <w:top w:val="nil"/>
              <w:left w:val="nil"/>
              <w:bottom w:val="single" w:sz="4" w:space="0" w:color="auto"/>
              <w:right w:val="single" w:sz="4" w:space="0" w:color="auto"/>
            </w:tcBorders>
            <w:shd w:val="clear" w:color="000000" w:fill="002060"/>
            <w:hideMark/>
          </w:tcPr>
          <w:p w14:paraId="36E8364C" w14:textId="77777777" w:rsidR="008E0319" w:rsidRPr="00342ED2" w:rsidRDefault="008E0319" w:rsidP="008E0319">
            <w:pPr>
              <w:spacing w:after="0" w:line="240" w:lineRule="auto"/>
              <w:jc w:val="center"/>
              <w:rPr>
                <w:rFonts w:eastAsia="Times New Roman" w:cstheme="minorHAnsi"/>
                <w:b/>
                <w:bCs/>
                <w:color w:val="FFFFFF"/>
                <w:lang w:val="en-GB" w:eastAsia="en-GB"/>
              </w:rPr>
            </w:pPr>
            <w:r w:rsidRPr="00342ED2">
              <w:rPr>
                <w:rFonts w:eastAsia="Times New Roman" w:cstheme="minorHAnsi"/>
                <w:b/>
                <w:bCs/>
                <w:color w:val="FFFFFF"/>
                <w:lang w:val="en-GB" w:eastAsia="en-GB"/>
              </w:rPr>
              <w:t>Total Amount (INR)</w:t>
            </w:r>
          </w:p>
        </w:tc>
        <w:tc>
          <w:tcPr>
            <w:tcW w:w="319" w:type="pct"/>
            <w:tcBorders>
              <w:top w:val="nil"/>
              <w:left w:val="nil"/>
              <w:bottom w:val="single" w:sz="4" w:space="0" w:color="auto"/>
              <w:right w:val="single" w:sz="4" w:space="0" w:color="auto"/>
            </w:tcBorders>
            <w:shd w:val="clear" w:color="000000" w:fill="002060"/>
            <w:hideMark/>
          </w:tcPr>
          <w:p w14:paraId="0577D7DB" w14:textId="77777777" w:rsidR="008E0319" w:rsidRPr="00342ED2" w:rsidRDefault="008E0319" w:rsidP="008E0319">
            <w:pPr>
              <w:spacing w:after="0" w:line="240" w:lineRule="auto"/>
              <w:jc w:val="center"/>
              <w:rPr>
                <w:rFonts w:eastAsia="Times New Roman" w:cstheme="minorHAnsi"/>
                <w:b/>
                <w:bCs/>
                <w:color w:val="FFFFFF"/>
                <w:lang w:val="en-GB" w:eastAsia="en-GB"/>
              </w:rPr>
            </w:pPr>
            <w:r w:rsidRPr="00342ED2">
              <w:rPr>
                <w:rFonts w:eastAsia="Times New Roman" w:cstheme="minorHAnsi"/>
                <w:b/>
                <w:bCs/>
                <w:color w:val="FFFFFF"/>
                <w:lang w:val="en-GB" w:eastAsia="en-GB"/>
              </w:rPr>
              <w:t>No. of Resources</w:t>
            </w:r>
          </w:p>
        </w:tc>
        <w:tc>
          <w:tcPr>
            <w:tcW w:w="285" w:type="pct"/>
            <w:tcBorders>
              <w:top w:val="nil"/>
              <w:left w:val="nil"/>
              <w:bottom w:val="single" w:sz="4" w:space="0" w:color="auto"/>
              <w:right w:val="single" w:sz="4" w:space="0" w:color="auto"/>
            </w:tcBorders>
            <w:shd w:val="clear" w:color="000000" w:fill="002060"/>
            <w:hideMark/>
          </w:tcPr>
          <w:p w14:paraId="61A0A2A8" w14:textId="77777777" w:rsidR="008E0319" w:rsidRPr="00342ED2" w:rsidRDefault="008E0319" w:rsidP="008E0319">
            <w:pPr>
              <w:spacing w:after="0" w:line="240" w:lineRule="auto"/>
              <w:jc w:val="center"/>
              <w:rPr>
                <w:rFonts w:eastAsia="Times New Roman" w:cstheme="minorHAnsi"/>
                <w:b/>
                <w:bCs/>
                <w:color w:val="FFFFFF"/>
                <w:lang w:val="en-GB" w:eastAsia="en-GB"/>
              </w:rPr>
            </w:pPr>
            <w:r w:rsidRPr="00342ED2">
              <w:rPr>
                <w:rFonts w:eastAsia="Times New Roman" w:cstheme="minorHAnsi"/>
                <w:b/>
                <w:bCs/>
                <w:color w:val="FFFFFF"/>
                <w:lang w:val="en-GB" w:eastAsia="en-GB"/>
              </w:rPr>
              <w:t>Rate per resource (INR)</w:t>
            </w:r>
          </w:p>
        </w:tc>
        <w:tc>
          <w:tcPr>
            <w:tcW w:w="271" w:type="pct"/>
            <w:tcBorders>
              <w:top w:val="nil"/>
              <w:left w:val="nil"/>
              <w:bottom w:val="single" w:sz="4" w:space="0" w:color="auto"/>
              <w:right w:val="single" w:sz="4" w:space="0" w:color="auto"/>
            </w:tcBorders>
            <w:shd w:val="clear" w:color="000000" w:fill="002060"/>
            <w:hideMark/>
          </w:tcPr>
          <w:p w14:paraId="6A8CE66A" w14:textId="77777777" w:rsidR="008E0319" w:rsidRPr="00342ED2" w:rsidRDefault="008E0319" w:rsidP="008E0319">
            <w:pPr>
              <w:spacing w:after="0" w:line="240" w:lineRule="auto"/>
              <w:jc w:val="center"/>
              <w:rPr>
                <w:rFonts w:eastAsia="Times New Roman" w:cstheme="minorHAnsi"/>
                <w:b/>
                <w:bCs/>
                <w:color w:val="FFFFFF"/>
                <w:lang w:val="en-GB" w:eastAsia="en-GB"/>
              </w:rPr>
            </w:pPr>
            <w:r w:rsidRPr="00342ED2">
              <w:rPr>
                <w:rFonts w:eastAsia="Times New Roman" w:cstheme="minorHAnsi"/>
                <w:b/>
                <w:bCs/>
                <w:color w:val="FFFFFF"/>
                <w:lang w:val="en-GB" w:eastAsia="en-GB"/>
              </w:rPr>
              <w:t>Total Amount (INR)</w:t>
            </w:r>
          </w:p>
        </w:tc>
        <w:tc>
          <w:tcPr>
            <w:tcW w:w="319" w:type="pct"/>
            <w:tcBorders>
              <w:top w:val="nil"/>
              <w:left w:val="nil"/>
              <w:bottom w:val="single" w:sz="4" w:space="0" w:color="auto"/>
              <w:right w:val="single" w:sz="4" w:space="0" w:color="auto"/>
            </w:tcBorders>
            <w:shd w:val="clear" w:color="000000" w:fill="002060"/>
            <w:hideMark/>
          </w:tcPr>
          <w:p w14:paraId="3A70531D" w14:textId="77777777" w:rsidR="008E0319" w:rsidRPr="00342ED2" w:rsidRDefault="008E0319" w:rsidP="008E0319">
            <w:pPr>
              <w:spacing w:after="0" w:line="240" w:lineRule="auto"/>
              <w:jc w:val="center"/>
              <w:rPr>
                <w:rFonts w:eastAsia="Times New Roman" w:cstheme="minorHAnsi"/>
                <w:b/>
                <w:bCs/>
                <w:color w:val="FFFFFF"/>
                <w:lang w:val="en-GB" w:eastAsia="en-GB"/>
              </w:rPr>
            </w:pPr>
            <w:r w:rsidRPr="00342ED2">
              <w:rPr>
                <w:rFonts w:eastAsia="Times New Roman" w:cstheme="minorHAnsi"/>
                <w:b/>
                <w:bCs/>
                <w:color w:val="FFFFFF"/>
                <w:lang w:val="en-GB" w:eastAsia="en-GB"/>
              </w:rPr>
              <w:t>No. of Resources</w:t>
            </w:r>
          </w:p>
        </w:tc>
        <w:tc>
          <w:tcPr>
            <w:tcW w:w="285" w:type="pct"/>
            <w:tcBorders>
              <w:top w:val="nil"/>
              <w:left w:val="nil"/>
              <w:bottom w:val="single" w:sz="4" w:space="0" w:color="auto"/>
              <w:right w:val="single" w:sz="4" w:space="0" w:color="auto"/>
            </w:tcBorders>
            <w:shd w:val="clear" w:color="000000" w:fill="002060"/>
            <w:hideMark/>
          </w:tcPr>
          <w:p w14:paraId="02315AE0" w14:textId="77777777" w:rsidR="008E0319" w:rsidRPr="00342ED2" w:rsidRDefault="008E0319" w:rsidP="008E0319">
            <w:pPr>
              <w:spacing w:after="0" w:line="240" w:lineRule="auto"/>
              <w:jc w:val="center"/>
              <w:rPr>
                <w:rFonts w:eastAsia="Times New Roman" w:cstheme="minorHAnsi"/>
                <w:b/>
                <w:bCs/>
                <w:color w:val="FFFFFF"/>
                <w:lang w:val="en-GB" w:eastAsia="en-GB"/>
              </w:rPr>
            </w:pPr>
            <w:r w:rsidRPr="00342ED2">
              <w:rPr>
                <w:rFonts w:eastAsia="Times New Roman" w:cstheme="minorHAnsi"/>
                <w:b/>
                <w:bCs/>
                <w:color w:val="FFFFFF"/>
                <w:lang w:val="en-GB" w:eastAsia="en-GB"/>
              </w:rPr>
              <w:t>Rate per resource (INR)</w:t>
            </w:r>
          </w:p>
        </w:tc>
        <w:tc>
          <w:tcPr>
            <w:tcW w:w="271" w:type="pct"/>
            <w:tcBorders>
              <w:top w:val="nil"/>
              <w:left w:val="nil"/>
              <w:bottom w:val="single" w:sz="4" w:space="0" w:color="auto"/>
              <w:right w:val="single" w:sz="4" w:space="0" w:color="auto"/>
            </w:tcBorders>
            <w:shd w:val="clear" w:color="000000" w:fill="002060"/>
            <w:hideMark/>
          </w:tcPr>
          <w:p w14:paraId="3A7806F6" w14:textId="77777777" w:rsidR="008E0319" w:rsidRPr="00342ED2" w:rsidRDefault="008E0319" w:rsidP="008E0319">
            <w:pPr>
              <w:spacing w:after="0" w:line="240" w:lineRule="auto"/>
              <w:jc w:val="center"/>
              <w:rPr>
                <w:rFonts w:eastAsia="Times New Roman" w:cstheme="minorHAnsi"/>
                <w:b/>
                <w:bCs/>
                <w:color w:val="FFFFFF"/>
                <w:lang w:val="en-GB" w:eastAsia="en-GB"/>
              </w:rPr>
            </w:pPr>
            <w:r w:rsidRPr="00342ED2">
              <w:rPr>
                <w:rFonts w:eastAsia="Times New Roman" w:cstheme="minorHAnsi"/>
                <w:b/>
                <w:bCs/>
                <w:color w:val="FFFFFF"/>
                <w:lang w:val="en-GB" w:eastAsia="en-GB"/>
              </w:rPr>
              <w:t>Total Amount (INR)</w:t>
            </w:r>
          </w:p>
        </w:tc>
        <w:tc>
          <w:tcPr>
            <w:tcW w:w="319" w:type="pct"/>
            <w:tcBorders>
              <w:top w:val="nil"/>
              <w:left w:val="nil"/>
              <w:bottom w:val="single" w:sz="4" w:space="0" w:color="auto"/>
              <w:right w:val="single" w:sz="4" w:space="0" w:color="auto"/>
            </w:tcBorders>
            <w:shd w:val="clear" w:color="000000" w:fill="002060"/>
            <w:hideMark/>
          </w:tcPr>
          <w:p w14:paraId="29AFDF11" w14:textId="77777777" w:rsidR="008E0319" w:rsidRPr="00342ED2" w:rsidRDefault="008E0319" w:rsidP="008E0319">
            <w:pPr>
              <w:spacing w:after="0" w:line="240" w:lineRule="auto"/>
              <w:jc w:val="center"/>
              <w:rPr>
                <w:rFonts w:eastAsia="Times New Roman" w:cstheme="minorHAnsi"/>
                <w:b/>
                <w:bCs/>
                <w:color w:val="FFFFFF"/>
                <w:lang w:val="en-GB" w:eastAsia="en-GB"/>
              </w:rPr>
            </w:pPr>
            <w:r w:rsidRPr="00342ED2">
              <w:rPr>
                <w:rFonts w:eastAsia="Times New Roman" w:cstheme="minorHAnsi"/>
                <w:b/>
                <w:bCs/>
                <w:color w:val="FFFFFF"/>
                <w:lang w:val="en-GB" w:eastAsia="en-GB"/>
              </w:rPr>
              <w:t>No. of Resources</w:t>
            </w:r>
          </w:p>
        </w:tc>
        <w:tc>
          <w:tcPr>
            <w:tcW w:w="285" w:type="pct"/>
            <w:tcBorders>
              <w:top w:val="nil"/>
              <w:left w:val="nil"/>
              <w:bottom w:val="single" w:sz="4" w:space="0" w:color="auto"/>
              <w:right w:val="single" w:sz="4" w:space="0" w:color="auto"/>
            </w:tcBorders>
            <w:shd w:val="clear" w:color="000000" w:fill="002060"/>
            <w:hideMark/>
          </w:tcPr>
          <w:p w14:paraId="5B0D5588" w14:textId="77777777" w:rsidR="008E0319" w:rsidRPr="00342ED2" w:rsidRDefault="008E0319" w:rsidP="008E0319">
            <w:pPr>
              <w:spacing w:after="0" w:line="240" w:lineRule="auto"/>
              <w:jc w:val="center"/>
              <w:rPr>
                <w:rFonts w:eastAsia="Times New Roman" w:cstheme="minorHAnsi"/>
                <w:b/>
                <w:bCs/>
                <w:color w:val="FFFFFF"/>
                <w:lang w:val="en-GB" w:eastAsia="en-GB"/>
              </w:rPr>
            </w:pPr>
            <w:r w:rsidRPr="00342ED2">
              <w:rPr>
                <w:rFonts w:eastAsia="Times New Roman" w:cstheme="minorHAnsi"/>
                <w:b/>
                <w:bCs/>
                <w:color w:val="FFFFFF"/>
                <w:lang w:val="en-GB" w:eastAsia="en-GB"/>
              </w:rPr>
              <w:t>Rate per resource (INR)</w:t>
            </w:r>
          </w:p>
        </w:tc>
        <w:tc>
          <w:tcPr>
            <w:tcW w:w="271" w:type="pct"/>
            <w:tcBorders>
              <w:top w:val="nil"/>
              <w:left w:val="nil"/>
              <w:bottom w:val="single" w:sz="4" w:space="0" w:color="auto"/>
              <w:right w:val="single" w:sz="4" w:space="0" w:color="auto"/>
            </w:tcBorders>
            <w:shd w:val="clear" w:color="000000" w:fill="002060"/>
            <w:hideMark/>
          </w:tcPr>
          <w:p w14:paraId="299731C0" w14:textId="77777777" w:rsidR="008E0319" w:rsidRPr="00342ED2" w:rsidRDefault="008E0319" w:rsidP="008E0319">
            <w:pPr>
              <w:spacing w:after="0" w:line="240" w:lineRule="auto"/>
              <w:jc w:val="center"/>
              <w:rPr>
                <w:rFonts w:eastAsia="Times New Roman" w:cstheme="minorHAnsi"/>
                <w:b/>
                <w:bCs/>
                <w:color w:val="FFFFFF"/>
                <w:lang w:val="en-GB" w:eastAsia="en-GB"/>
              </w:rPr>
            </w:pPr>
            <w:r w:rsidRPr="00342ED2">
              <w:rPr>
                <w:rFonts w:eastAsia="Times New Roman" w:cstheme="minorHAnsi"/>
                <w:b/>
                <w:bCs/>
                <w:color w:val="FFFFFF"/>
                <w:lang w:val="en-GB" w:eastAsia="en-GB"/>
              </w:rPr>
              <w:t>Total Amount (INR)</w:t>
            </w:r>
          </w:p>
        </w:tc>
        <w:tc>
          <w:tcPr>
            <w:tcW w:w="271" w:type="pct"/>
            <w:tcBorders>
              <w:top w:val="nil"/>
              <w:left w:val="nil"/>
              <w:bottom w:val="single" w:sz="4" w:space="0" w:color="auto"/>
              <w:right w:val="single" w:sz="4" w:space="0" w:color="auto"/>
            </w:tcBorders>
            <w:shd w:val="clear" w:color="000000" w:fill="002060"/>
            <w:hideMark/>
          </w:tcPr>
          <w:p w14:paraId="285C6972" w14:textId="77777777" w:rsidR="008E0319" w:rsidRPr="00342ED2" w:rsidRDefault="008E0319" w:rsidP="008E0319">
            <w:pPr>
              <w:spacing w:after="0" w:line="240" w:lineRule="auto"/>
              <w:jc w:val="center"/>
              <w:rPr>
                <w:rFonts w:eastAsia="Times New Roman" w:cstheme="minorHAnsi"/>
                <w:b/>
                <w:bCs/>
                <w:color w:val="FFFFFF"/>
                <w:lang w:val="en-GB" w:eastAsia="en-GB"/>
              </w:rPr>
            </w:pPr>
            <w:r w:rsidRPr="00342ED2">
              <w:rPr>
                <w:rFonts w:eastAsia="Times New Roman" w:cstheme="minorHAnsi"/>
                <w:b/>
                <w:bCs/>
                <w:color w:val="FFFFFF"/>
                <w:lang w:val="en-GB" w:eastAsia="en-GB"/>
              </w:rPr>
              <w:t>Total Amount for 5 years (INR)</w:t>
            </w:r>
          </w:p>
        </w:tc>
      </w:tr>
      <w:tr w:rsidR="008E0319" w:rsidRPr="00342ED2" w14:paraId="28EC7F71" w14:textId="77777777" w:rsidTr="00342ED2">
        <w:trPr>
          <w:trHeight w:val="255"/>
        </w:trPr>
        <w:tc>
          <w:tcPr>
            <w:tcW w:w="350" w:type="pct"/>
            <w:tcBorders>
              <w:top w:val="nil"/>
              <w:left w:val="single" w:sz="4" w:space="0" w:color="auto"/>
              <w:bottom w:val="single" w:sz="4" w:space="0" w:color="auto"/>
              <w:right w:val="single" w:sz="4" w:space="0" w:color="auto"/>
            </w:tcBorders>
            <w:shd w:val="clear" w:color="000000" w:fill="FFFFFF"/>
            <w:hideMark/>
          </w:tcPr>
          <w:p w14:paraId="22ACEB07" w14:textId="77777777" w:rsidR="008E0319" w:rsidRPr="00342ED2" w:rsidRDefault="008E0319" w:rsidP="008E0319">
            <w:pPr>
              <w:spacing w:after="0" w:line="240" w:lineRule="auto"/>
              <w:rPr>
                <w:rFonts w:eastAsia="Times New Roman" w:cstheme="minorHAnsi"/>
                <w:color w:val="000000"/>
                <w:lang w:val="en-GB" w:eastAsia="en-GB"/>
              </w:rPr>
            </w:pPr>
            <w:r w:rsidRPr="00342ED2">
              <w:rPr>
                <w:rFonts w:eastAsia="Times New Roman" w:cstheme="minorHAnsi"/>
                <w:color w:val="000000"/>
                <w:lang w:val="en-GB" w:eastAsia="en-GB"/>
              </w:rPr>
              <w:t>L1 Resource</w:t>
            </w:r>
          </w:p>
        </w:tc>
        <w:tc>
          <w:tcPr>
            <w:tcW w:w="319" w:type="pct"/>
            <w:tcBorders>
              <w:top w:val="nil"/>
              <w:left w:val="nil"/>
              <w:bottom w:val="single" w:sz="4" w:space="0" w:color="auto"/>
              <w:right w:val="single" w:sz="4" w:space="0" w:color="auto"/>
            </w:tcBorders>
            <w:shd w:val="clear" w:color="auto" w:fill="auto"/>
            <w:vAlign w:val="center"/>
            <w:hideMark/>
          </w:tcPr>
          <w:p w14:paraId="5EC12A1B" w14:textId="77777777" w:rsidR="008E0319" w:rsidRPr="00342ED2" w:rsidRDefault="008E0319" w:rsidP="008E0319">
            <w:pPr>
              <w:spacing w:after="0" w:line="240" w:lineRule="auto"/>
              <w:jc w:val="center"/>
              <w:rPr>
                <w:rFonts w:eastAsia="Times New Roman" w:cstheme="minorHAnsi"/>
                <w:color w:val="000000"/>
                <w:lang w:val="en-GB" w:eastAsia="en-GB"/>
              </w:rPr>
            </w:pPr>
            <w:r w:rsidRPr="00342ED2">
              <w:rPr>
                <w:rFonts w:eastAsia="Times New Roman" w:cstheme="minorHAnsi"/>
                <w:color w:val="000000"/>
                <w:lang w:val="en-GB" w:eastAsia="en-GB"/>
              </w:rPr>
              <w:t>8</w:t>
            </w:r>
          </w:p>
        </w:tc>
        <w:tc>
          <w:tcPr>
            <w:tcW w:w="285" w:type="pct"/>
            <w:tcBorders>
              <w:top w:val="nil"/>
              <w:left w:val="nil"/>
              <w:bottom w:val="single" w:sz="4" w:space="0" w:color="auto"/>
              <w:right w:val="single" w:sz="4" w:space="0" w:color="auto"/>
            </w:tcBorders>
            <w:shd w:val="clear" w:color="auto" w:fill="auto"/>
            <w:vAlign w:val="center"/>
            <w:hideMark/>
          </w:tcPr>
          <w:p w14:paraId="33794159" w14:textId="77777777" w:rsidR="008E0319" w:rsidRPr="00342ED2" w:rsidRDefault="008E0319" w:rsidP="008E0319">
            <w:pPr>
              <w:spacing w:after="0" w:line="240" w:lineRule="auto"/>
              <w:jc w:val="center"/>
              <w:rPr>
                <w:rFonts w:eastAsia="Times New Roman" w:cstheme="minorHAnsi"/>
                <w:color w:val="000000"/>
                <w:lang w:val="en-GB" w:eastAsia="en-GB"/>
              </w:rPr>
            </w:pPr>
            <w:r w:rsidRPr="00342ED2">
              <w:rPr>
                <w:rFonts w:eastAsia="Times New Roman" w:cstheme="minorHAnsi"/>
                <w:color w:val="000000"/>
                <w:lang w:val="en-GB" w:eastAsia="en-GB"/>
              </w:rPr>
              <w:t>XX</w:t>
            </w:r>
          </w:p>
        </w:tc>
        <w:tc>
          <w:tcPr>
            <w:tcW w:w="271" w:type="pct"/>
            <w:tcBorders>
              <w:top w:val="nil"/>
              <w:left w:val="nil"/>
              <w:bottom w:val="single" w:sz="4" w:space="0" w:color="auto"/>
              <w:right w:val="single" w:sz="4" w:space="0" w:color="auto"/>
            </w:tcBorders>
            <w:shd w:val="clear" w:color="auto" w:fill="auto"/>
            <w:vAlign w:val="center"/>
            <w:hideMark/>
          </w:tcPr>
          <w:p w14:paraId="4DCCD09E" w14:textId="77777777" w:rsidR="008E0319" w:rsidRPr="00342ED2" w:rsidRDefault="008E0319" w:rsidP="008E0319">
            <w:pPr>
              <w:spacing w:after="0" w:line="240" w:lineRule="auto"/>
              <w:jc w:val="center"/>
              <w:rPr>
                <w:rFonts w:eastAsia="Times New Roman" w:cstheme="minorHAnsi"/>
                <w:color w:val="000000"/>
                <w:lang w:val="en-GB" w:eastAsia="en-GB"/>
              </w:rPr>
            </w:pPr>
            <w:r w:rsidRPr="00342ED2">
              <w:rPr>
                <w:rFonts w:eastAsia="Times New Roman" w:cstheme="minorHAnsi"/>
                <w:color w:val="000000"/>
                <w:lang w:val="en-GB" w:eastAsia="en-GB"/>
              </w:rPr>
              <w:t>XX</w:t>
            </w:r>
          </w:p>
        </w:tc>
        <w:tc>
          <w:tcPr>
            <w:tcW w:w="319" w:type="pct"/>
            <w:tcBorders>
              <w:top w:val="nil"/>
              <w:left w:val="nil"/>
              <w:bottom w:val="single" w:sz="4" w:space="0" w:color="auto"/>
              <w:right w:val="single" w:sz="4" w:space="0" w:color="auto"/>
            </w:tcBorders>
            <w:shd w:val="clear" w:color="auto" w:fill="auto"/>
            <w:vAlign w:val="center"/>
            <w:hideMark/>
          </w:tcPr>
          <w:p w14:paraId="456C1CB5" w14:textId="77777777" w:rsidR="008E0319" w:rsidRPr="00342ED2" w:rsidRDefault="008E0319" w:rsidP="008E0319">
            <w:pPr>
              <w:spacing w:after="0" w:line="240" w:lineRule="auto"/>
              <w:jc w:val="center"/>
              <w:rPr>
                <w:rFonts w:eastAsia="Times New Roman" w:cstheme="minorHAnsi"/>
                <w:color w:val="000000"/>
                <w:lang w:val="en-GB" w:eastAsia="en-GB"/>
              </w:rPr>
            </w:pPr>
            <w:r w:rsidRPr="00342ED2">
              <w:rPr>
                <w:rFonts w:eastAsia="Times New Roman" w:cstheme="minorHAnsi"/>
                <w:color w:val="000000"/>
                <w:lang w:val="en-GB" w:eastAsia="en-GB"/>
              </w:rPr>
              <w:t>8</w:t>
            </w:r>
          </w:p>
        </w:tc>
        <w:tc>
          <w:tcPr>
            <w:tcW w:w="285" w:type="pct"/>
            <w:tcBorders>
              <w:top w:val="nil"/>
              <w:left w:val="nil"/>
              <w:bottom w:val="single" w:sz="4" w:space="0" w:color="auto"/>
              <w:right w:val="single" w:sz="4" w:space="0" w:color="auto"/>
            </w:tcBorders>
            <w:shd w:val="clear" w:color="auto" w:fill="auto"/>
            <w:vAlign w:val="center"/>
            <w:hideMark/>
          </w:tcPr>
          <w:p w14:paraId="5F962764" w14:textId="77777777" w:rsidR="008E0319" w:rsidRPr="00342ED2" w:rsidRDefault="008E0319" w:rsidP="008E0319">
            <w:pPr>
              <w:spacing w:after="0" w:line="240" w:lineRule="auto"/>
              <w:jc w:val="center"/>
              <w:rPr>
                <w:rFonts w:eastAsia="Times New Roman" w:cstheme="minorHAnsi"/>
                <w:color w:val="000000"/>
                <w:lang w:val="en-GB" w:eastAsia="en-GB"/>
              </w:rPr>
            </w:pPr>
            <w:r w:rsidRPr="00342ED2">
              <w:rPr>
                <w:rFonts w:eastAsia="Times New Roman" w:cstheme="minorHAnsi"/>
                <w:color w:val="000000"/>
                <w:lang w:val="en-GB" w:eastAsia="en-GB"/>
              </w:rPr>
              <w:t>XX</w:t>
            </w:r>
          </w:p>
        </w:tc>
        <w:tc>
          <w:tcPr>
            <w:tcW w:w="271" w:type="pct"/>
            <w:tcBorders>
              <w:top w:val="nil"/>
              <w:left w:val="nil"/>
              <w:bottom w:val="single" w:sz="4" w:space="0" w:color="auto"/>
              <w:right w:val="single" w:sz="4" w:space="0" w:color="auto"/>
            </w:tcBorders>
            <w:shd w:val="clear" w:color="auto" w:fill="auto"/>
            <w:vAlign w:val="center"/>
            <w:hideMark/>
          </w:tcPr>
          <w:p w14:paraId="1E7206CA" w14:textId="77777777" w:rsidR="008E0319" w:rsidRPr="00342ED2" w:rsidRDefault="008E0319" w:rsidP="008E0319">
            <w:pPr>
              <w:spacing w:after="0" w:line="240" w:lineRule="auto"/>
              <w:jc w:val="center"/>
              <w:rPr>
                <w:rFonts w:eastAsia="Times New Roman" w:cstheme="minorHAnsi"/>
                <w:color w:val="000000"/>
                <w:lang w:val="en-GB" w:eastAsia="en-GB"/>
              </w:rPr>
            </w:pPr>
            <w:r w:rsidRPr="00342ED2">
              <w:rPr>
                <w:rFonts w:eastAsia="Times New Roman" w:cstheme="minorHAnsi"/>
                <w:color w:val="000000"/>
                <w:lang w:val="en-GB" w:eastAsia="en-GB"/>
              </w:rPr>
              <w:t>XX</w:t>
            </w:r>
          </w:p>
        </w:tc>
        <w:tc>
          <w:tcPr>
            <w:tcW w:w="319" w:type="pct"/>
            <w:tcBorders>
              <w:top w:val="nil"/>
              <w:left w:val="nil"/>
              <w:bottom w:val="single" w:sz="4" w:space="0" w:color="auto"/>
              <w:right w:val="single" w:sz="4" w:space="0" w:color="auto"/>
            </w:tcBorders>
            <w:shd w:val="clear" w:color="auto" w:fill="auto"/>
            <w:vAlign w:val="center"/>
            <w:hideMark/>
          </w:tcPr>
          <w:p w14:paraId="177B3699" w14:textId="77777777" w:rsidR="008E0319" w:rsidRPr="00342ED2" w:rsidRDefault="008E0319" w:rsidP="008E0319">
            <w:pPr>
              <w:spacing w:after="0" w:line="240" w:lineRule="auto"/>
              <w:jc w:val="center"/>
              <w:rPr>
                <w:rFonts w:eastAsia="Times New Roman" w:cstheme="minorHAnsi"/>
                <w:color w:val="000000"/>
                <w:lang w:val="en-GB" w:eastAsia="en-GB"/>
              </w:rPr>
            </w:pPr>
            <w:r w:rsidRPr="00342ED2">
              <w:rPr>
                <w:rFonts w:eastAsia="Times New Roman" w:cstheme="minorHAnsi"/>
                <w:color w:val="000000"/>
                <w:lang w:val="en-GB" w:eastAsia="en-GB"/>
              </w:rPr>
              <w:t>8</w:t>
            </w:r>
          </w:p>
        </w:tc>
        <w:tc>
          <w:tcPr>
            <w:tcW w:w="285" w:type="pct"/>
            <w:tcBorders>
              <w:top w:val="nil"/>
              <w:left w:val="nil"/>
              <w:bottom w:val="single" w:sz="4" w:space="0" w:color="auto"/>
              <w:right w:val="single" w:sz="4" w:space="0" w:color="auto"/>
            </w:tcBorders>
            <w:shd w:val="clear" w:color="auto" w:fill="auto"/>
            <w:vAlign w:val="center"/>
            <w:hideMark/>
          </w:tcPr>
          <w:p w14:paraId="6CEA3C6F" w14:textId="77777777" w:rsidR="008E0319" w:rsidRPr="00342ED2" w:rsidRDefault="008E0319" w:rsidP="008E0319">
            <w:pPr>
              <w:spacing w:after="0" w:line="240" w:lineRule="auto"/>
              <w:jc w:val="center"/>
              <w:rPr>
                <w:rFonts w:eastAsia="Times New Roman" w:cstheme="minorHAnsi"/>
                <w:color w:val="000000"/>
                <w:lang w:val="en-GB" w:eastAsia="en-GB"/>
              </w:rPr>
            </w:pPr>
            <w:r w:rsidRPr="00342ED2">
              <w:rPr>
                <w:rFonts w:eastAsia="Times New Roman" w:cstheme="minorHAnsi"/>
                <w:color w:val="000000"/>
                <w:lang w:val="en-GB" w:eastAsia="en-GB"/>
              </w:rPr>
              <w:t>XX</w:t>
            </w:r>
          </w:p>
        </w:tc>
        <w:tc>
          <w:tcPr>
            <w:tcW w:w="271" w:type="pct"/>
            <w:tcBorders>
              <w:top w:val="nil"/>
              <w:left w:val="nil"/>
              <w:bottom w:val="single" w:sz="4" w:space="0" w:color="auto"/>
              <w:right w:val="single" w:sz="4" w:space="0" w:color="auto"/>
            </w:tcBorders>
            <w:shd w:val="clear" w:color="auto" w:fill="auto"/>
            <w:vAlign w:val="center"/>
            <w:hideMark/>
          </w:tcPr>
          <w:p w14:paraId="711D58A5" w14:textId="77777777" w:rsidR="008E0319" w:rsidRPr="00342ED2" w:rsidRDefault="008E0319" w:rsidP="008E0319">
            <w:pPr>
              <w:spacing w:after="0" w:line="240" w:lineRule="auto"/>
              <w:jc w:val="center"/>
              <w:rPr>
                <w:rFonts w:eastAsia="Times New Roman" w:cstheme="minorHAnsi"/>
                <w:color w:val="000000"/>
                <w:lang w:val="en-GB" w:eastAsia="en-GB"/>
              </w:rPr>
            </w:pPr>
            <w:r w:rsidRPr="00342ED2">
              <w:rPr>
                <w:rFonts w:eastAsia="Times New Roman" w:cstheme="minorHAnsi"/>
                <w:color w:val="000000"/>
                <w:lang w:val="en-GB" w:eastAsia="en-GB"/>
              </w:rPr>
              <w:t>XX</w:t>
            </w:r>
          </w:p>
        </w:tc>
        <w:tc>
          <w:tcPr>
            <w:tcW w:w="319" w:type="pct"/>
            <w:tcBorders>
              <w:top w:val="nil"/>
              <w:left w:val="nil"/>
              <w:bottom w:val="single" w:sz="4" w:space="0" w:color="auto"/>
              <w:right w:val="single" w:sz="4" w:space="0" w:color="auto"/>
            </w:tcBorders>
            <w:shd w:val="clear" w:color="auto" w:fill="auto"/>
            <w:vAlign w:val="center"/>
            <w:hideMark/>
          </w:tcPr>
          <w:p w14:paraId="0DDEA88E" w14:textId="77777777" w:rsidR="008E0319" w:rsidRPr="00342ED2" w:rsidRDefault="008E0319" w:rsidP="008E0319">
            <w:pPr>
              <w:spacing w:after="0" w:line="240" w:lineRule="auto"/>
              <w:jc w:val="center"/>
              <w:rPr>
                <w:rFonts w:eastAsia="Times New Roman" w:cstheme="minorHAnsi"/>
                <w:color w:val="000000"/>
                <w:lang w:val="en-GB" w:eastAsia="en-GB"/>
              </w:rPr>
            </w:pPr>
            <w:r w:rsidRPr="00342ED2">
              <w:rPr>
                <w:rFonts w:eastAsia="Times New Roman" w:cstheme="minorHAnsi"/>
                <w:color w:val="000000"/>
                <w:lang w:val="en-GB" w:eastAsia="en-GB"/>
              </w:rPr>
              <w:t>8</w:t>
            </w:r>
          </w:p>
        </w:tc>
        <w:tc>
          <w:tcPr>
            <w:tcW w:w="285" w:type="pct"/>
            <w:tcBorders>
              <w:top w:val="nil"/>
              <w:left w:val="nil"/>
              <w:bottom w:val="single" w:sz="4" w:space="0" w:color="auto"/>
              <w:right w:val="single" w:sz="4" w:space="0" w:color="auto"/>
            </w:tcBorders>
            <w:shd w:val="clear" w:color="auto" w:fill="auto"/>
            <w:vAlign w:val="center"/>
            <w:hideMark/>
          </w:tcPr>
          <w:p w14:paraId="31F517BE" w14:textId="77777777" w:rsidR="008E0319" w:rsidRPr="00342ED2" w:rsidRDefault="008E0319" w:rsidP="008E0319">
            <w:pPr>
              <w:spacing w:after="0" w:line="240" w:lineRule="auto"/>
              <w:jc w:val="center"/>
              <w:rPr>
                <w:rFonts w:eastAsia="Times New Roman" w:cstheme="minorHAnsi"/>
                <w:color w:val="000000"/>
                <w:lang w:val="en-GB" w:eastAsia="en-GB"/>
              </w:rPr>
            </w:pPr>
            <w:r w:rsidRPr="00342ED2">
              <w:rPr>
                <w:rFonts w:eastAsia="Times New Roman" w:cstheme="minorHAnsi"/>
                <w:color w:val="000000"/>
                <w:lang w:val="en-GB" w:eastAsia="en-GB"/>
              </w:rPr>
              <w:t>XX</w:t>
            </w:r>
          </w:p>
        </w:tc>
        <w:tc>
          <w:tcPr>
            <w:tcW w:w="271" w:type="pct"/>
            <w:tcBorders>
              <w:top w:val="nil"/>
              <w:left w:val="nil"/>
              <w:bottom w:val="single" w:sz="4" w:space="0" w:color="auto"/>
              <w:right w:val="single" w:sz="4" w:space="0" w:color="auto"/>
            </w:tcBorders>
            <w:shd w:val="clear" w:color="auto" w:fill="auto"/>
            <w:vAlign w:val="center"/>
            <w:hideMark/>
          </w:tcPr>
          <w:p w14:paraId="229CAACB" w14:textId="77777777" w:rsidR="008E0319" w:rsidRPr="00342ED2" w:rsidRDefault="008E0319" w:rsidP="008E0319">
            <w:pPr>
              <w:spacing w:after="0" w:line="240" w:lineRule="auto"/>
              <w:jc w:val="center"/>
              <w:rPr>
                <w:rFonts w:eastAsia="Times New Roman" w:cstheme="minorHAnsi"/>
                <w:color w:val="000000"/>
                <w:lang w:val="en-GB" w:eastAsia="en-GB"/>
              </w:rPr>
            </w:pPr>
            <w:r w:rsidRPr="00342ED2">
              <w:rPr>
                <w:rFonts w:eastAsia="Times New Roman" w:cstheme="minorHAnsi"/>
                <w:color w:val="000000"/>
                <w:lang w:val="en-GB" w:eastAsia="en-GB"/>
              </w:rPr>
              <w:t>XX</w:t>
            </w:r>
          </w:p>
        </w:tc>
        <w:tc>
          <w:tcPr>
            <w:tcW w:w="319" w:type="pct"/>
            <w:tcBorders>
              <w:top w:val="nil"/>
              <w:left w:val="nil"/>
              <w:bottom w:val="single" w:sz="4" w:space="0" w:color="auto"/>
              <w:right w:val="single" w:sz="4" w:space="0" w:color="auto"/>
            </w:tcBorders>
            <w:shd w:val="clear" w:color="auto" w:fill="auto"/>
            <w:vAlign w:val="center"/>
            <w:hideMark/>
          </w:tcPr>
          <w:p w14:paraId="6F50EE42" w14:textId="77777777" w:rsidR="008E0319" w:rsidRPr="00342ED2" w:rsidRDefault="008E0319" w:rsidP="008E0319">
            <w:pPr>
              <w:spacing w:after="0" w:line="240" w:lineRule="auto"/>
              <w:jc w:val="center"/>
              <w:rPr>
                <w:rFonts w:eastAsia="Times New Roman" w:cstheme="minorHAnsi"/>
                <w:color w:val="000000"/>
                <w:lang w:val="en-GB" w:eastAsia="en-GB"/>
              </w:rPr>
            </w:pPr>
            <w:r w:rsidRPr="00342ED2">
              <w:rPr>
                <w:rFonts w:eastAsia="Times New Roman" w:cstheme="minorHAnsi"/>
                <w:color w:val="000000"/>
                <w:lang w:val="en-GB" w:eastAsia="en-GB"/>
              </w:rPr>
              <w:t>8</w:t>
            </w:r>
          </w:p>
        </w:tc>
        <w:tc>
          <w:tcPr>
            <w:tcW w:w="285" w:type="pct"/>
            <w:tcBorders>
              <w:top w:val="nil"/>
              <w:left w:val="nil"/>
              <w:bottom w:val="single" w:sz="4" w:space="0" w:color="auto"/>
              <w:right w:val="single" w:sz="4" w:space="0" w:color="auto"/>
            </w:tcBorders>
            <w:shd w:val="clear" w:color="auto" w:fill="auto"/>
            <w:vAlign w:val="center"/>
            <w:hideMark/>
          </w:tcPr>
          <w:p w14:paraId="0ED142E1" w14:textId="77777777" w:rsidR="008E0319" w:rsidRPr="00342ED2" w:rsidRDefault="008E0319" w:rsidP="008E0319">
            <w:pPr>
              <w:spacing w:after="0" w:line="240" w:lineRule="auto"/>
              <w:jc w:val="center"/>
              <w:rPr>
                <w:rFonts w:eastAsia="Times New Roman" w:cstheme="minorHAnsi"/>
                <w:color w:val="000000"/>
                <w:lang w:val="en-GB" w:eastAsia="en-GB"/>
              </w:rPr>
            </w:pPr>
            <w:r w:rsidRPr="00342ED2">
              <w:rPr>
                <w:rFonts w:eastAsia="Times New Roman" w:cstheme="minorHAnsi"/>
                <w:color w:val="000000"/>
                <w:lang w:val="en-GB" w:eastAsia="en-GB"/>
              </w:rPr>
              <w:t>XX</w:t>
            </w:r>
          </w:p>
        </w:tc>
        <w:tc>
          <w:tcPr>
            <w:tcW w:w="271" w:type="pct"/>
            <w:tcBorders>
              <w:top w:val="nil"/>
              <w:left w:val="nil"/>
              <w:bottom w:val="single" w:sz="4" w:space="0" w:color="auto"/>
              <w:right w:val="single" w:sz="4" w:space="0" w:color="auto"/>
            </w:tcBorders>
            <w:shd w:val="clear" w:color="auto" w:fill="auto"/>
            <w:vAlign w:val="center"/>
            <w:hideMark/>
          </w:tcPr>
          <w:p w14:paraId="0CFF709B" w14:textId="77777777" w:rsidR="008E0319" w:rsidRPr="00342ED2" w:rsidRDefault="008E0319" w:rsidP="008E0319">
            <w:pPr>
              <w:spacing w:after="0" w:line="240" w:lineRule="auto"/>
              <w:jc w:val="center"/>
              <w:rPr>
                <w:rFonts w:eastAsia="Times New Roman" w:cstheme="minorHAnsi"/>
                <w:color w:val="000000"/>
                <w:lang w:val="en-GB" w:eastAsia="en-GB"/>
              </w:rPr>
            </w:pPr>
            <w:r w:rsidRPr="00342ED2">
              <w:rPr>
                <w:rFonts w:eastAsia="Times New Roman" w:cstheme="minorHAnsi"/>
                <w:color w:val="000000"/>
                <w:lang w:val="en-GB" w:eastAsia="en-GB"/>
              </w:rPr>
              <w:t>XX</w:t>
            </w:r>
          </w:p>
        </w:tc>
        <w:tc>
          <w:tcPr>
            <w:tcW w:w="271" w:type="pct"/>
            <w:tcBorders>
              <w:top w:val="nil"/>
              <w:left w:val="nil"/>
              <w:bottom w:val="single" w:sz="4" w:space="0" w:color="auto"/>
              <w:right w:val="single" w:sz="4" w:space="0" w:color="auto"/>
            </w:tcBorders>
            <w:shd w:val="clear" w:color="000000" w:fill="FFFFFF"/>
            <w:vAlign w:val="center"/>
            <w:hideMark/>
          </w:tcPr>
          <w:p w14:paraId="3E8FACFF" w14:textId="77777777" w:rsidR="008E0319" w:rsidRPr="00342ED2" w:rsidRDefault="008E0319" w:rsidP="008E0319">
            <w:pPr>
              <w:spacing w:after="0" w:line="240" w:lineRule="auto"/>
              <w:jc w:val="center"/>
              <w:rPr>
                <w:rFonts w:eastAsia="Times New Roman" w:cstheme="minorHAnsi"/>
                <w:b/>
                <w:bCs/>
                <w:color w:val="000000"/>
                <w:lang w:val="en-GB" w:eastAsia="en-GB"/>
              </w:rPr>
            </w:pPr>
            <w:r w:rsidRPr="00342ED2">
              <w:rPr>
                <w:rFonts w:eastAsia="Times New Roman" w:cstheme="minorHAnsi"/>
                <w:b/>
                <w:bCs/>
                <w:color w:val="000000"/>
                <w:lang w:val="en-GB" w:eastAsia="en-GB"/>
              </w:rPr>
              <w:t>XX</w:t>
            </w:r>
          </w:p>
        </w:tc>
      </w:tr>
      <w:tr w:rsidR="008E0319" w:rsidRPr="00342ED2" w14:paraId="00B6D6B0" w14:textId="77777777" w:rsidTr="00342ED2">
        <w:trPr>
          <w:trHeight w:val="255"/>
        </w:trPr>
        <w:tc>
          <w:tcPr>
            <w:tcW w:w="350" w:type="pct"/>
            <w:tcBorders>
              <w:top w:val="nil"/>
              <w:left w:val="single" w:sz="4" w:space="0" w:color="auto"/>
              <w:bottom w:val="single" w:sz="4" w:space="0" w:color="auto"/>
              <w:right w:val="single" w:sz="4" w:space="0" w:color="auto"/>
            </w:tcBorders>
            <w:shd w:val="clear" w:color="auto" w:fill="auto"/>
            <w:hideMark/>
          </w:tcPr>
          <w:p w14:paraId="13E1CC7F" w14:textId="77777777" w:rsidR="008E0319" w:rsidRPr="00342ED2" w:rsidRDefault="008E0319" w:rsidP="008E0319">
            <w:pPr>
              <w:spacing w:after="0" w:line="240" w:lineRule="auto"/>
              <w:rPr>
                <w:rFonts w:eastAsia="Times New Roman" w:cstheme="minorHAnsi"/>
                <w:color w:val="000000"/>
                <w:lang w:val="en-GB" w:eastAsia="en-GB"/>
              </w:rPr>
            </w:pPr>
            <w:r w:rsidRPr="00342ED2">
              <w:rPr>
                <w:rFonts w:eastAsia="Times New Roman" w:cstheme="minorHAnsi"/>
                <w:color w:val="000000"/>
                <w:lang w:val="en-GB" w:eastAsia="en-GB"/>
              </w:rPr>
              <w:t>L2 Resource</w:t>
            </w:r>
          </w:p>
        </w:tc>
        <w:tc>
          <w:tcPr>
            <w:tcW w:w="319" w:type="pct"/>
            <w:tcBorders>
              <w:top w:val="nil"/>
              <w:left w:val="nil"/>
              <w:bottom w:val="single" w:sz="4" w:space="0" w:color="auto"/>
              <w:right w:val="single" w:sz="4" w:space="0" w:color="auto"/>
            </w:tcBorders>
            <w:shd w:val="clear" w:color="auto" w:fill="auto"/>
            <w:vAlign w:val="center"/>
            <w:hideMark/>
          </w:tcPr>
          <w:p w14:paraId="586EF1B0" w14:textId="77777777" w:rsidR="008E0319" w:rsidRPr="00342ED2" w:rsidRDefault="008E0319" w:rsidP="008E0319">
            <w:pPr>
              <w:spacing w:after="0" w:line="240" w:lineRule="auto"/>
              <w:jc w:val="center"/>
              <w:rPr>
                <w:rFonts w:eastAsia="Times New Roman" w:cstheme="minorHAnsi"/>
                <w:color w:val="000000"/>
                <w:lang w:val="en-GB" w:eastAsia="en-GB"/>
              </w:rPr>
            </w:pPr>
            <w:r w:rsidRPr="00342ED2">
              <w:rPr>
                <w:rFonts w:eastAsia="Times New Roman" w:cstheme="minorHAnsi"/>
                <w:color w:val="000000"/>
                <w:lang w:val="en-GB" w:eastAsia="en-GB"/>
              </w:rPr>
              <w:t>2</w:t>
            </w:r>
          </w:p>
        </w:tc>
        <w:tc>
          <w:tcPr>
            <w:tcW w:w="285" w:type="pct"/>
            <w:tcBorders>
              <w:top w:val="nil"/>
              <w:left w:val="nil"/>
              <w:bottom w:val="single" w:sz="4" w:space="0" w:color="auto"/>
              <w:right w:val="single" w:sz="4" w:space="0" w:color="auto"/>
            </w:tcBorders>
            <w:shd w:val="clear" w:color="auto" w:fill="auto"/>
            <w:vAlign w:val="center"/>
            <w:hideMark/>
          </w:tcPr>
          <w:p w14:paraId="333AC6B4" w14:textId="77777777" w:rsidR="008E0319" w:rsidRPr="00342ED2" w:rsidRDefault="008E0319" w:rsidP="008E0319">
            <w:pPr>
              <w:spacing w:after="0" w:line="240" w:lineRule="auto"/>
              <w:jc w:val="center"/>
              <w:rPr>
                <w:rFonts w:eastAsia="Times New Roman" w:cstheme="minorHAnsi"/>
                <w:color w:val="000000"/>
                <w:lang w:val="en-GB" w:eastAsia="en-GB"/>
              </w:rPr>
            </w:pPr>
            <w:r w:rsidRPr="00342ED2">
              <w:rPr>
                <w:rFonts w:eastAsia="Times New Roman" w:cstheme="minorHAnsi"/>
                <w:color w:val="000000"/>
                <w:lang w:val="en-GB" w:eastAsia="en-GB"/>
              </w:rPr>
              <w:t>XX</w:t>
            </w:r>
          </w:p>
        </w:tc>
        <w:tc>
          <w:tcPr>
            <w:tcW w:w="271" w:type="pct"/>
            <w:tcBorders>
              <w:top w:val="nil"/>
              <w:left w:val="nil"/>
              <w:bottom w:val="single" w:sz="4" w:space="0" w:color="auto"/>
              <w:right w:val="single" w:sz="4" w:space="0" w:color="auto"/>
            </w:tcBorders>
            <w:shd w:val="clear" w:color="auto" w:fill="auto"/>
            <w:vAlign w:val="center"/>
            <w:hideMark/>
          </w:tcPr>
          <w:p w14:paraId="70E5B217" w14:textId="77777777" w:rsidR="008E0319" w:rsidRPr="00342ED2" w:rsidRDefault="008E0319" w:rsidP="008E0319">
            <w:pPr>
              <w:spacing w:after="0" w:line="240" w:lineRule="auto"/>
              <w:jc w:val="center"/>
              <w:rPr>
                <w:rFonts w:eastAsia="Times New Roman" w:cstheme="minorHAnsi"/>
                <w:color w:val="000000"/>
                <w:lang w:val="en-GB" w:eastAsia="en-GB"/>
              </w:rPr>
            </w:pPr>
            <w:r w:rsidRPr="00342ED2">
              <w:rPr>
                <w:rFonts w:eastAsia="Times New Roman" w:cstheme="minorHAnsi"/>
                <w:color w:val="000000"/>
                <w:lang w:val="en-GB" w:eastAsia="en-GB"/>
              </w:rPr>
              <w:t>XX</w:t>
            </w:r>
          </w:p>
        </w:tc>
        <w:tc>
          <w:tcPr>
            <w:tcW w:w="319" w:type="pct"/>
            <w:tcBorders>
              <w:top w:val="nil"/>
              <w:left w:val="nil"/>
              <w:bottom w:val="single" w:sz="4" w:space="0" w:color="auto"/>
              <w:right w:val="single" w:sz="4" w:space="0" w:color="auto"/>
            </w:tcBorders>
            <w:shd w:val="clear" w:color="auto" w:fill="auto"/>
            <w:vAlign w:val="center"/>
            <w:hideMark/>
          </w:tcPr>
          <w:p w14:paraId="36EE203B" w14:textId="77777777" w:rsidR="008E0319" w:rsidRPr="00342ED2" w:rsidRDefault="008E0319" w:rsidP="008E0319">
            <w:pPr>
              <w:spacing w:after="0" w:line="240" w:lineRule="auto"/>
              <w:jc w:val="center"/>
              <w:rPr>
                <w:rFonts w:eastAsia="Times New Roman" w:cstheme="minorHAnsi"/>
                <w:color w:val="000000"/>
                <w:lang w:val="en-GB" w:eastAsia="en-GB"/>
              </w:rPr>
            </w:pPr>
            <w:r w:rsidRPr="00342ED2">
              <w:rPr>
                <w:rFonts w:eastAsia="Times New Roman" w:cstheme="minorHAnsi"/>
                <w:color w:val="000000"/>
                <w:lang w:val="en-GB" w:eastAsia="en-GB"/>
              </w:rPr>
              <w:t>2</w:t>
            </w:r>
          </w:p>
        </w:tc>
        <w:tc>
          <w:tcPr>
            <w:tcW w:w="285" w:type="pct"/>
            <w:tcBorders>
              <w:top w:val="nil"/>
              <w:left w:val="nil"/>
              <w:bottom w:val="single" w:sz="4" w:space="0" w:color="auto"/>
              <w:right w:val="single" w:sz="4" w:space="0" w:color="auto"/>
            </w:tcBorders>
            <w:shd w:val="clear" w:color="auto" w:fill="auto"/>
            <w:vAlign w:val="center"/>
            <w:hideMark/>
          </w:tcPr>
          <w:p w14:paraId="68574548" w14:textId="77777777" w:rsidR="008E0319" w:rsidRPr="00342ED2" w:rsidRDefault="008E0319" w:rsidP="008E0319">
            <w:pPr>
              <w:spacing w:after="0" w:line="240" w:lineRule="auto"/>
              <w:jc w:val="center"/>
              <w:rPr>
                <w:rFonts w:eastAsia="Times New Roman" w:cstheme="minorHAnsi"/>
                <w:color w:val="000000"/>
                <w:lang w:val="en-GB" w:eastAsia="en-GB"/>
              </w:rPr>
            </w:pPr>
            <w:r w:rsidRPr="00342ED2">
              <w:rPr>
                <w:rFonts w:eastAsia="Times New Roman" w:cstheme="minorHAnsi"/>
                <w:color w:val="000000"/>
                <w:lang w:val="en-GB" w:eastAsia="en-GB"/>
              </w:rPr>
              <w:t>XX</w:t>
            </w:r>
          </w:p>
        </w:tc>
        <w:tc>
          <w:tcPr>
            <w:tcW w:w="271" w:type="pct"/>
            <w:tcBorders>
              <w:top w:val="nil"/>
              <w:left w:val="nil"/>
              <w:bottom w:val="single" w:sz="4" w:space="0" w:color="auto"/>
              <w:right w:val="single" w:sz="4" w:space="0" w:color="auto"/>
            </w:tcBorders>
            <w:shd w:val="clear" w:color="auto" w:fill="auto"/>
            <w:vAlign w:val="center"/>
            <w:hideMark/>
          </w:tcPr>
          <w:p w14:paraId="7709D0CA" w14:textId="77777777" w:rsidR="008E0319" w:rsidRPr="00342ED2" w:rsidRDefault="008E0319" w:rsidP="008E0319">
            <w:pPr>
              <w:spacing w:after="0" w:line="240" w:lineRule="auto"/>
              <w:jc w:val="center"/>
              <w:rPr>
                <w:rFonts w:eastAsia="Times New Roman" w:cstheme="minorHAnsi"/>
                <w:color w:val="000000"/>
                <w:lang w:val="en-GB" w:eastAsia="en-GB"/>
              </w:rPr>
            </w:pPr>
            <w:r w:rsidRPr="00342ED2">
              <w:rPr>
                <w:rFonts w:eastAsia="Times New Roman" w:cstheme="minorHAnsi"/>
                <w:color w:val="000000"/>
                <w:lang w:val="en-GB" w:eastAsia="en-GB"/>
              </w:rPr>
              <w:t>XX</w:t>
            </w:r>
          </w:p>
        </w:tc>
        <w:tc>
          <w:tcPr>
            <w:tcW w:w="319" w:type="pct"/>
            <w:tcBorders>
              <w:top w:val="nil"/>
              <w:left w:val="nil"/>
              <w:bottom w:val="single" w:sz="4" w:space="0" w:color="auto"/>
              <w:right w:val="single" w:sz="4" w:space="0" w:color="auto"/>
            </w:tcBorders>
            <w:shd w:val="clear" w:color="auto" w:fill="auto"/>
            <w:vAlign w:val="center"/>
            <w:hideMark/>
          </w:tcPr>
          <w:p w14:paraId="4E9BDC54" w14:textId="77777777" w:rsidR="008E0319" w:rsidRPr="00342ED2" w:rsidRDefault="008E0319" w:rsidP="008E0319">
            <w:pPr>
              <w:spacing w:after="0" w:line="240" w:lineRule="auto"/>
              <w:jc w:val="center"/>
              <w:rPr>
                <w:rFonts w:eastAsia="Times New Roman" w:cstheme="minorHAnsi"/>
                <w:color w:val="000000"/>
                <w:lang w:val="en-GB" w:eastAsia="en-GB"/>
              </w:rPr>
            </w:pPr>
            <w:r w:rsidRPr="00342ED2">
              <w:rPr>
                <w:rFonts w:eastAsia="Times New Roman" w:cstheme="minorHAnsi"/>
                <w:color w:val="000000"/>
                <w:lang w:val="en-GB" w:eastAsia="en-GB"/>
              </w:rPr>
              <w:t>2</w:t>
            </w:r>
          </w:p>
        </w:tc>
        <w:tc>
          <w:tcPr>
            <w:tcW w:w="285" w:type="pct"/>
            <w:tcBorders>
              <w:top w:val="nil"/>
              <w:left w:val="nil"/>
              <w:bottom w:val="single" w:sz="4" w:space="0" w:color="auto"/>
              <w:right w:val="single" w:sz="4" w:space="0" w:color="auto"/>
            </w:tcBorders>
            <w:shd w:val="clear" w:color="auto" w:fill="auto"/>
            <w:vAlign w:val="center"/>
            <w:hideMark/>
          </w:tcPr>
          <w:p w14:paraId="4C606199" w14:textId="77777777" w:rsidR="008E0319" w:rsidRPr="00342ED2" w:rsidRDefault="008E0319" w:rsidP="008E0319">
            <w:pPr>
              <w:spacing w:after="0" w:line="240" w:lineRule="auto"/>
              <w:jc w:val="center"/>
              <w:rPr>
                <w:rFonts w:eastAsia="Times New Roman" w:cstheme="minorHAnsi"/>
                <w:color w:val="000000"/>
                <w:lang w:val="en-GB" w:eastAsia="en-GB"/>
              </w:rPr>
            </w:pPr>
            <w:r w:rsidRPr="00342ED2">
              <w:rPr>
                <w:rFonts w:eastAsia="Times New Roman" w:cstheme="minorHAnsi"/>
                <w:color w:val="000000"/>
                <w:lang w:val="en-GB" w:eastAsia="en-GB"/>
              </w:rPr>
              <w:t>XX</w:t>
            </w:r>
          </w:p>
        </w:tc>
        <w:tc>
          <w:tcPr>
            <w:tcW w:w="271" w:type="pct"/>
            <w:tcBorders>
              <w:top w:val="nil"/>
              <w:left w:val="nil"/>
              <w:bottom w:val="single" w:sz="4" w:space="0" w:color="auto"/>
              <w:right w:val="single" w:sz="4" w:space="0" w:color="auto"/>
            </w:tcBorders>
            <w:shd w:val="clear" w:color="auto" w:fill="auto"/>
            <w:vAlign w:val="center"/>
            <w:hideMark/>
          </w:tcPr>
          <w:p w14:paraId="288D17AE" w14:textId="77777777" w:rsidR="008E0319" w:rsidRPr="00342ED2" w:rsidRDefault="008E0319" w:rsidP="008E0319">
            <w:pPr>
              <w:spacing w:after="0" w:line="240" w:lineRule="auto"/>
              <w:jc w:val="center"/>
              <w:rPr>
                <w:rFonts w:eastAsia="Times New Roman" w:cstheme="minorHAnsi"/>
                <w:color w:val="000000"/>
                <w:lang w:val="en-GB" w:eastAsia="en-GB"/>
              </w:rPr>
            </w:pPr>
            <w:r w:rsidRPr="00342ED2">
              <w:rPr>
                <w:rFonts w:eastAsia="Times New Roman" w:cstheme="minorHAnsi"/>
                <w:color w:val="000000"/>
                <w:lang w:val="en-GB" w:eastAsia="en-GB"/>
              </w:rPr>
              <w:t>XX</w:t>
            </w:r>
          </w:p>
        </w:tc>
        <w:tc>
          <w:tcPr>
            <w:tcW w:w="319" w:type="pct"/>
            <w:tcBorders>
              <w:top w:val="nil"/>
              <w:left w:val="nil"/>
              <w:bottom w:val="single" w:sz="4" w:space="0" w:color="auto"/>
              <w:right w:val="single" w:sz="4" w:space="0" w:color="auto"/>
            </w:tcBorders>
            <w:shd w:val="clear" w:color="auto" w:fill="auto"/>
            <w:vAlign w:val="center"/>
            <w:hideMark/>
          </w:tcPr>
          <w:p w14:paraId="47D233AB" w14:textId="77777777" w:rsidR="008E0319" w:rsidRPr="00342ED2" w:rsidRDefault="008E0319" w:rsidP="008E0319">
            <w:pPr>
              <w:spacing w:after="0" w:line="240" w:lineRule="auto"/>
              <w:jc w:val="center"/>
              <w:rPr>
                <w:rFonts w:eastAsia="Times New Roman" w:cstheme="minorHAnsi"/>
                <w:color w:val="000000"/>
                <w:lang w:val="en-GB" w:eastAsia="en-GB"/>
              </w:rPr>
            </w:pPr>
            <w:r w:rsidRPr="00342ED2">
              <w:rPr>
                <w:rFonts w:eastAsia="Times New Roman" w:cstheme="minorHAnsi"/>
                <w:color w:val="000000"/>
                <w:lang w:val="en-GB" w:eastAsia="en-GB"/>
              </w:rPr>
              <w:t>2</w:t>
            </w:r>
          </w:p>
        </w:tc>
        <w:tc>
          <w:tcPr>
            <w:tcW w:w="285" w:type="pct"/>
            <w:tcBorders>
              <w:top w:val="nil"/>
              <w:left w:val="nil"/>
              <w:bottom w:val="single" w:sz="4" w:space="0" w:color="auto"/>
              <w:right w:val="single" w:sz="4" w:space="0" w:color="auto"/>
            </w:tcBorders>
            <w:shd w:val="clear" w:color="auto" w:fill="auto"/>
            <w:vAlign w:val="center"/>
            <w:hideMark/>
          </w:tcPr>
          <w:p w14:paraId="66150F92" w14:textId="77777777" w:rsidR="008E0319" w:rsidRPr="00342ED2" w:rsidRDefault="008E0319" w:rsidP="008E0319">
            <w:pPr>
              <w:spacing w:after="0" w:line="240" w:lineRule="auto"/>
              <w:jc w:val="center"/>
              <w:rPr>
                <w:rFonts w:eastAsia="Times New Roman" w:cstheme="minorHAnsi"/>
                <w:color w:val="000000"/>
                <w:lang w:val="en-GB" w:eastAsia="en-GB"/>
              </w:rPr>
            </w:pPr>
            <w:r w:rsidRPr="00342ED2">
              <w:rPr>
                <w:rFonts w:eastAsia="Times New Roman" w:cstheme="minorHAnsi"/>
                <w:color w:val="000000"/>
                <w:lang w:val="en-GB" w:eastAsia="en-GB"/>
              </w:rPr>
              <w:t>XX</w:t>
            </w:r>
          </w:p>
        </w:tc>
        <w:tc>
          <w:tcPr>
            <w:tcW w:w="271" w:type="pct"/>
            <w:tcBorders>
              <w:top w:val="nil"/>
              <w:left w:val="nil"/>
              <w:bottom w:val="single" w:sz="4" w:space="0" w:color="auto"/>
              <w:right w:val="single" w:sz="4" w:space="0" w:color="auto"/>
            </w:tcBorders>
            <w:shd w:val="clear" w:color="auto" w:fill="auto"/>
            <w:vAlign w:val="center"/>
            <w:hideMark/>
          </w:tcPr>
          <w:p w14:paraId="510335D2" w14:textId="77777777" w:rsidR="008E0319" w:rsidRPr="00342ED2" w:rsidRDefault="008E0319" w:rsidP="008E0319">
            <w:pPr>
              <w:spacing w:after="0" w:line="240" w:lineRule="auto"/>
              <w:jc w:val="center"/>
              <w:rPr>
                <w:rFonts w:eastAsia="Times New Roman" w:cstheme="minorHAnsi"/>
                <w:color w:val="000000"/>
                <w:lang w:val="en-GB" w:eastAsia="en-GB"/>
              </w:rPr>
            </w:pPr>
            <w:r w:rsidRPr="00342ED2">
              <w:rPr>
                <w:rFonts w:eastAsia="Times New Roman" w:cstheme="minorHAnsi"/>
                <w:color w:val="000000"/>
                <w:lang w:val="en-GB" w:eastAsia="en-GB"/>
              </w:rPr>
              <w:t>XX</w:t>
            </w:r>
          </w:p>
        </w:tc>
        <w:tc>
          <w:tcPr>
            <w:tcW w:w="319" w:type="pct"/>
            <w:tcBorders>
              <w:top w:val="nil"/>
              <w:left w:val="nil"/>
              <w:bottom w:val="single" w:sz="4" w:space="0" w:color="auto"/>
              <w:right w:val="single" w:sz="4" w:space="0" w:color="auto"/>
            </w:tcBorders>
            <w:shd w:val="clear" w:color="auto" w:fill="auto"/>
            <w:vAlign w:val="center"/>
            <w:hideMark/>
          </w:tcPr>
          <w:p w14:paraId="033494B5" w14:textId="77777777" w:rsidR="008E0319" w:rsidRPr="00342ED2" w:rsidRDefault="008E0319" w:rsidP="008E0319">
            <w:pPr>
              <w:spacing w:after="0" w:line="240" w:lineRule="auto"/>
              <w:jc w:val="center"/>
              <w:rPr>
                <w:rFonts w:eastAsia="Times New Roman" w:cstheme="minorHAnsi"/>
                <w:color w:val="000000"/>
                <w:lang w:val="en-GB" w:eastAsia="en-GB"/>
              </w:rPr>
            </w:pPr>
            <w:r w:rsidRPr="00342ED2">
              <w:rPr>
                <w:rFonts w:eastAsia="Times New Roman" w:cstheme="minorHAnsi"/>
                <w:color w:val="000000"/>
                <w:lang w:val="en-GB" w:eastAsia="en-GB"/>
              </w:rPr>
              <w:t>2</w:t>
            </w:r>
          </w:p>
        </w:tc>
        <w:tc>
          <w:tcPr>
            <w:tcW w:w="285" w:type="pct"/>
            <w:tcBorders>
              <w:top w:val="nil"/>
              <w:left w:val="nil"/>
              <w:bottom w:val="single" w:sz="4" w:space="0" w:color="auto"/>
              <w:right w:val="single" w:sz="4" w:space="0" w:color="auto"/>
            </w:tcBorders>
            <w:shd w:val="clear" w:color="auto" w:fill="auto"/>
            <w:vAlign w:val="center"/>
            <w:hideMark/>
          </w:tcPr>
          <w:p w14:paraId="133987F3" w14:textId="77777777" w:rsidR="008E0319" w:rsidRPr="00342ED2" w:rsidRDefault="008E0319" w:rsidP="008E0319">
            <w:pPr>
              <w:spacing w:after="0" w:line="240" w:lineRule="auto"/>
              <w:jc w:val="center"/>
              <w:rPr>
                <w:rFonts w:eastAsia="Times New Roman" w:cstheme="minorHAnsi"/>
                <w:color w:val="000000"/>
                <w:lang w:val="en-GB" w:eastAsia="en-GB"/>
              </w:rPr>
            </w:pPr>
            <w:r w:rsidRPr="00342ED2">
              <w:rPr>
                <w:rFonts w:eastAsia="Times New Roman" w:cstheme="minorHAnsi"/>
                <w:color w:val="000000"/>
                <w:lang w:val="en-GB" w:eastAsia="en-GB"/>
              </w:rPr>
              <w:t>XX</w:t>
            </w:r>
          </w:p>
        </w:tc>
        <w:tc>
          <w:tcPr>
            <w:tcW w:w="271" w:type="pct"/>
            <w:tcBorders>
              <w:top w:val="nil"/>
              <w:left w:val="nil"/>
              <w:bottom w:val="single" w:sz="4" w:space="0" w:color="auto"/>
              <w:right w:val="single" w:sz="4" w:space="0" w:color="auto"/>
            </w:tcBorders>
            <w:shd w:val="clear" w:color="auto" w:fill="auto"/>
            <w:vAlign w:val="center"/>
            <w:hideMark/>
          </w:tcPr>
          <w:p w14:paraId="21211E7E" w14:textId="77777777" w:rsidR="008E0319" w:rsidRPr="00342ED2" w:rsidRDefault="008E0319" w:rsidP="008E0319">
            <w:pPr>
              <w:spacing w:after="0" w:line="240" w:lineRule="auto"/>
              <w:jc w:val="center"/>
              <w:rPr>
                <w:rFonts w:eastAsia="Times New Roman" w:cstheme="minorHAnsi"/>
                <w:color w:val="000000"/>
                <w:lang w:val="en-GB" w:eastAsia="en-GB"/>
              </w:rPr>
            </w:pPr>
            <w:r w:rsidRPr="00342ED2">
              <w:rPr>
                <w:rFonts w:eastAsia="Times New Roman" w:cstheme="minorHAnsi"/>
                <w:color w:val="000000"/>
                <w:lang w:val="en-GB" w:eastAsia="en-GB"/>
              </w:rPr>
              <w:t>XX</w:t>
            </w:r>
          </w:p>
        </w:tc>
        <w:tc>
          <w:tcPr>
            <w:tcW w:w="271" w:type="pct"/>
            <w:tcBorders>
              <w:top w:val="nil"/>
              <w:left w:val="nil"/>
              <w:bottom w:val="single" w:sz="4" w:space="0" w:color="auto"/>
              <w:right w:val="single" w:sz="4" w:space="0" w:color="auto"/>
            </w:tcBorders>
            <w:shd w:val="clear" w:color="000000" w:fill="FFFFFF"/>
            <w:vAlign w:val="center"/>
            <w:hideMark/>
          </w:tcPr>
          <w:p w14:paraId="0E9B8E82" w14:textId="77777777" w:rsidR="008E0319" w:rsidRPr="00342ED2" w:rsidRDefault="008E0319" w:rsidP="008E0319">
            <w:pPr>
              <w:spacing w:after="0" w:line="240" w:lineRule="auto"/>
              <w:jc w:val="center"/>
              <w:rPr>
                <w:rFonts w:eastAsia="Times New Roman" w:cstheme="minorHAnsi"/>
                <w:b/>
                <w:bCs/>
                <w:color w:val="000000"/>
                <w:lang w:val="en-GB" w:eastAsia="en-GB"/>
              </w:rPr>
            </w:pPr>
            <w:r w:rsidRPr="00342ED2">
              <w:rPr>
                <w:rFonts w:eastAsia="Times New Roman" w:cstheme="minorHAnsi"/>
                <w:b/>
                <w:bCs/>
                <w:color w:val="000000"/>
                <w:lang w:val="en-GB" w:eastAsia="en-GB"/>
              </w:rPr>
              <w:t>XX</w:t>
            </w:r>
          </w:p>
        </w:tc>
      </w:tr>
      <w:tr w:rsidR="008E0319" w:rsidRPr="00342ED2" w14:paraId="08EBAF23" w14:textId="77777777" w:rsidTr="00342ED2">
        <w:trPr>
          <w:trHeight w:val="255"/>
        </w:trPr>
        <w:tc>
          <w:tcPr>
            <w:tcW w:w="350" w:type="pct"/>
            <w:tcBorders>
              <w:top w:val="nil"/>
              <w:left w:val="single" w:sz="4" w:space="0" w:color="auto"/>
              <w:bottom w:val="single" w:sz="4" w:space="0" w:color="auto"/>
              <w:right w:val="single" w:sz="4" w:space="0" w:color="auto"/>
            </w:tcBorders>
            <w:shd w:val="clear" w:color="auto" w:fill="auto"/>
            <w:hideMark/>
          </w:tcPr>
          <w:p w14:paraId="0156E007" w14:textId="77777777" w:rsidR="008E0319" w:rsidRPr="00342ED2" w:rsidRDefault="008E0319" w:rsidP="008E0319">
            <w:pPr>
              <w:spacing w:after="0" w:line="240" w:lineRule="auto"/>
              <w:rPr>
                <w:rFonts w:eastAsia="Times New Roman" w:cstheme="minorHAnsi"/>
                <w:color w:val="000000"/>
                <w:lang w:val="en-GB" w:eastAsia="en-GB"/>
              </w:rPr>
            </w:pPr>
            <w:r w:rsidRPr="00342ED2">
              <w:rPr>
                <w:rFonts w:eastAsia="Times New Roman" w:cstheme="minorHAnsi"/>
                <w:color w:val="000000"/>
                <w:lang w:val="en-GB" w:eastAsia="en-GB"/>
              </w:rPr>
              <w:t>Any Other (Please specify)</w:t>
            </w:r>
          </w:p>
        </w:tc>
        <w:tc>
          <w:tcPr>
            <w:tcW w:w="319" w:type="pct"/>
            <w:tcBorders>
              <w:top w:val="nil"/>
              <w:left w:val="nil"/>
              <w:bottom w:val="single" w:sz="4" w:space="0" w:color="auto"/>
              <w:right w:val="single" w:sz="4" w:space="0" w:color="auto"/>
            </w:tcBorders>
            <w:shd w:val="clear" w:color="auto" w:fill="auto"/>
            <w:vAlign w:val="center"/>
            <w:hideMark/>
          </w:tcPr>
          <w:p w14:paraId="7CDD27F5" w14:textId="77777777" w:rsidR="008E0319" w:rsidRPr="00342ED2" w:rsidRDefault="008E0319" w:rsidP="008E0319">
            <w:pPr>
              <w:spacing w:after="0" w:line="240" w:lineRule="auto"/>
              <w:jc w:val="center"/>
              <w:rPr>
                <w:rFonts w:eastAsia="Times New Roman" w:cstheme="minorHAnsi"/>
                <w:color w:val="000000"/>
                <w:lang w:val="en-GB" w:eastAsia="en-GB"/>
              </w:rPr>
            </w:pPr>
            <w:r w:rsidRPr="00342ED2">
              <w:rPr>
                <w:rFonts w:eastAsia="Times New Roman" w:cstheme="minorHAnsi"/>
                <w:color w:val="000000"/>
                <w:lang w:val="en-GB" w:eastAsia="en-GB"/>
              </w:rPr>
              <w:t> </w:t>
            </w:r>
          </w:p>
        </w:tc>
        <w:tc>
          <w:tcPr>
            <w:tcW w:w="285" w:type="pct"/>
            <w:tcBorders>
              <w:top w:val="nil"/>
              <w:left w:val="nil"/>
              <w:bottom w:val="single" w:sz="4" w:space="0" w:color="auto"/>
              <w:right w:val="single" w:sz="4" w:space="0" w:color="auto"/>
            </w:tcBorders>
            <w:shd w:val="clear" w:color="auto" w:fill="auto"/>
            <w:vAlign w:val="center"/>
            <w:hideMark/>
          </w:tcPr>
          <w:p w14:paraId="4B52EF47" w14:textId="77777777" w:rsidR="008E0319" w:rsidRPr="00342ED2" w:rsidRDefault="008E0319" w:rsidP="008E0319">
            <w:pPr>
              <w:spacing w:after="0" w:line="240" w:lineRule="auto"/>
              <w:jc w:val="center"/>
              <w:rPr>
                <w:rFonts w:eastAsia="Times New Roman" w:cstheme="minorHAnsi"/>
                <w:color w:val="000000"/>
                <w:lang w:val="en-GB" w:eastAsia="en-GB"/>
              </w:rPr>
            </w:pPr>
            <w:r w:rsidRPr="00342ED2">
              <w:rPr>
                <w:rFonts w:eastAsia="Times New Roman" w:cstheme="minorHAnsi"/>
                <w:color w:val="000000"/>
                <w:lang w:val="en-GB" w:eastAsia="en-GB"/>
              </w:rPr>
              <w:t>XX</w:t>
            </w:r>
          </w:p>
        </w:tc>
        <w:tc>
          <w:tcPr>
            <w:tcW w:w="271" w:type="pct"/>
            <w:tcBorders>
              <w:top w:val="nil"/>
              <w:left w:val="nil"/>
              <w:bottom w:val="single" w:sz="4" w:space="0" w:color="auto"/>
              <w:right w:val="single" w:sz="4" w:space="0" w:color="auto"/>
            </w:tcBorders>
            <w:shd w:val="clear" w:color="auto" w:fill="auto"/>
            <w:vAlign w:val="center"/>
            <w:hideMark/>
          </w:tcPr>
          <w:p w14:paraId="47B25F78" w14:textId="77777777" w:rsidR="008E0319" w:rsidRPr="00342ED2" w:rsidRDefault="008E0319" w:rsidP="008E0319">
            <w:pPr>
              <w:spacing w:after="0" w:line="240" w:lineRule="auto"/>
              <w:jc w:val="center"/>
              <w:rPr>
                <w:rFonts w:eastAsia="Times New Roman" w:cstheme="minorHAnsi"/>
                <w:color w:val="000000"/>
                <w:lang w:val="en-GB" w:eastAsia="en-GB"/>
              </w:rPr>
            </w:pPr>
            <w:r w:rsidRPr="00342ED2">
              <w:rPr>
                <w:rFonts w:eastAsia="Times New Roman" w:cstheme="minorHAnsi"/>
                <w:color w:val="000000"/>
                <w:lang w:val="en-GB" w:eastAsia="en-GB"/>
              </w:rPr>
              <w:t>XX</w:t>
            </w:r>
          </w:p>
        </w:tc>
        <w:tc>
          <w:tcPr>
            <w:tcW w:w="319" w:type="pct"/>
            <w:tcBorders>
              <w:top w:val="nil"/>
              <w:left w:val="nil"/>
              <w:bottom w:val="single" w:sz="4" w:space="0" w:color="auto"/>
              <w:right w:val="single" w:sz="4" w:space="0" w:color="auto"/>
            </w:tcBorders>
            <w:shd w:val="clear" w:color="auto" w:fill="auto"/>
            <w:vAlign w:val="center"/>
            <w:hideMark/>
          </w:tcPr>
          <w:p w14:paraId="21054EEB" w14:textId="77777777" w:rsidR="008E0319" w:rsidRPr="00342ED2" w:rsidRDefault="008E0319" w:rsidP="008E0319">
            <w:pPr>
              <w:spacing w:after="0" w:line="240" w:lineRule="auto"/>
              <w:jc w:val="center"/>
              <w:rPr>
                <w:rFonts w:eastAsia="Times New Roman" w:cstheme="minorHAnsi"/>
                <w:color w:val="000000"/>
                <w:lang w:val="en-GB" w:eastAsia="en-GB"/>
              </w:rPr>
            </w:pPr>
            <w:r w:rsidRPr="00342ED2">
              <w:rPr>
                <w:rFonts w:eastAsia="Times New Roman" w:cstheme="minorHAnsi"/>
                <w:color w:val="000000"/>
                <w:lang w:val="en-GB" w:eastAsia="en-GB"/>
              </w:rPr>
              <w:t> </w:t>
            </w:r>
          </w:p>
        </w:tc>
        <w:tc>
          <w:tcPr>
            <w:tcW w:w="285" w:type="pct"/>
            <w:tcBorders>
              <w:top w:val="nil"/>
              <w:left w:val="nil"/>
              <w:bottom w:val="single" w:sz="4" w:space="0" w:color="auto"/>
              <w:right w:val="single" w:sz="4" w:space="0" w:color="auto"/>
            </w:tcBorders>
            <w:shd w:val="clear" w:color="auto" w:fill="auto"/>
            <w:vAlign w:val="center"/>
            <w:hideMark/>
          </w:tcPr>
          <w:p w14:paraId="63B15C6B" w14:textId="77777777" w:rsidR="008E0319" w:rsidRPr="00342ED2" w:rsidRDefault="008E0319" w:rsidP="008E0319">
            <w:pPr>
              <w:spacing w:after="0" w:line="240" w:lineRule="auto"/>
              <w:jc w:val="center"/>
              <w:rPr>
                <w:rFonts w:eastAsia="Times New Roman" w:cstheme="minorHAnsi"/>
                <w:color w:val="000000"/>
                <w:lang w:val="en-GB" w:eastAsia="en-GB"/>
              </w:rPr>
            </w:pPr>
            <w:r w:rsidRPr="00342ED2">
              <w:rPr>
                <w:rFonts w:eastAsia="Times New Roman" w:cstheme="minorHAnsi"/>
                <w:color w:val="000000"/>
                <w:lang w:val="en-GB" w:eastAsia="en-GB"/>
              </w:rPr>
              <w:t>XX</w:t>
            </w:r>
          </w:p>
        </w:tc>
        <w:tc>
          <w:tcPr>
            <w:tcW w:w="271" w:type="pct"/>
            <w:tcBorders>
              <w:top w:val="nil"/>
              <w:left w:val="nil"/>
              <w:bottom w:val="single" w:sz="4" w:space="0" w:color="auto"/>
              <w:right w:val="single" w:sz="4" w:space="0" w:color="auto"/>
            </w:tcBorders>
            <w:shd w:val="clear" w:color="auto" w:fill="auto"/>
            <w:vAlign w:val="center"/>
            <w:hideMark/>
          </w:tcPr>
          <w:p w14:paraId="263366EA" w14:textId="77777777" w:rsidR="008E0319" w:rsidRPr="00342ED2" w:rsidRDefault="008E0319" w:rsidP="008E0319">
            <w:pPr>
              <w:spacing w:after="0" w:line="240" w:lineRule="auto"/>
              <w:jc w:val="center"/>
              <w:rPr>
                <w:rFonts w:eastAsia="Times New Roman" w:cstheme="minorHAnsi"/>
                <w:color w:val="000000"/>
                <w:lang w:val="en-GB" w:eastAsia="en-GB"/>
              </w:rPr>
            </w:pPr>
            <w:r w:rsidRPr="00342ED2">
              <w:rPr>
                <w:rFonts w:eastAsia="Times New Roman" w:cstheme="minorHAnsi"/>
                <w:color w:val="000000"/>
                <w:lang w:val="en-GB" w:eastAsia="en-GB"/>
              </w:rPr>
              <w:t>XX</w:t>
            </w:r>
          </w:p>
        </w:tc>
        <w:tc>
          <w:tcPr>
            <w:tcW w:w="319" w:type="pct"/>
            <w:tcBorders>
              <w:top w:val="nil"/>
              <w:left w:val="nil"/>
              <w:bottom w:val="single" w:sz="4" w:space="0" w:color="auto"/>
              <w:right w:val="single" w:sz="4" w:space="0" w:color="auto"/>
            </w:tcBorders>
            <w:shd w:val="clear" w:color="auto" w:fill="auto"/>
            <w:vAlign w:val="center"/>
            <w:hideMark/>
          </w:tcPr>
          <w:p w14:paraId="1CFFE405" w14:textId="77777777" w:rsidR="008E0319" w:rsidRPr="00342ED2" w:rsidRDefault="008E0319" w:rsidP="008E0319">
            <w:pPr>
              <w:spacing w:after="0" w:line="240" w:lineRule="auto"/>
              <w:jc w:val="center"/>
              <w:rPr>
                <w:rFonts w:eastAsia="Times New Roman" w:cstheme="minorHAnsi"/>
                <w:color w:val="000000"/>
                <w:lang w:val="en-GB" w:eastAsia="en-GB"/>
              </w:rPr>
            </w:pPr>
            <w:r w:rsidRPr="00342ED2">
              <w:rPr>
                <w:rFonts w:eastAsia="Times New Roman" w:cstheme="minorHAnsi"/>
                <w:color w:val="000000"/>
                <w:lang w:val="en-GB" w:eastAsia="en-GB"/>
              </w:rPr>
              <w:t> </w:t>
            </w:r>
          </w:p>
        </w:tc>
        <w:tc>
          <w:tcPr>
            <w:tcW w:w="285" w:type="pct"/>
            <w:tcBorders>
              <w:top w:val="nil"/>
              <w:left w:val="nil"/>
              <w:bottom w:val="single" w:sz="4" w:space="0" w:color="auto"/>
              <w:right w:val="single" w:sz="4" w:space="0" w:color="auto"/>
            </w:tcBorders>
            <w:shd w:val="clear" w:color="auto" w:fill="auto"/>
            <w:vAlign w:val="center"/>
            <w:hideMark/>
          </w:tcPr>
          <w:p w14:paraId="1FDB5275" w14:textId="77777777" w:rsidR="008E0319" w:rsidRPr="00342ED2" w:rsidRDefault="008E0319" w:rsidP="008E0319">
            <w:pPr>
              <w:spacing w:after="0" w:line="240" w:lineRule="auto"/>
              <w:jc w:val="center"/>
              <w:rPr>
                <w:rFonts w:eastAsia="Times New Roman" w:cstheme="minorHAnsi"/>
                <w:color w:val="000000"/>
                <w:lang w:val="en-GB" w:eastAsia="en-GB"/>
              </w:rPr>
            </w:pPr>
            <w:r w:rsidRPr="00342ED2">
              <w:rPr>
                <w:rFonts w:eastAsia="Times New Roman" w:cstheme="minorHAnsi"/>
                <w:color w:val="000000"/>
                <w:lang w:val="en-GB" w:eastAsia="en-GB"/>
              </w:rPr>
              <w:t>XX</w:t>
            </w:r>
          </w:p>
        </w:tc>
        <w:tc>
          <w:tcPr>
            <w:tcW w:w="271" w:type="pct"/>
            <w:tcBorders>
              <w:top w:val="nil"/>
              <w:left w:val="nil"/>
              <w:bottom w:val="single" w:sz="4" w:space="0" w:color="auto"/>
              <w:right w:val="single" w:sz="4" w:space="0" w:color="auto"/>
            </w:tcBorders>
            <w:shd w:val="clear" w:color="auto" w:fill="auto"/>
            <w:vAlign w:val="center"/>
            <w:hideMark/>
          </w:tcPr>
          <w:p w14:paraId="3BF726A6" w14:textId="77777777" w:rsidR="008E0319" w:rsidRPr="00342ED2" w:rsidRDefault="008E0319" w:rsidP="008E0319">
            <w:pPr>
              <w:spacing w:after="0" w:line="240" w:lineRule="auto"/>
              <w:jc w:val="center"/>
              <w:rPr>
                <w:rFonts w:eastAsia="Times New Roman" w:cstheme="minorHAnsi"/>
                <w:color w:val="000000"/>
                <w:lang w:val="en-GB" w:eastAsia="en-GB"/>
              </w:rPr>
            </w:pPr>
            <w:r w:rsidRPr="00342ED2">
              <w:rPr>
                <w:rFonts w:eastAsia="Times New Roman" w:cstheme="minorHAnsi"/>
                <w:color w:val="000000"/>
                <w:lang w:val="en-GB" w:eastAsia="en-GB"/>
              </w:rPr>
              <w:t>XX</w:t>
            </w:r>
          </w:p>
        </w:tc>
        <w:tc>
          <w:tcPr>
            <w:tcW w:w="319" w:type="pct"/>
            <w:tcBorders>
              <w:top w:val="nil"/>
              <w:left w:val="nil"/>
              <w:bottom w:val="single" w:sz="4" w:space="0" w:color="auto"/>
              <w:right w:val="single" w:sz="4" w:space="0" w:color="auto"/>
            </w:tcBorders>
            <w:shd w:val="clear" w:color="auto" w:fill="auto"/>
            <w:vAlign w:val="center"/>
            <w:hideMark/>
          </w:tcPr>
          <w:p w14:paraId="13928779" w14:textId="77777777" w:rsidR="008E0319" w:rsidRPr="00342ED2" w:rsidRDefault="008E0319" w:rsidP="008E0319">
            <w:pPr>
              <w:spacing w:after="0" w:line="240" w:lineRule="auto"/>
              <w:jc w:val="center"/>
              <w:rPr>
                <w:rFonts w:eastAsia="Times New Roman" w:cstheme="minorHAnsi"/>
                <w:color w:val="000000"/>
                <w:lang w:val="en-GB" w:eastAsia="en-GB"/>
              </w:rPr>
            </w:pPr>
            <w:r w:rsidRPr="00342ED2">
              <w:rPr>
                <w:rFonts w:eastAsia="Times New Roman" w:cstheme="minorHAnsi"/>
                <w:color w:val="000000"/>
                <w:lang w:val="en-GB" w:eastAsia="en-GB"/>
              </w:rPr>
              <w:t> </w:t>
            </w:r>
          </w:p>
        </w:tc>
        <w:tc>
          <w:tcPr>
            <w:tcW w:w="285" w:type="pct"/>
            <w:tcBorders>
              <w:top w:val="nil"/>
              <w:left w:val="nil"/>
              <w:bottom w:val="single" w:sz="4" w:space="0" w:color="auto"/>
              <w:right w:val="single" w:sz="4" w:space="0" w:color="auto"/>
            </w:tcBorders>
            <w:shd w:val="clear" w:color="auto" w:fill="auto"/>
            <w:vAlign w:val="center"/>
            <w:hideMark/>
          </w:tcPr>
          <w:p w14:paraId="7763E646" w14:textId="77777777" w:rsidR="008E0319" w:rsidRPr="00342ED2" w:rsidRDefault="008E0319" w:rsidP="008E0319">
            <w:pPr>
              <w:spacing w:after="0" w:line="240" w:lineRule="auto"/>
              <w:jc w:val="center"/>
              <w:rPr>
                <w:rFonts w:eastAsia="Times New Roman" w:cstheme="minorHAnsi"/>
                <w:color w:val="000000"/>
                <w:lang w:val="en-GB" w:eastAsia="en-GB"/>
              </w:rPr>
            </w:pPr>
            <w:r w:rsidRPr="00342ED2">
              <w:rPr>
                <w:rFonts w:eastAsia="Times New Roman" w:cstheme="minorHAnsi"/>
                <w:color w:val="000000"/>
                <w:lang w:val="en-GB" w:eastAsia="en-GB"/>
              </w:rPr>
              <w:t>XX</w:t>
            </w:r>
          </w:p>
        </w:tc>
        <w:tc>
          <w:tcPr>
            <w:tcW w:w="271" w:type="pct"/>
            <w:tcBorders>
              <w:top w:val="nil"/>
              <w:left w:val="nil"/>
              <w:bottom w:val="single" w:sz="4" w:space="0" w:color="auto"/>
              <w:right w:val="single" w:sz="4" w:space="0" w:color="auto"/>
            </w:tcBorders>
            <w:shd w:val="clear" w:color="auto" w:fill="auto"/>
            <w:vAlign w:val="center"/>
            <w:hideMark/>
          </w:tcPr>
          <w:p w14:paraId="4E8609E8" w14:textId="77777777" w:rsidR="008E0319" w:rsidRPr="00342ED2" w:rsidRDefault="008E0319" w:rsidP="008E0319">
            <w:pPr>
              <w:spacing w:after="0" w:line="240" w:lineRule="auto"/>
              <w:jc w:val="center"/>
              <w:rPr>
                <w:rFonts w:eastAsia="Times New Roman" w:cstheme="minorHAnsi"/>
                <w:color w:val="000000"/>
                <w:lang w:val="en-GB" w:eastAsia="en-GB"/>
              </w:rPr>
            </w:pPr>
            <w:r w:rsidRPr="00342ED2">
              <w:rPr>
                <w:rFonts w:eastAsia="Times New Roman" w:cstheme="minorHAnsi"/>
                <w:color w:val="000000"/>
                <w:lang w:val="en-GB" w:eastAsia="en-GB"/>
              </w:rPr>
              <w:t>XX</w:t>
            </w:r>
          </w:p>
        </w:tc>
        <w:tc>
          <w:tcPr>
            <w:tcW w:w="319" w:type="pct"/>
            <w:tcBorders>
              <w:top w:val="nil"/>
              <w:left w:val="nil"/>
              <w:bottom w:val="single" w:sz="4" w:space="0" w:color="auto"/>
              <w:right w:val="single" w:sz="4" w:space="0" w:color="auto"/>
            </w:tcBorders>
            <w:shd w:val="clear" w:color="auto" w:fill="auto"/>
            <w:vAlign w:val="center"/>
            <w:hideMark/>
          </w:tcPr>
          <w:p w14:paraId="0736FA80" w14:textId="77777777" w:rsidR="008E0319" w:rsidRPr="00342ED2" w:rsidRDefault="008E0319" w:rsidP="008E0319">
            <w:pPr>
              <w:spacing w:after="0" w:line="240" w:lineRule="auto"/>
              <w:jc w:val="center"/>
              <w:rPr>
                <w:rFonts w:eastAsia="Times New Roman" w:cstheme="minorHAnsi"/>
                <w:color w:val="000000"/>
                <w:lang w:val="en-GB" w:eastAsia="en-GB"/>
              </w:rPr>
            </w:pPr>
            <w:r w:rsidRPr="00342ED2">
              <w:rPr>
                <w:rFonts w:eastAsia="Times New Roman" w:cstheme="minorHAnsi"/>
                <w:color w:val="000000"/>
                <w:lang w:val="en-GB" w:eastAsia="en-GB"/>
              </w:rPr>
              <w:t> </w:t>
            </w:r>
          </w:p>
        </w:tc>
        <w:tc>
          <w:tcPr>
            <w:tcW w:w="285" w:type="pct"/>
            <w:tcBorders>
              <w:top w:val="nil"/>
              <w:left w:val="nil"/>
              <w:bottom w:val="single" w:sz="4" w:space="0" w:color="auto"/>
              <w:right w:val="single" w:sz="4" w:space="0" w:color="auto"/>
            </w:tcBorders>
            <w:shd w:val="clear" w:color="auto" w:fill="auto"/>
            <w:vAlign w:val="center"/>
            <w:hideMark/>
          </w:tcPr>
          <w:p w14:paraId="6334C595" w14:textId="77777777" w:rsidR="008E0319" w:rsidRPr="00342ED2" w:rsidRDefault="008E0319" w:rsidP="008E0319">
            <w:pPr>
              <w:spacing w:after="0" w:line="240" w:lineRule="auto"/>
              <w:jc w:val="center"/>
              <w:rPr>
                <w:rFonts w:eastAsia="Times New Roman" w:cstheme="minorHAnsi"/>
                <w:color w:val="000000"/>
                <w:lang w:val="en-GB" w:eastAsia="en-GB"/>
              </w:rPr>
            </w:pPr>
            <w:r w:rsidRPr="00342ED2">
              <w:rPr>
                <w:rFonts w:eastAsia="Times New Roman" w:cstheme="minorHAnsi"/>
                <w:color w:val="000000"/>
                <w:lang w:val="en-GB" w:eastAsia="en-GB"/>
              </w:rPr>
              <w:t>XX</w:t>
            </w:r>
          </w:p>
        </w:tc>
        <w:tc>
          <w:tcPr>
            <w:tcW w:w="271" w:type="pct"/>
            <w:tcBorders>
              <w:top w:val="nil"/>
              <w:left w:val="nil"/>
              <w:bottom w:val="single" w:sz="4" w:space="0" w:color="auto"/>
              <w:right w:val="single" w:sz="4" w:space="0" w:color="auto"/>
            </w:tcBorders>
            <w:shd w:val="clear" w:color="auto" w:fill="auto"/>
            <w:vAlign w:val="center"/>
            <w:hideMark/>
          </w:tcPr>
          <w:p w14:paraId="7A8CD119" w14:textId="77777777" w:rsidR="008E0319" w:rsidRPr="00342ED2" w:rsidRDefault="008E0319" w:rsidP="008E0319">
            <w:pPr>
              <w:spacing w:after="0" w:line="240" w:lineRule="auto"/>
              <w:jc w:val="center"/>
              <w:rPr>
                <w:rFonts w:eastAsia="Times New Roman" w:cstheme="minorHAnsi"/>
                <w:color w:val="000000"/>
                <w:lang w:val="en-GB" w:eastAsia="en-GB"/>
              </w:rPr>
            </w:pPr>
            <w:r w:rsidRPr="00342ED2">
              <w:rPr>
                <w:rFonts w:eastAsia="Times New Roman" w:cstheme="minorHAnsi"/>
                <w:color w:val="000000"/>
                <w:lang w:val="en-GB" w:eastAsia="en-GB"/>
              </w:rPr>
              <w:t>XX</w:t>
            </w:r>
          </w:p>
        </w:tc>
        <w:tc>
          <w:tcPr>
            <w:tcW w:w="271" w:type="pct"/>
            <w:tcBorders>
              <w:top w:val="nil"/>
              <w:left w:val="nil"/>
              <w:bottom w:val="single" w:sz="4" w:space="0" w:color="auto"/>
              <w:right w:val="single" w:sz="4" w:space="0" w:color="auto"/>
            </w:tcBorders>
            <w:shd w:val="clear" w:color="000000" w:fill="FFFFFF"/>
            <w:vAlign w:val="center"/>
            <w:hideMark/>
          </w:tcPr>
          <w:p w14:paraId="073EA279" w14:textId="77777777" w:rsidR="008E0319" w:rsidRPr="00342ED2" w:rsidRDefault="008E0319" w:rsidP="008E0319">
            <w:pPr>
              <w:spacing w:after="0" w:line="240" w:lineRule="auto"/>
              <w:jc w:val="center"/>
              <w:rPr>
                <w:rFonts w:eastAsia="Times New Roman" w:cstheme="minorHAnsi"/>
                <w:b/>
                <w:bCs/>
                <w:color w:val="000000"/>
                <w:lang w:val="en-GB" w:eastAsia="en-GB"/>
              </w:rPr>
            </w:pPr>
            <w:r w:rsidRPr="00342ED2">
              <w:rPr>
                <w:rFonts w:eastAsia="Times New Roman" w:cstheme="minorHAnsi"/>
                <w:b/>
                <w:bCs/>
                <w:color w:val="000000"/>
                <w:lang w:val="en-GB" w:eastAsia="en-GB"/>
              </w:rPr>
              <w:t>XX</w:t>
            </w:r>
          </w:p>
        </w:tc>
      </w:tr>
      <w:tr w:rsidR="008E0319" w:rsidRPr="00342ED2" w14:paraId="76D3BD54" w14:textId="77777777" w:rsidTr="00342ED2">
        <w:trPr>
          <w:trHeight w:val="255"/>
        </w:trPr>
        <w:tc>
          <w:tcPr>
            <w:tcW w:w="350" w:type="pct"/>
            <w:tcBorders>
              <w:top w:val="nil"/>
              <w:left w:val="single" w:sz="4" w:space="0" w:color="auto"/>
              <w:bottom w:val="single" w:sz="4" w:space="0" w:color="auto"/>
              <w:right w:val="single" w:sz="4" w:space="0" w:color="auto"/>
            </w:tcBorders>
            <w:shd w:val="clear" w:color="auto" w:fill="auto"/>
            <w:hideMark/>
          </w:tcPr>
          <w:p w14:paraId="54AA8783" w14:textId="77777777" w:rsidR="008E0319" w:rsidRPr="00342ED2" w:rsidRDefault="008E0319" w:rsidP="008E0319">
            <w:pPr>
              <w:spacing w:after="0" w:line="240" w:lineRule="auto"/>
              <w:rPr>
                <w:rFonts w:eastAsia="Times New Roman" w:cstheme="minorHAnsi"/>
                <w:color w:val="000000"/>
                <w:lang w:val="en-GB" w:eastAsia="en-GB"/>
              </w:rPr>
            </w:pPr>
            <w:r w:rsidRPr="00342ED2">
              <w:rPr>
                <w:rFonts w:eastAsia="Times New Roman" w:cstheme="minorHAnsi"/>
                <w:color w:val="000000"/>
                <w:lang w:val="en-GB" w:eastAsia="en-GB"/>
              </w:rPr>
              <w:t>Any Other (Please specify)</w:t>
            </w:r>
          </w:p>
        </w:tc>
        <w:tc>
          <w:tcPr>
            <w:tcW w:w="319" w:type="pct"/>
            <w:tcBorders>
              <w:top w:val="nil"/>
              <w:left w:val="nil"/>
              <w:bottom w:val="single" w:sz="4" w:space="0" w:color="auto"/>
              <w:right w:val="single" w:sz="4" w:space="0" w:color="auto"/>
            </w:tcBorders>
            <w:shd w:val="clear" w:color="auto" w:fill="auto"/>
            <w:vAlign w:val="center"/>
            <w:hideMark/>
          </w:tcPr>
          <w:p w14:paraId="2D1D9677" w14:textId="77777777" w:rsidR="008E0319" w:rsidRPr="00342ED2" w:rsidRDefault="008E0319" w:rsidP="008E0319">
            <w:pPr>
              <w:spacing w:after="0" w:line="240" w:lineRule="auto"/>
              <w:jc w:val="center"/>
              <w:rPr>
                <w:rFonts w:eastAsia="Times New Roman" w:cstheme="minorHAnsi"/>
                <w:color w:val="000000"/>
                <w:lang w:val="en-GB" w:eastAsia="en-GB"/>
              </w:rPr>
            </w:pPr>
            <w:r w:rsidRPr="00342ED2">
              <w:rPr>
                <w:rFonts w:eastAsia="Times New Roman" w:cstheme="minorHAnsi"/>
                <w:color w:val="000000"/>
                <w:lang w:val="en-GB" w:eastAsia="en-GB"/>
              </w:rPr>
              <w:t> </w:t>
            </w:r>
          </w:p>
        </w:tc>
        <w:tc>
          <w:tcPr>
            <w:tcW w:w="285" w:type="pct"/>
            <w:tcBorders>
              <w:top w:val="nil"/>
              <w:left w:val="nil"/>
              <w:bottom w:val="single" w:sz="4" w:space="0" w:color="auto"/>
              <w:right w:val="single" w:sz="4" w:space="0" w:color="auto"/>
            </w:tcBorders>
            <w:shd w:val="clear" w:color="auto" w:fill="auto"/>
            <w:vAlign w:val="center"/>
            <w:hideMark/>
          </w:tcPr>
          <w:p w14:paraId="63221FF5" w14:textId="77777777" w:rsidR="008E0319" w:rsidRPr="00342ED2" w:rsidRDefault="008E0319" w:rsidP="008E0319">
            <w:pPr>
              <w:spacing w:after="0" w:line="240" w:lineRule="auto"/>
              <w:jc w:val="center"/>
              <w:rPr>
                <w:rFonts w:eastAsia="Times New Roman" w:cstheme="minorHAnsi"/>
                <w:color w:val="000000"/>
                <w:lang w:val="en-GB" w:eastAsia="en-GB"/>
              </w:rPr>
            </w:pPr>
            <w:r w:rsidRPr="00342ED2">
              <w:rPr>
                <w:rFonts w:eastAsia="Times New Roman" w:cstheme="minorHAnsi"/>
                <w:color w:val="000000"/>
                <w:lang w:val="en-GB" w:eastAsia="en-GB"/>
              </w:rPr>
              <w:t>XX</w:t>
            </w:r>
          </w:p>
        </w:tc>
        <w:tc>
          <w:tcPr>
            <w:tcW w:w="271" w:type="pct"/>
            <w:tcBorders>
              <w:top w:val="nil"/>
              <w:left w:val="nil"/>
              <w:bottom w:val="single" w:sz="4" w:space="0" w:color="auto"/>
              <w:right w:val="single" w:sz="4" w:space="0" w:color="auto"/>
            </w:tcBorders>
            <w:shd w:val="clear" w:color="auto" w:fill="auto"/>
            <w:vAlign w:val="center"/>
            <w:hideMark/>
          </w:tcPr>
          <w:p w14:paraId="2F30D3D8" w14:textId="77777777" w:rsidR="008E0319" w:rsidRPr="00342ED2" w:rsidRDefault="008E0319" w:rsidP="008E0319">
            <w:pPr>
              <w:spacing w:after="0" w:line="240" w:lineRule="auto"/>
              <w:jc w:val="center"/>
              <w:rPr>
                <w:rFonts w:eastAsia="Times New Roman" w:cstheme="minorHAnsi"/>
                <w:color w:val="000000"/>
                <w:lang w:val="en-GB" w:eastAsia="en-GB"/>
              </w:rPr>
            </w:pPr>
            <w:r w:rsidRPr="00342ED2">
              <w:rPr>
                <w:rFonts w:eastAsia="Times New Roman" w:cstheme="minorHAnsi"/>
                <w:color w:val="000000"/>
                <w:lang w:val="en-GB" w:eastAsia="en-GB"/>
              </w:rPr>
              <w:t>XX</w:t>
            </w:r>
          </w:p>
        </w:tc>
        <w:tc>
          <w:tcPr>
            <w:tcW w:w="319" w:type="pct"/>
            <w:tcBorders>
              <w:top w:val="nil"/>
              <w:left w:val="nil"/>
              <w:bottom w:val="single" w:sz="4" w:space="0" w:color="auto"/>
              <w:right w:val="single" w:sz="4" w:space="0" w:color="auto"/>
            </w:tcBorders>
            <w:shd w:val="clear" w:color="auto" w:fill="auto"/>
            <w:vAlign w:val="center"/>
            <w:hideMark/>
          </w:tcPr>
          <w:p w14:paraId="7F3BD723" w14:textId="77777777" w:rsidR="008E0319" w:rsidRPr="00342ED2" w:rsidRDefault="008E0319" w:rsidP="008E0319">
            <w:pPr>
              <w:spacing w:after="0" w:line="240" w:lineRule="auto"/>
              <w:jc w:val="center"/>
              <w:rPr>
                <w:rFonts w:eastAsia="Times New Roman" w:cstheme="minorHAnsi"/>
                <w:color w:val="000000"/>
                <w:lang w:val="en-GB" w:eastAsia="en-GB"/>
              </w:rPr>
            </w:pPr>
            <w:r w:rsidRPr="00342ED2">
              <w:rPr>
                <w:rFonts w:eastAsia="Times New Roman" w:cstheme="minorHAnsi"/>
                <w:color w:val="000000"/>
                <w:lang w:val="en-GB" w:eastAsia="en-GB"/>
              </w:rPr>
              <w:t> </w:t>
            </w:r>
          </w:p>
        </w:tc>
        <w:tc>
          <w:tcPr>
            <w:tcW w:w="285" w:type="pct"/>
            <w:tcBorders>
              <w:top w:val="nil"/>
              <w:left w:val="nil"/>
              <w:bottom w:val="single" w:sz="4" w:space="0" w:color="auto"/>
              <w:right w:val="single" w:sz="4" w:space="0" w:color="auto"/>
            </w:tcBorders>
            <w:shd w:val="clear" w:color="auto" w:fill="auto"/>
            <w:vAlign w:val="center"/>
            <w:hideMark/>
          </w:tcPr>
          <w:p w14:paraId="35B95978" w14:textId="77777777" w:rsidR="008E0319" w:rsidRPr="00342ED2" w:rsidRDefault="008E0319" w:rsidP="008E0319">
            <w:pPr>
              <w:spacing w:after="0" w:line="240" w:lineRule="auto"/>
              <w:jc w:val="center"/>
              <w:rPr>
                <w:rFonts w:eastAsia="Times New Roman" w:cstheme="minorHAnsi"/>
                <w:color w:val="000000"/>
                <w:lang w:val="en-GB" w:eastAsia="en-GB"/>
              </w:rPr>
            </w:pPr>
            <w:r w:rsidRPr="00342ED2">
              <w:rPr>
                <w:rFonts w:eastAsia="Times New Roman" w:cstheme="minorHAnsi"/>
                <w:color w:val="000000"/>
                <w:lang w:val="en-GB" w:eastAsia="en-GB"/>
              </w:rPr>
              <w:t>XX</w:t>
            </w:r>
          </w:p>
        </w:tc>
        <w:tc>
          <w:tcPr>
            <w:tcW w:w="271" w:type="pct"/>
            <w:tcBorders>
              <w:top w:val="nil"/>
              <w:left w:val="nil"/>
              <w:bottom w:val="single" w:sz="4" w:space="0" w:color="auto"/>
              <w:right w:val="single" w:sz="4" w:space="0" w:color="auto"/>
            </w:tcBorders>
            <w:shd w:val="clear" w:color="auto" w:fill="auto"/>
            <w:vAlign w:val="center"/>
            <w:hideMark/>
          </w:tcPr>
          <w:p w14:paraId="22AA1EE5" w14:textId="77777777" w:rsidR="008E0319" w:rsidRPr="00342ED2" w:rsidRDefault="008E0319" w:rsidP="008E0319">
            <w:pPr>
              <w:spacing w:after="0" w:line="240" w:lineRule="auto"/>
              <w:jc w:val="center"/>
              <w:rPr>
                <w:rFonts w:eastAsia="Times New Roman" w:cstheme="minorHAnsi"/>
                <w:color w:val="000000"/>
                <w:lang w:val="en-GB" w:eastAsia="en-GB"/>
              </w:rPr>
            </w:pPr>
            <w:r w:rsidRPr="00342ED2">
              <w:rPr>
                <w:rFonts w:eastAsia="Times New Roman" w:cstheme="minorHAnsi"/>
                <w:color w:val="000000"/>
                <w:lang w:val="en-GB" w:eastAsia="en-GB"/>
              </w:rPr>
              <w:t>XX</w:t>
            </w:r>
          </w:p>
        </w:tc>
        <w:tc>
          <w:tcPr>
            <w:tcW w:w="319" w:type="pct"/>
            <w:tcBorders>
              <w:top w:val="nil"/>
              <w:left w:val="nil"/>
              <w:bottom w:val="single" w:sz="4" w:space="0" w:color="auto"/>
              <w:right w:val="single" w:sz="4" w:space="0" w:color="auto"/>
            </w:tcBorders>
            <w:shd w:val="clear" w:color="auto" w:fill="auto"/>
            <w:vAlign w:val="center"/>
            <w:hideMark/>
          </w:tcPr>
          <w:p w14:paraId="737009E9" w14:textId="77777777" w:rsidR="008E0319" w:rsidRPr="00342ED2" w:rsidRDefault="008E0319" w:rsidP="008E0319">
            <w:pPr>
              <w:spacing w:after="0" w:line="240" w:lineRule="auto"/>
              <w:jc w:val="center"/>
              <w:rPr>
                <w:rFonts w:eastAsia="Times New Roman" w:cstheme="minorHAnsi"/>
                <w:color w:val="000000"/>
                <w:lang w:val="en-GB" w:eastAsia="en-GB"/>
              </w:rPr>
            </w:pPr>
            <w:r w:rsidRPr="00342ED2">
              <w:rPr>
                <w:rFonts w:eastAsia="Times New Roman" w:cstheme="minorHAnsi"/>
                <w:color w:val="000000"/>
                <w:lang w:val="en-GB" w:eastAsia="en-GB"/>
              </w:rPr>
              <w:t> </w:t>
            </w:r>
          </w:p>
        </w:tc>
        <w:tc>
          <w:tcPr>
            <w:tcW w:w="285" w:type="pct"/>
            <w:tcBorders>
              <w:top w:val="nil"/>
              <w:left w:val="nil"/>
              <w:bottom w:val="single" w:sz="4" w:space="0" w:color="auto"/>
              <w:right w:val="single" w:sz="4" w:space="0" w:color="auto"/>
            </w:tcBorders>
            <w:shd w:val="clear" w:color="auto" w:fill="auto"/>
            <w:vAlign w:val="center"/>
            <w:hideMark/>
          </w:tcPr>
          <w:p w14:paraId="2C391DDE" w14:textId="77777777" w:rsidR="008E0319" w:rsidRPr="00342ED2" w:rsidRDefault="008E0319" w:rsidP="008E0319">
            <w:pPr>
              <w:spacing w:after="0" w:line="240" w:lineRule="auto"/>
              <w:jc w:val="center"/>
              <w:rPr>
                <w:rFonts w:eastAsia="Times New Roman" w:cstheme="minorHAnsi"/>
                <w:color w:val="000000"/>
                <w:lang w:val="en-GB" w:eastAsia="en-GB"/>
              </w:rPr>
            </w:pPr>
            <w:r w:rsidRPr="00342ED2">
              <w:rPr>
                <w:rFonts w:eastAsia="Times New Roman" w:cstheme="minorHAnsi"/>
                <w:color w:val="000000"/>
                <w:lang w:val="en-GB" w:eastAsia="en-GB"/>
              </w:rPr>
              <w:t>XX</w:t>
            </w:r>
          </w:p>
        </w:tc>
        <w:tc>
          <w:tcPr>
            <w:tcW w:w="271" w:type="pct"/>
            <w:tcBorders>
              <w:top w:val="nil"/>
              <w:left w:val="nil"/>
              <w:bottom w:val="single" w:sz="4" w:space="0" w:color="auto"/>
              <w:right w:val="single" w:sz="4" w:space="0" w:color="auto"/>
            </w:tcBorders>
            <w:shd w:val="clear" w:color="auto" w:fill="auto"/>
            <w:vAlign w:val="center"/>
            <w:hideMark/>
          </w:tcPr>
          <w:p w14:paraId="263B889E" w14:textId="77777777" w:rsidR="008E0319" w:rsidRPr="00342ED2" w:rsidRDefault="008E0319" w:rsidP="008E0319">
            <w:pPr>
              <w:spacing w:after="0" w:line="240" w:lineRule="auto"/>
              <w:jc w:val="center"/>
              <w:rPr>
                <w:rFonts w:eastAsia="Times New Roman" w:cstheme="minorHAnsi"/>
                <w:color w:val="000000"/>
                <w:lang w:val="en-GB" w:eastAsia="en-GB"/>
              </w:rPr>
            </w:pPr>
            <w:r w:rsidRPr="00342ED2">
              <w:rPr>
                <w:rFonts w:eastAsia="Times New Roman" w:cstheme="minorHAnsi"/>
                <w:color w:val="000000"/>
                <w:lang w:val="en-GB" w:eastAsia="en-GB"/>
              </w:rPr>
              <w:t>XX</w:t>
            </w:r>
          </w:p>
        </w:tc>
        <w:tc>
          <w:tcPr>
            <w:tcW w:w="319" w:type="pct"/>
            <w:tcBorders>
              <w:top w:val="nil"/>
              <w:left w:val="nil"/>
              <w:bottom w:val="single" w:sz="4" w:space="0" w:color="auto"/>
              <w:right w:val="single" w:sz="4" w:space="0" w:color="auto"/>
            </w:tcBorders>
            <w:shd w:val="clear" w:color="auto" w:fill="auto"/>
            <w:vAlign w:val="center"/>
            <w:hideMark/>
          </w:tcPr>
          <w:p w14:paraId="54F4ED5D" w14:textId="77777777" w:rsidR="008E0319" w:rsidRPr="00342ED2" w:rsidRDefault="008E0319" w:rsidP="008E0319">
            <w:pPr>
              <w:spacing w:after="0" w:line="240" w:lineRule="auto"/>
              <w:jc w:val="center"/>
              <w:rPr>
                <w:rFonts w:eastAsia="Times New Roman" w:cstheme="minorHAnsi"/>
                <w:color w:val="000000"/>
                <w:lang w:val="en-GB" w:eastAsia="en-GB"/>
              </w:rPr>
            </w:pPr>
            <w:r w:rsidRPr="00342ED2">
              <w:rPr>
                <w:rFonts w:eastAsia="Times New Roman" w:cstheme="minorHAnsi"/>
                <w:color w:val="000000"/>
                <w:lang w:val="en-GB" w:eastAsia="en-GB"/>
              </w:rPr>
              <w:t> </w:t>
            </w:r>
          </w:p>
        </w:tc>
        <w:tc>
          <w:tcPr>
            <w:tcW w:w="285" w:type="pct"/>
            <w:tcBorders>
              <w:top w:val="nil"/>
              <w:left w:val="nil"/>
              <w:bottom w:val="single" w:sz="4" w:space="0" w:color="auto"/>
              <w:right w:val="single" w:sz="4" w:space="0" w:color="auto"/>
            </w:tcBorders>
            <w:shd w:val="clear" w:color="auto" w:fill="auto"/>
            <w:vAlign w:val="center"/>
            <w:hideMark/>
          </w:tcPr>
          <w:p w14:paraId="5342EC10" w14:textId="77777777" w:rsidR="008E0319" w:rsidRPr="00342ED2" w:rsidRDefault="008E0319" w:rsidP="008E0319">
            <w:pPr>
              <w:spacing w:after="0" w:line="240" w:lineRule="auto"/>
              <w:jc w:val="center"/>
              <w:rPr>
                <w:rFonts w:eastAsia="Times New Roman" w:cstheme="minorHAnsi"/>
                <w:color w:val="000000"/>
                <w:lang w:val="en-GB" w:eastAsia="en-GB"/>
              </w:rPr>
            </w:pPr>
            <w:r w:rsidRPr="00342ED2">
              <w:rPr>
                <w:rFonts w:eastAsia="Times New Roman" w:cstheme="minorHAnsi"/>
                <w:color w:val="000000"/>
                <w:lang w:val="en-GB" w:eastAsia="en-GB"/>
              </w:rPr>
              <w:t>XX</w:t>
            </w:r>
          </w:p>
        </w:tc>
        <w:tc>
          <w:tcPr>
            <w:tcW w:w="271" w:type="pct"/>
            <w:tcBorders>
              <w:top w:val="nil"/>
              <w:left w:val="nil"/>
              <w:bottom w:val="single" w:sz="4" w:space="0" w:color="auto"/>
              <w:right w:val="single" w:sz="4" w:space="0" w:color="auto"/>
            </w:tcBorders>
            <w:shd w:val="clear" w:color="auto" w:fill="auto"/>
            <w:vAlign w:val="center"/>
            <w:hideMark/>
          </w:tcPr>
          <w:p w14:paraId="49671580" w14:textId="77777777" w:rsidR="008E0319" w:rsidRPr="00342ED2" w:rsidRDefault="008E0319" w:rsidP="008E0319">
            <w:pPr>
              <w:spacing w:after="0" w:line="240" w:lineRule="auto"/>
              <w:jc w:val="center"/>
              <w:rPr>
                <w:rFonts w:eastAsia="Times New Roman" w:cstheme="minorHAnsi"/>
                <w:color w:val="000000"/>
                <w:lang w:val="en-GB" w:eastAsia="en-GB"/>
              </w:rPr>
            </w:pPr>
            <w:r w:rsidRPr="00342ED2">
              <w:rPr>
                <w:rFonts w:eastAsia="Times New Roman" w:cstheme="minorHAnsi"/>
                <w:color w:val="000000"/>
                <w:lang w:val="en-GB" w:eastAsia="en-GB"/>
              </w:rPr>
              <w:t>XX</w:t>
            </w:r>
          </w:p>
        </w:tc>
        <w:tc>
          <w:tcPr>
            <w:tcW w:w="319" w:type="pct"/>
            <w:tcBorders>
              <w:top w:val="nil"/>
              <w:left w:val="nil"/>
              <w:bottom w:val="single" w:sz="4" w:space="0" w:color="auto"/>
              <w:right w:val="single" w:sz="4" w:space="0" w:color="auto"/>
            </w:tcBorders>
            <w:shd w:val="clear" w:color="auto" w:fill="auto"/>
            <w:vAlign w:val="center"/>
            <w:hideMark/>
          </w:tcPr>
          <w:p w14:paraId="12B0BABA" w14:textId="77777777" w:rsidR="008E0319" w:rsidRPr="00342ED2" w:rsidRDefault="008E0319" w:rsidP="008E0319">
            <w:pPr>
              <w:spacing w:after="0" w:line="240" w:lineRule="auto"/>
              <w:jc w:val="center"/>
              <w:rPr>
                <w:rFonts w:eastAsia="Times New Roman" w:cstheme="minorHAnsi"/>
                <w:color w:val="000000"/>
                <w:lang w:val="en-GB" w:eastAsia="en-GB"/>
              </w:rPr>
            </w:pPr>
            <w:r w:rsidRPr="00342ED2">
              <w:rPr>
                <w:rFonts w:eastAsia="Times New Roman" w:cstheme="minorHAnsi"/>
                <w:color w:val="000000"/>
                <w:lang w:val="en-GB" w:eastAsia="en-GB"/>
              </w:rPr>
              <w:t> </w:t>
            </w:r>
          </w:p>
        </w:tc>
        <w:tc>
          <w:tcPr>
            <w:tcW w:w="285" w:type="pct"/>
            <w:tcBorders>
              <w:top w:val="nil"/>
              <w:left w:val="nil"/>
              <w:bottom w:val="single" w:sz="4" w:space="0" w:color="auto"/>
              <w:right w:val="single" w:sz="4" w:space="0" w:color="auto"/>
            </w:tcBorders>
            <w:shd w:val="clear" w:color="auto" w:fill="auto"/>
            <w:vAlign w:val="center"/>
            <w:hideMark/>
          </w:tcPr>
          <w:p w14:paraId="20F82247" w14:textId="77777777" w:rsidR="008E0319" w:rsidRPr="00342ED2" w:rsidRDefault="008E0319" w:rsidP="008E0319">
            <w:pPr>
              <w:spacing w:after="0" w:line="240" w:lineRule="auto"/>
              <w:jc w:val="center"/>
              <w:rPr>
                <w:rFonts w:eastAsia="Times New Roman" w:cstheme="minorHAnsi"/>
                <w:color w:val="000000"/>
                <w:lang w:val="en-GB" w:eastAsia="en-GB"/>
              </w:rPr>
            </w:pPr>
            <w:r w:rsidRPr="00342ED2">
              <w:rPr>
                <w:rFonts w:eastAsia="Times New Roman" w:cstheme="minorHAnsi"/>
                <w:color w:val="000000"/>
                <w:lang w:val="en-GB" w:eastAsia="en-GB"/>
              </w:rPr>
              <w:t>XX</w:t>
            </w:r>
          </w:p>
        </w:tc>
        <w:tc>
          <w:tcPr>
            <w:tcW w:w="271" w:type="pct"/>
            <w:tcBorders>
              <w:top w:val="nil"/>
              <w:left w:val="nil"/>
              <w:bottom w:val="single" w:sz="4" w:space="0" w:color="auto"/>
              <w:right w:val="single" w:sz="4" w:space="0" w:color="auto"/>
            </w:tcBorders>
            <w:shd w:val="clear" w:color="auto" w:fill="auto"/>
            <w:vAlign w:val="center"/>
            <w:hideMark/>
          </w:tcPr>
          <w:p w14:paraId="6A47B3D0" w14:textId="77777777" w:rsidR="008E0319" w:rsidRPr="00342ED2" w:rsidRDefault="008E0319" w:rsidP="008E0319">
            <w:pPr>
              <w:spacing w:after="0" w:line="240" w:lineRule="auto"/>
              <w:jc w:val="center"/>
              <w:rPr>
                <w:rFonts w:eastAsia="Times New Roman" w:cstheme="minorHAnsi"/>
                <w:color w:val="000000"/>
                <w:lang w:val="en-GB" w:eastAsia="en-GB"/>
              </w:rPr>
            </w:pPr>
            <w:r w:rsidRPr="00342ED2">
              <w:rPr>
                <w:rFonts w:eastAsia="Times New Roman" w:cstheme="minorHAnsi"/>
                <w:color w:val="000000"/>
                <w:lang w:val="en-GB" w:eastAsia="en-GB"/>
              </w:rPr>
              <w:t>XX</w:t>
            </w:r>
          </w:p>
        </w:tc>
        <w:tc>
          <w:tcPr>
            <w:tcW w:w="271" w:type="pct"/>
            <w:tcBorders>
              <w:top w:val="nil"/>
              <w:left w:val="nil"/>
              <w:bottom w:val="single" w:sz="4" w:space="0" w:color="auto"/>
              <w:right w:val="single" w:sz="4" w:space="0" w:color="auto"/>
            </w:tcBorders>
            <w:shd w:val="clear" w:color="000000" w:fill="FFFFFF"/>
            <w:vAlign w:val="center"/>
            <w:hideMark/>
          </w:tcPr>
          <w:p w14:paraId="5BCA3157" w14:textId="77777777" w:rsidR="008E0319" w:rsidRPr="00342ED2" w:rsidRDefault="008E0319" w:rsidP="008E0319">
            <w:pPr>
              <w:spacing w:after="0" w:line="240" w:lineRule="auto"/>
              <w:jc w:val="center"/>
              <w:rPr>
                <w:rFonts w:eastAsia="Times New Roman" w:cstheme="minorHAnsi"/>
                <w:b/>
                <w:bCs/>
                <w:color w:val="000000"/>
                <w:lang w:val="en-GB" w:eastAsia="en-GB"/>
              </w:rPr>
            </w:pPr>
            <w:r w:rsidRPr="00342ED2">
              <w:rPr>
                <w:rFonts w:eastAsia="Times New Roman" w:cstheme="minorHAnsi"/>
                <w:b/>
                <w:bCs/>
                <w:color w:val="000000"/>
                <w:lang w:val="en-GB" w:eastAsia="en-GB"/>
              </w:rPr>
              <w:t>XX</w:t>
            </w:r>
          </w:p>
        </w:tc>
      </w:tr>
      <w:tr w:rsidR="008E0319" w:rsidRPr="00342ED2" w14:paraId="004613E2" w14:textId="77777777" w:rsidTr="00342ED2">
        <w:trPr>
          <w:trHeight w:val="255"/>
        </w:trPr>
        <w:tc>
          <w:tcPr>
            <w:tcW w:w="350" w:type="pct"/>
            <w:tcBorders>
              <w:top w:val="nil"/>
              <w:left w:val="single" w:sz="4" w:space="0" w:color="auto"/>
              <w:bottom w:val="single" w:sz="4" w:space="0" w:color="auto"/>
              <w:right w:val="single" w:sz="4" w:space="0" w:color="auto"/>
            </w:tcBorders>
            <w:shd w:val="clear" w:color="000000" w:fill="F2F2F2"/>
            <w:hideMark/>
          </w:tcPr>
          <w:p w14:paraId="341340D8" w14:textId="77777777" w:rsidR="008E0319" w:rsidRPr="00342ED2" w:rsidRDefault="008E0319" w:rsidP="008E0319">
            <w:pPr>
              <w:spacing w:after="0" w:line="240" w:lineRule="auto"/>
              <w:rPr>
                <w:rFonts w:eastAsia="Times New Roman" w:cstheme="minorHAnsi"/>
                <w:b/>
                <w:bCs/>
                <w:color w:val="000000"/>
                <w:lang w:val="en-GB" w:eastAsia="en-GB"/>
              </w:rPr>
            </w:pPr>
            <w:r w:rsidRPr="00342ED2">
              <w:rPr>
                <w:rFonts w:eastAsia="Times New Roman" w:cstheme="minorHAnsi"/>
                <w:b/>
                <w:bCs/>
                <w:color w:val="000000"/>
                <w:lang w:val="en-GB" w:eastAsia="en-GB"/>
              </w:rPr>
              <w:t>Grand Total</w:t>
            </w:r>
          </w:p>
        </w:tc>
        <w:tc>
          <w:tcPr>
            <w:tcW w:w="319" w:type="pct"/>
            <w:tcBorders>
              <w:top w:val="nil"/>
              <w:left w:val="nil"/>
              <w:bottom w:val="single" w:sz="4" w:space="0" w:color="auto"/>
              <w:right w:val="single" w:sz="4" w:space="0" w:color="auto"/>
            </w:tcBorders>
            <w:shd w:val="clear" w:color="000000" w:fill="F2F2F2"/>
            <w:vAlign w:val="center"/>
            <w:hideMark/>
          </w:tcPr>
          <w:p w14:paraId="61AB65B9" w14:textId="77777777" w:rsidR="008E0319" w:rsidRPr="00342ED2" w:rsidRDefault="008E0319" w:rsidP="008E0319">
            <w:pPr>
              <w:spacing w:after="0" w:line="240" w:lineRule="auto"/>
              <w:jc w:val="center"/>
              <w:rPr>
                <w:rFonts w:eastAsia="Times New Roman" w:cstheme="minorHAnsi"/>
                <w:b/>
                <w:bCs/>
                <w:color w:val="000000"/>
                <w:lang w:val="en-GB" w:eastAsia="en-GB"/>
              </w:rPr>
            </w:pPr>
            <w:r w:rsidRPr="00342ED2">
              <w:rPr>
                <w:rFonts w:eastAsia="Times New Roman" w:cstheme="minorHAnsi"/>
                <w:b/>
                <w:bCs/>
                <w:color w:val="000000"/>
                <w:lang w:val="en-GB" w:eastAsia="en-GB"/>
              </w:rPr>
              <w:t> </w:t>
            </w:r>
          </w:p>
        </w:tc>
        <w:tc>
          <w:tcPr>
            <w:tcW w:w="285" w:type="pct"/>
            <w:tcBorders>
              <w:top w:val="nil"/>
              <w:left w:val="nil"/>
              <w:bottom w:val="single" w:sz="4" w:space="0" w:color="auto"/>
              <w:right w:val="single" w:sz="4" w:space="0" w:color="auto"/>
            </w:tcBorders>
            <w:shd w:val="clear" w:color="000000" w:fill="F2F2F2"/>
            <w:vAlign w:val="center"/>
            <w:hideMark/>
          </w:tcPr>
          <w:p w14:paraId="076A6073" w14:textId="77777777" w:rsidR="008E0319" w:rsidRPr="00342ED2" w:rsidRDefault="008E0319" w:rsidP="008E0319">
            <w:pPr>
              <w:spacing w:after="0" w:line="240" w:lineRule="auto"/>
              <w:jc w:val="center"/>
              <w:rPr>
                <w:rFonts w:eastAsia="Times New Roman" w:cstheme="minorHAnsi"/>
                <w:b/>
                <w:bCs/>
                <w:color w:val="000000"/>
                <w:lang w:val="en-GB" w:eastAsia="en-GB"/>
              </w:rPr>
            </w:pPr>
            <w:r w:rsidRPr="00342ED2">
              <w:rPr>
                <w:rFonts w:eastAsia="Times New Roman" w:cstheme="minorHAnsi"/>
                <w:b/>
                <w:bCs/>
                <w:color w:val="000000"/>
                <w:lang w:val="en-GB" w:eastAsia="en-GB"/>
              </w:rPr>
              <w:t> </w:t>
            </w:r>
          </w:p>
        </w:tc>
        <w:tc>
          <w:tcPr>
            <w:tcW w:w="271" w:type="pct"/>
            <w:tcBorders>
              <w:top w:val="nil"/>
              <w:left w:val="nil"/>
              <w:bottom w:val="single" w:sz="4" w:space="0" w:color="auto"/>
              <w:right w:val="single" w:sz="4" w:space="0" w:color="auto"/>
            </w:tcBorders>
            <w:shd w:val="clear" w:color="000000" w:fill="F2F2F2"/>
            <w:vAlign w:val="center"/>
            <w:hideMark/>
          </w:tcPr>
          <w:p w14:paraId="1702C105" w14:textId="77777777" w:rsidR="008E0319" w:rsidRPr="00342ED2" w:rsidRDefault="008E0319" w:rsidP="008E0319">
            <w:pPr>
              <w:spacing w:after="0" w:line="240" w:lineRule="auto"/>
              <w:jc w:val="center"/>
              <w:rPr>
                <w:rFonts w:eastAsia="Times New Roman" w:cstheme="minorHAnsi"/>
                <w:b/>
                <w:bCs/>
                <w:color w:val="000000"/>
                <w:lang w:val="en-GB" w:eastAsia="en-GB"/>
              </w:rPr>
            </w:pPr>
            <w:r w:rsidRPr="00342ED2">
              <w:rPr>
                <w:rFonts w:eastAsia="Times New Roman" w:cstheme="minorHAnsi"/>
                <w:b/>
                <w:bCs/>
                <w:color w:val="000000"/>
                <w:lang w:val="en-GB" w:eastAsia="en-GB"/>
              </w:rPr>
              <w:t> </w:t>
            </w:r>
          </w:p>
        </w:tc>
        <w:tc>
          <w:tcPr>
            <w:tcW w:w="319" w:type="pct"/>
            <w:tcBorders>
              <w:top w:val="nil"/>
              <w:left w:val="nil"/>
              <w:bottom w:val="single" w:sz="4" w:space="0" w:color="auto"/>
              <w:right w:val="single" w:sz="4" w:space="0" w:color="auto"/>
            </w:tcBorders>
            <w:shd w:val="clear" w:color="000000" w:fill="F2F2F2"/>
            <w:vAlign w:val="center"/>
            <w:hideMark/>
          </w:tcPr>
          <w:p w14:paraId="5FB39ADB" w14:textId="77777777" w:rsidR="008E0319" w:rsidRPr="00342ED2" w:rsidRDefault="008E0319" w:rsidP="008E0319">
            <w:pPr>
              <w:spacing w:after="0" w:line="240" w:lineRule="auto"/>
              <w:jc w:val="center"/>
              <w:rPr>
                <w:rFonts w:eastAsia="Times New Roman" w:cstheme="minorHAnsi"/>
                <w:b/>
                <w:bCs/>
                <w:color w:val="000000"/>
                <w:lang w:val="en-GB" w:eastAsia="en-GB"/>
              </w:rPr>
            </w:pPr>
            <w:r w:rsidRPr="00342ED2">
              <w:rPr>
                <w:rFonts w:eastAsia="Times New Roman" w:cstheme="minorHAnsi"/>
                <w:b/>
                <w:bCs/>
                <w:color w:val="000000"/>
                <w:lang w:val="en-GB" w:eastAsia="en-GB"/>
              </w:rPr>
              <w:t> </w:t>
            </w:r>
          </w:p>
        </w:tc>
        <w:tc>
          <w:tcPr>
            <w:tcW w:w="285" w:type="pct"/>
            <w:tcBorders>
              <w:top w:val="nil"/>
              <w:left w:val="nil"/>
              <w:bottom w:val="single" w:sz="4" w:space="0" w:color="auto"/>
              <w:right w:val="single" w:sz="4" w:space="0" w:color="auto"/>
            </w:tcBorders>
            <w:shd w:val="clear" w:color="000000" w:fill="F2F2F2"/>
            <w:vAlign w:val="center"/>
            <w:hideMark/>
          </w:tcPr>
          <w:p w14:paraId="0848ACB0" w14:textId="77777777" w:rsidR="008E0319" w:rsidRPr="00342ED2" w:rsidRDefault="008E0319" w:rsidP="008E0319">
            <w:pPr>
              <w:spacing w:after="0" w:line="240" w:lineRule="auto"/>
              <w:jc w:val="center"/>
              <w:rPr>
                <w:rFonts w:eastAsia="Times New Roman" w:cstheme="minorHAnsi"/>
                <w:b/>
                <w:bCs/>
                <w:color w:val="000000"/>
                <w:lang w:val="en-GB" w:eastAsia="en-GB"/>
              </w:rPr>
            </w:pPr>
            <w:r w:rsidRPr="00342ED2">
              <w:rPr>
                <w:rFonts w:eastAsia="Times New Roman" w:cstheme="minorHAnsi"/>
                <w:b/>
                <w:bCs/>
                <w:color w:val="000000"/>
                <w:lang w:val="en-GB" w:eastAsia="en-GB"/>
              </w:rPr>
              <w:t> </w:t>
            </w:r>
          </w:p>
        </w:tc>
        <w:tc>
          <w:tcPr>
            <w:tcW w:w="271" w:type="pct"/>
            <w:tcBorders>
              <w:top w:val="nil"/>
              <w:left w:val="nil"/>
              <w:bottom w:val="single" w:sz="4" w:space="0" w:color="auto"/>
              <w:right w:val="single" w:sz="4" w:space="0" w:color="auto"/>
            </w:tcBorders>
            <w:shd w:val="clear" w:color="000000" w:fill="F2F2F2"/>
            <w:vAlign w:val="center"/>
            <w:hideMark/>
          </w:tcPr>
          <w:p w14:paraId="67158958" w14:textId="77777777" w:rsidR="008E0319" w:rsidRPr="00342ED2" w:rsidRDefault="008E0319" w:rsidP="008E0319">
            <w:pPr>
              <w:spacing w:after="0" w:line="240" w:lineRule="auto"/>
              <w:jc w:val="center"/>
              <w:rPr>
                <w:rFonts w:eastAsia="Times New Roman" w:cstheme="minorHAnsi"/>
                <w:b/>
                <w:bCs/>
                <w:color w:val="000000"/>
                <w:lang w:val="en-GB" w:eastAsia="en-GB"/>
              </w:rPr>
            </w:pPr>
            <w:r w:rsidRPr="00342ED2">
              <w:rPr>
                <w:rFonts w:eastAsia="Times New Roman" w:cstheme="minorHAnsi"/>
                <w:b/>
                <w:bCs/>
                <w:color w:val="000000"/>
                <w:lang w:val="en-GB" w:eastAsia="en-GB"/>
              </w:rPr>
              <w:t> </w:t>
            </w:r>
          </w:p>
        </w:tc>
        <w:tc>
          <w:tcPr>
            <w:tcW w:w="319" w:type="pct"/>
            <w:tcBorders>
              <w:top w:val="nil"/>
              <w:left w:val="nil"/>
              <w:bottom w:val="single" w:sz="4" w:space="0" w:color="auto"/>
              <w:right w:val="single" w:sz="4" w:space="0" w:color="auto"/>
            </w:tcBorders>
            <w:shd w:val="clear" w:color="000000" w:fill="F2F2F2"/>
            <w:vAlign w:val="center"/>
            <w:hideMark/>
          </w:tcPr>
          <w:p w14:paraId="4042D1A8" w14:textId="77777777" w:rsidR="008E0319" w:rsidRPr="00342ED2" w:rsidRDefault="008E0319" w:rsidP="008E0319">
            <w:pPr>
              <w:spacing w:after="0" w:line="240" w:lineRule="auto"/>
              <w:jc w:val="center"/>
              <w:rPr>
                <w:rFonts w:eastAsia="Times New Roman" w:cstheme="minorHAnsi"/>
                <w:b/>
                <w:bCs/>
                <w:color w:val="000000"/>
                <w:lang w:val="en-GB" w:eastAsia="en-GB"/>
              </w:rPr>
            </w:pPr>
            <w:r w:rsidRPr="00342ED2">
              <w:rPr>
                <w:rFonts w:eastAsia="Times New Roman" w:cstheme="minorHAnsi"/>
                <w:b/>
                <w:bCs/>
                <w:color w:val="000000"/>
                <w:lang w:val="en-GB" w:eastAsia="en-GB"/>
              </w:rPr>
              <w:t> </w:t>
            </w:r>
          </w:p>
        </w:tc>
        <w:tc>
          <w:tcPr>
            <w:tcW w:w="285" w:type="pct"/>
            <w:tcBorders>
              <w:top w:val="nil"/>
              <w:left w:val="nil"/>
              <w:bottom w:val="single" w:sz="4" w:space="0" w:color="auto"/>
              <w:right w:val="single" w:sz="4" w:space="0" w:color="auto"/>
            </w:tcBorders>
            <w:shd w:val="clear" w:color="000000" w:fill="F2F2F2"/>
            <w:vAlign w:val="center"/>
            <w:hideMark/>
          </w:tcPr>
          <w:p w14:paraId="5E71E7F5" w14:textId="77777777" w:rsidR="008E0319" w:rsidRPr="00342ED2" w:rsidRDefault="008E0319" w:rsidP="008E0319">
            <w:pPr>
              <w:spacing w:after="0" w:line="240" w:lineRule="auto"/>
              <w:jc w:val="center"/>
              <w:rPr>
                <w:rFonts w:eastAsia="Times New Roman" w:cstheme="minorHAnsi"/>
                <w:b/>
                <w:bCs/>
                <w:color w:val="000000"/>
                <w:lang w:val="en-GB" w:eastAsia="en-GB"/>
              </w:rPr>
            </w:pPr>
            <w:r w:rsidRPr="00342ED2">
              <w:rPr>
                <w:rFonts w:eastAsia="Times New Roman" w:cstheme="minorHAnsi"/>
                <w:b/>
                <w:bCs/>
                <w:color w:val="000000"/>
                <w:lang w:val="en-GB" w:eastAsia="en-GB"/>
              </w:rPr>
              <w:t> </w:t>
            </w:r>
          </w:p>
        </w:tc>
        <w:tc>
          <w:tcPr>
            <w:tcW w:w="271" w:type="pct"/>
            <w:tcBorders>
              <w:top w:val="nil"/>
              <w:left w:val="nil"/>
              <w:bottom w:val="single" w:sz="4" w:space="0" w:color="auto"/>
              <w:right w:val="single" w:sz="4" w:space="0" w:color="auto"/>
            </w:tcBorders>
            <w:shd w:val="clear" w:color="000000" w:fill="F2F2F2"/>
            <w:vAlign w:val="center"/>
            <w:hideMark/>
          </w:tcPr>
          <w:p w14:paraId="52DC783F" w14:textId="77777777" w:rsidR="008E0319" w:rsidRPr="00342ED2" w:rsidRDefault="008E0319" w:rsidP="008E0319">
            <w:pPr>
              <w:spacing w:after="0" w:line="240" w:lineRule="auto"/>
              <w:jc w:val="center"/>
              <w:rPr>
                <w:rFonts w:eastAsia="Times New Roman" w:cstheme="minorHAnsi"/>
                <w:b/>
                <w:bCs/>
                <w:color w:val="000000"/>
                <w:lang w:val="en-GB" w:eastAsia="en-GB"/>
              </w:rPr>
            </w:pPr>
            <w:r w:rsidRPr="00342ED2">
              <w:rPr>
                <w:rFonts w:eastAsia="Times New Roman" w:cstheme="minorHAnsi"/>
                <w:b/>
                <w:bCs/>
                <w:color w:val="000000"/>
                <w:lang w:val="en-GB" w:eastAsia="en-GB"/>
              </w:rPr>
              <w:t> </w:t>
            </w:r>
          </w:p>
        </w:tc>
        <w:tc>
          <w:tcPr>
            <w:tcW w:w="319" w:type="pct"/>
            <w:tcBorders>
              <w:top w:val="nil"/>
              <w:left w:val="nil"/>
              <w:bottom w:val="single" w:sz="4" w:space="0" w:color="auto"/>
              <w:right w:val="single" w:sz="4" w:space="0" w:color="auto"/>
            </w:tcBorders>
            <w:shd w:val="clear" w:color="000000" w:fill="F2F2F2"/>
            <w:vAlign w:val="center"/>
            <w:hideMark/>
          </w:tcPr>
          <w:p w14:paraId="6EFDE558" w14:textId="77777777" w:rsidR="008E0319" w:rsidRPr="00342ED2" w:rsidRDefault="008E0319" w:rsidP="008E0319">
            <w:pPr>
              <w:spacing w:after="0" w:line="240" w:lineRule="auto"/>
              <w:jc w:val="center"/>
              <w:rPr>
                <w:rFonts w:eastAsia="Times New Roman" w:cstheme="minorHAnsi"/>
                <w:b/>
                <w:bCs/>
                <w:color w:val="000000"/>
                <w:lang w:val="en-GB" w:eastAsia="en-GB"/>
              </w:rPr>
            </w:pPr>
            <w:r w:rsidRPr="00342ED2">
              <w:rPr>
                <w:rFonts w:eastAsia="Times New Roman" w:cstheme="minorHAnsi"/>
                <w:b/>
                <w:bCs/>
                <w:color w:val="000000"/>
                <w:lang w:val="en-GB" w:eastAsia="en-GB"/>
              </w:rPr>
              <w:t> </w:t>
            </w:r>
          </w:p>
        </w:tc>
        <w:tc>
          <w:tcPr>
            <w:tcW w:w="285" w:type="pct"/>
            <w:tcBorders>
              <w:top w:val="nil"/>
              <w:left w:val="nil"/>
              <w:bottom w:val="single" w:sz="4" w:space="0" w:color="auto"/>
              <w:right w:val="single" w:sz="4" w:space="0" w:color="auto"/>
            </w:tcBorders>
            <w:shd w:val="clear" w:color="000000" w:fill="F2F2F2"/>
            <w:vAlign w:val="center"/>
            <w:hideMark/>
          </w:tcPr>
          <w:p w14:paraId="1D5466B8" w14:textId="77777777" w:rsidR="008E0319" w:rsidRPr="00342ED2" w:rsidRDefault="008E0319" w:rsidP="008E0319">
            <w:pPr>
              <w:spacing w:after="0" w:line="240" w:lineRule="auto"/>
              <w:jc w:val="center"/>
              <w:rPr>
                <w:rFonts w:eastAsia="Times New Roman" w:cstheme="minorHAnsi"/>
                <w:b/>
                <w:bCs/>
                <w:color w:val="000000"/>
                <w:lang w:val="en-GB" w:eastAsia="en-GB"/>
              </w:rPr>
            </w:pPr>
            <w:r w:rsidRPr="00342ED2">
              <w:rPr>
                <w:rFonts w:eastAsia="Times New Roman" w:cstheme="minorHAnsi"/>
                <w:b/>
                <w:bCs/>
                <w:color w:val="000000"/>
                <w:lang w:val="en-GB" w:eastAsia="en-GB"/>
              </w:rPr>
              <w:t> </w:t>
            </w:r>
          </w:p>
        </w:tc>
        <w:tc>
          <w:tcPr>
            <w:tcW w:w="271" w:type="pct"/>
            <w:tcBorders>
              <w:top w:val="nil"/>
              <w:left w:val="nil"/>
              <w:bottom w:val="single" w:sz="4" w:space="0" w:color="auto"/>
              <w:right w:val="single" w:sz="4" w:space="0" w:color="auto"/>
            </w:tcBorders>
            <w:shd w:val="clear" w:color="000000" w:fill="F2F2F2"/>
            <w:vAlign w:val="center"/>
            <w:hideMark/>
          </w:tcPr>
          <w:p w14:paraId="49F55D29" w14:textId="77777777" w:rsidR="008E0319" w:rsidRPr="00342ED2" w:rsidRDefault="008E0319" w:rsidP="008E0319">
            <w:pPr>
              <w:spacing w:after="0" w:line="240" w:lineRule="auto"/>
              <w:jc w:val="center"/>
              <w:rPr>
                <w:rFonts w:eastAsia="Times New Roman" w:cstheme="minorHAnsi"/>
                <w:b/>
                <w:bCs/>
                <w:color w:val="000000"/>
                <w:lang w:val="en-GB" w:eastAsia="en-GB"/>
              </w:rPr>
            </w:pPr>
            <w:r w:rsidRPr="00342ED2">
              <w:rPr>
                <w:rFonts w:eastAsia="Times New Roman" w:cstheme="minorHAnsi"/>
                <w:b/>
                <w:bCs/>
                <w:color w:val="000000"/>
                <w:lang w:val="en-GB" w:eastAsia="en-GB"/>
              </w:rPr>
              <w:t> </w:t>
            </w:r>
          </w:p>
        </w:tc>
        <w:tc>
          <w:tcPr>
            <w:tcW w:w="319" w:type="pct"/>
            <w:tcBorders>
              <w:top w:val="nil"/>
              <w:left w:val="nil"/>
              <w:bottom w:val="single" w:sz="4" w:space="0" w:color="auto"/>
              <w:right w:val="single" w:sz="4" w:space="0" w:color="auto"/>
            </w:tcBorders>
            <w:shd w:val="clear" w:color="000000" w:fill="F2F2F2"/>
            <w:vAlign w:val="center"/>
            <w:hideMark/>
          </w:tcPr>
          <w:p w14:paraId="6503D033" w14:textId="77777777" w:rsidR="008E0319" w:rsidRPr="00342ED2" w:rsidRDefault="008E0319" w:rsidP="008E0319">
            <w:pPr>
              <w:spacing w:after="0" w:line="240" w:lineRule="auto"/>
              <w:jc w:val="center"/>
              <w:rPr>
                <w:rFonts w:eastAsia="Times New Roman" w:cstheme="minorHAnsi"/>
                <w:b/>
                <w:bCs/>
                <w:color w:val="000000"/>
                <w:lang w:val="en-GB" w:eastAsia="en-GB"/>
              </w:rPr>
            </w:pPr>
            <w:r w:rsidRPr="00342ED2">
              <w:rPr>
                <w:rFonts w:eastAsia="Times New Roman" w:cstheme="minorHAnsi"/>
                <w:b/>
                <w:bCs/>
                <w:color w:val="000000"/>
                <w:lang w:val="en-GB" w:eastAsia="en-GB"/>
              </w:rPr>
              <w:t> </w:t>
            </w:r>
          </w:p>
        </w:tc>
        <w:tc>
          <w:tcPr>
            <w:tcW w:w="285" w:type="pct"/>
            <w:tcBorders>
              <w:top w:val="nil"/>
              <w:left w:val="nil"/>
              <w:bottom w:val="single" w:sz="4" w:space="0" w:color="auto"/>
              <w:right w:val="single" w:sz="4" w:space="0" w:color="auto"/>
            </w:tcBorders>
            <w:shd w:val="clear" w:color="000000" w:fill="F2F2F2"/>
            <w:vAlign w:val="center"/>
            <w:hideMark/>
          </w:tcPr>
          <w:p w14:paraId="5E571A5A" w14:textId="77777777" w:rsidR="008E0319" w:rsidRPr="00342ED2" w:rsidRDefault="008E0319" w:rsidP="008E0319">
            <w:pPr>
              <w:spacing w:after="0" w:line="240" w:lineRule="auto"/>
              <w:jc w:val="center"/>
              <w:rPr>
                <w:rFonts w:eastAsia="Times New Roman" w:cstheme="minorHAnsi"/>
                <w:b/>
                <w:bCs/>
                <w:color w:val="000000"/>
                <w:lang w:val="en-GB" w:eastAsia="en-GB"/>
              </w:rPr>
            </w:pPr>
            <w:r w:rsidRPr="00342ED2">
              <w:rPr>
                <w:rFonts w:eastAsia="Times New Roman" w:cstheme="minorHAnsi"/>
                <w:b/>
                <w:bCs/>
                <w:color w:val="000000"/>
                <w:lang w:val="en-GB" w:eastAsia="en-GB"/>
              </w:rPr>
              <w:t> </w:t>
            </w:r>
          </w:p>
        </w:tc>
        <w:tc>
          <w:tcPr>
            <w:tcW w:w="271" w:type="pct"/>
            <w:tcBorders>
              <w:top w:val="nil"/>
              <w:left w:val="nil"/>
              <w:bottom w:val="single" w:sz="4" w:space="0" w:color="auto"/>
              <w:right w:val="single" w:sz="4" w:space="0" w:color="auto"/>
            </w:tcBorders>
            <w:shd w:val="clear" w:color="000000" w:fill="F2F2F2"/>
            <w:vAlign w:val="center"/>
            <w:hideMark/>
          </w:tcPr>
          <w:p w14:paraId="4E9AE921" w14:textId="77777777" w:rsidR="008E0319" w:rsidRPr="00342ED2" w:rsidRDefault="008E0319" w:rsidP="008E0319">
            <w:pPr>
              <w:spacing w:after="0" w:line="240" w:lineRule="auto"/>
              <w:jc w:val="center"/>
              <w:rPr>
                <w:rFonts w:eastAsia="Times New Roman" w:cstheme="minorHAnsi"/>
                <w:b/>
                <w:bCs/>
                <w:color w:val="000000"/>
                <w:lang w:val="en-GB" w:eastAsia="en-GB"/>
              </w:rPr>
            </w:pPr>
            <w:r w:rsidRPr="00342ED2">
              <w:rPr>
                <w:rFonts w:eastAsia="Times New Roman" w:cstheme="minorHAnsi"/>
                <w:b/>
                <w:bCs/>
                <w:color w:val="000000"/>
                <w:lang w:val="en-GB" w:eastAsia="en-GB"/>
              </w:rPr>
              <w:t> </w:t>
            </w:r>
          </w:p>
        </w:tc>
        <w:tc>
          <w:tcPr>
            <w:tcW w:w="271" w:type="pct"/>
            <w:tcBorders>
              <w:top w:val="nil"/>
              <w:left w:val="nil"/>
              <w:bottom w:val="single" w:sz="4" w:space="0" w:color="auto"/>
              <w:right w:val="single" w:sz="4" w:space="0" w:color="auto"/>
            </w:tcBorders>
            <w:shd w:val="clear" w:color="000000" w:fill="F2F2F2"/>
            <w:vAlign w:val="center"/>
            <w:hideMark/>
          </w:tcPr>
          <w:p w14:paraId="27EE6930" w14:textId="77777777" w:rsidR="008E0319" w:rsidRPr="00342ED2" w:rsidRDefault="008E0319" w:rsidP="008E0319">
            <w:pPr>
              <w:spacing w:after="0" w:line="240" w:lineRule="auto"/>
              <w:jc w:val="right"/>
              <w:rPr>
                <w:rFonts w:eastAsia="Times New Roman" w:cstheme="minorHAnsi"/>
                <w:b/>
                <w:bCs/>
                <w:color w:val="000000"/>
                <w:lang w:val="en-GB" w:eastAsia="en-GB"/>
              </w:rPr>
            </w:pPr>
            <w:r w:rsidRPr="00342ED2">
              <w:rPr>
                <w:rFonts w:eastAsia="Times New Roman" w:cstheme="minorHAnsi"/>
                <w:b/>
                <w:bCs/>
                <w:color w:val="000000"/>
                <w:lang w:val="en-GB" w:eastAsia="en-GB"/>
              </w:rPr>
              <w:t> </w:t>
            </w:r>
          </w:p>
        </w:tc>
      </w:tr>
      <w:tr w:rsidR="008E0319" w:rsidRPr="00342ED2" w14:paraId="0F01A238" w14:textId="77777777" w:rsidTr="00342ED2">
        <w:trPr>
          <w:trHeight w:val="255"/>
        </w:trPr>
        <w:tc>
          <w:tcPr>
            <w:tcW w:w="350" w:type="pct"/>
            <w:tcBorders>
              <w:top w:val="nil"/>
              <w:left w:val="nil"/>
              <w:bottom w:val="nil"/>
              <w:right w:val="nil"/>
            </w:tcBorders>
            <w:shd w:val="clear" w:color="auto" w:fill="auto"/>
            <w:noWrap/>
            <w:vAlign w:val="bottom"/>
            <w:hideMark/>
          </w:tcPr>
          <w:p w14:paraId="1B75767B" w14:textId="77777777" w:rsidR="008E0319" w:rsidRPr="00342ED2" w:rsidRDefault="008E0319" w:rsidP="008E0319">
            <w:pPr>
              <w:spacing w:after="0" w:line="240" w:lineRule="auto"/>
              <w:jc w:val="right"/>
              <w:rPr>
                <w:rFonts w:eastAsia="Times New Roman" w:cstheme="minorHAnsi"/>
                <w:b/>
                <w:bCs/>
                <w:color w:val="000000"/>
                <w:lang w:val="en-GB" w:eastAsia="en-GB"/>
              </w:rPr>
            </w:pPr>
          </w:p>
        </w:tc>
        <w:tc>
          <w:tcPr>
            <w:tcW w:w="319" w:type="pct"/>
            <w:tcBorders>
              <w:top w:val="nil"/>
              <w:left w:val="nil"/>
              <w:bottom w:val="nil"/>
              <w:right w:val="nil"/>
            </w:tcBorders>
            <w:shd w:val="clear" w:color="auto" w:fill="auto"/>
            <w:noWrap/>
            <w:vAlign w:val="bottom"/>
            <w:hideMark/>
          </w:tcPr>
          <w:p w14:paraId="044F1B10" w14:textId="77777777" w:rsidR="008E0319" w:rsidRPr="00342ED2" w:rsidRDefault="008E0319" w:rsidP="008E0319">
            <w:pPr>
              <w:spacing w:after="0" w:line="240" w:lineRule="auto"/>
              <w:rPr>
                <w:rFonts w:eastAsia="Times New Roman" w:cstheme="minorHAnsi"/>
                <w:lang w:val="en-GB" w:eastAsia="en-GB"/>
              </w:rPr>
            </w:pPr>
          </w:p>
        </w:tc>
        <w:tc>
          <w:tcPr>
            <w:tcW w:w="285" w:type="pct"/>
            <w:tcBorders>
              <w:top w:val="nil"/>
              <w:left w:val="nil"/>
              <w:bottom w:val="nil"/>
              <w:right w:val="nil"/>
            </w:tcBorders>
            <w:shd w:val="clear" w:color="auto" w:fill="auto"/>
            <w:noWrap/>
            <w:vAlign w:val="bottom"/>
            <w:hideMark/>
          </w:tcPr>
          <w:p w14:paraId="69CDF686" w14:textId="77777777" w:rsidR="008E0319" w:rsidRPr="00342ED2" w:rsidRDefault="008E0319" w:rsidP="008E0319">
            <w:pPr>
              <w:spacing w:after="0" w:line="240" w:lineRule="auto"/>
              <w:rPr>
                <w:rFonts w:eastAsia="Times New Roman" w:cstheme="minorHAnsi"/>
                <w:lang w:val="en-GB" w:eastAsia="en-GB"/>
              </w:rPr>
            </w:pPr>
          </w:p>
        </w:tc>
        <w:tc>
          <w:tcPr>
            <w:tcW w:w="271" w:type="pct"/>
            <w:tcBorders>
              <w:top w:val="nil"/>
              <w:left w:val="nil"/>
              <w:bottom w:val="nil"/>
              <w:right w:val="nil"/>
            </w:tcBorders>
            <w:shd w:val="clear" w:color="auto" w:fill="auto"/>
            <w:noWrap/>
            <w:vAlign w:val="bottom"/>
            <w:hideMark/>
          </w:tcPr>
          <w:p w14:paraId="1D7757FC" w14:textId="77777777" w:rsidR="008E0319" w:rsidRPr="00342ED2" w:rsidRDefault="008E0319" w:rsidP="008E0319">
            <w:pPr>
              <w:spacing w:after="0" w:line="240" w:lineRule="auto"/>
              <w:rPr>
                <w:rFonts w:eastAsia="Times New Roman" w:cstheme="minorHAnsi"/>
                <w:lang w:val="en-GB" w:eastAsia="en-GB"/>
              </w:rPr>
            </w:pPr>
          </w:p>
        </w:tc>
        <w:tc>
          <w:tcPr>
            <w:tcW w:w="319" w:type="pct"/>
            <w:tcBorders>
              <w:top w:val="nil"/>
              <w:left w:val="nil"/>
              <w:bottom w:val="nil"/>
              <w:right w:val="nil"/>
            </w:tcBorders>
            <w:shd w:val="clear" w:color="auto" w:fill="auto"/>
            <w:noWrap/>
            <w:vAlign w:val="bottom"/>
            <w:hideMark/>
          </w:tcPr>
          <w:p w14:paraId="06772835" w14:textId="77777777" w:rsidR="008E0319" w:rsidRPr="00342ED2" w:rsidRDefault="008E0319" w:rsidP="008E0319">
            <w:pPr>
              <w:spacing w:after="0" w:line="240" w:lineRule="auto"/>
              <w:rPr>
                <w:rFonts w:eastAsia="Times New Roman" w:cstheme="minorHAnsi"/>
                <w:lang w:val="en-GB" w:eastAsia="en-GB"/>
              </w:rPr>
            </w:pPr>
          </w:p>
        </w:tc>
        <w:tc>
          <w:tcPr>
            <w:tcW w:w="285" w:type="pct"/>
            <w:tcBorders>
              <w:top w:val="nil"/>
              <w:left w:val="nil"/>
              <w:bottom w:val="nil"/>
              <w:right w:val="nil"/>
            </w:tcBorders>
            <w:shd w:val="clear" w:color="auto" w:fill="auto"/>
            <w:noWrap/>
            <w:vAlign w:val="bottom"/>
            <w:hideMark/>
          </w:tcPr>
          <w:p w14:paraId="244E1B93" w14:textId="77777777" w:rsidR="008E0319" w:rsidRPr="00342ED2" w:rsidRDefault="008E0319" w:rsidP="008E0319">
            <w:pPr>
              <w:spacing w:after="0" w:line="240" w:lineRule="auto"/>
              <w:rPr>
                <w:rFonts w:eastAsia="Times New Roman" w:cstheme="minorHAnsi"/>
                <w:lang w:val="en-GB" w:eastAsia="en-GB"/>
              </w:rPr>
            </w:pPr>
          </w:p>
        </w:tc>
        <w:tc>
          <w:tcPr>
            <w:tcW w:w="271" w:type="pct"/>
            <w:tcBorders>
              <w:top w:val="nil"/>
              <w:left w:val="nil"/>
              <w:bottom w:val="nil"/>
              <w:right w:val="nil"/>
            </w:tcBorders>
            <w:shd w:val="clear" w:color="auto" w:fill="auto"/>
            <w:noWrap/>
            <w:vAlign w:val="bottom"/>
            <w:hideMark/>
          </w:tcPr>
          <w:p w14:paraId="63849138" w14:textId="77777777" w:rsidR="008E0319" w:rsidRPr="00342ED2" w:rsidRDefault="008E0319" w:rsidP="008E0319">
            <w:pPr>
              <w:spacing w:after="0" w:line="240" w:lineRule="auto"/>
              <w:rPr>
                <w:rFonts w:eastAsia="Times New Roman" w:cstheme="minorHAnsi"/>
                <w:lang w:val="en-GB" w:eastAsia="en-GB"/>
              </w:rPr>
            </w:pPr>
          </w:p>
        </w:tc>
        <w:tc>
          <w:tcPr>
            <w:tcW w:w="319" w:type="pct"/>
            <w:tcBorders>
              <w:top w:val="nil"/>
              <w:left w:val="nil"/>
              <w:bottom w:val="nil"/>
              <w:right w:val="nil"/>
            </w:tcBorders>
            <w:shd w:val="clear" w:color="auto" w:fill="auto"/>
            <w:noWrap/>
            <w:vAlign w:val="bottom"/>
            <w:hideMark/>
          </w:tcPr>
          <w:p w14:paraId="6FC401BC" w14:textId="77777777" w:rsidR="008E0319" w:rsidRPr="00342ED2" w:rsidRDefault="008E0319" w:rsidP="008E0319">
            <w:pPr>
              <w:spacing w:after="0" w:line="240" w:lineRule="auto"/>
              <w:rPr>
                <w:rFonts w:eastAsia="Times New Roman" w:cstheme="minorHAnsi"/>
                <w:lang w:val="en-GB" w:eastAsia="en-GB"/>
              </w:rPr>
            </w:pPr>
          </w:p>
        </w:tc>
        <w:tc>
          <w:tcPr>
            <w:tcW w:w="285" w:type="pct"/>
            <w:tcBorders>
              <w:top w:val="nil"/>
              <w:left w:val="nil"/>
              <w:bottom w:val="nil"/>
              <w:right w:val="nil"/>
            </w:tcBorders>
            <w:shd w:val="clear" w:color="auto" w:fill="auto"/>
            <w:noWrap/>
            <w:vAlign w:val="bottom"/>
            <w:hideMark/>
          </w:tcPr>
          <w:p w14:paraId="4D8374D2" w14:textId="77777777" w:rsidR="008E0319" w:rsidRPr="00342ED2" w:rsidRDefault="008E0319" w:rsidP="008E0319">
            <w:pPr>
              <w:spacing w:after="0" w:line="240" w:lineRule="auto"/>
              <w:rPr>
                <w:rFonts w:eastAsia="Times New Roman" w:cstheme="minorHAnsi"/>
                <w:lang w:val="en-GB" w:eastAsia="en-GB"/>
              </w:rPr>
            </w:pPr>
          </w:p>
        </w:tc>
        <w:tc>
          <w:tcPr>
            <w:tcW w:w="271" w:type="pct"/>
            <w:tcBorders>
              <w:top w:val="nil"/>
              <w:left w:val="nil"/>
              <w:bottom w:val="nil"/>
              <w:right w:val="nil"/>
            </w:tcBorders>
            <w:shd w:val="clear" w:color="auto" w:fill="auto"/>
            <w:noWrap/>
            <w:vAlign w:val="bottom"/>
            <w:hideMark/>
          </w:tcPr>
          <w:p w14:paraId="472568F1" w14:textId="77777777" w:rsidR="008E0319" w:rsidRPr="00342ED2" w:rsidRDefault="008E0319" w:rsidP="008E0319">
            <w:pPr>
              <w:spacing w:after="0" w:line="240" w:lineRule="auto"/>
              <w:rPr>
                <w:rFonts w:eastAsia="Times New Roman" w:cstheme="minorHAnsi"/>
                <w:lang w:val="en-GB" w:eastAsia="en-GB"/>
              </w:rPr>
            </w:pPr>
          </w:p>
        </w:tc>
        <w:tc>
          <w:tcPr>
            <w:tcW w:w="319" w:type="pct"/>
            <w:tcBorders>
              <w:top w:val="nil"/>
              <w:left w:val="nil"/>
              <w:bottom w:val="nil"/>
              <w:right w:val="nil"/>
            </w:tcBorders>
            <w:shd w:val="clear" w:color="auto" w:fill="auto"/>
            <w:noWrap/>
            <w:vAlign w:val="bottom"/>
            <w:hideMark/>
          </w:tcPr>
          <w:p w14:paraId="0137B86D" w14:textId="77777777" w:rsidR="008E0319" w:rsidRPr="00342ED2" w:rsidRDefault="008E0319" w:rsidP="008E0319">
            <w:pPr>
              <w:spacing w:after="0" w:line="240" w:lineRule="auto"/>
              <w:rPr>
                <w:rFonts w:eastAsia="Times New Roman" w:cstheme="minorHAnsi"/>
                <w:lang w:val="en-GB" w:eastAsia="en-GB"/>
              </w:rPr>
            </w:pPr>
          </w:p>
        </w:tc>
        <w:tc>
          <w:tcPr>
            <w:tcW w:w="285" w:type="pct"/>
            <w:tcBorders>
              <w:top w:val="nil"/>
              <w:left w:val="nil"/>
              <w:bottom w:val="nil"/>
              <w:right w:val="nil"/>
            </w:tcBorders>
            <w:shd w:val="clear" w:color="auto" w:fill="auto"/>
            <w:noWrap/>
            <w:vAlign w:val="bottom"/>
            <w:hideMark/>
          </w:tcPr>
          <w:p w14:paraId="51AADD07" w14:textId="77777777" w:rsidR="008E0319" w:rsidRPr="00342ED2" w:rsidRDefault="008E0319" w:rsidP="008E0319">
            <w:pPr>
              <w:spacing w:after="0" w:line="240" w:lineRule="auto"/>
              <w:rPr>
                <w:rFonts w:eastAsia="Times New Roman" w:cstheme="minorHAnsi"/>
                <w:lang w:val="en-GB" w:eastAsia="en-GB"/>
              </w:rPr>
            </w:pPr>
          </w:p>
        </w:tc>
        <w:tc>
          <w:tcPr>
            <w:tcW w:w="271" w:type="pct"/>
            <w:tcBorders>
              <w:top w:val="nil"/>
              <w:left w:val="nil"/>
              <w:bottom w:val="nil"/>
              <w:right w:val="nil"/>
            </w:tcBorders>
            <w:shd w:val="clear" w:color="auto" w:fill="auto"/>
            <w:noWrap/>
            <w:vAlign w:val="bottom"/>
            <w:hideMark/>
          </w:tcPr>
          <w:p w14:paraId="22EE2E90" w14:textId="77777777" w:rsidR="008E0319" w:rsidRPr="00342ED2" w:rsidRDefault="008E0319" w:rsidP="008E0319">
            <w:pPr>
              <w:spacing w:after="0" w:line="240" w:lineRule="auto"/>
              <w:rPr>
                <w:rFonts w:eastAsia="Times New Roman" w:cstheme="minorHAnsi"/>
                <w:lang w:val="en-GB" w:eastAsia="en-GB"/>
              </w:rPr>
            </w:pPr>
          </w:p>
        </w:tc>
        <w:tc>
          <w:tcPr>
            <w:tcW w:w="319" w:type="pct"/>
            <w:tcBorders>
              <w:top w:val="nil"/>
              <w:left w:val="nil"/>
              <w:bottom w:val="nil"/>
              <w:right w:val="nil"/>
            </w:tcBorders>
            <w:shd w:val="clear" w:color="auto" w:fill="auto"/>
            <w:noWrap/>
            <w:vAlign w:val="bottom"/>
            <w:hideMark/>
          </w:tcPr>
          <w:p w14:paraId="267D0129" w14:textId="77777777" w:rsidR="008E0319" w:rsidRPr="00342ED2" w:rsidRDefault="008E0319" w:rsidP="008E0319">
            <w:pPr>
              <w:spacing w:after="0" w:line="240" w:lineRule="auto"/>
              <w:rPr>
                <w:rFonts w:eastAsia="Times New Roman" w:cstheme="minorHAnsi"/>
                <w:lang w:val="en-GB" w:eastAsia="en-GB"/>
              </w:rPr>
            </w:pPr>
          </w:p>
        </w:tc>
        <w:tc>
          <w:tcPr>
            <w:tcW w:w="285" w:type="pct"/>
            <w:tcBorders>
              <w:top w:val="nil"/>
              <w:left w:val="nil"/>
              <w:bottom w:val="nil"/>
              <w:right w:val="nil"/>
            </w:tcBorders>
            <w:shd w:val="clear" w:color="auto" w:fill="auto"/>
            <w:noWrap/>
            <w:vAlign w:val="bottom"/>
            <w:hideMark/>
          </w:tcPr>
          <w:p w14:paraId="24A25A3D" w14:textId="77777777" w:rsidR="008E0319" w:rsidRPr="00342ED2" w:rsidRDefault="008E0319" w:rsidP="008E0319">
            <w:pPr>
              <w:spacing w:after="0" w:line="240" w:lineRule="auto"/>
              <w:rPr>
                <w:rFonts w:eastAsia="Times New Roman" w:cstheme="minorHAnsi"/>
                <w:lang w:val="en-GB" w:eastAsia="en-GB"/>
              </w:rPr>
            </w:pPr>
          </w:p>
        </w:tc>
        <w:tc>
          <w:tcPr>
            <w:tcW w:w="271" w:type="pct"/>
            <w:tcBorders>
              <w:top w:val="nil"/>
              <w:left w:val="nil"/>
              <w:bottom w:val="nil"/>
              <w:right w:val="nil"/>
            </w:tcBorders>
            <w:shd w:val="clear" w:color="auto" w:fill="auto"/>
            <w:noWrap/>
            <w:vAlign w:val="bottom"/>
            <w:hideMark/>
          </w:tcPr>
          <w:p w14:paraId="036C8F8F" w14:textId="77777777" w:rsidR="008E0319" w:rsidRPr="00342ED2" w:rsidRDefault="008E0319" w:rsidP="008E0319">
            <w:pPr>
              <w:spacing w:after="0" w:line="240" w:lineRule="auto"/>
              <w:rPr>
                <w:rFonts w:eastAsia="Times New Roman" w:cstheme="minorHAnsi"/>
                <w:lang w:val="en-GB" w:eastAsia="en-GB"/>
              </w:rPr>
            </w:pPr>
          </w:p>
        </w:tc>
        <w:tc>
          <w:tcPr>
            <w:tcW w:w="271" w:type="pct"/>
            <w:tcBorders>
              <w:top w:val="nil"/>
              <w:left w:val="nil"/>
              <w:bottom w:val="nil"/>
              <w:right w:val="nil"/>
            </w:tcBorders>
            <w:shd w:val="clear" w:color="auto" w:fill="auto"/>
            <w:noWrap/>
            <w:vAlign w:val="bottom"/>
            <w:hideMark/>
          </w:tcPr>
          <w:p w14:paraId="76CC19AB" w14:textId="77777777" w:rsidR="008E0319" w:rsidRPr="00342ED2" w:rsidRDefault="008E0319" w:rsidP="008E0319">
            <w:pPr>
              <w:spacing w:after="0" w:line="240" w:lineRule="auto"/>
              <w:rPr>
                <w:rFonts w:eastAsia="Times New Roman" w:cstheme="minorHAnsi"/>
                <w:lang w:val="en-GB" w:eastAsia="en-GB"/>
              </w:rPr>
            </w:pPr>
          </w:p>
        </w:tc>
      </w:tr>
      <w:tr w:rsidR="008E0319" w:rsidRPr="00342ED2" w14:paraId="4DBDFED1" w14:textId="77777777" w:rsidTr="00342ED2">
        <w:trPr>
          <w:trHeight w:val="255"/>
        </w:trPr>
        <w:tc>
          <w:tcPr>
            <w:tcW w:w="350" w:type="pct"/>
            <w:tcBorders>
              <w:top w:val="nil"/>
              <w:left w:val="nil"/>
              <w:bottom w:val="nil"/>
              <w:right w:val="nil"/>
            </w:tcBorders>
            <w:shd w:val="clear" w:color="auto" w:fill="auto"/>
            <w:hideMark/>
          </w:tcPr>
          <w:p w14:paraId="4CB903CD" w14:textId="77777777" w:rsidR="008E0319" w:rsidRPr="00342ED2" w:rsidRDefault="008E0319" w:rsidP="008E0319">
            <w:pPr>
              <w:spacing w:after="0" w:line="240" w:lineRule="auto"/>
              <w:rPr>
                <w:rFonts w:eastAsia="Times New Roman" w:cstheme="minorHAnsi"/>
                <w:color w:val="000000"/>
                <w:lang w:val="en-GB" w:eastAsia="en-GB"/>
              </w:rPr>
            </w:pPr>
            <w:r w:rsidRPr="00342ED2">
              <w:rPr>
                <w:rFonts w:eastAsia="Times New Roman" w:cstheme="minorHAnsi"/>
                <w:color w:val="000000"/>
                <w:lang w:val="en-GB" w:eastAsia="en-GB"/>
              </w:rPr>
              <w:t>Note:</w:t>
            </w:r>
          </w:p>
        </w:tc>
        <w:tc>
          <w:tcPr>
            <w:tcW w:w="319" w:type="pct"/>
            <w:tcBorders>
              <w:top w:val="nil"/>
              <w:left w:val="nil"/>
              <w:bottom w:val="nil"/>
              <w:right w:val="nil"/>
            </w:tcBorders>
            <w:shd w:val="clear" w:color="auto" w:fill="auto"/>
            <w:noWrap/>
            <w:vAlign w:val="bottom"/>
            <w:hideMark/>
          </w:tcPr>
          <w:p w14:paraId="70D3B7EC" w14:textId="77777777" w:rsidR="008E0319" w:rsidRPr="00342ED2" w:rsidRDefault="008E0319" w:rsidP="008E0319">
            <w:pPr>
              <w:spacing w:after="0" w:line="240" w:lineRule="auto"/>
              <w:rPr>
                <w:rFonts w:eastAsia="Times New Roman" w:cstheme="minorHAnsi"/>
                <w:color w:val="000000"/>
                <w:lang w:val="en-GB" w:eastAsia="en-GB"/>
              </w:rPr>
            </w:pPr>
          </w:p>
        </w:tc>
        <w:tc>
          <w:tcPr>
            <w:tcW w:w="285" w:type="pct"/>
            <w:tcBorders>
              <w:top w:val="nil"/>
              <w:left w:val="nil"/>
              <w:bottom w:val="nil"/>
              <w:right w:val="nil"/>
            </w:tcBorders>
            <w:shd w:val="clear" w:color="auto" w:fill="auto"/>
            <w:noWrap/>
            <w:vAlign w:val="bottom"/>
            <w:hideMark/>
          </w:tcPr>
          <w:p w14:paraId="0543BA85" w14:textId="77777777" w:rsidR="008E0319" w:rsidRPr="00342ED2" w:rsidRDefault="008E0319" w:rsidP="008E0319">
            <w:pPr>
              <w:spacing w:after="0" w:line="240" w:lineRule="auto"/>
              <w:rPr>
                <w:rFonts w:eastAsia="Times New Roman" w:cstheme="minorHAnsi"/>
                <w:lang w:val="en-GB" w:eastAsia="en-GB"/>
              </w:rPr>
            </w:pPr>
          </w:p>
        </w:tc>
        <w:tc>
          <w:tcPr>
            <w:tcW w:w="271" w:type="pct"/>
            <w:tcBorders>
              <w:top w:val="nil"/>
              <w:left w:val="nil"/>
              <w:bottom w:val="nil"/>
              <w:right w:val="nil"/>
            </w:tcBorders>
            <w:shd w:val="clear" w:color="auto" w:fill="auto"/>
            <w:noWrap/>
            <w:vAlign w:val="bottom"/>
            <w:hideMark/>
          </w:tcPr>
          <w:p w14:paraId="12573572" w14:textId="77777777" w:rsidR="008E0319" w:rsidRPr="00342ED2" w:rsidRDefault="008E0319" w:rsidP="008E0319">
            <w:pPr>
              <w:spacing w:after="0" w:line="240" w:lineRule="auto"/>
              <w:rPr>
                <w:rFonts w:eastAsia="Times New Roman" w:cstheme="minorHAnsi"/>
                <w:lang w:val="en-GB" w:eastAsia="en-GB"/>
              </w:rPr>
            </w:pPr>
          </w:p>
        </w:tc>
        <w:tc>
          <w:tcPr>
            <w:tcW w:w="319" w:type="pct"/>
            <w:tcBorders>
              <w:top w:val="nil"/>
              <w:left w:val="nil"/>
              <w:bottom w:val="nil"/>
              <w:right w:val="nil"/>
            </w:tcBorders>
            <w:shd w:val="clear" w:color="auto" w:fill="auto"/>
            <w:noWrap/>
            <w:vAlign w:val="bottom"/>
            <w:hideMark/>
          </w:tcPr>
          <w:p w14:paraId="36AA0193" w14:textId="77777777" w:rsidR="008E0319" w:rsidRPr="00342ED2" w:rsidRDefault="008E0319" w:rsidP="008E0319">
            <w:pPr>
              <w:spacing w:after="0" w:line="240" w:lineRule="auto"/>
              <w:rPr>
                <w:rFonts w:eastAsia="Times New Roman" w:cstheme="minorHAnsi"/>
                <w:lang w:val="en-GB" w:eastAsia="en-GB"/>
              </w:rPr>
            </w:pPr>
          </w:p>
        </w:tc>
        <w:tc>
          <w:tcPr>
            <w:tcW w:w="285" w:type="pct"/>
            <w:tcBorders>
              <w:top w:val="nil"/>
              <w:left w:val="nil"/>
              <w:bottom w:val="nil"/>
              <w:right w:val="nil"/>
            </w:tcBorders>
            <w:shd w:val="clear" w:color="auto" w:fill="auto"/>
            <w:noWrap/>
            <w:vAlign w:val="bottom"/>
            <w:hideMark/>
          </w:tcPr>
          <w:p w14:paraId="330B2FDB" w14:textId="77777777" w:rsidR="008E0319" w:rsidRPr="00342ED2" w:rsidRDefault="008E0319" w:rsidP="008E0319">
            <w:pPr>
              <w:spacing w:after="0" w:line="240" w:lineRule="auto"/>
              <w:rPr>
                <w:rFonts w:eastAsia="Times New Roman" w:cstheme="minorHAnsi"/>
                <w:lang w:val="en-GB" w:eastAsia="en-GB"/>
              </w:rPr>
            </w:pPr>
          </w:p>
        </w:tc>
        <w:tc>
          <w:tcPr>
            <w:tcW w:w="271" w:type="pct"/>
            <w:tcBorders>
              <w:top w:val="nil"/>
              <w:left w:val="nil"/>
              <w:bottom w:val="nil"/>
              <w:right w:val="nil"/>
            </w:tcBorders>
            <w:shd w:val="clear" w:color="auto" w:fill="auto"/>
            <w:noWrap/>
            <w:vAlign w:val="bottom"/>
            <w:hideMark/>
          </w:tcPr>
          <w:p w14:paraId="4F37BB06" w14:textId="77777777" w:rsidR="008E0319" w:rsidRPr="00342ED2" w:rsidRDefault="008E0319" w:rsidP="008E0319">
            <w:pPr>
              <w:spacing w:after="0" w:line="240" w:lineRule="auto"/>
              <w:rPr>
                <w:rFonts w:eastAsia="Times New Roman" w:cstheme="minorHAnsi"/>
                <w:lang w:val="en-GB" w:eastAsia="en-GB"/>
              </w:rPr>
            </w:pPr>
          </w:p>
        </w:tc>
        <w:tc>
          <w:tcPr>
            <w:tcW w:w="319" w:type="pct"/>
            <w:tcBorders>
              <w:top w:val="nil"/>
              <w:left w:val="nil"/>
              <w:bottom w:val="nil"/>
              <w:right w:val="nil"/>
            </w:tcBorders>
            <w:shd w:val="clear" w:color="auto" w:fill="auto"/>
            <w:noWrap/>
            <w:vAlign w:val="bottom"/>
            <w:hideMark/>
          </w:tcPr>
          <w:p w14:paraId="280EC68C" w14:textId="77777777" w:rsidR="008E0319" w:rsidRPr="00342ED2" w:rsidRDefault="008E0319" w:rsidP="008E0319">
            <w:pPr>
              <w:spacing w:after="0" w:line="240" w:lineRule="auto"/>
              <w:rPr>
                <w:rFonts w:eastAsia="Times New Roman" w:cstheme="minorHAnsi"/>
                <w:lang w:val="en-GB" w:eastAsia="en-GB"/>
              </w:rPr>
            </w:pPr>
          </w:p>
        </w:tc>
        <w:tc>
          <w:tcPr>
            <w:tcW w:w="285" w:type="pct"/>
            <w:tcBorders>
              <w:top w:val="nil"/>
              <w:left w:val="nil"/>
              <w:bottom w:val="nil"/>
              <w:right w:val="nil"/>
            </w:tcBorders>
            <w:shd w:val="clear" w:color="auto" w:fill="auto"/>
            <w:noWrap/>
            <w:vAlign w:val="bottom"/>
            <w:hideMark/>
          </w:tcPr>
          <w:p w14:paraId="59E3BBE1" w14:textId="77777777" w:rsidR="008E0319" w:rsidRPr="00342ED2" w:rsidRDefault="008E0319" w:rsidP="008E0319">
            <w:pPr>
              <w:spacing w:after="0" w:line="240" w:lineRule="auto"/>
              <w:rPr>
                <w:rFonts w:eastAsia="Times New Roman" w:cstheme="minorHAnsi"/>
                <w:lang w:val="en-GB" w:eastAsia="en-GB"/>
              </w:rPr>
            </w:pPr>
          </w:p>
        </w:tc>
        <w:tc>
          <w:tcPr>
            <w:tcW w:w="271" w:type="pct"/>
            <w:tcBorders>
              <w:top w:val="nil"/>
              <w:left w:val="nil"/>
              <w:bottom w:val="nil"/>
              <w:right w:val="nil"/>
            </w:tcBorders>
            <w:shd w:val="clear" w:color="auto" w:fill="auto"/>
            <w:noWrap/>
            <w:vAlign w:val="bottom"/>
            <w:hideMark/>
          </w:tcPr>
          <w:p w14:paraId="10AB8A79" w14:textId="77777777" w:rsidR="008E0319" w:rsidRPr="00342ED2" w:rsidRDefault="008E0319" w:rsidP="008E0319">
            <w:pPr>
              <w:spacing w:after="0" w:line="240" w:lineRule="auto"/>
              <w:rPr>
                <w:rFonts w:eastAsia="Times New Roman" w:cstheme="minorHAnsi"/>
                <w:lang w:val="en-GB" w:eastAsia="en-GB"/>
              </w:rPr>
            </w:pPr>
          </w:p>
        </w:tc>
        <w:tc>
          <w:tcPr>
            <w:tcW w:w="319" w:type="pct"/>
            <w:tcBorders>
              <w:top w:val="nil"/>
              <w:left w:val="nil"/>
              <w:bottom w:val="nil"/>
              <w:right w:val="nil"/>
            </w:tcBorders>
            <w:shd w:val="clear" w:color="auto" w:fill="auto"/>
            <w:noWrap/>
            <w:vAlign w:val="bottom"/>
            <w:hideMark/>
          </w:tcPr>
          <w:p w14:paraId="1FEBEE5E" w14:textId="77777777" w:rsidR="008E0319" w:rsidRPr="00342ED2" w:rsidRDefault="008E0319" w:rsidP="008E0319">
            <w:pPr>
              <w:spacing w:after="0" w:line="240" w:lineRule="auto"/>
              <w:rPr>
                <w:rFonts w:eastAsia="Times New Roman" w:cstheme="minorHAnsi"/>
                <w:lang w:val="en-GB" w:eastAsia="en-GB"/>
              </w:rPr>
            </w:pPr>
          </w:p>
        </w:tc>
        <w:tc>
          <w:tcPr>
            <w:tcW w:w="285" w:type="pct"/>
            <w:tcBorders>
              <w:top w:val="nil"/>
              <w:left w:val="nil"/>
              <w:bottom w:val="nil"/>
              <w:right w:val="nil"/>
            </w:tcBorders>
            <w:shd w:val="clear" w:color="auto" w:fill="auto"/>
            <w:noWrap/>
            <w:vAlign w:val="bottom"/>
            <w:hideMark/>
          </w:tcPr>
          <w:p w14:paraId="39245EA5" w14:textId="77777777" w:rsidR="008E0319" w:rsidRPr="00342ED2" w:rsidRDefault="008E0319" w:rsidP="008E0319">
            <w:pPr>
              <w:spacing w:after="0" w:line="240" w:lineRule="auto"/>
              <w:rPr>
                <w:rFonts w:eastAsia="Times New Roman" w:cstheme="minorHAnsi"/>
                <w:lang w:val="en-GB" w:eastAsia="en-GB"/>
              </w:rPr>
            </w:pPr>
          </w:p>
        </w:tc>
        <w:tc>
          <w:tcPr>
            <w:tcW w:w="271" w:type="pct"/>
            <w:tcBorders>
              <w:top w:val="nil"/>
              <w:left w:val="nil"/>
              <w:bottom w:val="nil"/>
              <w:right w:val="nil"/>
            </w:tcBorders>
            <w:shd w:val="clear" w:color="auto" w:fill="auto"/>
            <w:noWrap/>
            <w:vAlign w:val="bottom"/>
            <w:hideMark/>
          </w:tcPr>
          <w:p w14:paraId="434FB942" w14:textId="77777777" w:rsidR="008E0319" w:rsidRPr="00342ED2" w:rsidRDefault="008E0319" w:rsidP="008E0319">
            <w:pPr>
              <w:spacing w:after="0" w:line="240" w:lineRule="auto"/>
              <w:rPr>
                <w:rFonts w:eastAsia="Times New Roman" w:cstheme="minorHAnsi"/>
                <w:lang w:val="en-GB" w:eastAsia="en-GB"/>
              </w:rPr>
            </w:pPr>
          </w:p>
        </w:tc>
        <w:tc>
          <w:tcPr>
            <w:tcW w:w="319" w:type="pct"/>
            <w:tcBorders>
              <w:top w:val="nil"/>
              <w:left w:val="nil"/>
              <w:bottom w:val="nil"/>
              <w:right w:val="nil"/>
            </w:tcBorders>
            <w:shd w:val="clear" w:color="auto" w:fill="auto"/>
            <w:noWrap/>
            <w:vAlign w:val="bottom"/>
            <w:hideMark/>
          </w:tcPr>
          <w:p w14:paraId="6482E03B" w14:textId="77777777" w:rsidR="008E0319" w:rsidRPr="00342ED2" w:rsidRDefault="008E0319" w:rsidP="008E0319">
            <w:pPr>
              <w:spacing w:after="0" w:line="240" w:lineRule="auto"/>
              <w:rPr>
                <w:rFonts w:eastAsia="Times New Roman" w:cstheme="minorHAnsi"/>
                <w:lang w:val="en-GB" w:eastAsia="en-GB"/>
              </w:rPr>
            </w:pPr>
          </w:p>
        </w:tc>
        <w:tc>
          <w:tcPr>
            <w:tcW w:w="285" w:type="pct"/>
            <w:tcBorders>
              <w:top w:val="nil"/>
              <w:left w:val="nil"/>
              <w:bottom w:val="nil"/>
              <w:right w:val="nil"/>
            </w:tcBorders>
            <w:shd w:val="clear" w:color="auto" w:fill="auto"/>
            <w:noWrap/>
            <w:vAlign w:val="bottom"/>
            <w:hideMark/>
          </w:tcPr>
          <w:p w14:paraId="0BE12DAD" w14:textId="77777777" w:rsidR="008E0319" w:rsidRPr="00342ED2" w:rsidRDefault="008E0319" w:rsidP="008E0319">
            <w:pPr>
              <w:spacing w:after="0" w:line="240" w:lineRule="auto"/>
              <w:rPr>
                <w:rFonts w:eastAsia="Times New Roman" w:cstheme="minorHAnsi"/>
                <w:lang w:val="en-GB" w:eastAsia="en-GB"/>
              </w:rPr>
            </w:pPr>
          </w:p>
        </w:tc>
        <w:tc>
          <w:tcPr>
            <w:tcW w:w="271" w:type="pct"/>
            <w:tcBorders>
              <w:top w:val="nil"/>
              <w:left w:val="nil"/>
              <w:bottom w:val="nil"/>
              <w:right w:val="nil"/>
            </w:tcBorders>
            <w:shd w:val="clear" w:color="auto" w:fill="auto"/>
            <w:noWrap/>
            <w:vAlign w:val="bottom"/>
            <w:hideMark/>
          </w:tcPr>
          <w:p w14:paraId="58A1EB16" w14:textId="77777777" w:rsidR="008E0319" w:rsidRPr="00342ED2" w:rsidRDefault="008E0319" w:rsidP="008E0319">
            <w:pPr>
              <w:spacing w:after="0" w:line="240" w:lineRule="auto"/>
              <w:rPr>
                <w:rFonts w:eastAsia="Times New Roman" w:cstheme="minorHAnsi"/>
                <w:lang w:val="en-GB" w:eastAsia="en-GB"/>
              </w:rPr>
            </w:pPr>
          </w:p>
        </w:tc>
        <w:tc>
          <w:tcPr>
            <w:tcW w:w="271" w:type="pct"/>
            <w:tcBorders>
              <w:top w:val="nil"/>
              <w:left w:val="nil"/>
              <w:bottom w:val="nil"/>
              <w:right w:val="nil"/>
            </w:tcBorders>
            <w:shd w:val="clear" w:color="auto" w:fill="auto"/>
            <w:noWrap/>
            <w:vAlign w:val="bottom"/>
            <w:hideMark/>
          </w:tcPr>
          <w:p w14:paraId="56C48F65" w14:textId="77777777" w:rsidR="008E0319" w:rsidRPr="00342ED2" w:rsidRDefault="008E0319" w:rsidP="008E0319">
            <w:pPr>
              <w:spacing w:after="0" w:line="240" w:lineRule="auto"/>
              <w:rPr>
                <w:rFonts w:eastAsia="Times New Roman" w:cstheme="minorHAnsi"/>
                <w:lang w:val="en-GB" w:eastAsia="en-GB"/>
              </w:rPr>
            </w:pPr>
          </w:p>
        </w:tc>
      </w:tr>
      <w:tr w:rsidR="008E0319" w:rsidRPr="00342ED2" w14:paraId="58616859" w14:textId="77777777" w:rsidTr="00342ED2">
        <w:trPr>
          <w:trHeight w:val="315"/>
        </w:trPr>
        <w:tc>
          <w:tcPr>
            <w:tcW w:w="5000" w:type="pct"/>
            <w:gridSpan w:val="17"/>
            <w:tcBorders>
              <w:top w:val="single" w:sz="4" w:space="0" w:color="auto"/>
              <w:left w:val="single" w:sz="4" w:space="0" w:color="auto"/>
              <w:bottom w:val="single" w:sz="4" w:space="0" w:color="auto"/>
              <w:right w:val="single" w:sz="4" w:space="0" w:color="auto"/>
            </w:tcBorders>
            <w:shd w:val="clear" w:color="auto" w:fill="auto"/>
            <w:hideMark/>
          </w:tcPr>
          <w:p w14:paraId="0CE56BB3" w14:textId="77777777" w:rsidR="008E0319" w:rsidRPr="00342ED2" w:rsidRDefault="008E0319" w:rsidP="008E0319">
            <w:pPr>
              <w:spacing w:after="0" w:line="240" w:lineRule="auto"/>
              <w:rPr>
                <w:rFonts w:eastAsia="Times New Roman" w:cstheme="minorHAnsi"/>
                <w:color w:val="000000"/>
                <w:lang w:val="en-GB" w:eastAsia="en-GB"/>
              </w:rPr>
            </w:pPr>
            <w:r w:rsidRPr="00342ED2">
              <w:rPr>
                <w:rFonts w:eastAsia="Times New Roman" w:cstheme="minorHAnsi"/>
                <w:color w:val="000000"/>
                <w:lang w:val="en-GB" w:eastAsia="en-GB"/>
              </w:rPr>
              <w:t>1. Bidder is required to right size the resources deployment (L1 and L2) in order to meet the project timelines, SLA and Scope of the RFP</w:t>
            </w:r>
          </w:p>
        </w:tc>
      </w:tr>
    </w:tbl>
    <w:p w14:paraId="723B44FF" w14:textId="60BE6014" w:rsidR="000A1AD9" w:rsidRPr="00000F38" w:rsidRDefault="000A1AD9">
      <w:pPr>
        <w:rPr>
          <w:rFonts w:cstheme="minorHAnsi"/>
        </w:rPr>
      </w:pPr>
    </w:p>
    <w:p w14:paraId="0278CADE" w14:textId="77777777" w:rsidR="000A1AD9" w:rsidRPr="00000F38" w:rsidRDefault="000A1AD9">
      <w:pPr>
        <w:rPr>
          <w:rFonts w:cstheme="minorHAnsi"/>
        </w:rPr>
      </w:pPr>
      <w:r w:rsidRPr="00000F38">
        <w:rPr>
          <w:rFonts w:cstheme="minorHAnsi"/>
        </w:rPr>
        <w:br w:type="page"/>
      </w:r>
    </w:p>
    <w:tbl>
      <w:tblPr>
        <w:tblW w:w="5000" w:type="pct"/>
        <w:tblLook w:val="04A0" w:firstRow="1" w:lastRow="0" w:firstColumn="1" w:lastColumn="0" w:noHBand="0" w:noVBand="1"/>
      </w:tblPr>
      <w:tblGrid>
        <w:gridCol w:w="682"/>
        <w:gridCol w:w="2403"/>
        <w:gridCol w:w="1054"/>
        <w:gridCol w:w="850"/>
        <w:gridCol w:w="1055"/>
        <w:gridCol w:w="779"/>
        <w:gridCol w:w="1055"/>
        <w:gridCol w:w="782"/>
        <w:gridCol w:w="1055"/>
        <w:gridCol w:w="779"/>
        <w:gridCol w:w="1055"/>
        <w:gridCol w:w="782"/>
        <w:gridCol w:w="1627"/>
      </w:tblGrid>
      <w:tr w:rsidR="000A1AD9" w:rsidRPr="00000F38" w14:paraId="1ED9AF88" w14:textId="77777777" w:rsidTr="008E0319">
        <w:trPr>
          <w:trHeight w:val="300"/>
        </w:trPr>
        <w:tc>
          <w:tcPr>
            <w:tcW w:w="244" w:type="pct"/>
            <w:tcBorders>
              <w:top w:val="nil"/>
              <w:left w:val="nil"/>
              <w:bottom w:val="nil"/>
              <w:right w:val="nil"/>
            </w:tcBorders>
            <w:shd w:val="clear" w:color="auto" w:fill="auto"/>
            <w:noWrap/>
            <w:vAlign w:val="bottom"/>
            <w:hideMark/>
          </w:tcPr>
          <w:p w14:paraId="202FFC99" w14:textId="77777777" w:rsidR="000A1AD9" w:rsidRPr="00000F38" w:rsidRDefault="000A1AD9" w:rsidP="000A1AD9">
            <w:pPr>
              <w:spacing w:after="0" w:line="240" w:lineRule="auto"/>
              <w:rPr>
                <w:rFonts w:eastAsia="Times New Roman" w:cstheme="minorHAnsi"/>
                <w:b/>
                <w:lang w:val="en-GB" w:eastAsia="en-GB"/>
              </w:rPr>
            </w:pPr>
          </w:p>
        </w:tc>
        <w:tc>
          <w:tcPr>
            <w:tcW w:w="861" w:type="pct"/>
            <w:tcBorders>
              <w:top w:val="nil"/>
              <w:left w:val="nil"/>
              <w:bottom w:val="nil"/>
              <w:right w:val="nil"/>
            </w:tcBorders>
            <w:shd w:val="clear" w:color="auto" w:fill="auto"/>
            <w:noWrap/>
            <w:vAlign w:val="bottom"/>
            <w:hideMark/>
          </w:tcPr>
          <w:p w14:paraId="6BFA396B" w14:textId="23A01159" w:rsidR="000A1AD9" w:rsidRPr="00000F38" w:rsidRDefault="000A1AD9" w:rsidP="000A1AD9">
            <w:pPr>
              <w:spacing w:after="0" w:line="240" w:lineRule="auto"/>
              <w:jc w:val="center"/>
              <w:rPr>
                <w:rFonts w:eastAsia="Times New Roman" w:cstheme="minorHAnsi"/>
                <w:b/>
                <w:lang w:val="en-GB" w:eastAsia="en-GB"/>
              </w:rPr>
            </w:pPr>
            <w:r w:rsidRPr="00000F38">
              <w:rPr>
                <w:rFonts w:eastAsia="Times New Roman" w:cstheme="minorHAnsi"/>
                <w:b/>
                <w:lang w:val="en-GB" w:eastAsia="en-GB"/>
              </w:rPr>
              <w:t>Professional Services</w:t>
            </w:r>
          </w:p>
        </w:tc>
        <w:tc>
          <w:tcPr>
            <w:tcW w:w="378" w:type="pct"/>
            <w:tcBorders>
              <w:top w:val="nil"/>
              <w:left w:val="nil"/>
              <w:bottom w:val="nil"/>
              <w:right w:val="nil"/>
            </w:tcBorders>
            <w:shd w:val="clear" w:color="auto" w:fill="auto"/>
            <w:noWrap/>
            <w:vAlign w:val="bottom"/>
            <w:hideMark/>
          </w:tcPr>
          <w:p w14:paraId="7979C048" w14:textId="77777777" w:rsidR="000A1AD9" w:rsidRPr="00000F38" w:rsidRDefault="000A1AD9" w:rsidP="000A1AD9">
            <w:pPr>
              <w:spacing w:after="0" w:line="240" w:lineRule="auto"/>
              <w:rPr>
                <w:rFonts w:eastAsia="Times New Roman" w:cstheme="minorHAnsi"/>
                <w:lang w:val="en-GB" w:eastAsia="en-GB"/>
              </w:rPr>
            </w:pPr>
          </w:p>
        </w:tc>
        <w:tc>
          <w:tcPr>
            <w:tcW w:w="305" w:type="pct"/>
            <w:tcBorders>
              <w:top w:val="nil"/>
              <w:left w:val="nil"/>
              <w:bottom w:val="nil"/>
              <w:right w:val="nil"/>
            </w:tcBorders>
            <w:shd w:val="clear" w:color="auto" w:fill="auto"/>
            <w:noWrap/>
            <w:vAlign w:val="bottom"/>
            <w:hideMark/>
          </w:tcPr>
          <w:p w14:paraId="4ED27CDF" w14:textId="77777777" w:rsidR="000A1AD9" w:rsidRPr="00000F38" w:rsidRDefault="000A1AD9" w:rsidP="000A1AD9">
            <w:pPr>
              <w:spacing w:after="0" w:line="240" w:lineRule="auto"/>
              <w:rPr>
                <w:rFonts w:eastAsia="Times New Roman" w:cstheme="minorHAnsi"/>
                <w:lang w:val="en-GB" w:eastAsia="en-GB"/>
              </w:rPr>
            </w:pPr>
          </w:p>
        </w:tc>
        <w:tc>
          <w:tcPr>
            <w:tcW w:w="378" w:type="pct"/>
            <w:tcBorders>
              <w:top w:val="nil"/>
              <w:left w:val="nil"/>
              <w:bottom w:val="nil"/>
              <w:right w:val="nil"/>
            </w:tcBorders>
            <w:shd w:val="clear" w:color="auto" w:fill="auto"/>
            <w:noWrap/>
            <w:vAlign w:val="bottom"/>
            <w:hideMark/>
          </w:tcPr>
          <w:p w14:paraId="7C0D5472" w14:textId="77777777" w:rsidR="000A1AD9" w:rsidRPr="00000F38" w:rsidRDefault="000A1AD9" w:rsidP="000A1AD9">
            <w:pPr>
              <w:spacing w:after="0" w:line="240" w:lineRule="auto"/>
              <w:rPr>
                <w:rFonts w:eastAsia="Times New Roman" w:cstheme="minorHAnsi"/>
                <w:lang w:val="en-GB" w:eastAsia="en-GB"/>
              </w:rPr>
            </w:pPr>
          </w:p>
        </w:tc>
        <w:tc>
          <w:tcPr>
            <w:tcW w:w="279" w:type="pct"/>
            <w:tcBorders>
              <w:top w:val="nil"/>
              <w:left w:val="nil"/>
              <w:bottom w:val="nil"/>
              <w:right w:val="nil"/>
            </w:tcBorders>
            <w:shd w:val="clear" w:color="auto" w:fill="auto"/>
            <w:noWrap/>
            <w:vAlign w:val="bottom"/>
            <w:hideMark/>
          </w:tcPr>
          <w:p w14:paraId="266D86A9" w14:textId="77777777" w:rsidR="000A1AD9" w:rsidRPr="00000F38" w:rsidRDefault="000A1AD9" w:rsidP="000A1AD9">
            <w:pPr>
              <w:spacing w:after="0" w:line="240" w:lineRule="auto"/>
              <w:rPr>
                <w:rFonts w:eastAsia="Times New Roman" w:cstheme="minorHAnsi"/>
                <w:lang w:val="en-GB" w:eastAsia="en-GB"/>
              </w:rPr>
            </w:pPr>
          </w:p>
        </w:tc>
        <w:tc>
          <w:tcPr>
            <w:tcW w:w="378" w:type="pct"/>
            <w:tcBorders>
              <w:top w:val="nil"/>
              <w:left w:val="nil"/>
              <w:bottom w:val="nil"/>
              <w:right w:val="nil"/>
            </w:tcBorders>
            <w:shd w:val="clear" w:color="auto" w:fill="auto"/>
            <w:noWrap/>
            <w:vAlign w:val="bottom"/>
            <w:hideMark/>
          </w:tcPr>
          <w:p w14:paraId="52D3D4F0" w14:textId="77777777" w:rsidR="000A1AD9" w:rsidRPr="00000F38" w:rsidRDefault="000A1AD9" w:rsidP="000A1AD9">
            <w:pPr>
              <w:spacing w:after="0" w:line="240" w:lineRule="auto"/>
              <w:rPr>
                <w:rFonts w:eastAsia="Times New Roman" w:cstheme="minorHAnsi"/>
                <w:lang w:val="en-GB" w:eastAsia="en-GB"/>
              </w:rPr>
            </w:pPr>
          </w:p>
        </w:tc>
        <w:tc>
          <w:tcPr>
            <w:tcW w:w="280" w:type="pct"/>
            <w:tcBorders>
              <w:top w:val="nil"/>
              <w:left w:val="nil"/>
              <w:bottom w:val="nil"/>
              <w:right w:val="nil"/>
            </w:tcBorders>
            <w:shd w:val="clear" w:color="auto" w:fill="auto"/>
            <w:noWrap/>
            <w:vAlign w:val="bottom"/>
            <w:hideMark/>
          </w:tcPr>
          <w:p w14:paraId="239CE956" w14:textId="77777777" w:rsidR="000A1AD9" w:rsidRPr="00000F38" w:rsidRDefault="000A1AD9" w:rsidP="000A1AD9">
            <w:pPr>
              <w:spacing w:after="0" w:line="240" w:lineRule="auto"/>
              <w:rPr>
                <w:rFonts w:eastAsia="Times New Roman" w:cstheme="minorHAnsi"/>
                <w:lang w:val="en-GB" w:eastAsia="en-GB"/>
              </w:rPr>
            </w:pPr>
          </w:p>
        </w:tc>
        <w:tc>
          <w:tcPr>
            <w:tcW w:w="378" w:type="pct"/>
            <w:tcBorders>
              <w:top w:val="nil"/>
              <w:left w:val="nil"/>
              <w:bottom w:val="nil"/>
              <w:right w:val="nil"/>
            </w:tcBorders>
            <w:shd w:val="clear" w:color="auto" w:fill="auto"/>
            <w:noWrap/>
            <w:vAlign w:val="bottom"/>
            <w:hideMark/>
          </w:tcPr>
          <w:p w14:paraId="55B03C2B" w14:textId="77777777" w:rsidR="000A1AD9" w:rsidRPr="00000F38" w:rsidRDefault="000A1AD9" w:rsidP="000A1AD9">
            <w:pPr>
              <w:spacing w:after="0" w:line="240" w:lineRule="auto"/>
              <w:rPr>
                <w:rFonts w:eastAsia="Times New Roman" w:cstheme="minorHAnsi"/>
                <w:lang w:val="en-GB" w:eastAsia="en-GB"/>
              </w:rPr>
            </w:pPr>
          </w:p>
        </w:tc>
        <w:tc>
          <w:tcPr>
            <w:tcW w:w="279" w:type="pct"/>
            <w:tcBorders>
              <w:top w:val="nil"/>
              <w:left w:val="nil"/>
              <w:bottom w:val="nil"/>
              <w:right w:val="nil"/>
            </w:tcBorders>
            <w:shd w:val="clear" w:color="auto" w:fill="auto"/>
            <w:noWrap/>
            <w:vAlign w:val="bottom"/>
            <w:hideMark/>
          </w:tcPr>
          <w:p w14:paraId="650112BD" w14:textId="77777777" w:rsidR="000A1AD9" w:rsidRPr="00000F38" w:rsidRDefault="000A1AD9" w:rsidP="000A1AD9">
            <w:pPr>
              <w:spacing w:after="0" w:line="240" w:lineRule="auto"/>
              <w:rPr>
                <w:rFonts w:eastAsia="Times New Roman" w:cstheme="minorHAnsi"/>
                <w:lang w:val="en-GB" w:eastAsia="en-GB"/>
              </w:rPr>
            </w:pPr>
          </w:p>
        </w:tc>
        <w:tc>
          <w:tcPr>
            <w:tcW w:w="378" w:type="pct"/>
            <w:tcBorders>
              <w:top w:val="nil"/>
              <w:left w:val="nil"/>
              <w:bottom w:val="nil"/>
              <w:right w:val="nil"/>
            </w:tcBorders>
            <w:shd w:val="clear" w:color="auto" w:fill="auto"/>
            <w:noWrap/>
            <w:vAlign w:val="bottom"/>
            <w:hideMark/>
          </w:tcPr>
          <w:p w14:paraId="7538C3AF" w14:textId="77777777" w:rsidR="000A1AD9" w:rsidRPr="00000F38" w:rsidRDefault="000A1AD9" w:rsidP="000A1AD9">
            <w:pPr>
              <w:spacing w:after="0" w:line="240" w:lineRule="auto"/>
              <w:rPr>
                <w:rFonts w:eastAsia="Times New Roman" w:cstheme="minorHAnsi"/>
                <w:lang w:val="en-GB" w:eastAsia="en-GB"/>
              </w:rPr>
            </w:pPr>
          </w:p>
        </w:tc>
        <w:tc>
          <w:tcPr>
            <w:tcW w:w="280" w:type="pct"/>
            <w:tcBorders>
              <w:top w:val="nil"/>
              <w:left w:val="nil"/>
              <w:bottom w:val="nil"/>
              <w:right w:val="nil"/>
            </w:tcBorders>
            <w:shd w:val="clear" w:color="auto" w:fill="auto"/>
            <w:noWrap/>
            <w:vAlign w:val="bottom"/>
            <w:hideMark/>
          </w:tcPr>
          <w:p w14:paraId="1DB8076A" w14:textId="77777777" w:rsidR="000A1AD9" w:rsidRPr="00000F38" w:rsidRDefault="000A1AD9" w:rsidP="000A1AD9">
            <w:pPr>
              <w:spacing w:after="0" w:line="240" w:lineRule="auto"/>
              <w:rPr>
                <w:rFonts w:eastAsia="Times New Roman" w:cstheme="minorHAnsi"/>
                <w:lang w:val="en-GB" w:eastAsia="en-GB"/>
              </w:rPr>
            </w:pPr>
          </w:p>
        </w:tc>
        <w:tc>
          <w:tcPr>
            <w:tcW w:w="583" w:type="pct"/>
            <w:tcBorders>
              <w:top w:val="nil"/>
              <w:left w:val="nil"/>
              <w:bottom w:val="nil"/>
              <w:right w:val="nil"/>
            </w:tcBorders>
            <w:shd w:val="clear" w:color="auto" w:fill="auto"/>
            <w:noWrap/>
            <w:vAlign w:val="bottom"/>
            <w:hideMark/>
          </w:tcPr>
          <w:p w14:paraId="38012448" w14:textId="77777777" w:rsidR="000A1AD9" w:rsidRPr="00000F38" w:rsidRDefault="000A1AD9" w:rsidP="000A1AD9">
            <w:pPr>
              <w:spacing w:after="0" w:line="240" w:lineRule="auto"/>
              <w:rPr>
                <w:rFonts w:eastAsia="Times New Roman" w:cstheme="minorHAnsi"/>
                <w:lang w:val="en-GB" w:eastAsia="en-GB"/>
              </w:rPr>
            </w:pPr>
          </w:p>
        </w:tc>
      </w:tr>
      <w:tr w:rsidR="000A1AD9" w:rsidRPr="00000F38" w14:paraId="2EAAA4AB" w14:textId="77777777" w:rsidTr="008E0319">
        <w:trPr>
          <w:trHeight w:val="300"/>
        </w:trPr>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FB1ED"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756" w:type="pct"/>
            <w:gridSpan w:val="12"/>
            <w:tcBorders>
              <w:top w:val="single" w:sz="4" w:space="0" w:color="auto"/>
              <w:left w:val="nil"/>
              <w:bottom w:val="single" w:sz="4" w:space="0" w:color="auto"/>
              <w:right w:val="single" w:sz="4" w:space="0" w:color="auto"/>
            </w:tcBorders>
            <w:shd w:val="clear" w:color="000000" w:fill="D9D9D9"/>
            <w:noWrap/>
            <w:vAlign w:val="bottom"/>
            <w:hideMark/>
          </w:tcPr>
          <w:p w14:paraId="60C98971"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Professional Services Cost over the period of 5 Years</w:t>
            </w:r>
          </w:p>
        </w:tc>
      </w:tr>
      <w:tr w:rsidR="000A1AD9" w:rsidRPr="00000F38" w14:paraId="1873CD88" w14:textId="77777777" w:rsidTr="008E0319">
        <w:trPr>
          <w:trHeight w:val="300"/>
        </w:trPr>
        <w:tc>
          <w:tcPr>
            <w:tcW w:w="244" w:type="pct"/>
            <w:tcBorders>
              <w:top w:val="nil"/>
              <w:left w:val="single" w:sz="4" w:space="0" w:color="auto"/>
              <w:bottom w:val="single" w:sz="4" w:space="0" w:color="auto"/>
              <w:right w:val="single" w:sz="4" w:space="0" w:color="auto"/>
            </w:tcBorders>
            <w:shd w:val="clear" w:color="auto" w:fill="auto"/>
            <w:noWrap/>
            <w:vAlign w:val="bottom"/>
            <w:hideMark/>
          </w:tcPr>
          <w:p w14:paraId="637C0E2F"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861" w:type="pct"/>
            <w:tcBorders>
              <w:top w:val="nil"/>
              <w:left w:val="nil"/>
              <w:bottom w:val="single" w:sz="4" w:space="0" w:color="auto"/>
              <w:right w:val="single" w:sz="4" w:space="0" w:color="auto"/>
            </w:tcBorders>
            <w:shd w:val="clear" w:color="000000" w:fill="44546A"/>
            <w:noWrap/>
            <w:vAlign w:val="bottom"/>
            <w:hideMark/>
          </w:tcPr>
          <w:p w14:paraId="293907A7" w14:textId="77777777" w:rsidR="000A1AD9" w:rsidRPr="00000F38" w:rsidRDefault="000A1AD9" w:rsidP="000A1AD9">
            <w:pPr>
              <w:spacing w:after="0" w:line="240" w:lineRule="auto"/>
              <w:rPr>
                <w:rFonts w:eastAsia="Times New Roman" w:cstheme="minorHAnsi"/>
                <w:b/>
                <w:bCs/>
                <w:color w:val="FFFFFF"/>
                <w:lang w:val="en-GB" w:eastAsia="en-GB"/>
              </w:rPr>
            </w:pPr>
            <w:r w:rsidRPr="00000F38">
              <w:rPr>
                <w:rFonts w:eastAsia="Times New Roman" w:cstheme="minorHAnsi"/>
                <w:b/>
                <w:bCs/>
                <w:color w:val="FFFFFF"/>
                <w:lang w:val="en-GB" w:eastAsia="en-GB"/>
              </w:rPr>
              <w:t> </w:t>
            </w:r>
          </w:p>
        </w:tc>
        <w:tc>
          <w:tcPr>
            <w:tcW w:w="683" w:type="pct"/>
            <w:gridSpan w:val="2"/>
            <w:tcBorders>
              <w:top w:val="single" w:sz="4" w:space="0" w:color="auto"/>
              <w:left w:val="single" w:sz="4" w:space="0" w:color="auto"/>
              <w:bottom w:val="single" w:sz="4" w:space="0" w:color="auto"/>
              <w:right w:val="single" w:sz="4" w:space="0" w:color="000000"/>
            </w:tcBorders>
            <w:shd w:val="clear" w:color="000000" w:fill="44546A"/>
            <w:noWrap/>
            <w:vAlign w:val="center"/>
            <w:hideMark/>
          </w:tcPr>
          <w:p w14:paraId="0BE75EB3"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Year 1</w:t>
            </w:r>
          </w:p>
        </w:tc>
        <w:tc>
          <w:tcPr>
            <w:tcW w:w="657" w:type="pct"/>
            <w:gridSpan w:val="2"/>
            <w:tcBorders>
              <w:top w:val="single" w:sz="4" w:space="0" w:color="auto"/>
              <w:left w:val="nil"/>
              <w:bottom w:val="single" w:sz="4" w:space="0" w:color="auto"/>
              <w:right w:val="single" w:sz="4" w:space="0" w:color="000000"/>
            </w:tcBorders>
            <w:shd w:val="clear" w:color="000000" w:fill="44546A"/>
            <w:noWrap/>
            <w:vAlign w:val="center"/>
            <w:hideMark/>
          </w:tcPr>
          <w:p w14:paraId="4628A203"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Year 2</w:t>
            </w:r>
          </w:p>
        </w:tc>
        <w:tc>
          <w:tcPr>
            <w:tcW w:w="658" w:type="pct"/>
            <w:gridSpan w:val="2"/>
            <w:tcBorders>
              <w:top w:val="single" w:sz="4" w:space="0" w:color="auto"/>
              <w:left w:val="nil"/>
              <w:bottom w:val="single" w:sz="4" w:space="0" w:color="auto"/>
              <w:right w:val="single" w:sz="4" w:space="0" w:color="000000"/>
            </w:tcBorders>
            <w:shd w:val="clear" w:color="000000" w:fill="44546A"/>
            <w:noWrap/>
            <w:vAlign w:val="center"/>
            <w:hideMark/>
          </w:tcPr>
          <w:p w14:paraId="1FDC34A5"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Year 3</w:t>
            </w:r>
          </w:p>
        </w:tc>
        <w:tc>
          <w:tcPr>
            <w:tcW w:w="657" w:type="pct"/>
            <w:gridSpan w:val="2"/>
            <w:tcBorders>
              <w:top w:val="single" w:sz="4" w:space="0" w:color="auto"/>
              <w:left w:val="nil"/>
              <w:bottom w:val="single" w:sz="4" w:space="0" w:color="auto"/>
              <w:right w:val="single" w:sz="4" w:space="0" w:color="000000"/>
            </w:tcBorders>
            <w:shd w:val="clear" w:color="000000" w:fill="44546A"/>
            <w:noWrap/>
            <w:vAlign w:val="center"/>
            <w:hideMark/>
          </w:tcPr>
          <w:p w14:paraId="5DDC5277"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Year 4</w:t>
            </w:r>
          </w:p>
        </w:tc>
        <w:tc>
          <w:tcPr>
            <w:tcW w:w="658" w:type="pct"/>
            <w:gridSpan w:val="2"/>
            <w:tcBorders>
              <w:top w:val="single" w:sz="4" w:space="0" w:color="auto"/>
              <w:left w:val="nil"/>
              <w:bottom w:val="single" w:sz="4" w:space="0" w:color="auto"/>
              <w:right w:val="single" w:sz="4" w:space="0" w:color="000000"/>
            </w:tcBorders>
            <w:shd w:val="clear" w:color="000000" w:fill="44546A"/>
            <w:noWrap/>
            <w:vAlign w:val="center"/>
            <w:hideMark/>
          </w:tcPr>
          <w:p w14:paraId="685485BB"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Year 5</w:t>
            </w:r>
          </w:p>
        </w:tc>
        <w:tc>
          <w:tcPr>
            <w:tcW w:w="583" w:type="pct"/>
            <w:vMerge w:val="restart"/>
            <w:tcBorders>
              <w:top w:val="nil"/>
              <w:left w:val="single" w:sz="4" w:space="0" w:color="auto"/>
              <w:bottom w:val="single" w:sz="4" w:space="0" w:color="000000"/>
              <w:right w:val="single" w:sz="4" w:space="0" w:color="auto"/>
            </w:tcBorders>
            <w:shd w:val="clear" w:color="000000" w:fill="44546A"/>
            <w:noWrap/>
            <w:vAlign w:val="center"/>
            <w:hideMark/>
          </w:tcPr>
          <w:p w14:paraId="0D9B435C"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Total</w:t>
            </w:r>
          </w:p>
        </w:tc>
      </w:tr>
      <w:tr w:rsidR="000A1AD9" w:rsidRPr="00000F38" w14:paraId="401145C4" w14:textId="77777777" w:rsidTr="008E0319">
        <w:trPr>
          <w:trHeight w:val="900"/>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2DA09B38"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Sl.No</w:t>
            </w:r>
          </w:p>
        </w:tc>
        <w:tc>
          <w:tcPr>
            <w:tcW w:w="861" w:type="pct"/>
            <w:tcBorders>
              <w:top w:val="nil"/>
              <w:left w:val="nil"/>
              <w:bottom w:val="single" w:sz="4" w:space="0" w:color="auto"/>
              <w:right w:val="single" w:sz="4" w:space="0" w:color="auto"/>
            </w:tcBorders>
            <w:shd w:val="clear" w:color="000000" w:fill="44546A"/>
            <w:noWrap/>
            <w:vAlign w:val="bottom"/>
            <w:hideMark/>
          </w:tcPr>
          <w:p w14:paraId="056F91C2" w14:textId="77777777" w:rsidR="000A1AD9" w:rsidRPr="00000F38" w:rsidRDefault="000A1AD9" w:rsidP="000A1AD9">
            <w:pPr>
              <w:spacing w:after="0" w:line="240" w:lineRule="auto"/>
              <w:rPr>
                <w:rFonts w:eastAsia="Times New Roman" w:cstheme="minorHAnsi"/>
                <w:b/>
                <w:bCs/>
                <w:color w:val="FFFFFF"/>
                <w:lang w:val="en-GB" w:eastAsia="en-GB"/>
              </w:rPr>
            </w:pPr>
            <w:r w:rsidRPr="00000F38">
              <w:rPr>
                <w:rFonts w:eastAsia="Times New Roman" w:cstheme="minorHAnsi"/>
                <w:b/>
                <w:bCs/>
                <w:color w:val="FFFFFF"/>
                <w:lang w:val="en-GB" w:eastAsia="en-GB"/>
              </w:rPr>
              <w:t> </w:t>
            </w:r>
          </w:p>
        </w:tc>
        <w:tc>
          <w:tcPr>
            <w:tcW w:w="378" w:type="pct"/>
            <w:tcBorders>
              <w:top w:val="single" w:sz="4" w:space="0" w:color="auto"/>
              <w:left w:val="nil"/>
              <w:bottom w:val="single" w:sz="4" w:space="0" w:color="auto"/>
              <w:right w:val="single" w:sz="4" w:space="0" w:color="auto"/>
            </w:tcBorders>
            <w:shd w:val="clear" w:color="000000" w:fill="44546A"/>
            <w:vAlign w:val="center"/>
            <w:hideMark/>
          </w:tcPr>
          <w:p w14:paraId="24376DDC"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No. of Mandays (M) / Hours (H)</w:t>
            </w:r>
          </w:p>
        </w:tc>
        <w:tc>
          <w:tcPr>
            <w:tcW w:w="305" w:type="pct"/>
            <w:tcBorders>
              <w:top w:val="single" w:sz="4" w:space="0" w:color="auto"/>
              <w:left w:val="nil"/>
              <w:bottom w:val="single" w:sz="4" w:space="0" w:color="auto"/>
              <w:right w:val="single" w:sz="4" w:space="0" w:color="auto"/>
            </w:tcBorders>
            <w:shd w:val="clear" w:color="000000" w:fill="44546A"/>
            <w:noWrap/>
            <w:vAlign w:val="center"/>
            <w:hideMark/>
          </w:tcPr>
          <w:p w14:paraId="7D7E551A"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 xml:space="preserve">Cost </w:t>
            </w:r>
          </w:p>
        </w:tc>
        <w:tc>
          <w:tcPr>
            <w:tcW w:w="378" w:type="pct"/>
            <w:tcBorders>
              <w:top w:val="single" w:sz="4" w:space="0" w:color="auto"/>
              <w:left w:val="nil"/>
              <w:bottom w:val="single" w:sz="4" w:space="0" w:color="auto"/>
              <w:right w:val="single" w:sz="4" w:space="0" w:color="auto"/>
            </w:tcBorders>
            <w:shd w:val="clear" w:color="000000" w:fill="44546A"/>
            <w:vAlign w:val="center"/>
            <w:hideMark/>
          </w:tcPr>
          <w:p w14:paraId="7293D1E2"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No. of Mandays</w:t>
            </w:r>
          </w:p>
        </w:tc>
        <w:tc>
          <w:tcPr>
            <w:tcW w:w="279" w:type="pct"/>
            <w:tcBorders>
              <w:top w:val="single" w:sz="4" w:space="0" w:color="auto"/>
              <w:left w:val="nil"/>
              <w:bottom w:val="single" w:sz="4" w:space="0" w:color="auto"/>
              <w:right w:val="single" w:sz="4" w:space="0" w:color="auto"/>
            </w:tcBorders>
            <w:shd w:val="clear" w:color="000000" w:fill="44546A"/>
            <w:noWrap/>
            <w:vAlign w:val="center"/>
            <w:hideMark/>
          </w:tcPr>
          <w:p w14:paraId="2BE7CCA7"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 xml:space="preserve">Cost </w:t>
            </w:r>
          </w:p>
        </w:tc>
        <w:tc>
          <w:tcPr>
            <w:tcW w:w="378" w:type="pct"/>
            <w:tcBorders>
              <w:top w:val="single" w:sz="4" w:space="0" w:color="auto"/>
              <w:left w:val="nil"/>
              <w:bottom w:val="single" w:sz="4" w:space="0" w:color="auto"/>
              <w:right w:val="single" w:sz="4" w:space="0" w:color="auto"/>
            </w:tcBorders>
            <w:shd w:val="clear" w:color="000000" w:fill="44546A"/>
            <w:vAlign w:val="center"/>
            <w:hideMark/>
          </w:tcPr>
          <w:p w14:paraId="76A2FEC0"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No. of Mandays</w:t>
            </w:r>
          </w:p>
        </w:tc>
        <w:tc>
          <w:tcPr>
            <w:tcW w:w="280" w:type="pct"/>
            <w:tcBorders>
              <w:top w:val="single" w:sz="4" w:space="0" w:color="auto"/>
              <w:left w:val="nil"/>
              <w:bottom w:val="single" w:sz="4" w:space="0" w:color="auto"/>
              <w:right w:val="single" w:sz="4" w:space="0" w:color="auto"/>
            </w:tcBorders>
            <w:shd w:val="clear" w:color="000000" w:fill="44546A"/>
            <w:noWrap/>
            <w:vAlign w:val="center"/>
            <w:hideMark/>
          </w:tcPr>
          <w:p w14:paraId="66141504"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 xml:space="preserve">Cost </w:t>
            </w:r>
          </w:p>
        </w:tc>
        <w:tc>
          <w:tcPr>
            <w:tcW w:w="378" w:type="pct"/>
            <w:tcBorders>
              <w:top w:val="single" w:sz="4" w:space="0" w:color="auto"/>
              <w:left w:val="nil"/>
              <w:bottom w:val="single" w:sz="4" w:space="0" w:color="auto"/>
              <w:right w:val="single" w:sz="4" w:space="0" w:color="auto"/>
            </w:tcBorders>
            <w:shd w:val="clear" w:color="000000" w:fill="44546A"/>
            <w:vAlign w:val="center"/>
            <w:hideMark/>
          </w:tcPr>
          <w:p w14:paraId="2B7731AA"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No. of Mandays</w:t>
            </w:r>
          </w:p>
        </w:tc>
        <w:tc>
          <w:tcPr>
            <w:tcW w:w="279" w:type="pct"/>
            <w:tcBorders>
              <w:top w:val="single" w:sz="4" w:space="0" w:color="auto"/>
              <w:left w:val="nil"/>
              <w:bottom w:val="single" w:sz="4" w:space="0" w:color="auto"/>
              <w:right w:val="single" w:sz="4" w:space="0" w:color="auto"/>
            </w:tcBorders>
            <w:shd w:val="clear" w:color="000000" w:fill="44546A"/>
            <w:noWrap/>
            <w:vAlign w:val="center"/>
            <w:hideMark/>
          </w:tcPr>
          <w:p w14:paraId="16B9203A"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 xml:space="preserve">Cost </w:t>
            </w:r>
          </w:p>
        </w:tc>
        <w:tc>
          <w:tcPr>
            <w:tcW w:w="378" w:type="pct"/>
            <w:tcBorders>
              <w:top w:val="single" w:sz="4" w:space="0" w:color="auto"/>
              <w:left w:val="nil"/>
              <w:bottom w:val="single" w:sz="4" w:space="0" w:color="auto"/>
              <w:right w:val="single" w:sz="4" w:space="0" w:color="auto"/>
            </w:tcBorders>
            <w:shd w:val="clear" w:color="000000" w:fill="44546A"/>
            <w:vAlign w:val="center"/>
            <w:hideMark/>
          </w:tcPr>
          <w:p w14:paraId="5715FFE6"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No. of Mandays</w:t>
            </w:r>
          </w:p>
        </w:tc>
        <w:tc>
          <w:tcPr>
            <w:tcW w:w="280" w:type="pct"/>
            <w:tcBorders>
              <w:top w:val="single" w:sz="4" w:space="0" w:color="auto"/>
              <w:left w:val="nil"/>
              <w:bottom w:val="single" w:sz="4" w:space="0" w:color="auto"/>
              <w:right w:val="single" w:sz="4" w:space="0" w:color="auto"/>
            </w:tcBorders>
            <w:shd w:val="clear" w:color="000000" w:fill="44546A"/>
            <w:noWrap/>
            <w:vAlign w:val="center"/>
            <w:hideMark/>
          </w:tcPr>
          <w:p w14:paraId="0207088E"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 xml:space="preserve">Cost </w:t>
            </w:r>
          </w:p>
        </w:tc>
        <w:tc>
          <w:tcPr>
            <w:tcW w:w="583" w:type="pct"/>
            <w:vMerge/>
            <w:tcBorders>
              <w:top w:val="nil"/>
              <w:left w:val="single" w:sz="4" w:space="0" w:color="auto"/>
              <w:bottom w:val="single" w:sz="4" w:space="0" w:color="000000"/>
              <w:right w:val="single" w:sz="4" w:space="0" w:color="auto"/>
            </w:tcBorders>
            <w:vAlign w:val="center"/>
            <w:hideMark/>
          </w:tcPr>
          <w:p w14:paraId="62DFD593" w14:textId="77777777" w:rsidR="000A1AD9" w:rsidRPr="00000F38" w:rsidRDefault="000A1AD9" w:rsidP="000A1AD9">
            <w:pPr>
              <w:spacing w:after="0" w:line="240" w:lineRule="auto"/>
              <w:rPr>
                <w:rFonts w:eastAsia="Times New Roman" w:cstheme="minorHAnsi"/>
                <w:b/>
                <w:bCs/>
                <w:color w:val="FFFFFF"/>
                <w:lang w:val="en-GB" w:eastAsia="en-GB"/>
              </w:rPr>
            </w:pPr>
          </w:p>
        </w:tc>
      </w:tr>
      <w:tr w:rsidR="000A1AD9" w:rsidRPr="00000F38" w14:paraId="586B80E6" w14:textId="77777777" w:rsidTr="008E0319">
        <w:trPr>
          <w:trHeight w:val="300"/>
        </w:trPr>
        <w:tc>
          <w:tcPr>
            <w:tcW w:w="244" w:type="pct"/>
            <w:tcBorders>
              <w:top w:val="nil"/>
              <w:left w:val="single" w:sz="4" w:space="0" w:color="auto"/>
              <w:bottom w:val="single" w:sz="4" w:space="0" w:color="auto"/>
              <w:right w:val="single" w:sz="4" w:space="0" w:color="auto"/>
            </w:tcBorders>
            <w:shd w:val="clear" w:color="auto" w:fill="auto"/>
            <w:noWrap/>
            <w:vAlign w:val="bottom"/>
            <w:hideMark/>
          </w:tcPr>
          <w:p w14:paraId="71AE471E"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861" w:type="pct"/>
            <w:tcBorders>
              <w:top w:val="nil"/>
              <w:left w:val="nil"/>
              <w:bottom w:val="single" w:sz="4" w:space="0" w:color="auto"/>
              <w:right w:val="single" w:sz="4" w:space="0" w:color="auto"/>
            </w:tcBorders>
            <w:shd w:val="clear" w:color="auto" w:fill="auto"/>
            <w:vAlign w:val="bottom"/>
            <w:hideMark/>
          </w:tcPr>
          <w:p w14:paraId="45EB3EB6"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pct"/>
            <w:tcBorders>
              <w:top w:val="nil"/>
              <w:left w:val="nil"/>
              <w:bottom w:val="single" w:sz="4" w:space="0" w:color="auto"/>
              <w:right w:val="single" w:sz="4" w:space="0" w:color="auto"/>
            </w:tcBorders>
            <w:shd w:val="clear" w:color="auto" w:fill="auto"/>
            <w:noWrap/>
            <w:vAlign w:val="bottom"/>
            <w:hideMark/>
          </w:tcPr>
          <w:p w14:paraId="6CD1ACD9"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5" w:type="pct"/>
            <w:tcBorders>
              <w:top w:val="nil"/>
              <w:left w:val="nil"/>
              <w:bottom w:val="single" w:sz="4" w:space="0" w:color="auto"/>
              <w:right w:val="single" w:sz="4" w:space="0" w:color="auto"/>
            </w:tcBorders>
            <w:shd w:val="clear" w:color="auto" w:fill="auto"/>
            <w:noWrap/>
            <w:vAlign w:val="bottom"/>
            <w:hideMark/>
          </w:tcPr>
          <w:p w14:paraId="42E0EDC7"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pct"/>
            <w:tcBorders>
              <w:top w:val="nil"/>
              <w:left w:val="nil"/>
              <w:bottom w:val="single" w:sz="4" w:space="0" w:color="auto"/>
              <w:right w:val="single" w:sz="4" w:space="0" w:color="auto"/>
            </w:tcBorders>
            <w:shd w:val="clear" w:color="auto" w:fill="auto"/>
            <w:noWrap/>
            <w:vAlign w:val="bottom"/>
            <w:hideMark/>
          </w:tcPr>
          <w:p w14:paraId="4A0EC954"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79" w:type="pct"/>
            <w:tcBorders>
              <w:top w:val="nil"/>
              <w:left w:val="nil"/>
              <w:bottom w:val="single" w:sz="4" w:space="0" w:color="auto"/>
              <w:right w:val="single" w:sz="4" w:space="0" w:color="auto"/>
            </w:tcBorders>
            <w:shd w:val="clear" w:color="auto" w:fill="auto"/>
            <w:noWrap/>
            <w:vAlign w:val="bottom"/>
            <w:hideMark/>
          </w:tcPr>
          <w:p w14:paraId="344E73C8"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pct"/>
            <w:tcBorders>
              <w:top w:val="nil"/>
              <w:left w:val="nil"/>
              <w:bottom w:val="single" w:sz="4" w:space="0" w:color="auto"/>
              <w:right w:val="single" w:sz="4" w:space="0" w:color="auto"/>
            </w:tcBorders>
            <w:shd w:val="clear" w:color="auto" w:fill="auto"/>
            <w:noWrap/>
            <w:vAlign w:val="bottom"/>
            <w:hideMark/>
          </w:tcPr>
          <w:p w14:paraId="40BC9872"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80" w:type="pct"/>
            <w:tcBorders>
              <w:top w:val="nil"/>
              <w:left w:val="nil"/>
              <w:bottom w:val="single" w:sz="4" w:space="0" w:color="auto"/>
              <w:right w:val="single" w:sz="4" w:space="0" w:color="auto"/>
            </w:tcBorders>
            <w:shd w:val="clear" w:color="auto" w:fill="auto"/>
            <w:noWrap/>
            <w:vAlign w:val="bottom"/>
            <w:hideMark/>
          </w:tcPr>
          <w:p w14:paraId="1E31309F"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pct"/>
            <w:tcBorders>
              <w:top w:val="nil"/>
              <w:left w:val="nil"/>
              <w:bottom w:val="single" w:sz="4" w:space="0" w:color="auto"/>
              <w:right w:val="single" w:sz="4" w:space="0" w:color="auto"/>
            </w:tcBorders>
            <w:shd w:val="clear" w:color="auto" w:fill="auto"/>
            <w:noWrap/>
            <w:vAlign w:val="bottom"/>
            <w:hideMark/>
          </w:tcPr>
          <w:p w14:paraId="60230A1E"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79" w:type="pct"/>
            <w:tcBorders>
              <w:top w:val="nil"/>
              <w:left w:val="nil"/>
              <w:bottom w:val="single" w:sz="4" w:space="0" w:color="auto"/>
              <w:right w:val="single" w:sz="4" w:space="0" w:color="auto"/>
            </w:tcBorders>
            <w:shd w:val="clear" w:color="auto" w:fill="auto"/>
            <w:noWrap/>
            <w:vAlign w:val="bottom"/>
            <w:hideMark/>
          </w:tcPr>
          <w:p w14:paraId="3B48103E"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pct"/>
            <w:tcBorders>
              <w:top w:val="nil"/>
              <w:left w:val="nil"/>
              <w:bottom w:val="single" w:sz="4" w:space="0" w:color="auto"/>
              <w:right w:val="single" w:sz="4" w:space="0" w:color="auto"/>
            </w:tcBorders>
            <w:shd w:val="clear" w:color="auto" w:fill="auto"/>
            <w:noWrap/>
            <w:vAlign w:val="bottom"/>
            <w:hideMark/>
          </w:tcPr>
          <w:p w14:paraId="56A3F137"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80" w:type="pct"/>
            <w:tcBorders>
              <w:top w:val="nil"/>
              <w:left w:val="nil"/>
              <w:bottom w:val="single" w:sz="4" w:space="0" w:color="auto"/>
              <w:right w:val="single" w:sz="4" w:space="0" w:color="auto"/>
            </w:tcBorders>
            <w:shd w:val="clear" w:color="auto" w:fill="auto"/>
            <w:noWrap/>
            <w:vAlign w:val="bottom"/>
            <w:hideMark/>
          </w:tcPr>
          <w:p w14:paraId="6A69AAE3"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583" w:type="pct"/>
            <w:tcBorders>
              <w:top w:val="nil"/>
              <w:left w:val="nil"/>
              <w:bottom w:val="single" w:sz="4" w:space="0" w:color="auto"/>
              <w:right w:val="single" w:sz="4" w:space="0" w:color="auto"/>
            </w:tcBorders>
            <w:shd w:val="clear" w:color="auto" w:fill="auto"/>
            <w:noWrap/>
            <w:vAlign w:val="bottom"/>
            <w:hideMark/>
          </w:tcPr>
          <w:p w14:paraId="72CDB37C"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r>
      <w:tr w:rsidR="000A1AD9" w:rsidRPr="00000F38" w14:paraId="27FCF0DB" w14:textId="77777777" w:rsidTr="008E0319">
        <w:trPr>
          <w:trHeight w:val="300"/>
        </w:trPr>
        <w:tc>
          <w:tcPr>
            <w:tcW w:w="244" w:type="pct"/>
            <w:tcBorders>
              <w:top w:val="nil"/>
              <w:left w:val="single" w:sz="4" w:space="0" w:color="auto"/>
              <w:bottom w:val="single" w:sz="4" w:space="0" w:color="auto"/>
              <w:right w:val="single" w:sz="4" w:space="0" w:color="auto"/>
            </w:tcBorders>
            <w:shd w:val="clear" w:color="auto" w:fill="auto"/>
            <w:noWrap/>
            <w:vAlign w:val="bottom"/>
            <w:hideMark/>
          </w:tcPr>
          <w:p w14:paraId="2F3CE447"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1</w:t>
            </w:r>
          </w:p>
        </w:tc>
        <w:tc>
          <w:tcPr>
            <w:tcW w:w="861" w:type="pct"/>
            <w:tcBorders>
              <w:top w:val="nil"/>
              <w:left w:val="nil"/>
              <w:bottom w:val="single" w:sz="4" w:space="0" w:color="auto"/>
              <w:right w:val="single" w:sz="4" w:space="0" w:color="auto"/>
            </w:tcBorders>
            <w:shd w:val="clear" w:color="000000" w:fill="FFF2CC"/>
            <w:hideMark/>
          </w:tcPr>
          <w:p w14:paraId="4E0E40C6"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Data Discovery &amp; Classification</w:t>
            </w:r>
          </w:p>
        </w:tc>
        <w:tc>
          <w:tcPr>
            <w:tcW w:w="378" w:type="pct"/>
            <w:tcBorders>
              <w:top w:val="nil"/>
              <w:left w:val="nil"/>
              <w:bottom w:val="single" w:sz="4" w:space="0" w:color="auto"/>
              <w:right w:val="single" w:sz="4" w:space="0" w:color="auto"/>
            </w:tcBorders>
            <w:shd w:val="clear" w:color="auto" w:fill="auto"/>
            <w:noWrap/>
            <w:vAlign w:val="bottom"/>
            <w:hideMark/>
          </w:tcPr>
          <w:p w14:paraId="13D7C2A0"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5" w:type="pct"/>
            <w:tcBorders>
              <w:top w:val="nil"/>
              <w:left w:val="nil"/>
              <w:bottom w:val="single" w:sz="4" w:space="0" w:color="auto"/>
              <w:right w:val="single" w:sz="4" w:space="0" w:color="auto"/>
            </w:tcBorders>
            <w:shd w:val="clear" w:color="auto" w:fill="auto"/>
            <w:noWrap/>
            <w:vAlign w:val="bottom"/>
            <w:hideMark/>
          </w:tcPr>
          <w:p w14:paraId="57522DAB"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pct"/>
            <w:tcBorders>
              <w:top w:val="nil"/>
              <w:left w:val="nil"/>
              <w:bottom w:val="single" w:sz="4" w:space="0" w:color="auto"/>
              <w:right w:val="single" w:sz="4" w:space="0" w:color="auto"/>
            </w:tcBorders>
            <w:shd w:val="clear" w:color="auto" w:fill="auto"/>
            <w:noWrap/>
            <w:vAlign w:val="bottom"/>
            <w:hideMark/>
          </w:tcPr>
          <w:p w14:paraId="06AEE625"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79" w:type="pct"/>
            <w:tcBorders>
              <w:top w:val="nil"/>
              <w:left w:val="nil"/>
              <w:bottom w:val="single" w:sz="4" w:space="0" w:color="auto"/>
              <w:right w:val="single" w:sz="4" w:space="0" w:color="auto"/>
            </w:tcBorders>
            <w:shd w:val="clear" w:color="auto" w:fill="auto"/>
            <w:noWrap/>
            <w:vAlign w:val="bottom"/>
            <w:hideMark/>
          </w:tcPr>
          <w:p w14:paraId="7EBFD7EE"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pct"/>
            <w:tcBorders>
              <w:top w:val="nil"/>
              <w:left w:val="nil"/>
              <w:bottom w:val="single" w:sz="4" w:space="0" w:color="auto"/>
              <w:right w:val="single" w:sz="4" w:space="0" w:color="auto"/>
            </w:tcBorders>
            <w:shd w:val="clear" w:color="auto" w:fill="auto"/>
            <w:noWrap/>
            <w:vAlign w:val="bottom"/>
            <w:hideMark/>
          </w:tcPr>
          <w:p w14:paraId="20CBB209"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80" w:type="pct"/>
            <w:tcBorders>
              <w:top w:val="nil"/>
              <w:left w:val="nil"/>
              <w:bottom w:val="single" w:sz="4" w:space="0" w:color="auto"/>
              <w:right w:val="single" w:sz="4" w:space="0" w:color="auto"/>
            </w:tcBorders>
            <w:shd w:val="clear" w:color="auto" w:fill="auto"/>
            <w:noWrap/>
            <w:vAlign w:val="bottom"/>
            <w:hideMark/>
          </w:tcPr>
          <w:p w14:paraId="4179BE63"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pct"/>
            <w:tcBorders>
              <w:top w:val="nil"/>
              <w:left w:val="nil"/>
              <w:bottom w:val="single" w:sz="4" w:space="0" w:color="auto"/>
              <w:right w:val="single" w:sz="4" w:space="0" w:color="auto"/>
            </w:tcBorders>
            <w:shd w:val="clear" w:color="auto" w:fill="auto"/>
            <w:noWrap/>
            <w:vAlign w:val="bottom"/>
            <w:hideMark/>
          </w:tcPr>
          <w:p w14:paraId="7689C1DD"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79" w:type="pct"/>
            <w:tcBorders>
              <w:top w:val="nil"/>
              <w:left w:val="nil"/>
              <w:bottom w:val="single" w:sz="4" w:space="0" w:color="auto"/>
              <w:right w:val="single" w:sz="4" w:space="0" w:color="auto"/>
            </w:tcBorders>
            <w:shd w:val="clear" w:color="auto" w:fill="auto"/>
            <w:noWrap/>
            <w:vAlign w:val="bottom"/>
            <w:hideMark/>
          </w:tcPr>
          <w:p w14:paraId="1DDF3CB0"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pct"/>
            <w:tcBorders>
              <w:top w:val="nil"/>
              <w:left w:val="nil"/>
              <w:bottom w:val="single" w:sz="4" w:space="0" w:color="auto"/>
              <w:right w:val="single" w:sz="4" w:space="0" w:color="auto"/>
            </w:tcBorders>
            <w:shd w:val="clear" w:color="auto" w:fill="auto"/>
            <w:noWrap/>
            <w:vAlign w:val="bottom"/>
            <w:hideMark/>
          </w:tcPr>
          <w:p w14:paraId="1827FA17"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80" w:type="pct"/>
            <w:tcBorders>
              <w:top w:val="nil"/>
              <w:left w:val="nil"/>
              <w:bottom w:val="single" w:sz="4" w:space="0" w:color="auto"/>
              <w:right w:val="single" w:sz="4" w:space="0" w:color="auto"/>
            </w:tcBorders>
            <w:shd w:val="clear" w:color="auto" w:fill="auto"/>
            <w:noWrap/>
            <w:vAlign w:val="bottom"/>
            <w:hideMark/>
          </w:tcPr>
          <w:p w14:paraId="50B20924"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583" w:type="pct"/>
            <w:tcBorders>
              <w:top w:val="nil"/>
              <w:left w:val="nil"/>
              <w:bottom w:val="single" w:sz="4" w:space="0" w:color="auto"/>
              <w:right w:val="single" w:sz="4" w:space="0" w:color="auto"/>
            </w:tcBorders>
            <w:shd w:val="clear" w:color="auto" w:fill="auto"/>
            <w:noWrap/>
            <w:vAlign w:val="bottom"/>
            <w:hideMark/>
          </w:tcPr>
          <w:p w14:paraId="59157A2D"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xml:space="preserve">                           -   </w:t>
            </w:r>
          </w:p>
        </w:tc>
      </w:tr>
      <w:tr w:rsidR="000A1AD9" w:rsidRPr="00000F38" w14:paraId="6F7E3D04" w14:textId="77777777" w:rsidTr="008E0319">
        <w:trPr>
          <w:trHeight w:val="300"/>
        </w:trPr>
        <w:tc>
          <w:tcPr>
            <w:tcW w:w="244" w:type="pct"/>
            <w:tcBorders>
              <w:top w:val="nil"/>
              <w:left w:val="single" w:sz="4" w:space="0" w:color="auto"/>
              <w:bottom w:val="single" w:sz="4" w:space="0" w:color="auto"/>
              <w:right w:val="single" w:sz="4" w:space="0" w:color="auto"/>
            </w:tcBorders>
            <w:shd w:val="clear" w:color="auto" w:fill="auto"/>
            <w:noWrap/>
            <w:vAlign w:val="bottom"/>
            <w:hideMark/>
          </w:tcPr>
          <w:p w14:paraId="2DB0D99A"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2</w:t>
            </w:r>
          </w:p>
        </w:tc>
        <w:tc>
          <w:tcPr>
            <w:tcW w:w="861" w:type="pct"/>
            <w:tcBorders>
              <w:top w:val="nil"/>
              <w:left w:val="nil"/>
              <w:bottom w:val="single" w:sz="4" w:space="0" w:color="auto"/>
              <w:right w:val="single" w:sz="4" w:space="0" w:color="auto"/>
            </w:tcBorders>
            <w:shd w:val="clear" w:color="000000" w:fill="FFF2CC"/>
            <w:hideMark/>
          </w:tcPr>
          <w:p w14:paraId="7498ACD4"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File Upload Security Solution</w:t>
            </w:r>
          </w:p>
        </w:tc>
        <w:tc>
          <w:tcPr>
            <w:tcW w:w="378" w:type="pct"/>
            <w:tcBorders>
              <w:top w:val="nil"/>
              <w:left w:val="nil"/>
              <w:bottom w:val="single" w:sz="4" w:space="0" w:color="auto"/>
              <w:right w:val="single" w:sz="4" w:space="0" w:color="auto"/>
            </w:tcBorders>
            <w:shd w:val="clear" w:color="auto" w:fill="auto"/>
            <w:noWrap/>
            <w:vAlign w:val="bottom"/>
            <w:hideMark/>
          </w:tcPr>
          <w:p w14:paraId="202B3096"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5" w:type="pct"/>
            <w:tcBorders>
              <w:top w:val="nil"/>
              <w:left w:val="nil"/>
              <w:bottom w:val="single" w:sz="4" w:space="0" w:color="auto"/>
              <w:right w:val="single" w:sz="4" w:space="0" w:color="auto"/>
            </w:tcBorders>
            <w:shd w:val="clear" w:color="auto" w:fill="auto"/>
            <w:noWrap/>
            <w:vAlign w:val="bottom"/>
            <w:hideMark/>
          </w:tcPr>
          <w:p w14:paraId="33F3AFCD"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pct"/>
            <w:tcBorders>
              <w:top w:val="nil"/>
              <w:left w:val="nil"/>
              <w:bottom w:val="single" w:sz="4" w:space="0" w:color="auto"/>
              <w:right w:val="single" w:sz="4" w:space="0" w:color="auto"/>
            </w:tcBorders>
            <w:shd w:val="clear" w:color="auto" w:fill="auto"/>
            <w:noWrap/>
            <w:vAlign w:val="bottom"/>
            <w:hideMark/>
          </w:tcPr>
          <w:p w14:paraId="26AC25FD"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79" w:type="pct"/>
            <w:tcBorders>
              <w:top w:val="nil"/>
              <w:left w:val="nil"/>
              <w:bottom w:val="single" w:sz="4" w:space="0" w:color="auto"/>
              <w:right w:val="single" w:sz="4" w:space="0" w:color="auto"/>
            </w:tcBorders>
            <w:shd w:val="clear" w:color="auto" w:fill="auto"/>
            <w:noWrap/>
            <w:vAlign w:val="bottom"/>
            <w:hideMark/>
          </w:tcPr>
          <w:p w14:paraId="353A1E92"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pct"/>
            <w:tcBorders>
              <w:top w:val="nil"/>
              <w:left w:val="nil"/>
              <w:bottom w:val="single" w:sz="4" w:space="0" w:color="auto"/>
              <w:right w:val="single" w:sz="4" w:space="0" w:color="auto"/>
            </w:tcBorders>
            <w:shd w:val="clear" w:color="auto" w:fill="auto"/>
            <w:noWrap/>
            <w:vAlign w:val="bottom"/>
            <w:hideMark/>
          </w:tcPr>
          <w:p w14:paraId="11B3A1B5"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80" w:type="pct"/>
            <w:tcBorders>
              <w:top w:val="nil"/>
              <w:left w:val="nil"/>
              <w:bottom w:val="single" w:sz="4" w:space="0" w:color="auto"/>
              <w:right w:val="single" w:sz="4" w:space="0" w:color="auto"/>
            </w:tcBorders>
            <w:shd w:val="clear" w:color="auto" w:fill="auto"/>
            <w:noWrap/>
            <w:vAlign w:val="bottom"/>
            <w:hideMark/>
          </w:tcPr>
          <w:p w14:paraId="334F47FD"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pct"/>
            <w:tcBorders>
              <w:top w:val="nil"/>
              <w:left w:val="nil"/>
              <w:bottom w:val="single" w:sz="4" w:space="0" w:color="auto"/>
              <w:right w:val="single" w:sz="4" w:space="0" w:color="auto"/>
            </w:tcBorders>
            <w:shd w:val="clear" w:color="auto" w:fill="auto"/>
            <w:noWrap/>
            <w:vAlign w:val="bottom"/>
            <w:hideMark/>
          </w:tcPr>
          <w:p w14:paraId="03898756"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79" w:type="pct"/>
            <w:tcBorders>
              <w:top w:val="nil"/>
              <w:left w:val="nil"/>
              <w:bottom w:val="single" w:sz="4" w:space="0" w:color="auto"/>
              <w:right w:val="single" w:sz="4" w:space="0" w:color="auto"/>
            </w:tcBorders>
            <w:shd w:val="clear" w:color="auto" w:fill="auto"/>
            <w:noWrap/>
            <w:vAlign w:val="bottom"/>
            <w:hideMark/>
          </w:tcPr>
          <w:p w14:paraId="4E199A39"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pct"/>
            <w:tcBorders>
              <w:top w:val="nil"/>
              <w:left w:val="nil"/>
              <w:bottom w:val="single" w:sz="4" w:space="0" w:color="auto"/>
              <w:right w:val="single" w:sz="4" w:space="0" w:color="auto"/>
            </w:tcBorders>
            <w:shd w:val="clear" w:color="auto" w:fill="auto"/>
            <w:noWrap/>
            <w:vAlign w:val="bottom"/>
            <w:hideMark/>
          </w:tcPr>
          <w:p w14:paraId="473E6E73"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80" w:type="pct"/>
            <w:tcBorders>
              <w:top w:val="nil"/>
              <w:left w:val="nil"/>
              <w:bottom w:val="single" w:sz="4" w:space="0" w:color="auto"/>
              <w:right w:val="single" w:sz="4" w:space="0" w:color="auto"/>
            </w:tcBorders>
            <w:shd w:val="clear" w:color="auto" w:fill="auto"/>
            <w:noWrap/>
            <w:vAlign w:val="bottom"/>
            <w:hideMark/>
          </w:tcPr>
          <w:p w14:paraId="41200147"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583" w:type="pct"/>
            <w:tcBorders>
              <w:top w:val="nil"/>
              <w:left w:val="nil"/>
              <w:bottom w:val="single" w:sz="4" w:space="0" w:color="auto"/>
              <w:right w:val="single" w:sz="4" w:space="0" w:color="auto"/>
            </w:tcBorders>
            <w:shd w:val="clear" w:color="auto" w:fill="auto"/>
            <w:noWrap/>
            <w:vAlign w:val="bottom"/>
            <w:hideMark/>
          </w:tcPr>
          <w:p w14:paraId="03DDCFEC"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xml:space="preserve">                           -   </w:t>
            </w:r>
          </w:p>
        </w:tc>
      </w:tr>
      <w:tr w:rsidR="000A1AD9" w:rsidRPr="00000F38" w14:paraId="58102803" w14:textId="77777777" w:rsidTr="008E0319">
        <w:trPr>
          <w:trHeight w:val="300"/>
        </w:trPr>
        <w:tc>
          <w:tcPr>
            <w:tcW w:w="244" w:type="pct"/>
            <w:tcBorders>
              <w:top w:val="nil"/>
              <w:left w:val="single" w:sz="4" w:space="0" w:color="auto"/>
              <w:bottom w:val="single" w:sz="4" w:space="0" w:color="auto"/>
              <w:right w:val="single" w:sz="4" w:space="0" w:color="auto"/>
            </w:tcBorders>
            <w:shd w:val="clear" w:color="auto" w:fill="auto"/>
            <w:noWrap/>
            <w:vAlign w:val="bottom"/>
            <w:hideMark/>
          </w:tcPr>
          <w:p w14:paraId="58F7A9B4"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3</w:t>
            </w:r>
          </w:p>
        </w:tc>
        <w:tc>
          <w:tcPr>
            <w:tcW w:w="861" w:type="pct"/>
            <w:tcBorders>
              <w:top w:val="nil"/>
              <w:left w:val="nil"/>
              <w:bottom w:val="single" w:sz="4" w:space="0" w:color="auto"/>
              <w:right w:val="single" w:sz="4" w:space="0" w:color="auto"/>
            </w:tcBorders>
            <w:shd w:val="clear" w:color="000000" w:fill="FFF2CC"/>
            <w:hideMark/>
          </w:tcPr>
          <w:p w14:paraId="303643EB"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Attack Surface Management (ASM)</w:t>
            </w:r>
          </w:p>
        </w:tc>
        <w:tc>
          <w:tcPr>
            <w:tcW w:w="378" w:type="pct"/>
            <w:tcBorders>
              <w:top w:val="nil"/>
              <w:left w:val="nil"/>
              <w:bottom w:val="single" w:sz="4" w:space="0" w:color="auto"/>
              <w:right w:val="single" w:sz="4" w:space="0" w:color="auto"/>
            </w:tcBorders>
            <w:shd w:val="clear" w:color="auto" w:fill="auto"/>
            <w:noWrap/>
            <w:vAlign w:val="bottom"/>
            <w:hideMark/>
          </w:tcPr>
          <w:p w14:paraId="2CD86CEF"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5" w:type="pct"/>
            <w:tcBorders>
              <w:top w:val="nil"/>
              <w:left w:val="nil"/>
              <w:bottom w:val="single" w:sz="4" w:space="0" w:color="auto"/>
              <w:right w:val="single" w:sz="4" w:space="0" w:color="auto"/>
            </w:tcBorders>
            <w:shd w:val="clear" w:color="auto" w:fill="auto"/>
            <w:noWrap/>
            <w:vAlign w:val="bottom"/>
            <w:hideMark/>
          </w:tcPr>
          <w:p w14:paraId="05D7C925"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pct"/>
            <w:tcBorders>
              <w:top w:val="nil"/>
              <w:left w:val="nil"/>
              <w:bottom w:val="single" w:sz="4" w:space="0" w:color="auto"/>
              <w:right w:val="single" w:sz="4" w:space="0" w:color="auto"/>
            </w:tcBorders>
            <w:shd w:val="clear" w:color="auto" w:fill="auto"/>
            <w:noWrap/>
            <w:vAlign w:val="bottom"/>
            <w:hideMark/>
          </w:tcPr>
          <w:p w14:paraId="424C4C62"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79" w:type="pct"/>
            <w:tcBorders>
              <w:top w:val="nil"/>
              <w:left w:val="nil"/>
              <w:bottom w:val="single" w:sz="4" w:space="0" w:color="auto"/>
              <w:right w:val="single" w:sz="4" w:space="0" w:color="auto"/>
            </w:tcBorders>
            <w:shd w:val="clear" w:color="auto" w:fill="auto"/>
            <w:noWrap/>
            <w:vAlign w:val="bottom"/>
            <w:hideMark/>
          </w:tcPr>
          <w:p w14:paraId="041B316F"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pct"/>
            <w:tcBorders>
              <w:top w:val="nil"/>
              <w:left w:val="nil"/>
              <w:bottom w:val="single" w:sz="4" w:space="0" w:color="auto"/>
              <w:right w:val="single" w:sz="4" w:space="0" w:color="auto"/>
            </w:tcBorders>
            <w:shd w:val="clear" w:color="auto" w:fill="auto"/>
            <w:noWrap/>
            <w:vAlign w:val="bottom"/>
            <w:hideMark/>
          </w:tcPr>
          <w:p w14:paraId="22441D08"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80" w:type="pct"/>
            <w:tcBorders>
              <w:top w:val="nil"/>
              <w:left w:val="nil"/>
              <w:bottom w:val="single" w:sz="4" w:space="0" w:color="auto"/>
              <w:right w:val="single" w:sz="4" w:space="0" w:color="auto"/>
            </w:tcBorders>
            <w:shd w:val="clear" w:color="auto" w:fill="auto"/>
            <w:noWrap/>
            <w:vAlign w:val="bottom"/>
            <w:hideMark/>
          </w:tcPr>
          <w:p w14:paraId="2A1A8E1B"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pct"/>
            <w:tcBorders>
              <w:top w:val="nil"/>
              <w:left w:val="nil"/>
              <w:bottom w:val="single" w:sz="4" w:space="0" w:color="auto"/>
              <w:right w:val="single" w:sz="4" w:space="0" w:color="auto"/>
            </w:tcBorders>
            <w:shd w:val="clear" w:color="auto" w:fill="auto"/>
            <w:noWrap/>
            <w:vAlign w:val="bottom"/>
            <w:hideMark/>
          </w:tcPr>
          <w:p w14:paraId="57CA5F40"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79" w:type="pct"/>
            <w:tcBorders>
              <w:top w:val="nil"/>
              <w:left w:val="nil"/>
              <w:bottom w:val="single" w:sz="4" w:space="0" w:color="auto"/>
              <w:right w:val="single" w:sz="4" w:space="0" w:color="auto"/>
            </w:tcBorders>
            <w:shd w:val="clear" w:color="auto" w:fill="auto"/>
            <w:noWrap/>
            <w:vAlign w:val="bottom"/>
            <w:hideMark/>
          </w:tcPr>
          <w:p w14:paraId="09B4F1FF"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pct"/>
            <w:tcBorders>
              <w:top w:val="nil"/>
              <w:left w:val="nil"/>
              <w:bottom w:val="single" w:sz="4" w:space="0" w:color="auto"/>
              <w:right w:val="single" w:sz="4" w:space="0" w:color="auto"/>
            </w:tcBorders>
            <w:shd w:val="clear" w:color="auto" w:fill="auto"/>
            <w:noWrap/>
            <w:vAlign w:val="bottom"/>
            <w:hideMark/>
          </w:tcPr>
          <w:p w14:paraId="7DB46BA5"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80" w:type="pct"/>
            <w:tcBorders>
              <w:top w:val="nil"/>
              <w:left w:val="nil"/>
              <w:bottom w:val="single" w:sz="4" w:space="0" w:color="auto"/>
              <w:right w:val="single" w:sz="4" w:space="0" w:color="auto"/>
            </w:tcBorders>
            <w:shd w:val="clear" w:color="auto" w:fill="auto"/>
            <w:noWrap/>
            <w:vAlign w:val="bottom"/>
            <w:hideMark/>
          </w:tcPr>
          <w:p w14:paraId="0D9298FF"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583" w:type="pct"/>
            <w:tcBorders>
              <w:top w:val="nil"/>
              <w:left w:val="nil"/>
              <w:bottom w:val="single" w:sz="4" w:space="0" w:color="auto"/>
              <w:right w:val="single" w:sz="4" w:space="0" w:color="auto"/>
            </w:tcBorders>
            <w:shd w:val="clear" w:color="auto" w:fill="auto"/>
            <w:noWrap/>
            <w:vAlign w:val="bottom"/>
            <w:hideMark/>
          </w:tcPr>
          <w:p w14:paraId="4C043272"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xml:space="preserve">                           -   </w:t>
            </w:r>
          </w:p>
        </w:tc>
      </w:tr>
      <w:tr w:rsidR="000A1AD9" w:rsidRPr="00000F38" w14:paraId="050D2872" w14:textId="77777777" w:rsidTr="008E0319">
        <w:trPr>
          <w:trHeight w:val="510"/>
        </w:trPr>
        <w:tc>
          <w:tcPr>
            <w:tcW w:w="244" w:type="pct"/>
            <w:tcBorders>
              <w:top w:val="nil"/>
              <w:left w:val="single" w:sz="4" w:space="0" w:color="auto"/>
              <w:bottom w:val="single" w:sz="4" w:space="0" w:color="auto"/>
              <w:right w:val="single" w:sz="4" w:space="0" w:color="auto"/>
            </w:tcBorders>
            <w:shd w:val="clear" w:color="auto" w:fill="auto"/>
            <w:noWrap/>
            <w:vAlign w:val="bottom"/>
            <w:hideMark/>
          </w:tcPr>
          <w:p w14:paraId="7EDBEACE"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4</w:t>
            </w:r>
          </w:p>
        </w:tc>
        <w:tc>
          <w:tcPr>
            <w:tcW w:w="861" w:type="pct"/>
            <w:tcBorders>
              <w:top w:val="nil"/>
              <w:left w:val="nil"/>
              <w:bottom w:val="single" w:sz="4" w:space="0" w:color="auto"/>
              <w:right w:val="single" w:sz="4" w:space="0" w:color="auto"/>
            </w:tcBorders>
            <w:shd w:val="clear" w:color="000000" w:fill="FFF2CC"/>
            <w:hideMark/>
          </w:tcPr>
          <w:p w14:paraId="55CBDA5E"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Breach and Attack Simulation (BAS) with Red Team Solution</w:t>
            </w:r>
          </w:p>
        </w:tc>
        <w:tc>
          <w:tcPr>
            <w:tcW w:w="378" w:type="pct"/>
            <w:tcBorders>
              <w:top w:val="nil"/>
              <w:left w:val="nil"/>
              <w:bottom w:val="single" w:sz="4" w:space="0" w:color="auto"/>
              <w:right w:val="single" w:sz="4" w:space="0" w:color="auto"/>
            </w:tcBorders>
            <w:shd w:val="clear" w:color="auto" w:fill="auto"/>
            <w:noWrap/>
            <w:vAlign w:val="bottom"/>
            <w:hideMark/>
          </w:tcPr>
          <w:p w14:paraId="088539F8"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5" w:type="pct"/>
            <w:tcBorders>
              <w:top w:val="nil"/>
              <w:left w:val="nil"/>
              <w:bottom w:val="single" w:sz="4" w:space="0" w:color="auto"/>
              <w:right w:val="single" w:sz="4" w:space="0" w:color="auto"/>
            </w:tcBorders>
            <w:shd w:val="clear" w:color="auto" w:fill="auto"/>
            <w:noWrap/>
            <w:vAlign w:val="bottom"/>
            <w:hideMark/>
          </w:tcPr>
          <w:p w14:paraId="7A0D8F32"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pct"/>
            <w:tcBorders>
              <w:top w:val="nil"/>
              <w:left w:val="nil"/>
              <w:bottom w:val="single" w:sz="4" w:space="0" w:color="auto"/>
              <w:right w:val="single" w:sz="4" w:space="0" w:color="auto"/>
            </w:tcBorders>
            <w:shd w:val="clear" w:color="auto" w:fill="auto"/>
            <w:noWrap/>
            <w:vAlign w:val="bottom"/>
            <w:hideMark/>
          </w:tcPr>
          <w:p w14:paraId="753B6287"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79" w:type="pct"/>
            <w:tcBorders>
              <w:top w:val="nil"/>
              <w:left w:val="nil"/>
              <w:bottom w:val="single" w:sz="4" w:space="0" w:color="auto"/>
              <w:right w:val="single" w:sz="4" w:space="0" w:color="auto"/>
            </w:tcBorders>
            <w:shd w:val="clear" w:color="auto" w:fill="auto"/>
            <w:noWrap/>
            <w:vAlign w:val="bottom"/>
            <w:hideMark/>
          </w:tcPr>
          <w:p w14:paraId="023FCE81"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pct"/>
            <w:tcBorders>
              <w:top w:val="nil"/>
              <w:left w:val="nil"/>
              <w:bottom w:val="single" w:sz="4" w:space="0" w:color="auto"/>
              <w:right w:val="single" w:sz="4" w:space="0" w:color="auto"/>
            </w:tcBorders>
            <w:shd w:val="clear" w:color="auto" w:fill="auto"/>
            <w:noWrap/>
            <w:vAlign w:val="bottom"/>
            <w:hideMark/>
          </w:tcPr>
          <w:p w14:paraId="64E1EF45"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80" w:type="pct"/>
            <w:tcBorders>
              <w:top w:val="nil"/>
              <w:left w:val="nil"/>
              <w:bottom w:val="single" w:sz="4" w:space="0" w:color="auto"/>
              <w:right w:val="single" w:sz="4" w:space="0" w:color="auto"/>
            </w:tcBorders>
            <w:shd w:val="clear" w:color="auto" w:fill="auto"/>
            <w:noWrap/>
            <w:vAlign w:val="bottom"/>
            <w:hideMark/>
          </w:tcPr>
          <w:p w14:paraId="4AA5240D"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pct"/>
            <w:tcBorders>
              <w:top w:val="nil"/>
              <w:left w:val="nil"/>
              <w:bottom w:val="single" w:sz="4" w:space="0" w:color="auto"/>
              <w:right w:val="single" w:sz="4" w:space="0" w:color="auto"/>
            </w:tcBorders>
            <w:shd w:val="clear" w:color="auto" w:fill="auto"/>
            <w:noWrap/>
            <w:vAlign w:val="bottom"/>
            <w:hideMark/>
          </w:tcPr>
          <w:p w14:paraId="3C64EC7A"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79" w:type="pct"/>
            <w:tcBorders>
              <w:top w:val="nil"/>
              <w:left w:val="nil"/>
              <w:bottom w:val="single" w:sz="4" w:space="0" w:color="auto"/>
              <w:right w:val="single" w:sz="4" w:space="0" w:color="auto"/>
            </w:tcBorders>
            <w:shd w:val="clear" w:color="auto" w:fill="auto"/>
            <w:noWrap/>
            <w:vAlign w:val="bottom"/>
            <w:hideMark/>
          </w:tcPr>
          <w:p w14:paraId="06D0D16D"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pct"/>
            <w:tcBorders>
              <w:top w:val="nil"/>
              <w:left w:val="nil"/>
              <w:bottom w:val="single" w:sz="4" w:space="0" w:color="auto"/>
              <w:right w:val="single" w:sz="4" w:space="0" w:color="auto"/>
            </w:tcBorders>
            <w:shd w:val="clear" w:color="auto" w:fill="auto"/>
            <w:noWrap/>
            <w:vAlign w:val="bottom"/>
            <w:hideMark/>
          </w:tcPr>
          <w:p w14:paraId="13FEF28E"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80" w:type="pct"/>
            <w:tcBorders>
              <w:top w:val="nil"/>
              <w:left w:val="nil"/>
              <w:bottom w:val="single" w:sz="4" w:space="0" w:color="auto"/>
              <w:right w:val="single" w:sz="4" w:space="0" w:color="auto"/>
            </w:tcBorders>
            <w:shd w:val="clear" w:color="auto" w:fill="auto"/>
            <w:noWrap/>
            <w:vAlign w:val="bottom"/>
            <w:hideMark/>
          </w:tcPr>
          <w:p w14:paraId="36ABEEA7"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583" w:type="pct"/>
            <w:tcBorders>
              <w:top w:val="nil"/>
              <w:left w:val="nil"/>
              <w:bottom w:val="single" w:sz="4" w:space="0" w:color="auto"/>
              <w:right w:val="single" w:sz="4" w:space="0" w:color="auto"/>
            </w:tcBorders>
            <w:shd w:val="clear" w:color="auto" w:fill="auto"/>
            <w:noWrap/>
            <w:vAlign w:val="bottom"/>
            <w:hideMark/>
          </w:tcPr>
          <w:p w14:paraId="7CEF57ED"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xml:space="preserve">                           -   </w:t>
            </w:r>
          </w:p>
        </w:tc>
      </w:tr>
      <w:tr w:rsidR="000A1AD9" w:rsidRPr="00000F38" w14:paraId="4BF8413D" w14:textId="77777777" w:rsidTr="008E0319">
        <w:trPr>
          <w:trHeight w:val="300"/>
        </w:trPr>
        <w:tc>
          <w:tcPr>
            <w:tcW w:w="244" w:type="pct"/>
            <w:tcBorders>
              <w:top w:val="nil"/>
              <w:left w:val="single" w:sz="4" w:space="0" w:color="auto"/>
              <w:bottom w:val="single" w:sz="4" w:space="0" w:color="auto"/>
              <w:right w:val="single" w:sz="4" w:space="0" w:color="auto"/>
            </w:tcBorders>
            <w:shd w:val="clear" w:color="auto" w:fill="auto"/>
            <w:noWrap/>
            <w:vAlign w:val="bottom"/>
            <w:hideMark/>
          </w:tcPr>
          <w:p w14:paraId="64D54EF1"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5</w:t>
            </w:r>
          </w:p>
        </w:tc>
        <w:tc>
          <w:tcPr>
            <w:tcW w:w="861" w:type="pct"/>
            <w:tcBorders>
              <w:top w:val="nil"/>
              <w:left w:val="nil"/>
              <w:bottom w:val="single" w:sz="4" w:space="0" w:color="auto"/>
              <w:right w:val="single" w:sz="4" w:space="0" w:color="auto"/>
            </w:tcBorders>
            <w:shd w:val="clear" w:color="000000" w:fill="FFF2CC"/>
            <w:hideMark/>
          </w:tcPr>
          <w:p w14:paraId="66424FDC"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Phishing Simulation</w:t>
            </w:r>
          </w:p>
        </w:tc>
        <w:tc>
          <w:tcPr>
            <w:tcW w:w="378" w:type="pct"/>
            <w:tcBorders>
              <w:top w:val="nil"/>
              <w:left w:val="nil"/>
              <w:bottom w:val="single" w:sz="4" w:space="0" w:color="auto"/>
              <w:right w:val="single" w:sz="4" w:space="0" w:color="auto"/>
            </w:tcBorders>
            <w:shd w:val="clear" w:color="auto" w:fill="auto"/>
            <w:noWrap/>
            <w:vAlign w:val="bottom"/>
            <w:hideMark/>
          </w:tcPr>
          <w:p w14:paraId="18FEA2BC"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5" w:type="pct"/>
            <w:tcBorders>
              <w:top w:val="nil"/>
              <w:left w:val="nil"/>
              <w:bottom w:val="single" w:sz="4" w:space="0" w:color="auto"/>
              <w:right w:val="single" w:sz="4" w:space="0" w:color="auto"/>
            </w:tcBorders>
            <w:shd w:val="clear" w:color="auto" w:fill="auto"/>
            <w:noWrap/>
            <w:vAlign w:val="bottom"/>
            <w:hideMark/>
          </w:tcPr>
          <w:p w14:paraId="7BB5CAC7"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pct"/>
            <w:tcBorders>
              <w:top w:val="nil"/>
              <w:left w:val="nil"/>
              <w:bottom w:val="single" w:sz="4" w:space="0" w:color="auto"/>
              <w:right w:val="single" w:sz="4" w:space="0" w:color="auto"/>
            </w:tcBorders>
            <w:shd w:val="clear" w:color="auto" w:fill="auto"/>
            <w:noWrap/>
            <w:vAlign w:val="bottom"/>
            <w:hideMark/>
          </w:tcPr>
          <w:p w14:paraId="08313540"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79" w:type="pct"/>
            <w:tcBorders>
              <w:top w:val="nil"/>
              <w:left w:val="nil"/>
              <w:bottom w:val="single" w:sz="4" w:space="0" w:color="auto"/>
              <w:right w:val="single" w:sz="4" w:space="0" w:color="auto"/>
            </w:tcBorders>
            <w:shd w:val="clear" w:color="auto" w:fill="auto"/>
            <w:noWrap/>
            <w:vAlign w:val="bottom"/>
            <w:hideMark/>
          </w:tcPr>
          <w:p w14:paraId="62D47C97"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pct"/>
            <w:tcBorders>
              <w:top w:val="nil"/>
              <w:left w:val="nil"/>
              <w:bottom w:val="single" w:sz="4" w:space="0" w:color="auto"/>
              <w:right w:val="single" w:sz="4" w:space="0" w:color="auto"/>
            </w:tcBorders>
            <w:shd w:val="clear" w:color="auto" w:fill="auto"/>
            <w:noWrap/>
            <w:vAlign w:val="bottom"/>
            <w:hideMark/>
          </w:tcPr>
          <w:p w14:paraId="0CBC8A5F"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80" w:type="pct"/>
            <w:tcBorders>
              <w:top w:val="nil"/>
              <w:left w:val="nil"/>
              <w:bottom w:val="single" w:sz="4" w:space="0" w:color="auto"/>
              <w:right w:val="single" w:sz="4" w:space="0" w:color="auto"/>
            </w:tcBorders>
            <w:shd w:val="clear" w:color="auto" w:fill="auto"/>
            <w:noWrap/>
            <w:vAlign w:val="bottom"/>
            <w:hideMark/>
          </w:tcPr>
          <w:p w14:paraId="38150600"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pct"/>
            <w:tcBorders>
              <w:top w:val="nil"/>
              <w:left w:val="nil"/>
              <w:bottom w:val="single" w:sz="4" w:space="0" w:color="auto"/>
              <w:right w:val="single" w:sz="4" w:space="0" w:color="auto"/>
            </w:tcBorders>
            <w:shd w:val="clear" w:color="auto" w:fill="auto"/>
            <w:noWrap/>
            <w:vAlign w:val="bottom"/>
            <w:hideMark/>
          </w:tcPr>
          <w:p w14:paraId="1993FD47"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79" w:type="pct"/>
            <w:tcBorders>
              <w:top w:val="nil"/>
              <w:left w:val="nil"/>
              <w:bottom w:val="single" w:sz="4" w:space="0" w:color="auto"/>
              <w:right w:val="single" w:sz="4" w:space="0" w:color="auto"/>
            </w:tcBorders>
            <w:shd w:val="clear" w:color="auto" w:fill="auto"/>
            <w:noWrap/>
            <w:vAlign w:val="bottom"/>
            <w:hideMark/>
          </w:tcPr>
          <w:p w14:paraId="5D684703"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pct"/>
            <w:tcBorders>
              <w:top w:val="nil"/>
              <w:left w:val="nil"/>
              <w:bottom w:val="single" w:sz="4" w:space="0" w:color="auto"/>
              <w:right w:val="single" w:sz="4" w:space="0" w:color="auto"/>
            </w:tcBorders>
            <w:shd w:val="clear" w:color="auto" w:fill="auto"/>
            <w:noWrap/>
            <w:vAlign w:val="bottom"/>
            <w:hideMark/>
          </w:tcPr>
          <w:p w14:paraId="04791D1A"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80" w:type="pct"/>
            <w:tcBorders>
              <w:top w:val="nil"/>
              <w:left w:val="nil"/>
              <w:bottom w:val="single" w:sz="4" w:space="0" w:color="auto"/>
              <w:right w:val="single" w:sz="4" w:space="0" w:color="auto"/>
            </w:tcBorders>
            <w:shd w:val="clear" w:color="auto" w:fill="auto"/>
            <w:noWrap/>
            <w:vAlign w:val="bottom"/>
            <w:hideMark/>
          </w:tcPr>
          <w:p w14:paraId="355E2E36"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583" w:type="pct"/>
            <w:tcBorders>
              <w:top w:val="nil"/>
              <w:left w:val="nil"/>
              <w:bottom w:val="single" w:sz="4" w:space="0" w:color="auto"/>
              <w:right w:val="single" w:sz="4" w:space="0" w:color="auto"/>
            </w:tcBorders>
            <w:shd w:val="clear" w:color="auto" w:fill="auto"/>
            <w:noWrap/>
            <w:vAlign w:val="bottom"/>
            <w:hideMark/>
          </w:tcPr>
          <w:p w14:paraId="791F9732"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xml:space="preserve">                           -   </w:t>
            </w:r>
          </w:p>
        </w:tc>
      </w:tr>
      <w:tr w:rsidR="000A1AD9" w:rsidRPr="00000F38" w14:paraId="62A5C3F4" w14:textId="77777777" w:rsidTr="008E0319">
        <w:trPr>
          <w:trHeight w:val="300"/>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0DEBA68B"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6</w:t>
            </w:r>
          </w:p>
        </w:tc>
        <w:tc>
          <w:tcPr>
            <w:tcW w:w="861" w:type="pct"/>
            <w:tcBorders>
              <w:top w:val="nil"/>
              <w:left w:val="nil"/>
              <w:bottom w:val="single" w:sz="4" w:space="0" w:color="auto"/>
              <w:right w:val="single" w:sz="4" w:space="0" w:color="auto"/>
            </w:tcBorders>
            <w:shd w:val="clear" w:color="000000" w:fill="FFF2CC"/>
            <w:hideMark/>
          </w:tcPr>
          <w:p w14:paraId="2460CCC2"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AD Security</w:t>
            </w:r>
          </w:p>
        </w:tc>
        <w:tc>
          <w:tcPr>
            <w:tcW w:w="378" w:type="pct"/>
            <w:tcBorders>
              <w:top w:val="nil"/>
              <w:left w:val="nil"/>
              <w:bottom w:val="single" w:sz="4" w:space="0" w:color="auto"/>
              <w:right w:val="single" w:sz="4" w:space="0" w:color="auto"/>
            </w:tcBorders>
            <w:shd w:val="clear" w:color="auto" w:fill="auto"/>
            <w:noWrap/>
            <w:vAlign w:val="bottom"/>
            <w:hideMark/>
          </w:tcPr>
          <w:p w14:paraId="309BF30A"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5" w:type="pct"/>
            <w:tcBorders>
              <w:top w:val="nil"/>
              <w:left w:val="nil"/>
              <w:bottom w:val="single" w:sz="4" w:space="0" w:color="auto"/>
              <w:right w:val="single" w:sz="4" w:space="0" w:color="auto"/>
            </w:tcBorders>
            <w:shd w:val="clear" w:color="auto" w:fill="auto"/>
            <w:noWrap/>
            <w:vAlign w:val="bottom"/>
            <w:hideMark/>
          </w:tcPr>
          <w:p w14:paraId="69C781D3"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pct"/>
            <w:tcBorders>
              <w:top w:val="nil"/>
              <w:left w:val="nil"/>
              <w:bottom w:val="single" w:sz="4" w:space="0" w:color="auto"/>
              <w:right w:val="single" w:sz="4" w:space="0" w:color="auto"/>
            </w:tcBorders>
            <w:shd w:val="clear" w:color="auto" w:fill="auto"/>
            <w:noWrap/>
            <w:vAlign w:val="bottom"/>
            <w:hideMark/>
          </w:tcPr>
          <w:p w14:paraId="25CC6886"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79" w:type="pct"/>
            <w:tcBorders>
              <w:top w:val="nil"/>
              <w:left w:val="nil"/>
              <w:bottom w:val="single" w:sz="4" w:space="0" w:color="auto"/>
              <w:right w:val="single" w:sz="4" w:space="0" w:color="auto"/>
            </w:tcBorders>
            <w:shd w:val="clear" w:color="auto" w:fill="auto"/>
            <w:noWrap/>
            <w:vAlign w:val="bottom"/>
            <w:hideMark/>
          </w:tcPr>
          <w:p w14:paraId="2DD2B399"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pct"/>
            <w:tcBorders>
              <w:top w:val="nil"/>
              <w:left w:val="nil"/>
              <w:bottom w:val="single" w:sz="4" w:space="0" w:color="auto"/>
              <w:right w:val="single" w:sz="4" w:space="0" w:color="auto"/>
            </w:tcBorders>
            <w:shd w:val="clear" w:color="auto" w:fill="auto"/>
            <w:noWrap/>
            <w:vAlign w:val="bottom"/>
            <w:hideMark/>
          </w:tcPr>
          <w:p w14:paraId="0740C309"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80" w:type="pct"/>
            <w:tcBorders>
              <w:top w:val="nil"/>
              <w:left w:val="nil"/>
              <w:bottom w:val="single" w:sz="4" w:space="0" w:color="auto"/>
              <w:right w:val="single" w:sz="4" w:space="0" w:color="auto"/>
            </w:tcBorders>
            <w:shd w:val="clear" w:color="auto" w:fill="auto"/>
            <w:noWrap/>
            <w:vAlign w:val="bottom"/>
            <w:hideMark/>
          </w:tcPr>
          <w:p w14:paraId="5A86EA90"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pct"/>
            <w:tcBorders>
              <w:top w:val="nil"/>
              <w:left w:val="nil"/>
              <w:bottom w:val="single" w:sz="4" w:space="0" w:color="auto"/>
              <w:right w:val="single" w:sz="4" w:space="0" w:color="auto"/>
            </w:tcBorders>
            <w:shd w:val="clear" w:color="auto" w:fill="auto"/>
            <w:noWrap/>
            <w:vAlign w:val="bottom"/>
            <w:hideMark/>
          </w:tcPr>
          <w:p w14:paraId="04E17C4B"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79" w:type="pct"/>
            <w:tcBorders>
              <w:top w:val="nil"/>
              <w:left w:val="nil"/>
              <w:bottom w:val="single" w:sz="4" w:space="0" w:color="auto"/>
              <w:right w:val="single" w:sz="4" w:space="0" w:color="auto"/>
            </w:tcBorders>
            <w:shd w:val="clear" w:color="auto" w:fill="auto"/>
            <w:noWrap/>
            <w:vAlign w:val="bottom"/>
            <w:hideMark/>
          </w:tcPr>
          <w:p w14:paraId="596A04E3"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pct"/>
            <w:tcBorders>
              <w:top w:val="nil"/>
              <w:left w:val="nil"/>
              <w:bottom w:val="single" w:sz="4" w:space="0" w:color="auto"/>
              <w:right w:val="single" w:sz="4" w:space="0" w:color="auto"/>
            </w:tcBorders>
            <w:shd w:val="clear" w:color="auto" w:fill="auto"/>
            <w:noWrap/>
            <w:vAlign w:val="bottom"/>
            <w:hideMark/>
          </w:tcPr>
          <w:p w14:paraId="534A68C8"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80" w:type="pct"/>
            <w:tcBorders>
              <w:top w:val="nil"/>
              <w:left w:val="nil"/>
              <w:bottom w:val="single" w:sz="4" w:space="0" w:color="auto"/>
              <w:right w:val="single" w:sz="4" w:space="0" w:color="auto"/>
            </w:tcBorders>
            <w:shd w:val="clear" w:color="auto" w:fill="auto"/>
            <w:noWrap/>
            <w:vAlign w:val="bottom"/>
            <w:hideMark/>
          </w:tcPr>
          <w:p w14:paraId="68A2A535"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583" w:type="pct"/>
            <w:tcBorders>
              <w:top w:val="nil"/>
              <w:left w:val="nil"/>
              <w:bottom w:val="single" w:sz="4" w:space="0" w:color="auto"/>
              <w:right w:val="single" w:sz="4" w:space="0" w:color="auto"/>
            </w:tcBorders>
            <w:shd w:val="clear" w:color="auto" w:fill="auto"/>
            <w:noWrap/>
            <w:vAlign w:val="bottom"/>
            <w:hideMark/>
          </w:tcPr>
          <w:p w14:paraId="42A8D951"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r>
      <w:tr w:rsidR="000A1AD9" w:rsidRPr="00000F38" w14:paraId="72081135" w14:textId="77777777" w:rsidTr="008E0319">
        <w:trPr>
          <w:trHeight w:val="300"/>
        </w:trPr>
        <w:tc>
          <w:tcPr>
            <w:tcW w:w="244" w:type="pct"/>
            <w:tcBorders>
              <w:top w:val="nil"/>
              <w:left w:val="single" w:sz="4" w:space="0" w:color="auto"/>
              <w:bottom w:val="single" w:sz="4" w:space="0" w:color="auto"/>
              <w:right w:val="single" w:sz="4" w:space="0" w:color="auto"/>
            </w:tcBorders>
            <w:shd w:val="clear" w:color="auto" w:fill="auto"/>
            <w:noWrap/>
            <w:vAlign w:val="bottom"/>
            <w:hideMark/>
          </w:tcPr>
          <w:p w14:paraId="0C5B4514"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7</w:t>
            </w:r>
          </w:p>
        </w:tc>
        <w:tc>
          <w:tcPr>
            <w:tcW w:w="861" w:type="pct"/>
            <w:tcBorders>
              <w:top w:val="nil"/>
              <w:left w:val="nil"/>
              <w:bottom w:val="single" w:sz="4" w:space="0" w:color="auto"/>
              <w:right w:val="single" w:sz="4" w:space="0" w:color="auto"/>
            </w:tcBorders>
            <w:shd w:val="clear" w:color="000000" w:fill="FFF2CC"/>
            <w:hideMark/>
          </w:tcPr>
          <w:p w14:paraId="2475D726"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Governance, Risk and Compliance</w:t>
            </w:r>
          </w:p>
        </w:tc>
        <w:tc>
          <w:tcPr>
            <w:tcW w:w="378" w:type="pct"/>
            <w:tcBorders>
              <w:top w:val="nil"/>
              <w:left w:val="nil"/>
              <w:bottom w:val="single" w:sz="4" w:space="0" w:color="auto"/>
              <w:right w:val="single" w:sz="4" w:space="0" w:color="auto"/>
            </w:tcBorders>
            <w:shd w:val="clear" w:color="auto" w:fill="auto"/>
            <w:noWrap/>
            <w:vAlign w:val="bottom"/>
            <w:hideMark/>
          </w:tcPr>
          <w:p w14:paraId="57CBA033"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5" w:type="pct"/>
            <w:tcBorders>
              <w:top w:val="nil"/>
              <w:left w:val="nil"/>
              <w:bottom w:val="single" w:sz="4" w:space="0" w:color="auto"/>
              <w:right w:val="single" w:sz="4" w:space="0" w:color="auto"/>
            </w:tcBorders>
            <w:shd w:val="clear" w:color="auto" w:fill="auto"/>
            <w:noWrap/>
            <w:vAlign w:val="bottom"/>
            <w:hideMark/>
          </w:tcPr>
          <w:p w14:paraId="39CDA4BC"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pct"/>
            <w:tcBorders>
              <w:top w:val="nil"/>
              <w:left w:val="nil"/>
              <w:bottom w:val="single" w:sz="4" w:space="0" w:color="auto"/>
              <w:right w:val="single" w:sz="4" w:space="0" w:color="auto"/>
            </w:tcBorders>
            <w:shd w:val="clear" w:color="auto" w:fill="auto"/>
            <w:noWrap/>
            <w:vAlign w:val="bottom"/>
            <w:hideMark/>
          </w:tcPr>
          <w:p w14:paraId="2135A2D4"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79" w:type="pct"/>
            <w:tcBorders>
              <w:top w:val="nil"/>
              <w:left w:val="nil"/>
              <w:bottom w:val="single" w:sz="4" w:space="0" w:color="auto"/>
              <w:right w:val="single" w:sz="4" w:space="0" w:color="auto"/>
            </w:tcBorders>
            <w:shd w:val="clear" w:color="auto" w:fill="auto"/>
            <w:noWrap/>
            <w:vAlign w:val="bottom"/>
            <w:hideMark/>
          </w:tcPr>
          <w:p w14:paraId="21B47363"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pct"/>
            <w:tcBorders>
              <w:top w:val="nil"/>
              <w:left w:val="nil"/>
              <w:bottom w:val="single" w:sz="4" w:space="0" w:color="auto"/>
              <w:right w:val="single" w:sz="4" w:space="0" w:color="auto"/>
            </w:tcBorders>
            <w:shd w:val="clear" w:color="auto" w:fill="auto"/>
            <w:noWrap/>
            <w:vAlign w:val="bottom"/>
            <w:hideMark/>
          </w:tcPr>
          <w:p w14:paraId="22BB64AC"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80" w:type="pct"/>
            <w:tcBorders>
              <w:top w:val="nil"/>
              <w:left w:val="nil"/>
              <w:bottom w:val="single" w:sz="4" w:space="0" w:color="auto"/>
              <w:right w:val="single" w:sz="4" w:space="0" w:color="auto"/>
            </w:tcBorders>
            <w:shd w:val="clear" w:color="auto" w:fill="auto"/>
            <w:noWrap/>
            <w:vAlign w:val="bottom"/>
            <w:hideMark/>
          </w:tcPr>
          <w:p w14:paraId="0A11EDCF"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pct"/>
            <w:tcBorders>
              <w:top w:val="nil"/>
              <w:left w:val="nil"/>
              <w:bottom w:val="single" w:sz="4" w:space="0" w:color="auto"/>
              <w:right w:val="single" w:sz="4" w:space="0" w:color="auto"/>
            </w:tcBorders>
            <w:shd w:val="clear" w:color="auto" w:fill="auto"/>
            <w:noWrap/>
            <w:vAlign w:val="bottom"/>
            <w:hideMark/>
          </w:tcPr>
          <w:p w14:paraId="6CDCD113"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79" w:type="pct"/>
            <w:tcBorders>
              <w:top w:val="nil"/>
              <w:left w:val="nil"/>
              <w:bottom w:val="single" w:sz="4" w:space="0" w:color="auto"/>
              <w:right w:val="single" w:sz="4" w:space="0" w:color="auto"/>
            </w:tcBorders>
            <w:shd w:val="clear" w:color="auto" w:fill="auto"/>
            <w:noWrap/>
            <w:vAlign w:val="bottom"/>
            <w:hideMark/>
          </w:tcPr>
          <w:p w14:paraId="6E4DAC8D"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pct"/>
            <w:tcBorders>
              <w:top w:val="nil"/>
              <w:left w:val="nil"/>
              <w:bottom w:val="single" w:sz="4" w:space="0" w:color="auto"/>
              <w:right w:val="single" w:sz="4" w:space="0" w:color="auto"/>
            </w:tcBorders>
            <w:shd w:val="clear" w:color="auto" w:fill="auto"/>
            <w:noWrap/>
            <w:vAlign w:val="bottom"/>
            <w:hideMark/>
          </w:tcPr>
          <w:p w14:paraId="34E197BB"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80" w:type="pct"/>
            <w:tcBorders>
              <w:top w:val="nil"/>
              <w:left w:val="nil"/>
              <w:bottom w:val="single" w:sz="4" w:space="0" w:color="auto"/>
              <w:right w:val="single" w:sz="4" w:space="0" w:color="auto"/>
            </w:tcBorders>
            <w:shd w:val="clear" w:color="auto" w:fill="auto"/>
            <w:noWrap/>
            <w:vAlign w:val="bottom"/>
            <w:hideMark/>
          </w:tcPr>
          <w:p w14:paraId="4D86BA2C"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583" w:type="pct"/>
            <w:tcBorders>
              <w:top w:val="nil"/>
              <w:left w:val="nil"/>
              <w:bottom w:val="single" w:sz="4" w:space="0" w:color="auto"/>
              <w:right w:val="single" w:sz="4" w:space="0" w:color="auto"/>
            </w:tcBorders>
            <w:shd w:val="clear" w:color="auto" w:fill="auto"/>
            <w:noWrap/>
            <w:vAlign w:val="bottom"/>
            <w:hideMark/>
          </w:tcPr>
          <w:p w14:paraId="44A110A3"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xml:space="preserve">                           -   </w:t>
            </w:r>
          </w:p>
        </w:tc>
      </w:tr>
      <w:tr w:rsidR="000A1AD9" w:rsidRPr="00000F38" w14:paraId="452314D0" w14:textId="77777777" w:rsidTr="008E0319">
        <w:trPr>
          <w:trHeight w:val="300"/>
        </w:trPr>
        <w:tc>
          <w:tcPr>
            <w:tcW w:w="244" w:type="pct"/>
            <w:tcBorders>
              <w:top w:val="nil"/>
              <w:left w:val="single" w:sz="4" w:space="0" w:color="auto"/>
              <w:bottom w:val="single" w:sz="4" w:space="0" w:color="auto"/>
              <w:right w:val="single" w:sz="4" w:space="0" w:color="auto"/>
            </w:tcBorders>
            <w:shd w:val="clear" w:color="auto" w:fill="auto"/>
            <w:noWrap/>
            <w:vAlign w:val="bottom"/>
            <w:hideMark/>
          </w:tcPr>
          <w:p w14:paraId="3A890FD9"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8</w:t>
            </w:r>
          </w:p>
        </w:tc>
        <w:tc>
          <w:tcPr>
            <w:tcW w:w="861" w:type="pct"/>
            <w:tcBorders>
              <w:top w:val="nil"/>
              <w:left w:val="nil"/>
              <w:bottom w:val="single" w:sz="4" w:space="0" w:color="auto"/>
              <w:right w:val="single" w:sz="4" w:space="0" w:color="auto"/>
            </w:tcBorders>
            <w:shd w:val="clear" w:color="000000" w:fill="FFF2CC"/>
            <w:hideMark/>
          </w:tcPr>
          <w:p w14:paraId="3731B965"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Decoy (Honeypot)</w:t>
            </w:r>
          </w:p>
        </w:tc>
        <w:tc>
          <w:tcPr>
            <w:tcW w:w="378" w:type="pct"/>
            <w:tcBorders>
              <w:top w:val="nil"/>
              <w:left w:val="nil"/>
              <w:bottom w:val="single" w:sz="4" w:space="0" w:color="auto"/>
              <w:right w:val="single" w:sz="4" w:space="0" w:color="auto"/>
            </w:tcBorders>
            <w:shd w:val="clear" w:color="auto" w:fill="auto"/>
            <w:noWrap/>
            <w:vAlign w:val="bottom"/>
            <w:hideMark/>
          </w:tcPr>
          <w:p w14:paraId="09A22F10"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5" w:type="pct"/>
            <w:tcBorders>
              <w:top w:val="nil"/>
              <w:left w:val="nil"/>
              <w:bottom w:val="single" w:sz="4" w:space="0" w:color="auto"/>
              <w:right w:val="single" w:sz="4" w:space="0" w:color="auto"/>
            </w:tcBorders>
            <w:shd w:val="clear" w:color="auto" w:fill="auto"/>
            <w:noWrap/>
            <w:vAlign w:val="bottom"/>
            <w:hideMark/>
          </w:tcPr>
          <w:p w14:paraId="2DF42459"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pct"/>
            <w:tcBorders>
              <w:top w:val="nil"/>
              <w:left w:val="nil"/>
              <w:bottom w:val="single" w:sz="4" w:space="0" w:color="auto"/>
              <w:right w:val="single" w:sz="4" w:space="0" w:color="auto"/>
            </w:tcBorders>
            <w:shd w:val="clear" w:color="auto" w:fill="auto"/>
            <w:noWrap/>
            <w:vAlign w:val="bottom"/>
            <w:hideMark/>
          </w:tcPr>
          <w:p w14:paraId="0A233244"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79" w:type="pct"/>
            <w:tcBorders>
              <w:top w:val="nil"/>
              <w:left w:val="nil"/>
              <w:bottom w:val="single" w:sz="4" w:space="0" w:color="auto"/>
              <w:right w:val="single" w:sz="4" w:space="0" w:color="auto"/>
            </w:tcBorders>
            <w:shd w:val="clear" w:color="auto" w:fill="auto"/>
            <w:noWrap/>
            <w:vAlign w:val="bottom"/>
            <w:hideMark/>
          </w:tcPr>
          <w:p w14:paraId="034C1C92"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pct"/>
            <w:tcBorders>
              <w:top w:val="nil"/>
              <w:left w:val="nil"/>
              <w:bottom w:val="single" w:sz="4" w:space="0" w:color="auto"/>
              <w:right w:val="single" w:sz="4" w:space="0" w:color="auto"/>
            </w:tcBorders>
            <w:shd w:val="clear" w:color="auto" w:fill="auto"/>
            <w:noWrap/>
            <w:vAlign w:val="bottom"/>
            <w:hideMark/>
          </w:tcPr>
          <w:p w14:paraId="19F0B38E"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80" w:type="pct"/>
            <w:tcBorders>
              <w:top w:val="nil"/>
              <w:left w:val="nil"/>
              <w:bottom w:val="single" w:sz="4" w:space="0" w:color="auto"/>
              <w:right w:val="single" w:sz="4" w:space="0" w:color="auto"/>
            </w:tcBorders>
            <w:shd w:val="clear" w:color="auto" w:fill="auto"/>
            <w:noWrap/>
            <w:vAlign w:val="bottom"/>
            <w:hideMark/>
          </w:tcPr>
          <w:p w14:paraId="42251000"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pct"/>
            <w:tcBorders>
              <w:top w:val="nil"/>
              <w:left w:val="nil"/>
              <w:bottom w:val="single" w:sz="4" w:space="0" w:color="auto"/>
              <w:right w:val="single" w:sz="4" w:space="0" w:color="auto"/>
            </w:tcBorders>
            <w:shd w:val="clear" w:color="auto" w:fill="auto"/>
            <w:noWrap/>
            <w:vAlign w:val="bottom"/>
            <w:hideMark/>
          </w:tcPr>
          <w:p w14:paraId="22E3B06F"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79" w:type="pct"/>
            <w:tcBorders>
              <w:top w:val="nil"/>
              <w:left w:val="nil"/>
              <w:bottom w:val="single" w:sz="4" w:space="0" w:color="auto"/>
              <w:right w:val="single" w:sz="4" w:space="0" w:color="auto"/>
            </w:tcBorders>
            <w:shd w:val="clear" w:color="auto" w:fill="auto"/>
            <w:noWrap/>
            <w:vAlign w:val="bottom"/>
            <w:hideMark/>
          </w:tcPr>
          <w:p w14:paraId="13F46366"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pct"/>
            <w:tcBorders>
              <w:top w:val="nil"/>
              <w:left w:val="nil"/>
              <w:bottom w:val="single" w:sz="4" w:space="0" w:color="auto"/>
              <w:right w:val="single" w:sz="4" w:space="0" w:color="auto"/>
            </w:tcBorders>
            <w:shd w:val="clear" w:color="auto" w:fill="auto"/>
            <w:noWrap/>
            <w:vAlign w:val="bottom"/>
            <w:hideMark/>
          </w:tcPr>
          <w:p w14:paraId="21960810"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80" w:type="pct"/>
            <w:tcBorders>
              <w:top w:val="nil"/>
              <w:left w:val="nil"/>
              <w:bottom w:val="single" w:sz="4" w:space="0" w:color="auto"/>
              <w:right w:val="single" w:sz="4" w:space="0" w:color="auto"/>
            </w:tcBorders>
            <w:shd w:val="clear" w:color="auto" w:fill="auto"/>
            <w:noWrap/>
            <w:vAlign w:val="bottom"/>
            <w:hideMark/>
          </w:tcPr>
          <w:p w14:paraId="13C016A5"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583" w:type="pct"/>
            <w:tcBorders>
              <w:top w:val="nil"/>
              <w:left w:val="nil"/>
              <w:bottom w:val="single" w:sz="4" w:space="0" w:color="auto"/>
              <w:right w:val="single" w:sz="4" w:space="0" w:color="auto"/>
            </w:tcBorders>
            <w:shd w:val="clear" w:color="auto" w:fill="auto"/>
            <w:noWrap/>
            <w:vAlign w:val="bottom"/>
            <w:hideMark/>
          </w:tcPr>
          <w:p w14:paraId="4B3180B2"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xml:space="preserve">                           -   </w:t>
            </w:r>
          </w:p>
        </w:tc>
      </w:tr>
      <w:tr w:rsidR="000A1AD9" w:rsidRPr="00000F38" w14:paraId="49387A21" w14:textId="77777777" w:rsidTr="008E0319">
        <w:trPr>
          <w:trHeight w:val="300"/>
        </w:trPr>
        <w:tc>
          <w:tcPr>
            <w:tcW w:w="244" w:type="pct"/>
            <w:tcBorders>
              <w:top w:val="nil"/>
              <w:left w:val="single" w:sz="4" w:space="0" w:color="auto"/>
              <w:bottom w:val="single" w:sz="4" w:space="0" w:color="auto"/>
              <w:right w:val="single" w:sz="4" w:space="0" w:color="auto"/>
            </w:tcBorders>
            <w:shd w:val="clear" w:color="auto" w:fill="auto"/>
            <w:noWrap/>
            <w:vAlign w:val="bottom"/>
            <w:hideMark/>
          </w:tcPr>
          <w:p w14:paraId="6DE25BD5"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9</w:t>
            </w:r>
          </w:p>
        </w:tc>
        <w:tc>
          <w:tcPr>
            <w:tcW w:w="861" w:type="pct"/>
            <w:tcBorders>
              <w:top w:val="nil"/>
              <w:left w:val="nil"/>
              <w:bottom w:val="single" w:sz="4" w:space="0" w:color="auto"/>
              <w:right w:val="single" w:sz="4" w:space="0" w:color="auto"/>
            </w:tcBorders>
            <w:shd w:val="clear" w:color="000000" w:fill="FFF2CC"/>
            <w:hideMark/>
          </w:tcPr>
          <w:p w14:paraId="1FE9E647"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Mobile Device Management</w:t>
            </w:r>
          </w:p>
        </w:tc>
        <w:tc>
          <w:tcPr>
            <w:tcW w:w="378" w:type="pct"/>
            <w:tcBorders>
              <w:top w:val="nil"/>
              <w:left w:val="nil"/>
              <w:bottom w:val="single" w:sz="4" w:space="0" w:color="auto"/>
              <w:right w:val="single" w:sz="4" w:space="0" w:color="auto"/>
            </w:tcBorders>
            <w:shd w:val="clear" w:color="auto" w:fill="auto"/>
            <w:noWrap/>
            <w:vAlign w:val="bottom"/>
            <w:hideMark/>
          </w:tcPr>
          <w:p w14:paraId="6B33FAD9"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5" w:type="pct"/>
            <w:tcBorders>
              <w:top w:val="nil"/>
              <w:left w:val="nil"/>
              <w:bottom w:val="single" w:sz="4" w:space="0" w:color="auto"/>
              <w:right w:val="single" w:sz="4" w:space="0" w:color="auto"/>
            </w:tcBorders>
            <w:shd w:val="clear" w:color="auto" w:fill="auto"/>
            <w:noWrap/>
            <w:vAlign w:val="bottom"/>
            <w:hideMark/>
          </w:tcPr>
          <w:p w14:paraId="442B347E"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pct"/>
            <w:tcBorders>
              <w:top w:val="nil"/>
              <w:left w:val="nil"/>
              <w:bottom w:val="single" w:sz="4" w:space="0" w:color="auto"/>
              <w:right w:val="single" w:sz="4" w:space="0" w:color="auto"/>
            </w:tcBorders>
            <w:shd w:val="clear" w:color="auto" w:fill="auto"/>
            <w:noWrap/>
            <w:vAlign w:val="bottom"/>
            <w:hideMark/>
          </w:tcPr>
          <w:p w14:paraId="4889A1B6"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79" w:type="pct"/>
            <w:tcBorders>
              <w:top w:val="nil"/>
              <w:left w:val="nil"/>
              <w:bottom w:val="single" w:sz="4" w:space="0" w:color="auto"/>
              <w:right w:val="single" w:sz="4" w:space="0" w:color="auto"/>
            </w:tcBorders>
            <w:shd w:val="clear" w:color="auto" w:fill="auto"/>
            <w:noWrap/>
            <w:vAlign w:val="bottom"/>
            <w:hideMark/>
          </w:tcPr>
          <w:p w14:paraId="630D9816"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pct"/>
            <w:tcBorders>
              <w:top w:val="nil"/>
              <w:left w:val="nil"/>
              <w:bottom w:val="single" w:sz="4" w:space="0" w:color="auto"/>
              <w:right w:val="single" w:sz="4" w:space="0" w:color="auto"/>
            </w:tcBorders>
            <w:shd w:val="clear" w:color="auto" w:fill="auto"/>
            <w:noWrap/>
            <w:vAlign w:val="bottom"/>
            <w:hideMark/>
          </w:tcPr>
          <w:p w14:paraId="1B905D16"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80" w:type="pct"/>
            <w:tcBorders>
              <w:top w:val="nil"/>
              <w:left w:val="nil"/>
              <w:bottom w:val="single" w:sz="4" w:space="0" w:color="auto"/>
              <w:right w:val="single" w:sz="4" w:space="0" w:color="auto"/>
            </w:tcBorders>
            <w:shd w:val="clear" w:color="auto" w:fill="auto"/>
            <w:noWrap/>
            <w:vAlign w:val="bottom"/>
            <w:hideMark/>
          </w:tcPr>
          <w:p w14:paraId="0C4FC759"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pct"/>
            <w:tcBorders>
              <w:top w:val="nil"/>
              <w:left w:val="nil"/>
              <w:bottom w:val="single" w:sz="4" w:space="0" w:color="auto"/>
              <w:right w:val="single" w:sz="4" w:space="0" w:color="auto"/>
            </w:tcBorders>
            <w:shd w:val="clear" w:color="auto" w:fill="auto"/>
            <w:noWrap/>
            <w:vAlign w:val="bottom"/>
            <w:hideMark/>
          </w:tcPr>
          <w:p w14:paraId="6B9F5734"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79" w:type="pct"/>
            <w:tcBorders>
              <w:top w:val="nil"/>
              <w:left w:val="nil"/>
              <w:bottom w:val="single" w:sz="4" w:space="0" w:color="auto"/>
              <w:right w:val="single" w:sz="4" w:space="0" w:color="auto"/>
            </w:tcBorders>
            <w:shd w:val="clear" w:color="auto" w:fill="auto"/>
            <w:noWrap/>
            <w:vAlign w:val="bottom"/>
            <w:hideMark/>
          </w:tcPr>
          <w:p w14:paraId="5AE156BB"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pct"/>
            <w:tcBorders>
              <w:top w:val="nil"/>
              <w:left w:val="nil"/>
              <w:bottom w:val="single" w:sz="4" w:space="0" w:color="auto"/>
              <w:right w:val="single" w:sz="4" w:space="0" w:color="auto"/>
            </w:tcBorders>
            <w:shd w:val="clear" w:color="auto" w:fill="auto"/>
            <w:noWrap/>
            <w:vAlign w:val="bottom"/>
            <w:hideMark/>
          </w:tcPr>
          <w:p w14:paraId="11C9330E"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80" w:type="pct"/>
            <w:tcBorders>
              <w:top w:val="nil"/>
              <w:left w:val="nil"/>
              <w:bottom w:val="single" w:sz="4" w:space="0" w:color="auto"/>
              <w:right w:val="single" w:sz="4" w:space="0" w:color="auto"/>
            </w:tcBorders>
            <w:shd w:val="clear" w:color="auto" w:fill="auto"/>
            <w:noWrap/>
            <w:vAlign w:val="bottom"/>
            <w:hideMark/>
          </w:tcPr>
          <w:p w14:paraId="6EB861DF"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583" w:type="pct"/>
            <w:tcBorders>
              <w:top w:val="nil"/>
              <w:left w:val="nil"/>
              <w:bottom w:val="single" w:sz="4" w:space="0" w:color="auto"/>
              <w:right w:val="single" w:sz="4" w:space="0" w:color="auto"/>
            </w:tcBorders>
            <w:shd w:val="clear" w:color="auto" w:fill="auto"/>
            <w:noWrap/>
            <w:vAlign w:val="bottom"/>
            <w:hideMark/>
          </w:tcPr>
          <w:p w14:paraId="328F9449"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xml:space="preserve">                           -   </w:t>
            </w:r>
          </w:p>
        </w:tc>
      </w:tr>
      <w:tr w:rsidR="000A1AD9" w:rsidRPr="00000F38" w14:paraId="2AC992FE" w14:textId="77777777" w:rsidTr="008E0319">
        <w:trPr>
          <w:trHeight w:val="510"/>
        </w:trPr>
        <w:tc>
          <w:tcPr>
            <w:tcW w:w="244" w:type="pct"/>
            <w:tcBorders>
              <w:top w:val="nil"/>
              <w:left w:val="single" w:sz="4" w:space="0" w:color="auto"/>
              <w:bottom w:val="single" w:sz="4" w:space="0" w:color="auto"/>
              <w:right w:val="single" w:sz="4" w:space="0" w:color="auto"/>
            </w:tcBorders>
            <w:shd w:val="clear" w:color="auto" w:fill="auto"/>
            <w:noWrap/>
            <w:vAlign w:val="bottom"/>
            <w:hideMark/>
          </w:tcPr>
          <w:p w14:paraId="16B21404"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10</w:t>
            </w:r>
          </w:p>
        </w:tc>
        <w:tc>
          <w:tcPr>
            <w:tcW w:w="861" w:type="pct"/>
            <w:tcBorders>
              <w:top w:val="nil"/>
              <w:left w:val="nil"/>
              <w:bottom w:val="single" w:sz="4" w:space="0" w:color="auto"/>
              <w:right w:val="single" w:sz="4" w:space="0" w:color="auto"/>
            </w:tcBorders>
            <w:shd w:val="clear" w:color="000000" w:fill="FFF2CC"/>
            <w:hideMark/>
          </w:tcPr>
          <w:p w14:paraId="48B690A1"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Secure Data Backup and Recovery (Ransomware Solution)</w:t>
            </w:r>
          </w:p>
        </w:tc>
        <w:tc>
          <w:tcPr>
            <w:tcW w:w="378" w:type="pct"/>
            <w:tcBorders>
              <w:top w:val="nil"/>
              <w:left w:val="nil"/>
              <w:bottom w:val="single" w:sz="4" w:space="0" w:color="auto"/>
              <w:right w:val="single" w:sz="4" w:space="0" w:color="auto"/>
            </w:tcBorders>
            <w:shd w:val="clear" w:color="auto" w:fill="auto"/>
            <w:noWrap/>
            <w:vAlign w:val="bottom"/>
            <w:hideMark/>
          </w:tcPr>
          <w:p w14:paraId="1ED74CA7"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5" w:type="pct"/>
            <w:tcBorders>
              <w:top w:val="nil"/>
              <w:left w:val="nil"/>
              <w:bottom w:val="single" w:sz="4" w:space="0" w:color="auto"/>
              <w:right w:val="single" w:sz="4" w:space="0" w:color="auto"/>
            </w:tcBorders>
            <w:shd w:val="clear" w:color="auto" w:fill="auto"/>
            <w:noWrap/>
            <w:vAlign w:val="bottom"/>
            <w:hideMark/>
          </w:tcPr>
          <w:p w14:paraId="44A4662E"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pct"/>
            <w:tcBorders>
              <w:top w:val="nil"/>
              <w:left w:val="nil"/>
              <w:bottom w:val="single" w:sz="4" w:space="0" w:color="auto"/>
              <w:right w:val="single" w:sz="4" w:space="0" w:color="auto"/>
            </w:tcBorders>
            <w:shd w:val="clear" w:color="auto" w:fill="auto"/>
            <w:noWrap/>
            <w:vAlign w:val="bottom"/>
            <w:hideMark/>
          </w:tcPr>
          <w:p w14:paraId="71F0BF6F"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79" w:type="pct"/>
            <w:tcBorders>
              <w:top w:val="nil"/>
              <w:left w:val="nil"/>
              <w:bottom w:val="single" w:sz="4" w:space="0" w:color="auto"/>
              <w:right w:val="single" w:sz="4" w:space="0" w:color="auto"/>
            </w:tcBorders>
            <w:shd w:val="clear" w:color="auto" w:fill="auto"/>
            <w:noWrap/>
            <w:vAlign w:val="bottom"/>
            <w:hideMark/>
          </w:tcPr>
          <w:p w14:paraId="3BED0587"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pct"/>
            <w:tcBorders>
              <w:top w:val="nil"/>
              <w:left w:val="nil"/>
              <w:bottom w:val="single" w:sz="4" w:space="0" w:color="auto"/>
              <w:right w:val="single" w:sz="4" w:space="0" w:color="auto"/>
            </w:tcBorders>
            <w:shd w:val="clear" w:color="auto" w:fill="auto"/>
            <w:noWrap/>
            <w:vAlign w:val="bottom"/>
            <w:hideMark/>
          </w:tcPr>
          <w:p w14:paraId="0EF9DDCB"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80" w:type="pct"/>
            <w:tcBorders>
              <w:top w:val="nil"/>
              <w:left w:val="nil"/>
              <w:bottom w:val="single" w:sz="4" w:space="0" w:color="auto"/>
              <w:right w:val="single" w:sz="4" w:space="0" w:color="auto"/>
            </w:tcBorders>
            <w:shd w:val="clear" w:color="auto" w:fill="auto"/>
            <w:noWrap/>
            <w:vAlign w:val="bottom"/>
            <w:hideMark/>
          </w:tcPr>
          <w:p w14:paraId="22BE6EBE"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pct"/>
            <w:tcBorders>
              <w:top w:val="nil"/>
              <w:left w:val="nil"/>
              <w:bottom w:val="single" w:sz="4" w:space="0" w:color="auto"/>
              <w:right w:val="single" w:sz="4" w:space="0" w:color="auto"/>
            </w:tcBorders>
            <w:shd w:val="clear" w:color="auto" w:fill="auto"/>
            <w:noWrap/>
            <w:vAlign w:val="bottom"/>
            <w:hideMark/>
          </w:tcPr>
          <w:p w14:paraId="7EAB3920"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79" w:type="pct"/>
            <w:tcBorders>
              <w:top w:val="nil"/>
              <w:left w:val="nil"/>
              <w:bottom w:val="single" w:sz="4" w:space="0" w:color="auto"/>
              <w:right w:val="single" w:sz="4" w:space="0" w:color="auto"/>
            </w:tcBorders>
            <w:shd w:val="clear" w:color="auto" w:fill="auto"/>
            <w:noWrap/>
            <w:vAlign w:val="bottom"/>
            <w:hideMark/>
          </w:tcPr>
          <w:p w14:paraId="09BB731E"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pct"/>
            <w:tcBorders>
              <w:top w:val="nil"/>
              <w:left w:val="nil"/>
              <w:bottom w:val="single" w:sz="4" w:space="0" w:color="auto"/>
              <w:right w:val="single" w:sz="4" w:space="0" w:color="auto"/>
            </w:tcBorders>
            <w:shd w:val="clear" w:color="auto" w:fill="auto"/>
            <w:noWrap/>
            <w:vAlign w:val="bottom"/>
            <w:hideMark/>
          </w:tcPr>
          <w:p w14:paraId="773C0E5A"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80" w:type="pct"/>
            <w:tcBorders>
              <w:top w:val="single" w:sz="4" w:space="0" w:color="auto"/>
              <w:left w:val="nil"/>
              <w:bottom w:val="single" w:sz="4" w:space="0" w:color="auto"/>
              <w:right w:val="single" w:sz="4" w:space="0" w:color="auto"/>
            </w:tcBorders>
            <w:shd w:val="clear" w:color="auto" w:fill="auto"/>
            <w:noWrap/>
            <w:vAlign w:val="bottom"/>
            <w:hideMark/>
          </w:tcPr>
          <w:p w14:paraId="55FF8556"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583" w:type="pct"/>
            <w:tcBorders>
              <w:top w:val="nil"/>
              <w:left w:val="single" w:sz="4" w:space="0" w:color="auto"/>
              <w:bottom w:val="single" w:sz="4" w:space="0" w:color="auto"/>
              <w:right w:val="single" w:sz="4" w:space="0" w:color="auto"/>
            </w:tcBorders>
            <w:shd w:val="clear" w:color="auto" w:fill="auto"/>
            <w:noWrap/>
            <w:vAlign w:val="bottom"/>
            <w:hideMark/>
          </w:tcPr>
          <w:p w14:paraId="46AB0AC9"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r>
      <w:tr w:rsidR="000A1AD9" w:rsidRPr="00000F38" w14:paraId="2C797AB5" w14:textId="77777777" w:rsidTr="008E0319">
        <w:trPr>
          <w:trHeight w:val="300"/>
        </w:trPr>
        <w:tc>
          <w:tcPr>
            <w:tcW w:w="244" w:type="pct"/>
            <w:tcBorders>
              <w:top w:val="nil"/>
              <w:left w:val="single" w:sz="4" w:space="0" w:color="auto"/>
              <w:bottom w:val="single" w:sz="4" w:space="0" w:color="auto"/>
              <w:right w:val="single" w:sz="4" w:space="0" w:color="auto"/>
            </w:tcBorders>
            <w:shd w:val="clear" w:color="auto" w:fill="auto"/>
            <w:noWrap/>
            <w:vAlign w:val="bottom"/>
            <w:hideMark/>
          </w:tcPr>
          <w:p w14:paraId="1218E92D"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11</w:t>
            </w:r>
          </w:p>
        </w:tc>
        <w:tc>
          <w:tcPr>
            <w:tcW w:w="861" w:type="pct"/>
            <w:tcBorders>
              <w:top w:val="nil"/>
              <w:left w:val="nil"/>
              <w:bottom w:val="single" w:sz="4" w:space="0" w:color="auto"/>
              <w:right w:val="single" w:sz="4" w:space="0" w:color="auto"/>
            </w:tcBorders>
            <w:shd w:val="clear" w:color="000000" w:fill="FFF2CC"/>
            <w:hideMark/>
          </w:tcPr>
          <w:p w14:paraId="60B62116"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Network Access Control (NAC)</w:t>
            </w:r>
          </w:p>
        </w:tc>
        <w:tc>
          <w:tcPr>
            <w:tcW w:w="378" w:type="pct"/>
            <w:tcBorders>
              <w:top w:val="nil"/>
              <w:left w:val="nil"/>
              <w:bottom w:val="single" w:sz="4" w:space="0" w:color="auto"/>
              <w:right w:val="single" w:sz="4" w:space="0" w:color="auto"/>
            </w:tcBorders>
            <w:shd w:val="clear" w:color="auto" w:fill="auto"/>
            <w:noWrap/>
            <w:vAlign w:val="bottom"/>
            <w:hideMark/>
          </w:tcPr>
          <w:p w14:paraId="46203C9B"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305" w:type="pct"/>
            <w:tcBorders>
              <w:top w:val="nil"/>
              <w:left w:val="nil"/>
              <w:bottom w:val="single" w:sz="4" w:space="0" w:color="auto"/>
              <w:right w:val="single" w:sz="4" w:space="0" w:color="auto"/>
            </w:tcBorders>
            <w:shd w:val="clear" w:color="auto" w:fill="auto"/>
            <w:noWrap/>
            <w:vAlign w:val="bottom"/>
            <w:hideMark/>
          </w:tcPr>
          <w:p w14:paraId="5DC1EA90"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pct"/>
            <w:tcBorders>
              <w:top w:val="nil"/>
              <w:left w:val="nil"/>
              <w:bottom w:val="single" w:sz="4" w:space="0" w:color="auto"/>
              <w:right w:val="single" w:sz="4" w:space="0" w:color="auto"/>
            </w:tcBorders>
            <w:shd w:val="clear" w:color="auto" w:fill="auto"/>
            <w:noWrap/>
            <w:vAlign w:val="bottom"/>
            <w:hideMark/>
          </w:tcPr>
          <w:p w14:paraId="7350717F"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79" w:type="pct"/>
            <w:tcBorders>
              <w:top w:val="nil"/>
              <w:left w:val="nil"/>
              <w:bottom w:val="single" w:sz="4" w:space="0" w:color="auto"/>
              <w:right w:val="single" w:sz="4" w:space="0" w:color="auto"/>
            </w:tcBorders>
            <w:shd w:val="clear" w:color="auto" w:fill="auto"/>
            <w:noWrap/>
            <w:vAlign w:val="bottom"/>
            <w:hideMark/>
          </w:tcPr>
          <w:p w14:paraId="701F1782"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pct"/>
            <w:tcBorders>
              <w:top w:val="nil"/>
              <w:left w:val="nil"/>
              <w:bottom w:val="single" w:sz="4" w:space="0" w:color="auto"/>
              <w:right w:val="single" w:sz="4" w:space="0" w:color="auto"/>
            </w:tcBorders>
            <w:shd w:val="clear" w:color="auto" w:fill="auto"/>
            <w:noWrap/>
            <w:vAlign w:val="bottom"/>
            <w:hideMark/>
          </w:tcPr>
          <w:p w14:paraId="73D5D886"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80" w:type="pct"/>
            <w:tcBorders>
              <w:top w:val="nil"/>
              <w:left w:val="nil"/>
              <w:bottom w:val="single" w:sz="4" w:space="0" w:color="auto"/>
              <w:right w:val="single" w:sz="4" w:space="0" w:color="auto"/>
            </w:tcBorders>
            <w:shd w:val="clear" w:color="auto" w:fill="auto"/>
            <w:noWrap/>
            <w:vAlign w:val="bottom"/>
            <w:hideMark/>
          </w:tcPr>
          <w:p w14:paraId="6DE08816"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pct"/>
            <w:tcBorders>
              <w:top w:val="nil"/>
              <w:left w:val="nil"/>
              <w:bottom w:val="single" w:sz="4" w:space="0" w:color="auto"/>
              <w:right w:val="single" w:sz="4" w:space="0" w:color="auto"/>
            </w:tcBorders>
            <w:shd w:val="clear" w:color="auto" w:fill="auto"/>
            <w:noWrap/>
            <w:vAlign w:val="bottom"/>
            <w:hideMark/>
          </w:tcPr>
          <w:p w14:paraId="59D19420"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79" w:type="pct"/>
            <w:tcBorders>
              <w:top w:val="nil"/>
              <w:left w:val="nil"/>
              <w:bottom w:val="single" w:sz="4" w:space="0" w:color="auto"/>
              <w:right w:val="single" w:sz="4" w:space="0" w:color="auto"/>
            </w:tcBorders>
            <w:shd w:val="clear" w:color="auto" w:fill="auto"/>
            <w:noWrap/>
            <w:vAlign w:val="bottom"/>
            <w:hideMark/>
          </w:tcPr>
          <w:p w14:paraId="582C6B43"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pct"/>
            <w:tcBorders>
              <w:top w:val="nil"/>
              <w:left w:val="nil"/>
              <w:bottom w:val="single" w:sz="4" w:space="0" w:color="auto"/>
              <w:right w:val="single" w:sz="4" w:space="0" w:color="auto"/>
            </w:tcBorders>
            <w:shd w:val="clear" w:color="auto" w:fill="auto"/>
            <w:noWrap/>
            <w:vAlign w:val="bottom"/>
            <w:hideMark/>
          </w:tcPr>
          <w:p w14:paraId="3B1BC8CD"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w:t>
            </w:r>
          </w:p>
        </w:tc>
        <w:tc>
          <w:tcPr>
            <w:tcW w:w="280" w:type="pct"/>
            <w:tcBorders>
              <w:top w:val="nil"/>
              <w:left w:val="nil"/>
              <w:bottom w:val="single" w:sz="4" w:space="0" w:color="auto"/>
              <w:right w:val="single" w:sz="4" w:space="0" w:color="auto"/>
            </w:tcBorders>
            <w:shd w:val="clear" w:color="auto" w:fill="auto"/>
            <w:noWrap/>
            <w:vAlign w:val="bottom"/>
            <w:hideMark/>
          </w:tcPr>
          <w:p w14:paraId="33F323AF"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583" w:type="pct"/>
            <w:tcBorders>
              <w:top w:val="nil"/>
              <w:left w:val="single" w:sz="4" w:space="0" w:color="auto"/>
              <w:bottom w:val="single" w:sz="4" w:space="0" w:color="auto"/>
              <w:right w:val="single" w:sz="4" w:space="0" w:color="auto"/>
            </w:tcBorders>
            <w:shd w:val="clear" w:color="auto" w:fill="auto"/>
            <w:noWrap/>
            <w:vAlign w:val="bottom"/>
            <w:hideMark/>
          </w:tcPr>
          <w:p w14:paraId="11ACC7CB"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r>
      <w:tr w:rsidR="000A1AD9" w:rsidRPr="00000F38" w14:paraId="71CB37C7" w14:textId="77777777" w:rsidTr="008E0319">
        <w:trPr>
          <w:trHeight w:val="300"/>
        </w:trPr>
        <w:tc>
          <w:tcPr>
            <w:tcW w:w="244" w:type="pct"/>
            <w:tcBorders>
              <w:top w:val="nil"/>
              <w:left w:val="single" w:sz="4" w:space="0" w:color="auto"/>
              <w:bottom w:val="single" w:sz="4" w:space="0" w:color="auto"/>
              <w:right w:val="single" w:sz="4" w:space="0" w:color="auto"/>
            </w:tcBorders>
            <w:shd w:val="clear" w:color="auto" w:fill="auto"/>
            <w:noWrap/>
            <w:vAlign w:val="bottom"/>
            <w:hideMark/>
          </w:tcPr>
          <w:p w14:paraId="4B6541ED"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lastRenderedPageBreak/>
              <w:t> </w:t>
            </w:r>
          </w:p>
        </w:tc>
        <w:tc>
          <w:tcPr>
            <w:tcW w:w="861" w:type="pct"/>
            <w:tcBorders>
              <w:top w:val="nil"/>
              <w:left w:val="nil"/>
              <w:bottom w:val="single" w:sz="4" w:space="0" w:color="auto"/>
              <w:right w:val="single" w:sz="4" w:space="0" w:color="auto"/>
            </w:tcBorders>
            <w:shd w:val="clear" w:color="auto" w:fill="auto"/>
            <w:noWrap/>
            <w:vAlign w:val="bottom"/>
            <w:hideMark/>
          </w:tcPr>
          <w:p w14:paraId="069F0894"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pct"/>
            <w:tcBorders>
              <w:top w:val="nil"/>
              <w:left w:val="nil"/>
              <w:bottom w:val="single" w:sz="4" w:space="0" w:color="auto"/>
              <w:right w:val="single" w:sz="4" w:space="0" w:color="auto"/>
            </w:tcBorders>
            <w:shd w:val="clear" w:color="auto" w:fill="auto"/>
            <w:noWrap/>
            <w:vAlign w:val="bottom"/>
            <w:hideMark/>
          </w:tcPr>
          <w:p w14:paraId="1E18C353"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5" w:type="pct"/>
            <w:tcBorders>
              <w:top w:val="nil"/>
              <w:left w:val="nil"/>
              <w:bottom w:val="single" w:sz="4" w:space="0" w:color="auto"/>
              <w:right w:val="single" w:sz="4" w:space="0" w:color="auto"/>
            </w:tcBorders>
            <w:shd w:val="clear" w:color="auto" w:fill="auto"/>
            <w:noWrap/>
            <w:vAlign w:val="bottom"/>
            <w:hideMark/>
          </w:tcPr>
          <w:p w14:paraId="370A0B6A"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pct"/>
            <w:tcBorders>
              <w:top w:val="nil"/>
              <w:left w:val="nil"/>
              <w:bottom w:val="single" w:sz="4" w:space="0" w:color="auto"/>
              <w:right w:val="single" w:sz="4" w:space="0" w:color="auto"/>
            </w:tcBorders>
            <w:shd w:val="clear" w:color="auto" w:fill="auto"/>
            <w:noWrap/>
            <w:vAlign w:val="bottom"/>
            <w:hideMark/>
          </w:tcPr>
          <w:p w14:paraId="1764A732"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79" w:type="pct"/>
            <w:tcBorders>
              <w:top w:val="nil"/>
              <w:left w:val="nil"/>
              <w:bottom w:val="single" w:sz="4" w:space="0" w:color="auto"/>
              <w:right w:val="single" w:sz="4" w:space="0" w:color="auto"/>
            </w:tcBorders>
            <w:shd w:val="clear" w:color="auto" w:fill="auto"/>
            <w:noWrap/>
            <w:vAlign w:val="bottom"/>
            <w:hideMark/>
          </w:tcPr>
          <w:p w14:paraId="0B6ED9CC"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pct"/>
            <w:tcBorders>
              <w:top w:val="nil"/>
              <w:left w:val="nil"/>
              <w:bottom w:val="single" w:sz="4" w:space="0" w:color="auto"/>
              <w:right w:val="single" w:sz="4" w:space="0" w:color="auto"/>
            </w:tcBorders>
            <w:shd w:val="clear" w:color="auto" w:fill="auto"/>
            <w:noWrap/>
            <w:vAlign w:val="bottom"/>
            <w:hideMark/>
          </w:tcPr>
          <w:p w14:paraId="36A6162A"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80" w:type="pct"/>
            <w:tcBorders>
              <w:top w:val="nil"/>
              <w:left w:val="nil"/>
              <w:bottom w:val="single" w:sz="4" w:space="0" w:color="auto"/>
              <w:right w:val="single" w:sz="4" w:space="0" w:color="auto"/>
            </w:tcBorders>
            <w:shd w:val="clear" w:color="auto" w:fill="auto"/>
            <w:noWrap/>
            <w:vAlign w:val="bottom"/>
            <w:hideMark/>
          </w:tcPr>
          <w:p w14:paraId="1CAD25CC"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pct"/>
            <w:tcBorders>
              <w:top w:val="nil"/>
              <w:left w:val="nil"/>
              <w:bottom w:val="single" w:sz="4" w:space="0" w:color="auto"/>
              <w:right w:val="single" w:sz="4" w:space="0" w:color="auto"/>
            </w:tcBorders>
            <w:shd w:val="clear" w:color="auto" w:fill="auto"/>
            <w:noWrap/>
            <w:vAlign w:val="bottom"/>
            <w:hideMark/>
          </w:tcPr>
          <w:p w14:paraId="398FC319"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79" w:type="pct"/>
            <w:tcBorders>
              <w:top w:val="nil"/>
              <w:left w:val="nil"/>
              <w:bottom w:val="single" w:sz="4" w:space="0" w:color="auto"/>
              <w:right w:val="single" w:sz="4" w:space="0" w:color="auto"/>
            </w:tcBorders>
            <w:shd w:val="clear" w:color="auto" w:fill="auto"/>
            <w:noWrap/>
            <w:vAlign w:val="bottom"/>
            <w:hideMark/>
          </w:tcPr>
          <w:p w14:paraId="5B3C7491"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658"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950BA64"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TOTAL</w:t>
            </w:r>
          </w:p>
        </w:tc>
        <w:tc>
          <w:tcPr>
            <w:tcW w:w="583" w:type="pct"/>
            <w:tcBorders>
              <w:top w:val="nil"/>
              <w:left w:val="single" w:sz="4" w:space="0" w:color="auto"/>
              <w:bottom w:val="single" w:sz="4" w:space="0" w:color="auto"/>
              <w:right w:val="single" w:sz="4" w:space="0" w:color="auto"/>
            </w:tcBorders>
            <w:shd w:val="clear" w:color="000000" w:fill="E2EFDA"/>
            <w:noWrap/>
            <w:vAlign w:val="bottom"/>
            <w:hideMark/>
          </w:tcPr>
          <w:p w14:paraId="690B4E64"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xml:space="preserve">                           -   </w:t>
            </w:r>
          </w:p>
        </w:tc>
      </w:tr>
      <w:tr w:rsidR="000A1AD9" w:rsidRPr="00000F38" w14:paraId="344F1FBE" w14:textId="77777777" w:rsidTr="008E0319">
        <w:trPr>
          <w:trHeight w:val="300"/>
        </w:trPr>
        <w:tc>
          <w:tcPr>
            <w:tcW w:w="244" w:type="pct"/>
            <w:tcBorders>
              <w:top w:val="nil"/>
              <w:left w:val="single" w:sz="4" w:space="0" w:color="auto"/>
              <w:bottom w:val="single" w:sz="4" w:space="0" w:color="auto"/>
              <w:right w:val="single" w:sz="4" w:space="0" w:color="auto"/>
            </w:tcBorders>
            <w:shd w:val="clear" w:color="auto" w:fill="auto"/>
            <w:noWrap/>
            <w:vAlign w:val="bottom"/>
            <w:hideMark/>
          </w:tcPr>
          <w:p w14:paraId="1C27CB40"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4756" w:type="pct"/>
            <w:gridSpan w:val="12"/>
            <w:tcBorders>
              <w:top w:val="single" w:sz="4" w:space="0" w:color="auto"/>
              <w:left w:val="nil"/>
              <w:bottom w:val="single" w:sz="4" w:space="0" w:color="auto"/>
              <w:right w:val="single" w:sz="4" w:space="0" w:color="auto"/>
            </w:tcBorders>
            <w:shd w:val="clear" w:color="000000" w:fill="D9D9D9"/>
            <w:noWrap/>
            <w:vAlign w:val="bottom"/>
            <w:hideMark/>
          </w:tcPr>
          <w:p w14:paraId="3DAD16C4" w14:textId="77777777" w:rsidR="000A1AD9" w:rsidRPr="00000F38" w:rsidRDefault="000A1AD9" w:rsidP="000A1AD9">
            <w:pPr>
              <w:spacing w:after="0" w:line="240" w:lineRule="auto"/>
              <w:jc w:val="center"/>
              <w:rPr>
                <w:rFonts w:eastAsia="Times New Roman" w:cstheme="minorHAnsi"/>
                <w:b/>
                <w:bCs/>
                <w:color w:val="000000"/>
                <w:lang w:val="en-GB" w:eastAsia="en-GB"/>
              </w:rPr>
            </w:pPr>
            <w:r w:rsidRPr="00000F38">
              <w:rPr>
                <w:rFonts w:eastAsia="Times New Roman" w:cstheme="minorHAnsi"/>
                <w:b/>
                <w:bCs/>
                <w:color w:val="000000"/>
                <w:lang w:val="en-GB" w:eastAsia="en-GB"/>
              </w:rPr>
              <w:t>Additional Professional Services Cost over the period of for 5 Years</w:t>
            </w:r>
          </w:p>
        </w:tc>
      </w:tr>
      <w:tr w:rsidR="000A1AD9" w:rsidRPr="00000F38" w14:paraId="375CB649" w14:textId="77777777" w:rsidTr="008E0319">
        <w:trPr>
          <w:trHeight w:val="300"/>
        </w:trPr>
        <w:tc>
          <w:tcPr>
            <w:tcW w:w="244" w:type="pct"/>
            <w:tcBorders>
              <w:top w:val="nil"/>
              <w:left w:val="single" w:sz="4" w:space="0" w:color="auto"/>
              <w:bottom w:val="single" w:sz="4" w:space="0" w:color="auto"/>
              <w:right w:val="single" w:sz="4" w:space="0" w:color="auto"/>
            </w:tcBorders>
            <w:shd w:val="clear" w:color="auto" w:fill="auto"/>
            <w:noWrap/>
            <w:vAlign w:val="bottom"/>
            <w:hideMark/>
          </w:tcPr>
          <w:p w14:paraId="5A817AE3"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861" w:type="pct"/>
            <w:tcBorders>
              <w:top w:val="nil"/>
              <w:left w:val="nil"/>
              <w:bottom w:val="single" w:sz="4" w:space="0" w:color="auto"/>
              <w:right w:val="single" w:sz="4" w:space="0" w:color="auto"/>
            </w:tcBorders>
            <w:shd w:val="clear" w:color="000000" w:fill="44546A"/>
            <w:noWrap/>
            <w:vAlign w:val="bottom"/>
            <w:hideMark/>
          </w:tcPr>
          <w:p w14:paraId="34543F84" w14:textId="77777777" w:rsidR="000A1AD9" w:rsidRPr="00000F38" w:rsidRDefault="000A1AD9" w:rsidP="000A1AD9">
            <w:pPr>
              <w:spacing w:after="0" w:line="240" w:lineRule="auto"/>
              <w:rPr>
                <w:rFonts w:eastAsia="Times New Roman" w:cstheme="minorHAnsi"/>
                <w:b/>
                <w:bCs/>
                <w:color w:val="FFFFFF"/>
                <w:lang w:val="en-GB" w:eastAsia="en-GB"/>
              </w:rPr>
            </w:pPr>
            <w:r w:rsidRPr="00000F38">
              <w:rPr>
                <w:rFonts w:eastAsia="Times New Roman" w:cstheme="minorHAnsi"/>
                <w:b/>
                <w:bCs/>
                <w:color w:val="FFFFFF"/>
                <w:lang w:val="en-GB" w:eastAsia="en-GB"/>
              </w:rPr>
              <w:t> </w:t>
            </w:r>
          </w:p>
        </w:tc>
        <w:tc>
          <w:tcPr>
            <w:tcW w:w="3312" w:type="pct"/>
            <w:gridSpan w:val="10"/>
            <w:tcBorders>
              <w:top w:val="single" w:sz="4" w:space="0" w:color="auto"/>
              <w:left w:val="single" w:sz="4" w:space="0" w:color="auto"/>
              <w:bottom w:val="single" w:sz="4" w:space="0" w:color="auto"/>
              <w:right w:val="single" w:sz="4" w:space="0" w:color="000000"/>
            </w:tcBorders>
            <w:shd w:val="clear" w:color="000000" w:fill="44546A"/>
            <w:noWrap/>
            <w:vAlign w:val="center"/>
            <w:hideMark/>
          </w:tcPr>
          <w:p w14:paraId="1F1577C2"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5 Years</w:t>
            </w:r>
          </w:p>
        </w:tc>
        <w:tc>
          <w:tcPr>
            <w:tcW w:w="583" w:type="pct"/>
            <w:vMerge w:val="restart"/>
            <w:tcBorders>
              <w:top w:val="nil"/>
              <w:left w:val="single" w:sz="4" w:space="0" w:color="auto"/>
              <w:bottom w:val="single" w:sz="4" w:space="0" w:color="000000"/>
              <w:right w:val="single" w:sz="4" w:space="0" w:color="auto"/>
            </w:tcBorders>
            <w:shd w:val="clear" w:color="000000" w:fill="44546A"/>
            <w:noWrap/>
            <w:vAlign w:val="center"/>
            <w:hideMark/>
          </w:tcPr>
          <w:p w14:paraId="15A007EC"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Total</w:t>
            </w:r>
          </w:p>
        </w:tc>
      </w:tr>
      <w:tr w:rsidR="000A1AD9" w:rsidRPr="00000F38" w14:paraId="5659AF79" w14:textId="77777777" w:rsidTr="008E0319">
        <w:trPr>
          <w:trHeight w:val="600"/>
        </w:trPr>
        <w:tc>
          <w:tcPr>
            <w:tcW w:w="244" w:type="pct"/>
            <w:tcBorders>
              <w:top w:val="nil"/>
              <w:left w:val="single" w:sz="4" w:space="0" w:color="auto"/>
              <w:bottom w:val="single" w:sz="4" w:space="0" w:color="auto"/>
              <w:right w:val="single" w:sz="4" w:space="0" w:color="auto"/>
            </w:tcBorders>
            <w:shd w:val="clear" w:color="auto" w:fill="auto"/>
            <w:noWrap/>
            <w:vAlign w:val="bottom"/>
            <w:hideMark/>
          </w:tcPr>
          <w:p w14:paraId="7AC9E848"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861" w:type="pct"/>
            <w:tcBorders>
              <w:top w:val="nil"/>
              <w:left w:val="nil"/>
              <w:bottom w:val="single" w:sz="4" w:space="0" w:color="auto"/>
              <w:right w:val="single" w:sz="4" w:space="0" w:color="auto"/>
            </w:tcBorders>
            <w:shd w:val="clear" w:color="000000" w:fill="44546A"/>
            <w:noWrap/>
            <w:vAlign w:val="bottom"/>
            <w:hideMark/>
          </w:tcPr>
          <w:p w14:paraId="2EE10339" w14:textId="77777777" w:rsidR="000A1AD9" w:rsidRPr="00000F38" w:rsidRDefault="000A1AD9" w:rsidP="000A1AD9">
            <w:pPr>
              <w:spacing w:after="0" w:line="240" w:lineRule="auto"/>
              <w:rPr>
                <w:rFonts w:eastAsia="Times New Roman" w:cstheme="minorHAnsi"/>
                <w:b/>
                <w:bCs/>
                <w:color w:val="FFFFFF"/>
                <w:lang w:val="en-GB" w:eastAsia="en-GB"/>
              </w:rPr>
            </w:pPr>
            <w:r w:rsidRPr="00000F38">
              <w:rPr>
                <w:rFonts w:eastAsia="Times New Roman" w:cstheme="minorHAnsi"/>
                <w:b/>
                <w:bCs/>
                <w:color w:val="FFFFFF"/>
                <w:lang w:val="en-GB" w:eastAsia="en-GB"/>
              </w:rPr>
              <w:t> </w:t>
            </w:r>
          </w:p>
        </w:tc>
        <w:tc>
          <w:tcPr>
            <w:tcW w:w="378" w:type="pct"/>
            <w:tcBorders>
              <w:top w:val="single" w:sz="4" w:space="0" w:color="auto"/>
              <w:left w:val="nil"/>
              <w:bottom w:val="single" w:sz="4" w:space="0" w:color="auto"/>
              <w:right w:val="single" w:sz="4" w:space="0" w:color="auto"/>
            </w:tcBorders>
            <w:shd w:val="clear" w:color="000000" w:fill="44546A"/>
            <w:vAlign w:val="center"/>
            <w:hideMark/>
          </w:tcPr>
          <w:p w14:paraId="09457F4C"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No. of Mandays</w:t>
            </w:r>
          </w:p>
        </w:tc>
        <w:tc>
          <w:tcPr>
            <w:tcW w:w="2935" w:type="pct"/>
            <w:gridSpan w:val="9"/>
            <w:tcBorders>
              <w:top w:val="single" w:sz="4" w:space="0" w:color="auto"/>
              <w:left w:val="single" w:sz="4" w:space="0" w:color="auto"/>
              <w:bottom w:val="single" w:sz="4" w:space="0" w:color="auto"/>
              <w:right w:val="single" w:sz="4" w:space="0" w:color="000000"/>
            </w:tcBorders>
            <w:shd w:val="clear" w:color="000000" w:fill="44546A"/>
            <w:noWrap/>
            <w:vAlign w:val="center"/>
            <w:hideMark/>
          </w:tcPr>
          <w:p w14:paraId="4A313511" w14:textId="77777777" w:rsidR="000A1AD9" w:rsidRPr="00000F38" w:rsidRDefault="000A1AD9" w:rsidP="000A1AD9">
            <w:pPr>
              <w:spacing w:after="0" w:line="240" w:lineRule="auto"/>
              <w:jc w:val="center"/>
              <w:rPr>
                <w:rFonts w:eastAsia="Times New Roman" w:cstheme="minorHAnsi"/>
                <w:b/>
                <w:bCs/>
                <w:color w:val="FFFFFF"/>
                <w:lang w:val="en-GB" w:eastAsia="en-GB"/>
              </w:rPr>
            </w:pPr>
            <w:r w:rsidRPr="00000F38">
              <w:rPr>
                <w:rFonts w:eastAsia="Times New Roman" w:cstheme="minorHAnsi"/>
                <w:b/>
                <w:bCs/>
                <w:color w:val="FFFFFF"/>
                <w:lang w:val="en-GB" w:eastAsia="en-GB"/>
              </w:rPr>
              <w:t>Cost for 5 Years *</w:t>
            </w:r>
          </w:p>
        </w:tc>
        <w:tc>
          <w:tcPr>
            <w:tcW w:w="583" w:type="pct"/>
            <w:vMerge/>
            <w:tcBorders>
              <w:top w:val="nil"/>
              <w:left w:val="single" w:sz="4" w:space="0" w:color="auto"/>
              <w:bottom w:val="single" w:sz="4" w:space="0" w:color="000000"/>
              <w:right w:val="single" w:sz="4" w:space="0" w:color="auto"/>
            </w:tcBorders>
            <w:vAlign w:val="center"/>
            <w:hideMark/>
          </w:tcPr>
          <w:p w14:paraId="5CCD9854" w14:textId="77777777" w:rsidR="000A1AD9" w:rsidRPr="00000F38" w:rsidRDefault="000A1AD9" w:rsidP="000A1AD9">
            <w:pPr>
              <w:spacing w:after="0" w:line="240" w:lineRule="auto"/>
              <w:rPr>
                <w:rFonts w:eastAsia="Times New Roman" w:cstheme="minorHAnsi"/>
                <w:b/>
                <w:bCs/>
                <w:color w:val="FFFFFF"/>
                <w:lang w:val="en-GB" w:eastAsia="en-GB"/>
              </w:rPr>
            </w:pPr>
          </w:p>
        </w:tc>
      </w:tr>
      <w:tr w:rsidR="000A1AD9" w:rsidRPr="00000F38" w14:paraId="1B58B7CF" w14:textId="77777777" w:rsidTr="008E0319">
        <w:trPr>
          <w:trHeight w:val="600"/>
        </w:trPr>
        <w:tc>
          <w:tcPr>
            <w:tcW w:w="244" w:type="pct"/>
            <w:tcBorders>
              <w:top w:val="nil"/>
              <w:left w:val="single" w:sz="4" w:space="0" w:color="auto"/>
              <w:bottom w:val="single" w:sz="4" w:space="0" w:color="auto"/>
              <w:right w:val="single" w:sz="4" w:space="0" w:color="auto"/>
            </w:tcBorders>
            <w:shd w:val="clear" w:color="auto" w:fill="auto"/>
            <w:noWrap/>
            <w:vAlign w:val="bottom"/>
            <w:hideMark/>
          </w:tcPr>
          <w:p w14:paraId="49AD9072"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861" w:type="pct"/>
            <w:tcBorders>
              <w:top w:val="nil"/>
              <w:left w:val="nil"/>
              <w:bottom w:val="single" w:sz="4" w:space="0" w:color="auto"/>
              <w:right w:val="single" w:sz="4" w:space="0" w:color="auto"/>
            </w:tcBorders>
            <w:shd w:val="clear" w:color="000000" w:fill="FFFFFF"/>
            <w:vAlign w:val="center"/>
            <w:hideMark/>
          </w:tcPr>
          <w:p w14:paraId="228B36F0"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Additional Professional Service Man-days for the period of 5 years</w:t>
            </w:r>
          </w:p>
        </w:tc>
        <w:tc>
          <w:tcPr>
            <w:tcW w:w="378" w:type="pct"/>
            <w:tcBorders>
              <w:top w:val="nil"/>
              <w:left w:val="nil"/>
              <w:bottom w:val="single" w:sz="4" w:space="0" w:color="auto"/>
              <w:right w:val="single" w:sz="4" w:space="0" w:color="auto"/>
            </w:tcBorders>
            <w:shd w:val="clear" w:color="000000" w:fill="FFFFFF"/>
            <w:noWrap/>
            <w:vAlign w:val="bottom"/>
            <w:hideMark/>
          </w:tcPr>
          <w:p w14:paraId="51C760A4"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2935" w:type="pct"/>
            <w:gridSpan w:val="9"/>
            <w:tcBorders>
              <w:top w:val="single" w:sz="4" w:space="0" w:color="auto"/>
              <w:left w:val="single" w:sz="4" w:space="0" w:color="auto"/>
              <w:bottom w:val="single" w:sz="4" w:space="0" w:color="auto"/>
              <w:right w:val="single" w:sz="4" w:space="0" w:color="000000"/>
            </w:tcBorders>
            <w:shd w:val="clear" w:color="000000" w:fill="FFFFFF"/>
            <w:vAlign w:val="bottom"/>
            <w:hideMark/>
          </w:tcPr>
          <w:p w14:paraId="68D34A0B" w14:textId="4B18CD30" w:rsidR="000A1AD9" w:rsidRPr="00000F38" w:rsidRDefault="00000F38"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Additional</w:t>
            </w:r>
            <w:r w:rsidR="000A1AD9" w:rsidRPr="00000F38">
              <w:rPr>
                <w:rFonts w:eastAsia="Times New Roman" w:cstheme="minorHAnsi"/>
                <w:color w:val="000000"/>
                <w:lang w:val="en-GB" w:eastAsia="en-GB"/>
              </w:rPr>
              <w:t xml:space="preserve"> Professional Service Hours is for the purpose of TCO. However, Bank will pay on actuals as per usage of mandays. Additional Professional Services will be used on fully </w:t>
            </w:r>
            <w:r w:rsidRPr="00000F38">
              <w:rPr>
                <w:rFonts w:eastAsia="Times New Roman" w:cstheme="minorHAnsi"/>
                <w:color w:val="000000"/>
                <w:lang w:val="en-GB" w:eastAsia="en-GB"/>
              </w:rPr>
              <w:t>utilisation</w:t>
            </w:r>
            <w:r w:rsidR="000A1AD9" w:rsidRPr="00000F38">
              <w:rPr>
                <w:rFonts w:eastAsia="Times New Roman" w:cstheme="minorHAnsi"/>
                <w:color w:val="000000"/>
                <w:lang w:val="en-GB" w:eastAsia="en-GB"/>
              </w:rPr>
              <w:t xml:space="preserve"> of yearly Professional Services.</w:t>
            </w:r>
          </w:p>
        </w:tc>
        <w:tc>
          <w:tcPr>
            <w:tcW w:w="583" w:type="pct"/>
            <w:tcBorders>
              <w:top w:val="nil"/>
              <w:left w:val="single" w:sz="4" w:space="0" w:color="auto"/>
              <w:bottom w:val="single" w:sz="4" w:space="0" w:color="auto"/>
              <w:right w:val="single" w:sz="4" w:space="0" w:color="auto"/>
            </w:tcBorders>
            <w:shd w:val="clear" w:color="000000" w:fill="FFFFFF"/>
            <w:noWrap/>
            <w:vAlign w:val="bottom"/>
            <w:hideMark/>
          </w:tcPr>
          <w:p w14:paraId="0CCC795E"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r>
      <w:tr w:rsidR="000A1AD9" w:rsidRPr="00000F38" w14:paraId="2965C1B5" w14:textId="77777777" w:rsidTr="008E0319">
        <w:trPr>
          <w:trHeight w:val="300"/>
        </w:trPr>
        <w:tc>
          <w:tcPr>
            <w:tcW w:w="244" w:type="pct"/>
            <w:tcBorders>
              <w:top w:val="nil"/>
              <w:left w:val="single" w:sz="4" w:space="0" w:color="auto"/>
              <w:bottom w:val="single" w:sz="4" w:space="0" w:color="auto"/>
              <w:right w:val="single" w:sz="4" w:space="0" w:color="auto"/>
            </w:tcBorders>
            <w:shd w:val="clear" w:color="auto" w:fill="auto"/>
            <w:noWrap/>
            <w:vAlign w:val="bottom"/>
            <w:hideMark/>
          </w:tcPr>
          <w:p w14:paraId="35903D91"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1</w:t>
            </w:r>
          </w:p>
        </w:tc>
        <w:tc>
          <w:tcPr>
            <w:tcW w:w="861" w:type="pct"/>
            <w:tcBorders>
              <w:top w:val="nil"/>
              <w:left w:val="nil"/>
              <w:bottom w:val="single" w:sz="4" w:space="0" w:color="auto"/>
              <w:right w:val="single" w:sz="4" w:space="0" w:color="auto"/>
            </w:tcBorders>
            <w:shd w:val="clear" w:color="000000" w:fill="FFF2CC"/>
            <w:hideMark/>
          </w:tcPr>
          <w:p w14:paraId="7996B472"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Data Discovery &amp; Classification</w:t>
            </w:r>
          </w:p>
        </w:tc>
        <w:tc>
          <w:tcPr>
            <w:tcW w:w="378" w:type="pct"/>
            <w:tcBorders>
              <w:top w:val="nil"/>
              <w:left w:val="nil"/>
              <w:bottom w:val="single" w:sz="4" w:space="0" w:color="auto"/>
              <w:right w:val="single" w:sz="4" w:space="0" w:color="auto"/>
            </w:tcBorders>
            <w:shd w:val="clear" w:color="000000" w:fill="FFFFFF"/>
            <w:noWrap/>
            <w:vAlign w:val="bottom"/>
            <w:hideMark/>
          </w:tcPr>
          <w:p w14:paraId="25957246"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 (M)</w:t>
            </w:r>
          </w:p>
        </w:tc>
        <w:tc>
          <w:tcPr>
            <w:tcW w:w="2935" w:type="pct"/>
            <w:gridSpan w:val="9"/>
            <w:tcBorders>
              <w:top w:val="single" w:sz="4" w:space="0" w:color="auto"/>
              <w:left w:val="nil"/>
              <w:bottom w:val="single" w:sz="4" w:space="0" w:color="auto"/>
              <w:right w:val="single" w:sz="4" w:space="0" w:color="auto"/>
            </w:tcBorders>
            <w:shd w:val="clear" w:color="000000" w:fill="FFFFFF"/>
            <w:noWrap/>
            <w:vAlign w:val="bottom"/>
            <w:hideMark/>
          </w:tcPr>
          <w:p w14:paraId="714DC0D1" w14:textId="77777777" w:rsidR="000A1AD9" w:rsidRPr="00000F38" w:rsidRDefault="000A1AD9" w:rsidP="000A1AD9">
            <w:pPr>
              <w:spacing w:after="0" w:line="240" w:lineRule="auto"/>
              <w:jc w:val="right"/>
              <w:rPr>
                <w:rFonts w:eastAsia="Times New Roman" w:cstheme="minorHAnsi"/>
                <w:color w:val="000000"/>
                <w:lang w:val="en-GB" w:eastAsia="en-GB"/>
              </w:rPr>
            </w:pPr>
            <w:r w:rsidRPr="00000F38">
              <w:rPr>
                <w:rFonts w:eastAsia="Times New Roman" w:cstheme="minorHAnsi"/>
                <w:color w:val="000000"/>
                <w:lang w:val="en-GB" w:eastAsia="en-GB"/>
              </w:rPr>
              <w:t> </w:t>
            </w:r>
          </w:p>
        </w:tc>
        <w:tc>
          <w:tcPr>
            <w:tcW w:w="583" w:type="pct"/>
            <w:tcBorders>
              <w:top w:val="nil"/>
              <w:left w:val="nil"/>
              <w:bottom w:val="single" w:sz="4" w:space="0" w:color="auto"/>
              <w:right w:val="single" w:sz="4" w:space="0" w:color="auto"/>
            </w:tcBorders>
            <w:shd w:val="clear" w:color="000000" w:fill="FFFFFF"/>
            <w:noWrap/>
            <w:vAlign w:val="bottom"/>
            <w:hideMark/>
          </w:tcPr>
          <w:p w14:paraId="4EEB0683" w14:textId="77777777" w:rsidR="000A1AD9" w:rsidRPr="00000F38" w:rsidRDefault="000A1AD9" w:rsidP="000A1AD9">
            <w:pPr>
              <w:spacing w:after="0" w:line="240" w:lineRule="auto"/>
              <w:jc w:val="right"/>
              <w:rPr>
                <w:rFonts w:eastAsia="Times New Roman" w:cstheme="minorHAnsi"/>
                <w:color w:val="000000"/>
                <w:lang w:val="en-GB" w:eastAsia="en-GB"/>
              </w:rPr>
            </w:pPr>
            <w:r w:rsidRPr="00000F38">
              <w:rPr>
                <w:rFonts w:eastAsia="Times New Roman" w:cstheme="minorHAnsi"/>
                <w:color w:val="000000"/>
                <w:lang w:val="en-GB" w:eastAsia="en-GB"/>
              </w:rPr>
              <w:t xml:space="preserve">                           -   </w:t>
            </w:r>
          </w:p>
        </w:tc>
      </w:tr>
      <w:tr w:rsidR="000A1AD9" w:rsidRPr="00000F38" w14:paraId="44D3262F" w14:textId="77777777" w:rsidTr="008E0319">
        <w:trPr>
          <w:trHeight w:val="300"/>
        </w:trPr>
        <w:tc>
          <w:tcPr>
            <w:tcW w:w="244" w:type="pct"/>
            <w:tcBorders>
              <w:top w:val="nil"/>
              <w:left w:val="single" w:sz="4" w:space="0" w:color="auto"/>
              <w:bottom w:val="single" w:sz="4" w:space="0" w:color="auto"/>
              <w:right w:val="single" w:sz="4" w:space="0" w:color="auto"/>
            </w:tcBorders>
            <w:shd w:val="clear" w:color="auto" w:fill="auto"/>
            <w:noWrap/>
            <w:vAlign w:val="bottom"/>
            <w:hideMark/>
          </w:tcPr>
          <w:p w14:paraId="3FC508BB"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2</w:t>
            </w:r>
          </w:p>
        </w:tc>
        <w:tc>
          <w:tcPr>
            <w:tcW w:w="861" w:type="pct"/>
            <w:tcBorders>
              <w:top w:val="nil"/>
              <w:left w:val="nil"/>
              <w:bottom w:val="single" w:sz="4" w:space="0" w:color="auto"/>
              <w:right w:val="single" w:sz="4" w:space="0" w:color="auto"/>
            </w:tcBorders>
            <w:shd w:val="clear" w:color="000000" w:fill="FFF2CC"/>
            <w:hideMark/>
          </w:tcPr>
          <w:p w14:paraId="04ECCED2"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File Upload Security Solution</w:t>
            </w:r>
          </w:p>
        </w:tc>
        <w:tc>
          <w:tcPr>
            <w:tcW w:w="378" w:type="pct"/>
            <w:tcBorders>
              <w:top w:val="nil"/>
              <w:left w:val="nil"/>
              <w:bottom w:val="single" w:sz="4" w:space="0" w:color="auto"/>
              <w:right w:val="single" w:sz="4" w:space="0" w:color="auto"/>
            </w:tcBorders>
            <w:shd w:val="clear" w:color="000000" w:fill="FFFFFF"/>
            <w:noWrap/>
            <w:vAlign w:val="bottom"/>
            <w:hideMark/>
          </w:tcPr>
          <w:p w14:paraId="0BC6FC73"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 (M)</w:t>
            </w:r>
          </w:p>
        </w:tc>
        <w:tc>
          <w:tcPr>
            <w:tcW w:w="2935" w:type="pct"/>
            <w:gridSpan w:val="9"/>
            <w:tcBorders>
              <w:top w:val="single" w:sz="4" w:space="0" w:color="auto"/>
              <w:left w:val="nil"/>
              <w:bottom w:val="single" w:sz="4" w:space="0" w:color="auto"/>
              <w:right w:val="single" w:sz="4" w:space="0" w:color="auto"/>
            </w:tcBorders>
            <w:shd w:val="clear" w:color="000000" w:fill="FFFFFF"/>
            <w:noWrap/>
            <w:vAlign w:val="bottom"/>
            <w:hideMark/>
          </w:tcPr>
          <w:p w14:paraId="6BCF770E" w14:textId="77777777" w:rsidR="000A1AD9" w:rsidRPr="00000F38" w:rsidRDefault="000A1AD9" w:rsidP="000A1AD9">
            <w:pPr>
              <w:spacing w:after="0" w:line="240" w:lineRule="auto"/>
              <w:jc w:val="right"/>
              <w:rPr>
                <w:rFonts w:eastAsia="Times New Roman" w:cstheme="minorHAnsi"/>
                <w:color w:val="000000"/>
                <w:lang w:val="en-GB" w:eastAsia="en-GB"/>
              </w:rPr>
            </w:pPr>
            <w:r w:rsidRPr="00000F38">
              <w:rPr>
                <w:rFonts w:eastAsia="Times New Roman" w:cstheme="minorHAnsi"/>
                <w:color w:val="000000"/>
                <w:lang w:val="en-GB" w:eastAsia="en-GB"/>
              </w:rPr>
              <w:t> </w:t>
            </w:r>
          </w:p>
        </w:tc>
        <w:tc>
          <w:tcPr>
            <w:tcW w:w="583" w:type="pct"/>
            <w:tcBorders>
              <w:top w:val="nil"/>
              <w:left w:val="nil"/>
              <w:bottom w:val="single" w:sz="4" w:space="0" w:color="auto"/>
              <w:right w:val="single" w:sz="4" w:space="0" w:color="auto"/>
            </w:tcBorders>
            <w:shd w:val="clear" w:color="000000" w:fill="FFFFFF"/>
            <w:noWrap/>
            <w:vAlign w:val="bottom"/>
            <w:hideMark/>
          </w:tcPr>
          <w:p w14:paraId="11174588" w14:textId="77777777" w:rsidR="000A1AD9" w:rsidRPr="00000F38" w:rsidRDefault="000A1AD9" w:rsidP="000A1AD9">
            <w:pPr>
              <w:spacing w:after="0" w:line="240" w:lineRule="auto"/>
              <w:jc w:val="right"/>
              <w:rPr>
                <w:rFonts w:eastAsia="Times New Roman" w:cstheme="minorHAnsi"/>
                <w:color w:val="000000"/>
                <w:lang w:val="en-GB" w:eastAsia="en-GB"/>
              </w:rPr>
            </w:pPr>
            <w:r w:rsidRPr="00000F38">
              <w:rPr>
                <w:rFonts w:eastAsia="Times New Roman" w:cstheme="minorHAnsi"/>
                <w:color w:val="000000"/>
                <w:lang w:val="en-GB" w:eastAsia="en-GB"/>
              </w:rPr>
              <w:t xml:space="preserve">                           -   </w:t>
            </w:r>
          </w:p>
        </w:tc>
      </w:tr>
      <w:tr w:rsidR="000A1AD9" w:rsidRPr="00000F38" w14:paraId="2942C324" w14:textId="77777777" w:rsidTr="008E0319">
        <w:trPr>
          <w:trHeight w:val="300"/>
        </w:trPr>
        <w:tc>
          <w:tcPr>
            <w:tcW w:w="244" w:type="pct"/>
            <w:tcBorders>
              <w:top w:val="nil"/>
              <w:left w:val="single" w:sz="4" w:space="0" w:color="auto"/>
              <w:bottom w:val="single" w:sz="4" w:space="0" w:color="auto"/>
              <w:right w:val="single" w:sz="4" w:space="0" w:color="auto"/>
            </w:tcBorders>
            <w:shd w:val="clear" w:color="auto" w:fill="auto"/>
            <w:noWrap/>
            <w:vAlign w:val="bottom"/>
            <w:hideMark/>
          </w:tcPr>
          <w:p w14:paraId="736CA041"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3</w:t>
            </w:r>
          </w:p>
        </w:tc>
        <w:tc>
          <w:tcPr>
            <w:tcW w:w="861" w:type="pct"/>
            <w:tcBorders>
              <w:top w:val="nil"/>
              <w:left w:val="nil"/>
              <w:bottom w:val="single" w:sz="4" w:space="0" w:color="auto"/>
              <w:right w:val="single" w:sz="4" w:space="0" w:color="auto"/>
            </w:tcBorders>
            <w:shd w:val="clear" w:color="000000" w:fill="FFF2CC"/>
            <w:hideMark/>
          </w:tcPr>
          <w:p w14:paraId="294CCCE2"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Attack Surface Management (ASM)</w:t>
            </w:r>
          </w:p>
        </w:tc>
        <w:tc>
          <w:tcPr>
            <w:tcW w:w="378" w:type="pct"/>
            <w:tcBorders>
              <w:top w:val="nil"/>
              <w:left w:val="nil"/>
              <w:bottom w:val="single" w:sz="4" w:space="0" w:color="auto"/>
              <w:right w:val="single" w:sz="4" w:space="0" w:color="auto"/>
            </w:tcBorders>
            <w:shd w:val="clear" w:color="000000" w:fill="FFFFFF"/>
            <w:noWrap/>
            <w:vAlign w:val="bottom"/>
            <w:hideMark/>
          </w:tcPr>
          <w:p w14:paraId="025CC9E7"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 (M)</w:t>
            </w:r>
          </w:p>
        </w:tc>
        <w:tc>
          <w:tcPr>
            <w:tcW w:w="2935" w:type="pct"/>
            <w:gridSpan w:val="9"/>
            <w:tcBorders>
              <w:top w:val="single" w:sz="4" w:space="0" w:color="auto"/>
              <w:left w:val="nil"/>
              <w:bottom w:val="single" w:sz="4" w:space="0" w:color="auto"/>
              <w:right w:val="single" w:sz="4" w:space="0" w:color="auto"/>
            </w:tcBorders>
            <w:shd w:val="clear" w:color="000000" w:fill="FFFFFF"/>
            <w:noWrap/>
            <w:vAlign w:val="bottom"/>
            <w:hideMark/>
          </w:tcPr>
          <w:p w14:paraId="3CBA678E" w14:textId="77777777" w:rsidR="000A1AD9" w:rsidRPr="00000F38" w:rsidRDefault="000A1AD9" w:rsidP="000A1AD9">
            <w:pPr>
              <w:spacing w:after="0" w:line="240" w:lineRule="auto"/>
              <w:jc w:val="right"/>
              <w:rPr>
                <w:rFonts w:eastAsia="Times New Roman" w:cstheme="minorHAnsi"/>
                <w:color w:val="000000"/>
                <w:lang w:val="en-GB" w:eastAsia="en-GB"/>
              </w:rPr>
            </w:pPr>
            <w:r w:rsidRPr="00000F38">
              <w:rPr>
                <w:rFonts w:eastAsia="Times New Roman" w:cstheme="minorHAnsi"/>
                <w:color w:val="000000"/>
                <w:lang w:val="en-GB" w:eastAsia="en-GB"/>
              </w:rPr>
              <w:t> </w:t>
            </w:r>
          </w:p>
        </w:tc>
        <w:tc>
          <w:tcPr>
            <w:tcW w:w="583" w:type="pct"/>
            <w:tcBorders>
              <w:top w:val="nil"/>
              <w:left w:val="nil"/>
              <w:bottom w:val="single" w:sz="4" w:space="0" w:color="auto"/>
              <w:right w:val="single" w:sz="4" w:space="0" w:color="auto"/>
            </w:tcBorders>
            <w:shd w:val="clear" w:color="000000" w:fill="FFFFFF"/>
            <w:noWrap/>
            <w:vAlign w:val="bottom"/>
            <w:hideMark/>
          </w:tcPr>
          <w:p w14:paraId="562374C0" w14:textId="77777777" w:rsidR="000A1AD9" w:rsidRPr="00000F38" w:rsidRDefault="000A1AD9" w:rsidP="000A1AD9">
            <w:pPr>
              <w:spacing w:after="0" w:line="240" w:lineRule="auto"/>
              <w:jc w:val="right"/>
              <w:rPr>
                <w:rFonts w:eastAsia="Times New Roman" w:cstheme="minorHAnsi"/>
                <w:color w:val="000000"/>
                <w:lang w:val="en-GB" w:eastAsia="en-GB"/>
              </w:rPr>
            </w:pPr>
            <w:r w:rsidRPr="00000F38">
              <w:rPr>
                <w:rFonts w:eastAsia="Times New Roman" w:cstheme="minorHAnsi"/>
                <w:color w:val="000000"/>
                <w:lang w:val="en-GB" w:eastAsia="en-GB"/>
              </w:rPr>
              <w:t xml:space="preserve">                           -   </w:t>
            </w:r>
          </w:p>
        </w:tc>
      </w:tr>
      <w:tr w:rsidR="000A1AD9" w:rsidRPr="00000F38" w14:paraId="694EB156" w14:textId="77777777" w:rsidTr="008E0319">
        <w:trPr>
          <w:trHeight w:val="510"/>
        </w:trPr>
        <w:tc>
          <w:tcPr>
            <w:tcW w:w="244" w:type="pct"/>
            <w:tcBorders>
              <w:top w:val="nil"/>
              <w:left w:val="single" w:sz="4" w:space="0" w:color="auto"/>
              <w:bottom w:val="single" w:sz="4" w:space="0" w:color="auto"/>
              <w:right w:val="single" w:sz="4" w:space="0" w:color="auto"/>
            </w:tcBorders>
            <w:shd w:val="clear" w:color="auto" w:fill="auto"/>
            <w:noWrap/>
            <w:vAlign w:val="bottom"/>
            <w:hideMark/>
          </w:tcPr>
          <w:p w14:paraId="01450A4F"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4</w:t>
            </w:r>
          </w:p>
        </w:tc>
        <w:tc>
          <w:tcPr>
            <w:tcW w:w="861" w:type="pct"/>
            <w:tcBorders>
              <w:top w:val="nil"/>
              <w:left w:val="nil"/>
              <w:bottom w:val="single" w:sz="4" w:space="0" w:color="auto"/>
              <w:right w:val="single" w:sz="4" w:space="0" w:color="auto"/>
            </w:tcBorders>
            <w:shd w:val="clear" w:color="000000" w:fill="FFF2CC"/>
            <w:hideMark/>
          </w:tcPr>
          <w:p w14:paraId="50A91E16"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Breach and Attack Simulation (BAS) with Red Team Solution</w:t>
            </w:r>
          </w:p>
        </w:tc>
        <w:tc>
          <w:tcPr>
            <w:tcW w:w="378" w:type="pct"/>
            <w:tcBorders>
              <w:top w:val="nil"/>
              <w:left w:val="nil"/>
              <w:bottom w:val="single" w:sz="4" w:space="0" w:color="auto"/>
              <w:right w:val="single" w:sz="4" w:space="0" w:color="auto"/>
            </w:tcBorders>
            <w:shd w:val="clear" w:color="000000" w:fill="FFFFFF"/>
            <w:noWrap/>
            <w:vAlign w:val="bottom"/>
            <w:hideMark/>
          </w:tcPr>
          <w:p w14:paraId="02F42457"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 (M)</w:t>
            </w:r>
          </w:p>
        </w:tc>
        <w:tc>
          <w:tcPr>
            <w:tcW w:w="2935" w:type="pct"/>
            <w:gridSpan w:val="9"/>
            <w:tcBorders>
              <w:top w:val="single" w:sz="4" w:space="0" w:color="auto"/>
              <w:left w:val="nil"/>
              <w:bottom w:val="single" w:sz="4" w:space="0" w:color="auto"/>
              <w:right w:val="single" w:sz="4" w:space="0" w:color="auto"/>
            </w:tcBorders>
            <w:shd w:val="clear" w:color="000000" w:fill="FFFFFF"/>
            <w:noWrap/>
            <w:vAlign w:val="bottom"/>
            <w:hideMark/>
          </w:tcPr>
          <w:p w14:paraId="6B22BD39" w14:textId="77777777" w:rsidR="000A1AD9" w:rsidRPr="00000F38" w:rsidRDefault="000A1AD9" w:rsidP="000A1AD9">
            <w:pPr>
              <w:spacing w:after="0" w:line="240" w:lineRule="auto"/>
              <w:jc w:val="right"/>
              <w:rPr>
                <w:rFonts w:eastAsia="Times New Roman" w:cstheme="minorHAnsi"/>
                <w:color w:val="000000"/>
                <w:lang w:val="en-GB" w:eastAsia="en-GB"/>
              </w:rPr>
            </w:pPr>
            <w:r w:rsidRPr="00000F38">
              <w:rPr>
                <w:rFonts w:eastAsia="Times New Roman" w:cstheme="minorHAnsi"/>
                <w:color w:val="000000"/>
                <w:lang w:val="en-GB" w:eastAsia="en-GB"/>
              </w:rPr>
              <w:t> </w:t>
            </w:r>
          </w:p>
        </w:tc>
        <w:tc>
          <w:tcPr>
            <w:tcW w:w="583" w:type="pct"/>
            <w:tcBorders>
              <w:top w:val="nil"/>
              <w:left w:val="nil"/>
              <w:bottom w:val="single" w:sz="4" w:space="0" w:color="auto"/>
              <w:right w:val="single" w:sz="4" w:space="0" w:color="auto"/>
            </w:tcBorders>
            <w:shd w:val="clear" w:color="000000" w:fill="FFFFFF"/>
            <w:noWrap/>
            <w:vAlign w:val="bottom"/>
            <w:hideMark/>
          </w:tcPr>
          <w:p w14:paraId="2EC22693" w14:textId="77777777" w:rsidR="000A1AD9" w:rsidRPr="00000F38" w:rsidRDefault="000A1AD9" w:rsidP="000A1AD9">
            <w:pPr>
              <w:spacing w:after="0" w:line="240" w:lineRule="auto"/>
              <w:jc w:val="right"/>
              <w:rPr>
                <w:rFonts w:eastAsia="Times New Roman" w:cstheme="minorHAnsi"/>
                <w:color w:val="000000"/>
                <w:lang w:val="en-GB" w:eastAsia="en-GB"/>
              </w:rPr>
            </w:pPr>
            <w:r w:rsidRPr="00000F38">
              <w:rPr>
                <w:rFonts w:eastAsia="Times New Roman" w:cstheme="minorHAnsi"/>
                <w:color w:val="000000"/>
                <w:lang w:val="en-GB" w:eastAsia="en-GB"/>
              </w:rPr>
              <w:t xml:space="preserve">                           -   </w:t>
            </w:r>
          </w:p>
        </w:tc>
      </w:tr>
      <w:tr w:rsidR="000A1AD9" w:rsidRPr="00000F38" w14:paraId="4C5F89A0" w14:textId="77777777" w:rsidTr="008E0319">
        <w:trPr>
          <w:trHeight w:val="300"/>
        </w:trPr>
        <w:tc>
          <w:tcPr>
            <w:tcW w:w="244" w:type="pct"/>
            <w:tcBorders>
              <w:top w:val="nil"/>
              <w:left w:val="single" w:sz="4" w:space="0" w:color="auto"/>
              <w:bottom w:val="single" w:sz="4" w:space="0" w:color="auto"/>
              <w:right w:val="single" w:sz="4" w:space="0" w:color="auto"/>
            </w:tcBorders>
            <w:shd w:val="clear" w:color="auto" w:fill="auto"/>
            <w:noWrap/>
            <w:vAlign w:val="bottom"/>
            <w:hideMark/>
          </w:tcPr>
          <w:p w14:paraId="0AF62B94"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5</w:t>
            </w:r>
          </w:p>
        </w:tc>
        <w:tc>
          <w:tcPr>
            <w:tcW w:w="861" w:type="pct"/>
            <w:tcBorders>
              <w:top w:val="nil"/>
              <w:left w:val="nil"/>
              <w:bottom w:val="single" w:sz="4" w:space="0" w:color="auto"/>
              <w:right w:val="single" w:sz="4" w:space="0" w:color="auto"/>
            </w:tcBorders>
            <w:shd w:val="clear" w:color="000000" w:fill="FFF2CC"/>
            <w:hideMark/>
          </w:tcPr>
          <w:p w14:paraId="20F27F7F"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Phishing Simulation</w:t>
            </w:r>
          </w:p>
        </w:tc>
        <w:tc>
          <w:tcPr>
            <w:tcW w:w="378" w:type="pct"/>
            <w:tcBorders>
              <w:top w:val="nil"/>
              <w:left w:val="nil"/>
              <w:bottom w:val="single" w:sz="4" w:space="0" w:color="auto"/>
              <w:right w:val="single" w:sz="4" w:space="0" w:color="auto"/>
            </w:tcBorders>
            <w:shd w:val="clear" w:color="000000" w:fill="FFFFFF"/>
            <w:noWrap/>
            <w:vAlign w:val="bottom"/>
            <w:hideMark/>
          </w:tcPr>
          <w:p w14:paraId="1211DD7E"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 (M)</w:t>
            </w:r>
          </w:p>
        </w:tc>
        <w:tc>
          <w:tcPr>
            <w:tcW w:w="2935" w:type="pct"/>
            <w:gridSpan w:val="9"/>
            <w:tcBorders>
              <w:top w:val="single" w:sz="4" w:space="0" w:color="auto"/>
              <w:left w:val="nil"/>
              <w:bottom w:val="single" w:sz="4" w:space="0" w:color="auto"/>
              <w:right w:val="single" w:sz="4" w:space="0" w:color="auto"/>
            </w:tcBorders>
            <w:shd w:val="clear" w:color="000000" w:fill="FFFFFF"/>
            <w:noWrap/>
            <w:vAlign w:val="bottom"/>
            <w:hideMark/>
          </w:tcPr>
          <w:p w14:paraId="526AE0A5" w14:textId="77777777" w:rsidR="000A1AD9" w:rsidRPr="00000F38" w:rsidRDefault="000A1AD9" w:rsidP="000A1AD9">
            <w:pPr>
              <w:spacing w:after="0" w:line="240" w:lineRule="auto"/>
              <w:jc w:val="right"/>
              <w:rPr>
                <w:rFonts w:eastAsia="Times New Roman" w:cstheme="minorHAnsi"/>
                <w:color w:val="000000"/>
                <w:lang w:val="en-GB" w:eastAsia="en-GB"/>
              </w:rPr>
            </w:pPr>
            <w:r w:rsidRPr="00000F38">
              <w:rPr>
                <w:rFonts w:eastAsia="Times New Roman" w:cstheme="minorHAnsi"/>
                <w:color w:val="000000"/>
                <w:lang w:val="en-GB" w:eastAsia="en-GB"/>
              </w:rPr>
              <w:t> </w:t>
            </w:r>
          </w:p>
        </w:tc>
        <w:tc>
          <w:tcPr>
            <w:tcW w:w="583" w:type="pct"/>
            <w:tcBorders>
              <w:top w:val="nil"/>
              <w:left w:val="nil"/>
              <w:bottom w:val="single" w:sz="4" w:space="0" w:color="auto"/>
              <w:right w:val="single" w:sz="4" w:space="0" w:color="auto"/>
            </w:tcBorders>
            <w:shd w:val="clear" w:color="000000" w:fill="FFFFFF"/>
            <w:noWrap/>
            <w:vAlign w:val="bottom"/>
            <w:hideMark/>
          </w:tcPr>
          <w:p w14:paraId="69390AC8" w14:textId="77777777" w:rsidR="000A1AD9" w:rsidRPr="00000F38" w:rsidRDefault="000A1AD9" w:rsidP="000A1AD9">
            <w:pPr>
              <w:spacing w:after="0" w:line="240" w:lineRule="auto"/>
              <w:jc w:val="right"/>
              <w:rPr>
                <w:rFonts w:eastAsia="Times New Roman" w:cstheme="minorHAnsi"/>
                <w:color w:val="000000"/>
                <w:lang w:val="en-GB" w:eastAsia="en-GB"/>
              </w:rPr>
            </w:pPr>
            <w:r w:rsidRPr="00000F38">
              <w:rPr>
                <w:rFonts w:eastAsia="Times New Roman" w:cstheme="minorHAnsi"/>
                <w:color w:val="000000"/>
                <w:lang w:val="en-GB" w:eastAsia="en-GB"/>
              </w:rPr>
              <w:t xml:space="preserve">                           -   </w:t>
            </w:r>
          </w:p>
        </w:tc>
      </w:tr>
      <w:tr w:rsidR="000A1AD9" w:rsidRPr="00000F38" w14:paraId="7EA35B34" w14:textId="77777777" w:rsidTr="008E0319">
        <w:trPr>
          <w:trHeight w:val="300"/>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082F9958"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6</w:t>
            </w:r>
          </w:p>
        </w:tc>
        <w:tc>
          <w:tcPr>
            <w:tcW w:w="861" w:type="pct"/>
            <w:tcBorders>
              <w:top w:val="nil"/>
              <w:left w:val="nil"/>
              <w:bottom w:val="single" w:sz="4" w:space="0" w:color="auto"/>
              <w:right w:val="single" w:sz="4" w:space="0" w:color="auto"/>
            </w:tcBorders>
            <w:shd w:val="clear" w:color="000000" w:fill="FFF2CC"/>
            <w:hideMark/>
          </w:tcPr>
          <w:p w14:paraId="251A6CC2"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AD Security</w:t>
            </w:r>
          </w:p>
        </w:tc>
        <w:tc>
          <w:tcPr>
            <w:tcW w:w="378" w:type="pct"/>
            <w:tcBorders>
              <w:top w:val="nil"/>
              <w:left w:val="nil"/>
              <w:bottom w:val="single" w:sz="4" w:space="0" w:color="auto"/>
              <w:right w:val="single" w:sz="4" w:space="0" w:color="auto"/>
            </w:tcBorders>
            <w:shd w:val="clear" w:color="000000" w:fill="FFFFFF"/>
            <w:noWrap/>
            <w:vAlign w:val="bottom"/>
            <w:hideMark/>
          </w:tcPr>
          <w:p w14:paraId="01CB1344"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 (M)</w:t>
            </w:r>
          </w:p>
        </w:tc>
        <w:tc>
          <w:tcPr>
            <w:tcW w:w="2935" w:type="pct"/>
            <w:gridSpan w:val="9"/>
            <w:tcBorders>
              <w:top w:val="single" w:sz="4" w:space="0" w:color="auto"/>
              <w:left w:val="nil"/>
              <w:bottom w:val="single" w:sz="4" w:space="0" w:color="auto"/>
              <w:right w:val="single" w:sz="4" w:space="0" w:color="auto"/>
            </w:tcBorders>
            <w:shd w:val="clear" w:color="000000" w:fill="FFFFFF"/>
            <w:noWrap/>
            <w:vAlign w:val="bottom"/>
            <w:hideMark/>
          </w:tcPr>
          <w:p w14:paraId="66AEC170" w14:textId="77777777" w:rsidR="000A1AD9" w:rsidRPr="00000F38" w:rsidRDefault="000A1AD9" w:rsidP="000A1AD9">
            <w:pPr>
              <w:spacing w:after="0" w:line="240" w:lineRule="auto"/>
              <w:jc w:val="right"/>
              <w:rPr>
                <w:rFonts w:eastAsia="Times New Roman" w:cstheme="minorHAnsi"/>
                <w:color w:val="000000"/>
                <w:lang w:val="en-GB" w:eastAsia="en-GB"/>
              </w:rPr>
            </w:pPr>
            <w:r w:rsidRPr="00000F38">
              <w:rPr>
                <w:rFonts w:eastAsia="Times New Roman" w:cstheme="minorHAnsi"/>
                <w:color w:val="000000"/>
                <w:lang w:val="en-GB" w:eastAsia="en-GB"/>
              </w:rPr>
              <w:t> </w:t>
            </w:r>
          </w:p>
        </w:tc>
        <w:tc>
          <w:tcPr>
            <w:tcW w:w="583" w:type="pct"/>
            <w:tcBorders>
              <w:top w:val="nil"/>
              <w:left w:val="nil"/>
              <w:bottom w:val="single" w:sz="4" w:space="0" w:color="auto"/>
              <w:right w:val="single" w:sz="4" w:space="0" w:color="auto"/>
            </w:tcBorders>
            <w:shd w:val="clear" w:color="000000" w:fill="FFFFFF"/>
            <w:noWrap/>
            <w:vAlign w:val="bottom"/>
            <w:hideMark/>
          </w:tcPr>
          <w:p w14:paraId="593FC632" w14:textId="77777777" w:rsidR="000A1AD9" w:rsidRPr="00000F38" w:rsidRDefault="000A1AD9" w:rsidP="000A1AD9">
            <w:pPr>
              <w:spacing w:after="0" w:line="240" w:lineRule="auto"/>
              <w:jc w:val="right"/>
              <w:rPr>
                <w:rFonts w:eastAsia="Times New Roman" w:cstheme="minorHAnsi"/>
                <w:color w:val="000000"/>
                <w:lang w:val="en-GB" w:eastAsia="en-GB"/>
              </w:rPr>
            </w:pPr>
            <w:r w:rsidRPr="00000F38">
              <w:rPr>
                <w:rFonts w:eastAsia="Times New Roman" w:cstheme="minorHAnsi"/>
                <w:color w:val="000000"/>
                <w:lang w:val="en-GB" w:eastAsia="en-GB"/>
              </w:rPr>
              <w:t xml:space="preserve">                           -   </w:t>
            </w:r>
          </w:p>
        </w:tc>
      </w:tr>
      <w:tr w:rsidR="000A1AD9" w:rsidRPr="00000F38" w14:paraId="73BBF16C" w14:textId="77777777" w:rsidTr="008E0319">
        <w:trPr>
          <w:trHeight w:val="300"/>
        </w:trPr>
        <w:tc>
          <w:tcPr>
            <w:tcW w:w="244" w:type="pct"/>
            <w:tcBorders>
              <w:top w:val="nil"/>
              <w:left w:val="single" w:sz="4" w:space="0" w:color="auto"/>
              <w:bottom w:val="single" w:sz="4" w:space="0" w:color="auto"/>
              <w:right w:val="single" w:sz="4" w:space="0" w:color="auto"/>
            </w:tcBorders>
            <w:shd w:val="clear" w:color="auto" w:fill="auto"/>
            <w:noWrap/>
            <w:vAlign w:val="bottom"/>
            <w:hideMark/>
          </w:tcPr>
          <w:p w14:paraId="5BEEE16F"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7</w:t>
            </w:r>
          </w:p>
        </w:tc>
        <w:tc>
          <w:tcPr>
            <w:tcW w:w="861" w:type="pct"/>
            <w:tcBorders>
              <w:top w:val="nil"/>
              <w:left w:val="nil"/>
              <w:bottom w:val="single" w:sz="4" w:space="0" w:color="auto"/>
              <w:right w:val="single" w:sz="4" w:space="0" w:color="auto"/>
            </w:tcBorders>
            <w:shd w:val="clear" w:color="000000" w:fill="FFF2CC"/>
            <w:hideMark/>
          </w:tcPr>
          <w:p w14:paraId="764B4FCA"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Governance, Risk and Compliance</w:t>
            </w:r>
          </w:p>
        </w:tc>
        <w:tc>
          <w:tcPr>
            <w:tcW w:w="378" w:type="pct"/>
            <w:tcBorders>
              <w:top w:val="nil"/>
              <w:left w:val="nil"/>
              <w:bottom w:val="single" w:sz="4" w:space="0" w:color="auto"/>
              <w:right w:val="single" w:sz="4" w:space="0" w:color="auto"/>
            </w:tcBorders>
            <w:shd w:val="clear" w:color="000000" w:fill="FFFFFF"/>
            <w:noWrap/>
            <w:vAlign w:val="bottom"/>
            <w:hideMark/>
          </w:tcPr>
          <w:p w14:paraId="4240EAE0"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 (M)</w:t>
            </w:r>
          </w:p>
        </w:tc>
        <w:tc>
          <w:tcPr>
            <w:tcW w:w="2935" w:type="pct"/>
            <w:gridSpan w:val="9"/>
            <w:tcBorders>
              <w:top w:val="single" w:sz="4" w:space="0" w:color="auto"/>
              <w:left w:val="nil"/>
              <w:bottom w:val="single" w:sz="4" w:space="0" w:color="auto"/>
              <w:right w:val="single" w:sz="4" w:space="0" w:color="auto"/>
            </w:tcBorders>
            <w:shd w:val="clear" w:color="000000" w:fill="FFFFFF"/>
            <w:noWrap/>
            <w:vAlign w:val="bottom"/>
            <w:hideMark/>
          </w:tcPr>
          <w:p w14:paraId="4F7F5BD4" w14:textId="77777777" w:rsidR="000A1AD9" w:rsidRPr="00000F38" w:rsidRDefault="000A1AD9" w:rsidP="000A1AD9">
            <w:pPr>
              <w:spacing w:after="0" w:line="240" w:lineRule="auto"/>
              <w:jc w:val="right"/>
              <w:rPr>
                <w:rFonts w:eastAsia="Times New Roman" w:cstheme="minorHAnsi"/>
                <w:color w:val="000000"/>
                <w:lang w:val="en-GB" w:eastAsia="en-GB"/>
              </w:rPr>
            </w:pPr>
            <w:r w:rsidRPr="00000F38">
              <w:rPr>
                <w:rFonts w:eastAsia="Times New Roman" w:cstheme="minorHAnsi"/>
                <w:color w:val="000000"/>
                <w:lang w:val="en-GB" w:eastAsia="en-GB"/>
              </w:rPr>
              <w:t> </w:t>
            </w:r>
          </w:p>
        </w:tc>
        <w:tc>
          <w:tcPr>
            <w:tcW w:w="583" w:type="pct"/>
            <w:tcBorders>
              <w:top w:val="nil"/>
              <w:left w:val="nil"/>
              <w:bottom w:val="single" w:sz="4" w:space="0" w:color="auto"/>
              <w:right w:val="single" w:sz="4" w:space="0" w:color="auto"/>
            </w:tcBorders>
            <w:shd w:val="clear" w:color="000000" w:fill="FFFFFF"/>
            <w:noWrap/>
            <w:vAlign w:val="bottom"/>
            <w:hideMark/>
          </w:tcPr>
          <w:p w14:paraId="63F2C6A7" w14:textId="77777777" w:rsidR="000A1AD9" w:rsidRPr="00000F38" w:rsidRDefault="000A1AD9" w:rsidP="000A1AD9">
            <w:pPr>
              <w:spacing w:after="0" w:line="240" w:lineRule="auto"/>
              <w:jc w:val="right"/>
              <w:rPr>
                <w:rFonts w:eastAsia="Times New Roman" w:cstheme="minorHAnsi"/>
                <w:color w:val="000000"/>
                <w:lang w:val="en-GB" w:eastAsia="en-GB"/>
              </w:rPr>
            </w:pPr>
            <w:r w:rsidRPr="00000F38">
              <w:rPr>
                <w:rFonts w:eastAsia="Times New Roman" w:cstheme="minorHAnsi"/>
                <w:color w:val="000000"/>
                <w:lang w:val="en-GB" w:eastAsia="en-GB"/>
              </w:rPr>
              <w:t xml:space="preserve">                           -   </w:t>
            </w:r>
          </w:p>
        </w:tc>
      </w:tr>
      <w:tr w:rsidR="000A1AD9" w:rsidRPr="00000F38" w14:paraId="7E439AEA" w14:textId="77777777" w:rsidTr="008E0319">
        <w:trPr>
          <w:trHeight w:val="300"/>
        </w:trPr>
        <w:tc>
          <w:tcPr>
            <w:tcW w:w="244" w:type="pct"/>
            <w:tcBorders>
              <w:top w:val="nil"/>
              <w:left w:val="single" w:sz="4" w:space="0" w:color="auto"/>
              <w:bottom w:val="single" w:sz="4" w:space="0" w:color="auto"/>
              <w:right w:val="single" w:sz="4" w:space="0" w:color="auto"/>
            </w:tcBorders>
            <w:shd w:val="clear" w:color="auto" w:fill="auto"/>
            <w:noWrap/>
            <w:vAlign w:val="bottom"/>
            <w:hideMark/>
          </w:tcPr>
          <w:p w14:paraId="0C29A6A3"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8</w:t>
            </w:r>
          </w:p>
        </w:tc>
        <w:tc>
          <w:tcPr>
            <w:tcW w:w="861" w:type="pct"/>
            <w:tcBorders>
              <w:top w:val="nil"/>
              <w:left w:val="nil"/>
              <w:bottom w:val="single" w:sz="4" w:space="0" w:color="auto"/>
              <w:right w:val="single" w:sz="4" w:space="0" w:color="auto"/>
            </w:tcBorders>
            <w:shd w:val="clear" w:color="000000" w:fill="FFF2CC"/>
            <w:hideMark/>
          </w:tcPr>
          <w:p w14:paraId="34EA6BFF"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Decoy (Honeypot)</w:t>
            </w:r>
          </w:p>
        </w:tc>
        <w:tc>
          <w:tcPr>
            <w:tcW w:w="378" w:type="pct"/>
            <w:tcBorders>
              <w:top w:val="nil"/>
              <w:left w:val="nil"/>
              <w:bottom w:val="single" w:sz="4" w:space="0" w:color="auto"/>
              <w:right w:val="single" w:sz="4" w:space="0" w:color="auto"/>
            </w:tcBorders>
            <w:shd w:val="clear" w:color="000000" w:fill="FFFFFF"/>
            <w:noWrap/>
            <w:vAlign w:val="bottom"/>
            <w:hideMark/>
          </w:tcPr>
          <w:p w14:paraId="203DD2A1"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 (M)</w:t>
            </w:r>
          </w:p>
        </w:tc>
        <w:tc>
          <w:tcPr>
            <w:tcW w:w="2935" w:type="pct"/>
            <w:gridSpan w:val="9"/>
            <w:tcBorders>
              <w:top w:val="single" w:sz="4" w:space="0" w:color="auto"/>
              <w:left w:val="nil"/>
              <w:bottom w:val="single" w:sz="4" w:space="0" w:color="auto"/>
              <w:right w:val="single" w:sz="4" w:space="0" w:color="auto"/>
            </w:tcBorders>
            <w:shd w:val="clear" w:color="000000" w:fill="FFFFFF"/>
            <w:noWrap/>
            <w:vAlign w:val="bottom"/>
            <w:hideMark/>
          </w:tcPr>
          <w:p w14:paraId="7EC63EC7" w14:textId="77777777" w:rsidR="000A1AD9" w:rsidRPr="00000F38" w:rsidRDefault="000A1AD9" w:rsidP="000A1AD9">
            <w:pPr>
              <w:spacing w:after="0" w:line="240" w:lineRule="auto"/>
              <w:jc w:val="right"/>
              <w:rPr>
                <w:rFonts w:eastAsia="Times New Roman" w:cstheme="minorHAnsi"/>
                <w:color w:val="000000"/>
                <w:lang w:val="en-GB" w:eastAsia="en-GB"/>
              </w:rPr>
            </w:pPr>
            <w:r w:rsidRPr="00000F38">
              <w:rPr>
                <w:rFonts w:eastAsia="Times New Roman" w:cstheme="minorHAnsi"/>
                <w:color w:val="000000"/>
                <w:lang w:val="en-GB" w:eastAsia="en-GB"/>
              </w:rPr>
              <w:t> </w:t>
            </w:r>
          </w:p>
        </w:tc>
        <w:tc>
          <w:tcPr>
            <w:tcW w:w="583" w:type="pct"/>
            <w:tcBorders>
              <w:top w:val="nil"/>
              <w:left w:val="nil"/>
              <w:bottom w:val="single" w:sz="4" w:space="0" w:color="auto"/>
              <w:right w:val="single" w:sz="4" w:space="0" w:color="auto"/>
            </w:tcBorders>
            <w:shd w:val="clear" w:color="000000" w:fill="FFFFFF"/>
            <w:noWrap/>
            <w:vAlign w:val="bottom"/>
            <w:hideMark/>
          </w:tcPr>
          <w:p w14:paraId="166365C3" w14:textId="77777777" w:rsidR="000A1AD9" w:rsidRPr="00000F38" w:rsidRDefault="000A1AD9" w:rsidP="000A1AD9">
            <w:pPr>
              <w:spacing w:after="0" w:line="240" w:lineRule="auto"/>
              <w:jc w:val="right"/>
              <w:rPr>
                <w:rFonts w:eastAsia="Times New Roman" w:cstheme="minorHAnsi"/>
                <w:color w:val="000000"/>
                <w:lang w:val="en-GB" w:eastAsia="en-GB"/>
              </w:rPr>
            </w:pPr>
            <w:r w:rsidRPr="00000F38">
              <w:rPr>
                <w:rFonts w:eastAsia="Times New Roman" w:cstheme="minorHAnsi"/>
                <w:color w:val="000000"/>
                <w:lang w:val="en-GB" w:eastAsia="en-GB"/>
              </w:rPr>
              <w:t xml:space="preserve">                           -   </w:t>
            </w:r>
          </w:p>
        </w:tc>
      </w:tr>
      <w:tr w:rsidR="000A1AD9" w:rsidRPr="00000F38" w14:paraId="206EDB63" w14:textId="77777777" w:rsidTr="008E0319">
        <w:trPr>
          <w:trHeight w:val="300"/>
        </w:trPr>
        <w:tc>
          <w:tcPr>
            <w:tcW w:w="244" w:type="pct"/>
            <w:tcBorders>
              <w:top w:val="nil"/>
              <w:left w:val="single" w:sz="4" w:space="0" w:color="auto"/>
              <w:bottom w:val="single" w:sz="4" w:space="0" w:color="auto"/>
              <w:right w:val="single" w:sz="4" w:space="0" w:color="auto"/>
            </w:tcBorders>
            <w:shd w:val="clear" w:color="auto" w:fill="auto"/>
            <w:noWrap/>
            <w:vAlign w:val="bottom"/>
            <w:hideMark/>
          </w:tcPr>
          <w:p w14:paraId="029B023D"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9</w:t>
            </w:r>
          </w:p>
        </w:tc>
        <w:tc>
          <w:tcPr>
            <w:tcW w:w="861" w:type="pct"/>
            <w:tcBorders>
              <w:top w:val="nil"/>
              <w:left w:val="nil"/>
              <w:bottom w:val="single" w:sz="4" w:space="0" w:color="auto"/>
              <w:right w:val="single" w:sz="4" w:space="0" w:color="auto"/>
            </w:tcBorders>
            <w:shd w:val="clear" w:color="000000" w:fill="FFF2CC"/>
            <w:hideMark/>
          </w:tcPr>
          <w:p w14:paraId="0FB1A220"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Mobile Device Management</w:t>
            </w:r>
          </w:p>
        </w:tc>
        <w:tc>
          <w:tcPr>
            <w:tcW w:w="378" w:type="pct"/>
            <w:tcBorders>
              <w:top w:val="nil"/>
              <w:left w:val="nil"/>
              <w:bottom w:val="single" w:sz="4" w:space="0" w:color="auto"/>
              <w:right w:val="single" w:sz="4" w:space="0" w:color="auto"/>
            </w:tcBorders>
            <w:shd w:val="clear" w:color="000000" w:fill="FFFFFF"/>
            <w:noWrap/>
            <w:vAlign w:val="bottom"/>
            <w:hideMark/>
          </w:tcPr>
          <w:p w14:paraId="2CA54F70"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 (M)</w:t>
            </w:r>
          </w:p>
        </w:tc>
        <w:tc>
          <w:tcPr>
            <w:tcW w:w="2935" w:type="pct"/>
            <w:gridSpan w:val="9"/>
            <w:tcBorders>
              <w:top w:val="single" w:sz="4" w:space="0" w:color="auto"/>
              <w:left w:val="nil"/>
              <w:bottom w:val="single" w:sz="4" w:space="0" w:color="auto"/>
              <w:right w:val="single" w:sz="4" w:space="0" w:color="auto"/>
            </w:tcBorders>
            <w:shd w:val="clear" w:color="000000" w:fill="FFFFFF"/>
            <w:noWrap/>
            <w:vAlign w:val="bottom"/>
            <w:hideMark/>
          </w:tcPr>
          <w:p w14:paraId="5CE553CD" w14:textId="77777777" w:rsidR="000A1AD9" w:rsidRPr="00000F38" w:rsidRDefault="000A1AD9" w:rsidP="000A1AD9">
            <w:pPr>
              <w:spacing w:after="0" w:line="240" w:lineRule="auto"/>
              <w:jc w:val="right"/>
              <w:rPr>
                <w:rFonts w:eastAsia="Times New Roman" w:cstheme="minorHAnsi"/>
                <w:color w:val="000000"/>
                <w:lang w:val="en-GB" w:eastAsia="en-GB"/>
              </w:rPr>
            </w:pPr>
            <w:r w:rsidRPr="00000F38">
              <w:rPr>
                <w:rFonts w:eastAsia="Times New Roman" w:cstheme="minorHAnsi"/>
                <w:color w:val="000000"/>
                <w:lang w:val="en-GB" w:eastAsia="en-GB"/>
              </w:rPr>
              <w:t> </w:t>
            </w:r>
          </w:p>
        </w:tc>
        <w:tc>
          <w:tcPr>
            <w:tcW w:w="583" w:type="pct"/>
            <w:tcBorders>
              <w:top w:val="nil"/>
              <w:left w:val="nil"/>
              <w:bottom w:val="single" w:sz="4" w:space="0" w:color="auto"/>
              <w:right w:val="single" w:sz="4" w:space="0" w:color="auto"/>
            </w:tcBorders>
            <w:shd w:val="clear" w:color="000000" w:fill="FFFFFF"/>
            <w:noWrap/>
            <w:vAlign w:val="bottom"/>
            <w:hideMark/>
          </w:tcPr>
          <w:p w14:paraId="64CCD0B0" w14:textId="77777777" w:rsidR="000A1AD9" w:rsidRPr="00000F38" w:rsidRDefault="000A1AD9" w:rsidP="000A1AD9">
            <w:pPr>
              <w:spacing w:after="0" w:line="240" w:lineRule="auto"/>
              <w:jc w:val="right"/>
              <w:rPr>
                <w:rFonts w:eastAsia="Times New Roman" w:cstheme="minorHAnsi"/>
                <w:color w:val="000000"/>
                <w:lang w:val="en-GB" w:eastAsia="en-GB"/>
              </w:rPr>
            </w:pPr>
            <w:r w:rsidRPr="00000F38">
              <w:rPr>
                <w:rFonts w:eastAsia="Times New Roman" w:cstheme="minorHAnsi"/>
                <w:color w:val="000000"/>
                <w:lang w:val="en-GB" w:eastAsia="en-GB"/>
              </w:rPr>
              <w:t> </w:t>
            </w:r>
          </w:p>
        </w:tc>
      </w:tr>
      <w:tr w:rsidR="000A1AD9" w:rsidRPr="00000F38" w14:paraId="3F05D0FA" w14:textId="77777777" w:rsidTr="008E0319">
        <w:trPr>
          <w:trHeight w:val="510"/>
        </w:trPr>
        <w:tc>
          <w:tcPr>
            <w:tcW w:w="244" w:type="pct"/>
            <w:tcBorders>
              <w:top w:val="nil"/>
              <w:left w:val="single" w:sz="4" w:space="0" w:color="auto"/>
              <w:bottom w:val="single" w:sz="4" w:space="0" w:color="auto"/>
              <w:right w:val="single" w:sz="4" w:space="0" w:color="auto"/>
            </w:tcBorders>
            <w:shd w:val="clear" w:color="auto" w:fill="auto"/>
            <w:noWrap/>
            <w:vAlign w:val="bottom"/>
            <w:hideMark/>
          </w:tcPr>
          <w:p w14:paraId="57E32A92"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10</w:t>
            </w:r>
          </w:p>
        </w:tc>
        <w:tc>
          <w:tcPr>
            <w:tcW w:w="861" w:type="pct"/>
            <w:tcBorders>
              <w:top w:val="nil"/>
              <w:left w:val="nil"/>
              <w:bottom w:val="single" w:sz="4" w:space="0" w:color="auto"/>
              <w:right w:val="single" w:sz="4" w:space="0" w:color="auto"/>
            </w:tcBorders>
            <w:shd w:val="clear" w:color="000000" w:fill="FFF2CC"/>
            <w:hideMark/>
          </w:tcPr>
          <w:p w14:paraId="40E5196D"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Secure Data Backup and Recovery (Ransomware Solution)</w:t>
            </w:r>
          </w:p>
        </w:tc>
        <w:tc>
          <w:tcPr>
            <w:tcW w:w="378" w:type="pct"/>
            <w:tcBorders>
              <w:top w:val="nil"/>
              <w:left w:val="nil"/>
              <w:bottom w:val="single" w:sz="4" w:space="0" w:color="auto"/>
              <w:right w:val="single" w:sz="4" w:space="0" w:color="auto"/>
            </w:tcBorders>
            <w:shd w:val="clear" w:color="000000" w:fill="FFFFFF"/>
            <w:noWrap/>
            <w:vAlign w:val="bottom"/>
            <w:hideMark/>
          </w:tcPr>
          <w:p w14:paraId="300D4423"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 (M)</w:t>
            </w:r>
          </w:p>
        </w:tc>
        <w:tc>
          <w:tcPr>
            <w:tcW w:w="2935" w:type="pct"/>
            <w:gridSpan w:val="9"/>
            <w:tcBorders>
              <w:top w:val="single" w:sz="4" w:space="0" w:color="auto"/>
              <w:left w:val="nil"/>
              <w:bottom w:val="single" w:sz="4" w:space="0" w:color="auto"/>
              <w:right w:val="single" w:sz="4" w:space="0" w:color="auto"/>
            </w:tcBorders>
            <w:shd w:val="clear" w:color="000000" w:fill="FFFFFF"/>
            <w:noWrap/>
            <w:vAlign w:val="bottom"/>
            <w:hideMark/>
          </w:tcPr>
          <w:p w14:paraId="07FBCEE1" w14:textId="77777777" w:rsidR="000A1AD9" w:rsidRPr="00000F38" w:rsidRDefault="000A1AD9" w:rsidP="000A1AD9">
            <w:pPr>
              <w:spacing w:after="0" w:line="240" w:lineRule="auto"/>
              <w:jc w:val="right"/>
              <w:rPr>
                <w:rFonts w:eastAsia="Times New Roman" w:cstheme="minorHAnsi"/>
                <w:color w:val="000000"/>
                <w:lang w:val="en-GB" w:eastAsia="en-GB"/>
              </w:rPr>
            </w:pPr>
            <w:r w:rsidRPr="00000F38">
              <w:rPr>
                <w:rFonts w:eastAsia="Times New Roman" w:cstheme="minorHAnsi"/>
                <w:color w:val="000000"/>
                <w:lang w:val="en-GB" w:eastAsia="en-GB"/>
              </w:rPr>
              <w:t> </w:t>
            </w:r>
          </w:p>
        </w:tc>
        <w:tc>
          <w:tcPr>
            <w:tcW w:w="583" w:type="pct"/>
            <w:tcBorders>
              <w:top w:val="nil"/>
              <w:left w:val="nil"/>
              <w:bottom w:val="single" w:sz="4" w:space="0" w:color="auto"/>
              <w:right w:val="single" w:sz="4" w:space="0" w:color="auto"/>
            </w:tcBorders>
            <w:shd w:val="clear" w:color="000000" w:fill="FFFFFF"/>
            <w:noWrap/>
            <w:vAlign w:val="bottom"/>
            <w:hideMark/>
          </w:tcPr>
          <w:p w14:paraId="623C513F" w14:textId="77777777" w:rsidR="000A1AD9" w:rsidRPr="00000F38" w:rsidRDefault="000A1AD9" w:rsidP="000A1AD9">
            <w:pPr>
              <w:spacing w:after="0" w:line="240" w:lineRule="auto"/>
              <w:jc w:val="right"/>
              <w:rPr>
                <w:rFonts w:eastAsia="Times New Roman" w:cstheme="minorHAnsi"/>
                <w:color w:val="000000"/>
                <w:lang w:val="en-GB" w:eastAsia="en-GB"/>
              </w:rPr>
            </w:pPr>
            <w:r w:rsidRPr="00000F38">
              <w:rPr>
                <w:rFonts w:eastAsia="Times New Roman" w:cstheme="minorHAnsi"/>
                <w:color w:val="000000"/>
                <w:lang w:val="en-GB" w:eastAsia="en-GB"/>
              </w:rPr>
              <w:t> </w:t>
            </w:r>
          </w:p>
        </w:tc>
      </w:tr>
      <w:tr w:rsidR="000A1AD9" w:rsidRPr="00000F38" w14:paraId="2A9C0D77" w14:textId="77777777" w:rsidTr="008E0319">
        <w:trPr>
          <w:trHeight w:val="300"/>
        </w:trPr>
        <w:tc>
          <w:tcPr>
            <w:tcW w:w="244" w:type="pct"/>
            <w:tcBorders>
              <w:top w:val="nil"/>
              <w:left w:val="single" w:sz="4" w:space="0" w:color="auto"/>
              <w:bottom w:val="single" w:sz="4" w:space="0" w:color="auto"/>
              <w:right w:val="single" w:sz="4" w:space="0" w:color="auto"/>
            </w:tcBorders>
            <w:shd w:val="clear" w:color="auto" w:fill="auto"/>
            <w:noWrap/>
            <w:vAlign w:val="bottom"/>
            <w:hideMark/>
          </w:tcPr>
          <w:p w14:paraId="5D2EE0A8"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11</w:t>
            </w:r>
          </w:p>
        </w:tc>
        <w:tc>
          <w:tcPr>
            <w:tcW w:w="861" w:type="pct"/>
            <w:tcBorders>
              <w:top w:val="nil"/>
              <w:left w:val="nil"/>
              <w:bottom w:val="single" w:sz="4" w:space="0" w:color="auto"/>
              <w:right w:val="single" w:sz="4" w:space="0" w:color="auto"/>
            </w:tcBorders>
            <w:shd w:val="clear" w:color="000000" w:fill="FFF2CC"/>
            <w:hideMark/>
          </w:tcPr>
          <w:p w14:paraId="6A6D8510"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Network Access Control (NAC)</w:t>
            </w:r>
          </w:p>
        </w:tc>
        <w:tc>
          <w:tcPr>
            <w:tcW w:w="378" w:type="pct"/>
            <w:tcBorders>
              <w:top w:val="nil"/>
              <w:left w:val="nil"/>
              <w:bottom w:val="single" w:sz="4" w:space="0" w:color="auto"/>
              <w:right w:val="single" w:sz="4" w:space="0" w:color="auto"/>
            </w:tcBorders>
            <w:shd w:val="clear" w:color="000000" w:fill="FFFFFF"/>
            <w:noWrap/>
            <w:vAlign w:val="bottom"/>
            <w:hideMark/>
          </w:tcPr>
          <w:p w14:paraId="0696B692"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XX (M)</w:t>
            </w:r>
          </w:p>
        </w:tc>
        <w:tc>
          <w:tcPr>
            <w:tcW w:w="2935" w:type="pct"/>
            <w:gridSpan w:val="9"/>
            <w:tcBorders>
              <w:top w:val="single" w:sz="4" w:space="0" w:color="auto"/>
              <w:left w:val="nil"/>
              <w:bottom w:val="single" w:sz="4" w:space="0" w:color="auto"/>
              <w:right w:val="single" w:sz="4" w:space="0" w:color="auto"/>
            </w:tcBorders>
            <w:shd w:val="clear" w:color="000000" w:fill="FFFFFF"/>
            <w:noWrap/>
            <w:vAlign w:val="bottom"/>
            <w:hideMark/>
          </w:tcPr>
          <w:p w14:paraId="5EE6A6E6" w14:textId="77777777" w:rsidR="000A1AD9" w:rsidRPr="00000F38" w:rsidRDefault="000A1AD9" w:rsidP="000A1AD9">
            <w:pPr>
              <w:spacing w:after="0" w:line="240" w:lineRule="auto"/>
              <w:jc w:val="right"/>
              <w:rPr>
                <w:rFonts w:eastAsia="Times New Roman" w:cstheme="minorHAnsi"/>
                <w:color w:val="000000"/>
                <w:lang w:val="en-GB" w:eastAsia="en-GB"/>
              </w:rPr>
            </w:pPr>
            <w:r w:rsidRPr="00000F38">
              <w:rPr>
                <w:rFonts w:eastAsia="Times New Roman" w:cstheme="minorHAnsi"/>
                <w:color w:val="000000"/>
                <w:lang w:val="en-GB" w:eastAsia="en-GB"/>
              </w:rPr>
              <w:t> </w:t>
            </w:r>
          </w:p>
        </w:tc>
        <w:tc>
          <w:tcPr>
            <w:tcW w:w="583" w:type="pct"/>
            <w:tcBorders>
              <w:top w:val="nil"/>
              <w:left w:val="nil"/>
              <w:bottom w:val="single" w:sz="4" w:space="0" w:color="auto"/>
              <w:right w:val="single" w:sz="4" w:space="0" w:color="auto"/>
            </w:tcBorders>
            <w:shd w:val="clear" w:color="000000" w:fill="FFFFFF"/>
            <w:noWrap/>
            <w:vAlign w:val="bottom"/>
            <w:hideMark/>
          </w:tcPr>
          <w:p w14:paraId="519DB7AB" w14:textId="77777777" w:rsidR="000A1AD9" w:rsidRPr="00000F38" w:rsidRDefault="000A1AD9" w:rsidP="000A1AD9">
            <w:pPr>
              <w:spacing w:after="0" w:line="240" w:lineRule="auto"/>
              <w:jc w:val="right"/>
              <w:rPr>
                <w:rFonts w:eastAsia="Times New Roman" w:cstheme="minorHAnsi"/>
                <w:color w:val="000000"/>
                <w:lang w:val="en-GB" w:eastAsia="en-GB"/>
              </w:rPr>
            </w:pPr>
            <w:r w:rsidRPr="00000F38">
              <w:rPr>
                <w:rFonts w:eastAsia="Times New Roman" w:cstheme="minorHAnsi"/>
                <w:color w:val="000000"/>
                <w:lang w:val="en-GB" w:eastAsia="en-GB"/>
              </w:rPr>
              <w:t> </w:t>
            </w:r>
          </w:p>
        </w:tc>
      </w:tr>
      <w:tr w:rsidR="000A1AD9" w:rsidRPr="00000F38" w14:paraId="430523CD" w14:textId="77777777" w:rsidTr="008E0319">
        <w:trPr>
          <w:trHeight w:val="300"/>
        </w:trPr>
        <w:tc>
          <w:tcPr>
            <w:tcW w:w="244" w:type="pct"/>
            <w:tcBorders>
              <w:top w:val="nil"/>
              <w:left w:val="single" w:sz="4" w:space="0" w:color="auto"/>
              <w:bottom w:val="single" w:sz="4" w:space="0" w:color="auto"/>
              <w:right w:val="single" w:sz="4" w:space="0" w:color="auto"/>
            </w:tcBorders>
            <w:shd w:val="clear" w:color="auto" w:fill="auto"/>
            <w:noWrap/>
            <w:vAlign w:val="bottom"/>
            <w:hideMark/>
          </w:tcPr>
          <w:p w14:paraId="3FBD48C0"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lastRenderedPageBreak/>
              <w:t> </w:t>
            </w:r>
          </w:p>
        </w:tc>
        <w:tc>
          <w:tcPr>
            <w:tcW w:w="861" w:type="pct"/>
            <w:tcBorders>
              <w:top w:val="nil"/>
              <w:left w:val="nil"/>
              <w:bottom w:val="single" w:sz="4" w:space="0" w:color="auto"/>
              <w:right w:val="single" w:sz="4" w:space="0" w:color="auto"/>
            </w:tcBorders>
            <w:shd w:val="clear" w:color="000000" w:fill="FFFFFF"/>
            <w:vAlign w:val="bottom"/>
            <w:hideMark/>
          </w:tcPr>
          <w:p w14:paraId="5B9CC245"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pct"/>
            <w:tcBorders>
              <w:top w:val="nil"/>
              <w:left w:val="nil"/>
              <w:bottom w:val="single" w:sz="4" w:space="0" w:color="auto"/>
              <w:right w:val="single" w:sz="4" w:space="0" w:color="auto"/>
            </w:tcBorders>
            <w:shd w:val="clear" w:color="000000" w:fill="FFFFFF"/>
            <w:noWrap/>
            <w:vAlign w:val="bottom"/>
            <w:hideMark/>
          </w:tcPr>
          <w:p w14:paraId="27D5A6B6" w14:textId="77777777" w:rsidR="000A1AD9" w:rsidRPr="00000F38" w:rsidRDefault="000A1AD9" w:rsidP="000A1AD9">
            <w:pPr>
              <w:spacing w:after="0" w:line="240" w:lineRule="auto"/>
              <w:rPr>
                <w:rFonts w:eastAsia="Times New Roman" w:cstheme="minorHAnsi"/>
                <w:color w:val="000000"/>
                <w:lang w:val="en-GB" w:eastAsia="en-GB"/>
              </w:rPr>
            </w:pPr>
            <w:r w:rsidRPr="00000F38">
              <w:rPr>
                <w:rFonts w:eastAsia="Times New Roman" w:cstheme="minorHAnsi"/>
                <w:color w:val="000000"/>
                <w:lang w:val="en-GB" w:eastAsia="en-GB"/>
              </w:rPr>
              <w:t> </w:t>
            </w:r>
          </w:p>
        </w:tc>
        <w:tc>
          <w:tcPr>
            <w:tcW w:w="305" w:type="pct"/>
            <w:tcBorders>
              <w:top w:val="nil"/>
              <w:left w:val="nil"/>
              <w:bottom w:val="single" w:sz="4" w:space="0" w:color="auto"/>
              <w:right w:val="single" w:sz="4" w:space="0" w:color="auto"/>
            </w:tcBorders>
            <w:shd w:val="clear" w:color="000000" w:fill="FFFFFF"/>
            <w:noWrap/>
            <w:vAlign w:val="bottom"/>
            <w:hideMark/>
          </w:tcPr>
          <w:p w14:paraId="4A695F32"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pct"/>
            <w:tcBorders>
              <w:top w:val="nil"/>
              <w:left w:val="nil"/>
              <w:bottom w:val="single" w:sz="4" w:space="0" w:color="auto"/>
              <w:right w:val="single" w:sz="4" w:space="0" w:color="auto"/>
            </w:tcBorders>
            <w:shd w:val="clear" w:color="000000" w:fill="FFFFFF"/>
            <w:noWrap/>
            <w:vAlign w:val="bottom"/>
            <w:hideMark/>
          </w:tcPr>
          <w:p w14:paraId="4775DB27"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279" w:type="pct"/>
            <w:tcBorders>
              <w:top w:val="nil"/>
              <w:left w:val="nil"/>
              <w:bottom w:val="single" w:sz="4" w:space="0" w:color="auto"/>
              <w:right w:val="single" w:sz="4" w:space="0" w:color="auto"/>
            </w:tcBorders>
            <w:shd w:val="clear" w:color="000000" w:fill="FFFFFF"/>
            <w:noWrap/>
            <w:vAlign w:val="bottom"/>
            <w:hideMark/>
          </w:tcPr>
          <w:p w14:paraId="0F6546C8"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pct"/>
            <w:tcBorders>
              <w:top w:val="nil"/>
              <w:left w:val="nil"/>
              <w:bottom w:val="single" w:sz="4" w:space="0" w:color="auto"/>
              <w:right w:val="single" w:sz="4" w:space="0" w:color="auto"/>
            </w:tcBorders>
            <w:shd w:val="clear" w:color="000000" w:fill="FFFFFF"/>
            <w:noWrap/>
            <w:vAlign w:val="bottom"/>
            <w:hideMark/>
          </w:tcPr>
          <w:p w14:paraId="3B591171"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280" w:type="pct"/>
            <w:tcBorders>
              <w:top w:val="nil"/>
              <w:left w:val="nil"/>
              <w:bottom w:val="single" w:sz="4" w:space="0" w:color="auto"/>
              <w:right w:val="single" w:sz="4" w:space="0" w:color="auto"/>
            </w:tcBorders>
            <w:shd w:val="clear" w:color="000000" w:fill="FFFFFF"/>
            <w:noWrap/>
            <w:vAlign w:val="bottom"/>
            <w:hideMark/>
          </w:tcPr>
          <w:p w14:paraId="62FEEB06"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378" w:type="pct"/>
            <w:tcBorders>
              <w:top w:val="nil"/>
              <w:left w:val="nil"/>
              <w:bottom w:val="single" w:sz="4" w:space="0" w:color="auto"/>
              <w:right w:val="single" w:sz="4" w:space="0" w:color="auto"/>
            </w:tcBorders>
            <w:shd w:val="clear" w:color="000000" w:fill="FFFFFF"/>
            <w:noWrap/>
            <w:vAlign w:val="bottom"/>
            <w:hideMark/>
          </w:tcPr>
          <w:p w14:paraId="688B3040"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279" w:type="pct"/>
            <w:tcBorders>
              <w:top w:val="nil"/>
              <w:left w:val="nil"/>
              <w:bottom w:val="single" w:sz="4" w:space="0" w:color="auto"/>
              <w:right w:val="single" w:sz="4" w:space="0" w:color="auto"/>
            </w:tcBorders>
            <w:shd w:val="clear" w:color="000000" w:fill="FFFFFF"/>
            <w:noWrap/>
            <w:vAlign w:val="bottom"/>
            <w:hideMark/>
          </w:tcPr>
          <w:p w14:paraId="3EC6F6BE"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 </w:t>
            </w:r>
          </w:p>
        </w:tc>
        <w:tc>
          <w:tcPr>
            <w:tcW w:w="658" w:type="pct"/>
            <w:gridSpan w:val="2"/>
            <w:tcBorders>
              <w:top w:val="nil"/>
              <w:left w:val="single" w:sz="4" w:space="0" w:color="auto"/>
              <w:bottom w:val="single" w:sz="4" w:space="0" w:color="auto"/>
              <w:right w:val="single" w:sz="4" w:space="0" w:color="000000"/>
            </w:tcBorders>
            <w:shd w:val="clear" w:color="000000" w:fill="FFFFFF"/>
            <w:noWrap/>
            <w:vAlign w:val="bottom"/>
            <w:hideMark/>
          </w:tcPr>
          <w:p w14:paraId="71F4BBA6" w14:textId="77777777" w:rsidR="000A1AD9" w:rsidRPr="00000F38" w:rsidRDefault="000A1AD9" w:rsidP="000A1AD9">
            <w:pPr>
              <w:spacing w:after="0" w:line="240" w:lineRule="auto"/>
              <w:jc w:val="center"/>
              <w:rPr>
                <w:rFonts w:eastAsia="Times New Roman" w:cstheme="minorHAnsi"/>
                <w:color w:val="000000"/>
                <w:lang w:val="en-GB" w:eastAsia="en-GB"/>
              </w:rPr>
            </w:pPr>
            <w:r w:rsidRPr="00000F38">
              <w:rPr>
                <w:rFonts w:eastAsia="Times New Roman" w:cstheme="minorHAnsi"/>
                <w:color w:val="000000"/>
                <w:lang w:val="en-GB" w:eastAsia="en-GB"/>
              </w:rPr>
              <w:t>TOTAL</w:t>
            </w:r>
          </w:p>
        </w:tc>
        <w:tc>
          <w:tcPr>
            <w:tcW w:w="583" w:type="pct"/>
            <w:tcBorders>
              <w:top w:val="nil"/>
              <w:left w:val="single" w:sz="4" w:space="0" w:color="auto"/>
              <w:bottom w:val="single" w:sz="4" w:space="0" w:color="auto"/>
              <w:right w:val="single" w:sz="4" w:space="0" w:color="auto"/>
            </w:tcBorders>
            <w:shd w:val="clear" w:color="000000" w:fill="E2EFDA"/>
            <w:noWrap/>
            <w:vAlign w:val="bottom"/>
            <w:hideMark/>
          </w:tcPr>
          <w:p w14:paraId="54CFCD55" w14:textId="77777777"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xml:space="preserve">                           -   </w:t>
            </w:r>
          </w:p>
        </w:tc>
      </w:tr>
      <w:tr w:rsidR="000A1AD9" w:rsidRPr="00000F38" w14:paraId="221A408A" w14:textId="77777777" w:rsidTr="008E0319">
        <w:trPr>
          <w:trHeight w:val="300"/>
        </w:trPr>
        <w:tc>
          <w:tcPr>
            <w:tcW w:w="244" w:type="pct"/>
            <w:tcBorders>
              <w:top w:val="nil"/>
              <w:left w:val="nil"/>
              <w:bottom w:val="nil"/>
              <w:right w:val="nil"/>
            </w:tcBorders>
            <w:shd w:val="clear" w:color="auto" w:fill="auto"/>
            <w:noWrap/>
            <w:vAlign w:val="bottom"/>
            <w:hideMark/>
          </w:tcPr>
          <w:p w14:paraId="373B34DB" w14:textId="77777777" w:rsidR="000A1AD9" w:rsidRPr="00000F38" w:rsidRDefault="000A1AD9" w:rsidP="000A1AD9">
            <w:pPr>
              <w:spacing w:after="0" w:line="240" w:lineRule="auto"/>
              <w:rPr>
                <w:rFonts w:eastAsia="Times New Roman" w:cstheme="minorHAnsi"/>
                <w:b/>
                <w:bCs/>
                <w:color w:val="000000"/>
                <w:lang w:val="en-GB" w:eastAsia="en-GB"/>
              </w:rPr>
            </w:pPr>
          </w:p>
        </w:tc>
        <w:tc>
          <w:tcPr>
            <w:tcW w:w="4756" w:type="pct"/>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14:paraId="7567970A" w14:textId="26FB2520" w:rsidR="000A1AD9" w:rsidRPr="00000F38" w:rsidRDefault="000A1AD9" w:rsidP="000A1AD9">
            <w:pPr>
              <w:spacing w:after="0" w:line="240" w:lineRule="auto"/>
              <w:rPr>
                <w:rFonts w:eastAsia="Times New Roman" w:cstheme="minorHAnsi"/>
                <w:b/>
                <w:bCs/>
                <w:color w:val="000000"/>
                <w:lang w:val="en-GB" w:eastAsia="en-GB"/>
              </w:rPr>
            </w:pPr>
            <w:r w:rsidRPr="00000F38">
              <w:rPr>
                <w:rFonts w:eastAsia="Times New Roman" w:cstheme="minorHAnsi"/>
                <w:b/>
                <w:bCs/>
                <w:color w:val="000000"/>
                <w:lang w:val="en-GB" w:eastAsia="en-GB"/>
              </w:rPr>
              <w:t xml:space="preserve">*Note: - </w:t>
            </w:r>
            <w:r w:rsidRPr="00000F38">
              <w:rPr>
                <w:rFonts w:eastAsia="Times New Roman" w:cstheme="minorHAnsi"/>
                <w:b/>
                <w:bCs/>
                <w:color w:val="000000"/>
                <w:lang w:val="en-GB" w:eastAsia="en-GB"/>
              </w:rPr>
              <w:br/>
              <w:t>1. The cost will be valid throughout the period of contract.</w:t>
            </w:r>
            <w:r w:rsidRPr="00000F38">
              <w:rPr>
                <w:rFonts w:eastAsia="Times New Roman" w:cstheme="minorHAnsi"/>
                <w:b/>
                <w:bCs/>
                <w:color w:val="000000"/>
                <w:lang w:val="en-GB" w:eastAsia="en-GB"/>
              </w:rPr>
              <w:br/>
              <w:t xml:space="preserve">2. </w:t>
            </w:r>
            <w:r w:rsidR="00000F38" w:rsidRPr="00000F38">
              <w:rPr>
                <w:rFonts w:eastAsia="Times New Roman" w:cstheme="minorHAnsi"/>
                <w:b/>
                <w:bCs/>
                <w:color w:val="000000"/>
                <w:lang w:val="en-GB" w:eastAsia="en-GB"/>
              </w:rPr>
              <w:t>Additional</w:t>
            </w:r>
            <w:r w:rsidRPr="00000F38">
              <w:rPr>
                <w:rFonts w:eastAsia="Times New Roman" w:cstheme="minorHAnsi"/>
                <w:b/>
                <w:bCs/>
                <w:color w:val="000000"/>
                <w:lang w:val="en-GB" w:eastAsia="en-GB"/>
              </w:rPr>
              <w:t xml:space="preserve"> Professional Service Hours is for the purpose of TCO. However, Bank will pay on actuals as per usage of mandays.</w:t>
            </w:r>
            <w:r w:rsidRPr="00000F38">
              <w:rPr>
                <w:rFonts w:eastAsia="Times New Roman" w:cstheme="minorHAnsi"/>
                <w:b/>
                <w:bCs/>
                <w:color w:val="000000"/>
                <w:lang w:val="en-GB" w:eastAsia="en-GB"/>
              </w:rPr>
              <w:br/>
              <w:t>3. Professional Service will start from the Date of commissioning and acceptance of the solution by Bank.</w:t>
            </w:r>
          </w:p>
        </w:tc>
      </w:tr>
      <w:tr w:rsidR="000A1AD9" w:rsidRPr="00000F38" w14:paraId="431D9283" w14:textId="77777777" w:rsidTr="008E0319">
        <w:trPr>
          <w:trHeight w:val="300"/>
        </w:trPr>
        <w:tc>
          <w:tcPr>
            <w:tcW w:w="244" w:type="pct"/>
            <w:tcBorders>
              <w:top w:val="nil"/>
              <w:left w:val="nil"/>
              <w:bottom w:val="nil"/>
              <w:right w:val="nil"/>
            </w:tcBorders>
            <w:shd w:val="clear" w:color="auto" w:fill="auto"/>
            <w:noWrap/>
            <w:vAlign w:val="bottom"/>
            <w:hideMark/>
          </w:tcPr>
          <w:p w14:paraId="642AA2CE" w14:textId="77777777" w:rsidR="000A1AD9" w:rsidRPr="00000F38" w:rsidRDefault="000A1AD9" w:rsidP="000A1AD9">
            <w:pPr>
              <w:spacing w:after="0" w:line="240" w:lineRule="auto"/>
              <w:rPr>
                <w:rFonts w:eastAsia="Times New Roman" w:cstheme="minorHAnsi"/>
                <w:b/>
                <w:bCs/>
                <w:color w:val="000000"/>
                <w:lang w:val="en-GB" w:eastAsia="en-GB"/>
              </w:rPr>
            </w:pPr>
          </w:p>
        </w:tc>
        <w:tc>
          <w:tcPr>
            <w:tcW w:w="861" w:type="pct"/>
            <w:tcBorders>
              <w:top w:val="nil"/>
              <w:left w:val="nil"/>
              <w:bottom w:val="nil"/>
              <w:right w:val="nil"/>
            </w:tcBorders>
            <w:shd w:val="clear" w:color="auto" w:fill="auto"/>
            <w:noWrap/>
            <w:vAlign w:val="bottom"/>
            <w:hideMark/>
          </w:tcPr>
          <w:p w14:paraId="52B4AD46" w14:textId="77777777" w:rsidR="000A1AD9" w:rsidRPr="00000F38" w:rsidRDefault="000A1AD9" w:rsidP="000A1AD9">
            <w:pPr>
              <w:spacing w:after="0" w:line="240" w:lineRule="auto"/>
              <w:rPr>
                <w:rFonts w:eastAsia="Times New Roman" w:cstheme="minorHAnsi"/>
                <w:lang w:val="en-GB" w:eastAsia="en-GB"/>
              </w:rPr>
            </w:pPr>
          </w:p>
        </w:tc>
        <w:tc>
          <w:tcPr>
            <w:tcW w:w="378" w:type="pct"/>
            <w:tcBorders>
              <w:top w:val="nil"/>
              <w:left w:val="nil"/>
              <w:bottom w:val="nil"/>
              <w:right w:val="nil"/>
            </w:tcBorders>
            <w:shd w:val="clear" w:color="auto" w:fill="auto"/>
            <w:noWrap/>
            <w:vAlign w:val="bottom"/>
            <w:hideMark/>
          </w:tcPr>
          <w:p w14:paraId="78683A9B" w14:textId="77777777" w:rsidR="000A1AD9" w:rsidRPr="00000F38" w:rsidRDefault="000A1AD9" w:rsidP="000A1AD9">
            <w:pPr>
              <w:spacing w:after="0" w:line="240" w:lineRule="auto"/>
              <w:rPr>
                <w:rFonts w:eastAsia="Times New Roman" w:cstheme="minorHAnsi"/>
                <w:lang w:val="en-GB" w:eastAsia="en-GB"/>
              </w:rPr>
            </w:pPr>
          </w:p>
        </w:tc>
        <w:tc>
          <w:tcPr>
            <w:tcW w:w="305" w:type="pct"/>
            <w:tcBorders>
              <w:top w:val="nil"/>
              <w:left w:val="nil"/>
              <w:bottom w:val="nil"/>
              <w:right w:val="nil"/>
            </w:tcBorders>
            <w:shd w:val="clear" w:color="auto" w:fill="auto"/>
            <w:noWrap/>
            <w:vAlign w:val="bottom"/>
            <w:hideMark/>
          </w:tcPr>
          <w:p w14:paraId="519D46E4" w14:textId="77777777" w:rsidR="000A1AD9" w:rsidRPr="00000F38" w:rsidRDefault="000A1AD9" w:rsidP="000A1AD9">
            <w:pPr>
              <w:spacing w:after="0" w:line="240" w:lineRule="auto"/>
              <w:rPr>
                <w:rFonts w:eastAsia="Times New Roman" w:cstheme="minorHAnsi"/>
                <w:lang w:val="en-GB" w:eastAsia="en-GB"/>
              </w:rPr>
            </w:pPr>
          </w:p>
        </w:tc>
        <w:tc>
          <w:tcPr>
            <w:tcW w:w="378" w:type="pct"/>
            <w:tcBorders>
              <w:top w:val="nil"/>
              <w:left w:val="nil"/>
              <w:bottom w:val="nil"/>
              <w:right w:val="nil"/>
            </w:tcBorders>
            <w:shd w:val="clear" w:color="auto" w:fill="auto"/>
            <w:noWrap/>
            <w:vAlign w:val="bottom"/>
            <w:hideMark/>
          </w:tcPr>
          <w:p w14:paraId="19B578F7" w14:textId="77777777" w:rsidR="000A1AD9" w:rsidRPr="00000F38" w:rsidRDefault="000A1AD9" w:rsidP="000A1AD9">
            <w:pPr>
              <w:spacing w:after="0" w:line="240" w:lineRule="auto"/>
              <w:rPr>
                <w:rFonts w:eastAsia="Times New Roman" w:cstheme="minorHAnsi"/>
                <w:lang w:val="en-GB" w:eastAsia="en-GB"/>
              </w:rPr>
            </w:pPr>
          </w:p>
        </w:tc>
        <w:tc>
          <w:tcPr>
            <w:tcW w:w="279" w:type="pct"/>
            <w:tcBorders>
              <w:top w:val="nil"/>
              <w:left w:val="nil"/>
              <w:bottom w:val="nil"/>
              <w:right w:val="nil"/>
            </w:tcBorders>
            <w:shd w:val="clear" w:color="auto" w:fill="auto"/>
            <w:noWrap/>
            <w:vAlign w:val="bottom"/>
            <w:hideMark/>
          </w:tcPr>
          <w:p w14:paraId="61EE50EE" w14:textId="77777777" w:rsidR="000A1AD9" w:rsidRPr="00000F38" w:rsidRDefault="000A1AD9" w:rsidP="000A1AD9">
            <w:pPr>
              <w:spacing w:after="0" w:line="240" w:lineRule="auto"/>
              <w:rPr>
                <w:rFonts w:eastAsia="Times New Roman" w:cstheme="minorHAnsi"/>
                <w:lang w:val="en-GB" w:eastAsia="en-GB"/>
              </w:rPr>
            </w:pPr>
          </w:p>
        </w:tc>
        <w:tc>
          <w:tcPr>
            <w:tcW w:w="378" w:type="pct"/>
            <w:tcBorders>
              <w:top w:val="nil"/>
              <w:left w:val="nil"/>
              <w:bottom w:val="nil"/>
              <w:right w:val="nil"/>
            </w:tcBorders>
            <w:shd w:val="clear" w:color="auto" w:fill="auto"/>
            <w:noWrap/>
            <w:vAlign w:val="bottom"/>
            <w:hideMark/>
          </w:tcPr>
          <w:p w14:paraId="0EA392F4" w14:textId="77777777" w:rsidR="000A1AD9" w:rsidRPr="00000F38" w:rsidRDefault="000A1AD9" w:rsidP="000A1AD9">
            <w:pPr>
              <w:spacing w:after="0" w:line="240" w:lineRule="auto"/>
              <w:rPr>
                <w:rFonts w:eastAsia="Times New Roman" w:cstheme="minorHAnsi"/>
                <w:lang w:val="en-GB" w:eastAsia="en-GB"/>
              </w:rPr>
            </w:pPr>
          </w:p>
        </w:tc>
        <w:tc>
          <w:tcPr>
            <w:tcW w:w="280" w:type="pct"/>
            <w:tcBorders>
              <w:top w:val="nil"/>
              <w:left w:val="nil"/>
              <w:bottom w:val="nil"/>
              <w:right w:val="nil"/>
            </w:tcBorders>
            <w:shd w:val="clear" w:color="auto" w:fill="auto"/>
            <w:noWrap/>
            <w:vAlign w:val="bottom"/>
            <w:hideMark/>
          </w:tcPr>
          <w:p w14:paraId="344961F9" w14:textId="77777777" w:rsidR="000A1AD9" w:rsidRPr="00000F38" w:rsidRDefault="000A1AD9" w:rsidP="000A1AD9">
            <w:pPr>
              <w:spacing w:after="0" w:line="240" w:lineRule="auto"/>
              <w:rPr>
                <w:rFonts w:eastAsia="Times New Roman" w:cstheme="minorHAnsi"/>
                <w:lang w:val="en-GB" w:eastAsia="en-GB"/>
              </w:rPr>
            </w:pPr>
          </w:p>
        </w:tc>
        <w:tc>
          <w:tcPr>
            <w:tcW w:w="378" w:type="pct"/>
            <w:tcBorders>
              <w:top w:val="nil"/>
              <w:left w:val="nil"/>
              <w:bottom w:val="nil"/>
              <w:right w:val="nil"/>
            </w:tcBorders>
            <w:shd w:val="clear" w:color="auto" w:fill="auto"/>
            <w:noWrap/>
            <w:vAlign w:val="bottom"/>
            <w:hideMark/>
          </w:tcPr>
          <w:p w14:paraId="7E40644C" w14:textId="77777777" w:rsidR="000A1AD9" w:rsidRPr="00000F38" w:rsidRDefault="000A1AD9" w:rsidP="000A1AD9">
            <w:pPr>
              <w:spacing w:after="0" w:line="240" w:lineRule="auto"/>
              <w:rPr>
                <w:rFonts w:eastAsia="Times New Roman" w:cstheme="minorHAnsi"/>
                <w:lang w:val="en-GB" w:eastAsia="en-GB"/>
              </w:rPr>
            </w:pPr>
          </w:p>
        </w:tc>
        <w:tc>
          <w:tcPr>
            <w:tcW w:w="279" w:type="pct"/>
            <w:tcBorders>
              <w:top w:val="nil"/>
              <w:left w:val="nil"/>
              <w:bottom w:val="nil"/>
              <w:right w:val="nil"/>
            </w:tcBorders>
            <w:shd w:val="clear" w:color="auto" w:fill="auto"/>
            <w:noWrap/>
            <w:vAlign w:val="bottom"/>
            <w:hideMark/>
          </w:tcPr>
          <w:p w14:paraId="0754A575" w14:textId="77777777" w:rsidR="000A1AD9" w:rsidRPr="00000F38" w:rsidRDefault="000A1AD9" w:rsidP="000A1AD9">
            <w:pPr>
              <w:spacing w:after="0" w:line="240" w:lineRule="auto"/>
              <w:rPr>
                <w:rFonts w:eastAsia="Times New Roman" w:cstheme="minorHAnsi"/>
                <w:lang w:val="en-GB" w:eastAsia="en-GB"/>
              </w:rPr>
            </w:pPr>
          </w:p>
        </w:tc>
        <w:tc>
          <w:tcPr>
            <w:tcW w:w="378" w:type="pct"/>
            <w:tcBorders>
              <w:top w:val="nil"/>
              <w:left w:val="nil"/>
              <w:bottom w:val="nil"/>
              <w:right w:val="nil"/>
            </w:tcBorders>
            <w:shd w:val="clear" w:color="auto" w:fill="auto"/>
            <w:noWrap/>
            <w:vAlign w:val="bottom"/>
            <w:hideMark/>
          </w:tcPr>
          <w:p w14:paraId="555C3811" w14:textId="77777777" w:rsidR="000A1AD9" w:rsidRPr="00000F38" w:rsidRDefault="000A1AD9" w:rsidP="000A1AD9">
            <w:pPr>
              <w:spacing w:after="0" w:line="240" w:lineRule="auto"/>
              <w:rPr>
                <w:rFonts w:eastAsia="Times New Roman" w:cstheme="minorHAnsi"/>
                <w:lang w:val="en-GB" w:eastAsia="en-GB"/>
              </w:rPr>
            </w:pPr>
          </w:p>
        </w:tc>
        <w:tc>
          <w:tcPr>
            <w:tcW w:w="280" w:type="pct"/>
            <w:tcBorders>
              <w:top w:val="nil"/>
              <w:left w:val="nil"/>
              <w:bottom w:val="nil"/>
              <w:right w:val="nil"/>
            </w:tcBorders>
            <w:shd w:val="clear" w:color="auto" w:fill="auto"/>
            <w:noWrap/>
            <w:vAlign w:val="bottom"/>
            <w:hideMark/>
          </w:tcPr>
          <w:p w14:paraId="4DDFD7B7" w14:textId="77777777" w:rsidR="000A1AD9" w:rsidRPr="00000F38" w:rsidRDefault="000A1AD9" w:rsidP="000A1AD9">
            <w:pPr>
              <w:spacing w:after="0" w:line="240" w:lineRule="auto"/>
              <w:rPr>
                <w:rFonts w:eastAsia="Times New Roman" w:cstheme="minorHAnsi"/>
                <w:lang w:val="en-GB" w:eastAsia="en-GB"/>
              </w:rPr>
            </w:pPr>
          </w:p>
        </w:tc>
        <w:tc>
          <w:tcPr>
            <w:tcW w:w="583" w:type="pct"/>
            <w:tcBorders>
              <w:top w:val="nil"/>
              <w:left w:val="nil"/>
              <w:bottom w:val="nil"/>
              <w:right w:val="nil"/>
            </w:tcBorders>
            <w:shd w:val="clear" w:color="auto" w:fill="auto"/>
            <w:noWrap/>
            <w:vAlign w:val="bottom"/>
            <w:hideMark/>
          </w:tcPr>
          <w:p w14:paraId="1F6364C5" w14:textId="77777777" w:rsidR="000A1AD9" w:rsidRPr="00000F38" w:rsidRDefault="000A1AD9" w:rsidP="000A1AD9">
            <w:pPr>
              <w:spacing w:after="0" w:line="240" w:lineRule="auto"/>
              <w:rPr>
                <w:rFonts w:eastAsia="Times New Roman" w:cstheme="minorHAnsi"/>
                <w:lang w:val="en-GB" w:eastAsia="en-GB"/>
              </w:rPr>
            </w:pPr>
          </w:p>
        </w:tc>
      </w:tr>
      <w:tr w:rsidR="000A1AD9" w:rsidRPr="00000F38" w14:paraId="587CD524" w14:textId="77777777" w:rsidTr="008E0319">
        <w:trPr>
          <w:trHeight w:val="300"/>
        </w:trPr>
        <w:tc>
          <w:tcPr>
            <w:tcW w:w="244" w:type="pct"/>
            <w:tcBorders>
              <w:top w:val="nil"/>
              <w:left w:val="nil"/>
              <w:bottom w:val="nil"/>
              <w:right w:val="nil"/>
            </w:tcBorders>
            <w:shd w:val="clear" w:color="auto" w:fill="auto"/>
            <w:noWrap/>
            <w:vAlign w:val="bottom"/>
            <w:hideMark/>
          </w:tcPr>
          <w:p w14:paraId="608A873A" w14:textId="77777777" w:rsidR="000A1AD9" w:rsidRPr="00000F38" w:rsidRDefault="000A1AD9" w:rsidP="000A1AD9">
            <w:pPr>
              <w:spacing w:after="0" w:line="240" w:lineRule="auto"/>
              <w:rPr>
                <w:rFonts w:eastAsia="Times New Roman" w:cstheme="minorHAnsi"/>
                <w:lang w:val="en-GB" w:eastAsia="en-GB"/>
              </w:rPr>
            </w:pPr>
          </w:p>
        </w:tc>
        <w:tc>
          <w:tcPr>
            <w:tcW w:w="861" w:type="pct"/>
            <w:tcBorders>
              <w:top w:val="nil"/>
              <w:left w:val="nil"/>
              <w:bottom w:val="nil"/>
              <w:right w:val="nil"/>
            </w:tcBorders>
            <w:shd w:val="clear" w:color="auto" w:fill="auto"/>
            <w:noWrap/>
            <w:vAlign w:val="bottom"/>
            <w:hideMark/>
          </w:tcPr>
          <w:p w14:paraId="3D729B88" w14:textId="77777777" w:rsidR="000A1AD9" w:rsidRPr="00000F38" w:rsidRDefault="000A1AD9" w:rsidP="000A1AD9">
            <w:pPr>
              <w:spacing w:after="0" w:line="240" w:lineRule="auto"/>
              <w:rPr>
                <w:rFonts w:eastAsia="Times New Roman" w:cstheme="minorHAnsi"/>
                <w:lang w:val="en-GB" w:eastAsia="en-GB"/>
              </w:rPr>
            </w:pPr>
          </w:p>
        </w:tc>
        <w:tc>
          <w:tcPr>
            <w:tcW w:w="378" w:type="pct"/>
            <w:tcBorders>
              <w:top w:val="nil"/>
              <w:left w:val="nil"/>
              <w:bottom w:val="nil"/>
              <w:right w:val="nil"/>
            </w:tcBorders>
            <w:shd w:val="clear" w:color="auto" w:fill="auto"/>
            <w:noWrap/>
            <w:vAlign w:val="bottom"/>
            <w:hideMark/>
          </w:tcPr>
          <w:p w14:paraId="70C5739D" w14:textId="77777777" w:rsidR="000A1AD9" w:rsidRPr="00000F38" w:rsidRDefault="000A1AD9" w:rsidP="000A1AD9">
            <w:pPr>
              <w:spacing w:after="0" w:line="240" w:lineRule="auto"/>
              <w:rPr>
                <w:rFonts w:eastAsia="Times New Roman" w:cstheme="minorHAnsi"/>
                <w:lang w:val="en-GB" w:eastAsia="en-GB"/>
              </w:rPr>
            </w:pPr>
          </w:p>
        </w:tc>
        <w:tc>
          <w:tcPr>
            <w:tcW w:w="305" w:type="pct"/>
            <w:tcBorders>
              <w:top w:val="nil"/>
              <w:left w:val="nil"/>
              <w:bottom w:val="nil"/>
              <w:right w:val="nil"/>
            </w:tcBorders>
            <w:shd w:val="clear" w:color="auto" w:fill="auto"/>
            <w:noWrap/>
            <w:vAlign w:val="bottom"/>
            <w:hideMark/>
          </w:tcPr>
          <w:p w14:paraId="61F14B9D" w14:textId="77777777" w:rsidR="000A1AD9" w:rsidRPr="00000F38" w:rsidRDefault="000A1AD9" w:rsidP="000A1AD9">
            <w:pPr>
              <w:spacing w:after="0" w:line="240" w:lineRule="auto"/>
              <w:rPr>
                <w:rFonts w:eastAsia="Times New Roman" w:cstheme="minorHAnsi"/>
                <w:lang w:val="en-GB" w:eastAsia="en-GB"/>
              </w:rPr>
            </w:pPr>
          </w:p>
        </w:tc>
        <w:tc>
          <w:tcPr>
            <w:tcW w:w="378" w:type="pct"/>
            <w:tcBorders>
              <w:top w:val="nil"/>
              <w:left w:val="nil"/>
              <w:bottom w:val="nil"/>
              <w:right w:val="nil"/>
            </w:tcBorders>
            <w:shd w:val="clear" w:color="auto" w:fill="auto"/>
            <w:noWrap/>
            <w:vAlign w:val="bottom"/>
            <w:hideMark/>
          </w:tcPr>
          <w:p w14:paraId="00EEB05D" w14:textId="77777777" w:rsidR="000A1AD9" w:rsidRPr="00000F38" w:rsidRDefault="000A1AD9" w:rsidP="000A1AD9">
            <w:pPr>
              <w:spacing w:after="0" w:line="240" w:lineRule="auto"/>
              <w:rPr>
                <w:rFonts w:eastAsia="Times New Roman" w:cstheme="minorHAnsi"/>
                <w:lang w:val="en-GB" w:eastAsia="en-GB"/>
              </w:rPr>
            </w:pPr>
          </w:p>
        </w:tc>
        <w:tc>
          <w:tcPr>
            <w:tcW w:w="279" w:type="pct"/>
            <w:tcBorders>
              <w:top w:val="nil"/>
              <w:left w:val="nil"/>
              <w:bottom w:val="nil"/>
              <w:right w:val="nil"/>
            </w:tcBorders>
            <w:shd w:val="clear" w:color="auto" w:fill="auto"/>
            <w:noWrap/>
            <w:vAlign w:val="bottom"/>
            <w:hideMark/>
          </w:tcPr>
          <w:p w14:paraId="5FF08998" w14:textId="77777777" w:rsidR="000A1AD9" w:rsidRPr="00000F38" w:rsidRDefault="000A1AD9" w:rsidP="000A1AD9">
            <w:pPr>
              <w:spacing w:after="0" w:line="240" w:lineRule="auto"/>
              <w:rPr>
                <w:rFonts w:eastAsia="Times New Roman" w:cstheme="minorHAnsi"/>
                <w:lang w:val="en-GB" w:eastAsia="en-GB"/>
              </w:rPr>
            </w:pPr>
          </w:p>
        </w:tc>
        <w:tc>
          <w:tcPr>
            <w:tcW w:w="378" w:type="pct"/>
            <w:tcBorders>
              <w:top w:val="nil"/>
              <w:left w:val="nil"/>
              <w:bottom w:val="nil"/>
              <w:right w:val="nil"/>
            </w:tcBorders>
            <w:shd w:val="clear" w:color="auto" w:fill="auto"/>
            <w:noWrap/>
            <w:vAlign w:val="bottom"/>
            <w:hideMark/>
          </w:tcPr>
          <w:p w14:paraId="29DB73B3" w14:textId="77777777" w:rsidR="000A1AD9" w:rsidRPr="00000F38" w:rsidRDefault="000A1AD9" w:rsidP="000A1AD9">
            <w:pPr>
              <w:spacing w:after="0" w:line="240" w:lineRule="auto"/>
              <w:rPr>
                <w:rFonts w:eastAsia="Times New Roman" w:cstheme="minorHAnsi"/>
                <w:lang w:val="en-GB" w:eastAsia="en-GB"/>
              </w:rPr>
            </w:pPr>
          </w:p>
        </w:tc>
        <w:tc>
          <w:tcPr>
            <w:tcW w:w="280" w:type="pct"/>
            <w:tcBorders>
              <w:top w:val="nil"/>
              <w:left w:val="nil"/>
              <w:bottom w:val="nil"/>
              <w:right w:val="nil"/>
            </w:tcBorders>
            <w:shd w:val="clear" w:color="auto" w:fill="auto"/>
            <w:noWrap/>
            <w:vAlign w:val="bottom"/>
            <w:hideMark/>
          </w:tcPr>
          <w:p w14:paraId="62F2530C" w14:textId="77777777" w:rsidR="000A1AD9" w:rsidRPr="00000F38" w:rsidRDefault="000A1AD9" w:rsidP="000A1AD9">
            <w:pPr>
              <w:spacing w:after="0" w:line="240" w:lineRule="auto"/>
              <w:rPr>
                <w:rFonts w:eastAsia="Times New Roman" w:cstheme="minorHAnsi"/>
                <w:lang w:val="en-GB" w:eastAsia="en-GB"/>
              </w:rPr>
            </w:pPr>
          </w:p>
        </w:tc>
        <w:tc>
          <w:tcPr>
            <w:tcW w:w="378" w:type="pct"/>
            <w:tcBorders>
              <w:top w:val="nil"/>
              <w:left w:val="nil"/>
              <w:bottom w:val="nil"/>
              <w:right w:val="nil"/>
            </w:tcBorders>
            <w:shd w:val="clear" w:color="auto" w:fill="auto"/>
            <w:noWrap/>
            <w:vAlign w:val="bottom"/>
            <w:hideMark/>
          </w:tcPr>
          <w:p w14:paraId="0568D5F8" w14:textId="77777777" w:rsidR="000A1AD9" w:rsidRPr="00000F38" w:rsidRDefault="000A1AD9" w:rsidP="000A1AD9">
            <w:pPr>
              <w:spacing w:after="0" w:line="240" w:lineRule="auto"/>
              <w:rPr>
                <w:rFonts w:eastAsia="Times New Roman" w:cstheme="minorHAnsi"/>
                <w:lang w:val="en-GB" w:eastAsia="en-GB"/>
              </w:rPr>
            </w:pPr>
          </w:p>
        </w:tc>
        <w:tc>
          <w:tcPr>
            <w:tcW w:w="279" w:type="pct"/>
            <w:tcBorders>
              <w:top w:val="nil"/>
              <w:left w:val="nil"/>
              <w:bottom w:val="nil"/>
              <w:right w:val="nil"/>
            </w:tcBorders>
            <w:shd w:val="clear" w:color="auto" w:fill="auto"/>
            <w:noWrap/>
            <w:vAlign w:val="bottom"/>
            <w:hideMark/>
          </w:tcPr>
          <w:p w14:paraId="21E54012" w14:textId="77777777" w:rsidR="000A1AD9" w:rsidRPr="00000F38" w:rsidRDefault="000A1AD9" w:rsidP="000A1AD9">
            <w:pPr>
              <w:spacing w:after="0" w:line="240" w:lineRule="auto"/>
              <w:rPr>
                <w:rFonts w:eastAsia="Times New Roman" w:cstheme="minorHAnsi"/>
                <w:lang w:val="en-GB" w:eastAsia="en-GB"/>
              </w:rPr>
            </w:pPr>
          </w:p>
        </w:tc>
        <w:tc>
          <w:tcPr>
            <w:tcW w:w="378" w:type="pct"/>
            <w:tcBorders>
              <w:top w:val="nil"/>
              <w:left w:val="nil"/>
              <w:bottom w:val="nil"/>
              <w:right w:val="nil"/>
            </w:tcBorders>
            <w:shd w:val="clear" w:color="auto" w:fill="auto"/>
            <w:noWrap/>
            <w:vAlign w:val="bottom"/>
            <w:hideMark/>
          </w:tcPr>
          <w:p w14:paraId="72D7B61F" w14:textId="77777777" w:rsidR="000A1AD9" w:rsidRPr="00000F38" w:rsidRDefault="000A1AD9" w:rsidP="000A1AD9">
            <w:pPr>
              <w:spacing w:after="0" w:line="240" w:lineRule="auto"/>
              <w:rPr>
                <w:rFonts w:eastAsia="Times New Roman" w:cstheme="minorHAnsi"/>
                <w:lang w:val="en-GB" w:eastAsia="en-GB"/>
              </w:rPr>
            </w:pPr>
          </w:p>
        </w:tc>
        <w:tc>
          <w:tcPr>
            <w:tcW w:w="280" w:type="pct"/>
            <w:tcBorders>
              <w:top w:val="nil"/>
              <w:left w:val="nil"/>
              <w:bottom w:val="nil"/>
              <w:right w:val="nil"/>
            </w:tcBorders>
            <w:shd w:val="clear" w:color="auto" w:fill="auto"/>
            <w:noWrap/>
            <w:vAlign w:val="bottom"/>
            <w:hideMark/>
          </w:tcPr>
          <w:p w14:paraId="5872BD52" w14:textId="77777777" w:rsidR="000A1AD9" w:rsidRPr="00000F38" w:rsidRDefault="000A1AD9" w:rsidP="000A1AD9">
            <w:pPr>
              <w:spacing w:after="0" w:line="240" w:lineRule="auto"/>
              <w:rPr>
                <w:rFonts w:eastAsia="Times New Roman" w:cstheme="minorHAnsi"/>
                <w:lang w:val="en-GB" w:eastAsia="en-GB"/>
              </w:rPr>
            </w:pPr>
          </w:p>
        </w:tc>
        <w:tc>
          <w:tcPr>
            <w:tcW w:w="583" w:type="pct"/>
            <w:tcBorders>
              <w:top w:val="nil"/>
              <w:left w:val="nil"/>
              <w:bottom w:val="nil"/>
              <w:right w:val="nil"/>
            </w:tcBorders>
            <w:shd w:val="clear" w:color="auto" w:fill="auto"/>
            <w:noWrap/>
            <w:vAlign w:val="bottom"/>
            <w:hideMark/>
          </w:tcPr>
          <w:p w14:paraId="44D5C895" w14:textId="77777777" w:rsidR="000A1AD9" w:rsidRPr="00000F38" w:rsidRDefault="000A1AD9" w:rsidP="000A1AD9">
            <w:pPr>
              <w:spacing w:after="0" w:line="240" w:lineRule="auto"/>
              <w:rPr>
                <w:rFonts w:eastAsia="Times New Roman" w:cstheme="minorHAnsi"/>
                <w:lang w:val="en-GB" w:eastAsia="en-GB"/>
              </w:rPr>
            </w:pPr>
          </w:p>
        </w:tc>
      </w:tr>
      <w:tr w:rsidR="000A1AD9" w:rsidRPr="00000F38" w14:paraId="378438D9" w14:textId="77777777" w:rsidTr="008E0319">
        <w:trPr>
          <w:trHeight w:val="300"/>
        </w:trPr>
        <w:tc>
          <w:tcPr>
            <w:tcW w:w="244" w:type="pct"/>
            <w:tcBorders>
              <w:top w:val="nil"/>
              <w:left w:val="nil"/>
              <w:bottom w:val="nil"/>
              <w:right w:val="nil"/>
            </w:tcBorders>
            <w:shd w:val="clear" w:color="auto" w:fill="auto"/>
            <w:noWrap/>
            <w:vAlign w:val="bottom"/>
            <w:hideMark/>
          </w:tcPr>
          <w:p w14:paraId="4809BE30" w14:textId="77777777" w:rsidR="000A1AD9" w:rsidRPr="00000F38" w:rsidRDefault="000A1AD9" w:rsidP="000A1AD9">
            <w:pPr>
              <w:spacing w:after="0" w:line="240" w:lineRule="auto"/>
              <w:rPr>
                <w:rFonts w:eastAsia="Times New Roman" w:cstheme="minorHAnsi"/>
                <w:lang w:val="en-GB" w:eastAsia="en-GB"/>
              </w:rPr>
            </w:pPr>
          </w:p>
        </w:tc>
        <w:tc>
          <w:tcPr>
            <w:tcW w:w="861" w:type="pct"/>
            <w:tcBorders>
              <w:top w:val="nil"/>
              <w:left w:val="nil"/>
              <w:bottom w:val="nil"/>
              <w:right w:val="nil"/>
            </w:tcBorders>
            <w:shd w:val="clear" w:color="auto" w:fill="auto"/>
            <w:noWrap/>
            <w:vAlign w:val="bottom"/>
            <w:hideMark/>
          </w:tcPr>
          <w:p w14:paraId="38D217CC" w14:textId="77777777" w:rsidR="000A1AD9" w:rsidRPr="00000F38" w:rsidRDefault="000A1AD9" w:rsidP="000A1AD9">
            <w:pPr>
              <w:spacing w:after="0" w:line="240" w:lineRule="auto"/>
              <w:rPr>
                <w:rFonts w:eastAsia="Times New Roman" w:cstheme="minorHAnsi"/>
                <w:lang w:val="en-GB" w:eastAsia="en-GB"/>
              </w:rPr>
            </w:pPr>
          </w:p>
        </w:tc>
        <w:tc>
          <w:tcPr>
            <w:tcW w:w="378" w:type="pct"/>
            <w:tcBorders>
              <w:top w:val="nil"/>
              <w:left w:val="nil"/>
              <w:bottom w:val="nil"/>
              <w:right w:val="nil"/>
            </w:tcBorders>
            <w:shd w:val="clear" w:color="auto" w:fill="auto"/>
            <w:noWrap/>
            <w:vAlign w:val="bottom"/>
            <w:hideMark/>
          </w:tcPr>
          <w:p w14:paraId="6EE7B736" w14:textId="77777777" w:rsidR="000A1AD9" w:rsidRPr="00000F38" w:rsidRDefault="000A1AD9" w:rsidP="000A1AD9">
            <w:pPr>
              <w:spacing w:after="0" w:line="240" w:lineRule="auto"/>
              <w:rPr>
                <w:rFonts w:eastAsia="Times New Roman" w:cstheme="minorHAnsi"/>
                <w:lang w:val="en-GB" w:eastAsia="en-GB"/>
              </w:rPr>
            </w:pPr>
          </w:p>
        </w:tc>
        <w:tc>
          <w:tcPr>
            <w:tcW w:w="305" w:type="pct"/>
            <w:tcBorders>
              <w:top w:val="nil"/>
              <w:left w:val="nil"/>
              <w:bottom w:val="nil"/>
              <w:right w:val="nil"/>
            </w:tcBorders>
            <w:shd w:val="clear" w:color="auto" w:fill="auto"/>
            <w:noWrap/>
            <w:vAlign w:val="bottom"/>
            <w:hideMark/>
          </w:tcPr>
          <w:p w14:paraId="4A6C851B" w14:textId="77777777" w:rsidR="000A1AD9" w:rsidRPr="00000F38" w:rsidRDefault="000A1AD9" w:rsidP="000A1AD9">
            <w:pPr>
              <w:spacing w:after="0" w:line="240" w:lineRule="auto"/>
              <w:rPr>
                <w:rFonts w:eastAsia="Times New Roman" w:cstheme="minorHAnsi"/>
                <w:lang w:val="en-GB" w:eastAsia="en-GB"/>
              </w:rPr>
            </w:pPr>
          </w:p>
        </w:tc>
        <w:tc>
          <w:tcPr>
            <w:tcW w:w="378" w:type="pct"/>
            <w:tcBorders>
              <w:top w:val="nil"/>
              <w:left w:val="nil"/>
              <w:bottom w:val="nil"/>
              <w:right w:val="nil"/>
            </w:tcBorders>
            <w:shd w:val="clear" w:color="auto" w:fill="auto"/>
            <w:noWrap/>
            <w:vAlign w:val="bottom"/>
            <w:hideMark/>
          </w:tcPr>
          <w:p w14:paraId="403B4BA1" w14:textId="77777777" w:rsidR="000A1AD9" w:rsidRPr="00000F38" w:rsidRDefault="000A1AD9" w:rsidP="000A1AD9">
            <w:pPr>
              <w:spacing w:after="0" w:line="240" w:lineRule="auto"/>
              <w:rPr>
                <w:rFonts w:eastAsia="Times New Roman" w:cstheme="minorHAnsi"/>
                <w:lang w:val="en-GB" w:eastAsia="en-GB"/>
              </w:rPr>
            </w:pPr>
          </w:p>
        </w:tc>
        <w:tc>
          <w:tcPr>
            <w:tcW w:w="279" w:type="pct"/>
            <w:tcBorders>
              <w:top w:val="nil"/>
              <w:left w:val="nil"/>
              <w:bottom w:val="nil"/>
              <w:right w:val="nil"/>
            </w:tcBorders>
            <w:shd w:val="clear" w:color="auto" w:fill="auto"/>
            <w:noWrap/>
            <w:vAlign w:val="bottom"/>
            <w:hideMark/>
          </w:tcPr>
          <w:p w14:paraId="3DD12BC4" w14:textId="77777777" w:rsidR="000A1AD9" w:rsidRPr="00000F38" w:rsidRDefault="000A1AD9" w:rsidP="000A1AD9">
            <w:pPr>
              <w:spacing w:after="0" w:line="240" w:lineRule="auto"/>
              <w:rPr>
                <w:rFonts w:eastAsia="Times New Roman" w:cstheme="minorHAnsi"/>
                <w:lang w:val="en-GB" w:eastAsia="en-GB"/>
              </w:rPr>
            </w:pPr>
          </w:p>
        </w:tc>
        <w:tc>
          <w:tcPr>
            <w:tcW w:w="378" w:type="pct"/>
            <w:tcBorders>
              <w:top w:val="nil"/>
              <w:left w:val="nil"/>
              <w:bottom w:val="nil"/>
              <w:right w:val="nil"/>
            </w:tcBorders>
            <w:shd w:val="clear" w:color="auto" w:fill="auto"/>
            <w:noWrap/>
            <w:vAlign w:val="bottom"/>
            <w:hideMark/>
          </w:tcPr>
          <w:p w14:paraId="1C88D499" w14:textId="77777777" w:rsidR="000A1AD9" w:rsidRPr="00000F38" w:rsidRDefault="000A1AD9" w:rsidP="000A1AD9">
            <w:pPr>
              <w:spacing w:after="0" w:line="240" w:lineRule="auto"/>
              <w:rPr>
                <w:rFonts w:eastAsia="Times New Roman" w:cstheme="minorHAnsi"/>
                <w:lang w:val="en-GB" w:eastAsia="en-GB"/>
              </w:rPr>
            </w:pPr>
          </w:p>
        </w:tc>
        <w:tc>
          <w:tcPr>
            <w:tcW w:w="280" w:type="pct"/>
            <w:tcBorders>
              <w:top w:val="nil"/>
              <w:left w:val="nil"/>
              <w:bottom w:val="nil"/>
              <w:right w:val="nil"/>
            </w:tcBorders>
            <w:shd w:val="clear" w:color="auto" w:fill="auto"/>
            <w:noWrap/>
            <w:vAlign w:val="bottom"/>
            <w:hideMark/>
          </w:tcPr>
          <w:p w14:paraId="4850B59E" w14:textId="77777777" w:rsidR="000A1AD9" w:rsidRPr="00000F38" w:rsidRDefault="000A1AD9" w:rsidP="000A1AD9">
            <w:pPr>
              <w:spacing w:after="0" w:line="240" w:lineRule="auto"/>
              <w:rPr>
                <w:rFonts w:eastAsia="Times New Roman" w:cstheme="minorHAnsi"/>
                <w:lang w:val="en-GB" w:eastAsia="en-GB"/>
              </w:rPr>
            </w:pPr>
          </w:p>
        </w:tc>
        <w:tc>
          <w:tcPr>
            <w:tcW w:w="378" w:type="pct"/>
            <w:tcBorders>
              <w:top w:val="nil"/>
              <w:left w:val="nil"/>
              <w:bottom w:val="nil"/>
              <w:right w:val="nil"/>
            </w:tcBorders>
            <w:shd w:val="clear" w:color="auto" w:fill="auto"/>
            <w:noWrap/>
            <w:vAlign w:val="bottom"/>
            <w:hideMark/>
          </w:tcPr>
          <w:p w14:paraId="5B54458A" w14:textId="77777777" w:rsidR="000A1AD9" w:rsidRPr="00000F38" w:rsidRDefault="000A1AD9" w:rsidP="000A1AD9">
            <w:pPr>
              <w:spacing w:after="0" w:line="240" w:lineRule="auto"/>
              <w:rPr>
                <w:rFonts w:eastAsia="Times New Roman" w:cstheme="minorHAnsi"/>
                <w:lang w:val="en-GB" w:eastAsia="en-GB"/>
              </w:rPr>
            </w:pPr>
          </w:p>
        </w:tc>
        <w:tc>
          <w:tcPr>
            <w:tcW w:w="279" w:type="pct"/>
            <w:tcBorders>
              <w:top w:val="nil"/>
              <w:left w:val="nil"/>
              <w:bottom w:val="nil"/>
              <w:right w:val="nil"/>
            </w:tcBorders>
            <w:shd w:val="clear" w:color="auto" w:fill="auto"/>
            <w:noWrap/>
            <w:vAlign w:val="bottom"/>
            <w:hideMark/>
          </w:tcPr>
          <w:p w14:paraId="4AFCA27D" w14:textId="77777777" w:rsidR="000A1AD9" w:rsidRPr="00000F38" w:rsidRDefault="000A1AD9" w:rsidP="000A1AD9">
            <w:pPr>
              <w:spacing w:after="0" w:line="240" w:lineRule="auto"/>
              <w:rPr>
                <w:rFonts w:eastAsia="Times New Roman" w:cstheme="minorHAnsi"/>
                <w:lang w:val="en-GB" w:eastAsia="en-GB"/>
              </w:rPr>
            </w:pPr>
          </w:p>
        </w:tc>
        <w:tc>
          <w:tcPr>
            <w:tcW w:w="378" w:type="pct"/>
            <w:tcBorders>
              <w:top w:val="nil"/>
              <w:left w:val="nil"/>
              <w:bottom w:val="nil"/>
              <w:right w:val="nil"/>
            </w:tcBorders>
            <w:shd w:val="clear" w:color="auto" w:fill="auto"/>
            <w:noWrap/>
            <w:vAlign w:val="bottom"/>
            <w:hideMark/>
          </w:tcPr>
          <w:p w14:paraId="58F269B4" w14:textId="77777777" w:rsidR="000A1AD9" w:rsidRPr="00000F38" w:rsidRDefault="000A1AD9" w:rsidP="000A1AD9">
            <w:pPr>
              <w:spacing w:after="0" w:line="240" w:lineRule="auto"/>
              <w:rPr>
                <w:rFonts w:eastAsia="Times New Roman" w:cstheme="minorHAnsi"/>
                <w:lang w:val="en-GB" w:eastAsia="en-GB"/>
              </w:rPr>
            </w:pPr>
          </w:p>
        </w:tc>
        <w:tc>
          <w:tcPr>
            <w:tcW w:w="280" w:type="pct"/>
            <w:tcBorders>
              <w:top w:val="nil"/>
              <w:left w:val="nil"/>
              <w:bottom w:val="nil"/>
              <w:right w:val="nil"/>
            </w:tcBorders>
            <w:shd w:val="clear" w:color="auto" w:fill="auto"/>
            <w:noWrap/>
            <w:vAlign w:val="bottom"/>
            <w:hideMark/>
          </w:tcPr>
          <w:p w14:paraId="66CE057D" w14:textId="77777777" w:rsidR="000A1AD9" w:rsidRPr="00000F38" w:rsidRDefault="000A1AD9" w:rsidP="000A1AD9">
            <w:pPr>
              <w:spacing w:after="0" w:line="240" w:lineRule="auto"/>
              <w:rPr>
                <w:rFonts w:eastAsia="Times New Roman" w:cstheme="minorHAnsi"/>
                <w:lang w:val="en-GB" w:eastAsia="en-GB"/>
              </w:rPr>
            </w:pPr>
          </w:p>
        </w:tc>
        <w:tc>
          <w:tcPr>
            <w:tcW w:w="583" w:type="pct"/>
            <w:tcBorders>
              <w:top w:val="nil"/>
              <w:left w:val="nil"/>
              <w:bottom w:val="nil"/>
              <w:right w:val="nil"/>
            </w:tcBorders>
            <w:shd w:val="clear" w:color="auto" w:fill="auto"/>
            <w:noWrap/>
            <w:vAlign w:val="bottom"/>
            <w:hideMark/>
          </w:tcPr>
          <w:p w14:paraId="08B58A38" w14:textId="77777777" w:rsidR="000A1AD9" w:rsidRPr="00000F38" w:rsidRDefault="000A1AD9" w:rsidP="000A1AD9">
            <w:pPr>
              <w:spacing w:after="0" w:line="240" w:lineRule="auto"/>
              <w:rPr>
                <w:rFonts w:eastAsia="Times New Roman" w:cstheme="minorHAnsi"/>
                <w:lang w:val="en-GB" w:eastAsia="en-GB"/>
              </w:rPr>
            </w:pPr>
          </w:p>
        </w:tc>
      </w:tr>
    </w:tbl>
    <w:p w14:paraId="3D14C460" w14:textId="155FDE30" w:rsidR="000A1AD9" w:rsidRPr="00000F38" w:rsidRDefault="000A1AD9">
      <w:pPr>
        <w:rPr>
          <w:rFonts w:cstheme="minorHAnsi"/>
        </w:rPr>
      </w:pPr>
    </w:p>
    <w:p w14:paraId="19DB92A2" w14:textId="77777777" w:rsidR="000A1AD9" w:rsidRDefault="000A1AD9">
      <w:pPr>
        <w:rPr>
          <w:rFonts w:cstheme="minorHAnsi"/>
        </w:rPr>
      </w:pPr>
      <w:r w:rsidRPr="00000F38">
        <w:rPr>
          <w:rFonts w:cstheme="minorHAnsi"/>
        </w:rPr>
        <w:br w:type="page"/>
      </w:r>
    </w:p>
    <w:p w14:paraId="7EF8717A" w14:textId="56F35221" w:rsidR="00A8480C" w:rsidRPr="00A54361" w:rsidRDefault="00A8480C" w:rsidP="00A54361">
      <w:pPr>
        <w:pStyle w:val="Heading1"/>
        <w:numPr>
          <w:ilvl w:val="0"/>
          <w:numId w:val="48"/>
        </w:numPr>
        <w:jc w:val="both"/>
        <w:rPr>
          <w:rFonts w:asciiTheme="minorHAnsi" w:hAnsiTheme="minorHAnsi" w:cstheme="minorHAnsi"/>
          <w:color w:val="auto"/>
        </w:rPr>
      </w:pPr>
      <w:bookmarkStart w:id="263" w:name="_Toc182233408"/>
      <w:r w:rsidRPr="00A54361">
        <w:rPr>
          <w:rFonts w:asciiTheme="minorHAnsi" w:hAnsiTheme="minorHAnsi" w:cstheme="minorHAnsi"/>
          <w:color w:val="auto"/>
        </w:rPr>
        <w:lastRenderedPageBreak/>
        <w:t xml:space="preserve">Annexure 2: </w:t>
      </w:r>
      <w:r w:rsidR="00000979" w:rsidRPr="00A54361">
        <w:rPr>
          <w:rFonts w:asciiTheme="minorHAnsi" w:hAnsiTheme="minorHAnsi" w:cstheme="minorHAnsi"/>
          <w:color w:val="auto"/>
        </w:rPr>
        <w:t xml:space="preserve">Minimum </w:t>
      </w:r>
      <w:r w:rsidRPr="00A54361">
        <w:rPr>
          <w:rFonts w:asciiTheme="minorHAnsi" w:hAnsiTheme="minorHAnsi" w:cstheme="minorHAnsi"/>
          <w:color w:val="auto"/>
        </w:rPr>
        <w:t>Technical Specifications</w:t>
      </w:r>
      <w:bookmarkEnd w:id="263"/>
    </w:p>
    <w:p w14:paraId="0BCC0EE6" w14:textId="77777777" w:rsidR="00000F38" w:rsidRDefault="00000F38" w:rsidP="00A54361">
      <w:pPr>
        <w:jc w:val="both"/>
        <w:rPr>
          <w:rFonts w:cstheme="minorHAnsi"/>
        </w:rPr>
      </w:pPr>
    </w:p>
    <w:p w14:paraId="6D09DBFA" w14:textId="2690070F" w:rsidR="00000979" w:rsidRDefault="00A8480C" w:rsidP="00A54361">
      <w:pPr>
        <w:jc w:val="both"/>
        <w:rPr>
          <w:rFonts w:cstheme="minorHAnsi"/>
        </w:rPr>
      </w:pPr>
      <w:r w:rsidRPr="00A54361">
        <w:rPr>
          <w:rFonts w:cstheme="minorHAnsi"/>
        </w:rPr>
        <w:t xml:space="preserve">Format for </w:t>
      </w:r>
      <w:r w:rsidR="00000979" w:rsidRPr="00A54361">
        <w:rPr>
          <w:rFonts w:cstheme="minorHAnsi"/>
        </w:rPr>
        <w:t xml:space="preserve">Minimum Technical Specifications </w:t>
      </w:r>
      <w:r w:rsidRPr="00A54361">
        <w:rPr>
          <w:rFonts w:cstheme="minorHAnsi"/>
        </w:rPr>
        <w:t xml:space="preserve">is attached </w:t>
      </w:r>
      <w:r w:rsidR="000A1AD9">
        <w:rPr>
          <w:rFonts w:cstheme="minorHAnsi"/>
        </w:rPr>
        <w:t>herewith :</w:t>
      </w:r>
    </w:p>
    <w:tbl>
      <w:tblPr>
        <w:tblW w:w="5000" w:type="pct"/>
        <w:tblLook w:val="04A0" w:firstRow="1" w:lastRow="0" w:firstColumn="1" w:lastColumn="0" w:noHBand="0" w:noVBand="1"/>
      </w:tblPr>
      <w:tblGrid>
        <w:gridCol w:w="542"/>
        <w:gridCol w:w="7356"/>
        <w:gridCol w:w="2393"/>
        <w:gridCol w:w="3657"/>
      </w:tblGrid>
      <w:tr w:rsidR="000A1AD9" w:rsidRPr="000A1AD9" w14:paraId="29A54325" w14:textId="77777777" w:rsidTr="008E0319">
        <w:trPr>
          <w:trHeight w:val="315"/>
        </w:trPr>
        <w:tc>
          <w:tcPr>
            <w:tcW w:w="5000" w:type="pct"/>
            <w:gridSpan w:val="4"/>
            <w:tcBorders>
              <w:top w:val="single" w:sz="4" w:space="0" w:color="auto"/>
              <w:left w:val="single" w:sz="4" w:space="0" w:color="auto"/>
              <w:bottom w:val="single" w:sz="4" w:space="0" w:color="auto"/>
              <w:right w:val="single" w:sz="4" w:space="0" w:color="auto"/>
            </w:tcBorders>
            <w:shd w:val="clear" w:color="000000" w:fill="FFE699"/>
            <w:hideMark/>
          </w:tcPr>
          <w:p w14:paraId="126AE379" w14:textId="77777777" w:rsidR="000A1AD9" w:rsidRPr="000A1AD9" w:rsidRDefault="000A1AD9" w:rsidP="000A1AD9">
            <w:pPr>
              <w:spacing w:after="0" w:line="240" w:lineRule="auto"/>
              <w:jc w:val="center"/>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xml:space="preserve">Technical Specifications for </w:t>
            </w:r>
            <w:r w:rsidRPr="000A1AD9">
              <w:rPr>
                <w:rFonts w:ascii="Calibri" w:eastAsia="Times New Roman" w:hAnsi="Calibri" w:cs="Calibri"/>
                <w:b/>
                <w:bCs/>
                <w:color w:val="000000"/>
                <w:sz w:val="24"/>
                <w:szCs w:val="24"/>
                <w:lang w:val="en-GB" w:eastAsia="en-GB"/>
              </w:rPr>
              <w:t>Data Discovery and Classification</w:t>
            </w:r>
          </w:p>
        </w:tc>
      </w:tr>
      <w:tr w:rsidR="000A1AD9" w:rsidRPr="000A1AD9" w14:paraId="606ED35E" w14:textId="77777777" w:rsidTr="008E0319">
        <w:trPr>
          <w:trHeight w:val="630"/>
        </w:trPr>
        <w:tc>
          <w:tcPr>
            <w:tcW w:w="194" w:type="pct"/>
            <w:tcBorders>
              <w:top w:val="nil"/>
              <w:left w:val="single" w:sz="4" w:space="0" w:color="auto"/>
              <w:bottom w:val="single" w:sz="4" w:space="0" w:color="auto"/>
              <w:right w:val="single" w:sz="4" w:space="0" w:color="auto"/>
            </w:tcBorders>
            <w:shd w:val="clear" w:color="000000" w:fill="1F4E78"/>
            <w:hideMark/>
          </w:tcPr>
          <w:p w14:paraId="440DA008" w14:textId="77777777" w:rsidR="000A1AD9" w:rsidRPr="000A1AD9" w:rsidRDefault="000A1AD9" w:rsidP="000A1AD9">
            <w:pPr>
              <w:spacing w:after="0" w:line="240" w:lineRule="auto"/>
              <w:jc w:val="center"/>
              <w:rPr>
                <w:rFonts w:ascii="Calibri" w:eastAsia="Times New Roman" w:hAnsi="Calibri" w:cs="Calibri"/>
                <w:b/>
                <w:bCs/>
                <w:color w:val="FFFFFF"/>
                <w:sz w:val="24"/>
                <w:szCs w:val="24"/>
                <w:lang w:val="en-GB" w:eastAsia="en-GB"/>
              </w:rPr>
            </w:pPr>
            <w:r w:rsidRPr="000A1AD9">
              <w:rPr>
                <w:rFonts w:ascii="Calibri" w:eastAsia="Times New Roman" w:hAnsi="Calibri" w:cs="Calibri"/>
                <w:b/>
                <w:bCs/>
                <w:color w:val="FFFFFF"/>
                <w:sz w:val="24"/>
                <w:szCs w:val="24"/>
                <w:lang w:val="en-GB" w:eastAsia="en-GB"/>
              </w:rPr>
              <w:t>S No</w:t>
            </w:r>
          </w:p>
        </w:tc>
        <w:tc>
          <w:tcPr>
            <w:tcW w:w="2637" w:type="pct"/>
            <w:tcBorders>
              <w:top w:val="nil"/>
              <w:left w:val="nil"/>
              <w:bottom w:val="single" w:sz="4" w:space="0" w:color="auto"/>
              <w:right w:val="single" w:sz="4" w:space="0" w:color="auto"/>
            </w:tcBorders>
            <w:shd w:val="clear" w:color="000000" w:fill="1F4E78"/>
            <w:hideMark/>
          </w:tcPr>
          <w:p w14:paraId="59C13895" w14:textId="77777777" w:rsidR="000A1AD9" w:rsidRPr="000A1AD9" w:rsidRDefault="000A1AD9" w:rsidP="000A1AD9">
            <w:pPr>
              <w:spacing w:after="0" w:line="240" w:lineRule="auto"/>
              <w:rPr>
                <w:rFonts w:ascii="Calibri" w:eastAsia="Times New Roman" w:hAnsi="Calibri" w:cs="Calibri"/>
                <w:b/>
                <w:bCs/>
                <w:color w:val="FFFFFF"/>
                <w:sz w:val="24"/>
                <w:szCs w:val="24"/>
                <w:lang w:val="en-GB" w:eastAsia="en-GB"/>
              </w:rPr>
            </w:pPr>
            <w:r w:rsidRPr="000A1AD9">
              <w:rPr>
                <w:rFonts w:ascii="Calibri" w:eastAsia="Times New Roman" w:hAnsi="Calibri" w:cs="Calibri"/>
                <w:b/>
                <w:bCs/>
                <w:color w:val="FFFFFF"/>
                <w:sz w:val="24"/>
                <w:szCs w:val="24"/>
                <w:lang w:val="en-GB" w:eastAsia="en-GB"/>
              </w:rPr>
              <w:t xml:space="preserve">Minimum Technical Specifications </w:t>
            </w:r>
          </w:p>
        </w:tc>
        <w:tc>
          <w:tcPr>
            <w:tcW w:w="858" w:type="pct"/>
            <w:tcBorders>
              <w:top w:val="nil"/>
              <w:left w:val="nil"/>
              <w:bottom w:val="single" w:sz="4" w:space="0" w:color="auto"/>
              <w:right w:val="single" w:sz="4" w:space="0" w:color="auto"/>
            </w:tcBorders>
            <w:shd w:val="clear" w:color="000000" w:fill="1F4E78"/>
            <w:hideMark/>
          </w:tcPr>
          <w:p w14:paraId="64A498A0" w14:textId="77777777" w:rsidR="000A1AD9" w:rsidRPr="000A1AD9" w:rsidRDefault="000A1AD9" w:rsidP="000A1AD9">
            <w:pPr>
              <w:spacing w:after="0" w:line="240" w:lineRule="auto"/>
              <w:rPr>
                <w:rFonts w:ascii="Calibri" w:eastAsia="Times New Roman" w:hAnsi="Calibri" w:cs="Calibri"/>
                <w:b/>
                <w:bCs/>
                <w:color w:val="FFFFFF"/>
                <w:sz w:val="24"/>
                <w:szCs w:val="24"/>
                <w:lang w:val="en-GB" w:eastAsia="en-GB"/>
              </w:rPr>
            </w:pPr>
            <w:r w:rsidRPr="000A1AD9">
              <w:rPr>
                <w:rFonts w:ascii="Calibri" w:eastAsia="Times New Roman" w:hAnsi="Calibri" w:cs="Calibri"/>
                <w:b/>
                <w:bCs/>
                <w:color w:val="FFFFFF"/>
                <w:sz w:val="24"/>
                <w:szCs w:val="24"/>
                <w:lang w:val="en-GB" w:eastAsia="en-GB"/>
              </w:rPr>
              <w:t>Vendor's Compliance</w:t>
            </w:r>
          </w:p>
        </w:tc>
        <w:tc>
          <w:tcPr>
            <w:tcW w:w="1312" w:type="pct"/>
            <w:tcBorders>
              <w:top w:val="nil"/>
              <w:left w:val="nil"/>
              <w:bottom w:val="single" w:sz="4" w:space="0" w:color="auto"/>
              <w:right w:val="single" w:sz="4" w:space="0" w:color="auto"/>
            </w:tcBorders>
            <w:shd w:val="clear" w:color="000000" w:fill="1F4E78"/>
            <w:hideMark/>
          </w:tcPr>
          <w:p w14:paraId="19800C91" w14:textId="77777777" w:rsidR="000A1AD9" w:rsidRPr="000A1AD9" w:rsidRDefault="000A1AD9" w:rsidP="000A1AD9">
            <w:pPr>
              <w:spacing w:after="0" w:line="240" w:lineRule="auto"/>
              <w:rPr>
                <w:rFonts w:ascii="Calibri" w:eastAsia="Times New Roman" w:hAnsi="Calibri" w:cs="Calibri"/>
                <w:b/>
                <w:bCs/>
                <w:color w:val="FFFFFF"/>
                <w:sz w:val="24"/>
                <w:szCs w:val="24"/>
                <w:lang w:val="en-GB" w:eastAsia="en-GB"/>
              </w:rPr>
            </w:pPr>
            <w:r w:rsidRPr="000A1AD9">
              <w:rPr>
                <w:rFonts w:ascii="Calibri" w:eastAsia="Times New Roman" w:hAnsi="Calibri" w:cs="Calibri"/>
                <w:b/>
                <w:bCs/>
                <w:color w:val="FFFFFF"/>
                <w:sz w:val="24"/>
                <w:szCs w:val="24"/>
                <w:lang w:val="en-GB" w:eastAsia="en-GB"/>
              </w:rPr>
              <w:t>Vendor's Remark</w:t>
            </w:r>
          </w:p>
        </w:tc>
      </w:tr>
      <w:tr w:rsidR="000A1AD9" w:rsidRPr="000A1AD9" w14:paraId="1705E49B" w14:textId="77777777" w:rsidTr="008E0319">
        <w:trPr>
          <w:trHeight w:val="315"/>
        </w:trPr>
        <w:tc>
          <w:tcPr>
            <w:tcW w:w="194" w:type="pct"/>
            <w:tcBorders>
              <w:top w:val="nil"/>
              <w:left w:val="single" w:sz="4" w:space="0" w:color="auto"/>
              <w:bottom w:val="single" w:sz="4" w:space="0" w:color="auto"/>
              <w:right w:val="single" w:sz="4" w:space="0" w:color="auto"/>
            </w:tcBorders>
            <w:shd w:val="clear" w:color="000000" w:fill="DDEBF7"/>
            <w:hideMark/>
          </w:tcPr>
          <w:p w14:paraId="16AF9BF0" w14:textId="77777777" w:rsidR="000A1AD9" w:rsidRPr="000A1AD9" w:rsidRDefault="000A1AD9" w:rsidP="000A1AD9">
            <w:pPr>
              <w:spacing w:after="0" w:line="240" w:lineRule="auto"/>
              <w:jc w:val="center"/>
              <w:rPr>
                <w:rFonts w:ascii="Calibri" w:eastAsia="Times New Roman" w:hAnsi="Calibri" w:cs="Calibri"/>
                <w:b/>
                <w:bCs/>
                <w:color w:val="000000"/>
                <w:sz w:val="24"/>
                <w:szCs w:val="24"/>
                <w:lang w:val="en-GB" w:eastAsia="en-GB"/>
              </w:rPr>
            </w:pPr>
            <w:r w:rsidRPr="000A1AD9">
              <w:rPr>
                <w:rFonts w:ascii="Calibri" w:eastAsia="Times New Roman" w:hAnsi="Calibri" w:cs="Calibri"/>
                <w:b/>
                <w:bCs/>
                <w:color w:val="000000"/>
                <w:sz w:val="24"/>
                <w:szCs w:val="24"/>
                <w:lang w:val="en-GB" w:eastAsia="en-GB"/>
              </w:rPr>
              <w:t>A</w:t>
            </w:r>
          </w:p>
        </w:tc>
        <w:tc>
          <w:tcPr>
            <w:tcW w:w="2637" w:type="pct"/>
            <w:tcBorders>
              <w:top w:val="nil"/>
              <w:left w:val="nil"/>
              <w:bottom w:val="single" w:sz="4" w:space="0" w:color="auto"/>
              <w:right w:val="single" w:sz="4" w:space="0" w:color="auto"/>
            </w:tcBorders>
            <w:shd w:val="clear" w:color="000000" w:fill="DDEBF7"/>
            <w:hideMark/>
          </w:tcPr>
          <w:p w14:paraId="69FDF10B" w14:textId="77777777" w:rsidR="000A1AD9" w:rsidRPr="000A1AD9" w:rsidRDefault="000A1AD9" w:rsidP="000A1AD9">
            <w:pPr>
              <w:spacing w:after="0" w:line="240" w:lineRule="auto"/>
              <w:rPr>
                <w:rFonts w:ascii="Calibri" w:eastAsia="Times New Roman" w:hAnsi="Calibri" w:cs="Calibri"/>
                <w:b/>
                <w:bCs/>
                <w:sz w:val="24"/>
                <w:szCs w:val="24"/>
                <w:lang w:val="en-GB" w:eastAsia="en-GB"/>
              </w:rPr>
            </w:pPr>
            <w:r w:rsidRPr="000A1AD9">
              <w:rPr>
                <w:rFonts w:ascii="Calibri" w:eastAsia="Times New Roman" w:hAnsi="Calibri" w:cs="Calibri"/>
                <w:b/>
                <w:bCs/>
                <w:sz w:val="24"/>
                <w:szCs w:val="24"/>
                <w:lang w:val="en-GB" w:eastAsia="en-GB"/>
              </w:rPr>
              <w:t>Automated Data Discovery</w:t>
            </w:r>
          </w:p>
        </w:tc>
        <w:tc>
          <w:tcPr>
            <w:tcW w:w="858" w:type="pct"/>
            <w:tcBorders>
              <w:top w:val="nil"/>
              <w:left w:val="nil"/>
              <w:bottom w:val="single" w:sz="4" w:space="0" w:color="auto"/>
              <w:right w:val="single" w:sz="4" w:space="0" w:color="auto"/>
            </w:tcBorders>
            <w:shd w:val="clear" w:color="auto" w:fill="auto"/>
            <w:hideMark/>
          </w:tcPr>
          <w:p w14:paraId="4E152F4D"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1DC483ED"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r>
      <w:tr w:rsidR="000A1AD9" w:rsidRPr="000A1AD9" w14:paraId="51CAFD96" w14:textId="77777777" w:rsidTr="008E0319">
        <w:trPr>
          <w:trHeight w:val="510"/>
        </w:trPr>
        <w:tc>
          <w:tcPr>
            <w:tcW w:w="194" w:type="pct"/>
            <w:tcBorders>
              <w:top w:val="nil"/>
              <w:left w:val="single" w:sz="4" w:space="0" w:color="auto"/>
              <w:bottom w:val="single" w:sz="4" w:space="0" w:color="auto"/>
              <w:right w:val="single" w:sz="4" w:space="0" w:color="auto"/>
            </w:tcBorders>
            <w:shd w:val="clear" w:color="auto" w:fill="auto"/>
            <w:hideMark/>
          </w:tcPr>
          <w:p w14:paraId="581FC90D"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1</w:t>
            </w:r>
          </w:p>
        </w:tc>
        <w:tc>
          <w:tcPr>
            <w:tcW w:w="2637" w:type="pct"/>
            <w:tcBorders>
              <w:top w:val="nil"/>
              <w:left w:val="nil"/>
              <w:bottom w:val="single" w:sz="4" w:space="0" w:color="auto"/>
              <w:right w:val="single" w:sz="4" w:space="0" w:color="auto"/>
            </w:tcBorders>
            <w:shd w:val="clear" w:color="auto" w:fill="auto"/>
            <w:hideMark/>
          </w:tcPr>
          <w:p w14:paraId="5670E125"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The solution must provide automated data discovery capabilities across various data repositories, including on-premises storage, cloud storage, and databases.</w:t>
            </w:r>
          </w:p>
        </w:tc>
        <w:tc>
          <w:tcPr>
            <w:tcW w:w="858" w:type="pct"/>
            <w:tcBorders>
              <w:top w:val="nil"/>
              <w:left w:val="nil"/>
              <w:bottom w:val="single" w:sz="4" w:space="0" w:color="auto"/>
              <w:right w:val="single" w:sz="4" w:space="0" w:color="auto"/>
            </w:tcBorders>
            <w:shd w:val="clear" w:color="auto" w:fill="auto"/>
            <w:hideMark/>
          </w:tcPr>
          <w:p w14:paraId="437A3816"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42C67032"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r>
      <w:tr w:rsidR="000A1AD9" w:rsidRPr="000A1AD9" w14:paraId="6EE799B7" w14:textId="77777777" w:rsidTr="008E0319">
        <w:trPr>
          <w:trHeight w:val="510"/>
        </w:trPr>
        <w:tc>
          <w:tcPr>
            <w:tcW w:w="194" w:type="pct"/>
            <w:tcBorders>
              <w:top w:val="nil"/>
              <w:left w:val="single" w:sz="4" w:space="0" w:color="auto"/>
              <w:bottom w:val="single" w:sz="4" w:space="0" w:color="auto"/>
              <w:right w:val="single" w:sz="4" w:space="0" w:color="auto"/>
            </w:tcBorders>
            <w:shd w:val="clear" w:color="auto" w:fill="auto"/>
            <w:hideMark/>
          </w:tcPr>
          <w:p w14:paraId="736F5202"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2</w:t>
            </w:r>
          </w:p>
        </w:tc>
        <w:tc>
          <w:tcPr>
            <w:tcW w:w="2637" w:type="pct"/>
            <w:tcBorders>
              <w:top w:val="nil"/>
              <w:left w:val="nil"/>
              <w:bottom w:val="single" w:sz="4" w:space="0" w:color="auto"/>
              <w:right w:val="single" w:sz="4" w:space="0" w:color="auto"/>
            </w:tcBorders>
            <w:shd w:val="clear" w:color="auto" w:fill="auto"/>
            <w:hideMark/>
          </w:tcPr>
          <w:p w14:paraId="10AA13DC"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The solution should be able to scan and identify structured and unstructured data within and across Bank's environment, including multi cloud environment.</w:t>
            </w:r>
          </w:p>
        </w:tc>
        <w:tc>
          <w:tcPr>
            <w:tcW w:w="858" w:type="pct"/>
            <w:tcBorders>
              <w:top w:val="nil"/>
              <w:left w:val="nil"/>
              <w:bottom w:val="single" w:sz="4" w:space="0" w:color="auto"/>
              <w:right w:val="single" w:sz="4" w:space="0" w:color="auto"/>
            </w:tcBorders>
            <w:shd w:val="clear" w:color="auto" w:fill="auto"/>
            <w:hideMark/>
          </w:tcPr>
          <w:p w14:paraId="67C89F95"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169F0DF8"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r>
      <w:tr w:rsidR="000A1AD9" w:rsidRPr="000A1AD9" w14:paraId="66588C50" w14:textId="77777777" w:rsidTr="008E0319">
        <w:trPr>
          <w:trHeight w:val="510"/>
        </w:trPr>
        <w:tc>
          <w:tcPr>
            <w:tcW w:w="194" w:type="pct"/>
            <w:tcBorders>
              <w:top w:val="nil"/>
              <w:left w:val="single" w:sz="4" w:space="0" w:color="auto"/>
              <w:bottom w:val="single" w:sz="4" w:space="0" w:color="auto"/>
              <w:right w:val="single" w:sz="4" w:space="0" w:color="auto"/>
            </w:tcBorders>
            <w:shd w:val="clear" w:color="auto" w:fill="auto"/>
            <w:hideMark/>
          </w:tcPr>
          <w:p w14:paraId="4600EB47"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3</w:t>
            </w:r>
          </w:p>
        </w:tc>
        <w:tc>
          <w:tcPr>
            <w:tcW w:w="2637" w:type="pct"/>
            <w:tcBorders>
              <w:top w:val="nil"/>
              <w:left w:val="nil"/>
              <w:bottom w:val="single" w:sz="4" w:space="0" w:color="auto"/>
              <w:right w:val="single" w:sz="4" w:space="0" w:color="auto"/>
            </w:tcBorders>
            <w:shd w:val="clear" w:color="auto" w:fill="auto"/>
            <w:hideMark/>
          </w:tcPr>
          <w:p w14:paraId="2C4EEEEB"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The system must offer scheduling options for regular data discovery scans to ensure up-to-date data inventory and preferably also provide real-time alerts for newly discovered sensitive data.</w:t>
            </w:r>
          </w:p>
        </w:tc>
        <w:tc>
          <w:tcPr>
            <w:tcW w:w="858" w:type="pct"/>
            <w:tcBorders>
              <w:top w:val="nil"/>
              <w:left w:val="nil"/>
              <w:bottom w:val="single" w:sz="4" w:space="0" w:color="auto"/>
              <w:right w:val="single" w:sz="4" w:space="0" w:color="auto"/>
            </w:tcBorders>
            <w:shd w:val="clear" w:color="auto" w:fill="auto"/>
            <w:hideMark/>
          </w:tcPr>
          <w:p w14:paraId="6B3064F7"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3A9E4F64"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r>
      <w:tr w:rsidR="000A1AD9" w:rsidRPr="000A1AD9" w14:paraId="1755E9C7" w14:textId="77777777" w:rsidTr="008E0319">
        <w:trPr>
          <w:trHeight w:val="315"/>
        </w:trPr>
        <w:tc>
          <w:tcPr>
            <w:tcW w:w="194" w:type="pct"/>
            <w:tcBorders>
              <w:top w:val="nil"/>
              <w:left w:val="single" w:sz="4" w:space="0" w:color="auto"/>
              <w:bottom w:val="single" w:sz="4" w:space="0" w:color="auto"/>
              <w:right w:val="single" w:sz="4" w:space="0" w:color="auto"/>
            </w:tcBorders>
            <w:shd w:val="clear" w:color="auto" w:fill="auto"/>
            <w:hideMark/>
          </w:tcPr>
          <w:p w14:paraId="6E0BC2DC"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4</w:t>
            </w:r>
          </w:p>
        </w:tc>
        <w:tc>
          <w:tcPr>
            <w:tcW w:w="2637" w:type="pct"/>
            <w:tcBorders>
              <w:top w:val="nil"/>
              <w:left w:val="nil"/>
              <w:bottom w:val="single" w:sz="4" w:space="0" w:color="auto"/>
              <w:right w:val="single" w:sz="4" w:space="0" w:color="auto"/>
            </w:tcBorders>
            <w:shd w:val="clear" w:color="auto" w:fill="auto"/>
            <w:hideMark/>
          </w:tcPr>
          <w:p w14:paraId="543F5E0B"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The solution should support data discovery handling of complex &amp; customized data objects</w:t>
            </w:r>
          </w:p>
        </w:tc>
        <w:tc>
          <w:tcPr>
            <w:tcW w:w="858" w:type="pct"/>
            <w:tcBorders>
              <w:top w:val="nil"/>
              <w:left w:val="nil"/>
              <w:bottom w:val="single" w:sz="4" w:space="0" w:color="auto"/>
              <w:right w:val="single" w:sz="4" w:space="0" w:color="auto"/>
            </w:tcBorders>
            <w:shd w:val="clear" w:color="auto" w:fill="auto"/>
            <w:hideMark/>
          </w:tcPr>
          <w:p w14:paraId="1E07AA09"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2712CD2C"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r>
      <w:tr w:rsidR="000A1AD9" w:rsidRPr="000A1AD9" w14:paraId="492BA5A7" w14:textId="77777777" w:rsidTr="008E0319">
        <w:trPr>
          <w:trHeight w:val="315"/>
        </w:trPr>
        <w:tc>
          <w:tcPr>
            <w:tcW w:w="194" w:type="pct"/>
            <w:tcBorders>
              <w:top w:val="nil"/>
              <w:left w:val="single" w:sz="4" w:space="0" w:color="auto"/>
              <w:bottom w:val="single" w:sz="4" w:space="0" w:color="auto"/>
              <w:right w:val="single" w:sz="4" w:space="0" w:color="auto"/>
            </w:tcBorders>
            <w:shd w:val="clear" w:color="auto" w:fill="auto"/>
            <w:hideMark/>
          </w:tcPr>
          <w:p w14:paraId="55F63422"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5</w:t>
            </w:r>
          </w:p>
        </w:tc>
        <w:tc>
          <w:tcPr>
            <w:tcW w:w="2637" w:type="pct"/>
            <w:tcBorders>
              <w:top w:val="nil"/>
              <w:left w:val="nil"/>
              <w:bottom w:val="single" w:sz="4" w:space="0" w:color="auto"/>
              <w:right w:val="single" w:sz="4" w:space="0" w:color="auto"/>
            </w:tcBorders>
            <w:shd w:val="clear" w:color="auto" w:fill="auto"/>
            <w:hideMark/>
          </w:tcPr>
          <w:p w14:paraId="613AE912"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The solution should support automated data identification of simple and complex data types</w:t>
            </w:r>
          </w:p>
        </w:tc>
        <w:tc>
          <w:tcPr>
            <w:tcW w:w="858" w:type="pct"/>
            <w:tcBorders>
              <w:top w:val="nil"/>
              <w:left w:val="nil"/>
              <w:bottom w:val="single" w:sz="4" w:space="0" w:color="auto"/>
              <w:right w:val="single" w:sz="4" w:space="0" w:color="auto"/>
            </w:tcBorders>
            <w:shd w:val="clear" w:color="auto" w:fill="auto"/>
            <w:hideMark/>
          </w:tcPr>
          <w:p w14:paraId="2C0C46E2"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6E0822CB"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r>
      <w:tr w:rsidR="000A1AD9" w:rsidRPr="000A1AD9" w14:paraId="1A40064C" w14:textId="77777777" w:rsidTr="008E0319">
        <w:trPr>
          <w:trHeight w:val="315"/>
        </w:trPr>
        <w:tc>
          <w:tcPr>
            <w:tcW w:w="194" w:type="pct"/>
            <w:tcBorders>
              <w:top w:val="nil"/>
              <w:left w:val="single" w:sz="4" w:space="0" w:color="auto"/>
              <w:bottom w:val="single" w:sz="4" w:space="0" w:color="auto"/>
              <w:right w:val="single" w:sz="4" w:space="0" w:color="auto"/>
            </w:tcBorders>
            <w:shd w:val="clear" w:color="000000" w:fill="DDEBF7"/>
            <w:hideMark/>
          </w:tcPr>
          <w:p w14:paraId="2A7EE4B1" w14:textId="77777777" w:rsidR="000A1AD9" w:rsidRPr="000A1AD9" w:rsidRDefault="000A1AD9" w:rsidP="000A1AD9">
            <w:pPr>
              <w:spacing w:after="0" w:line="240" w:lineRule="auto"/>
              <w:jc w:val="center"/>
              <w:rPr>
                <w:rFonts w:ascii="Calibri" w:eastAsia="Times New Roman" w:hAnsi="Calibri" w:cs="Calibri"/>
                <w:b/>
                <w:bCs/>
                <w:color w:val="000000"/>
                <w:sz w:val="24"/>
                <w:szCs w:val="24"/>
                <w:lang w:val="en-GB" w:eastAsia="en-GB"/>
              </w:rPr>
            </w:pPr>
            <w:r w:rsidRPr="000A1AD9">
              <w:rPr>
                <w:rFonts w:ascii="Calibri" w:eastAsia="Times New Roman" w:hAnsi="Calibri" w:cs="Calibri"/>
                <w:b/>
                <w:bCs/>
                <w:color w:val="000000"/>
                <w:sz w:val="24"/>
                <w:szCs w:val="24"/>
                <w:lang w:val="en-GB" w:eastAsia="en-GB"/>
              </w:rPr>
              <w:t>B</w:t>
            </w:r>
          </w:p>
        </w:tc>
        <w:tc>
          <w:tcPr>
            <w:tcW w:w="2637" w:type="pct"/>
            <w:tcBorders>
              <w:top w:val="nil"/>
              <w:left w:val="nil"/>
              <w:bottom w:val="single" w:sz="4" w:space="0" w:color="auto"/>
              <w:right w:val="single" w:sz="4" w:space="0" w:color="auto"/>
            </w:tcBorders>
            <w:shd w:val="clear" w:color="000000" w:fill="DDEBF7"/>
            <w:hideMark/>
          </w:tcPr>
          <w:p w14:paraId="611818CA" w14:textId="77777777" w:rsidR="000A1AD9" w:rsidRPr="000A1AD9" w:rsidRDefault="000A1AD9" w:rsidP="000A1AD9">
            <w:pPr>
              <w:spacing w:after="0" w:line="240" w:lineRule="auto"/>
              <w:rPr>
                <w:rFonts w:ascii="Calibri" w:eastAsia="Times New Roman" w:hAnsi="Calibri" w:cs="Calibri"/>
                <w:b/>
                <w:bCs/>
                <w:sz w:val="24"/>
                <w:szCs w:val="24"/>
                <w:lang w:val="en-GB" w:eastAsia="en-GB"/>
              </w:rPr>
            </w:pPr>
            <w:r w:rsidRPr="000A1AD9">
              <w:rPr>
                <w:rFonts w:ascii="Calibri" w:eastAsia="Times New Roman" w:hAnsi="Calibri" w:cs="Calibri"/>
                <w:b/>
                <w:bCs/>
                <w:sz w:val="24"/>
                <w:szCs w:val="24"/>
                <w:lang w:val="en-GB" w:eastAsia="en-GB"/>
              </w:rPr>
              <w:t>Multi-factor Data Classification</w:t>
            </w:r>
          </w:p>
        </w:tc>
        <w:tc>
          <w:tcPr>
            <w:tcW w:w="858" w:type="pct"/>
            <w:tcBorders>
              <w:top w:val="nil"/>
              <w:left w:val="nil"/>
              <w:bottom w:val="single" w:sz="4" w:space="0" w:color="auto"/>
              <w:right w:val="single" w:sz="4" w:space="0" w:color="auto"/>
            </w:tcBorders>
            <w:shd w:val="clear" w:color="auto" w:fill="auto"/>
            <w:hideMark/>
          </w:tcPr>
          <w:p w14:paraId="747BE9F3"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50CB170C"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r>
      <w:tr w:rsidR="000A1AD9" w:rsidRPr="000A1AD9" w14:paraId="2A524ADC" w14:textId="77777777" w:rsidTr="008E0319">
        <w:trPr>
          <w:trHeight w:val="510"/>
        </w:trPr>
        <w:tc>
          <w:tcPr>
            <w:tcW w:w="194" w:type="pct"/>
            <w:tcBorders>
              <w:top w:val="nil"/>
              <w:left w:val="single" w:sz="4" w:space="0" w:color="auto"/>
              <w:bottom w:val="single" w:sz="4" w:space="0" w:color="auto"/>
              <w:right w:val="single" w:sz="4" w:space="0" w:color="auto"/>
            </w:tcBorders>
            <w:shd w:val="clear" w:color="auto" w:fill="auto"/>
            <w:hideMark/>
          </w:tcPr>
          <w:p w14:paraId="253E4A68"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4</w:t>
            </w:r>
          </w:p>
        </w:tc>
        <w:tc>
          <w:tcPr>
            <w:tcW w:w="2637" w:type="pct"/>
            <w:tcBorders>
              <w:top w:val="nil"/>
              <w:left w:val="nil"/>
              <w:bottom w:val="single" w:sz="4" w:space="0" w:color="auto"/>
              <w:right w:val="single" w:sz="4" w:space="0" w:color="auto"/>
            </w:tcBorders>
            <w:shd w:val="clear" w:color="auto" w:fill="auto"/>
            <w:hideMark/>
          </w:tcPr>
          <w:p w14:paraId="61B9457B"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 xml:space="preserve"> The platform should employ a multi-factor approach to data classification, considering content, context, and user-defined criteria along with the Support for machine learning models to improve classification accuracy over time.</w:t>
            </w:r>
          </w:p>
        </w:tc>
        <w:tc>
          <w:tcPr>
            <w:tcW w:w="858" w:type="pct"/>
            <w:tcBorders>
              <w:top w:val="nil"/>
              <w:left w:val="nil"/>
              <w:bottom w:val="single" w:sz="4" w:space="0" w:color="auto"/>
              <w:right w:val="single" w:sz="4" w:space="0" w:color="auto"/>
            </w:tcBorders>
            <w:shd w:val="clear" w:color="auto" w:fill="auto"/>
            <w:hideMark/>
          </w:tcPr>
          <w:p w14:paraId="1BAB6763"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19AA036E"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xml:space="preserve"> </w:t>
            </w:r>
          </w:p>
        </w:tc>
      </w:tr>
      <w:tr w:rsidR="000A1AD9" w:rsidRPr="000A1AD9" w14:paraId="76F5B60B" w14:textId="77777777" w:rsidTr="008E0319">
        <w:trPr>
          <w:trHeight w:val="510"/>
        </w:trPr>
        <w:tc>
          <w:tcPr>
            <w:tcW w:w="194" w:type="pct"/>
            <w:tcBorders>
              <w:top w:val="nil"/>
              <w:left w:val="single" w:sz="4" w:space="0" w:color="auto"/>
              <w:bottom w:val="single" w:sz="4" w:space="0" w:color="auto"/>
              <w:right w:val="single" w:sz="4" w:space="0" w:color="auto"/>
            </w:tcBorders>
            <w:shd w:val="clear" w:color="auto" w:fill="auto"/>
            <w:hideMark/>
          </w:tcPr>
          <w:p w14:paraId="320EA0BB"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5</w:t>
            </w:r>
          </w:p>
        </w:tc>
        <w:tc>
          <w:tcPr>
            <w:tcW w:w="2637" w:type="pct"/>
            <w:tcBorders>
              <w:top w:val="nil"/>
              <w:left w:val="nil"/>
              <w:bottom w:val="single" w:sz="4" w:space="0" w:color="auto"/>
              <w:right w:val="single" w:sz="4" w:space="0" w:color="auto"/>
            </w:tcBorders>
            <w:shd w:val="clear" w:color="auto" w:fill="auto"/>
            <w:hideMark/>
          </w:tcPr>
          <w:p w14:paraId="7638F25C"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It must support both automated and manual classification methods, allowing for human oversight and input where necessary and preferably should allow integration with third-party AI tools for enhanced classification.</w:t>
            </w:r>
          </w:p>
        </w:tc>
        <w:tc>
          <w:tcPr>
            <w:tcW w:w="858" w:type="pct"/>
            <w:tcBorders>
              <w:top w:val="nil"/>
              <w:left w:val="nil"/>
              <w:bottom w:val="single" w:sz="4" w:space="0" w:color="auto"/>
              <w:right w:val="single" w:sz="4" w:space="0" w:color="auto"/>
            </w:tcBorders>
            <w:shd w:val="clear" w:color="auto" w:fill="auto"/>
            <w:hideMark/>
          </w:tcPr>
          <w:p w14:paraId="01B697C1"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54E882FB"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r>
      <w:tr w:rsidR="000A1AD9" w:rsidRPr="000A1AD9" w14:paraId="2A8B0893" w14:textId="77777777" w:rsidTr="008E0319">
        <w:trPr>
          <w:trHeight w:val="315"/>
        </w:trPr>
        <w:tc>
          <w:tcPr>
            <w:tcW w:w="194" w:type="pct"/>
            <w:tcBorders>
              <w:top w:val="nil"/>
              <w:left w:val="single" w:sz="4" w:space="0" w:color="auto"/>
              <w:bottom w:val="single" w:sz="4" w:space="0" w:color="auto"/>
              <w:right w:val="single" w:sz="4" w:space="0" w:color="auto"/>
            </w:tcBorders>
            <w:shd w:val="clear" w:color="auto" w:fill="auto"/>
            <w:hideMark/>
          </w:tcPr>
          <w:p w14:paraId="4B55B330"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6</w:t>
            </w:r>
          </w:p>
        </w:tc>
        <w:tc>
          <w:tcPr>
            <w:tcW w:w="2637" w:type="pct"/>
            <w:tcBorders>
              <w:top w:val="nil"/>
              <w:left w:val="nil"/>
              <w:bottom w:val="single" w:sz="4" w:space="0" w:color="auto"/>
              <w:right w:val="single" w:sz="4" w:space="0" w:color="auto"/>
            </w:tcBorders>
            <w:shd w:val="clear" w:color="auto" w:fill="auto"/>
            <w:hideMark/>
          </w:tcPr>
          <w:p w14:paraId="31C8278F"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The solution should support categorization and sub-categorization levels of data objects classification</w:t>
            </w:r>
          </w:p>
        </w:tc>
        <w:tc>
          <w:tcPr>
            <w:tcW w:w="858" w:type="pct"/>
            <w:tcBorders>
              <w:top w:val="nil"/>
              <w:left w:val="nil"/>
              <w:bottom w:val="single" w:sz="4" w:space="0" w:color="auto"/>
              <w:right w:val="single" w:sz="4" w:space="0" w:color="auto"/>
            </w:tcBorders>
            <w:shd w:val="clear" w:color="auto" w:fill="auto"/>
            <w:hideMark/>
          </w:tcPr>
          <w:p w14:paraId="66A25ABC"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7D7FCA91"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r>
      <w:tr w:rsidR="000A1AD9" w:rsidRPr="000A1AD9" w14:paraId="070819AA" w14:textId="77777777" w:rsidTr="008E0319">
        <w:trPr>
          <w:trHeight w:val="510"/>
        </w:trPr>
        <w:tc>
          <w:tcPr>
            <w:tcW w:w="194" w:type="pct"/>
            <w:tcBorders>
              <w:top w:val="nil"/>
              <w:left w:val="single" w:sz="4" w:space="0" w:color="auto"/>
              <w:bottom w:val="single" w:sz="4" w:space="0" w:color="auto"/>
              <w:right w:val="single" w:sz="4" w:space="0" w:color="auto"/>
            </w:tcBorders>
            <w:shd w:val="clear" w:color="auto" w:fill="auto"/>
            <w:hideMark/>
          </w:tcPr>
          <w:p w14:paraId="32D4B875"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7</w:t>
            </w:r>
          </w:p>
        </w:tc>
        <w:tc>
          <w:tcPr>
            <w:tcW w:w="2637" w:type="pct"/>
            <w:tcBorders>
              <w:top w:val="nil"/>
              <w:left w:val="nil"/>
              <w:bottom w:val="single" w:sz="4" w:space="0" w:color="auto"/>
              <w:right w:val="single" w:sz="4" w:space="0" w:color="auto"/>
            </w:tcBorders>
            <w:shd w:val="clear" w:color="auto" w:fill="auto"/>
            <w:hideMark/>
          </w:tcPr>
          <w:p w14:paraId="25B53E2B" w14:textId="33ED97E0"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The solution should offer pre-defined classification templates based on common regulatory r</w:t>
            </w:r>
            <w:r w:rsidR="008E0319">
              <w:rPr>
                <w:rFonts w:ascii="Calibri" w:eastAsia="Times New Roman" w:hAnsi="Calibri" w:cs="Calibri"/>
                <w:sz w:val="20"/>
                <w:szCs w:val="20"/>
                <w:lang w:val="en-GB" w:eastAsia="en-GB"/>
              </w:rPr>
              <w:t xml:space="preserve">equirements (e.g., GDPR, </w:t>
            </w:r>
            <w:r w:rsidRPr="000A1AD9">
              <w:rPr>
                <w:rFonts w:ascii="Calibri" w:eastAsia="Times New Roman" w:hAnsi="Calibri" w:cs="Calibri"/>
                <w:sz w:val="20"/>
                <w:szCs w:val="20"/>
                <w:lang w:val="en-GB" w:eastAsia="en-GB"/>
              </w:rPr>
              <w:t>PCI-DSS</w:t>
            </w:r>
            <w:r w:rsidR="008E0319">
              <w:rPr>
                <w:rFonts w:ascii="Calibri" w:eastAsia="Times New Roman" w:hAnsi="Calibri" w:cs="Calibri"/>
                <w:sz w:val="20"/>
                <w:szCs w:val="20"/>
                <w:lang w:val="en-GB" w:eastAsia="en-GB"/>
              </w:rPr>
              <w:t>, Regulatory compliances etc</w:t>
            </w:r>
            <w:r w:rsidRPr="000A1AD9">
              <w:rPr>
                <w:rFonts w:ascii="Calibri" w:eastAsia="Times New Roman" w:hAnsi="Calibri" w:cs="Calibri"/>
                <w:sz w:val="20"/>
                <w:szCs w:val="20"/>
                <w:lang w:val="en-GB" w:eastAsia="en-GB"/>
              </w:rPr>
              <w:t>), with the ability to customize these templates.</w:t>
            </w:r>
          </w:p>
        </w:tc>
        <w:tc>
          <w:tcPr>
            <w:tcW w:w="858" w:type="pct"/>
            <w:tcBorders>
              <w:top w:val="nil"/>
              <w:left w:val="nil"/>
              <w:bottom w:val="single" w:sz="4" w:space="0" w:color="auto"/>
              <w:right w:val="single" w:sz="4" w:space="0" w:color="auto"/>
            </w:tcBorders>
            <w:shd w:val="clear" w:color="auto" w:fill="auto"/>
            <w:hideMark/>
          </w:tcPr>
          <w:p w14:paraId="351EAD0C"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74E16C63"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r>
      <w:tr w:rsidR="000A1AD9" w:rsidRPr="000A1AD9" w14:paraId="5FF954D3" w14:textId="77777777" w:rsidTr="008E0319">
        <w:trPr>
          <w:trHeight w:val="315"/>
        </w:trPr>
        <w:tc>
          <w:tcPr>
            <w:tcW w:w="194" w:type="pct"/>
            <w:tcBorders>
              <w:top w:val="nil"/>
              <w:left w:val="single" w:sz="4" w:space="0" w:color="auto"/>
              <w:bottom w:val="single" w:sz="4" w:space="0" w:color="auto"/>
              <w:right w:val="single" w:sz="4" w:space="0" w:color="auto"/>
            </w:tcBorders>
            <w:shd w:val="clear" w:color="000000" w:fill="DDEBF7"/>
            <w:hideMark/>
          </w:tcPr>
          <w:p w14:paraId="5CCD406F" w14:textId="77777777" w:rsidR="000A1AD9" w:rsidRPr="000A1AD9" w:rsidRDefault="000A1AD9" w:rsidP="000A1AD9">
            <w:pPr>
              <w:spacing w:after="0" w:line="240" w:lineRule="auto"/>
              <w:jc w:val="center"/>
              <w:rPr>
                <w:rFonts w:ascii="Calibri" w:eastAsia="Times New Roman" w:hAnsi="Calibri" w:cs="Calibri"/>
                <w:b/>
                <w:bCs/>
                <w:color w:val="000000"/>
                <w:sz w:val="24"/>
                <w:szCs w:val="24"/>
                <w:lang w:val="en-GB" w:eastAsia="en-GB"/>
              </w:rPr>
            </w:pPr>
            <w:r w:rsidRPr="000A1AD9">
              <w:rPr>
                <w:rFonts w:ascii="Calibri" w:eastAsia="Times New Roman" w:hAnsi="Calibri" w:cs="Calibri"/>
                <w:b/>
                <w:bCs/>
                <w:color w:val="000000"/>
                <w:sz w:val="24"/>
                <w:szCs w:val="24"/>
                <w:lang w:val="en-GB" w:eastAsia="en-GB"/>
              </w:rPr>
              <w:lastRenderedPageBreak/>
              <w:t>C</w:t>
            </w:r>
          </w:p>
        </w:tc>
        <w:tc>
          <w:tcPr>
            <w:tcW w:w="2637" w:type="pct"/>
            <w:tcBorders>
              <w:top w:val="nil"/>
              <w:left w:val="nil"/>
              <w:bottom w:val="single" w:sz="4" w:space="0" w:color="auto"/>
              <w:right w:val="single" w:sz="4" w:space="0" w:color="auto"/>
            </w:tcBorders>
            <w:shd w:val="clear" w:color="000000" w:fill="DDEBF7"/>
            <w:hideMark/>
          </w:tcPr>
          <w:p w14:paraId="492DCC93" w14:textId="77777777" w:rsidR="000A1AD9" w:rsidRPr="000A1AD9" w:rsidRDefault="000A1AD9" w:rsidP="000A1AD9">
            <w:pPr>
              <w:spacing w:after="0" w:line="240" w:lineRule="auto"/>
              <w:rPr>
                <w:rFonts w:ascii="Calibri" w:eastAsia="Times New Roman" w:hAnsi="Calibri" w:cs="Calibri"/>
                <w:b/>
                <w:bCs/>
                <w:sz w:val="24"/>
                <w:szCs w:val="24"/>
                <w:lang w:val="en-GB" w:eastAsia="en-GB"/>
              </w:rPr>
            </w:pPr>
            <w:r w:rsidRPr="000A1AD9">
              <w:rPr>
                <w:rFonts w:ascii="Calibri" w:eastAsia="Times New Roman" w:hAnsi="Calibri" w:cs="Calibri"/>
                <w:b/>
                <w:bCs/>
                <w:sz w:val="24"/>
                <w:szCs w:val="24"/>
                <w:lang w:val="en-GB" w:eastAsia="en-GB"/>
              </w:rPr>
              <w:t>Content-based Classification</w:t>
            </w:r>
          </w:p>
        </w:tc>
        <w:tc>
          <w:tcPr>
            <w:tcW w:w="858" w:type="pct"/>
            <w:tcBorders>
              <w:top w:val="nil"/>
              <w:left w:val="nil"/>
              <w:bottom w:val="single" w:sz="4" w:space="0" w:color="auto"/>
              <w:right w:val="single" w:sz="4" w:space="0" w:color="auto"/>
            </w:tcBorders>
            <w:shd w:val="clear" w:color="auto" w:fill="auto"/>
            <w:hideMark/>
          </w:tcPr>
          <w:p w14:paraId="7D0DEC9B"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1A3AE1E9"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r>
      <w:tr w:rsidR="000A1AD9" w:rsidRPr="000A1AD9" w14:paraId="50EA8A74" w14:textId="77777777" w:rsidTr="008E0319">
        <w:trPr>
          <w:trHeight w:val="765"/>
        </w:trPr>
        <w:tc>
          <w:tcPr>
            <w:tcW w:w="194" w:type="pct"/>
            <w:tcBorders>
              <w:top w:val="nil"/>
              <w:left w:val="single" w:sz="4" w:space="0" w:color="auto"/>
              <w:bottom w:val="single" w:sz="4" w:space="0" w:color="auto"/>
              <w:right w:val="single" w:sz="4" w:space="0" w:color="auto"/>
            </w:tcBorders>
            <w:shd w:val="clear" w:color="auto" w:fill="auto"/>
            <w:hideMark/>
          </w:tcPr>
          <w:p w14:paraId="7B3810CB"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7</w:t>
            </w:r>
          </w:p>
        </w:tc>
        <w:tc>
          <w:tcPr>
            <w:tcW w:w="2637" w:type="pct"/>
            <w:tcBorders>
              <w:top w:val="nil"/>
              <w:left w:val="nil"/>
              <w:bottom w:val="single" w:sz="4" w:space="0" w:color="auto"/>
              <w:right w:val="single" w:sz="4" w:space="0" w:color="auto"/>
            </w:tcBorders>
            <w:shd w:val="clear" w:color="auto" w:fill="auto"/>
            <w:hideMark/>
          </w:tcPr>
          <w:p w14:paraId="30E93C66"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Include "The system must use pattern matching and regular expressions to identify sensitive data types such as credit card numbers, social security numbers (Ex. Aadhar Card , PAN Card, BIN numbers etc.), and email addressesand  should support advanced pattern recognition, including custom regex and preferably also the AI-driven context analysis."</w:t>
            </w:r>
          </w:p>
        </w:tc>
        <w:tc>
          <w:tcPr>
            <w:tcW w:w="858" w:type="pct"/>
            <w:tcBorders>
              <w:top w:val="nil"/>
              <w:left w:val="nil"/>
              <w:bottom w:val="single" w:sz="4" w:space="0" w:color="auto"/>
              <w:right w:val="single" w:sz="4" w:space="0" w:color="auto"/>
            </w:tcBorders>
            <w:shd w:val="clear" w:color="auto" w:fill="auto"/>
            <w:hideMark/>
          </w:tcPr>
          <w:p w14:paraId="7EBEEA3F"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7D2D60E1"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r>
      <w:tr w:rsidR="000A1AD9" w:rsidRPr="000A1AD9" w14:paraId="23A76754" w14:textId="77777777" w:rsidTr="008E0319">
        <w:trPr>
          <w:trHeight w:val="510"/>
        </w:trPr>
        <w:tc>
          <w:tcPr>
            <w:tcW w:w="194" w:type="pct"/>
            <w:tcBorders>
              <w:top w:val="nil"/>
              <w:left w:val="single" w:sz="4" w:space="0" w:color="auto"/>
              <w:bottom w:val="single" w:sz="4" w:space="0" w:color="auto"/>
              <w:right w:val="single" w:sz="4" w:space="0" w:color="auto"/>
            </w:tcBorders>
            <w:shd w:val="clear" w:color="auto" w:fill="auto"/>
            <w:hideMark/>
          </w:tcPr>
          <w:p w14:paraId="50CE6193"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8</w:t>
            </w:r>
          </w:p>
        </w:tc>
        <w:tc>
          <w:tcPr>
            <w:tcW w:w="2637" w:type="pct"/>
            <w:tcBorders>
              <w:top w:val="nil"/>
              <w:left w:val="nil"/>
              <w:bottom w:val="single" w:sz="4" w:space="0" w:color="auto"/>
              <w:right w:val="single" w:sz="4" w:space="0" w:color="auto"/>
            </w:tcBorders>
            <w:shd w:val="clear" w:color="auto" w:fill="auto"/>
            <w:hideMark/>
          </w:tcPr>
          <w:p w14:paraId="188231A7"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It should incorporate natural language processing capabilities to understand the context and sensitivity of unstructured text data and preferably also support multilingual data classification.</w:t>
            </w:r>
          </w:p>
        </w:tc>
        <w:tc>
          <w:tcPr>
            <w:tcW w:w="858" w:type="pct"/>
            <w:tcBorders>
              <w:top w:val="nil"/>
              <w:left w:val="nil"/>
              <w:bottom w:val="single" w:sz="4" w:space="0" w:color="auto"/>
              <w:right w:val="single" w:sz="4" w:space="0" w:color="auto"/>
            </w:tcBorders>
            <w:shd w:val="clear" w:color="auto" w:fill="auto"/>
            <w:hideMark/>
          </w:tcPr>
          <w:p w14:paraId="55B780B3"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7BD1333B"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r>
      <w:tr w:rsidR="000A1AD9" w:rsidRPr="000A1AD9" w14:paraId="538F6E6C" w14:textId="77777777" w:rsidTr="008E0319">
        <w:trPr>
          <w:trHeight w:val="315"/>
        </w:trPr>
        <w:tc>
          <w:tcPr>
            <w:tcW w:w="194" w:type="pct"/>
            <w:tcBorders>
              <w:top w:val="nil"/>
              <w:left w:val="single" w:sz="4" w:space="0" w:color="auto"/>
              <w:bottom w:val="single" w:sz="4" w:space="0" w:color="auto"/>
              <w:right w:val="single" w:sz="4" w:space="0" w:color="auto"/>
            </w:tcBorders>
            <w:shd w:val="clear" w:color="auto" w:fill="auto"/>
            <w:hideMark/>
          </w:tcPr>
          <w:p w14:paraId="6833D5F5"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9</w:t>
            </w:r>
          </w:p>
        </w:tc>
        <w:tc>
          <w:tcPr>
            <w:tcW w:w="2637" w:type="pct"/>
            <w:tcBorders>
              <w:top w:val="nil"/>
              <w:left w:val="nil"/>
              <w:bottom w:val="single" w:sz="4" w:space="0" w:color="auto"/>
              <w:right w:val="single" w:sz="4" w:space="0" w:color="auto"/>
            </w:tcBorders>
            <w:shd w:val="clear" w:color="auto" w:fill="auto"/>
            <w:hideMark/>
          </w:tcPr>
          <w:p w14:paraId="27A40D0B"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The solution must be able to recognize and classify images containing sensitive information, such as scanned documents or IDs.</w:t>
            </w:r>
          </w:p>
        </w:tc>
        <w:tc>
          <w:tcPr>
            <w:tcW w:w="858" w:type="pct"/>
            <w:tcBorders>
              <w:top w:val="nil"/>
              <w:left w:val="nil"/>
              <w:bottom w:val="single" w:sz="4" w:space="0" w:color="auto"/>
              <w:right w:val="single" w:sz="4" w:space="0" w:color="auto"/>
            </w:tcBorders>
            <w:shd w:val="clear" w:color="auto" w:fill="auto"/>
            <w:hideMark/>
          </w:tcPr>
          <w:p w14:paraId="5B952E32"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051A0DC8"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r>
      <w:tr w:rsidR="000A1AD9" w:rsidRPr="000A1AD9" w14:paraId="7805F5E0" w14:textId="77777777" w:rsidTr="008E0319">
        <w:trPr>
          <w:trHeight w:val="315"/>
        </w:trPr>
        <w:tc>
          <w:tcPr>
            <w:tcW w:w="194" w:type="pct"/>
            <w:tcBorders>
              <w:top w:val="nil"/>
              <w:left w:val="single" w:sz="4" w:space="0" w:color="auto"/>
              <w:bottom w:val="single" w:sz="4" w:space="0" w:color="auto"/>
              <w:right w:val="single" w:sz="4" w:space="0" w:color="auto"/>
            </w:tcBorders>
            <w:shd w:val="clear" w:color="000000" w:fill="DDEBF7"/>
            <w:hideMark/>
          </w:tcPr>
          <w:p w14:paraId="408C0AFD" w14:textId="77777777" w:rsidR="000A1AD9" w:rsidRPr="000A1AD9" w:rsidRDefault="000A1AD9" w:rsidP="000A1AD9">
            <w:pPr>
              <w:spacing w:after="0" w:line="240" w:lineRule="auto"/>
              <w:jc w:val="center"/>
              <w:rPr>
                <w:rFonts w:ascii="Calibri" w:eastAsia="Times New Roman" w:hAnsi="Calibri" w:cs="Calibri"/>
                <w:b/>
                <w:bCs/>
                <w:color w:val="000000"/>
                <w:sz w:val="24"/>
                <w:szCs w:val="24"/>
                <w:lang w:val="en-GB" w:eastAsia="en-GB"/>
              </w:rPr>
            </w:pPr>
            <w:r w:rsidRPr="000A1AD9">
              <w:rPr>
                <w:rFonts w:ascii="Calibri" w:eastAsia="Times New Roman" w:hAnsi="Calibri" w:cs="Calibri"/>
                <w:b/>
                <w:bCs/>
                <w:color w:val="000000"/>
                <w:sz w:val="24"/>
                <w:szCs w:val="24"/>
                <w:lang w:val="en-GB" w:eastAsia="en-GB"/>
              </w:rPr>
              <w:t>D</w:t>
            </w:r>
          </w:p>
        </w:tc>
        <w:tc>
          <w:tcPr>
            <w:tcW w:w="2637" w:type="pct"/>
            <w:tcBorders>
              <w:top w:val="nil"/>
              <w:left w:val="nil"/>
              <w:bottom w:val="single" w:sz="4" w:space="0" w:color="auto"/>
              <w:right w:val="single" w:sz="4" w:space="0" w:color="auto"/>
            </w:tcBorders>
            <w:shd w:val="clear" w:color="000000" w:fill="DDEBF7"/>
            <w:hideMark/>
          </w:tcPr>
          <w:p w14:paraId="578E5903" w14:textId="77777777" w:rsidR="000A1AD9" w:rsidRPr="000A1AD9" w:rsidRDefault="000A1AD9" w:rsidP="000A1AD9">
            <w:pPr>
              <w:spacing w:after="0" w:line="240" w:lineRule="auto"/>
              <w:rPr>
                <w:rFonts w:ascii="Calibri" w:eastAsia="Times New Roman" w:hAnsi="Calibri" w:cs="Calibri"/>
                <w:b/>
                <w:bCs/>
                <w:sz w:val="24"/>
                <w:szCs w:val="24"/>
                <w:lang w:val="en-GB" w:eastAsia="en-GB"/>
              </w:rPr>
            </w:pPr>
            <w:r w:rsidRPr="000A1AD9">
              <w:rPr>
                <w:rFonts w:ascii="Calibri" w:eastAsia="Times New Roman" w:hAnsi="Calibri" w:cs="Calibri"/>
                <w:b/>
                <w:bCs/>
                <w:sz w:val="24"/>
                <w:szCs w:val="24"/>
                <w:lang w:val="en-GB" w:eastAsia="en-GB"/>
              </w:rPr>
              <w:t>Metadata Analysis</w:t>
            </w:r>
          </w:p>
        </w:tc>
        <w:tc>
          <w:tcPr>
            <w:tcW w:w="858" w:type="pct"/>
            <w:tcBorders>
              <w:top w:val="nil"/>
              <w:left w:val="nil"/>
              <w:bottom w:val="single" w:sz="4" w:space="0" w:color="auto"/>
              <w:right w:val="single" w:sz="4" w:space="0" w:color="auto"/>
            </w:tcBorders>
            <w:shd w:val="clear" w:color="auto" w:fill="auto"/>
            <w:hideMark/>
          </w:tcPr>
          <w:p w14:paraId="0AF99E69"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253EDF37"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r>
      <w:tr w:rsidR="000A1AD9" w:rsidRPr="000A1AD9" w14:paraId="19CE78C0" w14:textId="77777777" w:rsidTr="008E0319">
        <w:trPr>
          <w:trHeight w:val="510"/>
        </w:trPr>
        <w:tc>
          <w:tcPr>
            <w:tcW w:w="194" w:type="pct"/>
            <w:tcBorders>
              <w:top w:val="nil"/>
              <w:left w:val="single" w:sz="4" w:space="0" w:color="auto"/>
              <w:bottom w:val="single" w:sz="4" w:space="0" w:color="auto"/>
              <w:right w:val="single" w:sz="4" w:space="0" w:color="auto"/>
            </w:tcBorders>
            <w:shd w:val="clear" w:color="auto" w:fill="auto"/>
            <w:hideMark/>
          </w:tcPr>
          <w:p w14:paraId="17B69BB9"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10</w:t>
            </w:r>
          </w:p>
        </w:tc>
        <w:tc>
          <w:tcPr>
            <w:tcW w:w="2637" w:type="pct"/>
            <w:tcBorders>
              <w:top w:val="nil"/>
              <w:left w:val="nil"/>
              <w:bottom w:val="single" w:sz="4" w:space="0" w:color="auto"/>
              <w:right w:val="single" w:sz="4" w:space="0" w:color="auto"/>
            </w:tcBorders>
            <w:shd w:val="clear" w:color="auto" w:fill="auto"/>
            <w:hideMark/>
          </w:tcPr>
          <w:p w14:paraId="5380B9BC"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The platform should analyze file metadata to aid in classification, including factors such as file type, creation date, and access permissions and preferably should provide insights into data retention policies based on metadata.</w:t>
            </w:r>
          </w:p>
        </w:tc>
        <w:tc>
          <w:tcPr>
            <w:tcW w:w="858" w:type="pct"/>
            <w:tcBorders>
              <w:top w:val="nil"/>
              <w:left w:val="nil"/>
              <w:bottom w:val="single" w:sz="4" w:space="0" w:color="auto"/>
              <w:right w:val="single" w:sz="4" w:space="0" w:color="auto"/>
            </w:tcBorders>
            <w:shd w:val="clear" w:color="auto" w:fill="auto"/>
            <w:hideMark/>
          </w:tcPr>
          <w:p w14:paraId="0C623D9D"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2FE25B1F"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r>
      <w:tr w:rsidR="000A1AD9" w:rsidRPr="000A1AD9" w14:paraId="07C41EBE" w14:textId="77777777" w:rsidTr="008E0319">
        <w:trPr>
          <w:trHeight w:val="315"/>
        </w:trPr>
        <w:tc>
          <w:tcPr>
            <w:tcW w:w="194" w:type="pct"/>
            <w:tcBorders>
              <w:top w:val="nil"/>
              <w:left w:val="single" w:sz="4" w:space="0" w:color="auto"/>
              <w:bottom w:val="single" w:sz="4" w:space="0" w:color="auto"/>
              <w:right w:val="single" w:sz="4" w:space="0" w:color="auto"/>
            </w:tcBorders>
            <w:shd w:val="clear" w:color="auto" w:fill="auto"/>
            <w:hideMark/>
          </w:tcPr>
          <w:p w14:paraId="20FB11FA"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11</w:t>
            </w:r>
          </w:p>
        </w:tc>
        <w:tc>
          <w:tcPr>
            <w:tcW w:w="2637" w:type="pct"/>
            <w:tcBorders>
              <w:top w:val="nil"/>
              <w:left w:val="nil"/>
              <w:bottom w:val="single" w:sz="4" w:space="0" w:color="auto"/>
              <w:right w:val="single" w:sz="4" w:space="0" w:color="auto"/>
            </w:tcBorders>
            <w:shd w:val="clear" w:color="auto" w:fill="auto"/>
            <w:hideMark/>
          </w:tcPr>
          <w:p w14:paraId="5AED6E73"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It must be able to track data lineage and classify data based on its source or movement within the organization.</w:t>
            </w:r>
          </w:p>
        </w:tc>
        <w:tc>
          <w:tcPr>
            <w:tcW w:w="858" w:type="pct"/>
            <w:tcBorders>
              <w:top w:val="nil"/>
              <w:left w:val="nil"/>
              <w:bottom w:val="single" w:sz="4" w:space="0" w:color="auto"/>
              <w:right w:val="single" w:sz="4" w:space="0" w:color="auto"/>
            </w:tcBorders>
            <w:shd w:val="clear" w:color="auto" w:fill="auto"/>
            <w:hideMark/>
          </w:tcPr>
          <w:p w14:paraId="61B30851"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2C5303C3"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r>
      <w:tr w:rsidR="000A1AD9" w:rsidRPr="000A1AD9" w14:paraId="54842AC0" w14:textId="77777777" w:rsidTr="008E0319">
        <w:trPr>
          <w:trHeight w:val="315"/>
        </w:trPr>
        <w:tc>
          <w:tcPr>
            <w:tcW w:w="194" w:type="pct"/>
            <w:tcBorders>
              <w:top w:val="nil"/>
              <w:left w:val="single" w:sz="4" w:space="0" w:color="auto"/>
              <w:bottom w:val="single" w:sz="4" w:space="0" w:color="auto"/>
              <w:right w:val="single" w:sz="4" w:space="0" w:color="auto"/>
            </w:tcBorders>
            <w:shd w:val="clear" w:color="000000" w:fill="DDEBF7"/>
            <w:hideMark/>
          </w:tcPr>
          <w:p w14:paraId="09DC1CC5" w14:textId="77777777" w:rsidR="000A1AD9" w:rsidRPr="000A1AD9" w:rsidRDefault="000A1AD9" w:rsidP="000A1AD9">
            <w:pPr>
              <w:spacing w:after="0" w:line="240" w:lineRule="auto"/>
              <w:jc w:val="center"/>
              <w:rPr>
                <w:rFonts w:ascii="Calibri" w:eastAsia="Times New Roman" w:hAnsi="Calibri" w:cs="Calibri"/>
                <w:b/>
                <w:bCs/>
                <w:color w:val="000000"/>
                <w:sz w:val="24"/>
                <w:szCs w:val="24"/>
                <w:lang w:val="en-GB" w:eastAsia="en-GB"/>
              </w:rPr>
            </w:pPr>
            <w:r w:rsidRPr="000A1AD9">
              <w:rPr>
                <w:rFonts w:ascii="Calibri" w:eastAsia="Times New Roman" w:hAnsi="Calibri" w:cs="Calibri"/>
                <w:b/>
                <w:bCs/>
                <w:color w:val="000000"/>
                <w:sz w:val="24"/>
                <w:szCs w:val="24"/>
                <w:lang w:val="en-GB" w:eastAsia="en-GB"/>
              </w:rPr>
              <w:t>E</w:t>
            </w:r>
          </w:p>
        </w:tc>
        <w:tc>
          <w:tcPr>
            <w:tcW w:w="2637" w:type="pct"/>
            <w:tcBorders>
              <w:top w:val="nil"/>
              <w:left w:val="nil"/>
              <w:bottom w:val="single" w:sz="4" w:space="0" w:color="auto"/>
              <w:right w:val="single" w:sz="4" w:space="0" w:color="auto"/>
            </w:tcBorders>
            <w:shd w:val="clear" w:color="000000" w:fill="DDEBF7"/>
            <w:hideMark/>
          </w:tcPr>
          <w:p w14:paraId="5C485874" w14:textId="77777777" w:rsidR="000A1AD9" w:rsidRPr="000A1AD9" w:rsidRDefault="000A1AD9" w:rsidP="000A1AD9">
            <w:pPr>
              <w:spacing w:after="0" w:line="240" w:lineRule="auto"/>
              <w:rPr>
                <w:rFonts w:ascii="Calibri" w:eastAsia="Times New Roman" w:hAnsi="Calibri" w:cs="Calibri"/>
                <w:b/>
                <w:bCs/>
                <w:sz w:val="24"/>
                <w:szCs w:val="24"/>
                <w:lang w:val="en-GB" w:eastAsia="en-GB"/>
              </w:rPr>
            </w:pPr>
            <w:r w:rsidRPr="000A1AD9">
              <w:rPr>
                <w:rFonts w:ascii="Calibri" w:eastAsia="Times New Roman" w:hAnsi="Calibri" w:cs="Calibri"/>
                <w:b/>
                <w:bCs/>
                <w:sz w:val="24"/>
                <w:szCs w:val="24"/>
                <w:lang w:val="en-GB" w:eastAsia="en-GB"/>
              </w:rPr>
              <w:t>Customizable Classification Policies</w:t>
            </w:r>
          </w:p>
        </w:tc>
        <w:tc>
          <w:tcPr>
            <w:tcW w:w="858" w:type="pct"/>
            <w:tcBorders>
              <w:top w:val="nil"/>
              <w:left w:val="nil"/>
              <w:bottom w:val="single" w:sz="4" w:space="0" w:color="auto"/>
              <w:right w:val="single" w:sz="4" w:space="0" w:color="auto"/>
            </w:tcBorders>
            <w:shd w:val="clear" w:color="auto" w:fill="auto"/>
            <w:hideMark/>
          </w:tcPr>
          <w:p w14:paraId="5E763E65"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794483E0"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r>
      <w:tr w:rsidR="000A1AD9" w:rsidRPr="000A1AD9" w14:paraId="623F7E08" w14:textId="77777777" w:rsidTr="008E0319">
        <w:trPr>
          <w:trHeight w:val="510"/>
        </w:trPr>
        <w:tc>
          <w:tcPr>
            <w:tcW w:w="194" w:type="pct"/>
            <w:tcBorders>
              <w:top w:val="nil"/>
              <w:left w:val="single" w:sz="4" w:space="0" w:color="auto"/>
              <w:bottom w:val="single" w:sz="4" w:space="0" w:color="auto"/>
              <w:right w:val="single" w:sz="4" w:space="0" w:color="auto"/>
            </w:tcBorders>
            <w:shd w:val="clear" w:color="auto" w:fill="auto"/>
            <w:hideMark/>
          </w:tcPr>
          <w:p w14:paraId="6D68E3AF"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12</w:t>
            </w:r>
          </w:p>
        </w:tc>
        <w:tc>
          <w:tcPr>
            <w:tcW w:w="2637" w:type="pct"/>
            <w:tcBorders>
              <w:top w:val="nil"/>
              <w:left w:val="nil"/>
              <w:bottom w:val="single" w:sz="4" w:space="0" w:color="auto"/>
              <w:right w:val="single" w:sz="4" w:space="0" w:color="auto"/>
            </w:tcBorders>
            <w:shd w:val="clear" w:color="000000" w:fill="FFFFFF"/>
            <w:hideMark/>
          </w:tcPr>
          <w:p w14:paraId="6BF3ABE7"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The solution must allow organizations to define and implement custom classification policies based on their specific needs and risk profile.</w:t>
            </w:r>
          </w:p>
        </w:tc>
        <w:tc>
          <w:tcPr>
            <w:tcW w:w="858" w:type="pct"/>
            <w:tcBorders>
              <w:top w:val="nil"/>
              <w:left w:val="nil"/>
              <w:bottom w:val="single" w:sz="4" w:space="0" w:color="auto"/>
              <w:right w:val="single" w:sz="4" w:space="0" w:color="auto"/>
            </w:tcBorders>
            <w:shd w:val="clear" w:color="auto" w:fill="auto"/>
            <w:hideMark/>
          </w:tcPr>
          <w:p w14:paraId="7E16BC84"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494B210B"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r>
      <w:tr w:rsidR="000A1AD9" w:rsidRPr="000A1AD9" w14:paraId="27A7DDB4" w14:textId="77777777" w:rsidTr="008E0319">
        <w:trPr>
          <w:trHeight w:val="510"/>
        </w:trPr>
        <w:tc>
          <w:tcPr>
            <w:tcW w:w="194" w:type="pct"/>
            <w:tcBorders>
              <w:top w:val="nil"/>
              <w:left w:val="single" w:sz="4" w:space="0" w:color="auto"/>
              <w:bottom w:val="single" w:sz="4" w:space="0" w:color="auto"/>
              <w:right w:val="single" w:sz="4" w:space="0" w:color="auto"/>
            </w:tcBorders>
            <w:shd w:val="clear" w:color="auto" w:fill="auto"/>
            <w:hideMark/>
          </w:tcPr>
          <w:p w14:paraId="38D2ED58"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13</w:t>
            </w:r>
          </w:p>
        </w:tc>
        <w:tc>
          <w:tcPr>
            <w:tcW w:w="2637" w:type="pct"/>
            <w:tcBorders>
              <w:top w:val="nil"/>
              <w:left w:val="nil"/>
              <w:bottom w:val="single" w:sz="4" w:space="0" w:color="auto"/>
              <w:right w:val="single" w:sz="4" w:space="0" w:color="auto"/>
            </w:tcBorders>
            <w:shd w:val="clear" w:color="auto" w:fill="auto"/>
            <w:hideMark/>
          </w:tcPr>
          <w:p w14:paraId="0EE82D27"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It should support the creation of hierarchical classification levels (e.g., Public, Internal, Confidential, Restricted, secret, top secret etc) with clear definitions and handling rules for each level.</w:t>
            </w:r>
          </w:p>
        </w:tc>
        <w:tc>
          <w:tcPr>
            <w:tcW w:w="858" w:type="pct"/>
            <w:tcBorders>
              <w:top w:val="nil"/>
              <w:left w:val="nil"/>
              <w:bottom w:val="single" w:sz="4" w:space="0" w:color="auto"/>
              <w:right w:val="single" w:sz="4" w:space="0" w:color="auto"/>
            </w:tcBorders>
            <w:shd w:val="clear" w:color="auto" w:fill="auto"/>
            <w:hideMark/>
          </w:tcPr>
          <w:p w14:paraId="7C18DF05"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6130C950"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r>
      <w:tr w:rsidR="000A1AD9" w:rsidRPr="000A1AD9" w14:paraId="2F1EDD82" w14:textId="77777777" w:rsidTr="008E0319">
        <w:trPr>
          <w:trHeight w:val="315"/>
        </w:trPr>
        <w:tc>
          <w:tcPr>
            <w:tcW w:w="194" w:type="pct"/>
            <w:tcBorders>
              <w:top w:val="nil"/>
              <w:left w:val="single" w:sz="4" w:space="0" w:color="auto"/>
              <w:bottom w:val="single" w:sz="4" w:space="0" w:color="auto"/>
              <w:right w:val="single" w:sz="4" w:space="0" w:color="auto"/>
            </w:tcBorders>
            <w:shd w:val="clear" w:color="000000" w:fill="DDEBF7"/>
            <w:hideMark/>
          </w:tcPr>
          <w:p w14:paraId="6DF0FB7C" w14:textId="77777777" w:rsidR="000A1AD9" w:rsidRPr="000A1AD9" w:rsidRDefault="000A1AD9" w:rsidP="000A1AD9">
            <w:pPr>
              <w:spacing w:after="0" w:line="240" w:lineRule="auto"/>
              <w:jc w:val="center"/>
              <w:rPr>
                <w:rFonts w:ascii="Calibri" w:eastAsia="Times New Roman" w:hAnsi="Calibri" w:cs="Calibri"/>
                <w:b/>
                <w:bCs/>
                <w:color w:val="000000"/>
                <w:sz w:val="24"/>
                <w:szCs w:val="24"/>
                <w:lang w:val="en-GB" w:eastAsia="en-GB"/>
              </w:rPr>
            </w:pPr>
            <w:r w:rsidRPr="000A1AD9">
              <w:rPr>
                <w:rFonts w:ascii="Calibri" w:eastAsia="Times New Roman" w:hAnsi="Calibri" w:cs="Calibri"/>
                <w:b/>
                <w:bCs/>
                <w:color w:val="000000"/>
                <w:sz w:val="24"/>
                <w:szCs w:val="24"/>
                <w:lang w:val="en-GB" w:eastAsia="en-GB"/>
              </w:rPr>
              <w:t>F</w:t>
            </w:r>
          </w:p>
        </w:tc>
        <w:tc>
          <w:tcPr>
            <w:tcW w:w="2637" w:type="pct"/>
            <w:tcBorders>
              <w:top w:val="nil"/>
              <w:left w:val="nil"/>
              <w:bottom w:val="single" w:sz="4" w:space="0" w:color="auto"/>
              <w:right w:val="single" w:sz="4" w:space="0" w:color="auto"/>
            </w:tcBorders>
            <w:shd w:val="clear" w:color="000000" w:fill="DDEBF7"/>
            <w:hideMark/>
          </w:tcPr>
          <w:p w14:paraId="50ECAD9F" w14:textId="77777777" w:rsidR="000A1AD9" w:rsidRPr="000A1AD9" w:rsidRDefault="000A1AD9" w:rsidP="000A1AD9">
            <w:pPr>
              <w:spacing w:after="0" w:line="240" w:lineRule="auto"/>
              <w:rPr>
                <w:rFonts w:ascii="Calibri" w:eastAsia="Times New Roman" w:hAnsi="Calibri" w:cs="Calibri"/>
                <w:b/>
                <w:bCs/>
                <w:sz w:val="24"/>
                <w:szCs w:val="24"/>
                <w:lang w:val="en-GB" w:eastAsia="en-GB"/>
              </w:rPr>
            </w:pPr>
            <w:r w:rsidRPr="000A1AD9">
              <w:rPr>
                <w:rFonts w:ascii="Calibri" w:eastAsia="Times New Roman" w:hAnsi="Calibri" w:cs="Calibri"/>
                <w:b/>
                <w:bCs/>
                <w:sz w:val="24"/>
                <w:szCs w:val="24"/>
                <w:lang w:val="en-GB" w:eastAsia="en-GB"/>
              </w:rPr>
              <w:t>Classification Consistency</w:t>
            </w:r>
          </w:p>
        </w:tc>
        <w:tc>
          <w:tcPr>
            <w:tcW w:w="858" w:type="pct"/>
            <w:tcBorders>
              <w:top w:val="nil"/>
              <w:left w:val="nil"/>
              <w:bottom w:val="single" w:sz="4" w:space="0" w:color="auto"/>
              <w:right w:val="single" w:sz="4" w:space="0" w:color="auto"/>
            </w:tcBorders>
            <w:shd w:val="clear" w:color="auto" w:fill="auto"/>
            <w:hideMark/>
          </w:tcPr>
          <w:p w14:paraId="22CD840E"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414FD804"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r>
      <w:tr w:rsidR="000A1AD9" w:rsidRPr="000A1AD9" w14:paraId="2040C6BB" w14:textId="77777777" w:rsidTr="008E0319">
        <w:trPr>
          <w:trHeight w:val="315"/>
        </w:trPr>
        <w:tc>
          <w:tcPr>
            <w:tcW w:w="194" w:type="pct"/>
            <w:tcBorders>
              <w:top w:val="nil"/>
              <w:left w:val="single" w:sz="4" w:space="0" w:color="auto"/>
              <w:bottom w:val="single" w:sz="4" w:space="0" w:color="auto"/>
              <w:right w:val="single" w:sz="4" w:space="0" w:color="auto"/>
            </w:tcBorders>
            <w:shd w:val="clear" w:color="auto" w:fill="auto"/>
            <w:hideMark/>
          </w:tcPr>
          <w:p w14:paraId="4E2485B7"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14</w:t>
            </w:r>
          </w:p>
        </w:tc>
        <w:tc>
          <w:tcPr>
            <w:tcW w:w="2637" w:type="pct"/>
            <w:tcBorders>
              <w:top w:val="nil"/>
              <w:left w:val="nil"/>
              <w:bottom w:val="single" w:sz="4" w:space="0" w:color="auto"/>
              <w:right w:val="single" w:sz="4" w:space="0" w:color="auto"/>
            </w:tcBorders>
            <w:shd w:val="clear" w:color="auto" w:fill="auto"/>
            <w:hideMark/>
          </w:tcPr>
          <w:p w14:paraId="6A2A8DE0"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The system must maintain consistent classification across different storage locations and data formats.</w:t>
            </w:r>
          </w:p>
        </w:tc>
        <w:tc>
          <w:tcPr>
            <w:tcW w:w="858" w:type="pct"/>
            <w:tcBorders>
              <w:top w:val="nil"/>
              <w:left w:val="nil"/>
              <w:bottom w:val="single" w:sz="4" w:space="0" w:color="auto"/>
              <w:right w:val="single" w:sz="4" w:space="0" w:color="auto"/>
            </w:tcBorders>
            <w:shd w:val="clear" w:color="auto" w:fill="auto"/>
            <w:hideMark/>
          </w:tcPr>
          <w:p w14:paraId="7D91C6C1"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5C82C808"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r>
      <w:tr w:rsidR="000A1AD9" w:rsidRPr="000A1AD9" w14:paraId="64F6B143" w14:textId="77777777" w:rsidTr="008E0319">
        <w:trPr>
          <w:trHeight w:val="315"/>
        </w:trPr>
        <w:tc>
          <w:tcPr>
            <w:tcW w:w="194" w:type="pct"/>
            <w:tcBorders>
              <w:top w:val="nil"/>
              <w:left w:val="single" w:sz="4" w:space="0" w:color="auto"/>
              <w:bottom w:val="single" w:sz="4" w:space="0" w:color="auto"/>
              <w:right w:val="single" w:sz="4" w:space="0" w:color="auto"/>
            </w:tcBorders>
            <w:shd w:val="clear" w:color="auto" w:fill="auto"/>
            <w:hideMark/>
          </w:tcPr>
          <w:p w14:paraId="7014B605"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15</w:t>
            </w:r>
          </w:p>
        </w:tc>
        <w:tc>
          <w:tcPr>
            <w:tcW w:w="2637" w:type="pct"/>
            <w:tcBorders>
              <w:top w:val="nil"/>
              <w:left w:val="nil"/>
              <w:bottom w:val="single" w:sz="4" w:space="0" w:color="auto"/>
              <w:right w:val="single" w:sz="4" w:space="0" w:color="auto"/>
            </w:tcBorders>
            <w:shd w:val="clear" w:color="auto" w:fill="auto"/>
            <w:hideMark/>
          </w:tcPr>
          <w:p w14:paraId="6597BF99"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It should provide mechanisms to resolve conflicts in classification, especially when data is moved or copied between locations.</w:t>
            </w:r>
          </w:p>
        </w:tc>
        <w:tc>
          <w:tcPr>
            <w:tcW w:w="858" w:type="pct"/>
            <w:tcBorders>
              <w:top w:val="nil"/>
              <w:left w:val="nil"/>
              <w:bottom w:val="single" w:sz="4" w:space="0" w:color="auto"/>
              <w:right w:val="single" w:sz="4" w:space="0" w:color="auto"/>
            </w:tcBorders>
            <w:shd w:val="clear" w:color="auto" w:fill="auto"/>
            <w:hideMark/>
          </w:tcPr>
          <w:p w14:paraId="099E2C13"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140D8010"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r>
      <w:tr w:rsidR="000A1AD9" w:rsidRPr="000A1AD9" w14:paraId="6859D892" w14:textId="77777777" w:rsidTr="008E0319">
        <w:trPr>
          <w:trHeight w:val="315"/>
        </w:trPr>
        <w:tc>
          <w:tcPr>
            <w:tcW w:w="194" w:type="pct"/>
            <w:tcBorders>
              <w:top w:val="nil"/>
              <w:left w:val="single" w:sz="4" w:space="0" w:color="auto"/>
              <w:bottom w:val="single" w:sz="4" w:space="0" w:color="auto"/>
              <w:right w:val="single" w:sz="4" w:space="0" w:color="auto"/>
            </w:tcBorders>
            <w:shd w:val="clear" w:color="000000" w:fill="DDEBF7"/>
            <w:hideMark/>
          </w:tcPr>
          <w:p w14:paraId="66FB542B" w14:textId="77777777" w:rsidR="000A1AD9" w:rsidRPr="000A1AD9" w:rsidRDefault="000A1AD9" w:rsidP="000A1AD9">
            <w:pPr>
              <w:spacing w:after="0" w:line="240" w:lineRule="auto"/>
              <w:jc w:val="center"/>
              <w:rPr>
                <w:rFonts w:ascii="Calibri" w:eastAsia="Times New Roman" w:hAnsi="Calibri" w:cs="Calibri"/>
                <w:b/>
                <w:bCs/>
                <w:color w:val="000000"/>
                <w:sz w:val="24"/>
                <w:szCs w:val="24"/>
                <w:lang w:val="en-GB" w:eastAsia="en-GB"/>
              </w:rPr>
            </w:pPr>
            <w:r w:rsidRPr="000A1AD9">
              <w:rPr>
                <w:rFonts w:ascii="Calibri" w:eastAsia="Times New Roman" w:hAnsi="Calibri" w:cs="Calibri"/>
                <w:b/>
                <w:bCs/>
                <w:color w:val="000000"/>
                <w:sz w:val="24"/>
                <w:szCs w:val="24"/>
                <w:lang w:val="en-GB" w:eastAsia="en-GB"/>
              </w:rPr>
              <w:t>G</w:t>
            </w:r>
          </w:p>
        </w:tc>
        <w:tc>
          <w:tcPr>
            <w:tcW w:w="2637" w:type="pct"/>
            <w:tcBorders>
              <w:top w:val="nil"/>
              <w:left w:val="nil"/>
              <w:bottom w:val="single" w:sz="4" w:space="0" w:color="auto"/>
              <w:right w:val="single" w:sz="4" w:space="0" w:color="auto"/>
            </w:tcBorders>
            <w:shd w:val="clear" w:color="000000" w:fill="DDEBF7"/>
            <w:hideMark/>
          </w:tcPr>
          <w:p w14:paraId="52D8E6FD" w14:textId="77777777" w:rsidR="000A1AD9" w:rsidRPr="000A1AD9" w:rsidRDefault="000A1AD9" w:rsidP="000A1AD9">
            <w:pPr>
              <w:spacing w:after="0" w:line="240" w:lineRule="auto"/>
              <w:rPr>
                <w:rFonts w:ascii="Calibri" w:eastAsia="Times New Roman" w:hAnsi="Calibri" w:cs="Calibri"/>
                <w:b/>
                <w:bCs/>
                <w:sz w:val="24"/>
                <w:szCs w:val="24"/>
                <w:lang w:val="en-GB" w:eastAsia="en-GB"/>
              </w:rPr>
            </w:pPr>
            <w:r w:rsidRPr="000A1AD9">
              <w:rPr>
                <w:rFonts w:ascii="Calibri" w:eastAsia="Times New Roman" w:hAnsi="Calibri" w:cs="Calibri"/>
                <w:b/>
                <w:bCs/>
                <w:sz w:val="24"/>
                <w:szCs w:val="24"/>
                <w:lang w:val="en-GB" w:eastAsia="en-GB"/>
              </w:rPr>
              <w:t>User Friendly Classification Interface</w:t>
            </w:r>
          </w:p>
        </w:tc>
        <w:tc>
          <w:tcPr>
            <w:tcW w:w="858" w:type="pct"/>
            <w:tcBorders>
              <w:top w:val="nil"/>
              <w:left w:val="nil"/>
              <w:bottom w:val="single" w:sz="4" w:space="0" w:color="auto"/>
              <w:right w:val="single" w:sz="4" w:space="0" w:color="auto"/>
            </w:tcBorders>
            <w:shd w:val="clear" w:color="auto" w:fill="auto"/>
            <w:hideMark/>
          </w:tcPr>
          <w:p w14:paraId="66224AEE"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4CA17031"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r>
      <w:tr w:rsidR="000A1AD9" w:rsidRPr="000A1AD9" w14:paraId="4368AA27" w14:textId="77777777" w:rsidTr="008E0319">
        <w:trPr>
          <w:trHeight w:val="510"/>
        </w:trPr>
        <w:tc>
          <w:tcPr>
            <w:tcW w:w="194" w:type="pct"/>
            <w:tcBorders>
              <w:top w:val="nil"/>
              <w:left w:val="single" w:sz="4" w:space="0" w:color="auto"/>
              <w:bottom w:val="single" w:sz="4" w:space="0" w:color="auto"/>
              <w:right w:val="single" w:sz="4" w:space="0" w:color="auto"/>
            </w:tcBorders>
            <w:shd w:val="clear" w:color="auto" w:fill="auto"/>
            <w:hideMark/>
          </w:tcPr>
          <w:p w14:paraId="59D651E6"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16</w:t>
            </w:r>
          </w:p>
        </w:tc>
        <w:tc>
          <w:tcPr>
            <w:tcW w:w="2637" w:type="pct"/>
            <w:tcBorders>
              <w:top w:val="nil"/>
              <w:left w:val="nil"/>
              <w:bottom w:val="single" w:sz="4" w:space="0" w:color="auto"/>
              <w:right w:val="single" w:sz="4" w:space="0" w:color="auto"/>
            </w:tcBorders>
            <w:shd w:val="clear" w:color="auto" w:fill="auto"/>
            <w:hideMark/>
          </w:tcPr>
          <w:p w14:paraId="0E10BDDF"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The platform must offer a user-friendly interface for manual classification, allowing authorized users to easily review and classify data.</w:t>
            </w:r>
          </w:p>
        </w:tc>
        <w:tc>
          <w:tcPr>
            <w:tcW w:w="858" w:type="pct"/>
            <w:tcBorders>
              <w:top w:val="nil"/>
              <w:left w:val="nil"/>
              <w:bottom w:val="single" w:sz="4" w:space="0" w:color="auto"/>
              <w:right w:val="single" w:sz="4" w:space="0" w:color="auto"/>
            </w:tcBorders>
            <w:shd w:val="clear" w:color="auto" w:fill="auto"/>
            <w:hideMark/>
          </w:tcPr>
          <w:p w14:paraId="3350DB45"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3FF8B5F1"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r>
      <w:tr w:rsidR="000A1AD9" w:rsidRPr="000A1AD9" w14:paraId="28CA715C" w14:textId="77777777" w:rsidTr="008E0319">
        <w:trPr>
          <w:trHeight w:val="315"/>
        </w:trPr>
        <w:tc>
          <w:tcPr>
            <w:tcW w:w="194" w:type="pct"/>
            <w:tcBorders>
              <w:top w:val="nil"/>
              <w:left w:val="single" w:sz="4" w:space="0" w:color="auto"/>
              <w:bottom w:val="single" w:sz="4" w:space="0" w:color="auto"/>
              <w:right w:val="single" w:sz="4" w:space="0" w:color="auto"/>
            </w:tcBorders>
            <w:shd w:val="clear" w:color="auto" w:fill="auto"/>
            <w:hideMark/>
          </w:tcPr>
          <w:p w14:paraId="21547E93"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lastRenderedPageBreak/>
              <w:t>17</w:t>
            </w:r>
          </w:p>
        </w:tc>
        <w:tc>
          <w:tcPr>
            <w:tcW w:w="2637" w:type="pct"/>
            <w:tcBorders>
              <w:top w:val="nil"/>
              <w:left w:val="nil"/>
              <w:bottom w:val="single" w:sz="4" w:space="0" w:color="auto"/>
              <w:right w:val="single" w:sz="4" w:space="0" w:color="auto"/>
            </w:tcBorders>
            <w:shd w:val="clear" w:color="auto" w:fill="auto"/>
            <w:hideMark/>
          </w:tcPr>
          <w:p w14:paraId="4188902A"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It should provide options for bulk classification to efficiently handle large volumes of similar data.</w:t>
            </w:r>
          </w:p>
        </w:tc>
        <w:tc>
          <w:tcPr>
            <w:tcW w:w="858" w:type="pct"/>
            <w:tcBorders>
              <w:top w:val="nil"/>
              <w:left w:val="nil"/>
              <w:bottom w:val="single" w:sz="4" w:space="0" w:color="auto"/>
              <w:right w:val="single" w:sz="4" w:space="0" w:color="auto"/>
            </w:tcBorders>
            <w:shd w:val="clear" w:color="auto" w:fill="auto"/>
            <w:hideMark/>
          </w:tcPr>
          <w:p w14:paraId="2F0F6F07"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7E233C3A"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r>
      <w:tr w:rsidR="000A1AD9" w:rsidRPr="000A1AD9" w14:paraId="256E9C78" w14:textId="77777777" w:rsidTr="008E0319">
        <w:trPr>
          <w:trHeight w:val="315"/>
        </w:trPr>
        <w:tc>
          <w:tcPr>
            <w:tcW w:w="194" w:type="pct"/>
            <w:tcBorders>
              <w:top w:val="nil"/>
              <w:left w:val="single" w:sz="4" w:space="0" w:color="auto"/>
              <w:bottom w:val="single" w:sz="4" w:space="0" w:color="auto"/>
              <w:right w:val="single" w:sz="4" w:space="0" w:color="auto"/>
            </w:tcBorders>
            <w:shd w:val="clear" w:color="000000" w:fill="DDEBF7"/>
            <w:hideMark/>
          </w:tcPr>
          <w:p w14:paraId="796BACA9" w14:textId="77777777" w:rsidR="000A1AD9" w:rsidRPr="000A1AD9" w:rsidRDefault="000A1AD9" w:rsidP="000A1AD9">
            <w:pPr>
              <w:spacing w:after="0" w:line="240" w:lineRule="auto"/>
              <w:jc w:val="center"/>
              <w:rPr>
                <w:rFonts w:ascii="Calibri" w:eastAsia="Times New Roman" w:hAnsi="Calibri" w:cs="Calibri"/>
                <w:b/>
                <w:bCs/>
                <w:color w:val="000000"/>
                <w:sz w:val="24"/>
                <w:szCs w:val="24"/>
                <w:lang w:val="en-GB" w:eastAsia="en-GB"/>
              </w:rPr>
            </w:pPr>
            <w:r w:rsidRPr="000A1AD9">
              <w:rPr>
                <w:rFonts w:ascii="Calibri" w:eastAsia="Times New Roman" w:hAnsi="Calibri" w:cs="Calibri"/>
                <w:b/>
                <w:bCs/>
                <w:color w:val="000000"/>
                <w:sz w:val="24"/>
                <w:szCs w:val="24"/>
                <w:lang w:val="en-GB" w:eastAsia="en-GB"/>
              </w:rPr>
              <w:t>H</w:t>
            </w:r>
          </w:p>
        </w:tc>
        <w:tc>
          <w:tcPr>
            <w:tcW w:w="2637" w:type="pct"/>
            <w:tcBorders>
              <w:top w:val="nil"/>
              <w:left w:val="nil"/>
              <w:bottom w:val="single" w:sz="4" w:space="0" w:color="auto"/>
              <w:right w:val="single" w:sz="4" w:space="0" w:color="auto"/>
            </w:tcBorders>
            <w:shd w:val="clear" w:color="000000" w:fill="DDEBF7"/>
            <w:hideMark/>
          </w:tcPr>
          <w:p w14:paraId="32CBD238" w14:textId="77777777" w:rsidR="000A1AD9" w:rsidRPr="000A1AD9" w:rsidRDefault="000A1AD9" w:rsidP="000A1AD9">
            <w:pPr>
              <w:spacing w:after="0" w:line="240" w:lineRule="auto"/>
              <w:rPr>
                <w:rFonts w:ascii="Calibri" w:eastAsia="Times New Roman" w:hAnsi="Calibri" w:cs="Calibri"/>
                <w:b/>
                <w:bCs/>
                <w:sz w:val="24"/>
                <w:szCs w:val="24"/>
                <w:lang w:val="en-GB" w:eastAsia="en-GB"/>
              </w:rPr>
            </w:pPr>
            <w:r w:rsidRPr="000A1AD9">
              <w:rPr>
                <w:rFonts w:ascii="Calibri" w:eastAsia="Times New Roman" w:hAnsi="Calibri" w:cs="Calibri"/>
                <w:b/>
                <w:bCs/>
                <w:sz w:val="24"/>
                <w:szCs w:val="24"/>
                <w:lang w:val="en-GB" w:eastAsia="en-GB"/>
              </w:rPr>
              <w:t>Integration with Access Control Systems</w:t>
            </w:r>
          </w:p>
        </w:tc>
        <w:tc>
          <w:tcPr>
            <w:tcW w:w="858" w:type="pct"/>
            <w:tcBorders>
              <w:top w:val="nil"/>
              <w:left w:val="nil"/>
              <w:bottom w:val="single" w:sz="4" w:space="0" w:color="auto"/>
              <w:right w:val="single" w:sz="4" w:space="0" w:color="auto"/>
            </w:tcBorders>
            <w:shd w:val="clear" w:color="auto" w:fill="auto"/>
            <w:hideMark/>
          </w:tcPr>
          <w:p w14:paraId="504C8DE0"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23EBBAEB"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r>
      <w:tr w:rsidR="000A1AD9" w:rsidRPr="000A1AD9" w14:paraId="756AF028" w14:textId="77777777" w:rsidTr="008E0319">
        <w:trPr>
          <w:trHeight w:val="315"/>
        </w:trPr>
        <w:tc>
          <w:tcPr>
            <w:tcW w:w="194" w:type="pct"/>
            <w:tcBorders>
              <w:top w:val="nil"/>
              <w:left w:val="single" w:sz="4" w:space="0" w:color="auto"/>
              <w:bottom w:val="single" w:sz="4" w:space="0" w:color="auto"/>
              <w:right w:val="single" w:sz="4" w:space="0" w:color="auto"/>
            </w:tcBorders>
            <w:shd w:val="clear" w:color="auto" w:fill="auto"/>
            <w:hideMark/>
          </w:tcPr>
          <w:p w14:paraId="1F756BEE"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18</w:t>
            </w:r>
          </w:p>
        </w:tc>
        <w:tc>
          <w:tcPr>
            <w:tcW w:w="2637" w:type="pct"/>
            <w:tcBorders>
              <w:top w:val="nil"/>
              <w:left w:val="nil"/>
              <w:bottom w:val="single" w:sz="4" w:space="0" w:color="auto"/>
              <w:right w:val="single" w:sz="4" w:space="0" w:color="auto"/>
            </w:tcBorders>
            <w:shd w:val="clear" w:color="auto" w:fill="auto"/>
            <w:hideMark/>
          </w:tcPr>
          <w:p w14:paraId="76BA561C"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The solution must be able to integrate with existing access control systems to enforce data access based on classification levels.</w:t>
            </w:r>
          </w:p>
        </w:tc>
        <w:tc>
          <w:tcPr>
            <w:tcW w:w="858" w:type="pct"/>
            <w:tcBorders>
              <w:top w:val="nil"/>
              <w:left w:val="nil"/>
              <w:bottom w:val="single" w:sz="4" w:space="0" w:color="auto"/>
              <w:right w:val="single" w:sz="4" w:space="0" w:color="auto"/>
            </w:tcBorders>
            <w:shd w:val="clear" w:color="auto" w:fill="auto"/>
            <w:hideMark/>
          </w:tcPr>
          <w:p w14:paraId="65866967"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708690B9"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r>
      <w:tr w:rsidR="000A1AD9" w:rsidRPr="000A1AD9" w14:paraId="7CB0727F" w14:textId="77777777" w:rsidTr="008E0319">
        <w:trPr>
          <w:trHeight w:val="315"/>
        </w:trPr>
        <w:tc>
          <w:tcPr>
            <w:tcW w:w="194" w:type="pct"/>
            <w:tcBorders>
              <w:top w:val="nil"/>
              <w:left w:val="single" w:sz="4" w:space="0" w:color="auto"/>
              <w:bottom w:val="single" w:sz="4" w:space="0" w:color="auto"/>
              <w:right w:val="single" w:sz="4" w:space="0" w:color="auto"/>
            </w:tcBorders>
            <w:shd w:val="clear" w:color="auto" w:fill="auto"/>
            <w:hideMark/>
          </w:tcPr>
          <w:p w14:paraId="228C1E8D"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19</w:t>
            </w:r>
          </w:p>
        </w:tc>
        <w:tc>
          <w:tcPr>
            <w:tcW w:w="2637" w:type="pct"/>
            <w:tcBorders>
              <w:top w:val="nil"/>
              <w:left w:val="nil"/>
              <w:bottom w:val="single" w:sz="4" w:space="0" w:color="auto"/>
              <w:right w:val="single" w:sz="4" w:space="0" w:color="auto"/>
            </w:tcBorders>
            <w:shd w:val="clear" w:color="auto" w:fill="auto"/>
            <w:hideMark/>
          </w:tcPr>
          <w:p w14:paraId="747CCFFA"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It should support the automatic application of security controls (e.g., encryption, access restrictions) based on data classification.</w:t>
            </w:r>
          </w:p>
        </w:tc>
        <w:tc>
          <w:tcPr>
            <w:tcW w:w="858" w:type="pct"/>
            <w:tcBorders>
              <w:top w:val="nil"/>
              <w:left w:val="nil"/>
              <w:bottom w:val="single" w:sz="4" w:space="0" w:color="auto"/>
              <w:right w:val="single" w:sz="4" w:space="0" w:color="auto"/>
            </w:tcBorders>
            <w:shd w:val="clear" w:color="auto" w:fill="auto"/>
            <w:hideMark/>
          </w:tcPr>
          <w:p w14:paraId="734391F8"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0243C385"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r>
      <w:tr w:rsidR="000A1AD9" w:rsidRPr="000A1AD9" w14:paraId="40AD6740" w14:textId="77777777" w:rsidTr="008E0319">
        <w:trPr>
          <w:trHeight w:val="315"/>
        </w:trPr>
        <w:tc>
          <w:tcPr>
            <w:tcW w:w="194" w:type="pct"/>
            <w:tcBorders>
              <w:top w:val="nil"/>
              <w:left w:val="single" w:sz="4" w:space="0" w:color="auto"/>
              <w:bottom w:val="single" w:sz="4" w:space="0" w:color="auto"/>
              <w:right w:val="single" w:sz="4" w:space="0" w:color="auto"/>
            </w:tcBorders>
            <w:shd w:val="clear" w:color="000000" w:fill="DDEBF7"/>
            <w:hideMark/>
          </w:tcPr>
          <w:p w14:paraId="18256049" w14:textId="77777777" w:rsidR="000A1AD9" w:rsidRPr="000A1AD9" w:rsidRDefault="000A1AD9" w:rsidP="000A1AD9">
            <w:pPr>
              <w:spacing w:after="0" w:line="240" w:lineRule="auto"/>
              <w:jc w:val="center"/>
              <w:rPr>
                <w:rFonts w:ascii="Calibri" w:eastAsia="Times New Roman" w:hAnsi="Calibri" w:cs="Calibri"/>
                <w:b/>
                <w:bCs/>
                <w:color w:val="000000"/>
                <w:sz w:val="24"/>
                <w:szCs w:val="24"/>
                <w:lang w:val="en-GB" w:eastAsia="en-GB"/>
              </w:rPr>
            </w:pPr>
            <w:r w:rsidRPr="000A1AD9">
              <w:rPr>
                <w:rFonts w:ascii="Calibri" w:eastAsia="Times New Roman" w:hAnsi="Calibri" w:cs="Calibri"/>
                <w:b/>
                <w:bCs/>
                <w:color w:val="000000"/>
                <w:sz w:val="24"/>
                <w:szCs w:val="24"/>
                <w:lang w:val="en-GB" w:eastAsia="en-GB"/>
              </w:rPr>
              <w:t>I</w:t>
            </w:r>
          </w:p>
        </w:tc>
        <w:tc>
          <w:tcPr>
            <w:tcW w:w="2637" w:type="pct"/>
            <w:tcBorders>
              <w:top w:val="nil"/>
              <w:left w:val="nil"/>
              <w:bottom w:val="single" w:sz="4" w:space="0" w:color="auto"/>
              <w:right w:val="single" w:sz="4" w:space="0" w:color="auto"/>
            </w:tcBorders>
            <w:shd w:val="clear" w:color="000000" w:fill="DDEBF7"/>
            <w:hideMark/>
          </w:tcPr>
          <w:p w14:paraId="6CEB9B85" w14:textId="77777777" w:rsidR="000A1AD9" w:rsidRPr="000A1AD9" w:rsidRDefault="000A1AD9" w:rsidP="000A1AD9">
            <w:pPr>
              <w:spacing w:after="0" w:line="240" w:lineRule="auto"/>
              <w:rPr>
                <w:rFonts w:ascii="Calibri" w:eastAsia="Times New Roman" w:hAnsi="Calibri" w:cs="Calibri"/>
                <w:b/>
                <w:bCs/>
                <w:sz w:val="24"/>
                <w:szCs w:val="24"/>
                <w:lang w:val="en-GB" w:eastAsia="en-GB"/>
              </w:rPr>
            </w:pPr>
            <w:r w:rsidRPr="000A1AD9">
              <w:rPr>
                <w:rFonts w:ascii="Calibri" w:eastAsia="Times New Roman" w:hAnsi="Calibri" w:cs="Calibri"/>
                <w:b/>
                <w:bCs/>
                <w:sz w:val="24"/>
                <w:szCs w:val="24"/>
                <w:lang w:val="en-GB" w:eastAsia="en-GB"/>
              </w:rPr>
              <w:t>Audit and Reporting</w:t>
            </w:r>
          </w:p>
        </w:tc>
        <w:tc>
          <w:tcPr>
            <w:tcW w:w="858" w:type="pct"/>
            <w:tcBorders>
              <w:top w:val="nil"/>
              <w:left w:val="nil"/>
              <w:bottom w:val="single" w:sz="4" w:space="0" w:color="auto"/>
              <w:right w:val="single" w:sz="4" w:space="0" w:color="auto"/>
            </w:tcBorders>
            <w:shd w:val="clear" w:color="auto" w:fill="auto"/>
            <w:hideMark/>
          </w:tcPr>
          <w:p w14:paraId="25BA36B4"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73D154C1"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r>
      <w:tr w:rsidR="000A1AD9" w:rsidRPr="000A1AD9" w14:paraId="59655AEC" w14:textId="77777777" w:rsidTr="008E0319">
        <w:trPr>
          <w:trHeight w:val="510"/>
        </w:trPr>
        <w:tc>
          <w:tcPr>
            <w:tcW w:w="194" w:type="pct"/>
            <w:tcBorders>
              <w:top w:val="nil"/>
              <w:left w:val="single" w:sz="4" w:space="0" w:color="auto"/>
              <w:bottom w:val="single" w:sz="4" w:space="0" w:color="auto"/>
              <w:right w:val="single" w:sz="4" w:space="0" w:color="auto"/>
            </w:tcBorders>
            <w:shd w:val="clear" w:color="auto" w:fill="auto"/>
            <w:hideMark/>
          </w:tcPr>
          <w:p w14:paraId="575ED4E5"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20</w:t>
            </w:r>
          </w:p>
        </w:tc>
        <w:tc>
          <w:tcPr>
            <w:tcW w:w="2637" w:type="pct"/>
            <w:tcBorders>
              <w:top w:val="nil"/>
              <w:left w:val="nil"/>
              <w:bottom w:val="single" w:sz="4" w:space="0" w:color="auto"/>
              <w:right w:val="single" w:sz="4" w:space="0" w:color="auto"/>
            </w:tcBorders>
            <w:shd w:val="clear" w:color="auto" w:fill="auto"/>
            <w:hideMark/>
          </w:tcPr>
          <w:p w14:paraId="6C1A3C71"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The system must maintain a detailed audit trail of all classification activities, including automated classifications and manual overrides.</w:t>
            </w:r>
          </w:p>
        </w:tc>
        <w:tc>
          <w:tcPr>
            <w:tcW w:w="858" w:type="pct"/>
            <w:tcBorders>
              <w:top w:val="nil"/>
              <w:left w:val="nil"/>
              <w:bottom w:val="single" w:sz="4" w:space="0" w:color="auto"/>
              <w:right w:val="single" w:sz="4" w:space="0" w:color="auto"/>
            </w:tcBorders>
            <w:shd w:val="clear" w:color="auto" w:fill="auto"/>
            <w:hideMark/>
          </w:tcPr>
          <w:p w14:paraId="458DA06E"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65506CA8"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r>
      <w:tr w:rsidR="000A1AD9" w:rsidRPr="000A1AD9" w14:paraId="5802866C" w14:textId="77777777" w:rsidTr="008E0319">
        <w:trPr>
          <w:trHeight w:val="510"/>
        </w:trPr>
        <w:tc>
          <w:tcPr>
            <w:tcW w:w="194" w:type="pct"/>
            <w:tcBorders>
              <w:top w:val="nil"/>
              <w:left w:val="single" w:sz="4" w:space="0" w:color="auto"/>
              <w:bottom w:val="single" w:sz="4" w:space="0" w:color="auto"/>
              <w:right w:val="single" w:sz="4" w:space="0" w:color="auto"/>
            </w:tcBorders>
            <w:shd w:val="clear" w:color="auto" w:fill="auto"/>
            <w:hideMark/>
          </w:tcPr>
          <w:p w14:paraId="205DED2C"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21</w:t>
            </w:r>
          </w:p>
        </w:tc>
        <w:tc>
          <w:tcPr>
            <w:tcW w:w="2637" w:type="pct"/>
            <w:tcBorders>
              <w:top w:val="nil"/>
              <w:left w:val="nil"/>
              <w:bottom w:val="single" w:sz="4" w:space="0" w:color="auto"/>
              <w:right w:val="single" w:sz="4" w:space="0" w:color="auto"/>
            </w:tcBorders>
            <w:shd w:val="clear" w:color="auto" w:fill="auto"/>
            <w:hideMark/>
          </w:tcPr>
          <w:p w14:paraId="4E6077DE"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It should offer customizable reports on data classification status, distribution of data across classification levels, and potential misclassifications.</w:t>
            </w:r>
          </w:p>
        </w:tc>
        <w:tc>
          <w:tcPr>
            <w:tcW w:w="858" w:type="pct"/>
            <w:tcBorders>
              <w:top w:val="nil"/>
              <w:left w:val="nil"/>
              <w:bottom w:val="single" w:sz="4" w:space="0" w:color="auto"/>
              <w:right w:val="single" w:sz="4" w:space="0" w:color="auto"/>
            </w:tcBorders>
            <w:shd w:val="clear" w:color="auto" w:fill="auto"/>
            <w:hideMark/>
          </w:tcPr>
          <w:p w14:paraId="65E3530B"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5CF5AD34"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r>
      <w:tr w:rsidR="000A1AD9" w:rsidRPr="000A1AD9" w14:paraId="58B66A2A" w14:textId="77777777" w:rsidTr="008E0319">
        <w:trPr>
          <w:trHeight w:val="315"/>
        </w:trPr>
        <w:tc>
          <w:tcPr>
            <w:tcW w:w="194" w:type="pct"/>
            <w:tcBorders>
              <w:top w:val="nil"/>
              <w:left w:val="single" w:sz="4" w:space="0" w:color="auto"/>
              <w:bottom w:val="single" w:sz="4" w:space="0" w:color="auto"/>
              <w:right w:val="single" w:sz="4" w:space="0" w:color="auto"/>
            </w:tcBorders>
            <w:shd w:val="clear" w:color="000000" w:fill="DDEBF7"/>
            <w:hideMark/>
          </w:tcPr>
          <w:p w14:paraId="73EBB19A" w14:textId="77777777" w:rsidR="000A1AD9" w:rsidRPr="000A1AD9" w:rsidRDefault="000A1AD9" w:rsidP="000A1AD9">
            <w:pPr>
              <w:spacing w:after="0" w:line="240" w:lineRule="auto"/>
              <w:jc w:val="center"/>
              <w:rPr>
                <w:rFonts w:ascii="Calibri" w:eastAsia="Times New Roman" w:hAnsi="Calibri" w:cs="Calibri"/>
                <w:b/>
                <w:bCs/>
                <w:color w:val="000000"/>
                <w:sz w:val="24"/>
                <w:szCs w:val="24"/>
                <w:lang w:val="en-GB" w:eastAsia="en-GB"/>
              </w:rPr>
            </w:pPr>
            <w:r w:rsidRPr="000A1AD9">
              <w:rPr>
                <w:rFonts w:ascii="Calibri" w:eastAsia="Times New Roman" w:hAnsi="Calibri" w:cs="Calibri"/>
                <w:b/>
                <w:bCs/>
                <w:color w:val="000000"/>
                <w:sz w:val="24"/>
                <w:szCs w:val="24"/>
                <w:lang w:val="en-GB" w:eastAsia="en-GB"/>
              </w:rPr>
              <w:t>J</w:t>
            </w:r>
          </w:p>
        </w:tc>
        <w:tc>
          <w:tcPr>
            <w:tcW w:w="2637" w:type="pct"/>
            <w:tcBorders>
              <w:top w:val="nil"/>
              <w:left w:val="nil"/>
              <w:bottom w:val="single" w:sz="4" w:space="0" w:color="auto"/>
              <w:right w:val="single" w:sz="4" w:space="0" w:color="auto"/>
            </w:tcBorders>
            <w:shd w:val="clear" w:color="000000" w:fill="DDEBF7"/>
            <w:hideMark/>
          </w:tcPr>
          <w:p w14:paraId="34094F04" w14:textId="77777777" w:rsidR="000A1AD9" w:rsidRPr="000A1AD9" w:rsidRDefault="000A1AD9" w:rsidP="000A1AD9">
            <w:pPr>
              <w:spacing w:after="0" w:line="240" w:lineRule="auto"/>
              <w:rPr>
                <w:rFonts w:ascii="Calibri" w:eastAsia="Times New Roman" w:hAnsi="Calibri" w:cs="Calibri"/>
                <w:b/>
                <w:bCs/>
                <w:sz w:val="24"/>
                <w:szCs w:val="24"/>
                <w:lang w:val="en-GB" w:eastAsia="en-GB"/>
              </w:rPr>
            </w:pPr>
            <w:r w:rsidRPr="000A1AD9">
              <w:rPr>
                <w:rFonts w:ascii="Calibri" w:eastAsia="Times New Roman" w:hAnsi="Calibri" w:cs="Calibri"/>
                <w:b/>
                <w:bCs/>
                <w:sz w:val="24"/>
                <w:szCs w:val="24"/>
                <w:lang w:val="en-GB" w:eastAsia="en-GB"/>
              </w:rPr>
              <w:t>Continuous Monitoring and Reclassification</w:t>
            </w:r>
          </w:p>
        </w:tc>
        <w:tc>
          <w:tcPr>
            <w:tcW w:w="858" w:type="pct"/>
            <w:tcBorders>
              <w:top w:val="nil"/>
              <w:left w:val="nil"/>
              <w:bottom w:val="single" w:sz="4" w:space="0" w:color="auto"/>
              <w:right w:val="single" w:sz="4" w:space="0" w:color="auto"/>
            </w:tcBorders>
            <w:shd w:val="clear" w:color="auto" w:fill="auto"/>
            <w:hideMark/>
          </w:tcPr>
          <w:p w14:paraId="64291FD9"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18B7A80B"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r>
      <w:tr w:rsidR="000A1AD9" w:rsidRPr="000A1AD9" w14:paraId="355D5F2C" w14:textId="77777777" w:rsidTr="008E0319">
        <w:trPr>
          <w:trHeight w:val="510"/>
        </w:trPr>
        <w:tc>
          <w:tcPr>
            <w:tcW w:w="194" w:type="pct"/>
            <w:tcBorders>
              <w:top w:val="nil"/>
              <w:left w:val="single" w:sz="4" w:space="0" w:color="auto"/>
              <w:bottom w:val="single" w:sz="4" w:space="0" w:color="auto"/>
              <w:right w:val="single" w:sz="4" w:space="0" w:color="auto"/>
            </w:tcBorders>
            <w:shd w:val="clear" w:color="auto" w:fill="auto"/>
            <w:hideMark/>
          </w:tcPr>
          <w:p w14:paraId="6913A1A0"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22</w:t>
            </w:r>
          </w:p>
        </w:tc>
        <w:tc>
          <w:tcPr>
            <w:tcW w:w="2637" w:type="pct"/>
            <w:tcBorders>
              <w:top w:val="nil"/>
              <w:left w:val="nil"/>
              <w:bottom w:val="single" w:sz="4" w:space="0" w:color="auto"/>
              <w:right w:val="single" w:sz="4" w:space="0" w:color="auto"/>
            </w:tcBorders>
            <w:shd w:val="clear" w:color="auto" w:fill="auto"/>
            <w:hideMark/>
          </w:tcPr>
          <w:p w14:paraId="312C6532"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The platform should continuously monitor classified data for changes that might affect its classification status preferably with AI-driven predictive analysis to foresee potential classification changes.</w:t>
            </w:r>
          </w:p>
        </w:tc>
        <w:tc>
          <w:tcPr>
            <w:tcW w:w="858" w:type="pct"/>
            <w:tcBorders>
              <w:top w:val="nil"/>
              <w:left w:val="nil"/>
              <w:bottom w:val="single" w:sz="4" w:space="0" w:color="auto"/>
              <w:right w:val="single" w:sz="4" w:space="0" w:color="auto"/>
            </w:tcBorders>
            <w:shd w:val="clear" w:color="auto" w:fill="auto"/>
            <w:hideMark/>
          </w:tcPr>
          <w:p w14:paraId="0F33027D"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32F3284A"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r>
      <w:tr w:rsidR="000A1AD9" w:rsidRPr="000A1AD9" w14:paraId="0013752F" w14:textId="77777777" w:rsidTr="008E0319">
        <w:trPr>
          <w:trHeight w:val="315"/>
        </w:trPr>
        <w:tc>
          <w:tcPr>
            <w:tcW w:w="194" w:type="pct"/>
            <w:tcBorders>
              <w:top w:val="nil"/>
              <w:left w:val="single" w:sz="4" w:space="0" w:color="auto"/>
              <w:bottom w:val="single" w:sz="4" w:space="0" w:color="auto"/>
              <w:right w:val="single" w:sz="4" w:space="0" w:color="auto"/>
            </w:tcBorders>
            <w:shd w:val="clear" w:color="auto" w:fill="auto"/>
            <w:hideMark/>
          </w:tcPr>
          <w:p w14:paraId="5A18EEFA"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23</w:t>
            </w:r>
          </w:p>
        </w:tc>
        <w:tc>
          <w:tcPr>
            <w:tcW w:w="2637" w:type="pct"/>
            <w:tcBorders>
              <w:top w:val="nil"/>
              <w:left w:val="nil"/>
              <w:bottom w:val="single" w:sz="4" w:space="0" w:color="auto"/>
              <w:right w:val="single" w:sz="4" w:space="0" w:color="auto"/>
            </w:tcBorders>
            <w:shd w:val="clear" w:color="auto" w:fill="auto"/>
            <w:hideMark/>
          </w:tcPr>
          <w:p w14:paraId="0994DE6A"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It must support automated reclassification based on predefined rules or changes in data content or context.</w:t>
            </w:r>
          </w:p>
        </w:tc>
        <w:tc>
          <w:tcPr>
            <w:tcW w:w="858" w:type="pct"/>
            <w:tcBorders>
              <w:top w:val="nil"/>
              <w:left w:val="nil"/>
              <w:bottom w:val="single" w:sz="4" w:space="0" w:color="auto"/>
              <w:right w:val="single" w:sz="4" w:space="0" w:color="auto"/>
            </w:tcBorders>
            <w:shd w:val="clear" w:color="auto" w:fill="auto"/>
            <w:hideMark/>
          </w:tcPr>
          <w:p w14:paraId="2F254A12"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44976BE8"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r>
      <w:tr w:rsidR="000A1AD9" w:rsidRPr="000A1AD9" w14:paraId="30A4BD2D" w14:textId="77777777" w:rsidTr="008E0319">
        <w:trPr>
          <w:trHeight w:val="315"/>
        </w:trPr>
        <w:tc>
          <w:tcPr>
            <w:tcW w:w="194" w:type="pct"/>
            <w:tcBorders>
              <w:top w:val="nil"/>
              <w:left w:val="single" w:sz="4" w:space="0" w:color="auto"/>
              <w:bottom w:val="single" w:sz="4" w:space="0" w:color="auto"/>
              <w:right w:val="single" w:sz="4" w:space="0" w:color="auto"/>
            </w:tcBorders>
            <w:shd w:val="clear" w:color="000000" w:fill="DDEBF7"/>
            <w:hideMark/>
          </w:tcPr>
          <w:p w14:paraId="05832DA5" w14:textId="77777777" w:rsidR="000A1AD9" w:rsidRPr="000A1AD9" w:rsidRDefault="000A1AD9" w:rsidP="000A1AD9">
            <w:pPr>
              <w:spacing w:after="0" w:line="240" w:lineRule="auto"/>
              <w:jc w:val="center"/>
              <w:rPr>
                <w:rFonts w:ascii="Calibri" w:eastAsia="Times New Roman" w:hAnsi="Calibri" w:cs="Calibri"/>
                <w:b/>
                <w:bCs/>
                <w:color w:val="000000"/>
                <w:sz w:val="24"/>
                <w:szCs w:val="24"/>
                <w:lang w:val="en-GB" w:eastAsia="en-GB"/>
              </w:rPr>
            </w:pPr>
            <w:r w:rsidRPr="000A1AD9">
              <w:rPr>
                <w:rFonts w:ascii="Calibri" w:eastAsia="Times New Roman" w:hAnsi="Calibri" w:cs="Calibri"/>
                <w:b/>
                <w:bCs/>
                <w:color w:val="000000"/>
                <w:sz w:val="24"/>
                <w:szCs w:val="24"/>
                <w:lang w:val="en-GB" w:eastAsia="en-GB"/>
              </w:rPr>
              <w:t>K</w:t>
            </w:r>
          </w:p>
        </w:tc>
        <w:tc>
          <w:tcPr>
            <w:tcW w:w="2637" w:type="pct"/>
            <w:tcBorders>
              <w:top w:val="nil"/>
              <w:left w:val="nil"/>
              <w:bottom w:val="single" w:sz="4" w:space="0" w:color="auto"/>
              <w:right w:val="single" w:sz="4" w:space="0" w:color="auto"/>
            </w:tcBorders>
            <w:shd w:val="clear" w:color="000000" w:fill="DDEBF7"/>
            <w:hideMark/>
          </w:tcPr>
          <w:p w14:paraId="147AD4CF" w14:textId="77777777" w:rsidR="000A1AD9" w:rsidRPr="000A1AD9" w:rsidRDefault="000A1AD9" w:rsidP="000A1AD9">
            <w:pPr>
              <w:spacing w:after="0" w:line="240" w:lineRule="auto"/>
              <w:rPr>
                <w:rFonts w:ascii="Calibri" w:eastAsia="Times New Roman" w:hAnsi="Calibri" w:cs="Calibri"/>
                <w:b/>
                <w:bCs/>
                <w:sz w:val="24"/>
                <w:szCs w:val="24"/>
                <w:lang w:val="en-GB" w:eastAsia="en-GB"/>
              </w:rPr>
            </w:pPr>
            <w:r w:rsidRPr="000A1AD9">
              <w:rPr>
                <w:rFonts w:ascii="Calibri" w:eastAsia="Times New Roman" w:hAnsi="Calibri" w:cs="Calibri"/>
                <w:b/>
                <w:bCs/>
                <w:sz w:val="24"/>
                <w:szCs w:val="24"/>
                <w:lang w:val="en-GB" w:eastAsia="en-GB"/>
              </w:rPr>
              <w:t>Data Visualization</w:t>
            </w:r>
          </w:p>
        </w:tc>
        <w:tc>
          <w:tcPr>
            <w:tcW w:w="858" w:type="pct"/>
            <w:tcBorders>
              <w:top w:val="nil"/>
              <w:left w:val="nil"/>
              <w:bottom w:val="single" w:sz="4" w:space="0" w:color="auto"/>
              <w:right w:val="single" w:sz="4" w:space="0" w:color="auto"/>
            </w:tcBorders>
            <w:shd w:val="clear" w:color="auto" w:fill="auto"/>
            <w:hideMark/>
          </w:tcPr>
          <w:p w14:paraId="4742BD5E"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6667A152"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r>
      <w:tr w:rsidR="000A1AD9" w:rsidRPr="000A1AD9" w14:paraId="1A5A7969" w14:textId="77777777" w:rsidTr="008E0319">
        <w:trPr>
          <w:trHeight w:val="315"/>
        </w:trPr>
        <w:tc>
          <w:tcPr>
            <w:tcW w:w="194" w:type="pct"/>
            <w:tcBorders>
              <w:top w:val="nil"/>
              <w:left w:val="single" w:sz="4" w:space="0" w:color="auto"/>
              <w:bottom w:val="single" w:sz="4" w:space="0" w:color="auto"/>
              <w:right w:val="single" w:sz="4" w:space="0" w:color="auto"/>
            </w:tcBorders>
            <w:shd w:val="clear" w:color="auto" w:fill="auto"/>
            <w:hideMark/>
          </w:tcPr>
          <w:p w14:paraId="3AFA40E3"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24</w:t>
            </w:r>
          </w:p>
        </w:tc>
        <w:tc>
          <w:tcPr>
            <w:tcW w:w="2637" w:type="pct"/>
            <w:tcBorders>
              <w:top w:val="nil"/>
              <w:left w:val="nil"/>
              <w:bottom w:val="single" w:sz="4" w:space="0" w:color="auto"/>
              <w:right w:val="single" w:sz="4" w:space="0" w:color="auto"/>
            </w:tcBorders>
            <w:shd w:val="clear" w:color="auto" w:fill="auto"/>
            <w:hideMark/>
          </w:tcPr>
          <w:p w14:paraId="2D9820A1"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The solution should provide visual representations of classified data distribution across the organization's environment.</w:t>
            </w:r>
          </w:p>
        </w:tc>
        <w:tc>
          <w:tcPr>
            <w:tcW w:w="858" w:type="pct"/>
            <w:tcBorders>
              <w:top w:val="nil"/>
              <w:left w:val="nil"/>
              <w:bottom w:val="single" w:sz="4" w:space="0" w:color="auto"/>
              <w:right w:val="single" w:sz="4" w:space="0" w:color="auto"/>
            </w:tcBorders>
            <w:shd w:val="clear" w:color="auto" w:fill="auto"/>
            <w:hideMark/>
          </w:tcPr>
          <w:p w14:paraId="40288400"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6D5CC0B9"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r>
      <w:tr w:rsidR="000A1AD9" w:rsidRPr="000A1AD9" w14:paraId="69492E86" w14:textId="77777777" w:rsidTr="008E0319">
        <w:trPr>
          <w:trHeight w:val="315"/>
        </w:trPr>
        <w:tc>
          <w:tcPr>
            <w:tcW w:w="194" w:type="pct"/>
            <w:tcBorders>
              <w:top w:val="nil"/>
              <w:left w:val="single" w:sz="4" w:space="0" w:color="auto"/>
              <w:bottom w:val="single" w:sz="4" w:space="0" w:color="auto"/>
              <w:right w:val="single" w:sz="4" w:space="0" w:color="auto"/>
            </w:tcBorders>
            <w:shd w:val="clear" w:color="auto" w:fill="auto"/>
            <w:hideMark/>
          </w:tcPr>
          <w:p w14:paraId="1BF082E5"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25</w:t>
            </w:r>
          </w:p>
        </w:tc>
        <w:tc>
          <w:tcPr>
            <w:tcW w:w="2637" w:type="pct"/>
            <w:tcBorders>
              <w:top w:val="nil"/>
              <w:left w:val="nil"/>
              <w:bottom w:val="single" w:sz="4" w:space="0" w:color="auto"/>
              <w:right w:val="single" w:sz="4" w:space="0" w:color="auto"/>
            </w:tcBorders>
            <w:shd w:val="clear" w:color="auto" w:fill="auto"/>
            <w:hideMark/>
          </w:tcPr>
          <w:p w14:paraId="74DA452F"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It must offer interactive dashboards to help stakeholders understand the overall data classification landscape.</w:t>
            </w:r>
          </w:p>
        </w:tc>
        <w:tc>
          <w:tcPr>
            <w:tcW w:w="858" w:type="pct"/>
            <w:tcBorders>
              <w:top w:val="nil"/>
              <w:left w:val="nil"/>
              <w:bottom w:val="single" w:sz="4" w:space="0" w:color="auto"/>
              <w:right w:val="single" w:sz="4" w:space="0" w:color="auto"/>
            </w:tcBorders>
            <w:shd w:val="clear" w:color="auto" w:fill="auto"/>
            <w:hideMark/>
          </w:tcPr>
          <w:p w14:paraId="749D0C8A"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47F6FCB3"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r>
      <w:tr w:rsidR="000A1AD9" w:rsidRPr="000A1AD9" w14:paraId="19AC9171" w14:textId="77777777" w:rsidTr="008E0319">
        <w:trPr>
          <w:trHeight w:val="315"/>
        </w:trPr>
        <w:tc>
          <w:tcPr>
            <w:tcW w:w="194" w:type="pct"/>
            <w:tcBorders>
              <w:top w:val="nil"/>
              <w:left w:val="single" w:sz="4" w:space="0" w:color="auto"/>
              <w:bottom w:val="single" w:sz="4" w:space="0" w:color="auto"/>
              <w:right w:val="single" w:sz="4" w:space="0" w:color="auto"/>
            </w:tcBorders>
            <w:shd w:val="clear" w:color="auto" w:fill="auto"/>
            <w:hideMark/>
          </w:tcPr>
          <w:p w14:paraId="378AC02B"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26</w:t>
            </w:r>
          </w:p>
        </w:tc>
        <w:tc>
          <w:tcPr>
            <w:tcW w:w="2637" w:type="pct"/>
            <w:tcBorders>
              <w:top w:val="nil"/>
              <w:left w:val="nil"/>
              <w:bottom w:val="single" w:sz="4" w:space="0" w:color="auto"/>
              <w:right w:val="single" w:sz="4" w:space="0" w:color="auto"/>
            </w:tcBorders>
            <w:shd w:val="clear" w:color="auto" w:fill="auto"/>
            <w:hideMark/>
          </w:tcPr>
          <w:p w14:paraId="60FB0444"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The solution should provide options to display both graphical visualization as well as a statistical visualization of the data maps</w:t>
            </w:r>
          </w:p>
        </w:tc>
        <w:tc>
          <w:tcPr>
            <w:tcW w:w="858" w:type="pct"/>
            <w:tcBorders>
              <w:top w:val="nil"/>
              <w:left w:val="nil"/>
              <w:bottom w:val="single" w:sz="4" w:space="0" w:color="auto"/>
              <w:right w:val="single" w:sz="4" w:space="0" w:color="auto"/>
            </w:tcBorders>
            <w:shd w:val="clear" w:color="auto" w:fill="auto"/>
            <w:hideMark/>
          </w:tcPr>
          <w:p w14:paraId="18DF8BF5"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5308F505"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r>
      <w:tr w:rsidR="000A1AD9" w:rsidRPr="000A1AD9" w14:paraId="60C85D0B" w14:textId="77777777" w:rsidTr="008E0319">
        <w:trPr>
          <w:trHeight w:val="315"/>
        </w:trPr>
        <w:tc>
          <w:tcPr>
            <w:tcW w:w="194" w:type="pct"/>
            <w:tcBorders>
              <w:top w:val="nil"/>
              <w:left w:val="single" w:sz="4" w:space="0" w:color="auto"/>
              <w:bottom w:val="single" w:sz="4" w:space="0" w:color="auto"/>
              <w:right w:val="single" w:sz="4" w:space="0" w:color="auto"/>
            </w:tcBorders>
            <w:shd w:val="clear" w:color="000000" w:fill="DDEBF7"/>
            <w:hideMark/>
          </w:tcPr>
          <w:p w14:paraId="0C54609D" w14:textId="77777777" w:rsidR="000A1AD9" w:rsidRPr="000A1AD9" w:rsidRDefault="000A1AD9" w:rsidP="000A1AD9">
            <w:pPr>
              <w:spacing w:after="0" w:line="240" w:lineRule="auto"/>
              <w:jc w:val="center"/>
              <w:rPr>
                <w:rFonts w:ascii="Calibri" w:eastAsia="Times New Roman" w:hAnsi="Calibri" w:cs="Calibri"/>
                <w:b/>
                <w:bCs/>
                <w:color w:val="000000"/>
                <w:sz w:val="24"/>
                <w:szCs w:val="24"/>
                <w:lang w:val="en-GB" w:eastAsia="en-GB"/>
              </w:rPr>
            </w:pPr>
            <w:r w:rsidRPr="000A1AD9">
              <w:rPr>
                <w:rFonts w:ascii="Calibri" w:eastAsia="Times New Roman" w:hAnsi="Calibri" w:cs="Calibri"/>
                <w:b/>
                <w:bCs/>
                <w:color w:val="000000"/>
                <w:sz w:val="24"/>
                <w:szCs w:val="24"/>
                <w:lang w:val="en-GB" w:eastAsia="en-GB"/>
              </w:rPr>
              <w:t>L</w:t>
            </w:r>
          </w:p>
        </w:tc>
        <w:tc>
          <w:tcPr>
            <w:tcW w:w="2637" w:type="pct"/>
            <w:tcBorders>
              <w:top w:val="nil"/>
              <w:left w:val="nil"/>
              <w:bottom w:val="single" w:sz="4" w:space="0" w:color="auto"/>
              <w:right w:val="single" w:sz="4" w:space="0" w:color="auto"/>
            </w:tcBorders>
            <w:shd w:val="clear" w:color="000000" w:fill="DDEBF7"/>
            <w:hideMark/>
          </w:tcPr>
          <w:p w14:paraId="1C0B223B" w14:textId="77777777" w:rsidR="000A1AD9" w:rsidRPr="000A1AD9" w:rsidRDefault="000A1AD9" w:rsidP="000A1AD9">
            <w:pPr>
              <w:spacing w:after="0" w:line="240" w:lineRule="auto"/>
              <w:rPr>
                <w:rFonts w:ascii="Calibri" w:eastAsia="Times New Roman" w:hAnsi="Calibri" w:cs="Calibri"/>
                <w:b/>
                <w:bCs/>
                <w:sz w:val="24"/>
                <w:szCs w:val="24"/>
                <w:lang w:val="en-GB" w:eastAsia="en-GB"/>
              </w:rPr>
            </w:pPr>
            <w:r w:rsidRPr="000A1AD9">
              <w:rPr>
                <w:rFonts w:ascii="Calibri" w:eastAsia="Times New Roman" w:hAnsi="Calibri" w:cs="Calibri"/>
                <w:b/>
                <w:bCs/>
                <w:sz w:val="24"/>
                <w:szCs w:val="24"/>
                <w:lang w:val="en-GB" w:eastAsia="en-GB"/>
              </w:rPr>
              <w:t>Performance and Scalability</w:t>
            </w:r>
          </w:p>
        </w:tc>
        <w:tc>
          <w:tcPr>
            <w:tcW w:w="858" w:type="pct"/>
            <w:tcBorders>
              <w:top w:val="nil"/>
              <w:left w:val="nil"/>
              <w:bottom w:val="single" w:sz="4" w:space="0" w:color="auto"/>
              <w:right w:val="single" w:sz="4" w:space="0" w:color="auto"/>
            </w:tcBorders>
            <w:shd w:val="clear" w:color="auto" w:fill="auto"/>
            <w:hideMark/>
          </w:tcPr>
          <w:p w14:paraId="722CF7F0"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4230AF78"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r>
      <w:tr w:rsidR="000A1AD9" w:rsidRPr="000A1AD9" w14:paraId="53083A33" w14:textId="77777777" w:rsidTr="008E0319">
        <w:trPr>
          <w:trHeight w:val="510"/>
        </w:trPr>
        <w:tc>
          <w:tcPr>
            <w:tcW w:w="194" w:type="pct"/>
            <w:tcBorders>
              <w:top w:val="nil"/>
              <w:left w:val="single" w:sz="4" w:space="0" w:color="auto"/>
              <w:bottom w:val="single" w:sz="4" w:space="0" w:color="auto"/>
              <w:right w:val="single" w:sz="4" w:space="0" w:color="auto"/>
            </w:tcBorders>
            <w:shd w:val="clear" w:color="auto" w:fill="auto"/>
            <w:hideMark/>
          </w:tcPr>
          <w:p w14:paraId="01A64FA8"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26</w:t>
            </w:r>
          </w:p>
        </w:tc>
        <w:tc>
          <w:tcPr>
            <w:tcW w:w="2637" w:type="pct"/>
            <w:tcBorders>
              <w:top w:val="nil"/>
              <w:left w:val="nil"/>
              <w:bottom w:val="single" w:sz="4" w:space="0" w:color="auto"/>
              <w:right w:val="single" w:sz="4" w:space="0" w:color="auto"/>
            </w:tcBorders>
            <w:shd w:val="clear" w:color="auto" w:fill="auto"/>
            <w:hideMark/>
          </w:tcPr>
          <w:p w14:paraId="644A9FA5"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The system must be designed to handle large volumes of data without significant impact on network or storage system performance and should provide resource usage analytics to optimize performance.</w:t>
            </w:r>
          </w:p>
        </w:tc>
        <w:tc>
          <w:tcPr>
            <w:tcW w:w="858" w:type="pct"/>
            <w:tcBorders>
              <w:top w:val="nil"/>
              <w:left w:val="nil"/>
              <w:bottom w:val="single" w:sz="4" w:space="0" w:color="auto"/>
              <w:right w:val="single" w:sz="4" w:space="0" w:color="auto"/>
            </w:tcBorders>
            <w:shd w:val="clear" w:color="auto" w:fill="auto"/>
            <w:hideMark/>
          </w:tcPr>
          <w:p w14:paraId="1DDB5EF4"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03D665B3"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r>
      <w:tr w:rsidR="000A1AD9" w:rsidRPr="000A1AD9" w14:paraId="5C0FE5F4" w14:textId="77777777" w:rsidTr="008E0319">
        <w:trPr>
          <w:trHeight w:val="300"/>
        </w:trPr>
        <w:tc>
          <w:tcPr>
            <w:tcW w:w="194" w:type="pct"/>
            <w:tcBorders>
              <w:top w:val="nil"/>
              <w:left w:val="single" w:sz="4" w:space="0" w:color="auto"/>
              <w:bottom w:val="single" w:sz="4" w:space="0" w:color="auto"/>
              <w:right w:val="single" w:sz="4" w:space="0" w:color="auto"/>
            </w:tcBorders>
            <w:shd w:val="clear" w:color="auto" w:fill="auto"/>
            <w:hideMark/>
          </w:tcPr>
          <w:p w14:paraId="7DAD9CE0"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27</w:t>
            </w:r>
          </w:p>
        </w:tc>
        <w:tc>
          <w:tcPr>
            <w:tcW w:w="2637" w:type="pct"/>
            <w:tcBorders>
              <w:top w:val="nil"/>
              <w:left w:val="nil"/>
              <w:bottom w:val="single" w:sz="4" w:space="0" w:color="auto"/>
              <w:right w:val="single" w:sz="4" w:space="0" w:color="auto"/>
            </w:tcBorders>
            <w:shd w:val="clear" w:color="auto" w:fill="auto"/>
            <w:hideMark/>
          </w:tcPr>
          <w:p w14:paraId="0868423A"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It should offer options for incremental scanning and classification to manage resource utilization effectively.</w:t>
            </w:r>
          </w:p>
        </w:tc>
        <w:tc>
          <w:tcPr>
            <w:tcW w:w="858" w:type="pct"/>
            <w:tcBorders>
              <w:top w:val="nil"/>
              <w:left w:val="nil"/>
              <w:bottom w:val="single" w:sz="4" w:space="0" w:color="auto"/>
              <w:right w:val="single" w:sz="4" w:space="0" w:color="auto"/>
            </w:tcBorders>
            <w:shd w:val="clear" w:color="auto" w:fill="auto"/>
            <w:hideMark/>
          </w:tcPr>
          <w:p w14:paraId="22C1607F"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6F9FAF2B"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r>
      <w:tr w:rsidR="000A1AD9" w:rsidRPr="000A1AD9" w14:paraId="38328A43" w14:textId="77777777" w:rsidTr="008E0319">
        <w:trPr>
          <w:trHeight w:val="315"/>
        </w:trPr>
        <w:tc>
          <w:tcPr>
            <w:tcW w:w="194" w:type="pct"/>
            <w:tcBorders>
              <w:top w:val="nil"/>
              <w:left w:val="single" w:sz="4" w:space="0" w:color="auto"/>
              <w:bottom w:val="single" w:sz="4" w:space="0" w:color="auto"/>
              <w:right w:val="single" w:sz="4" w:space="0" w:color="auto"/>
            </w:tcBorders>
            <w:shd w:val="clear" w:color="000000" w:fill="DDEBF7"/>
            <w:hideMark/>
          </w:tcPr>
          <w:p w14:paraId="68F599AE" w14:textId="77777777" w:rsidR="000A1AD9" w:rsidRPr="000A1AD9" w:rsidRDefault="000A1AD9" w:rsidP="000A1AD9">
            <w:pPr>
              <w:spacing w:after="0" w:line="240" w:lineRule="auto"/>
              <w:jc w:val="center"/>
              <w:rPr>
                <w:rFonts w:ascii="Calibri" w:eastAsia="Times New Roman" w:hAnsi="Calibri" w:cs="Calibri"/>
                <w:b/>
                <w:bCs/>
                <w:color w:val="000000"/>
                <w:sz w:val="24"/>
                <w:szCs w:val="24"/>
                <w:lang w:val="en-GB" w:eastAsia="en-GB"/>
              </w:rPr>
            </w:pPr>
            <w:r w:rsidRPr="000A1AD9">
              <w:rPr>
                <w:rFonts w:ascii="Calibri" w:eastAsia="Times New Roman" w:hAnsi="Calibri" w:cs="Calibri"/>
                <w:b/>
                <w:bCs/>
                <w:color w:val="000000"/>
                <w:sz w:val="24"/>
                <w:szCs w:val="24"/>
                <w:lang w:val="en-GB" w:eastAsia="en-GB"/>
              </w:rPr>
              <w:t>M</w:t>
            </w:r>
          </w:p>
        </w:tc>
        <w:tc>
          <w:tcPr>
            <w:tcW w:w="2637" w:type="pct"/>
            <w:tcBorders>
              <w:top w:val="nil"/>
              <w:left w:val="nil"/>
              <w:bottom w:val="single" w:sz="4" w:space="0" w:color="auto"/>
              <w:right w:val="single" w:sz="4" w:space="0" w:color="auto"/>
            </w:tcBorders>
            <w:shd w:val="clear" w:color="000000" w:fill="DDEBF7"/>
            <w:hideMark/>
          </w:tcPr>
          <w:p w14:paraId="31159276" w14:textId="77777777" w:rsidR="000A1AD9" w:rsidRPr="000A1AD9" w:rsidRDefault="000A1AD9" w:rsidP="000A1AD9">
            <w:pPr>
              <w:spacing w:after="0" w:line="240" w:lineRule="auto"/>
              <w:rPr>
                <w:rFonts w:ascii="Calibri" w:eastAsia="Times New Roman" w:hAnsi="Calibri" w:cs="Calibri"/>
                <w:b/>
                <w:bCs/>
                <w:sz w:val="24"/>
                <w:szCs w:val="24"/>
                <w:lang w:val="en-GB" w:eastAsia="en-GB"/>
              </w:rPr>
            </w:pPr>
            <w:r w:rsidRPr="000A1AD9">
              <w:rPr>
                <w:rFonts w:ascii="Calibri" w:eastAsia="Times New Roman" w:hAnsi="Calibri" w:cs="Calibri"/>
                <w:b/>
                <w:bCs/>
                <w:sz w:val="24"/>
                <w:szCs w:val="24"/>
                <w:lang w:val="en-GB" w:eastAsia="en-GB"/>
              </w:rPr>
              <w:t>General System Requirements</w:t>
            </w:r>
          </w:p>
        </w:tc>
        <w:tc>
          <w:tcPr>
            <w:tcW w:w="858" w:type="pct"/>
            <w:tcBorders>
              <w:top w:val="nil"/>
              <w:left w:val="nil"/>
              <w:bottom w:val="single" w:sz="4" w:space="0" w:color="auto"/>
              <w:right w:val="single" w:sz="4" w:space="0" w:color="auto"/>
            </w:tcBorders>
            <w:shd w:val="clear" w:color="auto" w:fill="auto"/>
            <w:hideMark/>
          </w:tcPr>
          <w:p w14:paraId="23A08213"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5FAAD822" w14:textId="77777777" w:rsidR="000A1AD9" w:rsidRPr="000A1AD9" w:rsidRDefault="000A1AD9" w:rsidP="000A1AD9">
            <w:pPr>
              <w:spacing w:after="0" w:line="240" w:lineRule="auto"/>
              <w:rPr>
                <w:rFonts w:ascii="Calibri" w:eastAsia="Times New Roman" w:hAnsi="Calibri" w:cs="Calibri"/>
                <w:color w:val="000000"/>
                <w:sz w:val="24"/>
                <w:szCs w:val="24"/>
                <w:lang w:val="en-GB" w:eastAsia="en-GB"/>
              </w:rPr>
            </w:pPr>
            <w:r w:rsidRPr="000A1AD9">
              <w:rPr>
                <w:rFonts w:ascii="Calibri" w:eastAsia="Times New Roman" w:hAnsi="Calibri" w:cs="Calibri"/>
                <w:color w:val="000000"/>
                <w:sz w:val="24"/>
                <w:szCs w:val="24"/>
                <w:lang w:val="en-GB" w:eastAsia="en-GB"/>
              </w:rPr>
              <w:t> </w:t>
            </w:r>
          </w:p>
        </w:tc>
      </w:tr>
      <w:tr w:rsidR="000A1AD9" w:rsidRPr="000A1AD9" w14:paraId="134A1C54" w14:textId="77777777" w:rsidTr="008E0319">
        <w:trPr>
          <w:trHeight w:val="300"/>
        </w:trPr>
        <w:tc>
          <w:tcPr>
            <w:tcW w:w="194" w:type="pct"/>
            <w:tcBorders>
              <w:top w:val="nil"/>
              <w:left w:val="single" w:sz="4" w:space="0" w:color="auto"/>
              <w:bottom w:val="single" w:sz="4" w:space="0" w:color="auto"/>
              <w:right w:val="single" w:sz="4" w:space="0" w:color="auto"/>
            </w:tcBorders>
            <w:shd w:val="clear" w:color="auto" w:fill="auto"/>
            <w:hideMark/>
          </w:tcPr>
          <w:p w14:paraId="05EEF420" w14:textId="77777777" w:rsidR="000A1AD9" w:rsidRPr="000A1AD9" w:rsidRDefault="000A1AD9" w:rsidP="000A1AD9">
            <w:pPr>
              <w:spacing w:after="0" w:line="240" w:lineRule="auto"/>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lastRenderedPageBreak/>
              <w:t> </w:t>
            </w:r>
          </w:p>
        </w:tc>
        <w:tc>
          <w:tcPr>
            <w:tcW w:w="2637" w:type="pct"/>
            <w:tcBorders>
              <w:top w:val="nil"/>
              <w:left w:val="nil"/>
              <w:bottom w:val="single" w:sz="4" w:space="0" w:color="auto"/>
              <w:right w:val="single" w:sz="4" w:space="0" w:color="auto"/>
            </w:tcBorders>
            <w:shd w:val="clear" w:color="auto" w:fill="auto"/>
            <w:hideMark/>
          </w:tcPr>
          <w:p w14:paraId="3B18238D" w14:textId="77777777" w:rsidR="000A1AD9" w:rsidRPr="000A1AD9" w:rsidRDefault="000A1AD9" w:rsidP="000A1AD9">
            <w:pPr>
              <w:spacing w:after="0" w:line="240" w:lineRule="auto"/>
              <w:rPr>
                <w:rFonts w:ascii="Calibri" w:eastAsia="Times New Roman" w:hAnsi="Calibri" w:cs="Calibri"/>
                <w:b/>
                <w:bCs/>
                <w:sz w:val="20"/>
                <w:szCs w:val="20"/>
                <w:lang w:val="en-GB" w:eastAsia="en-GB"/>
              </w:rPr>
            </w:pPr>
            <w:r w:rsidRPr="000A1AD9">
              <w:rPr>
                <w:rFonts w:ascii="Calibri" w:eastAsia="Times New Roman" w:hAnsi="Calibri" w:cs="Calibri"/>
                <w:b/>
                <w:bCs/>
                <w:sz w:val="20"/>
                <w:szCs w:val="20"/>
                <w:lang w:val="en-GB" w:eastAsia="en-GB"/>
              </w:rPr>
              <w:t>Scalability and Performance:</w:t>
            </w:r>
          </w:p>
        </w:tc>
        <w:tc>
          <w:tcPr>
            <w:tcW w:w="858" w:type="pct"/>
            <w:tcBorders>
              <w:top w:val="nil"/>
              <w:left w:val="nil"/>
              <w:bottom w:val="single" w:sz="4" w:space="0" w:color="auto"/>
              <w:right w:val="single" w:sz="4" w:space="0" w:color="auto"/>
            </w:tcBorders>
            <w:shd w:val="clear" w:color="auto" w:fill="auto"/>
            <w:hideMark/>
          </w:tcPr>
          <w:p w14:paraId="2818AD58"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55BEC9A2"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r>
      <w:tr w:rsidR="000A1AD9" w:rsidRPr="000A1AD9" w14:paraId="62110A6F" w14:textId="77777777" w:rsidTr="008E0319">
        <w:trPr>
          <w:trHeight w:val="300"/>
        </w:trPr>
        <w:tc>
          <w:tcPr>
            <w:tcW w:w="194" w:type="pct"/>
            <w:tcBorders>
              <w:top w:val="nil"/>
              <w:left w:val="single" w:sz="4" w:space="0" w:color="auto"/>
              <w:bottom w:val="single" w:sz="4" w:space="0" w:color="auto"/>
              <w:right w:val="single" w:sz="4" w:space="0" w:color="auto"/>
            </w:tcBorders>
            <w:shd w:val="clear" w:color="auto" w:fill="auto"/>
            <w:hideMark/>
          </w:tcPr>
          <w:p w14:paraId="1D2D7924"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28</w:t>
            </w:r>
          </w:p>
        </w:tc>
        <w:tc>
          <w:tcPr>
            <w:tcW w:w="2637" w:type="pct"/>
            <w:tcBorders>
              <w:top w:val="nil"/>
              <w:left w:val="nil"/>
              <w:bottom w:val="single" w:sz="4" w:space="0" w:color="auto"/>
              <w:right w:val="single" w:sz="4" w:space="0" w:color="auto"/>
            </w:tcBorders>
            <w:shd w:val="clear" w:color="auto" w:fill="auto"/>
            <w:hideMark/>
          </w:tcPr>
          <w:p w14:paraId="748D1D83"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The solution platform must be scalable to accommodate organization’s current and future security needs.</w:t>
            </w:r>
          </w:p>
        </w:tc>
        <w:tc>
          <w:tcPr>
            <w:tcW w:w="858" w:type="pct"/>
            <w:tcBorders>
              <w:top w:val="nil"/>
              <w:left w:val="nil"/>
              <w:bottom w:val="single" w:sz="4" w:space="0" w:color="auto"/>
              <w:right w:val="single" w:sz="4" w:space="0" w:color="auto"/>
            </w:tcBorders>
            <w:shd w:val="clear" w:color="auto" w:fill="auto"/>
            <w:hideMark/>
          </w:tcPr>
          <w:p w14:paraId="64B216B6"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1F1E2228"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r>
      <w:tr w:rsidR="000A1AD9" w:rsidRPr="000A1AD9" w14:paraId="66EE0DD2" w14:textId="77777777" w:rsidTr="008E0319">
        <w:trPr>
          <w:trHeight w:val="510"/>
        </w:trPr>
        <w:tc>
          <w:tcPr>
            <w:tcW w:w="194" w:type="pct"/>
            <w:tcBorders>
              <w:top w:val="nil"/>
              <w:left w:val="single" w:sz="4" w:space="0" w:color="auto"/>
              <w:bottom w:val="single" w:sz="4" w:space="0" w:color="auto"/>
              <w:right w:val="single" w:sz="4" w:space="0" w:color="auto"/>
            </w:tcBorders>
            <w:shd w:val="clear" w:color="auto" w:fill="auto"/>
            <w:hideMark/>
          </w:tcPr>
          <w:p w14:paraId="42CA1D1D"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29</w:t>
            </w:r>
          </w:p>
        </w:tc>
        <w:tc>
          <w:tcPr>
            <w:tcW w:w="2637" w:type="pct"/>
            <w:tcBorders>
              <w:top w:val="nil"/>
              <w:left w:val="nil"/>
              <w:bottom w:val="single" w:sz="4" w:space="0" w:color="auto"/>
              <w:right w:val="single" w:sz="4" w:space="0" w:color="auto"/>
            </w:tcBorders>
            <w:shd w:val="clear" w:color="auto" w:fill="auto"/>
            <w:hideMark/>
          </w:tcPr>
          <w:p w14:paraId="5ECBC4BD"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The solution should ensure high performance ingestion and low latency inference, even under heavy load conditions such as 10k events/second.</w:t>
            </w:r>
          </w:p>
        </w:tc>
        <w:tc>
          <w:tcPr>
            <w:tcW w:w="858" w:type="pct"/>
            <w:tcBorders>
              <w:top w:val="nil"/>
              <w:left w:val="nil"/>
              <w:bottom w:val="single" w:sz="4" w:space="0" w:color="auto"/>
              <w:right w:val="single" w:sz="4" w:space="0" w:color="auto"/>
            </w:tcBorders>
            <w:shd w:val="clear" w:color="auto" w:fill="auto"/>
            <w:hideMark/>
          </w:tcPr>
          <w:p w14:paraId="4A477361"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32223F95"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r>
      <w:tr w:rsidR="000A1AD9" w:rsidRPr="000A1AD9" w14:paraId="1C00D088" w14:textId="77777777" w:rsidTr="008E0319">
        <w:trPr>
          <w:trHeight w:val="510"/>
        </w:trPr>
        <w:tc>
          <w:tcPr>
            <w:tcW w:w="194" w:type="pct"/>
            <w:tcBorders>
              <w:top w:val="nil"/>
              <w:left w:val="single" w:sz="4" w:space="0" w:color="auto"/>
              <w:bottom w:val="single" w:sz="4" w:space="0" w:color="auto"/>
              <w:right w:val="single" w:sz="4" w:space="0" w:color="auto"/>
            </w:tcBorders>
            <w:shd w:val="clear" w:color="auto" w:fill="auto"/>
            <w:hideMark/>
          </w:tcPr>
          <w:p w14:paraId="55951132"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30</w:t>
            </w:r>
          </w:p>
        </w:tc>
        <w:tc>
          <w:tcPr>
            <w:tcW w:w="2637" w:type="pct"/>
            <w:tcBorders>
              <w:top w:val="nil"/>
              <w:left w:val="nil"/>
              <w:bottom w:val="single" w:sz="4" w:space="0" w:color="auto"/>
              <w:right w:val="single" w:sz="4" w:space="0" w:color="auto"/>
            </w:tcBorders>
            <w:shd w:val="clear" w:color="auto" w:fill="auto"/>
            <w:hideMark/>
          </w:tcPr>
          <w:p w14:paraId="52C1982F"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The solution provider should have proven scalability benchmarks and validated performance metrics in industry-standard benchmarks including validated presence in open leaderboard</w:t>
            </w:r>
          </w:p>
        </w:tc>
        <w:tc>
          <w:tcPr>
            <w:tcW w:w="858" w:type="pct"/>
            <w:tcBorders>
              <w:top w:val="nil"/>
              <w:left w:val="nil"/>
              <w:bottom w:val="single" w:sz="4" w:space="0" w:color="auto"/>
              <w:right w:val="single" w:sz="4" w:space="0" w:color="auto"/>
            </w:tcBorders>
            <w:shd w:val="clear" w:color="auto" w:fill="auto"/>
            <w:hideMark/>
          </w:tcPr>
          <w:p w14:paraId="67F827ED"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36209BAB"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r>
      <w:tr w:rsidR="000A1AD9" w:rsidRPr="000A1AD9" w14:paraId="7B370E4B" w14:textId="77777777" w:rsidTr="008E0319">
        <w:trPr>
          <w:trHeight w:val="300"/>
        </w:trPr>
        <w:tc>
          <w:tcPr>
            <w:tcW w:w="194" w:type="pct"/>
            <w:tcBorders>
              <w:top w:val="nil"/>
              <w:left w:val="single" w:sz="4" w:space="0" w:color="auto"/>
              <w:bottom w:val="single" w:sz="4" w:space="0" w:color="auto"/>
              <w:right w:val="single" w:sz="4" w:space="0" w:color="auto"/>
            </w:tcBorders>
            <w:shd w:val="clear" w:color="auto" w:fill="auto"/>
            <w:hideMark/>
          </w:tcPr>
          <w:p w14:paraId="664CA9FA" w14:textId="77777777" w:rsidR="000A1AD9" w:rsidRPr="000A1AD9" w:rsidRDefault="000A1AD9" w:rsidP="000A1AD9">
            <w:pPr>
              <w:spacing w:after="0" w:line="240" w:lineRule="auto"/>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 </w:t>
            </w:r>
          </w:p>
        </w:tc>
        <w:tc>
          <w:tcPr>
            <w:tcW w:w="2637" w:type="pct"/>
            <w:tcBorders>
              <w:top w:val="nil"/>
              <w:left w:val="nil"/>
              <w:bottom w:val="single" w:sz="4" w:space="0" w:color="auto"/>
              <w:right w:val="single" w:sz="4" w:space="0" w:color="auto"/>
            </w:tcBorders>
            <w:shd w:val="clear" w:color="auto" w:fill="auto"/>
            <w:hideMark/>
          </w:tcPr>
          <w:p w14:paraId="2621BAFB" w14:textId="77777777" w:rsidR="000A1AD9" w:rsidRPr="000A1AD9" w:rsidRDefault="000A1AD9" w:rsidP="000A1AD9">
            <w:pPr>
              <w:spacing w:after="0" w:line="240" w:lineRule="auto"/>
              <w:rPr>
                <w:rFonts w:ascii="Calibri" w:eastAsia="Times New Roman" w:hAnsi="Calibri" w:cs="Calibri"/>
                <w:b/>
                <w:bCs/>
                <w:sz w:val="20"/>
                <w:szCs w:val="20"/>
                <w:lang w:val="en-GB" w:eastAsia="en-GB"/>
              </w:rPr>
            </w:pPr>
            <w:r w:rsidRPr="000A1AD9">
              <w:rPr>
                <w:rFonts w:ascii="Calibri" w:eastAsia="Times New Roman" w:hAnsi="Calibri" w:cs="Calibri"/>
                <w:b/>
                <w:bCs/>
                <w:sz w:val="20"/>
                <w:szCs w:val="20"/>
                <w:lang w:val="en-GB" w:eastAsia="en-GB"/>
              </w:rPr>
              <w:t>High Availability and Disaster Recovery:</w:t>
            </w:r>
          </w:p>
        </w:tc>
        <w:tc>
          <w:tcPr>
            <w:tcW w:w="858" w:type="pct"/>
            <w:tcBorders>
              <w:top w:val="nil"/>
              <w:left w:val="nil"/>
              <w:bottom w:val="single" w:sz="4" w:space="0" w:color="auto"/>
              <w:right w:val="single" w:sz="4" w:space="0" w:color="auto"/>
            </w:tcBorders>
            <w:shd w:val="clear" w:color="auto" w:fill="auto"/>
            <w:hideMark/>
          </w:tcPr>
          <w:p w14:paraId="770EFCE2"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150851CE"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r>
      <w:tr w:rsidR="000A1AD9" w:rsidRPr="000A1AD9" w14:paraId="41A1F7D6" w14:textId="77777777" w:rsidTr="008E0319">
        <w:trPr>
          <w:trHeight w:val="300"/>
        </w:trPr>
        <w:tc>
          <w:tcPr>
            <w:tcW w:w="194" w:type="pct"/>
            <w:tcBorders>
              <w:top w:val="nil"/>
              <w:left w:val="single" w:sz="4" w:space="0" w:color="auto"/>
              <w:bottom w:val="single" w:sz="4" w:space="0" w:color="auto"/>
              <w:right w:val="single" w:sz="4" w:space="0" w:color="auto"/>
            </w:tcBorders>
            <w:shd w:val="clear" w:color="auto" w:fill="auto"/>
            <w:hideMark/>
          </w:tcPr>
          <w:p w14:paraId="0A2C57DF"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31</w:t>
            </w:r>
          </w:p>
        </w:tc>
        <w:tc>
          <w:tcPr>
            <w:tcW w:w="2637" w:type="pct"/>
            <w:tcBorders>
              <w:top w:val="nil"/>
              <w:left w:val="nil"/>
              <w:bottom w:val="single" w:sz="4" w:space="0" w:color="auto"/>
              <w:right w:val="single" w:sz="4" w:space="0" w:color="auto"/>
            </w:tcBorders>
            <w:shd w:val="clear" w:color="auto" w:fill="auto"/>
            <w:hideMark/>
          </w:tcPr>
          <w:p w14:paraId="6233CCF8"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The solution should provide automated high availability and disaster recovery capabilities to ensure continuous security operations.</w:t>
            </w:r>
          </w:p>
        </w:tc>
        <w:tc>
          <w:tcPr>
            <w:tcW w:w="858" w:type="pct"/>
            <w:tcBorders>
              <w:top w:val="nil"/>
              <w:left w:val="nil"/>
              <w:bottom w:val="single" w:sz="4" w:space="0" w:color="auto"/>
              <w:right w:val="single" w:sz="4" w:space="0" w:color="auto"/>
            </w:tcBorders>
            <w:shd w:val="clear" w:color="auto" w:fill="auto"/>
            <w:hideMark/>
          </w:tcPr>
          <w:p w14:paraId="784B2074"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75290496"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r>
      <w:tr w:rsidR="000A1AD9" w:rsidRPr="000A1AD9" w14:paraId="01E961C1" w14:textId="77777777" w:rsidTr="008E0319">
        <w:trPr>
          <w:trHeight w:val="300"/>
        </w:trPr>
        <w:tc>
          <w:tcPr>
            <w:tcW w:w="194" w:type="pct"/>
            <w:tcBorders>
              <w:top w:val="nil"/>
              <w:left w:val="single" w:sz="4" w:space="0" w:color="auto"/>
              <w:bottom w:val="single" w:sz="4" w:space="0" w:color="auto"/>
              <w:right w:val="single" w:sz="4" w:space="0" w:color="auto"/>
            </w:tcBorders>
            <w:shd w:val="clear" w:color="auto" w:fill="auto"/>
            <w:hideMark/>
          </w:tcPr>
          <w:p w14:paraId="7DADA4A1"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32</w:t>
            </w:r>
          </w:p>
        </w:tc>
        <w:tc>
          <w:tcPr>
            <w:tcW w:w="2637" w:type="pct"/>
            <w:tcBorders>
              <w:top w:val="nil"/>
              <w:left w:val="nil"/>
              <w:bottom w:val="single" w:sz="4" w:space="0" w:color="auto"/>
              <w:right w:val="single" w:sz="4" w:space="0" w:color="auto"/>
            </w:tcBorders>
            <w:shd w:val="clear" w:color="auto" w:fill="auto"/>
            <w:hideMark/>
          </w:tcPr>
          <w:p w14:paraId="0991B72B"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The solution should support redundant infrastructure and automated failover mechanisms.</w:t>
            </w:r>
          </w:p>
        </w:tc>
        <w:tc>
          <w:tcPr>
            <w:tcW w:w="858" w:type="pct"/>
            <w:tcBorders>
              <w:top w:val="nil"/>
              <w:left w:val="nil"/>
              <w:bottom w:val="single" w:sz="4" w:space="0" w:color="auto"/>
              <w:right w:val="single" w:sz="4" w:space="0" w:color="auto"/>
            </w:tcBorders>
            <w:shd w:val="clear" w:color="auto" w:fill="auto"/>
            <w:hideMark/>
          </w:tcPr>
          <w:p w14:paraId="362C97B5"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67C4BF3C"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r>
      <w:tr w:rsidR="000A1AD9" w:rsidRPr="000A1AD9" w14:paraId="06165B82" w14:textId="77777777" w:rsidTr="008E0319">
        <w:trPr>
          <w:trHeight w:val="300"/>
        </w:trPr>
        <w:tc>
          <w:tcPr>
            <w:tcW w:w="194" w:type="pct"/>
            <w:tcBorders>
              <w:top w:val="nil"/>
              <w:left w:val="single" w:sz="4" w:space="0" w:color="auto"/>
              <w:bottom w:val="single" w:sz="4" w:space="0" w:color="auto"/>
              <w:right w:val="single" w:sz="4" w:space="0" w:color="auto"/>
            </w:tcBorders>
            <w:shd w:val="clear" w:color="auto" w:fill="auto"/>
            <w:hideMark/>
          </w:tcPr>
          <w:p w14:paraId="7157CD60" w14:textId="77777777" w:rsidR="000A1AD9" w:rsidRPr="000A1AD9" w:rsidRDefault="000A1AD9" w:rsidP="000A1AD9">
            <w:pPr>
              <w:spacing w:after="0" w:line="240" w:lineRule="auto"/>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 </w:t>
            </w:r>
          </w:p>
        </w:tc>
        <w:tc>
          <w:tcPr>
            <w:tcW w:w="2637" w:type="pct"/>
            <w:tcBorders>
              <w:top w:val="nil"/>
              <w:left w:val="nil"/>
              <w:bottom w:val="single" w:sz="4" w:space="0" w:color="auto"/>
              <w:right w:val="single" w:sz="4" w:space="0" w:color="auto"/>
            </w:tcBorders>
            <w:shd w:val="clear" w:color="auto" w:fill="auto"/>
            <w:hideMark/>
          </w:tcPr>
          <w:p w14:paraId="506ED8C8" w14:textId="77777777" w:rsidR="000A1AD9" w:rsidRPr="000A1AD9" w:rsidRDefault="000A1AD9" w:rsidP="000A1AD9">
            <w:pPr>
              <w:spacing w:after="0" w:line="240" w:lineRule="auto"/>
              <w:rPr>
                <w:rFonts w:ascii="Calibri" w:eastAsia="Times New Roman" w:hAnsi="Calibri" w:cs="Calibri"/>
                <w:b/>
                <w:bCs/>
                <w:sz w:val="20"/>
                <w:szCs w:val="20"/>
                <w:lang w:val="en-GB" w:eastAsia="en-GB"/>
              </w:rPr>
            </w:pPr>
            <w:r w:rsidRPr="000A1AD9">
              <w:rPr>
                <w:rFonts w:ascii="Calibri" w:eastAsia="Times New Roman" w:hAnsi="Calibri" w:cs="Calibri"/>
                <w:b/>
                <w:bCs/>
                <w:sz w:val="20"/>
                <w:szCs w:val="20"/>
                <w:lang w:val="en-GB" w:eastAsia="en-GB"/>
              </w:rPr>
              <w:t>Security and Compliance:</w:t>
            </w:r>
          </w:p>
        </w:tc>
        <w:tc>
          <w:tcPr>
            <w:tcW w:w="858" w:type="pct"/>
            <w:tcBorders>
              <w:top w:val="nil"/>
              <w:left w:val="nil"/>
              <w:bottom w:val="single" w:sz="4" w:space="0" w:color="auto"/>
              <w:right w:val="single" w:sz="4" w:space="0" w:color="auto"/>
            </w:tcBorders>
            <w:shd w:val="clear" w:color="auto" w:fill="auto"/>
            <w:hideMark/>
          </w:tcPr>
          <w:p w14:paraId="477F59A1"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7B9E61AE"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r>
      <w:tr w:rsidR="000A1AD9" w:rsidRPr="000A1AD9" w14:paraId="56DDC4A9" w14:textId="77777777" w:rsidTr="008E0319">
        <w:trPr>
          <w:trHeight w:val="300"/>
        </w:trPr>
        <w:tc>
          <w:tcPr>
            <w:tcW w:w="194" w:type="pct"/>
            <w:tcBorders>
              <w:top w:val="nil"/>
              <w:left w:val="single" w:sz="4" w:space="0" w:color="auto"/>
              <w:bottom w:val="single" w:sz="4" w:space="0" w:color="auto"/>
              <w:right w:val="single" w:sz="4" w:space="0" w:color="auto"/>
            </w:tcBorders>
            <w:shd w:val="clear" w:color="auto" w:fill="auto"/>
            <w:hideMark/>
          </w:tcPr>
          <w:p w14:paraId="22C1311E"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33</w:t>
            </w:r>
          </w:p>
        </w:tc>
        <w:tc>
          <w:tcPr>
            <w:tcW w:w="2637" w:type="pct"/>
            <w:tcBorders>
              <w:top w:val="nil"/>
              <w:left w:val="nil"/>
              <w:bottom w:val="single" w:sz="4" w:space="0" w:color="auto"/>
              <w:right w:val="single" w:sz="4" w:space="0" w:color="auto"/>
            </w:tcBorders>
            <w:shd w:val="clear" w:color="auto" w:fill="auto"/>
            <w:hideMark/>
          </w:tcPr>
          <w:p w14:paraId="688609C9"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The solution should meet industry security standards and best practices for data protection and access control.</w:t>
            </w:r>
          </w:p>
        </w:tc>
        <w:tc>
          <w:tcPr>
            <w:tcW w:w="858" w:type="pct"/>
            <w:tcBorders>
              <w:top w:val="nil"/>
              <w:left w:val="nil"/>
              <w:bottom w:val="single" w:sz="4" w:space="0" w:color="auto"/>
              <w:right w:val="single" w:sz="4" w:space="0" w:color="auto"/>
            </w:tcBorders>
            <w:shd w:val="clear" w:color="auto" w:fill="auto"/>
            <w:hideMark/>
          </w:tcPr>
          <w:p w14:paraId="79326591"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1D6F6E0E"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r>
      <w:tr w:rsidR="000A1AD9" w:rsidRPr="000A1AD9" w14:paraId="5C9A25B2" w14:textId="77777777" w:rsidTr="008E0319">
        <w:trPr>
          <w:trHeight w:val="510"/>
        </w:trPr>
        <w:tc>
          <w:tcPr>
            <w:tcW w:w="194" w:type="pct"/>
            <w:tcBorders>
              <w:top w:val="nil"/>
              <w:left w:val="single" w:sz="4" w:space="0" w:color="auto"/>
              <w:bottom w:val="single" w:sz="4" w:space="0" w:color="auto"/>
              <w:right w:val="single" w:sz="4" w:space="0" w:color="auto"/>
            </w:tcBorders>
            <w:shd w:val="clear" w:color="auto" w:fill="auto"/>
            <w:hideMark/>
          </w:tcPr>
          <w:p w14:paraId="14CE5C5E"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34</w:t>
            </w:r>
          </w:p>
        </w:tc>
        <w:tc>
          <w:tcPr>
            <w:tcW w:w="2637" w:type="pct"/>
            <w:tcBorders>
              <w:top w:val="nil"/>
              <w:left w:val="nil"/>
              <w:bottom w:val="single" w:sz="4" w:space="0" w:color="auto"/>
              <w:right w:val="single" w:sz="4" w:space="0" w:color="auto"/>
            </w:tcBorders>
            <w:shd w:val="clear" w:color="auto" w:fill="auto"/>
            <w:hideMark/>
          </w:tcPr>
          <w:p w14:paraId="4BBA34E0"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The solution should comply with relevant regulations and compliance frameworks, such as PCI DSS, Data Protection Related Regulations from the RBI, Govt of India and provide automated compliance reporting.</w:t>
            </w:r>
          </w:p>
        </w:tc>
        <w:tc>
          <w:tcPr>
            <w:tcW w:w="858" w:type="pct"/>
            <w:tcBorders>
              <w:top w:val="nil"/>
              <w:left w:val="nil"/>
              <w:bottom w:val="single" w:sz="4" w:space="0" w:color="auto"/>
              <w:right w:val="single" w:sz="4" w:space="0" w:color="auto"/>
            </w:tcBorders>
            <w:shd w:val="clear" w:color="auto" w:fill="auto"/>
            <w:hideMark/>
          </w:tcPr>
          <w:p w14:paraId="418B4E17"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183FA498"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r>
      <w:tr w:rsidR="000A1AD9" w:rsidRPr="000A1AD9" w14:paraId="3C6763F1" w14:textId="77777777" w:rsidTr="008E0319">
        <w:trPr>
          <w:trHeight w:val="300"/>
        </w:trPr>
        <w:tc>
          <w:tcPr>
            <w:tcW w:w="194" w:type="pct"/>
            <w:tcBorders>
              <w:top w:val="nil"/>
              <w:left w:val="single" w:sz="4" w:space="0" w:color="auto"/>
              <w:bottom w:val="single" w:sz="4" w:space="0" w:color="auto"/>
              <w:right w:val="single" w:sz="4" w:space="0" w:color="auto"/>
            </w:tcBorders>
            <w:shd w:val="clear" w:color="auto" w:fill="auto"/>
            <w:hideMark/>
          </w:tcPr>
          <w:p w14:paraId="20A50CA3" w14:textId="77777777" w:rsidR="000A1AD9" w:rsidRPr="000A1AD9" w:rsidRDefault="000A1AD9" w:rsidP="000A1AD9">
            <w:pPr>
              <w:spacing w:after="0" w:line="240" w:lineRule="auto"/>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 </w:t>
            </w:r>
          </w:p>
        </w:tc>
        <w:tc>
          <w:tcPr>
            <w:tcW w:w="2637" w:type="pct"/>
            <w:tcBorders>
              <w:top w:val="nil"/>
              <w:left w:val="nil"/>
              <w:bottom w:val="single" w:sz="4" w:space="0" w:color="auto"/>
              <w:right w:val="single" w:sz="4" w:space="0" w:color="auto"/>
            </w:tcBorders>
            <w:shd w:val="clear" w:color="auto" w:fill="auto"/>
            <w:hideMark/>
          </w:tcPr>
          <w:p w14:paraId="76E27D10" w14:textId="77777777" w:rsidR="000A1AD9" w:rsidRPr="000A1AD9" w:rsidRDefault="000A1AD9" w:rsidP="000A1AD9">
            <w:pPr>
              <w:spacing w:after="0" w:line="240" w:lineRule="auto"/>
              <w:rPr>
                <w:rFonts w:ascii="Calibri" w:eastAsia="Times New Roman" w:hAnsi="Calibri" w:cs="Calibri"/>
                <w:b/>
                <w:bCs/>
                <w:sz w:val="20"/>
                <w:szCs w:val="20"/>
                <w:lang w:val="en-GB" w:eastAsia="en-GB"/>
              </w:rPr>
            </w:pPr>
            <w:r w:rsidRPr="000A1AD9">
              <w:rPr>
                <w:rFonts w:ascii="Calibri" w:eastAsia="Times New Roman" w:hAnsi="Calibri" w:cs="Calibri"/>
                <w:b/>
                <w:bCs/>
                <w:sz w:val="20"/>
                <w:szCs w:val="20"/>
                <w:lang w:val="en-GB" w:eastAsia="en-GB"/>
              </w:rPr>
              <w:t>Open Integration and Extensibility:</w:t>
            </w:r>
          </w:p>
        </w:tc>
        <w:tc>
          <w:tcPr>
            <w:tcW w:w="858" w:type="pct"/>
            <w:tcBorders>
              <w:top w:val="nil"/>
              <w:left w:val="nil"/>
              <w:bottom w:val="single" w:sz="4" w:space="0" w:color="auto"/>
              <w:right w:val="single" w:sz="4" w:space="0" w:color="auto"/>
            </w:tcBorders>
            <w:shd w:val="clear" w:color="auto" w:fill="auto"/>
            <w:hideMark/>
          </w:tcPr>
          <w:p w14:paraId="69E4C353"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08263261"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r>
      <w:tr w:rsidR="000A1AD9" w:rsidRPr="000A1AD9" w14:paraId="091EC4E3" w14:textId="77777777" w:rsidTr="008E0319">
        <w:trPr>
          <w:trHeight w:val="510"/>
        </w:trPr>
        <w:tc>
          <w:tcPr>
            <w:tcW w:w="194" w:type="pct"/>
            <w:tcBorders>
              <w:top w:val="nil"/>
              <w:left w:val="single" w:sz="4" w:space="0" w:color="auto"/>
              <w:bottom w:val="single" w:sz="4" w:space="0" w:color="auto"/>
              <w:right w:val="single" w:sz="4" w:space="0" w:color="auto"/>
            </w:tcBorders>
            <w:shd w:val="clear" w:color="auto" w:fill="auto"/>
            <w:hideMark/>
          </w:tcPr>
          <w:p w14:paraId="6571F0EF"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35</w:t>
            </w:r>
          </w:p>
        </w:tc>
        <w:tc>
          <w:tcPr>
            <w:tcW w:w="2637" w:type="pct"/>
            <w:tcBorders>
              <w:top w:val="nil"/>
              <w:left w:val="nil"/>
              <w:bottom w:val="single" w:sz="4" w:space="0" w:color="auto"/>
              <w:right w:val="single" w:sz="4" w:space="0" w:color="auto"/>
            </w:tcBorders>
            <w:shd w:val="clear" w:color="auto" w:fill="auto"/>
            <w:hideMark/>
          </w:tcPr>
          <w:p w14:paraId="5F34FF9A"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The solution should adhere to open integration standards and APIs for seamless integration with third-party tools and systems using RestAPI.</w:t>
            </w:r>
          </w:p>
        </w:tc>
        <w:tc>
          <w:tcPr>
            <w:tcW w:w="858" w:type="pct"/>
            <w:tcBorders>
              <w:top w:val="nil"/>
              <w:left w:val="nil"/>
              <w:bottom w:val="single" w:sz="4" w:space="0" w:color="auto"/>
              <w:right w:val="single" w:sz="4" w:space="0" w:color="auto"/>
            </w:tcBorders>
            <w:shd w:val="clear" w:color="auto" w:fill="auto"/>
            <w:hideMark/>
          </w:tcPr>
          <w:p w14:paraId="0F3E9DAD"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7033AA72"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r>
      <w:tr w:rsidR="000A1AD9" w:rsidRPr="000A1AD9" w14:paraId="73691B2F" w14:textId="77777777" w:rsidTr="008E0319">
        <w:trPr>
          <w:trHeight w:val="300"/>
        </w:trPr>
        <w:tc>
          <w:tcPr>
            <w:tcW w:w="194" w:type="pct"/>
            <w:tcBorders>
              <w:top w:val="nil"/>
              <w:left w:val="single" w:sz="4" w:space="0" w:color="auto"/>
              <w:bottom w:val="single" w:sz="4" w:space="0" w:color="auto"/>
              <w:right w:val="single" w:sz="4" w:space="0" w:color="auto"/>
            </w:tcBorders>
            <w:shd w:val="clear" w:color="auto" w:fill="auto"/>
            <w:hideMark/>
          </w:tcPr>
          <w:p w14:paraId="7C73FA79"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36</w:t>
            </w:r>
          </w:p>
        </w:tc>
        <w:tc>
          <w:tcPr>
            <w:tcW w:w="2637" w:type="pct"/>
            <w:tcBorders>
              <w:top w:val="nil"/>
              <w:left w:val="nil"/>
              <w:bottom w:val="single" w:sz="4" w:space="0" w:color="auto"/>
              <w:right w:val="single" w:sz="4" w:space="0" w:color="auto"/>
            </w:tcBorders>
            <w:shd w:val="clear" w:color="auto" w:fill="auto"/>
            <w:hideMark/>
          </w:tcPr>
          <w:p w14:paraId="085CF523"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The solution should provide a flexible framework for developing custom connectors and extensions.</w:t>
            </w:r>
          </w:p>
        </w:tc>
        <w:tc>
          <w:tcPr>
            <w:tcW w:w="858" w:type="pct"/>
            <w:tcBorders>
              <w:top w:val="nil"/>
              <w:left w:val="nil"/>
              <w:bottom w:val="single" w:sz="4" w:space="0" w:color="auto"/>
              <w:right w:val="single" w:sz="4" w:space="0" w:color="auto"/>
            </w:tcBorders>
            <w:shd w:val="clear" w:color="auto" w:fill="auto"/>
            <w:hideMark/>
          </w:tcPr>
          <w:p w14:paraId="7134F8E2"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183CE6A6"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r>
      <w:tr w:rsidR="000A1AD9" w:rsidRPr="000A1AD9" w14:paraId="4BE0BBCD" w14:textId="77777777" w:rsidTr="008E0319">
        <w:trPr>
          <w:trHeight w:val="300"/>
        </w:trPr>
        <w:tc>
          <w:tcPr>
            <w:tcW w:w="194" w:type="pct"/>
            <w:tcBorders>
              <w:top w:val="nil"/>
              <w:left w:val="single" w:sz="4" w:space="0" w:color="auto"/>
              <w:bottom w:val="single" w:sz="4" w:space="0" w:color="auto"/>
              <w:right w:val="single" w:sz="4" w:space="0" w:color="auto"/>
            </w:tcBorders>
            <w:shd w:val="clear" w:color="auto" w:fill="auto"/>
            <w:hideMark/>
          </w:tcPr>
          <w:p w14:paraId="2244D2B6" w14:textId="77777777" w:rsidR="000A1AD9" w:rsidRPr="000A1AD9" w:rsidRDefault="000A1AD9" w:rsidP="000A1AD9">
            <w:pPr>
              <w:spacing w:after="0" w:line="240" w:lineRule="auto"/>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 </w:t>
            </w:r>
          </w:p>
        </w:tc>
        <w:tc>
          <w:tcPr>
            <w:tcW w:w="2637" w:type="pct"/>
            <w:tcBorders>
              <w:top w:val="nil"/>
              <w:left w:val="nil"/>
              <w:bottom w:val="single" w:sz="4" w:space="0" w:color="auto"/>
              <w:right w:val="single" w:sz="4" w:space="0" w:color="auto"/>
            </w:tcBorders>
            <w:shd w:val="clear" w:color="auto" w:fill="auto"/>
            <w:hideMark/>
          </w:tcPr>
          <w:p w14:paraId="455454AD" w14:textId="77777777" w:rsidR="000A1AD9" w:rsidRPr="000A1AD9" w:rsidRDefault="000A1AD9" w:rsidP="000A1AD9">
            <w:pPr>
              <w:spacing w:after="0" w:line="240" w:lineRule="auto"/>
              <w:rPr>
                <w:rFonts w:ascii="Calibri" w:eastAsia="Times New Roman" w:hAnsi="Calibri" w:cs="Calibri"/>
                <w:b/>
                <w:bCs/>
                <w:sz w:val="20"/>
                <w:szCs w:val="20"/>
                <w:lang w:val="en-GB" w:eastAsia="en-GB"/>
              </w:rPr>
            </w:pPr>
            <w:r w:rsidRPr="000A1AD9">
              <w:rPr>
                <w:rFonts w:ascii="Calibri" w:eastAsia="Times New Roman" w:hAnsi="Calibri" w:cs="Calibri"/>
                <w:b/>
                <w:bCs/>
                <w:sz w:val="20"/>
                <w:szCs w:val="20"/>
                <w:lang w:val="en-GB" w:eastAsia="en-GB"/>
              </w:rPr>
              <w:t>Other Features</w:t>
            </w:r>
          </w:p>
        </w:tc>
        <w:tc>
          <w:tcPr>
            <w:tcW w:w="858" w:type="pct"/>
            <w:tcBorders>
              <w:top w:val="nil"/>
              <w:left w:val="nil"/>
              <w:bottom w:val="single" w:sz="4" w:space="0" w:color="auto"/>
              <w:right w:val="single" w:sz="4" w:space="0" w:color="auto"/>
            </w:tcBorders>
            <w:shd w:val="clear" w:color="auto" w:fill="auto"/>
            <w:hideMark/>
          </w:tcPr>
          <w:p w14:paraId="4F415267"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1803264B"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r>
      <w:tr w:rsidR="000A1AD9" w:rsidRPr="000A1AD9" w14:paraId="3BA910CB" w14:textId="77777777" w:rsidTr="008E0319">
        <w:trPr>
          <w:trHeight w:val="300"/>
        </w:trPr>
        <w:tc>
          <w:tcPr>
            <w:tcW w:w="194" w:type="pct"/>
            <w:tcBorders>
              <w:top w:val="nil"/>
              <w:left w:val="single" w:sz="4" w:space="0" w:color="auto"/>
              <w:bottom w:val="single" w:sz="4" w:space="0" w:color="auto"/>
              <w:right w:val="single" w:sz="4" w:space="0" w:color="auto"/>
            </w:tcBorders>
            <w:shd w:val="clear" w:color="auto" w:fill="auto"/>
            <w:hideMark/>
          </w:tcPr>
          <w:p w14:paraId="079175ED"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37</w:t>
            </w:r>
          </w:p>
        </w:tc>
        <w:tc>
          <w:tcPr>
            <w:tcW w:w="2637" w:type="pct"/>
            <w:tcBorders>
              <w:top w:val="nil"/>
              <w:left w:val="nil"/>
              <w:bottom w:val="single" w:sz="4" w:space="0" w:color="auto"/>
              <w:right w:val="single" w:sz="4" w:space="0" w:color="auto"/>
            </w:tcBorders>
            <w:shd w:val="clear" w:color="auto" w:fill="auto"/>
            <w:hideMark/>
          </w:tcPr>
          <w:p w14:paraId="7265BF64"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The Solution should perform Data Discovery and Classification with office tools from Microsoft.</w:t>
            </w:r>
          </w:p>
        </w:tc>
        <w:tc>
          <w:tcPr>
            <w:tcW w:w="858" w:type="pct"/>
            <w:tcBorders>
              <w:top w:val="nil"/>
              <w:left w:val="nil"/>
              <w:bottom w:val="single" w:sz="4" w:space="0" w:color="auto"/>
              <w:right w:val="single" w:sz="4" w:space="0" w:color="auto"/>
            </w:tcBorders>
            <w:shd w:val="clear" w:color="auto" w:fill="auto"/>
            <w:hideMark/>
          </w:tcPr>
          <w:p w14:paraId="446C454E"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08ABA36C"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r>
      <w:tr w:rsidR="000A1AD9" w:rsidRPr="000A1AD9" w14:paraId="4FF83080" w14:textId="77777777" w:rsidTr="008E0319">
        <w:trPr>
          <w:trHeight w:val="300"/>
        </w:trPr>
        <w:tc>
          <w:tcPr>
            <w:tcW w:w="194" w:type="pct"/>
            <w:tcBorders>
              <w:top w:val="nil"/>
              <w:left w:val="single" w:sz="4" w:space="0" w:color="auto"/>
              <w:bottom w:val="single" w:sz="4" w:space="0" w:color="auto"/>
              <w:right w:val="single" w:sz="4" w:space="0" w:color="auto"/>
            </w:tcBorders>
            <w:shd w:val="clear" w:color="auto" w:fill="auto"/>
            <w:hideMark/>
          </w:tcPr>
          <w:p w14:paraId="5FF61C2D"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38</w:t>
            </w:r>
          </w:p>
        </w:tc>
        <w:tc>
          <w:tcPr>
            <w:tcW w:w="2637" w:type="pct"/>
            <w:tcBorders>
              <w:top w:val="nil"/>
              <w:left w:val="nil"/>
              <w:bottom w:val="single" w:sz="4" w:space="0" w:color="auto"/>
              <w:right w:val="single" w:sz="4" w:space="0" w:color="auto"/>
            </w:tcBorders>
            <w:shd w:val="clear" w:color="auto" w:fill="auto"/>
            <w:hideMark/>
          </w:tcPr>
          <w:p w14:paraId="7FA3E1C8"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The Solution should perform Data Discovery and Classification with standard email tools such as IBM Lotus, Office 365 etc.</w:t>
            </w:r>
          </w:p>
        </w:tc>
        <w:tc>
          <w:tcPr>
            <w:tcW w:w="858" w:type="pct"/>
            <w:tcBorders>
              <w:top w:val="nil"/>
              <w:left w:val="nil"/>
              <w:bottom w:val="single" w:sz="4" w:space="0" w:color="auto"/>
              <w:right w:val="single" w:sz="4" w:space="0" w:color="auto"/>
            </w:tcBorders>
            <w:shd w:val="clear" w:color="auto" w:fill="auto"/>
            <w:hideMark/>
          </w:tcPr>
          <w:p w14:paraId="4D19A406"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6BB66972"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r>
      <w:tr w:rsidR="000A1AD9" w:rsidRPr="000A1AD9" w14:paraId="5539CCB0" w14:textId="77777777" w:rsidTr="008E0319">
        <w:trPr>
          <w:trHeight w:val="300"/>
        </w:trPr>
        <w:tc>
          <w:tcPr>
            <w:tcW w:w="194" w:type="pct"/>
            <w:tcBorders>
              <w:top w:val="nil"/>
              <w:left w:val="single" w:sz="4" w:space="0" w:color="auto"/>
              <w:bottom w:val="single" w:sz="4" w:space="0" w:color="auto"/>
              <w:right w:val="single" w:sz="4" w:space="0" w:color="auto"/>
            </w:tcBorders>
            <w:shd w:val="clear" w:color="auto" w:fill="auto"/>
            <w:hideMark/>
          </w:tcPr>
          <w:p w14:paraId="7F698287"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39</w:t>
            </w:r>
          </w:p>
        </w:tc>
        <w:tc>
          <w:tcPr>
            <w:tcW w:w="2637" w:type="pct"/>
            <w:tcBorders>
              <w:top w:val="nil"/>
              <w:left w:val="nil"/>
              <w:bottom w:val="single" w:sz="4" w:space="0" w:color="auto"/>
              <w:right w:val="single" w:sz="4" w:space="0" w:color="auto"/>
            </w:tcBorders>
            <w:shd w:val="clear" w:color="auto" w:fill="auto"/>
            <w:hideMark/>
          </w:tcPr>
          <w:p w14:paraId="0DC161B1"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Solution should be able to scan compressed files, Image Files</w:t>
            </w:r>
          </w:p>
        </w:tc>
        <w:tc>
          <w:tcPr>
            <w:tcW w:w="858" w:type="pct"/>
            <w:tcBorders>
              <w:top w:val="nil"/>
              <w:left w:val="nil"/>
              <w:bottom w:val="single" w:sz="4" w:space="0" w:color="auto"/>
              <w:right w:val="single" w:sz="4" w:space="0" w:color="auto"/>
            </w:tcBorders>
            <w:shd w:val="clear" w:color="auto" w:fill="auto"/>
            <w:hideMark/>
          </w:tcPr>
          <w:p w14:paraId="4ECD8576"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3D85E89E"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r>
      <w:tr w:rsidR="000A1AD9" w:rsidRPr="000A1AD9" w14:paraId="72F2B9A8" w14:textId="77777777" w:rsidTr="008E0319">
        <w:trPr>
          <w:trHeight w:val="300"/>
        </w:trPr>
        <w:tc>
          <w:tcPr>
            <w:tcW w:w="194" w:type="pct"/>
            <w:tcBorders>
              <w:top w:val="nil"/>
              <w:left w:val="single" w:sz="4" w:space="0" w:color="auto"/>
              <w:bottom w:val="single" w:sz="4" w:space="0" w:color="auto"/>
              <w:right w:val="single" w:sz="4" w:space="0" w:color="auto"/>
            </w:tcBorders>
            <w:shd w:val="clear" w:color="auto" w:fill="auto"/>
            <w:hideMark/>
          </w:tcPr>
          <w:p w14:paraId="256E6D3B"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40</w:t>
            </w:r>
          </w:p>
        </w:tc>
        <w:tc>
          <w:tcPr>
            <w:tcW w:w="2637" w:type="pct"/>
            <w:tcBorders>
              <w:top w:val="nil"/>
              <w:left w:val="nil"/>
              <w:bottom w:val="single" w:sz="4" w:space="0" w:color="auto"/>
              <w:right w:val="single" w:sz="4" w:space="0" w:color="auto"/>
            </w:tcBorders>
            <w:shd w:val="clear" w:color="auto" w:fill="auto"/>
            <w:hideMark/>
          </w:tcPr>
          <w:p w14:paraId="18613C7D"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The solution should allow to classify files within the files when the file is open</w:t>
            </w:r>
          </w:p>
        </w:tc>
        <w:tc>
          <w:tcPr>
            <w:tcW w:w="858" w:type="pct"/>
            <w:tcBorders>
              <w:top w:val="nil"/>
              <w:left w:val="nil"/>
              <w:bottom w:val="single" w:sz="4" w:space="0" w:color="auto"/>
              <w:right w:val="single" w:sz="4" w:space="0" w:color="auto"/>
            </w:tcBorders>
            <w:shd w:val="clear" w:color="auto" w:fill="auto"/>
            <w:hideMark/>
          </w:tcPr>
          <w:p w14:paraId="655A48E5"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53AB6FF4"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r>
      <w:tr w:rsidR="000A1AD9" w:rsidRPr="000A1AD9" w14:paraId="26C2AFDA" w14:textId="77777777" w:rsidTr="008E0319">
        <w:trPr>
          <w:trHeight w:val="300"/>
        </w:trPr>
        <w:tc>
          <w:tcPr>
            <w:tcW w:w="194" w:type="pct"/>
            <w:tcBorders>
              <w:top w:val="nil"/>
              <w:left w:val="single" w:sz="4" w:space="0" w:color="auto"/>
              <w:bottom w:val="single" w:sz="4" w:space="0" w:color="auto"/>
              <w:right w:val="single" w:sz="4" w:space="0" w:color="auto"/>
            </w:tcBorders>
            <w:shd w:val="clear" w:color="auto" w:fill="auto"/>
            <w:hideMark/>
          </w:tcPr>
          <w:p w14:paraId="64C94FF3"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lastRenderedPageBreak/>
              <w:t>41</w:t>
            </w:r>
          </w:p>
        </w:tc>
        <w:tc>
          <w:tcPr>
            <w:tcW w:w="2637" w:type="pct"/>
            <w:tcBorders>
              <w:top w:val="nil"/>
              <w:left w:val="nil"/>
              <w:bottom w:val="single" w:sz="4" w:space="0" w:color="auto"/>
              <w:right w:val="single" w:sz="4" w:space="0" w:color="auto"/>
            </w:tcBorders>
            <w:shd w:val="clear" w:color="auto" w:fill="auto"/>
            <w:hideMark/>
          </w:tcPr>
          <w:p w14:paraId="1A0D091A"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The solution should have the feature such that user is prompted to reclassify the file in case of changes made to the files</w:t>
            </w:r>
          </w:p>
        </w:tc>
        <w:tc>
          <w:tcPr>
            <w:tcW w:w="858" w:type="pct"/>
            <w:tcBorders>
              <w:top w:val="nil"/>
              <w:left w:val="nil"/>
              <w:bottom w:val="single" w:sz="4" w:space="0" w:color="auto"/>
              <w:right w:val="single" w:sz="4" w:space="0" w:color="auto"/>
            </w:tcBorders>
            <w:shd w:val="clear" w:color="auto" w:fill="auto"/>
            <w:hideMark/>
          </w:tcPr>
          <w:p w14:paraId="0122EC89"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33D8FF30"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r>
      <w:tr w:rsidR="000A1AD9" w:rsidRPr="000A1AD9" w14:paraId="1CAE60B8" w14:textId="77777777" w:rsidTr="008E0319">
        <w:trPr>
          <w:trHeight w:val="300"/>
        </w:trPr>
        <w:tc>
          <w:tcPr>
            <w:tcW w:w="194" w:type="pct"/>
            <w:tcBorders>
              <w:top w:val="nil"/>
              <w:left w:val="single" w:sz="4" w:space="0" w:color="auto"/>
              <w:bottom w:val="single" w:sz="4" w:space="0" w:color="auto"/>
              <w:right w:val="single" w:sz="4" w:space="0" w:color="auto"/>
            </w:tcBorders>
            <w:shd w:val="clear" w:color="auto" w:fill="auto"/>
            <w:hideMark/>
          </w:tcPr>
          <w:p w14:paraId="15E11441"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42</w:t>
            </w:r>
          </w:p>
        </w:tc>
        <w:tc>
          <w:tcPr>
            <w:tcW w:w="2637" w:type="pct"/>
            <w:tcBorders>
              <w:top w:val="nil"/>
              <w:left w:val="nil"/>
              <w:bottom w:val="single" w:sz="4" w:space="0" w:color="auto"/>
              <w:right w:val="single" w:sz="4" w:space="0" w:color="auto"/>
            </w:tcBorders>
            <w:shd w:val="clear" w:color="auto" w:fill="auto"/>
            <w:hideMark/>
          </w:tcPr>
          <w:p w14:paraId="76D2B978"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The solutions should be integrated with DLP, SIEM</w:t>
            </w:r>
          </w:p>
        </w:tc>
        <w:tc>
          <w:tcPr>
            <w:tcW w:w="858" w:type="pct"/>
            <w:tcBorders>
              <w:top w:val="nil"/>
              <w:left w:val="nil"/>
              <w:bottom w:val="single" w:sz="4" w:space="0" w:color="auto"/>
              <w:right w:val="single" w:sz="4" w:space="0" w:color="auto"/>
            </w:tcBorders>
            <w:shd w:val="clear" w:color="auto" w:fill="auto"/>
            <w:hideMark/>
          </w:tcPr>
          <w:p w14:paraId="0D222D77"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7336E9A5"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r>
      <w:tr w:rsidR="000A1AD9" w:rsidRPr="000A1AD9" w14:paraId="7932B34A" w14:textId="77777777" w:rsidTr="008E0319">
        <w:trPr>
          <w:trHeight w:val="300"/>
        </w:trPr>
        <w:tc>
          <w:tcPr>
            <w:tcW w:w="194" w:type="pct"/>
            <w:tcBorders>
              <w:top w:val="nil"/>
              <w:left w:val="single" w:sz="4" w:space="0" w:color="auto"/>
              <w:bottom w:val="single" w:sz="4" w:space="0" w:color="auto"/>
              <w:right w:val="single" w:sz="4" w:space="0" w:color="auto"/>
            </w:tcBorders>
            <w:shd w:val="clear" w:color="auto" w:fill="auto"/>
            <w:hideMark/>
          </w:tcPr>
          <w:p w14:paraId="68C13D65" w14:textId="77777777" w:rsidR="000A1AD9" w:rsidRPr="000A1AD9" w:rsidRDefault="000A1AD9" w:rsidP="000A1AD9">
            <w:pPr>
              <w:spacing w:after="0" w:line="240" w:lineRule="auto"/>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 </w:t>
            </w:r>
          </w:p>
        </w:tc>
        <w:tc>
          <w:tcPr>
            <w:tcW w:w="2637" w:type="pct"/>
            <w:tcBorders>
              <w:top w:val="nil"/>
              <w:left w:val="nil"/>
              <w:bottom w:val="single" w:sz="4" w:space="0" w:color="auto"/>
              <w:right w:val="single" w:sz="4" w:space="0" w:color="auto"/>
            </w:tcBorders>
            <w:shd w:val="clear" w:color="auto" w:fill="auto"/>
            <w:hideMark/>
          </w:tcPr>
          <w:p w14:paraId="585D41A1"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 </w:t>
            </w:r>
          </w:p>
        </w:tc>
        <w:tc>
          <w:tcPr>
            <w:tcW w:w="858" w:type="pct"/>
            <w:tcBorders>
              <w:top w:val="nil"/>
              <w:left w:val="nil"/>
              <w:bottom w:val="single" w:sz="4" w:space="0" w:color="auto"/>
              <w:right w:val="single" w:sz="4" w:space="0" w:color="auto"/>
            </w:tcBorders>
            <w:shd w:val="clear" w:color="auto" w:fill="auto"/>
            <w:hideMark/>
          </w:tcPr>
          <w:p w14:paraId="0CAB9396"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2D4989A8"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r>
      <w:tr w:rsidR="000A1AD9" w:rsidRPr="000A1AD9" w14:paraId="533F5D8C" w14:textId="77777777" w:rsidTr="008E0319">
        <w:trPr>
          <w:trHeight w:val="510"/>
        </w:trPr>
        <w:tc>
          <w:tcPr>
            <w:tcW w:w="194" w:type="pct"/>
            <w:tcBorders>
              <w:top w:val="nil"/>
              <w:left w:val="single" w:sz="4" w:space="0" w:color="auto"/>
              <w:bottom w:val="single" w:sz="4" w:space="0" w:color="auto"/>
              <w:right w:val="single" w:sz="4" w:space="0" w:color="auto"/>
            </w:tcBorders>
            <w:shd w:val="clear" w:color="auto" w:fill="auto"/>
            <w:hideMark/>
          </w:tcPr>
          <w:p w14:paraId="2915261B"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43</w:t>
            </w:r>
          </w:p>
        </w:tc>
        <w:tc>
          <w:tcPr>
            <w:tcW w:w="2637" w:type="pct"/>
            <w:tcBorders>
              <w:top w:val="nil"/>
              <w:left w:val="nil"/>
              <w:bottom w:val="single" w:sz="4" w:space="0" w:color="auto"/>
              <w:right w:val="single" w:sz="4" w:space="0" w:color="auto"/>
            </w:tcBorders>
            <w:shd w:val="clear" w:color="auto" w:fill="auto"/>
            <w:hideMark/>
          </w:tcPr>
          <w:p w14:paraId="2B6395FA"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The solution should Identify and categorize/develop inventory of sensitive data, PII, or any other critical data as the Bank’s requirements</w:t>
            </w:r>
          </w:p>
        </w:tc>
        <w:tc>
          <w:tcPr>
            <w:tcW w:w="858" w:type="pct"/>
            <w:tcBorders>
              <w:top w:val="nil"/>
              <w:left w:val="nil"/>
              <w:bottom w:val="single" w:sz="4" w:space="0" w:color="auto"/>
              <w:right w:val="single" w:sz="4" w:space="0" w:color="auto"/>
            </w:tcBorders>
            <w:shd w:val="clear" w:color="auto" w:fill="auto"/>
            <w:hideMark/>
          </w:tcPr>
          <w:p w14:paraId="267D6C31"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34AC5B82"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r>
      <w:tr w:rsidR="000A1AD9" w:rsidRPr="000A1AD9" w14:paraId="36556EE3" w14:textId="77777777" w:rsidTr="008E0319">
        <w:trPr>
          <w:trHeight w:val="300"/>
        </w:trPr>
        <w:tc>
          <w:tcPr>
            <w:tcW w:w="194" w:type="pct"/>
            <w:tcBorders>
              <w:top w:val="nil"/>
              <w:left w:val="single" w:sz="4" w:space="0" w:color="auto"/>
              <w:bottom w:val="single" w:sz="4" w:space="0" w:color="auto"/>
              <w:right w:val="single" w:sz="4" w:space="0" w:color="auto"/>
            </w:tcBorders>
            <w:shd w:val="clear" w:color="auto" w:fill="auto"/>
            <w:hideMark/>
          </w:tcPr>
          <w:p w14:paraId="40F49D19"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44</w:t>
            </w:r>
          </w:p>
        </w:tc>
        <w:tc>
          <w:tcPr>
            <w:tcW w:w="2637" w:type="pct"/>
            <w:tcBorders>
              <w:top w:val="nil"/>
              <w:left w:val="nil"/>
              <w:bottom w:val="single" w:sz="4" w:space="0" w:color="auto"/>
              <w:right w:val="single" w:sz="4" w:space="0" w:color="auto"/>
            </w:tcBorders>
            <w:shd w:val="clear" w:color="auto" w:fill="auto"/>
            <w:hideMark/>
          </w:tcPr>
          <w:p w14:paraId="033BAEBD"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The solution should Support for scanning all types of file formats like pdf, excel, ppt, word, text files, files without extensions</w:t>
            </w:r>
          </w:p>
        </w:tc>
        <w:tc>
          <w:tcPr>
            <w:tcW w:w="858" w:type="pct"/>
            <w:tcBorders>
              <w:top w:val="nil"/>
              <w:left w:val="nil"/>
              <w:bottom w:val="single" w:sz="4" w:space="0" w:color="auto"/>
              <w:right w:val="single" w:sz="4" w:space="0" w:color="auto"/>
            </w:tcBorders>
            <w:shd w:val="clear" w:color="auto" w:fill="auto"/>
            <w:hideMark/>
          </w:tcPr>
          <w:p w14:paraId="23AB364B"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7A4EA679"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r>
      <w:tr w:rsidR="000A1AD9" w:rsidRPr="000A1AD9" w14:paraId="4C28244A" w14:textId="77777777" w:rsidTr="008E0319">
        <w:trPr>
          <w:trHeight w:val="300"/>
        </w:trPr>
        <w:tc>
          <w:tcPr>
            <w:tcW w:w="194" w:type="pct"/>
            <w:tcBorders>
              <w:top w:val="nil"/>
              <w:left w:val="single" w:sz="4" w:space="0" w:color="auto"/>
              <w:bottom w:val="single" w:sz="4" w:space="0" w:color="auto"/>
              <w:right w:val="single" w:sz="4" w:space="0" w:color="auto"/>
            </w:tcBorders>
            <w:shd w:val="clear" w:color="auto" w:fill="auto"/>
            <w:hideMark/>
          </w:tcPr>
          <w:p w14:paraId="068BC8EB"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45</w:t>
            </w:r>
          </w:p>
        </w:tc>
        <w:tc>
          <w:tcPr>
            <w:tcW w:w="2637" w:type="pct"/>
            <w:tcBorders>
              <w:top w:val="nil"/>
              <w:left w:val="nil"/>
              <w:bottom w:val="single" w:sz="4" w:space="0" w:color="auto"/>
              <w:right w:val="single" w:sz="4" w:space="0" w:color="auto"/>
            </w:tcBorders>
            <w:shd w:val="clear" w:color="auto" w:fill="auto"/>
            <w:hideMark/>
          </w:tcPr>
          <w:p w14:paraId="3BA799AA"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The solution should Support to scan compressed files like zip, rar, 7z etc</w:t>
            </w:r>
          </w:p>
        </w:tc>
        <w:tc>
          <w:tcPr>
            <w:tcW w:w="858" w:type="pct"/>
            <w:tcBorders>
              <w:top w:val="nil"/>
              <w:left w:val="nil"/>
              <w:bottom w:val="single" w:sz="4" w:space="0" w:color="auto"/>
              <w:right w:val="single" w:sz="4" w:space="0" w:color="auto"/>
            </w:tcBorders>
            <w:shd w:val="clear" w:color="auto" w:fill="auto"/>
            <w:hideMark/>
          </w:tcPr>
          <w:p w14:paraId="27BEF4BD"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63BFB24D"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r>
      <w:tr w:rsidR="000A1AD9" w:rsidRPr="000A1AD9" w14:paraId="53CBE680" w14:textId="77777777" w:rsidTr="008E0319">
        <w:trPr>
          <w:trHeight w:val="300"/>
        </w:trPr>
        <w:tc>
          <w:tcPr>
            <w:tcW w:w="194" w:type="pct"/>
            <w:tcBorders>
              <w:top w:val="nil"/>
              <w:left w:val="single" w:sz="4" w:space="0" w:color="auto"/>
              <w:bottom w:val="single" w:sz="4" w:space="0" w:color="auto"/>
              <w:right w:val="single" w:sz="4" w:space="0" w:color="auto"/>
            </w:tcBorders>
            <w:shd w:val="clear" w:color="auto" w:fill="auto"/>
            <w:hideMark/>
          </w:tcPr>
          <w:p w14:paraId="3B050F70"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46</w:t>
            </w:r>
          </w:p>
        </w:tc>
        <w:tc>
          <w:tcPr>
            <w:tcW w:w="2637" w:type="pct"/>
            <w:tcBorders>
              <w:top w:val="nil"/>
              <w:left w:val="nil"/>
              <w:bottom w:val="single" w:sz="4" w:space="0" w:color="auto"/>
              <w:right w:val="single" w:sz="4" w:space="0" w:color="auto"/>
            </w:tcBorders>
            <w:shd w:val="clear" w:color="auto" w:fill="auto"/>
            <w:hideMark/>
          </w:tcPr>
          <w:p w14:paraId="4C2E0C63"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The solution should Support for scanning Image files with OCR</w:t>
            </w:r>
          </w:p>
        </w:tc>
        <w:tc>
          <w:tcPr>
            <w:tcW w:w="858" w:type="pct"/>
            <w:tcBorders>
              <w:top w:val="nil"/>
              <w:left w:val="nil"/>
              <w:bottom w:val="single" w:sz="4" w:space="0" w:color="auto"/>
              <w:right w:val="single" w:sz="4" w:space="0" w:color="auto"/>
            </w:tcBorders>
            <w:shd w:val="clear" w:color="auto" w:fill="auto"/>
            <w:hideMark/>
          </w:tcPr>
          <w:p w14:paraId="1D9DFD7F"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5112A835"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r>
      <w:tr w:rsidR="000A1AD9" w:rsidRPr="000A1AD9" w14:paraId="71D9B2FD" w14:textId="77777777" w:rsidTr="008E0319">
        <w:trPr>
          <w:trHeight w:val="300"/>
        </w:trPr>
        <w:tc>
          <w:tcPr>
            <w:tcW w:w="194" w:type="pct"/>
            <w:tcBorders>
              <w:top w:val="nil"/>
              <w:left w:val="single" w:sz="4" w:space="0" w:color="auto"/>
              <w:bottom w:val="single" w:sz="4" w:space="0" w:color="auto"/>
              <w:right w:val="single" w:sz="4" w:space="0" w:color="auto"/>
            </w:tcBorders>
            <w:shd w:val="clear" w:color="auto" w:fill="auto"/>
            <w:hideMark/>
          </w:tcPr>
          <w:p w14:paraId="50568FE5"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47</w:t>
            </w:r>
          </w:p>
        </w:tc>
        <w:tc>
          <w:tcPr>
            <w:tcW w:w="2637" w:type="pct"/>
            <w:tcBorders>
              <w:top w:val="nil"/>
              <w:left w:val="nil"/>
              <w:bottom w:val="single" w:sz="4" w:space="0" w:color="auto"/>
              <w:right w:val="single" w:sz="4" w:space="0" w:color="auto"/>
            </w:tcBorders>
            <w:shd w:val="clear" w:color="auto" w:fill="auto"/>
            <w:hideMark/>
          </w:tcPr>
          <w:p w14:paraId="23DB2467"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The solution should Support for scanning images inside PDF, Document, PPT etc.,CAD -engineering drawings</w:t>
            </w:r>
          </w:p>
        </w:tc>
        <w:tc>
          <w:tcPr>
            <w:tcW w:w="858" w:type="pct"/>
            <w:tcBorders>
              <w:top w:val="nil"/>
              <w:left w:val="nil"/>
              <w:bottom w:val="single" w:sz="4" w:space="0" w:color="auto"/>
              <w:right w:val="single" w:sz="4" w:space="0" w:color="auto"/>
            </w:tcBorders>
            <w:shd w:val="clear" w:color="auto" w:fill="auto"/>
            <w:hideMark/>
          </w:tcPr>
          <w:p w14:paraId="29103F96"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6F6431DC"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r>
      <w:tr w:rsidR="000A1AD9" w:rsidRPr="000A1AD9" w14:paraId="65BCDBEA" w14:textId="77777777" w:rsidTr="008E0319">
        <w:trPr>
          <w:trHeight w:val="300"/>
        </w:trPr>
        <w:tc>
          <w:tcPr>
            <w:tcW w:w="194" w:type="pct"/>
            <w:tcBorders>
              <w:top w:val="nil"/>
              <w:left w:val="single" w:sz="4" w:space="0" w:color="auto"/>
              <w:bottom w:val="single" w:sz="4" w:space="0" w:color="auto"/>
              <w:right w:val="single" w:sz="4" w:space="0" w:color="auto"/>
            </w:tcBorders>
            <w:shd w:val="clear" w:color="auto" w:fill="auto"/>
            <w:hideMark/>
          </w:tcPr>
          <w:p w14:paraId="47B48DAB"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48</w:t>
            </w:r>
          </w:p>
        </w:tc>
        <w:tc>
          <w:tcPr>
            <w:tcW w:w="2637" w:type="pct"/>
            <w:tcBorders>
              <w:top w:val="nil"/>
              <w:left w:val="nil"/>
              <w:bottom w:val="single" w:sz="4" w:space="0" w:color="auto"/>
              <w:right w:val="single" w:sz="4" w:space="0" w:color="auto"/>
            </w:tcBorders>
            <w:shd w:val="clear" w:color="auto" w:fill="auto"/>
            <w:hideMark/>
          </w:tcPr>
          <w:p w14:paraId="74ABB967"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The solution should enable the classification of Word, Excel, PowerPoint, Open source office documents from within.</w:t>
            </w:r>
          </w:p>
        </w:tc>
        <w:tc>
          <w:tcPr>
            <w:tcW w:w="858" w:type="pct"/>
            <w:tcBorders>
              <w:top w:val="nil"/>
              <w:left w:val="nil"/>
              <w:bottom w:val="single" w:sz="4" w:space="0" w:color="auto"/>
              <w:right w:val="single" w:sz="4" w:space="0" w:color="auto"/>
            </w:tcBorders>
            <w:shd w:val="clear" w:color="auto" w:fill="auto"/>
            <w:hideMark/>
          </w:tcPr>
          <w:p w14:paraId="7AF48DEA"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12F5409F"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r>
      <w:tr w:rsidR="000A1AD9" w:rsidRPr="000A1AD9" w14:paraId="262756BB" w14:textId="77777777" w:rsidTr="008E0319">
        <w:trPr>
          <w:trHeight w:val="300"/>
        </w:trPr>
        <w:tc>
          <w:tcPr>
            <w:tcW w:w="194" w:type="pct"/>
            <w:tcBorders>
              <w:top w:val="nil"/>
              <w:left w:val="single" w:sz="4" w:space="0" w:color="auto"/>
              <w:bottom w:val="single" w:sz="4" w:space="0" w:color="auto"/>
              <w:right w:val="single" w:sz="4" w:space="0" w:color="auto"/>
            </w:tcBorders>
            <w:shd w:val="clear" w:color="auto" w:fill="auto"/>
            <w:hideMark/>
          </w:tcPr>
          <w:p w14:paraId="194D9D24"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49</w:t>
            </w:r>
          </w:p>
        </w:tc>
        <w:tc>
          <w:tcPr>
            <w:tcW w:w="2637" w:type="pct"/>
            <w:tcBorders>
              <w:top w:val="nil"/>
              <w:left w:val="nil"/>
              <w:bottom w:val="single" w:sz="4" w:space="0" w:color="auto"/>
              <w:right w:val="single" w:sz="4" w:space="0" w:color="auto"/>
            </w:tcBorders>
            <w:shd w:val="clear" w:color="auto" w:fill="auto"/>
            <w:hideMark/>
          </w:tcPr>
          <w:p w14:paraId="51922E97"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The solution should enable user can define different Classification labels like public, internal, confidential, restricted etc.</w:t>
            </w:r>
          </w:p>
        </w:tc>
        <w:tc>
          <w:tcPr>
            <w:tcW w:w="858" w:type="pct"/>
            <w:tcBorders>
              <w:top w:val="nil"/>
              <w:left w:val="nil"/>
              <w:bottom w:val="single" w:sz="4" w:space="0" w:color="auto"/>
              <w:right w:val="single" w:sz="4" w:space="0" w:color="auto"/>
            </w:tcBorders>
            <w:shd w:val="clear" w:color="auto" w:fill="auto"/>
            <w:hideMark/>
          </w:tcPr>
          <w:p w14:paraId="70123FC1"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0724B458"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r>
      <w:tr w:rsidR="000A1AD9" w:rsidRPr="000A1AD9" w14:paraId="3B2A2275" w14:textId="77777777" w:rsidTr="008E0319">
        <w:trPr>
          <w:trHeight w:val="300"/>
        </w:trPr>
        <w:tc>
          <w:tcPr>
            <w:tcW w:w="194" w:type="pct"/>
            <w:tcBorders>
              <w:top w:val="nil"/>
              <w:left w:val="single" w:sz="4" w:space="0" w:color="auto"/>
              <w:bottom w:val="single" w:sz="4" w:space="0" w:color="auto"/>
              <w:right w:val="single" w:sz="4" w:space="0" w:color="auto"/>
            </w:tcBorders>
            <w:shd w:val="clear" w:color="auto" w:fill="auto"/>
            <w:hideMark/>
          </w:tcPr>
          <w:p w14:paraId="4E3717B4"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50</w:t>
            </w:r>
          </w:p>
        </w:tc>
        <w:tc>
          <w:tcPr>
            <w:tcW w:w="2637" w:type="pct"/>
            <w:tcBorders>
              <w:top w:val="nil"/>
              <w:left w:val="nil"/>
              <w:bottom w:val="single" w:sz="4" w:space="0" w:color="auto"/>
              <w:right w:val="single" w:sz="4" w:space="0" w:color="auto"/>
            </w:tcBorders>
            <w:shd w:val="clear" w:color="auto" w:fill="auto"/>
            <w:hideMark/>
          </w:tcPr>
          <w:p w14:paraId="32953114"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The solutions should be able to insert metadata tags in the documents and emails which can be read by DLP Solutions.</w:t>
            </w:r>
          </w:p>
        </w:tc>
        <w:tc>
          <w:tcPr>
            <w:tcW w:w="858" w:type="pct"/>
            <w:tcBorders>
              <w:top w:val="nil"/>
              <w:left w:val="nil"/>
              <w:bottom w:val="single" w:sz="4" w:space="0" w:color="auto"/>
              <w:right w:val="single" w:sz="4" w:space="0" w:color="auto"/>
            </w:tcBorders>
            <w:shd w:val="clear" w:color="auto" w:fill="auto"/>
            <w:hideMark/>
          </w:tcPr>
          <w:p w14:paraId="20889A31"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3390200B"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r>
      <w:tr w:rsidR="000A1AD9" w:rsidRPr="000A1AD9" w14:paraId="722BBBD8" w14:textId="77777777" w:rsidTr="008E0319">
        <w:trPr>
          <w:trHeight w:val="300"/>
        </w:trPr>
        <w:tc>
          <w:tcPr>
            <w:tcW w:w="194" w:type="pct"/>
            <w:tcBorders>
              <w:top w:val="nil"/>
              <w:left w:val="single" w:sz="4" w:space="0" w:color="auto"/>
              <w:bottom w:val="single" w:sz="4" w:space="0" w:color="auto"/>
              <w:right w:val="single" w:sz="4" w:space="0" w:color="auto"/>
            </w:tcBorders>
            <w:shd w:val="clear" w:color="auto" w:fill="auto"/>
            <w:hideMark/>
          </w:tcPr>
          <w:p w14:paraId="5A78C1E3"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51</w:t>
            </w:r>
          </w:p>
        </w:tc>
        <w:tc>
          <w:tcPr>
            <w:tcW w:w="2637" w:type="pct"/>
            <w:tcBorders>
              <w:top w:val="nil"/>
              <w:left w:val="nil"/>
              <w:bottom w:val="single" w:sz="4" w:space="0" w:color="auto"/>
              <w:right w:val="single" w:sz="4" w:space="0" w:color="auto"/>
            </w:tcBorders>
            <w:shd w:val="clear" w:color="auto" w:fill="auto"/>
            <w:hideMark/>
          </w:tcPr>
          <w:p w14:paraId="65B30412"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The solution should be able to track initial classification and reclassification events at both document and central logging level.</w:t>
            </w:r>
          </w:p>
        </w:tc>
        <w:tc>
          <w:tcPr>
            <w:tcW w:w="858" w:type="pct"/>
            <w:tcBorders>
              <w:top w:val="nil"/>
              <w:left w:val="nil"/>
              <w:bottom w:val="single" w:sz="4" w:space="0" w:color="auto"/>
              <w:right w:val="single" w:sz="4" w:space="0" w:color="auto"/>
            </w:tcBorders>
            <w:shd w:val="clear" w:color="auto" w:fill="auto"/>
            <w:hideMark/>
          </w:tcPr>
          <w:p w14:paraId="1FB001E1"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3E44D853"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r>
      <w:tr w:rsidR="000A1AD9" w:rsidRPr="000A1AD9" w14:paraId="5A37A6E6" w14:textId="77777777" w:rsidTr="008E0319">
        <w:trPr>
          <w:trHeight w:val="510"/>
        </w:trPr>
        <w:tc>
          <w:tcPr>
            <w:tcW w:w="194" w:type="pct"/>
            <w:tcBorders>
              <w:top w:val="nil"/>
              <w:left w:val="single" w:sz="4" w:space="0" w:color="auto"/>
              <w:bottom w:val="single" w:sz="4" w:space="0" w:color="auto"/>
              <w:right w:val="single" w:sz="4" w:space="0" w:color="auto"/>
            </w:tcBorders>
            <w:shd w:val="clear" w:color="auto" w:fill="auto"/>
            <w:hideMark/>
          </w:tcPr>
          <w:p w14:paraId="12D2498E"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52</w:t>
            </w:r>
          </w:p>
        </w:tc>
        <w:tc>
          <w:tcPr>
            <w:tcW w:w="2637" w:type="pct"/>
            <w:tcBorders>
              <w:top w:val="nil"/>
              <w:left w:val="nil"/>
              <w:bottom w:val="single" w:sz="4" w:space="0" w:color="auto"/>
              <w:right w:val="single" w:sz="4" w:space="0" w:color="auto"/>
            </w:tcBorders>
            <w:shd w:val="clear" w:color="auto" w:fill="auto"/>
            <w:hideMark/>
          </w:tcPr>
          <w:p w14:paraId="285C7845"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The solution should have the ability to classify based on context based on file attributes, ip, hostname, username etc. for example if finance team is creating a file with "shareholder_data" it should be classified as confidential.</w:t>
            </w:r>
          </w:p>
        </w:tc>
        <w:tc>
          <w:tcPr>
            <w:tcW w:w="858" w:type="pct"/>
            <w:tcBorders>
              <w:top w:val="nil"/>
              <w:left w:val="nil"/>
              <w:bottom w:val="single" w:sz="4" w:space="0" w:color="auto"/>
              <w:right w:val="single" w:sz="4" w:space="0" w:color="auto"/>
            </w:tcBorders>
            <w:shd w:val="clear" w:color="auto" w:fill="auto"/>
            <w:hideMark/>
          </w:tcPr>
          <w:p w14:paraId="7E7EC4EE"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6055E4CE"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r>
      <w:tr w:rsidR="000A1AD9" w:rsidRPr="000A1AD9" w14:paraId="347DB66C" w14:textId="77777777" w:rsidTr="008E0319">
        <w:trPr>
          <w:trHeight w:val="510"/>
        </w:trPr>
        <w:tc>
          <w:tcPr>
            <w:tcW w:w="194" w:type="pct"/>
            <w:tcBorders>
              <w:top w:val="nil"/>
              <w:left w:val="single" w:sz="4" w:space="0" w:color="auto"/>
              <w:bottom w:val="single" w:sz="4" w:space="0" w:color="auto"/>
              <w:right w:val="single" w:sz="4" w:space="0" w:color="auto"/>
            </w:tcBorders>
            <w:shd w:val="clear" w:color="auto" w:fill="auto"/>
            <w:hideMark/>
          </w:tcPr>
          <w:p w14:paraId="240AAD42"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53</w:t>
            </w:r>
          </w:p>
        </w:tc>
        <w:tc>
          <w:tcPr>
            <w:tcW w:w="2637" w:type="pct"/>
            <w:tcBorders>
              <w:top w:val="nil"/>
              <w:left w:val="nil"/>
              <w:bottom w:val="single" w:sz="4" w:space="0" w:color="auto"/>
              <w:right w:val="single" w:sz="4" w:space="0" w:color="auto"/>
            </w:tcBorders>
            <w:shd w:val="clear" w:color="auto" w:fill="auto"/>
            <w:hideMark/>
          </w:tcPr>
          <w:p w14:paraId="48A57F70"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The solution should be able to blacklist domains for blocking emails originating out of email domain and also bind certain classification categories with a fixed domain name.</w:t>
            </w:r>
          </w:p>
        </w:tc>
        <w:tc>
          <w:tcPr>
            <w:tcW w:w="858" w:type="pct"/>
            <w:tcBorders>
              <w:top w:val="nil"/>
              <w:left w:val="nil"/>
              <w:bottom w:val="single" w:sz="4" w:space="0" w:color="auto"/>
              <w:right w:val="single" w:sz="4" w:space="0" w:color="auto"/>
            </w:tcBorders>
            <w:shd w:val="clear" w:color="auto" w:fill="auto"/>
            <w:hideMark/>
          </w:tcPr>
          <w:p w14:paraId="1016C9F3"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554E3615"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r>
      <w:tr w:rsidR="000A1AD9" w:rsidRPr="000A1AD9" w14:paraId="61DFE4F1" w14:textId="77777777" w:rsidTr="008E0319">
        <w:trPr>
          <w:trHeight w:val="510"/>
        </w:trPr>
        <w:tc>
          <w:tcPr>
            <w:tcW w:w="194" w:type="pct"/>
            <w:tcBorders>
              <w:top w:val="nil"/>
              <w:left w:val="single" w:sz="4" w:space="0" w:color="auto"/>
              <w:bottom w:val="single" w:sz="4" w:space="0" w:color="auto"/>
              <w:right w:val="single" w:sz="4" w:space="0" w:color="auto"/>
            </w:tcBorders>
            <w:shd w:val="clear" w:color="auto" w:fill="auto"/>
            <w:hideMark/>
          </w:tcPr>
          <w:p w14:paraId="55CC0B33"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54</w:t>
            </w:r>
          </w:p>
        </w:tc>
        <w:tc>
          <w:tcPr>
            <w:tcW w:w="2637" w:type="pct"/>
            <w:tcBorders>
              <w:top w:val="nil"/>
              <w:left w:val="nil"/>
              <w:bottom w:val="single" w:sz="4" w:space="0" w:color="auto"/>
              <w:right w:val="single" w:sz="4" w:space="0" w:color="auto"/>
            </w:tcBorders>
            <w:shd w:val="clear" w:color="auto" w:fill="auto"/>
            <w:hideMark/>
          </w:tcPr>
          <w:p w14:paraId="0FD685B0"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The solution should trigger classification for document on Save, Save As, Print etc. and should be configurable using a management mechanism.</w:t>
            </w:r>
          </w:p>
        </w:tc>
        <w:tc>
          <w:tcPr>
            <w:tcW w:w="858" w:type="pct"/>
            <w:tcBorders>
              <w:top w:val="nil"/>
              <w:left w:val="nil"/>
              <w:bottom w:val="single" w:sz="4" w:space="0" w:color="auto"/>
              <w:right w:val="single" w:sz="4" w:space="0" w:color="auto"/>
            </w:tcBorders>
            <w:shd w:val="clear" w:color="auto" w:fill="auto"/>
            <w:hideMark/>
          </w:tcPr>
          <w:p w14:paraId="33D36277"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4F754B8B"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r>
      <w:tr w:rsidR="000A1AD9" w:rsidRPr="000A1AD9" w14:paraId="65ACA71A" w14:textId="77777777" w:rsidTr="008E0319">
        <w:trPr>
          <w:trHeight w:val="300"/>
        </w:trPr>
        <w:tc>
          <w:tcPr>
            <w:tcW w:w="194" w:type="pct"/>
            <w:tcBorders>
              <w:top w:val="nil"/>
              <w:left w:val="single" w:sz="4" w:space="0" w:color="auto"/>
              <w:bottom w:val="single" w:sz="4" w:space="0" w:color="auto"/>
              <w:right w:val="single" w:sz="4" w:space="0" w:color="auto"/>
            </w:tcBorders>
            <w:shd w:val="clear" w:color="auto" w:fill="auto"/>
            <w:hideMark/>
          </w:tcPr>
          <w:p w14:paraId="655EDC66"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55</w:t>
            </w:r>
          </w:p>
        </w:tc>
        <w:tc>
          <w:tcPr>
            <w:tcW w:w="2637" w:type="pct"/>
            <w:tcBorders>
              <w:top w:val="nil"/>
              <w:left w:val="nil"/>
              <w:bottom w:val="single" w:sz="4" w:space="0" w:color="auto"/>
              <w:right w:val="single" w:sz="4" w:space="0" w:color="auto"/>
            </w:tcBorders>
            <w:shd w:val="clear" w:color="auto" w:fill="auto"/>
            <w:hideMark/>
          </w:tcPr>
          <w:p w14:paraId="033A0FA6"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The solution should trigger classification based on send, reply, forward emails.</w:t>
            </w:r>
          </w:p>
        </w:tc>
        <w:tc>
          <w:tcPr>
            <w:tcW w:w="858" w:type="pct"/>
            <w:tcBorders>
              <w:top w:val="nil"/>
              <w:left w:val="nil"/>
              <w:bottom w:val="single" w:sz="4" w:space="0" w:color="auto"/>
              <w:right w:val="single" w:sz="4" w:space="0" w:color="auto"/>
            </w:tcBorders>
            <w:shd w:val="clear" w:color="auto" w:fill="auto"/>
            <w:hideMark/>
          </w:tcPr>
          <w:p w14:paraId="6576F791"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20047296"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r>
      <w:tr w:rsidR="000A1AD9" w:rsidRPr="000A1AD9" w14:paraId="20FF90B4" w14:textId="77777777" w:rsidTr="008E0319">
        <w:trPr>
          <w:trHeight w:val="300"/>
        </w:trPr>
        <w:tc>
          <w:tcPr>
            <w:tcW w:w="194" w:type="pct"/>
            <w:tcBorders>
              <w:top w:val="nil"/>
              <w:left w:val="single" w:sz="4" w:space="0" w:color="auto"/>
              <w:bottom w:val="single" w:sz="4" w:space="0" w:color="auto"/>
              <w:right w:val="single" w:sz="4" w:space="0" w:color="auto"/>
            </w:tcBorders>
            <w:shd w:val="clear" w:color="auto" w:fill="auto"/>
            <w:hideMark/>
          </w:tcPr>
          <w:p w14:paraId="2B937CA5"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56</w:t>
            </w:r>
          </w:p>
        </w:tc>
        <w:tc>
          <w:tcPr>
            <w:tcW w:w="2637" w:type="pct"/>
            <w:tcBorders>
              <w:top w:val="nil"/>
              <w:left w:val="nil"/>
              <w:bottom w:val="single" w:sz="4" w:space="0" w:color="auto"/>
              <w:right w:val="single" w:sz="4" w:space="0" w:color="auto"/>
            </w:tcBorders>
            <w:shd w:val="clear" w:color="auto" w:fill="auto"/>
            <w:hideMark/>
          </w:tcPr>
          <w:p w14:paraId="54218481"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The solution should provide automated, suggestive and manual classification capability</w:t>
            </w:r>
          </w:p>
        </w:tc>
        <w:tc>
          <w:tcPr>
            <w:tcW w:w="858" w:type="pct"/>
            <w:tcBorders>
              <w:top w:val="nil"/>
              <w:left w:val="nil"/>
              <w:bottom w:val="single" w:sz="4" w:space="0" w:color="auto"/>
              <w:right w:val="single" w:sz="4" w:space="0" w:color="auto"/>
            </w:tcBorders>
            <w:shd w:val="clear" w:color="auto" w:fill="auto"/>
            <w:hideMark/>
          </w:tcPr>
          <w:p w14:paraId="24E53C68"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094B18B5"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r>
      <w:tr w:rsidR="000A1AD9" w:rsidRPr="000A1AD9" w14:paraId="567242CB" w14:textId="77777777" w:rsidTr="008E0319">
        <w:trPr>
          <w:trHeight w:val="300"/>
        </w:trPr>
        <w:tc>
          <w:tcPr>
            <w:tcW w:w="194" w:type="pct"/>
            <w:tcBorders>
              <w:top w:val="nil"/>
              <w:left w:val="single" w:sz="4" w:space="0" w:color="auto"/>
              <w:bottom w:val="single" w:sz="4" w:space="0" w:color="auto"/>
              <w:right w:val="single" w:sz="4" w:space="0" w:color="auto"/>
            </w:tcBorders>
            <w:shd w:val="clear" w:color="auto" w:fill="auto"/>
            <w:hideMark/>
          </w:tcPr>
          <w:p w14:paraId="075EFEAB"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57</w:t>
            </w:r>
          </w:p>
        </w:tc>
        <w:tc>
          <w:tcPr>
            <w:tcW w:w="2637" w:type="pct"/>
            <w:tcBorders>
              <w:top w:val="nil"/>
              <w:left w:val="nil"/>
              <w:bottom w:val="single" w:sz="4" w:space="0" w:color="auto"/>
              <w:right w:val="single" w:sz="4" w:space="0" w:color="auto"/>
            </w:tcBorders>
            <w:shd w:val="clear" w:color="auto" w:fill="auto"/>
            <w:hideMark/>
          </w:tcPr>
          <w:p w14:paraId="625C9F37"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The solution should detect unclassified documents attached in an email and block the user the email.</w:t>
            </w:r>
          </w:p>
        </w:tc>
        <w:tc>
          <w:tcPr>
            <w:tcW w:w="858" w:type="pct"/>
            <w:tcBorders>
              <w:top w:val="nil"/>
              <w:left w:val="nil"/>
              <w:bottom w:val="single" w:sz="4" w:space="0" w:color="auto"/>
              <w:right w:val="single" w:sz="4" w:space="0" w:color="auto"/>
            </w:tcBorders>
            <w:shd w:val="clear" w:color="auto" w:fill="auto"/>
            <w:hideMark/>
          </w:tcPr>
          <w:p w14:paraId="1654EA8F"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52B720CD"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r>
      <w:tr w:rsidR="000A1AD9" w:rsidRPr="000A1AD9" w14:paraId="6A8F325F" w14:textId="77777777" w:rsidTr="008E0319">
        <w:trPr>
          <w:trHeight w:val="510"/>
        </w:trPr>
        <w:tc>
          <w:tcPr>
            <w:tcW w:w="194" w:type="pct"/>
            <w:tcBorders>
              <w:top w:val="nil"/>
              <w:left w:val="single" w:sz="4" w:space="0" w:color="auto"/>
              <w:bottom w:val="single" w:sz="4" w:space="0" w:color="auto"/>
              <w:right w:val="single" w:sz="4" w:space="0" w:color="auto"/>
            </w:tcBorders>
            <w:shd w:val="clear" w:color="auto" w:fill="auto"/>
            <w:hideMark/>
          </w:tcPr>
          <w:p w14:paraId="78795C48"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lastRenderedPageBreak/>
              <w:t>58</w:t>
            </w:r>
          </w:p>
        </w:tc>
        <w:tc>
          <w:tcPr>
            <w:tcW w:w="2637" w:type="pct"/>
            <w:tcBorders>
              <w:top w:val="nil"/>
              <w:left w:val="nil"/>
              <w:bottom w:val="single" w:sz="4" w:space="0" w:color="auto"/>
              <w:right w:val="single" w:sz="4" w:space="0" w:color="auto"/>
            </w:tcBorders>
            <w:shd w:val="clear" w:color="auto" w:fill="auto"/>
            <w:hideMark/>
          </w:tcPr>
          <w:p w14:paraId="62D61DA1"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The solution should have some guidance mechanism while user selects a classification level, to inform the users what is the context of a said classification level as per organization's policy</w:t>
            </w:r>
          </w:p>
        </w:tc>
        <w:tc>
          <w:tcPr>
            <w:tcW w:w="858" w:type="pct"/>
            <w:tcBorders>
              <w:top w:val="nil"/>
              <w:left w:val="nil"/>
              <w:bottom w:val="single" w:sz="4" w:space="0" w:color="auto"/>
              <w:right w:val="single" w:sz="4" w:space="0" w:color="auto"/>
            </w:tcBorders>
            <w:shd w:val="clear" w:color="auto" w:fill="auto"/>
            <w:hideMark/>
          </w:tcPr>
          <w:p w14:paraId="4B3BA3D9"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4A09870F"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r>
      <w:tr w:rsidR="000A1AD9" w:rsidRPr="000A1AD9" w14:paraId="41EC07EC" w14:textId="77777777" w:rsidTr="008E0319">
        <w:trPr>
          <w:trHeight w:val="300"/>
        </w:trPr>
        <w:tc>
          <w:tcPr>
            <w:tcW w:w="194" w:type="pct"/>
            <w:tcBorders>
              <w:top w:val="nil"/>
              <w:left w:val="single" w:sz="4" w:space="0" w:color="auto"/>
              <w:bottom w:val="single" w:sz="4" w:space="0" w:color="auto"/>
              <w:right w:val="single" w:sz="4" w:space="0" w:color="auto"/>
            </w:tcBorders>
            <w:shd w:val="clear" w:color="auto" w:fill="auto"/>
            <w:hideMark/>
          </w:tcPr>
          <w:p w14:paraId="128C643F"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59</w:t>
            </w:r>
          </w:p>
        </w:tc>
        <w:tc>
          <w:tcPr>
            <w:tcW w:w="2637" w:type="pct"/>
            <w:tcBorders>
              <w:top w:val="nil"/>
              <w:left w:val="nil"/>
              <w:bottom w:val="single" w:sz="4" w:space="0" w:color="auto"/>
              <w:right w:val="single" w:sz="4" w:space="0" w:color="auto"/>
            </w:tcBorders>
            <w:shd w:val="clear" w:color="auto" w:fill="auto"/>
            <w:hideMark/>
          </w:tcPr>
          <w:p w14:paraId="2EEE706C"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The solution should be capable to deploy and enforcing user based policies.</w:t>
            </w:r>
          </w:p>
        </w:tc>
        <w:tc>
          <w:tcPr>
            <w:tcW w:w="858" w:type="pct"/>
            <w:tcBorders>
              <w:top w:val="nil"/>
              <w:left w:val="nil"/>
              <w:bottom w:val="single" w:sz="4" w:space="0" w:color="auto"/>
              <w:right w:val="single" w:sz="4" w:space="0" w:color="auto"/>
            </w:tcBorders>
            <w:shd w:val="clear" w:color="auto" w:fill="auto"/>
            <w:hideMark/>
          </w:tcPr>
          <w:p w14:paraId="0C5BA72B"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3328DE7C"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r>
      <w:tr w:rsidR="000A1AD9" w:rsidRPr="000A1AD9" w14:paraId="2C70C858" w14:textId="77777777" w:rsidTr="008E0319">
        <w:trPr>
          <w:trHeight w:val="510"/>
        </w:trPr>
        <w:tc>
          <w:tcPr>
            <w:tcW w:w="194" w:type="pct"/>
            <w:tcBorders>
              <w:top w:val="nil"/>
              <w:left w:val="single" w:sz="4" w:space="0" w:color="auto"/>
              <w:bottom w:val="single" w:sz="4" w:space="0" w:color="auto"/>
              <w:right w:val="single" w:sz="4" w:space="0" w:color="auto"/>
            </w:tcBorders>
            <w:shd w:val="clear" w:color="auto" w:fill="auto"/>
            <w:hideMark/>
          </w:tcPr>
          <w:p w14:paraId="16F8D083"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60</w:t>
            </w:r>
          </w:p>
        </w:tc>
        <w:tc>
          <w:tcPr>
            <w:tcW w:w="2637" w:type="pct"/>
            <w:tcBorders>
              <w:top w:val="nil"/>
              <w:left w:val="nil"/>
              <w:bottom w:val="single" w:sz="4" w:space="0" w:color="auto"/>
              <w:right w:val="single" w:sz="4" w:space="0" w:color="auto"/>
            </w:tcBorders>
            <w:shd w:val="clear" w:color="auto" w:fill="auto"/>
            <w:hideMark/>
          </w:tcPr>
          <w:p w14:paraId="6263FB05"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The solution should further allow policies which are based on a combination of keywords and regular expressions. The solution should allow administrators to define own regex for adding capability to detect any new type of regex.</w:t>
            </w:r>
          </w:p>
        </w:tc>
        <w:tc>
          <w:tcPr>
            <w:tcW w:w="858" w:type="pct"/>
            <w:tcBorders>
              <w:top w:val="nil"/>
              <w:left w:val="nil"/>
              <w:bottom w:val="single" w:sz="4" w:space="0" w:color="auto"/>
              <w:right w:val="single" w:sz="4" w:space="0" w:color="auto"/>
            </w:tcBorders>
            <w:shd w:val="clear" w:color="auto" w:fill="auto"/>
            <w:hideMark/>
          </w:tcPr>
          <w:p w14:paraId="30A1C8F5"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49A7262F"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r>
      <w:tr w:rsidR="000A1AD9" w:rsidRPr="000A1AD9" w14:paraId="1AA698C6" w14:textId="77777777" w:rsidTr="008E0319">
        <w:trPr>
          <w:trHeight w:val="510"/>
        </w:trPr>
        <w:tc>
          <w:tcPr>
            <w:tcW w:w="194" w:type="pct"/>
            <w:tcBorders>
              <w:top w:val="nil"/>
              <w:left w:val="single" w:sz="4" w:space="0" w:color="auto"/>
              <w:bottom w:val="single" w:sz="4" w:space="0" w:color="auto"/>
              <w:right w:val="single" w:sz="4" w:space="0" w:color="auto"/>
            </w:tcBorders>
            <w:shd w:val="clear" w:color="auto" w:fill="auto"/>
            <w:hideMark/>
          </w:tcPr>
          <w:p w14:paraId="7DC2A7B0"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61</w:t>
            </w:r>
          </w:p>
        </w:tc>
        <w:tc>
          <w:tcPr>
            <w:tcW w:w="2637" w:type="pct"/>
            <w:tcBorders>
              <w:top w:val="nil"/>
              <w:left w:val="nil"/>
              <w:bottom w:val="single" w:sz="4" w:space="0" w:color="auto"/>
              <w:right w:val="single" w:sz="4" w:space="0" w:color="auto"/>
            </w:tcBorders>
            <w:shd w:val="clear" w:color="auto" w:fill="auto"/>
            <w:hideMark/>
          </w:tcPr>
          <w:p w14:paraId="2FA81555"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The solution should suggest a classification based in content, but should allow user to change the classification if required by taking a justification for the same and recording it in logs.</w:t>
            </w:r>
          </w:p>
        </w:tc>
        <w:tc>
          <w:tcPr>
            <w:tcW w:w="858" w:type="pct"/>
            <w:tcBorders>
              <w:top w:val="nil"/>
              <w:left w:val="nil"/>
              <w:bottom w:val="single" w:sz="4" w:space="0" w:color="auto"/>
              <w:right w:val="single" w:sz="4" w:space="0" w:color="auto"/>
            </w:tcBorders>
            <w:shd w:val="clear" w:color="auto" w:fill="auto"/>
            <w:hideMark/>
          </w:tcPr>
          <w:p w14:paraId="5E47243C"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6A460123"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r>
      <w:tr w:rsidR="000A1AD9" w:rsidRPr="000A1AD9" w14:paraId="280DE77F" w14:textId="77777777" w:rsidTr="008E0319">
        <w:trPr>
          <w:trHeight w:val="300"/>
        </w:trPr>
        <w:tc>
          <w:tcPr>
            <w:tcW w:w="194" w:type="pct"/>
            <w:tcBorders>
              <w:top w:val="nil"/>
              <w:left w:val="single" w:sz="4" w:space="0" w:color="auto"/>
              <w:bottom w:val="single" w:sz="4" w:space="0" w:color="auto"/>
              <w:right w:val="single" w:sz="4" w:space="0" w:color="auto"/>
            </w:tcBorders>
            <w:shd w:val="clear" w:color="auto" w:fill="auto"/>
            <w:hideMark/>
          </w:tcPr>
          <w:p w14:paraId="043F9D7B"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62</w:t>
            </w:r>
          </w:p>
        </w:tc>
        <w:tc>
          <w:tcPr>
            <w:tcW w:w="2637" w:type="pct"/>
            <w:tcBorders>
              <w:top w:val="nil"/>
              <w:left w:val="nil"/>
              <w:bottom w:val="single" w:sz="4" w:space="0" w:color="auto"/>
              <w:right w:val="single" w:sz="4" w:space="0" w:color="auto"/>
            </w:tcBorders>
            <w:shd w:val="clear" w:color="auto" w:fill="auto"/>
            <w:hideMark/>
          </w:tcPr>
          <w:p w14:paraId="178917FB"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The solution should log user activity while users are handling email, documents, and files.</w:t>
            </w:r>
          </w:p>
        </w:tc>
        <w:tc>
          <w:tcPr>
            <w:tcW w:w="858" w:type="pct"/>
            <w:tcBorders>
              <w:top w:val="nil"/>
              <w:left w:val="nil"/>
              <w:bottom w:val="single" w:sz="4" w:space="0" w:color="auto"/>
              <w:right w:val="single" w:sz="4" w:space="0" w:color="auto"/>
            </w:tcBorders>
            <w:shd w:val="clear" w:color="auto" w:fill="auto"/>
            <w:hideMark/>
          </w:tcPr>
          <w:p w14:paraId="0169B6AE"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4F91D10E"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r>
      <w:tr w:rsidR="000A1AD9" w:rsidRPr="000A1AD9" w14:paraId="09356C6D" w14:textId="77777777" w:rsidTr="008E0319">
        <w:trPr>
          <w:trHeight w:val="300"/>
        </w:trPr>
        <w:tc>
          <w:tcPr>
            <w:tcW w:w="194" w:type="pct"/>
            <w:tcBorders>
              <w:top w:val="nil"/>
              <w:left w:val="single" w:sz="4" w:space="0" w:color="auto"/>
              <w:bottom w:val="single" w:sz="4" w:space="0" w:color="auto"/>
              <w:right w:val="single" w:sz="4" w:space="0" w:color="auto"/>
            </w:tcBorders>
            <w:shd w:val="clear" w:color="auto" w:fill="auto"/>
            <w:hideMark/>
          </w:tcPr>
          <w:p w14:paraId="3876B72C"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63</w:t>
            </w:r>
          </w:p>
        </w:tc>
        <w:tc>
          <w:tcPr>
            <w:tcW w:w="2637" w:type="pct"/>
            <w:tcBorders>
              <w:top w:val="nil"/>
              <w:left w:val="nil"/>
              <w:bottom w:val="single" w:sz="4" w:space="0" w:color="auto"/>
              <w:right w:val="single" w:sz="4" w:space="0" w:color="auto"/>
            </w:tcBorders>
            <w:shd w:val="clear" w:color="auto" w:fill="auto"/>
            <w:hideMark/>
          </w:tcPr>
          <w:p w14:paraId="3D5DEA20"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The solution should have Manual, Automated and Suggested Classification feature</w:t>
            </w:r>
          </w:p>
        </w:tc>
        <w:tc>
          <w:tcPr>
            <w:tcW w:w="858" w:type="pct"/>
            <w:tcBorders>
              <w:top w:val="nil"/>
              <w:left w:val="nil"/>
              <w:bottom w:val="single" w:sz="4" w:space="0" w:color="auto"/>
              <w:right w:val="single" w:sz="4" w:space="0" w:color="auto"/>
            </w:tcBorders>
            <w:shd w:val="clear" w:color="auto" w:fill="auto"/>
            <w:hideMark/>
          </w:tcPr>
          <w:p w14:paraId="56EBB0FB"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2AF1617B"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r>
      <w:tr w:rsidR="000A1AD9" w:rsidRPr="000A1AD9" w14:paraId="3B398368" w14:textId="77777777" w:rsidTr="008E0319">
        <w:trPr>
          <w:trHeight w:val="510"/>
        </w:trPr>
        <w:tc>
          <w:tcPr>
            <w:tcW w:w="194" w:type="pct"/>
            <w:tcBorders>
              <w:top w:val="nil"/>
              <w:left w:val="single" w:sz="4" w:space="0" w:color="auto"/>
              <w:bottom w:val="single" w:sz="4" w:space="0" w:color="auto"/>
              <w:right w:val="single" w:sz="4" w:space="0" w:color="auto"/>
            </w:tcBorders>
            <w:shd w:val="clear" w:color="auto" w:fill="auto"/>
            <w:hideMark/>
          </w:tcPr>
          <w:p w14:paraId="618D42AD"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64</w:t>
            </w:r>
          </w:p>
        </w:tc>
        <w:tc>
          <w:tcPr>
            <w:tcW w:w="2637" w:type="pct"/>
            <w:tcBorders>
              <w:top w:val="nil"/>
              <w:left w:val="nil"/>
              <w:bottom w:val="single" w:sz="4" w:space="0" w:color="auto"/>
              <w:right w:val="single" w:sz="4" w:space="0" w:color="auto"/>
            </w:tcBorders>
            <w:shd w:val="clear" w:color="auto" w:fill="auto"/>
            <w:hideMark/>
          </w:tcPr>
          <w:p w14:paraId="0343BFB7"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The solution should have the ability to classify based on content like if Credit card or Aadhaar card is identified, tool should automatically classify file as restricted</w:t>
            </w:r>
          </w:p>
        </w:tc>
        <w:tc>
          <w:tcPr>
            <w:tcW w:w="858" w:type="pct"/>
            <w:tcBorders>
              <w:top w:val="nil"/>
              <w:left w:val="nil"/>
              <w:bottom w:val="single" w:sz="4" w:space="0" w:color="auto"/>
              <w:right w:val="single" w:sz="4" w:space="0" w:color="auto"/>
            </w:tcBorders>
            <w:shd w:val="clear" w:color="auto" w:fill="auto"/>
            <w:hideMark/>
          </w:tcPr>
          <w:p w14:paraId="591E934A"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0505667D"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r>
      <w:tr w:rsidR="000A1AD9" w:rsidRPr="000A1AD9" w14:paraId="09560405" w14:textId="77777777" w:rsidTr="008E0319">
        <w:trPr>
          <w:trHeight w:val="300"/>
        </w:trPr>
        <w:tc>
          <w:tcPr>
            <w:tcW w:w="194" w:type="pct"/>
            <w:tcBorders>
              <w:top w:val="nil"/>
              <w:left w:val="single" w:sz="4" w:space="0" w:color="auto"/>
              <w:bottom w:val="single" w:sz="4" w:space="0" w:color="auto"/>
              <w:right w:val="single" w:sz="4" w:space="0" w:color="auto"/>
            </w:tcBorders>
            <w:shd w:val="clear" w:color="auto" w:fill="auto"/>
            <w:hideMark/>
          </w:tcPr>
          <w:p w14:paraId="2872F6E3"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65</w:t>
            </w:r>
          </w:p>
        </w:tc>
        <w:tc>
          <w:tcPr>
            <w:tcW w:w="2637" w:type="pct"/>
            <w:tcBorders>
              <w:top w:val="nil"/>
              <w:left w:val="nil"/>
              <w:bottom w:val="single" w:sz="4" w:space="0" w:color="auto"/>
              <w:right w:val="single" w:sz="4" w:space="0" w:color="auto"/>
            </w:tcBorders>
            <w:shd w:val="clear" w:color="auto" w:fill="auto"/>
            <w:hideMark/>
          </w:tcPr>
          <w:p w14:paraId="5D762E97"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The solution should support display icons over files that have been classified using the solution.</w:t>
            </w:r>
          </w:p>
        </w:tc>
        <w:tc>
          <w:tcPr>
            <w:tcW w:w="858" w:type="pct"/>
            <w:tcBorders>
              <w:top w:val="nil"/>
              <w:left w:val="nil"/>
              <w:bottom w:val="single" w:sz="4" w:space="0" w:color="auto"/>
              <w:right w:val="single" w:sz="4" w:space="0" w:color="auto"/>
            </w:tcBorders>
            <w:shd w:val="clear" w:color="auto" w:fill="auto"/>
            <w:hideMark/>
          </w:tcPr>
          <w:p w14:paraId="19E645AD"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320BCA20"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r>
      <w:tr w:rsidR="000A1AD9" w:rsidRPr="000A1AD9" w14:paraId="76FE3C79" w14:textId="77777777" w:rsidTr="008E0319">
        <w:trPr>
          <w:trHeight w:val="765"/>
        </w:trPr>
        <w:tc>
          <w:tcPr>
            <w:tcW w:w="194" w:type="pct"/>
            <w:tcBorders>
              <w:top w:val="nil"/>
              <w:left w:val="single" w:sz="4" w:space="0" w:color="auto"/>
              <w:bottom w:val="single" w:sz="4" w:space="0" w:color="auto"/>
              <w:right w:val="single" w:sz="4" w:space="0" w:color="auto"/>
            </w:tcBorders>
            <w:shd w:val="clear" w:color="auto" w:fill="auto"/>
            <w:hideMark/>
          </w:tcPr>
          <w:p w14:paraId="43E4F7DA"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66</w:t>
            </w:r>
          </w:p>
        </w:tc>
        <w:tc>
          <w:tcPr>
            <w:tcW w:w="2637" w:type="pct"/>
            <w:tcBorders>
              <w:top w:val="nil"/>
              <w:left w:val="nil"/>
              <w:bottom w:val="single" w:sz="4" w:space="0" w:color="auto"/>
              <w:right w:val="single" w:sz="4" w:space="0" w:color="auto"/>
            </w:tcBorders>
            <w:shd w:val="clear" w:color="auto" w:fill="auto"/>
            <w:hideMark/>
          </w:tcPr>
          <w:p w14:paraId="42053D56"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The solution should support hierarchical and conditional classification fields, so that the appearance of a sub-field is conditional on the value selected in the higher-level field. For example, when a user selects “Restricted,” a sub-field is presented with a list of departments including “Office use”, “Branch use”, “HR Only” etc.</w:t>
            </w:r>
          </w:p>
        </w:tc>
        <w:tc>
          <w:tcPr>
            <w:tcW w:w="858" w:type="pct"/>
            <w:tcBorders>
              <w:top w:val="nil"/>
              <w:left w:val="nil"/>
              <w:bottom w:val="single" w:sz="4" w:space="0" w:color="auto"/>
              <w:right w:val="single" w:sz="4" w:space="0" w:color="auto"/>
            </w:tcBorders>
            <w:shd w:val="clear" w:color="auto" w:fill="auto"/>
            <w:hideMark/>
          </w:tcPr>
          <w:p w14:paraId="5E0EEF98"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7E0A94DF"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r>
      <w:tr w:rsidR="000A1AD9" w:rsidRPr="000A1AD9" w14:paraId="51C2614E" w14:textId="77777777" w:rsidTr="008E0319">
        <w:trPr>
          <w:trHeight w:val="300"/>
        </w:trPr>
        <w:tc>
          <w:tcPr>
            <w:tcW w:w="194" w:type="pct"/>
            <w:tcBorders>
              <w:top w:val="nil"/>
              <w:left w:val="single" w:sz="4" w:space="0" w:color="auto"/>
              <w:bottom w:val="single" w:sz="4" w:space="0" w:color="auto"/>
              <w:right w:val="single" w:sz="4" w:space="0" w:color="auto"/>
            </w:tcBorders>
            <w:shd w:val="clear" w:color="auto" w:fill="auto"/>
            <w:hideMark/>
          </w:tcPr>
          <w:p w14:paraId="1262EBC4"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67</w:t>
            </w:r>
          </w:p>
        </w:tc>
        <w:tc>
          <w:tcPr>
            <w:tcW w:w="2637" w:type="pct"/>
            <w:tcBorders>
              <w:top w:val="nil"/>
              <w:left w:val="nil"/>
              <w:bottom w:val="single" w:sz="4" w:space="0" w:color="auto"/>
              <w:right w:val="single" w:sz="4" w:space="0" w:color="auto"/>
            </w:tcBorders>
            <w:shd w:val="clear" w:color="auto" w:fill="auto"/>
            <w:hideMark/>
          </w:tcPr>
          <w:p w14:paraId="77FB70C7"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The solution should support Open source office.</w:t>
            </w:r>
          </w:p>
        </w:tc>
        <w:tc>
          <w:tcPr>
            <w:tcW w:w="858" w:type="pct"/>
            <w:tcBorders>
              <w:top w:val="nil"/>
              <w:left w:val="nil"/>
              <w:bottom w:val="single" w:sz="4" w:space="0" w:color="auto"/>
              <w:right w:val="single" w:sz="4" w:space="0" w:color="auto"/>
            </w:tcBorders>
            <w:shd w:val="clear" w:color="auto" w:fill="auto"/>
            <w:hideMark/>
          </w:tcPr>
          <w:p w14:paraId="04227370"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38B34DF4"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r>
      <w:tr w:rsidR="000A1AD9" w:rsidRPr="000A1AD9" w14:paraId="7464CD96" w14:textId="77777777" w:rsidTr="008E0319">
        <w:trPr>
          <w:trHeight w:val="300"/>
        </w:trPr>
        <w:tc>
          <w:tcPr>
            <w:tcW w:w="194" w:type="pct"/>
            <w:tcBorders>
              <w:top w:val="nil"/>
              <w:left w:val="single" w:sz="4" w:space="0" w:color="auto"/>
              <w:bottom w:val="single" w:sz="4" w:space="0" w:color="auto"/>
              <w:right w:val="single" w:sz="4" w:space="0" w:color="auto"/>
            </w:tcBorders>
            <w:shd w:val="clear" w:color="auto" w:fill="auto"/>
            <w:hideMark/>
          </w:tcPr>
          <w:p w14:paraId="291BDB1C" w14:textId="77777777" w:rsidR="000A1AD9" w:rsidRPr="000A1AD9" w:rsidRDefault="000A1AD9" w:rsidP="000A1AD9">
            <w:pPr>
              <w:spacing w:after="0" w:line="240" w:lineRule="auto"/>
              <w:jc w:val="right"/>
              <w:rPr>
                <w:rFonts w:ascii="Calibri" w:eastAsia="Times New Roman" w:hAnsi="Calibri" w:cs="Calibri"/>
                <w:color w:val="000000"/>
                <w:lang w:val="en-GB" w:eastAsia="en-GB"/>
              </w:rPr>
            </w:pPr>
            <w:r w:rsidRPr="000A1AD9">
              <w:rPr>
                <w:rFonts w:ascii="Calibri" w:eastAsia="Times New Roman" w:hAnsi="Calibri" w:cs="Calibri"/>
                <w:color w:val="000000"/>
                <w:lang w:val="en-GB" w:eastAsia="en-GB"/>
              </w:rPr>
              <w:t>68</w:t>
            </w:r>
          </w:p>
        </w:tc>
        <w:tc>
          <w:tcPr>
            <w:tcW w:w="2637" w:type="pct"/>
            <w:tcBorders>
              <w:top w:val="nil"/>
              <w:left w:val="nil"/>
              <w:bottom w:val="single" w:sz="4" w:space="0" w:color="auto"/>
              <w:right w:val="single" w:sz="4" w:space="0" w:color="auto"/>
            </w:tcBorders>
            <w:shd w:val="clear" w:color="auto" w:fill="auto"/>
            <w:hideMark/>
          </w:tcPr>
          <w:p w14:paraId="2CB1789F" w14:textId="77777777" w:rsidR="000A1AD9" w:rsidRPr="000A1AD9" w:rsidRDefault="000A1AD9" w:rsidP="000A1AD9">
            <w:pPr>
              <w:spacing w:after="0" w:line="240" w:lineRule="auto"/>
              <w:rPr>
                <w:rFonts w:ascii="Calibri" w:eastAsia="Times New Roman" w:hAnsi="Calibri" w:cs="Calibri"/>
                <w:sz w:val="20"/>
                <w:szCs w:val="20"/>
                <w:lang w:val="en-GB" w:eastAsia="en-GB"/>
              </w:rPr>
            </w:pPr>
            <w:r w:rsidRPr="000A1AD9">
              <w:rPr>
                <w:rFonts w:ascii="Calibri" w:eastAsia="Times New Roman" w:hAnsi="Calibri" w:cs="Calibri"/>
                <w:sz w:val="20"/>
                <w:szCs w:val="20"/>
                <w:lang w:val="en-GB" w:eastAsia="en-GB"/>
              </w:rPr>
              <w:t>The solution should integrate with DRM/IRM, SIEM, PIM/PAM, AD</w:t>
            </w:r>
          </w:p>
        </w:tc>
        <w:tc>
          <w:tcPr>
            <w:tcW w:w="858" w:type="pct"/>
            <w:tcBorders>
              <w:top w:val="nil"/>
              <w:left w:val="nil"/>
              <w:bottom w:val="single" w:sz="4" w:space="0" w:color="auto"/>
              <w:right w:val="single" w:sz="4" w:space="0" w:color="auto"/>
            </w:tcBorders>
            <w:shd w:val="clear" w:color="auto" w:fill="auto"/>
            <w:hideMark/>
          </w:tcPr>
          <w:p w14:paraId="2F6D2F20"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c>
          <w:tcPr>
            <w:tcW w:w="1312" w:type="pct"/>
            <w:tcBorders>
              <w:top w:val="nil"/>
              <w:left w:val="nil"/>
              <w:bottom w:val="single" w:sz="4" w:space="0" w:color="auto"/>
              <w:right w:val="single" w:sz="4" w:space="0" w:color="auto"/>
            </w:tcBorders>
            <w:shd w:val="clear" w:color="auto" w:fill="auto"/>
            <w:hideMark/>
          </w:tcPr>
          <w:p w14:paraId="0AB59D6B" w14:textId="77777777" w:rsidR="000A1AD9" w:rsidRPr="000A1AD9" w:rsidRDefault="000A1AD9" w:rsidP="000A1AD9">
            <w:pPr>
              <w:spacing w:after="0" w:line="240" w:lineRule="auto"/>
              <w:rPr>
                <w:rFonts w:ascii="Verdana" w:eastAsia="Times New Roman" w:hAnsi="Verdana" w:cs="Calibri"/>
                <w:color w:val="000000"/>
                <w:lang w:val="en-GB" w:eastAsia="en-GB"/>
              </w:rPr>
            </w:pPr>
            <w:r w:rsidRPr="000A1AD9">
              <w:rPr>
                <w:rFonts w:ascii="Verdana" w:eastAsia="Times New Roman" w:hAnsi="Verdana" w:cs="Calibri"/>
                <w:color w:val="000000"/>
                <w:lang w:val="en-GB" w:eastAsia="en-GB"/>
              </w:rPr>
              <w:t> </w:t>
            </w:r>
          </w:p>
        </w:tc>
      </w:tr>
    </w:tbl>
    <w:p w14:paraId="7DD052FF" w14:textId="77777777" w:rsidR="000A1AD9" w:rsidRPr="00A54361" w:rsidRDefault="000A1AD9" w:rsidP="00A54361">
      <w:pPr>
        <w:jc w:val="both"/>
        <w:rPr>
          <w:rFonts w:cstheme="minorHAnsi"/>
        </w:rPr>
      </w:pPr>
    </w:p>
    <w:p w14:paraId="619FE855" w14:textId="77777777" w:rsidR="00A93231" w:rsidRDefault="00000979">
      <w:pPr>
        <w:rPr>
          <w:rFonts w:cstheme="minorHAnsi"/>
        </w:rPr>
      </w:pPr>
      <w:r w:rsidRPr="00A54361">
        <w:rPr>
          <w:rFonts w:cstheme="minorHAnsi"/>
        </w:rPr>
        <w:br w:type="page"/>
      </w:r>
    </w:p>
    <w:tbl>
      <w:tblPr>
        <w:tblW w:w="14940" w:type="dxa"/>
        <w:tblLook w:val="04A0" w:firstRow="1" w:lastRow="0" w:firstColumn="1" w:lastColumn="0" w:noHBand="0" w:noVBand="1"/>
      </w:tblPr>
      <w:tblGrid>
        <w:gridCol w:w="520"/>
        <w:gridCol w:w="11277"/>
        <w:gridCol w:w="1383"/>
        <w:gridCol w:w="1760"/>
      </w:tblGrid>
      <w:tr w:rsidR="00A93231" w:rsidRPr="00A93231" w14:paraId="0E94F719" w14:textId="77777777" w:rsidTr="00A93231">
        <w:trPr>
          <w:trHeight w:val="315"/>
        </w:trPr>
        <w:tc>
          <w:tcPr>
            <w:tcW w:w="14940" w:type="dxa"/>
            <w:gridSpan w:val="4"/>
            <w:tcBorders>
              <w:top w:val="single" w:sz="4" w:space="0" w:color="auto"/>
              <w:left w:val="single" w:sz="4" w:space="0" w:color="auto"/>
              <w:bottom w:val="single" w:sz="4" w:space="0" w:color="auto"/>
              <w:right w:val="single" w:sz="4" w:space="0" w:color="auto"/>
            </w:tcBorders>
            <w:shd w:val="clear" w:color="000000" w:fill="FFE699"/>
            <w:hideMark/>
          </w:tcPr>
          <w:p w14:paraId="4EA0EC45" w14:textId="77777777" w:rsidR="00A93231" w:rsidRPr="00A93231" w:rsidRDefault="00A93231" w:rsidP="00A93231">
            <w:pPr>
              <w:spacing w:after="0" w:line="240" w:lineRule="auto"/>
              <w:jc w:val="center"/>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lastRenderedPageBreak/>
              <w:t xml:space="preserve">Technical Specifications for </w:t>
            </w:r>
            <w:r w:rsidRPr="00A93231">
              <w:rPr>
                <w:rFonts w:ascii="Calibri" w:eastAsia="Times New Roman" w:hAnsi="Calibri" w:cs="Calibri"/>
                <w:b/>
                <w:bCs/>
                <w:color w:val="000000"/>
                <w:sz w:val="24"/>
                <w:szCs w:val="24"/>
                <w:lang w:val="en-GB" w:eastAsia="en-GB"/>
              </w:rPr>
              <w:t>File Upload Security</w:t>
            </w:r>
          </w:p>
        </w:tc>
      </w:tr>
      <w:tr w:rsidR="00A93231" w:rsidRPr="00A93231" w14:paraId="1F393310" w14:textId="77777777" w:rsidTr="00A93231">
        <w:trPr>
          <w:trHeight w:val="945"/>
        </w:trPr>
        <w:tc>
          <w:tcPr>
            <w:tcW w:w="520" w:type="dxa"/>
            <w:tcBorders>
              <w:top w:val="nil"/>
              <w:left w:val="single" w:sz="4" w:space="0" w:color="auto"/>
              <w:bottom w:val="single" w:sz="4" w:space="0" w:color="auto"/>
              <w:right w:val="single" w:sz="4" w:space="0" w:color="auto"/>
            </w:tcBorders>
            <w:shd w:val="clear" w:color="000000" w:fill="1F4E78"/>
            <w:hideMark/>
          </w:tcPr>
          <w:p w14:paraId="03D8405E" w14:textId="77777777" w:rsidR="00A93231" w:rsidRPr="00A93231" w:rsidRDefault="00A93231" w:rsidP="00A93231">
            <w:pPr>
              <w:spacing w:after="0" w:line="240" w:lineRule="auto"/>
              <w:jc w:val="center"/>
              <w:rPr>
                <w:rFonts w:ascii="Calibri" w:eastAsia="Times New Roman" w:hAnsi="Calibri" w:cs="Calibri"/>
                <w:b/>
                <w:bCs/>
                <w:color w:val="FFFFFF"/>
                <w:sz w:val="24"/>
                <w:szCs w:val="24"/>
                <w:lang w:val="en-GB" w:eastAsia="en-GB"/>
              </w:rPr>
            </w:pPr>
            <w:r w:rsidRPr="00A93231">
              <w:rPr>
                <w:rFonts w:ascii="Calibri" w:eastAsia="Times New Roman" w:hAnsi="Calibri" w:cs="Calibri"/>
                <w:b/>
                <w:bCs/>
                <w:color w:val="FFFFFF"/>
                <w:sz w:val="24"/>
                <w:szCs w:val="24"/>
                <w:lang w:val="en-GB" w:eastAsia="en-GB"/>
              </w:rPr>
              <w:t>S No</w:t>
            </w:r>
          </w:p>
        </w:tc>
        <w:tc>
          <w:tcPr>
            <w:tcW w:w="11440" w:type="dxa"/>
            <w:tcBorders>
              <w:top w:val="nil"/>
              <w:left w:val="nil"/>
              <w:bottom w:val="single" w:sz="4" w:space="0" w:color="auto"/>
              <w:right w:val="single" w:sz="4" w:space="0" w:color="auto"/>
            </w:tcBorders>
            <w:shd w:val="clear" w:color="000000" w:fill="1F4E78"/>
            <w:hideMark/>
          </w:tcPr>
          <w:p w14:paraId="1A2A182A" w14:textId="77777777" w:rsidR="00A93231" w:rsidRPr="00A93231" w:rsidRDefault="00A93231" w:rsidP="00A93231">
            <w:pPr>
              <w:spacing w:after="0" w:line="240" w:lineRule="auto"/>
              <w:rPr>
                <w:rFonts w:ascii="Calibri" w:eastAsia="Times New Roman" w:hAnsi="Calibri" w:cs="Calibri"/>
                <w:b/>
                <w:bCs/>
                <w:color w:val="FFFFFF"/>
                <w:sz w:val="24"/>
                <w:szCs w:val="24"/>
                <w:lang w:val="en-GB" w:eastAsia="en-GB"/>
              </w:rPr>
            </w:pPr>
            <w:r w:rsidRPr="00A93231">
              <w:rPr>
                <w:rFonts w:ascii="Calibri" w:eastAsia="Times New Roman" w:hAnsi="Calibri" w:cs="Calibri"/>
                <w:b/>
                <w:bCs/>
                <w:color w:val="FFFFFF"/>
                <w:sz w:val="24"/>
                <w:szCs w:val="24"/>
                <w:lang w:val="en-GB" w:eastAsia="en-GB"/>
              </w:rPr>
              <w:t xml:space="preserve">Minimum Technical Specifications </w:t>
            </w:r>
          </w:p>
        </w:tc>
        <w:tc>
          <w:tcPr>
            <w:tcW w:w="1220" w:type="dxa"/>
            <w:tcBorders>
              <w:top w:val="nil"/>
              <w:left w:val="nil"/>
              <w:bottom w:val="single" w:sz="4" w:space="0" w:color="auto"/>
              <w:right w:val="single" w:sz="4" w:space="0" w:color="auto"/>
            </w:tcBorders>
            <w:shd w:val="clear" w:color="000000" w:fill="1F4E78"/>
            <w:hideMark/>
          </w:tcPr>
          <w:p w14:paraId="5BEDB7B5" w14:textId="77777777" w:rsidR="00A93231" w:rsidRPr="00A93231" w:rsidRDefault="00A93231" w:rsidP="00A93231">
            <w:pPr>
              <w:spacing w:after="0" w:line="240" w:lineRule="auto"/>
              <w:rPr>
                <w:rFonts w:ascii="Calibri" w:eastAsia="Times New Roman" w:hAnsi="Calibri" w:cs="Calibri"/>
                <w:b/>
                <w:bCs/>
                <w:color w:val="FFFFFF"/>
                <w:sz w:val="24"/>
                <w:szCs w:val="24"/>
                <w:lang w:val="en-GB" w:eastAsia="en-GB"/>
              </w:rPr>
            </w:pPr>
            <w:r w:rsidRPr="00A93231">
              <w:rPr>
                <w:rFonts w:ascii="Calibri" w:eastAsia="Times New Roman" w:hAnsi="Calibri" w:cs="Calibri"/>
                <w:b/>
                <w:bCs/>
                <w:color w:val="FFFFFF"/>
                <w:sz w:val="24"/>
                <w:szCs w:val="24"/>
                <w:lang w:val="en-GB" w:eastAsia="en-GB"/>
              </w:rPr>
              <w:t>Vendor's Compliance</w:t>
            </w:r>
          </w:p>
        </w:tc>
        <w:tc>
          <w:tcPr>
            <w:tcW w:w="1760" w:type="dxa"/>
            <w:tcBorders>
              <w:top w:val="nil"/>
              <w:left w:val="nil"/>
              <w:bottom w:val="single" w:sz="4" w:space="0" w:color="auto"/>
              <w:right w:val="single" w:sz="4" w:space="0" w:color="auto"/>
            </w:tcBorders>
            <w:shd w:val="clear" w:color="000000" w:fill="1F4E78"/>
            <w:hideMark/>
          </w:tcPr>
          <w:p w14:paraId="49AD7A4A" w14:textId="77777777" w:rsidR="00A93231" w:rsidRPr="00A93231" w:rsidRDefault="00A93231" w:rsidP="00A93231">
            <w:pPr>
              <w:spacing w:after="0" w:line="240" w:lineRule="auto"/>
              <w:rPr>
                <w:rFonts w:ascii="Calibri" w:eastAsia="Times New Roman" w:hAnsi="Calibri" w:cs="Calibri"/>
                <w:b/>
                <w:bCs/>
                <w:color w:val="FFFFFF"/>
                <w:sz w:val="24"/>
                <w:szCs w:val="24"/>
                <w:lang w:val="en-GB" w:eastAsia="en-GB"/>
              </w:rPr>
            </w:pPr>
            <w:r w:rsidRPr="00A93231">
              <w:rPr>
                <w:rFonts w:ascii="Calibri" w:eastAsia="Times New Roman" w:hAnsi="Calibri" w:cs="Calibri"/>
                <w:b/>
                <w:bCs/>
                <w:color w:val="FFFFFF"/>
                <w:sz w:val="24"/>
                <w:szCs w:val="24"/>
                <w:lang w:val="en-GB" w:eastAsia="en-GB"/>
              </w:rPr>
              <w:t>Vendor's Remark</w:t>
            </w:r>
          </w:p>
        </w:tc>
      </w:tr>
      <w:tr w:rsidR="00A93231" w:rsidRPr="00A93231" w14:paraId="09A2D6B4" w14:textId="77777777" w:rsidTr="00A93231">
        <w:trPr>
          <w:trHeight w:val="315"/>
        </w:trPr>
        <w:tc>
          <w:tcPr>
            <w:tcW w:w="520" w:type="dxa"/>
            <w:tcBorders>
              <w:top w:val="nil"/>
              <w:left w:val="single" w:sz="4" w:space="0" w:color="auto"/>
              <w:bottom w:val="single" w:sz="4" w:space="0" w:color="auto"/>
              <w:right w:val="single" w:sz="4" w:space="0" w:color="auto"/>
            </w:tcBorders>
            <w:shd w:val="clear" w:color="000000" w:fill="DDEBF7"/>
            <w:hideMark/>
          </w:tcPr>
          <w:p w14:paraId="7068BFE8" w14:textId="77777777" w:rsidR="00A93231" w:rsidRPr="00A93231" w:rsidRDefault="00A93231" w:rsidP="00A93231">
            <w:pPr>
              <w:spacing w:after="0" w:line="240" w:lineRule="auto"/>
              <w:jc w:val="center"/>
              <w:rPr>
                <w:rFonts w:ascii="Calibri" w:eastAsia="Times New Roman" w:hAnsi="Calibri" w:cs="Calibri"/>
                <w:b/>
                <w:bCs/>
                <w:color w:val="000000"/>
                <w:sz w:val="24"/>
                <w:szCs w:val="24"/>
                <w:lang w:val="en-GB" w:eastAsia="en-GB"/>
              </w:rPr>
            </w:pPr>
            <w:r w:rsidRPr="00A93231">
              <w:rPr>
                <w:rFonts w:ascii="Calibri" w:eastAsia="Times New Roman" w:hAnsi="Calibri" w:cs="Calibri"/>
                <w:b/>
                <w:bCs/>
                <w:color w:val="000000"/>
                <w:sz w:val="24"/>
                <w:szCs w:val="24"/>
                <w:lang w:val="en-GB" w:eastAsia="en-GB"/>
              </w:rPr>
              <w:t>A</w:t>
            </w:r>
          </w:p>
        </w:tc>
        <w:tc>
          <w:tcPr>
            <w:tcW w:w="11440" w:type="dxa"/>
            <w:tcBorders>
              <w:top w:val="nil"/>
              <w:left w:val="nil"/>
              <w:bottom w:val="single" w:sz="4" w:space="0" w:color="auto"/>
              <w:right w:val="single" w:sz="4" w:space="0" w:color="auto"/>
            </w:tcBorders>
            <w:shd w:val="clear" w:color="000000" w:fill="DDEBF7"/>
            <w:hideMark/>
          </w:tcPr>
          <w:p w14:paraId="7D9711FA" w14:textId="77777777" w:rsidR="00A93231" w:rsidRPr="00A93231" w:rsidRDefault="00A93231" w:rsidP="00A93231">
            <w:pPr>
              <w:spacing w:after="0" w:line="240" w:lineRule="auto"/>
              <w:rPr>
                <w:rFonts w:ascii="Calibri" w:eastAsia="Times New Roman" w:hAnsi="Calibri" w:cs="Calibri"/>
                <w:b/>
                <w:bCs/>
                <w:color w:val="000000"/>
                <w:sz w:val="24"/>
                <w:szCs w:val="24"/>
                <w:lang w:val="en-GB" w:eastAsia="en-GB"/>
              </w:rPr>
            </w:pPr>
            <w:r w:rsidRPr="00A93231">
              <w:rPr>
                <w:rFonts w:ascii="Calibri" w:eastAsia="Times New Roman" w:hAnsi="Calibri" w:cs="Calibri"/>
                <w:b/>
                <w:bCs/>
                <w:color w:val="000000"/>
                <w:sz w:val="24"/>
                <w:szCs w:val="24"/>
                <w:lang w:val="en-GB" w:eastAsia="en-GB"/>
              </w:rPr>
              <w:t>Solution Capabilities</w:t>
            </w:r>
          </w:p>
        </w:tc>
        <w:tc>
          <w:tcPr>
            <w:tcW w:w="1220" w:type="dxa"/>
            <w:tcBorders>
              <w:top w:val="nil"/>
              <w:left w:val="nil"/>
              <w:bottom w:val="single" w:sz="4" w:space="0" w:color="auto"/>
              <w:right w:val="single" w:sz="4" w:space="0" w:color="auto"/>
            </w:tcBorders>
            <w:shd w:val="clear" w:color="000000" w:fill="DDEBF7"/>
            <w:hideMark/>
          </w:tcPr>
          <w:p w14:paraId="279996D6" w14:textId="77777777" w:rsidR="00A93231" w:rsidRPr="00A93231" w:rsidRDefault="00A93231" w:rsidP="00A93231">
            <w:pPr>
              <w:spacing w:after="0" w:line="240" w:lineRule="auto"/>
              <w:rPr>
                <w:rFonts w:ascii="Calibri" w:eastAsia="Times New Roman" w:hAnsi="Calibri" w:cs="Calibri"/>
                <w:b/>
                <w:bCs/>
                <w:color w:val="000000"/>
                <w:sz w:val="24"/>
                <w:szCs w:val="24"/>
                <w:lang w:val="en-GB" w:eastAsia="en-GB"/>
              </w:rPr>
            </w:pPr>
            <w:r w:rsidRPr="00A93231">
              <w:rPr>
                <w:rFonts w:ascii="Calibri" w:eastAsia="Times New Roman" w:hAnsi="Calibri" w:cs="Calibri"/>
                <w:b/>
                <w:bCs/>
                <w:color w:val="000000"/>
                <w:sz w:val="24"/>
                <w:szCs w:val="24"/>
                <w:lang w:val="en-GB" w:eastAsia="en-GB"/>
              </w:rPr>
              <w:t> </w:t>
            </w:r>
          </w:p>
        </w:tc>
        <w:tc>
          <w:tcPr>
            <w:tcW w:w="1760" w:type="dxa"/>
            <w:tcBorders>
              <w:top w:val="nil"/>
              <w:left w:val="nil"/>
              <w:bottom w:val="single" w:sz="4" w:space="0" w:color="auto"/>
              <w:right w:val="single" w:sz="4" w:space="0" w:color="auto"/>
            </w:tcBorders>
            <w:shd w:val="clear" w:color="000000" w:fill="DDEBF7"/>
            <w:hideMark/>
          </w:tcPr>
          <w:p w14:paraId="4A3C62B0" w14:textId="77777777" w:rsidR="00A93231" w:rsidRPr="00A93231" w:rsidRDefault="00A93231" w:rsidP="00A93231">
            <w:pPr>
              <w:spacing w:after="0" w:line="240" w:lineRule="auto"/>
              <w:rPr>
                <w:rFonts w:ascii="Calibri" w:eastAsia="Times New Roman" w:hAnsi="Calibri" w:cs="Calibri"/>
                <w:b/>
                <w:bCs/>
                <w:color w:val="000000"/>
                <w:sz w:val="24"/>
                <w:szCs w:val="24"/>
                <w:lang w:val="en-GB" w:eastAsia="en-GB"/>
              </w:rPr>
            </w:pPr>
            <w:r w:rsidRPr="00A93231">
              <w:rPr>
                <w:rFonts w:ascii="Calibri" w:eastAsia="Times New Roman" w:hAnsi="Calibri" w:cs="Calibri"/>
                <w:b/>
                <w:bCs/>
                <w:color w:val="000000"/>
                <w:sz w:val="24"/>
                <w:szCs w:val="24"/>
                <w:lang w:val="en-GB" w:eastAsia="en-GB"/>
              </w:rPr>
              <w:t> </w:t>
            </w:r>
          </w:p>
        </w:tc>
      </w:tr>
      <w:tr w:rsidR="00A93231" w:rsidRPr="00A93231" w14:paraId="5C765996" w14:textId="77777777" w:rsidTr="00A93231">
        <w:trPr>
          <w:trHeight w:val="315"/>
        </w:trPr>
        <w:tc>
          <w:tcPr>
            <w:tcW w:w="520" w:type="dxa"/>
            <w:tcBorders>
              <w:top w:val="nil"/>
              <w:left w:val="single" w:sz="4" w:space="0" w:color="auto"/>
              <w:bottom w:val="single" w:sz="4" w:space="0" w:color="auto"/>
              <w:right w:val="single" w:sz="4" w:space="0" w:color="auto"/>
            </w:tcBorders>
            <w:shd w:val="clear" w:color="auto" w:fill="auto"/>
            <w:hideMark/>
          </w:tcPr>
          <w:p w14:paraId="471365EC" w14:textId="77777777" w:rsidR="00A93231" w:rsidRPr="00A93231" w:rsidRDefault="00A93231" w:rsidP="00A93231">
            <w:pPr>
              <w:spacing w:after="0" w:line="240" w:lineRule="auto"/>
              <w:jc w:val="center"/>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1</w:t>
            </w:r>
          </w:p>
        </w:tc>
        <w:tc>
          <w:tcPr>
            <w:tcW w:w="11440" w:type="dxa"/>
            <w:tcBorders>
              <w:top w:val="nil"/>
              <w:left w:val="nil"/>
              <w:bottom w:val="single" w:sz="4" w:space="0" w:color="auto"/>
              <w:right w:val="single" w:sz="4" w:space="0" w:color="auto"/>
            </w:tcBorders>
            <w:shd w:val="clear" w:color="auto" w:fill="auto"/>
            <w:hideMark/>
          </w:tcPr>
          <w:p w14:paraId="4E39E0DB"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Solution should be able to integrate using API or ICAP for scanning files uploaded to web applications/SFTP</w:t>
            </w:r>
          </w:p>
        </w:tc>
        <w:tc>
          <w:tcPr>
            <w:tcW w:w="1220" w:type="dxa"/>
            <w:tcBorders>
              <w:top w:val="nil"/>
              <w:left w:val="nil"/>
              <w:bottom w:val="single" w:sz="4" w:space="0" w:color="auto"/>
              <w:right w:val="single" w:sz="4" w:space="0" w:color="auto"/>
            </w:tcBorders>
            <w:shd w:val="clear" w:color="auto" w:fill="auto"/>
            <w:hideMark/>
          </w:tcPr>
          <w:p w14:paraId="1D740E66"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c>
          <w:tcPr>
            <w:tcW w:w="1760" w:type="dxa"/>
            <w:tcBorders>
              <w:top w:val="nil"/>
              <w:left w:val="nil"/>
              <w:bottom w:val="single" w:sz="4" w:space="0" w:color="auto"/>
              <w:right w:val="single" w:sz="4" w:space="0" w:color="auto"/>
            </w:tcBorders>
            <w:shd w:val="clear" w:color="auto" w:fill="auto"/>
            <w:hideMark/>
          </w:tcPr>
          <w:p w14:paraId="0859148F"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r>
      <w:tr w:rsidR="00A93231" w:rsidRPr="00A93231" w14:paraId="576C9BB2" w14:textId="77777777" w:rsidTr="00A93231">
        <w:trPr>
          <w:trHeight w:val="510"/>
        </w:trPr>
        <w:tc>
          <w:tcPr>
            <w:tcW w:w="520" w:type="dxa"/>
            <w:tcBorders>
              <w:top w:val="nil"/>
              <w:left w:val="single" w:sz="4" w:space="0" w:color="auto"/>
              <w:bottom w:val="single" w:sz="4" w:space="0" w:color="auto"/>
              <w:right w:val="single" w:sz="4" w:space="0" w:color="auto"/>
            </w:tcBorders>
            <w:shd w:val="clear" w:color="auto" w:fill="auto"/>
            <w:hideMark/>
          </w:tcPr>
          <w:p w14:paraId="4357ACB4" w14:textId="77777777" w:rsidR="00A93231" w:rsidRPr="00A93231" w:rsidRDefault="00A93231" w:rsidP="00A93231">
            <w:pPr>
              <w:spacing w:after="0" w:line="240" w:lineRule="auto"/>
              <w:jc w:val="center"/>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2</w:t>
            </w:r>
          </w:p>
        </w:tc>
        <w:tc>
          <w:tcPr>
            <w:tcW w:w="11440" w:type="dxa"/>
            <w:tcBorders>
              <w:top w:val="nil"/>
              <w:left w:val="nil"/>
              <w:bottom w:val="single" w:sz="4" w:space="0" w:color="auto"/>
              <w:right w:val="single" w:sz="4" w:space="0" w:color="auto"/>
            </w:tcBorders>
            <w:shd w:val="clear" w:color="auto" w:fill="auto"/>
            <w:hideMark/>
          </w:tcPr>
          <w:p w14:paraId="15894DBC"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must be on premise and capable to perform local analysis of the sample submissions with no analyzed data going outside Bank's infrastructure.  However, solution should be cloud ready.</w:t>
            </w:r>
          </w:p>
        </w:tc>
        <w:tc>
          <w:tcPr>
            <w:tcW w:w="1220" w:type="dxa"/>
            <w:tcBorders>
              <w:top w:val="nil"/>
              <w:left w:val="nil"/>
              <w:bottom w:val="single" w:sz="4" w:space="0" w:color="auto"/>
              <w:right w:val="single" w:sz="4" w:space="0" w:color="auto"/>
            </w:tcBorders>
            <w:shd w:val="clear" w:color="auto" w:fill="auto"/>
            <w:hideMark/>
          </w:tcPr>
          <w:p w14:paraId="4F77DEB1"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c>
          <w:tcPr>
            <w:tcW w:w="1760" w:type="dxa"/>
            <w:tcBorders>
              <w:top w:val="nil"/>
              <w:left w:val="nil"/>
              <w:bottom w:val="single" w:sz="4" w:space="0" w:color="auto"/>
              <w:right w:val="single" w:sz="4" w:space="0" w:color="auto"/>
            </w:tcBorders>
            <w:shd w:val="clear" w:color="auto" w:fill="auto"/>
            <w:hideMark/>
          </w:tcPr>
          <w:p w14:paraId="44A70B63"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r>
      <w:tr w:rsidR="00A93231" w:rsidRPr="00A93231" w14:paraId="7A0D405A" w14:textId="77777777" w:rsidTr="00A93231">
        <w:trPr>
          <w:trHeight w:val="510"/>
        </w:trPr>
        <w:tc>
          <w:tcPr>
            <w:tcW w:w="520" w:type="dxa"/>
            <w:tcBorders>
              <w:top w:val="nil"/>
              <w:left w:val="single" w:sz="4" w:space="0" w:color="auto"/>
              <w:bottom w:val="single" w:sz="4" w:space="0" w:color="auto"/>
              <w:right w:val="single" w:sz="4" w:space="0" w:color="auto"/>
            </w:tcBorders>
            <w:shd w:val="clear" w:color="auto" w:fill="auto"/>
            <w:hideMark/>
          </w:tcPr>
          <w:p w14:paraId="7C9DE77C" w14:textId="77777777" w:rsidR="00A93231" w:rsidRPr="00A93231" w:rsidRDefault="00A93231" w:rsidP="00A93231">
            <w:pPr>
              <w:spacing w:after="0" w:line="240" w:lineRule="auto"/>
              <w:jc w:val="center"/>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3</w:t>
            </w:r>
          </w:p>
        </w:tc>
        <w:tc>
          <w:tcPr>
            <w:tcW w:w="11440" w:type="dxa"/>
            <w:tcBorders>
              <w:top w:val="nil"/>
              <w:left w:val="nil"/>
              <w:bottom w:val="single" w:sz="4" w:space="0" w:color="auto"/>
              <w:right w:val="single" w:sz="4" w:space="0" w:color="auto"/>
            </w:tcBorders>
            <w:shd w:val="clear" w:color="auto" w:fill="auto"/>
            <w:hideMark/>
          </w:tcPr>
          <w:p w14:paraId="50C6687F"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should have the ability to perform the simulation of unknown code before the code is executed to determine malicious intent without requiring end-user interaction with the unknown code.</w:t>
            </w:r>
          </w:p>
        </w:tc>
        <w:tc>
          <w:tcPr>
            <w:tcW w:w="1220" w:type="dxa"/>
            <w:tcBorders>
              <w:top w:val="nil"/>
              <w:left w:val="nil"/>
              <w:bottom w:val="single" w:sz="4" w:space="0" w:color="auto"/>
              <w:right w:val="single" w:sz="4" w:space="0" w:color="auto"/>
            </w:tcBorders>
            <w:shd w:val="clear" w:color="auto" w:fill="auto"/>
            <w:hideMark/>
          </w:tcPr>
          <w:p w14:paraId="66A3B211"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c>
          <w:tcPr>
            <w:tcW w:w="1760" w:type="dxa"/>
            <w:tcBorders>
              <w:top w:val="nil"/>
              <w:left w:val="nil"/>
              <w:bottom w:val="single" w:sz="4" w:space="0" w:color="auto"/>
              <w:right w:val="single" w:sz="4" w:space="0" w:color="auto"/>
            </w:tcBorders>
            <w:shd w:val="clear" w:color="auto" w:fill="auto"/>
            <w:hideMark/>
          </w:tcPr>
          <w:p w14:paraId="30F31F87"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r>
      <w:tr w:rsidR="00A93231" w:rsidRPr="00A93231" w14:paraId="786E389B" w14:textId="77777777" w:rsidTr="00A93231">
        <w:trPr>
          <w:trHeight w:val="315"/>
        </w:trPr>
        <w:tc>
          <w:tcPr>
            <w:tcW w:w="520" w:type="dxa"/>
            <w:tcBorders>
              <w:top w:val="nil"/>
              <w:left w:val="single" w:sz="4" w:space="0" w:color="auto"/>
              <w:bottom w:val="single" w:sz="4" w:space="0" w:color="auto"/>
              <w:right w:val="single" w:sz="4" w:space="0" w:color="auto"/>
            </w:tcBorders>
            <w:shd w:val="clear" w:color="auto" w:fill="auto"/>
            <w:hideMark/>
          </w:tcPr>
          <w:p w14:paraId="696AB361" w14:textId="77777777" w:rsidR="00A93231" w:rsidRPr="00A93231" w:rsidRDefault="00A93231" w:rsidP="00A93231">
            <w:pPr>
              <w:spacing w:after="0" w:line="240" w:lineRule="auto"/>
              <w:jc w:val="center"/>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3</w:t>
            </w:r>
          </w:p>
        </w:tc>
        <w:tc>
          <w:tcPr>
            <w:tcW w:w="11440" w:type="dxa"/>
            <w:tcBorders>
              <w:top w:val="nil"/>
              <w:left w:val="nil"/>
              <w:bottom w:val="single" w:sz="4" w:space="0" w:color="auto"/>
              <w:right w:val="single" w:sz="4" w:space="0" w:color="auto"/>
            </w:tcBorders>
            <w:shd w:val="clear" w:color="auto" w:fill="auto"/>
            <w:hideMark/>
          </w:tcPr>
          <w:p w14:paraId="3D7085A7"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shall be able to do unlimited number of file scans without any restriction</w:t>
            </w:r>
          </w:p>
        </w:tc>
        <w:tc>
          <w:tcPr>
            <w:tcW w:w="1220" w:type="dxa"/>
            <w:tcBorders>
              <w:top w:val="nil"/>
              <w:left w:val="nil"/>
              <w:bottom w:val="single" w:sz="4" w:space="0" w:color="auto"/>
              <w:right w:val="single" w:sz="4" w:space="0" w:color="auto"/>
            </w:tcBorders>
            <w:shd w:val="clear" w:color="auto" w:fill="auto"/>
            <w:hideMark/>
          </w:tcPr>
          <w:p w14:paraId="20C42359"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c>
          <w:tcPr>
            <w:tcW w:w="1760" w:type="dxa"/>
            <w:tcBorders>
              <w:top w:val="nil"/>
              <w:left w:val="nil"/>
              <w:bottom w:val="single" w:sz="4" w:space="0" w:color="auto"/>
              <w:right w:val="single" w:sz="4" w:space="0" w:color="auto"/>
            </w:tcBorders>
            <w:shd w:val="clear" w:color="auto" w:fill="auto"/>
            <w:hideMark/>
          </w:tcPr>
          <w:p w14:paraId="1F8CD258"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r>
      <w:tr w:rsidR="00A93231" w:rsidRPr="00A93231" w14:paraId="410900E2" w14:textId="77777777" w:rsidTr="00A93231">
        <w:trPr>
          <w:trHeight w:val="315"/>
        </w:trPr>
        <w:tc>
          <w:tcPr>
            <w:tcW w:w="520" w:type="dxa"/>
            <w:tcBorders>
              <w:top w:val="nil"/>
              <w:left w:val="single" w:sz="4" w:space="0" w:color="auto"/>
              <w:bottom w:val="single" w:sz="4" w:space="0" w:color="auto"/>
              <w:right w:val="single" w:sz="4" w:space="0" w:color="auto"/>
            </w:tcBorders>
            <w:shd w:val="clear" w:color="auto" w:fill="auto"/>
            <w:hideMark/>
          </w:tcPr>
          <w:p w14:paraId="377E8CD1" w14:textId="77777777" w:rsidR="00A93231" w:rsidRPr="00A93231" w:rsidRDefault="00A93231" w:rsidP="00A93231">
            <w:pPr>
              <w:spacing w:after="0" w:line="240" w:lineRule="auto"/>
              <w:jc w:val="center"/>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3</w:t>
            </w:r>
          </w:p>
        </w:tc>
        <w:tc>
          <w:tcPr>
            <w:tcW w:w="11440" w:type="dxa"/>
            <w:tcBorders>
              <w:top w:val="nil"/>
              <w:left w:val="nil"/>
              <w:bottom w:val="single" w:sz="4" w:space="0" w:color="auto"/>
              <w:right w:val="single" w:sz="4" w:space="0" w:color="auto"/>
            </w:tcBorders>
            <w:shd w:val="clear" w:color="auto" w:fill="auto"/>
            <w:hideMark/>
          </w:tcPr>
          <w:p w14:paraId="0CED072B"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shall be software based appliance</w:t>
            </w:r>
          </w:p>
        </w:tc>
        <w:tc>
          <w:tcPr>
            <w:tcW w:w="1220" w:type="dxa"/>
            <w:tcBorders>
              <w:top w:val="nil"/>
              <w:left w:val="nil"/>
              <w:bottom w:val="single" w:sz="4" w:space="0" w:color="auto"/>
              <w:right w:val="single" w:sz="4" w:space="0" w:color="auto"/>
            </w:tcBorders>
            <w:shd w:val="clear" w:color="auto" w:fill="auto"/>
            <w:hideMark/>
          </w:tcPr>
          <w:p w14:paraId="7C38BCE8"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c>
          <w:tcPr>
            <w:tcW w:w="1760" w:type="dxa"/>
            <w:tcBorders>
              <w:top w:val="nil"/>
              <w:left w:val="nil"/>
              <w:bottom w:val="single" w:sz="4" w:space="0" w:color="auto"/>
              <w:right w:val="single" w:sz="4" w:space="0" w:color="auto"/>
            </w:tcBorders>
            <w:shd w:val="clear" w:color="auto" w:fill="auto"/>
            <w:hideMark/>
          </w:tcPr>
          <w:p w14:paraId="27B40AA4"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xml:space="preserve"> </w:t>
            </w:r>
          </w:p>
        </w:tc>
      </w:tr>
      <w:tr w:rsidR="00A93231" w:rsidRPr="00A93231" w14:paraId="024D1B38" w14:textId="77777777" w:rsidTr="00A93231">
        <w:trPr>
          <w:trHeight w:val="510"/>
        </w:trPr>
        <w:tc>
          <w:tcPr>
            <w:tcW w:w="520" w:type="dxa"/>
            <w:tcBorders>
              <w:top w:val="nil"/>
              <w:left w:val="single" w:sz="4" w:space="0" w:color="auto"/>
              <w:bottom w:val="single" w:sz="4" w:space="0" w:color="auto"/>
              <w:right w:val="single" w:sz="4" w:space="0" w:color="auto"/>
            </w:tcBorders>
            <w:shd w:val="clear" w:color="auto" w:fill="auto"/>
            <w:hideMark/>
          </w:tcPr>
          <w:p w14:paraId="1173A6A3" w14:textId="77777777" w:rsidR="00A93231" w:rsidRPr="00A93231" w:rsidRDefault="00A93231" w:rsidP="00A93231">
            <w:pPr>
              <w:spacing w:after="0" w:line="240" w:lineRule="auto"/>
              <w:jc w:val="center"/>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4</w:t>
            </w:r>
          </w:p>
        </w:tc>
        <w:tc>
          <w:tcPr>
            <w:tcW w:w="11440" w:type="dxa"/>
            <w:tcBorders>
              <w:top w:val="nil"/>
              <w:left w:val="nil"/>
              <w:bottom w:val="single" w:sz="4" w:space="0" w:color="auto"/>
              <w:right w:val="single" w:sz="4" w:space="0" w:color="auto"/>
            </w:tcBorders>
            <w:shd w:val="clear" w:color="auto" w:fill="auto"/>
            <w:hideMark/>
          </w:tcPr>
          <w:p w14:paraId="1CCC6819"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should get integrated using REST API with the application and provide a detailed API response for the application to take an action on the file scanning verdict</w:t>
            </w:r>
          </w:p>
        </w:tc>
        <w:tc>
          <w:tcPr>
            <w:tcW w:w="1220" w:type="dxa"/>
            <w:tcBorders>
              <w:top w:val="nil"/>
              <w:left w:val="nil"/>
              <w:bottom w:val="single" w:sz="4" w:space="0" w:color="auto"/>
              <w:right w:val="single" w:sz="4" w:space="0" w:color="auto"/>
            </w:tcBorders>
            <w:shd w:val="clear" w:color="auto" w:fill="auto"/>
            <w:hideMark/>
          </w:tcPr>
          <w:p w14:paraId="68C2595A"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c>
          <w:tcPr>
            <w:tcW w:w="1760" w:type="dxa"/>
            <w:tcBorders>
              <w:top w:val="nil"/>
              <w:left w:val="nil"/>
              <w:bottom w:val="single" w:sz="4" w:space="0" w:color="auto"/>
              <w:right w:val="single" w:sz="4" w:space="0" w:color="auto"/>
            </w:tcBorders>
            <w:shd w:val="clear" w:color="auto" w:fill="auto"/>
            <w:hideMark/>
          </w:tcPr>
          <w:p w14:paraId="02EABC79"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r>
      <w:tr w:rsidR="00A93231" w:rsidRPr="00A93231" w14:paraId="0A43B0A9" w14:textId="77777777" w:rsidTr="00A93231">
        <w:trPr>
          <w:trHeight w:val="510"/>
        </w:trPr>
        <w:tc>
          <w:tcPr>
            <w:tcW w:w="520" w:type="dxa"/>
            <w:tcBorders>
              <w:top w:val="nil"/>
              <w:left w:val="single" w:sz="4" w:space="0" w:color="auto"/>
              <w:bottom w:val="single" w:sz="4" w:space="0" w:color="auto"/>
              <w:right w:val="single" w:sz="4" w:space="0" w:color="auto"/>
            </w:tcBorders>
            <w:shd w:val="clear" w:color="auto" w:fill="auto"/>
            <w:hideMark/>
          </w:tcPr>
          <w:p w14:paraId="6319DBBB" w14:textId="77777777" w:rsidR="00A93231" w:rsidRPr="00A93231" w:rsidRDefault="00A93231" w:rsidP="00A93231">
            <w:pPr>
              <w:spacing w:after="0" w:line="240" w:lineRule="auto"/>
              <w:jc w:val="center"/>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5</w:t>
            </w:r>
          </w:p>
        </w:tc>
        <w:tc>
          <w:tcPr>
            <w:tcW w:w="11440" w:type="dxa"/>
            <w:tcBorders>
              <w:top w:val="nil"/>
              <w:left w:val="nil"/>
              <w:bottom w:val="single" w:sz="4" w:space="0" w:color="auto"/>
              <w:right w:val="single" w:sz="4" w:space="0" w:color="auto"/>
            </w:tcBorders>
            <w:shd w:val="clear" w:color="auto" w:fill="auto"/>
            <w:hideMark/>
          </w:tcPr>
          <w:p w14:paraId="720F8219"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Solutions shall support ICAP integration with standard security solutions like proxy /reverse proxy systems/next generation firewalls/web application firewalls/MFT's</w:t>
            </w:r>
          </w:p>
        </w:tc>
        <w:tc>
          <w:tcPr>
            <w:tcW w:w="1220" w:type="dxa"/>
            <w:tcBorders>
              <w:top w:val="nil"/>
              <w:left w:val="nil"/>
              <w:bottom w:val="single" w:sz="4" w:space="0" w:color="auto"/>
              <w:right w:val="single" w:sz="4" w:space="0" w:color="auto"/>
            </w:tcBorders>
            <w:shd w:val="clear" w:color="auto" w:fill="auto"/>
            <w:hideMark/>
          </w:tcPr>
          <w:p w14:paraId="57FEE43A"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c>
          <w:tcPr>
            <w:tcW w:w="1760" w:type="dxa"/>
            <w:tcBorders>
              <w:top w:val="nil"/>
              <w:left w:val="nil"/>
              <w:bottom w:val="single" w:sz="4" w:space="0" w:color="auto"/>
              <w:right w:val="single" w:sz="4" w:space="0" w:color="auto"/>
            </w:tcBorders>
            <w:shd w:val="clear" w:color="auto" w:fill="auto"/>
            <w:hideMark/>
          </w:tcPr>
          <w:p w14:paraId="68867BAE"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r>
      <w:tr w:rsidR="00A93231" w:rsidRPr="00A93231" w14:paraId="283FB82F" w14:textId="77777777" w:rsidTr="00A93231">
        <w:trPr>
          <w:trHeight w:val="765"/>
        </w:trPr>
        <w:tc>
          <w:tcPr>
            <w:tcW w:w="520" w:type="dxa"/>
            <w:tcBorders>
              <w:top w:val="nil"/>
              <w:left w:val="single" w:sz="4" w:space="0" w:color="auto"/>
              <w:bottom w:val="single" w:sz="4" w:space="0" w:color="auto"/>
              <w:right w:val="single" w:sz="4" w:space="0" w:color="auto"/>
            </w:tcBorders>
            <w:shd w:val="clear" w:color="auto" w:fill="auto"/>
            <w:hideMark/>
          </w:tcPr>
          <w:p w14:paraId="61DCECD4" w14:textId="77777777" w:rsidR="00A93231" w:rsidRPr="00A93231" w:rsidRDefault="00A93231" w:rsidP="00A93231">
            <w:pPr>
              <w:spacing w:after="0" w:line="240" w:lineRule="auto"/>
              <w:jc w:val="center"/>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6</w:t>
            </w:r>
          </w:p>
        </w:tc>
        <w:tc>
          <w:tcPr>
            <w:tcW w:w="11440" w:type="dxa"/>
            <w:tcBorders>
              <w:top w:val="nil"/>
              <w:left w:val="nil"/>
              <w:bottom w:val="single" w:sz="4" w:space="0" w:color="auto"/>
              <w:right w:val="single" w:sz="4" w:space="0" w:color="auto"/>
            </w:tcBorders>
            <w:shd w:val="clear" w:color="auto" w:fill="auto"/>
            <w:hideMark/>
          </w:tcPr>
          <w:p w14:paraId="73766C03"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shall support detection and extraction of standard archive file types, including ( but not limited to ) Microsoft Office documents, Zip, 7z, Jar, RAR, TAR, ISO, Gzip, APK, MSI, TGZ, TBZ, and BZ2 without any restriction on archive level, number of files &amp; file size</w:t>
            </w:r>
          </w:p>
        </w:tc>
        <w:tc>
          <w:tcPr>
            <w:tcW w:w="1220" w:type="dxa"/>
            <w:tcBorders>
              <w:top w:val="nil"/>
              <w:left w:val="nil"/>
              <w:bottom w:val="single" w:sz="4" w:space="0" w:color="auto"/>
              <w:right w:val="single" w:sz="4" w:space="0" w:color="auto"/>
            </w:tcBorders>
            <w:shd w:val="clear" w:color="auto" w:fill="auto"/>
            <w:hideMark/>
          </w:tcPr>
          <w:p w14:paraId="211A979E"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c>
          <w:tcPr>
            <w:tcW w:w="1760" w:type="dxa"/>
            <w:tcBorders>
              <w:top w:val="nil"/>
              <w:left w:val="nil"/>
              <w:bottom w:val="single" w:sz="4" w:space="0" w:color="auto"/>
              <w:right w:val="single" w:sz="4" w:space="0" w:color="auto"/>
            </w:tcBorders>
            <w:shd w:val="clear" w:color="auto" w:fill="auto"/>
            <w:hideMark/>
          </w:tcPr>
          <w:p w14:paraId="14374ADD"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r>
      <w:tr w:rsidR="00A93231" w:rsidRPr="00A93231" w14:paraId="49740029" w14:textId="77777777" w:rsidTr="00A93231">
        <w:trPr>
          <w:trHeight w:val="315"/>
        </w:trPr>
        <w:tc>
          <w:tcPr>
            <w:tcW w:w="520" w:type="dxa"/>
            <w:tcBorders>
              <w:top w:val="nil"/>
              <w:left w:val="single" w:sz="4" w:space="0" w:color="auto"/>
              <w:bottom w:val="single" w:sz="4" w:space="0" w:color="auto"/>
              <w:right w:val="single" w:sz="4" w:space="0" w:color="auto"/>
            </w:tcBorders>
            <w:shd w:val="clear" w:color="auto" w:fill="auto"/>
            <w:hideMark/>
          </w:tcPr>
          <w:p w14:paraId="2F89A9E2" w14:textId="77777777" w:rsidR="00A93231" w:rsidRPr="00A93231" w:rsidRDefault="00A93231" w:rsidP="00A93231">
            <w:pPr>
              <w:spacing w:after="0" w:line="240" w:lineRule="auto"/>
              <w:jc w:val="center"/>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7</w:t>
            </w:r>
          </w:p>
        </w:tc>
        <w:tc>
          <w:tcPr>
            <w:tcW w:w="11440" w:type="dxa"/>
            <w:tcBorders>
              <w:top w:val="nil"/>
              <w:left w:val="nil"/>
              <w:bottom w:val="single" w:sz="4" w:space="0" w:color="auto"/>
              <w:right w:val="single" w:sz="4" w:space="0" w:color="auto"/>
            </w:tcBorders>
            <w:shd w:val="clear" w:color="auto" w:fill="auto"/>
            <w:hideMark/>
          </w:tcPr>
          <w:p w14:paraId="4F470F87"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shall support blacklisting and whitelisting based on hash, filename, file type and MIME type.</w:t>
            </w:r>
          </w:p>
        </w:tc>
        <w:tc>
          <w:tcPr>
            <w:tcW w:w="1220" w:type="dxa"/>
            <w:tcBorders>
              <w:top w:val="nil"/>
              <w:left w:val="nil"/>
              <w:bottom w:val="single" w:sz="4" w:space="0" w:color="auto"/>
              <w:right w:val="single" w:sz="4" w:space="0" w:color="auto"/>
            </w:tcBorders>
            <w:shd w:val="clear" w:color="auto" w:fill="auto"/>
            <w:hideMark/>
          </w:tcPr>
          <w:p w14:paraId="742B925E"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c>
          <w:tcPr>
            <w:tcW w:w="1760" w:type="dxa"/>
            <w:tcBorders>
              <w:top w:val="nil"/>
              <w:left w:val="nil"/>
              <w:bottom w:val="single" w:sz="4" w:space="0" w:color="auto"/>
              <w:right w:val="single" w:sz="4" w:space="0" w:color="auto"/>
            </w:tcBorders>
            <w:shd w:val="clear" w:color="auto" w:fill="auto"/>
            <w:hideMark/>
          </w:tcPr>
          <w:p w14:paraId="469B28AB"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r>
      <w:tr w:rsidR="00A93231" w:rsidRPr="00A93231" w14:paraId="1442A04B" w14:textId="77777777" w:rsidTr="00A93231">
        <w:trPr>
          <w:trHeight w:val="315"/>
        </w:trPr>
        <w:tc>
          <w:tcPr>
            <w:tcW w:w="520" w:type="dxa"/>
            <w:tcBorders>
              <w:top w:val="nil"/>
              <w:left w:val="single" w:sz="4" w:space="0" w:color="auto"/>
              <w:bottom w:val="single" w:sz="4" w:space="0" w:color="auto"/>
              <w:right w:val="single" w:sz="4" w:space="0" w:color="auto"/>
            </w:tcBorders>
            <w:shd w:val="clear" w:color="auto" w:fill="auto"/>
            <w:hideMark/>
          </w:tcPr>
          <w:p w14:paraId="02370F26" w14:textId="77777777" w:rsidR="00A93231" w:rsidRPr="00A93231" w:rsidRDefault="00A93231" w:rsidP="00A93231">
            <w:pPr>
              <w:spacing w:after="0" w:line="240" w:lineRule="auto"/>
              <w:jc w:val="center"/>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8</w:t>
            </w:r>
          </w:p>
        </w:tc>
        <w:tc>
          <w:tcPr>
            <w:tcW w:w="11440" w:type="dxa"/>
            <w:tcBorders>
              <w:top w:val="nil"/>
              <w:left w:val="nil"/>
              <w:bottom w:val="single" w:sz="4" w:space="0" w:color="auto"/>
              <w:right w:val="single" w:sz="4" w:space="0" w:color="auto"/>
            </w:tcBorders>
            <w:shd w:val="clear" w:color="auto" w:fill="auto"/>
            <w:hideMark/>
          </w:tcPr>
          <w:p w14:paraId="154CC7A6"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shall not send any files being scanned out of the solution or organization</w:t>
            </w:r>
          </w:p>
        </w:tc>
        <w:tc>
          <w:tcPr>
            <w:tcW w:w="1220" w:type="dxa"/>
            <w:tcBorders>
              <w:top w:val="nil"/>
              <w:left w:val="nil"/>
              <w:bottom w:val="single" w:sz="4" w:space="0" w:color="auto"/>
              <w:right w:val="single" w:sz="4" w:space="0" w:color="auto"/>
            </w:tcBorders>
            <w:shd w:val="clear" w:color="auto" w:fill="auto"/>
            <w:hideMark/>
          </w:tcPr>
          <w:p w14:paraId="3D93F08B"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c>
          <w:tcPr>
            <w:tcW w:w="1760" w:type="dxa"/>
            <w:tcBorders>
              <w:top w:val="nil"/>
              <w:left w:val="nil"/>
              <w:bottom w:val="single" w:sz="4" w:space="0" w:color="auto"/>
              <w:right w:val="single" w:sz="4" w:space="0" w:color="auto"/>
            </w:tcBorders>
            <w:shd w:val="clear" w:color="auto" w:fill="auto"/>
            <w:hideMark/>
          </w:tcPr>
          <w:p w14:paraId="6F7FC8AE"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r>
      <w:tr w:rsidR="00A93231" w:rsidRPr="00A93231" w14:paraId="12DA6940" w14:textId="77777777" w:rsidTr="00A93231">
        <w:trPr>
          <w:trHeight w:val="315"/>
        </w:trPr>
        <w:tc>
          <w:tcPr>
            <w:tcW w:w="520" w:type="dxa"/>
            <w:tcBorders>
              <w:top w:val="nil"/>
              <w:left w:val="single" w:sz="4" w:space="0" w:color="auto"/>
              <w:bottom w:val="single" w:sz="4" w:space="0" w:color="auto"/>
              <w:right w:val="single" w:sz="4" w:space="0" w:color="auto"/>
            </w:tcBorders>
            <w:shd w:val="clear" w:color="auto" w:fill="auto"/>
            <w:hideMark/>
          </w:tcPr>
          <w:p w14:paraId="5B0C1212" w14:textId="77777777" w:rsidR="00A93231" w:rsidRPr="00A93231" w:rsidRDefault="00A93231" w:rsidP="00A93231">
            <w:pPr>
              <w:spacing w:after="0" w:line="240" w:lineRule="auto"/>
              <w:jc w:val="center"/>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9</w:t>
            </w:r>
          </w:p>
        </w:tc>
        <w:tc>
          <w:tcPr>
            <w:tcW w:w="11440" w:type="dxa"/>
            <w:tcBorders>
              <w:top w:val="nil"/>
              <w:left w:val="nil"/>
              <w:bottom w:val="single" w:sz="4" w:space="0" w:color="auto"/>
              <w:right w:val="single" w:sz="4" w:space="0" w:color="auto"/>
            </w:tcBorders>
            <w:shd w:val="clear" w:color="auto" w:fill="auto"/>
            <w:hideMark/>
          </w:tcPr>
          <w:p w14:paraId="791E188C"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should support multiple security rules for different applications based on Host,client or HTTP headers</w:t>
            </w:r>
          </w:p>
        </w:tc>
        <w:tc>
          <w:tcPr>
            <w:tcW w:w="1220" w:type="dxa"/>
            <w:tcBorders>
              <w:top w:val="nil"/>
              <w:left w:val="nil"/>
              <w:bottom w:val="single" w:sz="4" w:space="0" w:color="auto"/>
              <w:right w:val="single" w:sz="4" w:space="0" w:color="auto"/>
            </w:tcBorders>
            <w:shd w:val="clear" w:color="auto" w:fill="auto"/>
            <w:hideMark/>
          </w:tcPr>
          <w:p w14:paraId="12A0B52A"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c>
          <w:tcPr>
            <w:tcW w:w="1760" w:type="dxa"/>
            <w:tcBorders>
              <w:top w:val="nil"/>
              <w:left w:val="nil"/>
              <w:bottom w:val="single" w:sz="4" w:space="0" w:color="auto"/>
              <w:right w:val="single" w:sz="4" w:space="0" w:color="auto"/>
            </w:tcBorders>
            <w:shd w:val="clear" w:color="auto" w:fill="auto"/>
            <w:hideMark/>
          </w:tcPr>
          <w:p w14:paraId="3A52BAF0"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r>
      <w:tr w:rsidR="00A93231" w:rsidRPr="00A93231" w14:paraId="412C77B8" w14:textId="77777777" w:rsidTr="00A93231">
        <w:trPr>
          <w:trHeight w:val="315"/>
        </w:trPr>
        <w:tc>
          <w:tcPr>
            <w:tcW w:w="520" w:type="dxa"/>
            <w:tcBorders>
              <w:top w:val="nil"/>
              <w:left w:val="single" w:sz="4" w:space="0" w:color="auto"/>
              <w:bottom w:val="single" w:sz="4" w:space="0" w:color="auto"/>
              <w:right w:val="single" w:sz="4" w:space="0" w:color="auto"/>
            </w:tcBorders>
            <w:shd w:val="clear" w:color="auto" w:fill="auto"/>
            <w:hideMark/>
          </w:tcPr>
          <w:p w14:paraId="60046A7B" w14:textId="77777777" w:rsidR="00A93231" w:rsidRPr="00A93231" w:rsidRDefault="00A93231" w:rsidP="00A93231">
            <w:pPr>
              <w:spacing w:after="0" w:line="240" w:lineRule="auto"/>
              <w:jc w:val="center"/>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10</w:t>
            </w:r>
          </w:p>
        </w:tc>
        <w:tc>
          <w:tcPr>
            <w:tcW w:w="11440" w:type="dxa"/>
            <w:tcBorders>
              <w:top w:val="nil"/>
              <w:left w:val="nil"/>
              <w:bottom w:val="single" w:sz="4" w:space="0" w:color="auto"/>
              <w:right w:val="single" w:sz="4" w:space="0" w:color="auto"/>
            </w:tcBorders>
            <w:shd w:val="clear" w:color="auto" w:fill="auto"/>
            <w:hideMark/>
          </w:tcPr>
          <w:p w14:paraId="2475CD4C"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The solution should support HA / loadbalancing  </w:t>
            </w:r>
          </w:p>
        </w:tc>
        <w:tc>
          <w:tcPr>
            <w:tcW w:w="1220" w:type="dxa"/>
            <w:tcBorders>
              <w:top w:val="nil"/>
              <w:left w:val="nil"/>
              <w:bottom w:val="single" w:sz="4" w:space="0" w:color="auto"/>
              <w:right w:val="single" w:sz="4" w:space="0" w:color="auto"/>
            </w:tcBorders>
            <w:shd w:val="clear" w:color="auto" w:fill="auto"/>
            <w:hideMark/>
          </w:tcPr>
          <w:p w14:paraId="5651A391"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c>
          <w:tcPr>
            <w:tcW w:w="1760" w:type="dxa"/>
            <w:tcBorders>
              <w:top w:val="nil"/>
              <w:left w:val="nil"/>
              <w:bottom w:val="single" w:sz="4" w:space="0" w:color="auto"/>
              <w:right w:val="single" w:sz="4" w:space="0" w:color="auto"/>
            </w:tcBorders>
            <w:shd w:val="clear" w:color="auto" w:fill="auto"/>
            <w:hideMark/>
          </w:tcPr>
          <w:p w14:paraId="14FCCC0B"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r>
      <w:tr w:rsidR="00A93231" w:rsidRPr="00A93231" w14:paraId="67036937" w14:textId="77777777" w:rsidTr="00A93231">
        <w:trPr>
          <w:trHeight w:val="315"/>
        </w:trPr>
        <w:tc>
          <w:tcPr>
            <w:tcW w:w="520" w:type="dxa"/>
            <w:tcBorders>
              <w:top w:val="nil"/>
              <w:left w:val="single" w:sz="4" w:space="0" w:color="auto"/>
              <w:bottom w:val="single" w:sz="4" w:space="0" w:color="auto"/>
              <w:right w:val="single" w:sz="4" w:space="0" w:color="auto"/>
            </w:tcBorders>
            <w:shd w:val="clear" w:color="auto" w:fill="auto"/>
            <w:hideMark/>
          </w:tcPr>
          <w:p w14:paraId="61F9B0BF" w14:textId="77777777" w:rsidR="00A93231" w:rsidRPr="00A93231" w:rsidRDefault="00A93231" w:rsidP="00A93231">
            <w:pPr>
              <w:spacing w:after="0" w:line="240" w:lineRule="auto"/>
              <w:jc w:val="center"/>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11</w:t>
            </w:r>
          </w:p>
        </w:tc>
        <w:tc>
          <w:tcPr>
            <w:tcW w:w="11440" w:type="dxa"/>
            <w:tcBorders>
              <w:top w:val="nil"/>
              <w:left w:val="nil"/>
              <w:bottom w:val="single" w:sz="4" w:space="0" w:color="auto"/>
              <w:right w:val="single" w:sz="4" w:space="0" w:color="auto"/>
            </w:tcBorders>
            <w:shd w:val="clear" w:color="auto" w:fill="auto"/>
            <w:hideMark/>
          </w:tcPr>
          <w:p w14:paraId="42FE8699"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should be able to detect &amp; sanitize embedded objects and active content in the files.</w:t>
            </w:r>
          </w:p>
        </w:tc>
        <w:tc>
          <w:tcPr>
            <w:tcW w:w="1220" w:type="dxa"/>
            <w:tcBorders>
              <w:top w:val="nil"/>
              <w:left w:val="nil"/>
              <w:bottom w:val="single" w:sz="4" w:space="0" w:color="auto"/>
              <w:right w:val="single" w:sz="4" w:space="0" w:color="auto"/>
            </w:tcBorders>
            <w:shd w:val="clear" w:color="auto" w:fill="auto"/>
            <w:hideMark/>
          </w:tcPr>
          <w:p w14:paraId="397E750C"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c>
          <w:tcPr>
            <w:tcW w:w="1760" w:type="dxa"/>
            <w:tcBorders>
              <w:top w:val="nil"/>
              <w:left w:val="nil"/>
              <w:bottom w:val="single" w:sz="4" w:space="0" w:color="auto"/>
              <w:right w:val="single" w:sz="4" w:space="0" w:color="auto"/>
            </w:tcBorders>
            <w:shd w:val="clear" w:color="auto" w:fill="auto"/>
            <w:hideMark/>
          </w:tcPr>
          <w:p w14:paraId="435D228E"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r>
      <w:tr w:rsidR="00A93231" w:rsidRPr="00A93231" w14:paraId="223DC2A7" w14:textId="77777777" w:rsidTr="00A93231">
        <w:trPr>
          <w:trHeight w:val="315"/>
        </w:trPr>
        <w:tc>
          <w:tcPr>
            <w:tcW w:w="520" w:type="dxa"/>
            <w:tcBorders>
              <w:top w:val="nil"/>
              <w:left w:val="single" w:sz="4" w:space="0" w:color="auto"/>
              <w:bottom w:val="single" w:sz="4" w:space="0" w:color="auto"/>
              <w:right w:val="single" w:sz="4" w:space="0" w:color="auto"/>
            </w:tcBorders>
            <w:shd w:val="clear" w:color="000000" w:fill="DDEBF7"/>
            <w:hideMark/>
          </w:tcPr>
          <w:p w14:paraId="08E855B3" w14:textId="77777777" w:rsidR="00A93231" w:rsidRPr="00A93231" w:rsidRDefault="00A93231" w:rsidP="00A93231">
            <w:pPr>
              <w:spacing w:after="0" w:line="240" w:lineRule="auto"/>
              <w:jc w:val="center"/>
              <w:rPr>
                <w:rFonts w:ascii="Calibri" w:eastAsia="Times New Roman" w:hAnsi="Calibri" w:cs="Calibri"/>
                <w:b/>
                <w:bCs/>
                <w:sz w:val="24"/>
                <w:szCs w:val="24"/>
                <w:lang w:val="en-GB" w:eastAsia="en-GB"/>
              </w:rPr>
            </w:pPr>
            <w:r w:rsidRPr="00A93231">
              <w:rPr>
                <w:rFonts w:ascii="Calibri" w:eastAsia="Times New Roman" w:hAnsi="Calibri" w:cs="Calibri"/>
                <w:b/>
                <w:bCs/>
                <w:sz w:val="24"/>
                <w:szCs w:val="24"/>
                <w:lang w:val="en-GB" w:eastAsia="en-GB"/>
              </w:rPr>
              <w:t>B</w:t>
            </w:r>
          </w:p>
        </w:tc>
        <w:tc>
          <w:tcPr>
            <w:tcW w:w="11440" w:type="dxa"/>
            <w:tcBorders>
              <w:top w:val="nil"/>
              <w:left w:val="nil"/>
              <w:bottom w:val="single" w:sz="4" w:space="0" w:color="auto"/>
              <w:right w:val="single" w:sz="4" w:space="0" w:color="auto"/>
            </w:tcBorders>
            <w:shd w:val="clear" w:color="000000" w:fill="DDEBF7"/>
            <w:hideMark/>
          </w:tcPr>
          <w:p w14:paraId="542C6B06" w14:textId="77777777" w:rsidR="00A93231" w:rsidRPr="00A93231" w:rsidRDefault="00A93231" w:rsidP="00A93231">
            <w:pPr>
              <w:spacing w:after="0" w:line="240" w:lineRule="auto"/>
              <w:rPr>
                <w:rFonts w:ascii="Calibri" w:eastAsia="Times New Roman" w:hAnsi="Calibri" w:cs="Calibri"/>
                <w:b/>
                <w:bCs/>
                <w:sz w:val="24"/>
                <w:szCs w:val="24"/>
                <w:lang w:val="en-GB" w:eastAsia="en-GB"/>
              </w:rPr>
            </w:pPr>
            <w:r w:rsidRPr="00A93231">
              <w:rPr>
                <w:rFonts w:ascii="Calibri" w:eastAsia="Times New Roman" w:hAnsi="Calibri" w:cs="Calibri"/>
                <w:b/>
                <w:bCs/>
                <w:sz w:val="24"/>
                <w:szCs w:val="24"/>
                <w:lang w:val="en-GB" w:eastAsia="en-GB"/>
              </w:rPr>
              <w:t>Detection &amp; Protection Capabilities</w:t>
            </w:r>
          </w:p>
        </w:tc>
        <w:tc>
          <w:tcPr>
            <w:tcW w:w="1220" w:type="dxa"/>
            <w:tcBorders>
              <w:top w:val="nil"/>
              <w:left w:val="nil"/>
              <w:bottom w:val="single" w:sz="4" w:space="0" w:color="auto"/>
              <w:right w:val="single" w:sz="4" w:space="0" w:color="auto"/>
            </w:tcBorders>
            <w:shd w:val="clear" w:color="000000" w:fill="DDEBF7"/>
            <w:hideMark/>
          </w:tcPr>
          <w:p w14:paraId="4712AB75" w14:textId="77777777" w:rsidR="00A93231" w:rsidRPr="00A93231" w:rsidRDefault="00A93231" w:rsidP="00A93231">
            <w:pPr>
              <w:spacing w:after="0" w:line="240" w:lineRule="auto"/>
              <w:rPr>
                <w:rFonts w:ascii="Calibri" w:eastAsia="Times New Roman" w:hAnsi="Calibri" w:cs="Calibri"/>
                <w:b/>
                <w:bCs/>
                <w:sz w:val="24"/>
                <w:szCs w:val="24"/>
                <w:lang w:val="en-GB" w:eastAsia="en-GB"/>
              </w:rPr>
            </w:pPr>
            <w:r w:rsidRPr="00A93231">
              <w:rPr>
                <w:rFonts w:ascii="Calibri" w:eastAsia="Times New Roman" w:hAnsi="Calibri" w:cs="Calibri"/>
                <w:b/>
                <w:bCs/>
                <w:sz w:val="24"/>
                <w:szCs w:val="24"/>
                <w:lang w:val="en-GB" w:eastAsia="en-GB"/>
              </w:rPr>
              <w:t> </w:t>
            </w:r>
          </w:p>
        </w:tc>
        <w:tc>
          <w:tcPr>
            <w:tcW w:w="1760" w:type="dxa"/>
            <w:tcBorders>
              <w:top w:val="nil"/>
              <w:left w:val="nil"/>
              <w:bottom w:val="single" w:sz="4" w:space="0" w:color="auto"/>
              <w:right w:val="single" w:sz="4" w:space="0" w:color="auto"/>
            </w:tcBorders>
            <w:shd w:val="clear" w:color="000000" w:fill="DDEBF7"/>
            <w:hideMark/>
          </w:tcPr>
          <w:p w14:paraId="32487F05" w14:textId="77777777" w:rsidR="00A93231" w:rsidRPr="00A93231" w:rsidRDefault="00A93231" w:rsidP="00A93231">
            <w:pPr>
              <w:spacing w:after="0" w:line="240" w:lineRule="auto"/>
              <w:rPr>
                <w:rFonts w:ascii="Calibri" w:eastAsia="Times New Roman" w:hAnsi="Calibri" w:cs="Calibri"/>
                <w:b/>
                <w:bCs/>
                <w:sz w:val="24"/>
                <w:szCs w:val="24"/>
                <w:lang w:val="en-GB" w:eastAsia="en-GB"/>
              </w:rPr>
            </w:pPr>
            <w:r w:rsidRPr="00A93231">
              <w:rPr>
                <w:rFonts w:ascii="Calibri" w:eastAsia="Times New Roman" w:hAnsi="Calibri" w:cs="Calibri"/>
                <w:b/>
                <w:bCs/>
                <w:sz w:val="24"/>
                <w:szCs w:val="24"/>
                <w:lang w:val="en-GB" w:eastAsia="en-GB"/>
              </w:rPr>
              <w:t> </w:t>
            </w:r>
          </w:p>
        </w:tc>
      </w:tr>
      <w:tr w:rsidR="00A93231" w:rsidRPr="00A93231" w14:paraId="6933E50D" w14:textId="77777777" w:rsidTr="00A93231">
        <w:trPr>
          <w:trHeight w:val="510"/>
        </w:trPr>
        <w:tc>
          <w:tcPr>
            <w:tcW w:w="520" w:type="dxa"/>
            <w:tcBorders>
              <w:top w:val="nil"/>
              <w:left w:val="single" w:sz="4" w:space="0" w:color="auto"/>
              <w:bottom w:val="single" w:sz="4" w:space="0" w:color="auto"/>
              <w:right w:val="single" w:sz="4" w:space="0" w:color="auto"/>
            </w:tcBorders>
            <w:shd w:val="clear" w:color="auto" w:fill="auto"/>
            <w:hideMark/>
          </w:tcPr>
          <w:p w14:paraId="3661405C" w14:textId="77777777" w:rsidR="00A93231" w:rsidRPr="00A93231" w:rsidRDefault="00A93231" w:rsidP="00A93231">
            <w:pPr>
              <w:spacing w:after="0" w:line="240" w:lineRule="auto"/>
              <w:jc w:val="center"/>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12</w:t>
            </w:r>
          </w:p>
        </w:tc>
        <w:tc>
          <w:tcPr>
            <w:tcW w:w="11440" w:type="dxa"/>
            <w:tcBorders>
              <w:top w:val="nil"/>
              <w:left w:val="nil"/>
              <w:bottom w:val="single" w:sz="4" w:space="0" w:color="auto"/>
              <w:right w:val="single" w:sz="4" w:space="0" w:color="auto"/>
            </w:tcBorders>
            <w:shd w:val="clear" w:color="auto" w:fill="auto"/>
            <w:hideMark/>
          </w:tcPr>
          <w:p w14:paraId="4BEECC08"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shall have multiple Anti-Virus/Malware (AM) Engines support from Globally leading Anti- malware companies. Minimum 5 different Anti- Virus/Malware engines shall be available in the solution to scan the files</w:t>
            </w:r>
          </w:p>
        </w:tc>
        <w:tc>
          <w:tcPr>
            <w:tcW w:w="1220" w:type="dxa"/>
            <w:tcBorders>
              <w:top w:val="nil"/>
              <w:left w:val="nil"/>
              <w:bottom w:val="single" w:sz="4" w:space="0" w:color="auto"/>
              <w:right w:val="single" w:sz="4" w:space="0" w:color="auto"/>
            </w:tcBorders>
            <w:shd w:val="clear" w:color="auto" w:fill="auto"/>
            <w:hideMark/>
          </w:tcPr>
          <w:p w14:paraId="23163B1B"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c>
          <w:tcPr>
            <w:tcW w:w="1760" w:type="dxa"/>
            <w:tcBorders>
              <w:top w:val="nil"/>
              <w:left w:val="nil"/>
              <w:bottom w:val="single" w:sz="4" w:space="0" w:color="auto"/>
              <w:right w:val="single" w:sz="4" w:space="0" w:color="auto"/>
            </w:tcBorders>
            <w:shd w:val="clear" w:color="auto" w:fill="auto"/>
            <w:hideMark/>
          </w:tcPr>
          <w:p w14:paraId="26E63960"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r>
      <w:tr w:rsidR="00A93231" w:rsidRPr="00A93231" w14:paraId="5DD4F43C" w14:textId="77777777" w:rsidTr="00A93231">
        <w:trPr>
          <w:trHeight w:val="315"/>
        </w:trPr>
        <w:tc>
          <w:tcPr>
            <w:tcW w:w="520" w:type="dxa"/>
            <w:tcBorders>
              <w:top w:val="nil"/>
              <w:left w:val="single" w:sz="4" w:space="0" w:color="auto"/>
              <w:bottom w:val="single" w:sz="4" w:space="0" w:color="auto"/>
              <w:right w:val="single" w:sz="4" w:space="0" w:color="auto"/>
            </w:tcBorders>
            <w:shd w:val="clear" w:color="auto" w:fill="auto"/>
            <w:hideMark/>
          </w:tcPr>
          <w:p w14:paraId="06E70103" w14:textId="77777777" w:rsidR="00A93231" w:rsidRPr="00A93231" w:rsidRDefault="00A93231" w:rsidP="00A93231">
            <w:pPr>
              <w:spacing w:after="0" w:line="240" w:lineRule="auto"/>
              <w:jc w:val="center"/>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13</w:t>
            </w:r>
          </w:p>
        </w:tc>
        <w:tc>
          <w:tcPr>
            <w:tcW w:w="11440" w:type="dxa"/>
            <w:tcBorders>
              <w:top w:val="nil"/>
              <w:left w:val="nil"/>
              <w:bottom w:val="single" w:sz="4" w:space="0" w:color="auto"/>
              <w:right w:val="single" w:sz="4" w:space="0" w:color="auto"/>
            </w:tcBorders>
            <w:shd w:val="clear" w:color="auto" w:fill="auto"/>
            <w:hideMark/>
          </w:tcPr>
          <w:p w14:paraId="671E8909"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shall     use     signature-based detection/heuristic based detection/machine learning based detection</w:t>
            </w:r>
          </w:p>
        </w:tc>
        <w:tc>
          <w:tcPr>
            <w:tcW w:w="1220" w:type="dxa"/>
            <w:tcBorders>
              <w:top w:val="nil"/>
              <w:left w:val="nil"/>
              <w:bottom w:val="single" w:sz="4" w:space="0" w:color="auto"/>
              <w:right w:val="single" w:sz="4" w:space="0" w:color="auto"/>
            </w:tcBorders>
            <w:shd w:val="clear" w:color="auto" w:fill="auto"/>
            <w:hideMark/>
          </w:tcPr>
          <w:p w14:paraId="197BF9E9"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c>
          <w:tcPr>
            <w:tcW w:w="1760" w:type="dxa"/>
            <w:tcBorders>
              <w:top w:val="nil"/>
              <w:left w:val="nil"/>
              <w:bottom w:val="single" w:sz="4" w:space="0" w:color="auto"/>
              <w:right w:val="single" w:sz="4" w:space="0" w:color="auto"/>
            </w:tcBorders>
            <w:shd w:val="clear" w:color="auto" w:fill="auto"/>
            <w:hideMark/>
          </w:tcPr>
          <w:p w14:paraId="442F18BD"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r>
      <w:tr w:rsidR="00A93231" w:rsidRPr="00A93231" w14:paraId="462461DB" w14:textId="77777777" w:rsidTr="00A93231">
        <w:trPr>
          <w:trHeight w:val="315"/>
        </w:trPr>
        <w:tc>
          <w:tcPr>
            <w:tcW w:w="520" w:type="dxa"/>
            <w:tcBorders>
              <w:top w:val="nil"/>
              <w:left w:val="single" w:sz="4" w:space="0" w:color="auto"/>
              <w:bottom w:val="single" w:sz="4" w:space="0" w:color="auto"/>
              <w:right w:val="single" w:sz="4" w:space="0" w:color="auto"/>
            </w:tcBorders>
            <w:shd w:val="clear" w:color="auto" w:fill="auto"/>
            <w:hideMark/>
          </w:tcPr>
          <w:p w14:paraId="4DAA7903" w14:textId="77777777" w:rsidR="00A93231" w:rsidRPr="00A93231" w:rsidRDefault="00A93231" w:rsidP="00A93231">
            <w:pPr>
              <w:spacing w:after="0" w:line="240" w:lineRule="auto"/>
              <w:jc w:val="center"/>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lastRenderedPageBreak/>
              <w:t>14</w:t>
            </w:r>
          </w:p>
        </w:tc>
        <w:tc>
          <w:tcPr>
            <w:tcW w:w="11440" w:type="dxa"/>
            <w:tcBorders>
              <w:top w:val="nil"/>
              <w:left w:val="nil"/>
              <w:bottom w:val="single" w:sz="4" w:space="0" w:color="auto"/>
              <w:right w:val="single" w:sz="4" w:space="0" w:color="auto"/>
            </w:tcBorders>
            <w:shd w:val="clear" w:color="auto" w:fill="auto"/>
            <w:hideMark/>
          </w:tcPr>
          <w:p w14:paraId="1FF1526A"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multiple AV engines shall be able to run in a multithreaded parallel way reducing delay and resource overheads</w:t>
            </w:r>
          </w:p>
        </w:tc>
        <w:tc>
          <w:tcPr>
            <w:tcW w:w="1220" w:type="dxa"/>
            <w:tcBorders>
              <w:top w:val="nil"/>
              <w:left w:val="nil"/>
              <w:bottom w:val="single" w:sz="4" w:space="0" w:color="auto"/>
              <w:right w:val="single" w:sz="4" w:space="0" w:color="auto"/>
            </w:tcBorders>
            <w:shd w:val="clear" w:color="auto" w:fill="auto"/>
            <w:hideMark/>
          </w:tcPr>
          <w:p w14:paraId="07F37CAF"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c>
          <w:tcPr>
            <w:tcW w:w="1760" w:type="dxa"/>
            <w:tcBorders>
              <w:top w:val="nil"/>
              <w:left w:val="nil"/>
              <w:bottom w:val="single" w:sz="4" w:space="0" w:color="auto"/>
              <w:right w:val="single" w:sz="4" w:space="0" w:color="auto"/>
            </w:tcBorders>
            <w:shd w:val="clear" w:color="auto" w:fill="auto"/>
            <w:hideMark/>
          </w:tcPr>
          <w:p w14:paraId="230306B0"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r>
      <w:tr w:rsidR="00A93231" w:rsidRPr="00A93231" w14:paraId="1E865A8F" w14:textId="77777777" w:rsidTr="00A93231">
        <w:trPr>
          <w:trHeight w:val="315"/>
        </w:trPr>
        <w:tc>
          <w:tcPr>
            <w:tcW w:w="520" w:type="dxa"/>
            <w:tcBorders>
              <w:top w:val="nil"/>
              <w:left w:val="single" w:sz="4" w:space="0" w:color="auto"/>
              <w:bottom w:val="single" w:sz="4" w:space="0" w:color="auto"/>
              <w:right w:val="single" w:sz="4" w:space="0" w:color="auto"/>
            </w:tcBorders>
            <w:shd w:val="clear" w:color="auto" w:fill="auto"/>
            <w:hideMark/>
          </w:tcPr>
          <w:p w14:paraId="7CCAF92E" w14:textId="77777777" w:rsidR="00A93231" w:rsidRPr="00A93231" w:rsidRDefault="00A93231" w:rsidP="00A93231">
            <w:pPr>
              <w:spacing w:after="0" w:line="240" w:lineRule="auto"/>
              <w:jc w:val="center"/>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15</w:t>
            </w:r>
          </w:p>
        </w:tc>
        <w:tc>
          <w:tcPr>
            <w:tcW w:w="11440" w:type="dxa"/>
            <w:tcBorders>
              <w:top w:val="nil"/>
              <w:left w:val="nil"/>
              <w:bottom w:val="single" w:sz="4" w:space="0" w:color="auto"/>
              <w:right w:val="single" w:sz="4" w:space="0" w:color="auto"/>
            </w:tcBorders>
            <w:shd w:val="clear" w:color="auto" w:fill="auto"/>
            <w:hideMark/>
          </w:tcPr>
          <w:p w14:paraId="11C645C3"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frequency of the signature definition updates shall be configurable</w:t>
            </w:r>
          </w:p>
        </w:tc>
        <w:tc>
          <w:tcPr>
            <w:tcW w:w="1220" w:type="dxa"/>
            <w:tcBorders>
              <w:top w:val="nil"/>
              <w:left w:val="nil"/>
              <w:bottom w:val="single" w:sz="4" w:space="0" w:color="auto"/>
              <w:right w:val="single" w:sz="4" w:space="0" w:color="auto"/>
            </w:tcBorders>
            <w:shd w:val="clear" w:color="auto" w:fill="auto"/>
            <w:hideMark/>
          </w:tcPr>
          <w:p w14:paraId="7E6EFA9D"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c>
          <w:tcPr>
            <w:tcW w:w="1760" w:type="dxa"/>
            <w:tcBorders>
              <w:top w:val="nil"/>
              <w:left w:val="nil"/>
              <w:bottom w:val="single" w:sz="4" w:space="0" w:color="auto"/>
              <w:right w:val="single" w:sz="4" w:space="0" w:color="auto"/>
            </w:tcBorders>
            <w:shd w:val="clear" w:color="auto" w:fill="auto"/>
            <w:hideMark/>
          </w:tcPr>
          <w:p w14:paraId="029162C2"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r>
      <w:tr w:rsidR="00A93231" w:rsidRPr="00A93231" w14:paraId="11D356E2" w14:textId="77777777" w:rsidTr="00A93231">
        <w:trPr>
          <w:trHeight w:val="315"/>
        </w:trPr>
        <w:tc>
          <w:tcPr>
            <w:tcW w:w="520" w:type="dxa"/>
            <w:tcBorders>
              <w:top w:val="nil"/>
              <w:left w:val="single" w:sz="4" w:space="0" w:color="auto"/>
              <w:bottom w:val="single" w:sz="4" w:space="0" w:color="auto"/>
              <w:right w:val="single" w:sz="4" w:space="0" w:color="auto"/>
            </w:tcBorders>
            <w:shd w:val="clear" w:color="auto" w:fill="auto"/>
            <w:hideMark/>
          </w:tcPr>
          <w:p w14:paraId="234CEEA1" w14:textId="77777777" w:rsidR="00A93231" w:rsidRPr="00A93231" w:rsidRDefault="00A93231" w:rsidP="00A93231">
            <w:pPr>
              <w:spacing w:after="0" w:line="240" w:lineRule="auto"/>
              <w:jc w:val="center"/>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16</w:t>
            </w:r>
          </w:p>
        </w:tc>
        <w:tc>
          <w:tcPr>
            <w:tcW w:w="11440" w:type="dxa"/>
            <w:tcBorders>
              <w:top w:val="nil"/>
              <w:left w:val="nil"/>
              <w:bottom w:val="single" w:sz="4" w:space="0" w:color="auto"/>
              <w:right w:val="single" w:sz="4" w:space="0" w:color="auto"/>
            </w:tcBorders>
            <w:shd w:val="clear" w:color="auto" w:fill="auto"/>
            <w:hideMark/>
          </w:tcPr>
          <w:p w14:paraId="596B5653"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shall be able to quarantine malicious sample for further analysis</w:t>
            </w:r>
          </w:p>
        </w:tc>
        <w:tc>
          <w:tcPr>
            <w:tcW w:w="1220" w:type="dxa"/>
            <w:tcBorders>
              <w:top w:val="nil"/>
              <w:left w:val="nil"/>
              <w:bottom w:val="single" w:sz="4" w:space="0" w:color="auto"/>
              <w:right w:val="single" w:sz="4" w:space="0" w:color="auto"/>
            </w:tcBorders>
            <w:shd w:val="clear" w:color="auto" w:fill="auto"/>
            <w:hideMark/>
          </w:tcPr>
          <w:p w14:paraId="05DBA511"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c>
          <w:tcPr>
            <w:tcW w:w="1760" w:type="dxa"/>
            <w:tcBorders>
              <w:top w:val="nil"/>
              <w:left w:val="nil"/>
              <w:bottom w:val="single" w:sz="4" w:space="0" w:color="auto"/>
              <w:right w:val="single" w:sz="4" w:space="0" w:color="auto"/>
            </w:tcBorders>
            <w:shd w:val="clear" w:color="auto" w:fill="auto"/>
            <w:hideMark/>
          </w:tcPr>
          <w:p w14:paraId="56583AC4"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r>
      <w:tr w:rsidR="00A93231" w:rsidRPr="00A93231" w14:paraId="72F2374B" w14:textId="77777777" w:rsidTr="00A93231">
        <w:trPr>
          <w:trHeight w:val="315"/>
        </w:trPr>
        <w:tc>
          <w:tcPr>
            <w:tcW w:w="520" w:type="dxa"/>
            <w:tcBorders>
              <w:top w:val="nil"/>
              <w:left w:val="single" w:sz="4" w:space="0" w:color="auto"/>
              <w:bottom w:val="single" w:sz="4" w:space="0" w:color="auto"/>
              <w:right w:val="single" w:sz="4" w:space="0" w:color="auto"/>
            </w:tcBorders>
            <w:shd w:val="clear" w:color="auto" w:fill="auto"/>
            <w:hideMark/>
          </w:tcPr>
          <w:p w14:paraId="73B8E23B" w14:textId="77777777" w:rsidR="00A93231" w:rsidRPr="00A93231" w:rsidRDefault="00A93231" w:rsidP="00A93231">
            <w:pPr>
              <w:spacing w:after="0" w:line="240" w:lineRule="auto"/>
              <w:jc w:val="center"/>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17</w:t>
            </w:r>
          </w:p>
        </w:tc>
        <w:tc>
          <w:tcPr>
            <w:tcW w:w="11440" w:type="dxa"/>
            <w:tcBorders>
              <w:top w:val="nil"/>
              <w:left w:val="nil"/>
              <w:bottom w:val="single" w:sz="4" w:space="0" w:color="auto"/>
              <w:right w:val="single" w:sz="4" w:space="0" w:color="auto"/>
            </w:tcBorders>
            <w:shd w:val="clear" w:color="auto" w:fill="auto"/>
            <w:hideMark/>
          </w:tcPr>
          <w:p w14:paraId="16CBF23D"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must have option to enable/ disable/configure AV engines individually</w:t>
            </w:r>
          </w:p>
        </w:tc>
        <w:tc>
          <w:tcPr>
            <w:tcW w:w="1220" w:type="dxa"/>
            <w:tcBorders>
              <w:top w:val="nil"/>
              <w:left w:val="nil"/>
              <w:bottom w:val="single" w:sz="4" w:space="0" w:color="auto"/>
              <w:right w:val="single" w:sz="4" w:space="0" w:color="auto"/>
            </w:tcBorders>
            <w:shd w:val="clear" w:color="auto" w:fill="auto"/>
            <w:hideMark/>
          </w:tcPr>
          <w:p w14:paraId="2918CAEE"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c>
          <w:tcPr>
            <w:tcW w:w="1760" w:type="dxa"/>
            <w:tcBorders>
              <w:top w:val="nil"/>
              <w:left w:val="nil"/>
              <w:bottom w:val="single" w:sz="4" w:space="0" w:color="auto"/>
              <w:right w:val="single" w:sz="4" w:space="0" w:color="auto"/>
            </w:tcBorders>
            <w:shd w:val="clear" w:color="auto" w:fill="auto"/>
            <w:hideMark/>
          </w:tcPr>
          <w:p w14:paraId="372DCBDA"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r>
      <w:tr w:rsidR="00A93231" w:rsidRPr="00A93231" w14:paraId="24D11F3E" w14:textId="77777777" w:rsidTr="00A93231">
        <w:trPr>
          <w:trHeight w:val="315"/>
        </w:trPr>
        <w:tc>
          <w:tcPr>
            <w:tcW w:w="520" w:type="dxa"/>
            <w:tcBorders>
              <w:top w:val="nil"/>
              <w:left w:val="single" w:sz="4" w:space="0" w:color="auto"/>
              <w:bottom w:val="single" w:sz="4" w:space="0" w:color="auto"/>
              <w:right w:val="single" w:sz="4" w:space="0" w:color="auto"/>
            </w:tcBorders>
            <w:shd w:val="clear" w:color="auto" w:fill="auto"/>
            <w:hideMark/>
          </w:tcPr>
          <w:p w14:paraId="514034ED" w14:textId="77777777" w:rsidR="00A93231" w:rsidRPr="00A93231" w:rsidRDefault="00A93231" w:rsidP="00A93231">
            <w:pPr>
              <w:spacing w:after="0" w:line="240" w:lineRule="auto"/>
              <w:jc w:val="center"/>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18</w:t>
            </w:r>
          </w:p>
        </w:tc>
        <w:tc>
          <w:tcPr>
            <w:tcW w:w="11440" w:type="dxa"/>
            <w:tcBorders>
              <w:top w:val="nil"/>
              <w:left w:val="nil"/>
              <w:bottom w:val="single" w:sz="4" w:space="0" w:color="auto"/>
              <w:right w:val="single" w:sz="4" w:space="0" w:color="auto"/>
            </w:tcBorders>
            <w:shd w:val="clear" w:color="auto" w:fill="auto"/>
            <w:hideMark/>
          </w:tcPr>
          <w:p w14:paraId="273B4B88"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shall  provide  a  false  positive configurable threshold.</w:t>
            </w:r>
          </w:p>
        </w:tc>
        <w:tc>
          <w:tcPr>
            <w:tcW w:w="1220" w:type="dxa"/>
            <w:tcBorders>
              <w:top w:val="nil"/>
              <w:left w:val="nil"/>
              <w:bottom w:val="single" w:sz="4" w:space="0" w:color="auto"/>
              <w:right w:val="single" w:sz="4" w:space="0" w:color="auto"/>
            </w:tcBorders>
            <w:shd w:val="clear" w:color="auto" w:fill="auto"/>
            <w:hideMark/>
          </w:tcPr>
          <w:p w14:paraId="28CD554F"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c>
          <w:tcPr>
            <w:tcW w:w="1760" w:type="dxa"/>
            <w:tcBorders>
              <w:top w:val="nil"/>
              <w:left w:val="nil"/>
              <w:bottom w:val="single" w:sz="4" w:space="0" w:color="auto"/>
              <w:right w:val="single" w:sz="4" w:space="0" w:color="auto"/>
            </w:tcBorders>
            <w:shd w:val="clear" w:color="auto" w:fill="auto"/>
            <w:hideMark/>
          </w:tcPr>
          <w:p w14:paraId="684E7450"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r>
      <w:tr w:rsidR="00A93231" w:rsidRPr="00A93231" w14:paraId="44D4A27C" w14:textId="77777777" w:rsidTr="00A93231">
        <w:trPr>
          <w:trHeight w:val="315"/>
        </w:trPr>
        <w:tc>
          <w:tcPr>
            <w:tcW w:w="520" w:type="dxa"/>
            <w:tcBorders>
              <w:top w:val="nil"/>
              <w:left w:val="single" w:sz="4" w:space="0" w:color="auto"/>
              <w:bottom w:val="single" w:sz="4" w:space="0" w:color="auto"/>
              <w:right w:val="single" w:sz="4" w:space="0" w:color="auto"/>
            </w:tcBorders>
            <w:shd w:val="clear" w:color="auto" w:fill="auto"/>
            <w:hideMark/>
          </w:tcPr>
          <w:p w14:paraId="05A862DF" w14:textId="77777777" w:rsidR="00A93231" w:rsidRPr="00A93231" w:rsidRDefault="00A93231" w:rsidP="00A93231">
            <w:pPr>
              <w:spacing w:after="0" w:line="240" w:lineRule="auto"/>
              <w:jc w:val="center"/>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19</w:t>
            </w:r>
          </w:p>
        </w:tc>
        <w:tc>
          <w:tcPr>
            <w:tcW w:w="11440" w:type="dxa"/>
            <w:tcBorders>
              <w:top w:val="nil"/>
              <w:left w:val="nil"/>
              <w:bottom w:val="single" w:sz="4" w:space="0" w:color="auto"/>
              <w:right w:val="single" w:sz="4" w:space="0" w:color="auto"/>
            </w:tcBorders>
            <w:shd w:val="clear" w:color="auto" w:fill="auto"/>
            <w:hideMark/>
          </w:tcPr>
          <w:p w14:paraId="27E5B438"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 The   solution   shall   be   able   to   scan   standard documents, images, pdf and archive files</w:t>
            </w:r>
          </w:p>
        </w:tc>
        <w:tc>
          <w:tcPr>
            <w:tcW w:w="1220" w:type="dxa"/>
            <w:tcBorders>
              <w:top w:val="nil"/>
              <w:left w:val="nil"/>
              <w:bottom w:val="single" w:sz="4" w:space="0" w:color="auto"/>
              <w:right w:val="single" w:sz="4" w:space="0" w:color="auto"/>
            </w:tcBorders>
            <w:shd w:val="clear" w:color="auto" w:fill="auto"/>
            <w:hideMark/>
          </w:tcPr>
          <w:p w14:paraId="323F8C74"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c>
          <w:tcPr>
            <w:tcW w:w="1760" w:type="dxa"/>
            <w:tcBorders>
              <w:top w:val="nil"/>
              <w:left w:val="nil"/>
              <w:bottom w:val="single" w:sz="4" w:space="0" w:color="auto"/>
              <w:right w:val="single" w:sz="4" w:space="0" w:color="auto"/>
            </w:tcBorders>
            <w:shd w:val="clear" w:color="auto" w:fill="auto"/>
            <w:hideMark/>
          </w:tcPr>
          <w:p w14:paraId="4AFC1C40"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r>
      <w:tr w:rsidR="00A93231" w:rsidRPr="00A93231" w14:paraId="32F31890" w14:textId="77777777" w:rsidTr="00A93231">
        <w:trPr>
          <w:trHeight w:val="315"/>
        </w:trPr>
        <w:tc>
          <w:tcPr>
            <w:tcW w:w="520" w:type="dxa"/>
            <w:tcBorders>
              <w:top w:val="nil"/>
              <w:left w:val="single" w:sz="4" w:space="0" w:color="auto"/>
              <w:bottom w:val="single" w:sz="4" w:space="0" w:color="auto"/>
              <w:right w:val="single" w:sz="4" w:space="0" w:color="auto"/>
            </w:tcBorders>
            <w:shd w:val="clear" w:color="auto" w:fill="auto"/>
            <w:hideMark/>
          </w:tcPr>
          <w:p w14:paraId="2C6A43B8" w14:textId="77777777" w:rsidR="00A93231" w:rsidRPr="00A93231" w:rsidRDefault="00A93231" w:rsidP="00A93231">
            <w:pPr>
              <w:spacing w:after="0" w:line="240" w:lineRule="auto"/>
              <w:jc w:val="center"/>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20</w:t>
            </w:r>
          </w:p>
        </w:tc>
        <w:tc>
          <w:tcPr>
            <w:tcW w:w="11440" w:type="dxa"/>
            <w:tcBorders>
              <w:top w:val="nil"/>
              <w:left w:val="nil"/>
              <w:bottom w:val="single" w:sz="4" w:space="0" w:color="auto"/>
              <w:right w:val="single" w:sz="4" w:space="0" w:color="auto"/>
            </w:tcBorders>
            <w:shd w:val="clear" w:color="auto" w:fill="auto"/>
            <w:hideMark/>
          </w:tcPr>
          <w:p w14:paraId="03B4A710"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shall offer configurable content disarm reconstruction, and file sanitization technology.</w:t>
            </w:r>
          </w:p>
        </w:tc>
        <w:tc>
          <w:tcPr>
            <w:tcW w:w="1220" w:type="dxa"/>
            <w:tcBorders>
              <w:top w:val="nil"/>
              <w:left w:val="nil"/>
              <w:bottom w:val="single" w:sz="4" w:space="0" w:color="auto"/>
              <w:right w:val="single" w:sz="4" w:space="0" w:color="auto"/>
            </w:tcBorders>
            <w:shd w:val="clear" w:color="auto" w:fill="auto"/>
            <w:hideMark/>
          </w:tcPr>
          <w:p w14:paraId="4479D3A6"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c>
          <w:tcPr>
            <w:tcW w:w="1760" w:type="dxa"/>
            <w:tcBorders>
              <w:top w:val="nil"/>
              <w:left w:val="nil"/>
              <w:bottom w:val="single" w:sz="4" w:space="0" w:color="auto"/>
              <w:right w:val="single" w:sz="4" w:space="0" w:color="auto"/>
            </w:tcBorders>
            <w:shd w:val="clear" w:color="auto" w:fill="auto"/>
            <w:hideMark/>
          </w:tcPr>
          <w:p w14:paraId="10B9620C"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r>
      <w:tr w:rsidR="00A93231" w:rsidRPr="00A93231" w14:paraId="26107696" w14:textId="77777777" w:rsidTr="00A93231">
        <w:trPr>
          <w:trHeight w:val="315"/>
        </w:trPr>
        <w:tc>
          <w:tcPr>
            <w:tcW w:w="520" w:type="dxa"/>
            <w:tcBorders>
              <w:top w:val="nil"/>
              <w:left w:val="single" w:sz="4" w:space="0" w:color="auto"/>
              <w:bottom w:val="single" w:sz="4" w:space="0" w:color="auto"/>
              <w:right w:val="single" w:sz="4" w:space="0" w:color="auto"/>
            </w:tcBorders>
            <w:shd w:val="clear" w:color="auto" w:fill="auto"/>
            <w:hideMark/>
          </w:tcPr>
          <w:p w14:paraId="33021A9D" w14:textId="77777777" w:rsidR="00A93231" w:rsidRPr="00A93231" w:rsidRDefault="00A93231" w:rsidP="00A93231">
            <w:pPr>
              <w:spacing w:after="0" w:line="240" w:lineRule="auto"/>
              <w:jc w:val="center"/>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21</w:t>
            </w:r>
          </w:p>
        </w:tc>
        <w:tc>
          <w:tcPr>
            <w:tcW w:w="11440" w:type="dxa"/>
            <w:tcBorders>
              <w:top w:val="nil"/>
              <w:left w:val="nil"/>
              <w:bottom w:val="single" w:sz="4" w:space="0" w:color="auto"/>
              <w:right w:val="single" w:sz="4" w:space="0" w:color="auto"/>
            </w:tcBorders>
            <w:shd w:val="clear" w:color="auto" w:fill="auto"/>
            <w:hideMark/>
          </w:tcPr>
          <w:p w14:paraId="72C3CBC1"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should be able to remove malicious embedded objects and provide a clean, sanitized file.</w:t>
            </w:r>
          </w:p>
        </w:tc>
        <w:tc>
          <w:tcPr>
            <w:tcW w:w="1220" w:type="dxa"/>
            <w:tcBorders>
              <w:top w:val="nil"/>
              <w:left w:val="nil"/>
              <w:bottom w:val="single" w:sz="4" w:space="0" w:color="auto"/>
              <w:right w:val="single" w:sz="4" w:space="0" w:color="auto"/>
            </w:tcBorders>
            <w:shd w:val="clear" w:color="auto" w:fill="auto"/>
            <w:hideMark/>
          </w:tcPr>
          <w:p w14:paraId="5C6C9955"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c>
          <w:tcPr>
            <w:tcW w:w="1760" w:type="dxa"/>
            <w:tcBorders>
              <w:top w:val="nil"/>
              <w:left w:val="nil"/>
              <w:bottom w:val="single" w:sz="4" w:space="0" w:color="auto"/>
              <w:right w:val="single" w:sz="4" w:space="0" w:color="auto"/>
            </w:tcBorders>
            <w:shd w:val="clear" w:color="auto" w:fill="auto"/>
            <w:hideMark/>
          </w:tcPr>
          <w:p w14:paraId="4D433336"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r>
      <w:tr w:rsidR="00A93231" w:rsidRPr="00A93231" w14:paraId="359ADCA9" w14:textId="77777777" w:rsidTr="00A93231">
        <w:trPr>
          <w:trHeight w:val="315"/>
        </w:trPr>
        <w:tc>
          <w:tcPr>
            <w:tcW w:w="520" w:type="dxa"/>
            <w:tcBorders>
              <w:top w:val="nil"/>
              <w:left w:val="single" w:sz="4" w:space="0" w:color="auto"/>
              <w:bottom w:val="single" w:sz="4" w:space="0" w:color="auto"/>
              <w:right w:val="single" w:sz="4" w:space="0" w:color="auto"/>
            </w:tcBorders>
            <w:shd w:val="clear" w:color="auto" w:fill="auto"/>
            <w:hideMark/>
          </w:tcPr>
          <w:p w14:paraId="60A21568" w14:textId="77777777" w:rsidR="00A93231" w:rsidRPr="00A93231" w:rsidRDefault="00A93231" w:rsidP="00A93231">
            <w:pPr>
              <w:spacing w:after="0" w:line="240" w:lineRule="auto"/>
              <w:jc w:val="center"/>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22</w:t>
            </w:r>
          </w:p>
        </w:tc>
        <w:tc>
          <w:tcPr>
            <w:tcW w:w="11440" w:type="dxa"/>
            <w:tcBorders>
              <w:top w:val="nil"/>
              <w:left w:val="nil"/>
              <w:bottom w:val="single" w:sz="4" w:space="0" w:color="auto"/>
              <w:right w:val="single" w:sz="4" w:space="0" w:color="auto"/>
            </w:tcBorders>
            <w:shd w:val="clear" w:color="auto" w:fill="auto"/>
            <w:hideMark/>
          </w:tcPr>
          <w:p w14:paraId="451C2A78" w14:textId="205915E2"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sanitization process shall provide detailed information on any removed</w:t>
            </w:r>
            <w:r w:rsidR="00342ED2">
              <w:rPr>
                <w:rFonts w:ascii="Calibri" w:eastAsia="Times New Roman" w:hAnsi="Calibri" w:cs="Calibri"/>
                <w:sz w:val="20"/>
                <w:szCs w:val="20"/>
                <w:lang w:val="en-GB" w:eastAsia="en-GB"/>
              </w:rPr>
              <w:t xml:space="preserve"> </w:t>
            </w:r>
            <w:r w:rsidRPr="00A93231">
              <w:rPr>
                <w:rFonts w:ascii="Calibri" w:eastAsia="Times New Roman" w:hAnsi="Calibri" w:cs="Calibri"/>
                <w:sz w:val="20"/>
                <w:szCs w:val="20"/>
                <w:lang w:val="en-GB" w:eastAsia="en-GB"/>
              </w:rPr>
              <w:t>&amp;</w:t>
            </w:r>
            <w:r w:rsidR="00342ED2">
              <w:rPr>
                <w:rFonts w:ascii="Calibri" w:eastAsia="Times New Roman" w:hAnsi="Calibri" w:cs="Calibri"/>
                <w:sz w:val="20"/>
                <w:szCs w:val="20"/>
                <w:lang w:val="en-GB" w:eastAsia="en-GB"/>
              </w:rPr>
              <w:t xml:space="preserve"> </w:t>
            </w:r>
            <w:r w:rsidRPr="00A93231">
              <w:rPr>
                <w:rFonts w:ascii="Calibri" w:eastAsia="Times New Roman" w:hAnsi="Calibri" w:cs="Calibri"/>
                <w:sz w:val="20"/>
                <w:szCs w:val="20"/>
                <w:lang w:val="en-GB" w:eastAsia="en-GB"/>
              </w:rPr>
              <w:t>sanitized objects.</w:t>
            </w:r>
          </w:p>
        </w:tc>
        <w:tc>
          <w:tcPr>
            <w:tcW w:w="1220" w:type="dxa"/>
            <w:tcBorders>
              <w:top w:val="nil"/>
              <w:left w:val="nil"/>
              <w:bottom w:val="single" w:sz="4" w:space="0" w:color="auto"/>
              <w:right w:val="single" w:sz="4" w:space="0" w:color="auto"/>
            </w:tcBorders>
            <w:shd w:val="clear" w:color="auto" w:fill="auto"/>
            <w:hideMark/>
          </w:tcPr>
          <w:p w14:paraId="649628D0"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c>
          <w:tcPr>
            <w:tcW w:w="1760" w:type="dxa"/>
            <w:tcBorders>
              <w:top w:val="nil"/>
              <w:left w:val="nil"/>
              <w:bottom w:val="single" w:sz="4" w:space="0" w:color="auto"/>
              <w:right w:val="single" w:sz="4" w:space="0" w:color="auto"/>
            </w:tcBorders>
            <w:shd w:val="clear" w:color="auto" w:fill="auto"/>
            <w:hideMark/>
          </w:tcPr>
          <w:p w14:paraId="6FA8B0FD"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r>
      <w:tr w:rsidR="00A93231" w:rsidRPr="00A93231" w14:paraId="76D0E80A" w14:textId="77777777" w:rsidTr="00A93231">
        <w:trPr>
          <w:trHeight w:val="315"/>
        </w:trPr>
        <w:tc>
          <w:tcPr>
            <w:tcW w:w="520" w:type="dxa"/>
            <w:tcBorders>
              <w:top w:val="nil"/>
              <w:left w:val="single" w:sz="4" w:space="0" w:color="auto"/>
              <w:bottom w:val="single" w:sz="4" w:space="0" w:color="auto"/>
              <w:right w:val="single" w:sz="4" w:space="0" w:color="auto"/>
            </w:tcBorders>
            <w:shd w:val="clear" w:color="auto" w:fill="auto"/>
            <w:hideMark/>
          </w:tcPr>
          <w:p w14:paraId="111017E3" w14:textId="77777777" w:rsidR="00A93231" w:rsidRPr="00A93231" w:rsidRDefault="00A93231" w:rsidP="00A93231">
            <w:pPr>
              <w:spacing w:after="0" w:line="240" w:lineRule="auto"/>
              <w:jc w:val="center"/>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23</w:t>
            </w:r>
          </w:p>
        </w:tc>
        <w:tc>
          <w:tcPr>
            <w:tcW w:w="11440" w:type="dxa"/>
            <w:tcBorders>
              <w:top w:val="nil"/>
              <w:left w:val="nil"/>
              <w:bottom w:val="single" w:sz="4" w:space="0" w:color="auto"/>
              <w:right w:val="single" w:sz="4" w:space="0" w:color="auto"/>
            </w:tcBorders>
            <w:shd w:val="clear" w:color="auto" w:fill="auto"/>
            <w:hideMark/>
          </w:tcPr>
          <w:p w14:paraId="317126CC"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After sanitization, the entire file shall be reconstructed to ensure safety and maintain full usability in the original file format</w:t>
            </w:r>
          </w:p>
        </w:tc>
        <w:tc>
          <w:tcPr>
            <w:tcW w:w="1220" w:type="dxa"/>
            <w:tcBorders>
              <w:top w:val="nil"/>
              <w:left w:val="nil"/>
              <w:bottom w:val="single" w:sz="4" w:space="0" w:color="auto"/>
              <w:right w:val="single" w:sz="4" w:space="0" w:color="auto"/>
            </w:tcBorders>
            <w:shd w:val="clear" w:color="auto" w:fill="auto"/>
            <w:hideMark/>
          </w:tcPr>
          <w:p w14:paraId="5CEA36F3"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c>
          <w:tcPr>
            <w:tcW w:w="1760" w:type="dxa"/>
            <w:tcBorders>
              <w:top w:val="nil"/>
              <w:left w:val="nil"/>
              <w:bottom w:val="single" w:sz="4" w:space="0" w:color="auto"/>
              <w:right w:val="single" w:sz="4" w:space="0" w:color="auto"/>
            </w:tcBorders>
            <w:shd w:val="clear" w:color="auto" w:fill="auto"/>
            <w:hideMark/>
          </w:tcPr>
          <w:p w14:paraId="204AF620"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r>
      <w:tr w:rsidR="00A93231" w:rsidRPr="00A93231" w14:paraId="6B15E66A" w14:textId="77777777" w:rsidTr="00A93231">
        <w:trPr>
          <w:trHeight w:val="510"/>
        </w:trPr>
        <w:tc>
          <w:tcPr>
            <w:tcW w:w="520" w:type="dxa"/>
            <w:tcBorders>
              <w:top w:val="nil"/>
              <w:left w:val="single" w:sz="4" w:space="0" w:color="auto"/>
              <w:bottom w:val="single" w:sz="4" w:space="0" w:color="auto"/>
              <w:right w:val="single" w:sz="4" w:space="0" w:color="auto"/>
            </w:tcBorders>
            <w:shd w:val="clear" w:color="auto" w:fill="auto"/>
            <w:hideMark/>
          </w:tcPr>
          <w:p w14:paraId="4762AD3C" w14:textId="77777777" w:rsidR="00A93231" w:rsidRPr="00A93231" w:rsidRDefault="00A93231" w:rsidP="00A93231">
            <w:pPr>
              <w:spacing w:after="0" w:line="240" w:lineRule="auto"/>
              <w:jc w:val="center"/>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24</w:t>
            </w:r>
          </w:p>
        </w:tc>
        <w:tc>
          <w:tcPr>
            <w:tcW w:w="11440" w:type="dxa"/>
            <w:tcBorders>
              <w:top w:val="nil"/>
              <w:left w:val="nil"/>
              <w:bottom w:val="single" w:sz="4" w:space="0" w:color="auto"/>
              <w:right w:val="single" w:sz="4" w:space="0" w:color="auto"/>
            </w:tcBorders>
            <w:shd w:val="clear" w:color="auto" w:fill="auto"/>
            <w:hideMark/>
          </w:tcPr>
          <w:p w14:paraId="2F9CBC53"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should be able sanitize most common file types like .doc,.docx,.xls,.xlsx,.ppt,.pptx,.pdf,.jpg,.jpeg,.png, .rtf,.vsdx,htm,html,xml etc</w:t>
            </w:r>
          </w:p>
        </w:tc>
        <w:tc>
          <w:tcPr>
            <w:tcW w:w="1220" w:type="dxa"/>
            <w:tcBorders>
              <w:top w:val="nil"/>
              <w:left w:val="nil"/>
              <w:bottom w:val="single" w:sz="4" w:space="0" w:color="auto"/>
              <w:right w:val="single" w:sz="4" w:space="0" w:color="auto"/>
            </w:tcBorders>
            <w:shd w:val="clear" w:color="auto" w:fill="auto"/>
            <w:hideMark/>
          </w:tcPr>
          <w:p w14:paraId="2AF19AB7"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c>
          <w:tcPr>
            <w:tcW w:w="1760" w:type="dxa"/>
            <w:tcBorders>
              <w:top w:val="nil"/>
              <w:left w:val="nil"/>
              <w:bottom w:val="single" w:sz="4" w:space="0" w:color="auto"/>
              <w:right w:val="single" w:sz="4" w:space="0" w:color="auto"/>
            </w:tcBorders>
            <w:shd w:val="clear" w:color="auto" w:fill="auto"/>
            <w:hideMark/>
          </w:tcPr>
          <w:p w14:paraId="11C91ACD"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r>
      <w:tr w:rsidR="00A93231" w:rsidRPr="00A93231" w14:paraId="1632BB9A" w14:textId="77777777" w:rsidTr="00A93231">
        <w:trPr>
          <w:trHeight w:val="510"/>
        </w:trPr>
        <w:tc>
          <w:tcPr>
            <w:tcW w:w="520" w:type="dxa"/>
            <w:tcBorders>
              <w:top w:val="nil"/>
              <w:left w:val="single" w:sz="4" w:space="0" w:color="auto"/>
              <w:bottom w:val="single" w:sz="4" w:space="0" w:color="auto"/>
              <w:right w:val="single" w:sz="4" w:space="0" w:color="auto"/>
            </w:tcBorders>
            <w:shd w:val="clear" w:color="auto" w:fill="auto"/>
            <w:hideMark/>
          </w:tcPr>
          <w:p w14:paraId="42355656" w14:textId="77777777" w:rsidR="00A93231" w:rsidRPr="00A93231" w:rsidRDefault="00A93231" w:rsidP="00A93231">
            <w:pPr>
              <w:spacing w:after="0" w:line="240" w:lineRule="auto"/>
              <w:jc w:val="center"/>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25</w:t>
            </w:r>
          </w:p>
        </w:tc>
        <w:tc>
          <w:tcPr>
            <w:tcW w:w="11440" w:type="dxa"/>
            <w:tcBorders>
              <w:top w:val="nil"/>
              <w:left w:val="nil"/>
              <w:bottom w:val="single" w:sz="4" w:space="0" w:color="auto"/>
              <w:right w:val="single" w:sz="4" w:space="0" w:color="auto"/>
            </w:tcBorders>
            <w:shd w:val="clear" w:color="auto" w:fill="auto"/>
            <w:hideMark/>
          </w:tcPr>
          <w:p w14:paraId="133DF564" w14:textId="3D87011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The solution should be able to do recursive </w:t>
            </w:r>
            <w:r w:rsidR="00342ED2" w:rsidRPr="00A93231">
              <w:rPr>
                <w:rFonts w:ascii="Calibri" w:eastAsia="Times New Roman" w:hAnsi="Calibri" w:cs="Calibri"/>
                <w:sz w:val="20"/>
                <w:szCs w:val="20"/>
                <w:lang w:val="en-GB" w:eastAsia="en-GB"/>
              </w:rPr>
              <w:t>sanitation</w:t>
            </w:r>
            <w:r w:rsidRPr="00A93231">
              <w:rPr>
                <w:rFonts w:ascii="Calibri" w:eastAsia="Times New Roman" w:hAnsi="Calibri" w:cs="Calibri"/>
                <w:sz w:val="20"/>
                <w:szCs w:val="20"/>
                <w:lang w:val="en-GB" w:eastAsia="en-GB"/>
              </w:rPr>
              <w:t xml:space="preserve"> of files in archives (zip,tar,rar,7z ) without any limit on recursive archive level &amp; child file. Also should sanitize files embedded into the files like docx,pptx,xlsx </w:t>
            </w:r>
          </w:p>
        </w:tc>
        <w:tc>
          <w:tcPr>
            <w:tcW w:w="1220" w:type="dxa"/>
            <w:tcBorders>
              <w:top w:val="nil"/>
              <w:left w:val="nil"/>
              <w:bottom w:val="single" w:sz="4" w:space="0" w:color="auto"/>
              <w:right w:val="single" w:sz="4" w:space="0" w:color="auto"/>
            </w:tcBorders>
            <w:shd w:val="clear" w:color="auto" w:fill="auto"/>
            <w:hideMark/>
          </w:tcPr>
          <w:p w14:paraId="4AFBB021"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c>
          <w:tcPr>
            <w:tcW w:w="1760" w:type="dxa"/>
            <w:tcBorders>
              <w:top w:val="nil"/>
              <w:left w:val="nil"/>
              <w:bottom w:val="single" w:sz="4" w:space="0" w:color="auto"/>
              <w:right w:val="single" w:sz="4" w:space="0" w:color="auto"/>
            </w:tcBorders>
            <w:shd w:val="clear" w:color="auto" w:fill="auto"/>
            <w:hideMark/>
          </w:tcPr>
          <w:p w14:paraId="34A0C1AC"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r>
      <w:tr w:rsidR="00A93231" w:rsidRPr="00A93231" w14:paraId="6D982BFE" w14:textId="77777777" w:rsidTr="00A93231">
        <w:trPr>
          <w:trHeight w:val="315"/>
        </w:trPr>
        <w:tc>
          <w:tcPr>
            <w:tcW w:w="520" w:type="dxa"/>
            <w:tcBorders>
              <w:top w:val="nil"/>
              <w:left w:val="single" w:sz="4" w:space="0" w:color="auto"/>
              <w:bottom w:val="single" w:sz="4" w:space="0" w:color="auto"/>
              <w:right w:val="single" w:sz="4" w:space="0" w:color="auto"/>
            </w:tcBorders>
            <w:shd w:val="clear" w:color="auto" w:fill="auto"/>
            <w:hideMark/>
          </w:tcPr>
          <w:p w14:paraId="3353CDCD" w14:textId="77777777" w:rsidR="00A93231" w:rsidRPr="00A93231" w:rsidRDefault="00A93231" w:rsidP="00A93231">
            <w:pPr>
              <w:spacing w:after="0" w:line="240" w:lineRule="auto"/>
              <w:jc w:val="center"/>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26</w:t>
            </w:r>
          </w:p>
        </w:tc>
        <w:tc>
          <w:tcPr>
            <w:tcW w:w="11440" w:type="dxa"/>
            <w:tcBorders>
              <w:top w:val="nil"/>
              <w:left w:val="nil"/>
              <w:bottom w:val="single" w:sz="4" w:space="0" w:color="auto"/>
              <w:right w:val="single" w:sz="4" w:space="0" w:color="auto"/>
            </w:tcBorders>
            <w:shd w:val="clear" w:color="auto" w:fill="auto"/>
            <w:hideMark/>
          </w:tcPr>
          <w:p w14:paraId="310AF68F"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Solution should provide sandboxing of malicious or suspicious file locally</w:t>
            </w:r>
          </w:p>
        </w:tc>
        <w:tc>
          <w:tcPr>
            <w:tcW w:w="1220" w:type="dxa"/>
            <w:tcBorders>
              <w:top w:val="nil"/>
              <w:left w:val="nil"/>
              <w:bottom w:val="single" w:sz="4" w:space="0" w:color="auto"/>
              <w:right w:val="single" w:sz="4" w:space="0" w:color="auto"/>
            </w:tcBorders>
            <w:shd w:val="clear" w:color="auto" w:fill="auto"/>
            <w:hideMark/>
          </w:tcPr>
          <w:p w14:paraId="0CA19190"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c>
          <w:tcPr>
            <w:tcW w:w="1760" w:type="dxa"/>
            <w:tcBorders>
              <w:top w:val="nil"/>
              <w:left w:val="nil"/>
              <w:bottom w:val="single" w:sz="4" w:space="0" w:color="auto"/>
              <w:right w:val="single" w:sz="4" w:space="0" w:color="auto"/>
            </w:tcBorders>
            <w:shd w:val="clear" w:color="auto" w:fill="auto"/>
            <w:hideMark/>
          </w:tcPr>
          <w:p w14:paraId="2D59EAF9"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r>
      <w:tr w:rsidR="00A93231" w:rsidRPr="00A93231" w14:paraId="63DE786D" w14:textId="77777777" w:rsidTr="00A93231">
        <w:trPr>
          <w:trHeight w:val="315"/>
        </w:trPr>
        <w:tc>
          <w:tcPr>
            <w:tcW w:w="520" w:type="dxa"/>
            <w:tcBorders>
              <w:top w:val="nil"/>
              <w:left w:val="single" w:sz="4" w:space="0" w:color="auto"/>
              <w:bottom w:val="single" w:sz="4" w:space="0" w:color="auto"/>
              <w:right w:val="single" w:sz="4" w:space="0" w:color="auto"/>
            </w:tcBorders>
            <w:shd w:val="clear" w:color="auto" w:fill="auto"/>
            <w:hideMark/>
          </w:tcPr>
          <w:p w14:paraId="01DCB1CD" w14:textId="77777777" w:rsidR="00A93231" w:rsidRPr="00A93231" w:rsidRDefault="00A93231" w:rsidP="00A93231">
            <w:pPr>
              <w:spacing w:after="0" w:line="240" w:lineRule="auto"/>
              <w:jc w:val="center"/>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27</w:t>
            </w:r>
          </w:p>
        </w:tc>
        <w:tc>
          <w:tcPr>
            <w:tcW w:w="11440" w:type="dxa"/>
            <w:tcBorders>
              <w:top w:val="nil"/>
              <w:left w:val="nil"/>
              <w:bottom w:val="single" w:sz="4" w:space="0" w:color="auto"/>
              <w:right w:val="single" w:sz="4" w:space="0" w:color="auto"/>
            </w:tcBorders>
            <w:shd w:val="clear" w:color="auto" w:fill="auto"/>
            <w:hideMark/>
          </w:tcPr>
          <w:p w14:paraId="0A9DC923"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Solution should have API interfaces for submitting files for sandboxing</w:t>
            </w:r>
          </w:p>
        </w:tc>
        <w:tc>
          <w:tcPr>
            <w:tcW w:w="1220" w:type="dxa"/>
            <w:tcBorders>
              <w:top w:val="nil"/>
              <w:left w:val="nil"/>
              <w:bottom w:val="single" w:sz="4" w:space="0" w:color="auto"/>
              <w:right w:val="single" w:sz="4" w:space="0" w:color="auto"/>
            </w:tcBorders>
            <w:shd w:val="clear" w:color="auto" w:fill="auto"/>
            <w:hideMark/>
          </w:tcPr>
          <w:p w14:paraId="6239F804"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c>
          <w:tcPr>
            <w:tcW w:w="1760" w:type="dxa"/>
            <w:tcBorders>
              <w:top w:val="nil"/>
              <w:left w:val="nil"/>
              <w:bottom w:val="single" w:sz="4" w:space="0" w:color="auto"/>
              <w:right w:val="single" w:sz="4" w:space="0" w:color="auto"/>
            </w:tcBorders>
            <w:shd w:val="clear" w:color="auto" w:fill="auto"/>
            <w:hideMark/>
          </w:tcPr>
          <w:p w14:paraId="64EC9A0B"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r>
      <w:tr w:rsidR="00A93231" w:rsidRPr="00A93231" w14:paraId="467F7FE3" w14:textId="77777777" w:rsidTr="00A93231">
        <w:trPr>
          <w:trHeight w:val="315"/>
        </w:trPr>
        <w:tc>
          <w:tcPr>
            <w:tcW w:w="520" w:type="dxa"/>
            <w:tcBorders>
              <w:top w:val="nil"/>
              <w:left w:val="single" w:sz="4" w:space="0" w:color="auto"/>
              <w:bottom w:val="single" w:sz="4" w:space="0" w:color="auto"/>
              <w:right w:val="single" w:sz="4" w:space="0" w:color="auto"/>
            </w:tcBorders>
            <w:shd w:val="clear" w:color="auto" w:fill="auto"/>
            <w:hideMark/>
          </w:tcPr>
          <w:p w14:paraId="68BEE508" w14:textId="77777777" w:rsidR="00A93231" w:rsidRPr="00A93231" w:rsidRDefault="00A93231" w:rsidP="00A93231">
            <w:pPr>
              <w:spacing w:after="0" w:line="240" w:lineRule="auto"/>
              <w:jc w:val="center"/>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28</w:t>
            </w:r>
          </w:p>
        </w:tc>
        <w:tc>
          <w:tcPr>
            <w:tcW w:w="11440" w:type="dxa"/>
            <w:tcBorders>
              <w:top w:val="nil"/>
              <w:left w:val="nil"/>
              <w:bottom w:val="single" w:sz="4" w:space="0" w:color="auto"/>
              <w:right w:val="single" w:sz="4" w:space="0" w:color="auto"/>
            </w:tcBorders>
            <w:shd w:val="clear" w:color="auto" w:fill="auto"/>
            <w:hideMark/>
          </w:tcPr>
          <w:p w14:paraId="7E655246"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Sandbox Service should have be emulation based and should not spin up separate VM's for analysis</w:t>
            </w:r>
          </w:p>
        </w:tc>
        <w:tc>
          <w:tcPr>
            <w:tcW w:w="1220" w:type="dxa"/>
            <w:tcBorders>
              <w:top w:val="nil"/>
              <w:left w:val="nil"/>
              <w:bottom w:val="single" w:sz="4" w:space="0" w:color="auto"/>
              <w:right w:val="single" w:sz="4" w:space="0" w:color="auto"/>
            </w:tcBorders>
            <w:shd w:val="clear" w:color="auto" w:fill="auto"/>
            <w:hideMark/>
          </w:tcPr>
          <w:p w14:paraId="101236A0"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c>
          <w:tcPr>
            <w:tcW w:w="1760" w:type="dxa"/>
            <w:tcBorders>
              <w:top w:val="nil"/>
              <w:left w:val="nil"/>
              <w:bottom w:val="single" w:sz="4" w:space="0" w:color="auto"/>
              <w:right w:val="single" w:sz="4" w:space="0" w:color="auto"/>
            </w:tcBorders>
            <w:shd w:val="clear" w:color="auto" w:fill="auto"/>
            <w:hideMark/>
          </w:tcPr>
          <w:p w14:paraId="25C660E2"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r>
      <w:tr w:rsidR="00A93231" w:rsidRPr="00A93231" w14:paraId="03A4B628" w14:textId="77777777" w:rsidTr="00A93231">
        <w:trPr>
          <w:trHeight w:val="315"/>
        </w:trPr>
        <w:tc>
          <w:tcPr>
            <w:tcW w:w="520" w:type="dxa"/>
            <w:tcBorders>
              <w:top w:val="nil"/>
              <w:left w:val="single" w:sz="4" w:space="0" w:color="auto"/>
              <w:bottom w:val="single" w:sz="4" w:space="0" w:color="auto"/>
              <w:right w:val="single" w:sz="4" w:space="0" w:color="auto"/>
            </w:tcBorders>
            <w:shd w:val="clear" w:color="auto" w:fill="auto"/>
            <w:hideMark/>
          </w:tcPr>
          <w:p w14:paraId="245A13BD" w14:textId="77777777" w:rsidR="00A93231" w:rsidRPr="00A93231" w:rsidRDefault="00A93231" w:rsidP="00A93231">
            <w:pPr>
              <w:spacing w:after="0" w:line="240" w:lineRule="auto"/>
              <w:jc w:val="center"/>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c>
          <w:tcPr>
            <w:tcW w:w="11440" w:type="dxa"/>
            <w:tcBorders>
              <w:top w:val="nil"/>
              <w:left w:val="nil"/>
              <w:bottom w:val="single" w:sz="4" w:space="0" w:color="auto"/>
              <w:right w:val="single" w:sz="4" w:space="0" w:color="auto"/>
            </w:tcBorders>
            <w:shd w:val="clear" w:color="auto" w:fill="auto"/>
            <w:hideMark/>
          </w:tcPr>
          <w:p w14:paraId="2EB3FF32"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should support re-analysis of samples already processed if required.</w:t>
            </w:r>
          </w:p>
        </w:tc>
        <w:tc>
          <w:tcPr>
            <w:tcW w:w="1220" w:type="dxa"/>
            <w:tcBorders>
              <w:top w:val="nil"/>
              <w:left w:val="nil"/>
              <w:bottom w:val="single" w:sz="4" w:space="0" w:color="auto"/>
              <w:right w:val="single" w:sz="4" w:space="0" w:color="auto"/>
            </w:tcBorders>
            <w:shd w:val="clear" w:color="auto" w:fill="auto"/>
            <w:hideMark/>
          </w:tcPr>
          <w:p w14:paraId="4A51EA38"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c>
          <w:tcPr>
            <w:tcW w:w="1760" w:type="dxa"/>
            <w:tcBorders>
              <w:top w:val="nil"/>
              <w:left w:val="nil"/>
              <w:bottom w:val="single" w:sz="4" w:space="0" w:color="auto"/>
              <w:right w:val="single" w:sz="4" w:space="0" w:color="auto"/>
            </w:tcBorders>
            <w:shd w:val="clear" w:color="auto" w:fill="auto"/>
            <w:hideMark/>
          </w:tcPr>
          <w:p w14:paraId="43934401"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r>
      <w:tr w:rsidR="00A93231" w:rsidRPr="00A93231" w14:paraId="3AED8474" w14:textId="77777777" w:rsidTr="00A93231">
        <w:trPr>
          <w:trHeight w:val="60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0ECBD33" w14:textId="77777777" w:rsidR="00A93231" w:rsidRPr="00A93231" w:rsidRDefault="00A93231" w:rsidP="00A93231">
            <w:pPr>
              <w:spacing w:after="0" w:line="240" w:lineRule="auto"/>
              <w:jc w:val="center"/>
              <w:rPr>
                <w:rFonts w:ascii="Calibri" w:eastAsia="Times New Roman" w:hAnsi="Calibri" w:cs="Calibri"/>
                <w:lang w:val="en-GB" w:eastAsia="en-GB"/>
              </w:rPr>
            </w:pPr>
            <w:r w:rsidRPr="00A93231">
              <w:rPr>
                <w:rFonts w:ascii="Calibri" w:eastAsia="Times New Roman" w:hAnsi="Calibri" w:cs="Calibri"/>
                <w:lang w:val="en-GB" w:eastAsia="en-GB"/>
              </w:rPr>
              <w:t>21</w:t>
            </w:r>
          </w:p>
        </w:tc>
        <w:tc>
          <w:tcPr>
            <w:tcW w:w="11440" w:type="dxa"/>
            <w:tcBorders>
              <w:top w:val="nil"/>
              <w:left w:val="nil"/>
              <w:bottom w:val="single" w:sz="4" w:space="0" w:color="auto"/>
              <w:right w:val="single" w:sz="4" w:space="0" w:color="auto"/>
            </w:tcBorders>
            <w:shd w:val="clear" w:color="000000" w:fill="FFFFFF"/>
            <w:vAlign w:val="bottom"/>
            <w:hideMark/>
          </w:tcPr>
          <w:p w14:paraId="75232EDB" w14:textId="77777777" w:rsidR="00A93231" w:rsidRPr="00A93231" w:rsidRDefault="00A93231" w:rsidP="00A93231">
            <w:pPr>
              <w:spacing w:after="0" w:line="240" w:lineRule="auto"/>
              <w:rPr>
                <w:rFonts w:ascii="Calibri" w:eastAsia="Times New Roman" w:hAnsi="Calibri" w:cs="Calibri"/>
                <w:lang w:val="en-GB" w:eastAsia="en-GB"/>
              </w:rPr>
            </w:pPr>
            <w:r w:rsidRPr="00A93231">
              <w:rPr>
                <w:rFonts w:ascii="Calibri" w:eastAsia="Times New Roman" w:hAnsi="Calibri" w:cs="Calibri"/>
                <w:lang w:val="en-GB" w:eastAsia="en-GB"/>
              </w:rPr>
              <w:t>The proposed solution should be able to detect ransomware and advanced threats and detect multi-stage malicious downloads, outbound connections and command and control from malicious attachments and URLs.</w:t>
            </w:r>
          </w:p>
        </w:tc>
        <w:tc>
          <w:tcPr>
            <w:tcW w:w="1220" w:type="dxa"/>
            <w:tcBorders>
              <w:top w:val="nil"/>
              <w:left w:val="nil"/>
              <w:bottom w:val="single" w:sz="4" w:space="0" w:color="auto"/>
              <w:right w:val="single" w:sz="4" w:space="0" w:color="auto"/>
            </w:tcBorders>
            <w:shd w:val="clear" w:color="000000" w:fill="FFFFFF"/>
            <w:noWrap/>
            <w:vAlign w:val="bottom"/>
            <w:hideMark/>
          </w:tcPr>
          <w:p w14:paraId="61C985E3" w14:textId="77777777" w:rsidR="00A93231" w:rsidRPr="00A93231" w:rsidRDefault="00A93231" w:rsidP="00A93231">
            <w:pPr>
              <w:spacing w:after="0" w:line="240" w:lineRule="auto"/>
              <w:jc w:val="center"/>
              <w:rPr>
                <w:rFonts w:ascii="Calibri" w:eastAsia="Times New Roman" w:hAnsi="Calibri" w:cs="Calibri"/>
                <w:lang w:val="en-GB" w:eastAsia="en-GB"/>
              </w:rPr>
            </w:pPr>
            <w:r w:rsidRPr="00A93231">
              <w:rPr>
                <w:rFonts w:ascii="Calibri" w:eastAsia="Times New Roman" w:hAnsi="Calibri" w:cs="Calibri"/>
                <w:lang w:val="en-GB" w:eastAsia="en-GB"/>
              </w:rPr>
              <w:t> </w:t>
            </w:r>
          </w:p>
        </w:tc>
        <w:tc>
          <w:tcPr>
            <w:tcW w:w="1760" w:type="dxa"/>
            <w:tcBorders>
              <w:top w:val="nil"/>
              <w:left w:val="nil"/>
              <w:bottom w:val="single" w:sz="4" w:space="0" w:color="auto"/>
              <w:right w:val="single" w:sz="4" w:space="0" w:color="auto"/>
            </w:tcBorders>
            <w:shd w:val="clear" w:color="000000" w:fill="FFFFFF"/>
            <w:noWrap/>
            <w:vAlign w:val="bottom"/>
            <w:hideMark/>
          </w:tcPr>
          <w:p w14:paraId="0B2238E6" w14:textId="77777777" w:rsidR="00A93231" w:rsidRPr="00A93231" w:rsidRDefault="00A93231" w:rsidP="00A93231">
            <w:pPr>
              <w:spacing w:after="0" w:line="240" w:lineRule="auto"/>
              <w:rPr>
                <w:rFonts w:ascii="Calibri" w:eastAsia="Times New Roman" w:hAnsi="Calibri" w:cs="Calibri"/>
                <w:lang w:val="en-GB" w:eastAsia="en-GB"/>
              </w:rPr>
            </w:pPr>
            <w:r w:rsidRPr="00A93231">
              <w:rPr>
                <w:rFonts w:ascii="Calibri" w:eastAsia="Times New Roman" w:hAnsi="Calibri" w:cs="Calibri"/>
                <w:lang w:val="en-GB" w:eastAsia="en-GB"/>
              </w:rPr>
              <w:t> </w:t>
            </w:r>
          </w:p>
        </w:tc>
      </w:tr>
      <w:tr w:rsidR="00A93231" w:rsidRPr="00A93231" w14:paraId="4E7F1AA2" w14:textId="77777777" w:rsidTr="00A93231">
        <w:trPr>
          <w:trHeight w:val="510"/>
        </w:trPr>
        <w:tc>
          <w:tcPr>
            <w:tcW w:w="520" w:type="dxa"/>
            <w:tcBorders>
              <w:top w:val="nil"/>
              <w:left w:val="single" w:sz="4" w:space="0" w:color="auto"/>
              <w:bottom w:val="single" w:sz="4" w:space="0" w:color="auto"/>
              <w:right w:val="single" w:sz="4" w:space="0" w:color="auto"/>
            </w:tcBorders>
            <w:shd w:val="clear" w:color="auto" w:fill="auto"/>
            <w:hideMark/>
          </w:tcPr>
          <w:p w14:paraId="44FF391F" w14:textId="77777777" w:rsidR="00A93231" w:rsidRPr="00A93231" w:rsidRDefault="00A93231" w:rsidP="00A93231">
            <w:pPr>
              <w:spacing w:after="0" w:line="240" w:lineRule="auto"/>
              <w:jc w:val="center"/>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29</w:t>
            </w:r>
          </w:p>
        </w:tc>
        <w:tc>
          <w:tcPr>
            <w:tcW w:w="11440" w:type="dxa"/>
            <w:tcBorders>
              <w:top w:val="nil"/>
              <w:left w:val="nil"/>
              <w:bottom w:val="single" w:sz="4" w:space="0" w:color="auto"/>
              <w:right w:val="single" w:sz="4" w:space="0" w:color="auto"/>
            </w:tcBorders>
            <w:shd w:val="clear" w:color="auto" w:fill="auto"/>
            <w:hideMark/>
          </w:tcPr>
          <w:p w14:paraId="0E3F3215"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should support sharing of threat insight automatically with own solution components and third party products with open standards like STIX, TAXII etc</w:t>
            </w:r>
          </w:p>
        </w:tc>
        <w:tc>
          <w:tcPr>
            <w:tcW w:w="1220" w:type="dxa"/>
            <w:tcBorders>
              <w:top w:val="nil"/>
              <w:left w:val="nil"/>
              <w:bottom w:val="single" w:sz="4" w:space="0" w:color="auto"/>
              <w:right w:val="single" w:sz="4" w:space="0" w:color="auto"/>
            </w:tcBorders>
            <w:shd w:val="clear" w:color="auto" w:fill="auto"/>
            <w:hideMark/>
          </w:tcPr>
          <w:p w14:paraId="2970FE9C"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c>
          <w:tcPr>
            <w:tcW w:w="1760" w:type="dxa"/>
            <w:tcBorders>
              <w:top w:val="nil"/>
              <w:left w:val="nil"/>
              <w:bottom w:val="single" w:sz="4" w:space="0" w:color="auto"/>
              <w:right w:val="single" w:sz="4" w:space="0" w:color="auto"/>
            </w:tcBorders>
            <w:shd w:val="clear" w:color="auto" w:fill="auto"/>
            <w:hideMark/>
          </w:tcPr>
          <w:p w14:paraId="6EE47C3D"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r>
      <w:tr w:rsidR="00A93231" w:rsidRPr="00A93231" w14:paraId="6F9F139A" w14:textId="77777777" w:rsidTr="00A93231">
        <w:trPr>
          <w:trHeight w:val="510"/>
        </w:trPr>
        <w:tc>
          <w:tcPr>
            <w:tcW w:w="520" w:type="dxa"/>
            <w:tcBorders>
              <w:top w:val="nil"/>
              <w:left w:val="single" w:sz="4" w:space="0" w:color="auto"/>
              <w:bottom w:val="single" w:sz="4" w:space="0" w:color="auto"/>
              <w:right w:val="single" w:sz="4" w:space="0" w:color="auto"/>
            </w:tcBorders>
            <w:shd w:val="clear" w:color="auto" w:fill="auto"/>
            <w:hideMark/>
          </w:tcPr>
          <w:p w14:paraId="7D2D9708" w14:textId="77777777" w:rsidR="00A93231" w:rsidRPr="00A93231" w:rsidRDefault="00A93231" w:rsidP="00A93231">
            <w:pPr>
              <w:spacing w:after="0" w:line="240" w:lineRule="auto"/>
              <w:jc w:val="center"/>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30</w:t>
            </w:r>
          </w:p>
        </w:tc>
        <w:tc>
          <w:tcPr>
            <w:tcW w:w="11440" w:type="dxa"/>
            <w:tcBorders>
              <w:top w:val="nil"/>
              <w:left w:val="nil"/>
              <w:bottom w:val="single" w:sz="4" w:space="0" w:color="auto"/>
              <w:right w:val="single" w:sz="4" w:space="0" w:color="auto"/>
            </w:tcBorders>
            <w:shd w:val="clear" w:color="auto" w:fill="auto"/>
            <w:hideMark/>
          </w:tcPr>
          <w:p w14:paraId="59081A78"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should have ability to shares new IOC detection intelligence automatically with supported and third-party products</w:t>
            </w:r>
          </w:p>
        </w:tc>
        <w:tc>
          <w:tcPr>
            <w:tcW w:w="1220" w:type="dxa"/>
            <w:tcBorders>
              <w:top w:val="nil"/>
              <w:left w:val="nil"/>
              <w:bottom w:val="single" w:sz="4" w:space="0" w:color="auto"/>
              <w:right w:val="single" w:sz="4" w:space="0" w:color="auto"/>
            </w:tcBorders>
            <w:shd w:val="clear" w:color="auto" w:fill="auto"/>
            <w:hideMark/>
          </w:tcPr>
          <w:p w14:paraId="26EC6482"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c>
          <w:tcPr>
            <w:tcW w:w="1760" w:type="dxa"/>
            <w:tcBorders>
              <w:top w:val="nil"/>
              <w:left w:val="nil"/>
              <w:bottom w:val="single" w:sz="4" w:space="0" w:color="auto"/>
              <w:right w:val="single" w:sz="4" w:space="0" w:color="auto"/>
            </w:tcBorders>
            <w:shd w:val="clear" w:color="auto" w:fill="auto"/>
            <w:hideMark/>
          </w:tcPr>
          <w:p w14:paraId="55D88CD1"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r>
      <w:tr w:rsidR="00A93231" w:rsidRPr="00A93231" w14:paraId="379F60AD" w14:textId="77777777" w:rsidTr="00A93231">
        <w:trPr>
          <w:trHeight w:val="510"/>
        </w:trPr>
        <w:tc>
          <w:tcPr>
            <w:tcW w:w="520" w:type="dxa"/>
            <w:tcBorders>
              <w:top w:val="nil"/>
              <w:left w:val="single" w:sz="4" w:space="0" w:color="auto"/>
              <w:bottom w:val="single" w:sz="4" w:space="0" w:color="auto"/>
              <w:right w:val="single" w:sz="4" w:space="0" w:color="auto"/>
            </w:tcBorders>
            <w:shd w:val="clear" w:color="auto" w:fill="auto"/>
            <w:hideMark/>
          </w:tcPr>
          <w:p w14:paraId="44BFE771" w14:textId="77777777" w:rsidR="00A93231" w:rsidRPr="00A93231" w:rsidRDefault="00A93231" w:rsidP="00A93231">
            <w:pPr>
              <w:spacing w:after="0" w:line="240" w:lineRule="auto"/>
              <w:jc w:val="center"/>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31</w:t>
            </w:r>
          </w:p>
        </w:tc>
        <w:tc>
          <w:tcPr>
            <w:tcW w:w="11440" w:type="dxa"/>
            <w:tcBorders>
              <w:top w:val="nil"/>
              <w:left w:val="nil"/>
              <w:bottom w:val="single" w:sz="4" w:space="0" w:color="auto"/>
              <w:right w:val="single" w:sz="4" w:space="0" w:color="auto"/>
            </w:tcBorders>
            <w:shd w:val="clear" w:color="auto" w:fill="auto"/>
            <w:hideMark/>
          </w:tcPr>
          <w:p w14:paraId="111EB47E"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shall have virtual environment that must be securely isolated from the rest of the network to avoid malware propagation.</w:t>
            </w:r>
          </w:p>
        </w:tc>
        <w:tc>
          <w:tcPr>
            <w:tcW w:w="1220" w:type="dxa"/>
            <w:tcBorders>
              <w:top w:val="nil"/>
              <w:left w:val="nil"/>
              <w:bottom w:val="single" w:sz="4" w:space="0" w:color="auto"/>
              <w:right w:val="single" w:sz="4" w:space="0" w:color="auto"/>
            </w:tcBorders>
            <w:shd w:val="clear" w:color="auto" w:fill="auto"/>
            <w:hideMark/>
          </w:tcPr>
          <w:p w14:paraId="61FF0277"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c>
          <w:tcPr>
            <w:tcW w:w="1760" w:type="dxa"/>
            <w:tcBorders>
              <w:top w:val="nil"/>
              <w:left w:val="nil"/>
              <w:bottom w:val="single" w:sz="4" w:space="0" w:color="auto"/>
              <w:right w:val="single" w:sz="4" w:space="0" w:color="auto"/>
            </w:tcBorders>
            <w:shd w:val="clear" w:color="auto" w:fill="auto"/>
            <w:hideMark/>
          </w:tcPr>
          <w:p w14:paraId="0F0E6E05"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r>
      <w:tr w:rsidR="00A93231" w:rsidRPr="00A93231" w14:paraId="5FDA48FA" w14:textId="77777777" w:rsidTr="00A93231">
        <w:trPr>
          <w:trHeight w:val="315"/>
        </w:trPr>
        <w:tc>
          <w:tcPr>
            <w:tcW w:w="520" w:type="dxa"/>
            <w:tcBorders>
              <w:top w:val="nil"/>
              <w:left w:val="single" w:sz="4" w:space="0" w:color="auto"/>
              <w:bottom w:val="single" w:sz="4" w:space="0" w:color="auto"/>
              <w:right w:val="single" w:sz="4" w:space="0" w:color="auto"/>
            </w:tcBorders>
            <w:shd w:val="clear" w:color="auto" w:fill="auto"/>
            <w:hideMark/>
          </w:tcPr>
          <w:p w14:paraId="784CA2CA" w14:textId="77777777" w:rsidR="00A93231" w:rsidRPr="00A93231" w:rsidRDefault="00A93231" w:rsidP="00A93231">
            <w:pPr>
              <w:spacing w:after="0" w:line="240" w:lineRule="auto"/>
              <w:jc w:val="center"/>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32</w:t>
            </w:r>
          </w:p>
        </w:tc>
        <w:tc>
          <w:tcPr>
            <w:tcW w:w="11440" w:type="dxa"/>
            <w:tcBorders>
              <w:top w:val="nil"/>
              <w:left w:val="nil"/>
              <w:bottom w:val="single" w:sz="4" w:space="0" w:color="auto"/>
              <w:right w:val="single" w:sz="4" w:space="0" w:color="auto"/>
            </w:tcBorders>
            <w:shd w:val="clear" w:color="auto" w:fill="auto"/>
            <w:hideMark/>
          </w:tcPr>
          <w:p w14:paraId="2F0E0656"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Sharable threat intelligence must include at least 4 types - IP, URL, domain, e-mail-ids and file checksum</w:t>
            </w:r>
          </w:p>
        </w:tc>
        <w:tc>
          <w:tcPr>
            <w:tcW w:w="1220" w:type="dxa"/>
            <w:tcBorders>
              <w:top w:val="nil"/>
              <w:left w:val="nil"/>
              <w:bottom w:val="single" w:sz="4" w:space="0" w:color="auto"/>
              <w:right w:val="single" w:sz="4" w:space="0" w:color="auto"/>
            </w:tcBorders>
            <w:shd w:val="clear" w:color="auto" w:fill="auto"/>
            <w:hideMark/>
          </w:tcPr>
          <w:p w14:paraId="4815DAE6"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c>
          <w:tcPr>
            <w:tcW w:w="1760" w:type="dxa"/>
            <w:tcBorders>
              <w:top w:val="nil"/>
              <w:left w:val="nil"/>
              <w:bottom w:val="single" w:sz="4" w:space="0" w:color="auto"/>
              <w:right w:val="single" w:sz="4" w:space="0" w:color="auto"/>
            </w:tcBorders>
            <w:shd w:val="clear" w:color="auto" w:fill="auto"/>
            <w:hideMark/>
          </w:tcPr>
          <w:p w14:paraId="097B723D" w14:textId="77777777" w:rsidR="00A93231" w:rsidRPr="00A93231" w:rsidRDefault="00A93231" w:rsidP="00A93231">
            <w:pPr>
              <w:spacing w:after="0" w:line="240" w:lineRule="auto"/>
              <w:rPr>
                <w:rFonts w:ascii="Calibri" w:eastAsia="Times New Roman" w:hAnsi="Calibri" w:cs="Calibri"/>
                <w:sz w:val="24"/>
                <w:szCs w:val="24"/>
                <w:lang w:val="en-GB" w:eastAsia="en-GB"/>
              </w:rPr>
            </w:pPr>
            <w:r w:rsidRPr="00A93231">
              <w:rPr>
                <w:rFonts w:ascii="Calibri" w:eastAsia="Times New Roman" w:hAnsi="Calibri" w:cs="Calibri"/>
                <w:sz w:val="24"/>
                <w:szCs w:val="24"/>
                <w:lang w:val="en-GB" w:eastAsia="en-GB"/>
              </w:rPr>
              <w:t> </w:t>
            </w:r>
          </w:p>
        </w:tc>
      </w:tr>
      <w:tr w:rsidR="00A93231" w:rsidRPr="00A93231" w14:paraId="198E09BE" w14:textId="77777777" w:rsidTr="00A93231">
        <w:trPr>
          <w:trHeight w:val="90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42E8F36" w14:textId="77777777" w:rsidR="00A93231" w:rsidRPr="00A93231" w:rsidRDefault="00A93231" w:rsidP="00A93231">
            <w:pPr>
              <w:spacing w:after="0" w:line="240" w:lineRule="auto"/>
              <w:jc w:val="center"/>
              <w:rPr>
                <w:rFonts w:ascii="Calibri" w:eastAsia="Times New Roman" w:hAnsi="Calibri" w:cs="Calibri"/>
                <w:lang w:val="en-GB" w:eastAsia="en-GB"/>
              </w:rPr>
            </w:pPr>
            <w:r w:rsidRPr="00A93231">
              <w:rPr>
                <w:rFonts w:ascii="Calibri" w:eastAsia="Times New Roman" w:hAnsi="Calibri" w:cs="Calibri"/>
                <w:lang w:val="en-GB" w:eastAsia="en-GB"/>
              </w:rPr>
              <w:lastRenderedPageBreak/>
              <w:t>33</w:t>
            </w:r>
          </w:p>
        </w:tc>
        <w:tc>
          <w:tcPr>
            <w:tcW w:w="11440" w:type="dxa"/>
            <w:tcBorders>
              <w:top w:val="nil"/>
              <w:left w:val="nil"/>
              <w:bottom w:val="single" w:sz="4" w:space="0" w:color="auto"/>
              <w:right w:val="single" w:sz="4" w:space="0" w:color="auto"/>
            </w:tcBorders>
            <w:shd w:val="clear" w:color="000000" w:fill="FFFFFF"/>
            <w:vAlign w:val="bottom"/>
            <w:hideMark/>
          </w:tcPr>
          <w:p w14:paraId="1938F624" w14:textId="77777777" w:rsidR="00A93231" w:rsidRPr="00A93231" w:rsidRDefault="00A93231" w:rsidP="00A93231">
            <w:pPr>
              <w:spacing w:after="0" w:line="240" w:lineRule="auto"/>
              <w:rPr>
                <w:rFonts w:ascii="Calibri" w:eastAsia="Times New Roman" w:hAnsi="Calibri" w:cs="Calibri"/>
                <w:lang w:val="en-GB" w:eastAsia="en-GB"/>
              </w:rPr>
            </w:pPr>
            <w:r w:rsidRPr="00A93231">
              <w:rPr>
                <w:rFonts w:ascii="Calibri" w:eastAsia="Times New Roman" w:hAnsi="Calibri" w:cs="Calibri"/>
                <w:lang w:val="en-GB" w:eastAsia="en-GB"/>
              </w:rPr>
              <w:t>The proposed solution should be able to run multiple parallel sandboxes for analysis of payload and on premise customized file scanning  solution should have the capability to allow manual submission of suspicious files for analysis.</w:t>
            </w:r>
          </w:p>
        </w:tc>
        <w:tc>
          <w:tcPr>
            <w:tcW w:w="1220" w:type="dxa"/>
            <w:tcBorders>
              <w:top w:val="nil"/>
              <w:left w:val="nil"/>
              <w:bottom w:val="single" w:sz="4" w:space="0" w:color="auto"/>
              <w:right w:val="single" w:sz="4" w:space="0" w:color="auto"/>
            </w:tcBorders>
            <w:shd w:val="clear" w:color="000000" w:fill="FFFFFF"/>
            <w:noWrap/>
            <w:vAlign w:val="bottom"/>
            <w:hideMark/>
          </w:tcPr>
          <w:p w14:paraId="39478FA8" w14:textId="77777777" w:rsidR="00A93231" w:rsidRPr="00A93231" w:rsidRDefault="00A93231" w:rsidP="00A93231">
            <w:pPr>
              <w:spacing w:after="0" w:line="240" w:lineRule="auto"/>
              <w:jc w:val="center"/>
              <w:rPr>
                <w:rFonts w:ascii="Calibri" w:eastAsia="Times New Roman" w:hAnsi="Calibri" w:cs="Calibri"/>
                <w:lang w:val="en-GB" w:eastAsia="en-GB"/>
              </w:rPr>
            </w:pPr>
            <w:r w:rsidRPr="00A93231">
              <w:rPr>
                <w:rFonts w:ascii="Calibri" w:eastAsia="Times New Roman" w:hAnsi="Calibri" w:cs="Calibri"/>
                <w:lang w:val="en-GB" w:eastAsia="en-GB"/>
              </w:rPr>
              <w:t> </w:t>
            </w:r>
          </w:p>
        </w:tc>
        <w:tc>
          <w:tcPr>
            <w:tcW w:w="1760" w:type="dxa"/>
            <w:tcBorders>
              <w:top w:val="nil"/>
              <w:left w:val="nil"/>
              <w:bottom w:val="single" w:sz="4" w:space="0" w:color="auto"/>
              <w:right w:val="single" w:sz="4" w:space="0" w:color="auto"/>
            </w:tcBorders>
            <w:shd w:val="clear" w:color="000000" w:fill="FFFFFF"/>
            <w:noWrap/>
            <w:vAlign w:val="bottom"/>
            <w:hideMark/>
          </w:tcPr>
          <w:p w14:paraId="095EEBF0" w14:textId="77777777" w:rsidR="00A93231" w:rsidRPr="00A93231" w:rsidRDefault="00A93231" w:rsidP="00A93231">
            <w:pPr>
              <w:spacing w:after="0" w:line="240" w:lineRule="auto"/>
              <w:rPr>
                <w:rFonts w:ascii="Calibri" w:eastAsia="Times New Roman" w:hAnsi="Calibri" w:cs="Calibri"/>
                <w:lang w:val="en-GB" w:eastAsia="en-GB"/>
              </w:rPr>
            </w:pPr>
            <w:r w:rsidRPr="00A93231">
              <w:rPr>
                <w:rFonts w:ascii="Calibri" w:eastAsia="Times New Roman" w:hAnsi="Calibri" w:cs="Calibri"/>
                <w:lang w:val="en-GB" w:eastAsia="en-GB"/>
              </w:rPr>
              <w:t> </w:t>
            </w:r>
          </w:p>
        </w:tc>
      </w:tr>
      <w:tr w:rsidR="00A93231" w:rsidRPr="00A93231" w14:paraId="3572D614" w14:textId="77777777" w:rsidTr="00A93231">
        <w:trPr>
          <w:trHeight w:val="60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918704C" w14:textId="77777777" w:rsidR="00A93231" w:rsidRPr="00A93231" w:rsidRDefault="00A93231" w:rsidP="00A93231">
            <w:pPr>
              <w:spacing w:after="0" w:line="240" w:lineRule="auto"/>
              <w:jc w:val="center"/>
              <w:rPr>
                <w:rFonts w:ascii="Calibri" w:eastAsia="Times New Roman" w:hAnsi="Calibri" w:cs="Calibri"/>
                <w:lang w:val="en-GB" w:eastAsia="en-GB"/>
              </w:rPr>
            </w:pPr>
            <w:r w:rsidRPr="00A93231">
              <w:rPr>
                <w:rFonts w:ascii="Calibri" w:eastAsia="Times New Roman" w:hAnsi="Calibri" w:cs="Calibri"/>
                <w:lang w:val="en-GB" w:eastAsia="en-GB"/>
              </w:rPr>
              <w:t>34</w:t>
            </w:r>
          </w:p>
        </w:tc>
        <w:tc>
          <w:tcPr>
            <w:tcW w:w="11440" w:type="dxa"/>
            <w:tcBorders>
              <w:top w:val="nil"/>
              <w:left w:val="nil"/>
              <w:bottom w:val="single" w:sz="4" w:space="0" w:color="auto"/>
              <w:right w:val="single" w:sz="4" w:space="0" w:color="auto"/>
            </w:tcBorders>
            <w:shd w:val="clear" w:color="000000" w:fill="FFFFFF"/>
            <w:vAlign w:val="bottom"/>
            <w:hideMark/>
          </w:tcPr>
          <w:p w14:paraId="39990F3E" w14:textId="77777777" w:rsidR="00A93231" w:rsidRPr="00A93231" w:rsidRDefault="00A93231" w:rsidP="00A93231">
            <w:pPr>
              <w:spacing w:after="0" w:line="240" w:lineRule="auto"/>
              <w:rPr>
                <w:rFonts w:ascii="Calibri" w:eastAsia="Times New Roman" w:hAnsi="Calibri" w:cs="Calibri"/>
                <w:lang w:val="en-GB" w:eastAsia="en-GB"/>
              </w:rPr>
            </w:pPr>
            <w:r w:rsidRPr="00A93231">
              <w:rPr>
                <w:rFonts w:ascii="Calibri" w:eastAsia="Times New Roman" w:hAnsi="Calibri" w:cs="Calibri"/>
                <w:lang w:val="en-GB" w:eastAsia="en-GB"/>
              </w:rPr>
              <w:t>The proposed solution should be able to able to identify password-protected archive file or password-protecting document files by providing options to define a commonly used password list.</w:t>
            </w:r>
          </w:p>
        </w:tc>
        <w:tc>
          <w:tcPr>
            <w:tcW w:w="1220" w:type="dxa"/>
            <w:tcBorders>
              <w:top w:val="nil"/>
              <w:left w:val="nil"/>
              <w:bottom w:val="single" w:sz="4" w:space="0" w:color="auto"/>
              <w:right w:val="single" w:sz="4" w:space="0" w:color="auto"/>
            </w:tcBorders>
            <w:shd w:val="clear" w:color="000000" w:fill="FFFFFF"/>
            <w:noWrap/>
            <w:vAlign w:val="bottom"/>
            <w:hideMark/>
          </w:tcPr>
          <w:p w14:paraId="3FEA8C46" w14:textId="77777777" w:rsidR="00A93231" w:rsidRPr="00A93231" w:rsidRDefault="00A93231" w:rsidP="00A93231">
            <w:pPr>
              <w:spacing w:after="0" w:line="240" w:lineRule="auto"/>
              <w:jc w:val="center"/>
              <w:rPr>
                <w:rFonts w:ascii="Calibri" w:eastAsia="Times New Roman" w:hAnsi="Calibri" w:cs="Calibri"/>
                <w:lang w:val="en-GB" w:eastAsia="en-GB"/>
              </w:rPr>
            </w:pPr>
            <w:r w:rsidRPr="00A93231">
              <w:rPr>
                <w:rFonts w:ascii="Calibri" w:eastAsia="Times New Roman" w:hAnsi="Calibri" w:cs="Calibri"/>
                <w:lang w:val="en-GB" w:eastAsia="en-GB"/>
              </w:rPr>
              <w:t> </w:t>
            </w:r>
          </w:p>
        </w:tc>
        <w:tc>
          <w:tcPr>
            <w:tcW w:w="1760" w:type="dxa"/>
            <w:tcBorders>
              <w:top w:val="nil"/>
              <w:left w:val="nil"/>
              <w:bottom w:val="single" w:sz="4" w:space="0" w:color="auto"/>
              <w:right w:val="single" w:sz="4" w:space="0" w:color="auto"/>
            </w:tcBorders>
            <w:shd w:val="clear" w:color="000000" w:fill="FFFFFF"/>
            <w:noWrap/>
            <w:vAlign w:val="bottom"/>
            <w:hideMark/>
          </w:tcPr>
          <w:p w14:paraId="24142F99" w14:textId="77777777" w:rsidR="00A93231" w:rsidRPr="00A93231" w:rsidRDefault="00A93231" w:rsidP="00A93231">
            <w:pPr>
              <w:spacing w:after="0" w:line="240" w:lineRule="auto"/>
              <w:rPr>
                <w:rFonts w:ascii="Calibri" w:eastAsia="Times New Roman" w:hAnsi="Calibri" w:cs="Calibri"/>
                <w:lang w:val="en-GB" w:eastAsia="en-GB"/>
              </w:rPr>
            </w:pPr>
            <w:r w:rsidRPr="00A93231">
              <w:rPr>
                <w:rFonts w:ascii="Calibri" w:eastAsia="Times New Roman" w:hAnsi="Calibri" w:cs="Calibri"/>
                <w:lang w:val="en-GB" w:eastAsia="en-GB"/>
              </w:rPr>
              <w:t> </w:t>
            </w:r>
          </w:p>
        </w:tc>
      </w:tr>
      <w:tr w:rsidR="00A93231" w:rsidRPr="00A93231" w14:paraId="2B54527E" w14:textId="77777777" w:rsidTr="00A93231">
        <w:trPr>
          <w:trHeight w:val="60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18B7A69" w14:textId="77777777" w:rsidR="00A93231" w:rsidRPr="00A93231" w:rsidRDefault="00A93231" w:rsidP="00A93231">
            <w:pPr>
              <w:spacing w:after="0" w:line="240" w:lineRule="auto"/>
              <w:jc w:val="center"/>
              <w:rPr>
                <w:rFonts w:ascii="Calibri" w:eastAsia="Times New Roman" w:hAnsi="Calibri" w:cs="Calibri"/>
                <w:lang w:val="en-GB" w:eastAsia="en-GB"/>
              </w:rPr>
            </w:pPr>
            <w:r w:rsidRPr="00A93231">
              <w:rPr>
                <w:rFonts w:ascii="Calibri" w:eastAsia="Times New Roman" w:hAnsi="Calibri" w:cs="Calibri"/>
                <w:lang w:val="en-GB" w:eastAsia="en-GB"/>
              </w:rPr>
              <w:t>35</w:t>
            </w:r>
          </w:p>
        </w:tc>
        <w:tc>
          <w:tcPr>
            <w:tcW w:w="11440" w:type="dxa"/>
            <w:tcBorders>
              <w:top w:val="nil"/>
              <w:left w:val="nil"/>
              <w:bottom w:val="single" w:sz="4" w:space="0" w:color="auto"/>
              <w:right w:val="single" w:sz="4" w:space="0" w:color="auto"/>
            </w:tcBorders>
            <w:shd w:val="clear" w:color="000000" w:fill="FFFFFF"/>
            <w:vAlign w:val="bottom"/>
            <w:hideMark/>
          </w:tcPr>
          <w:p w14:paraId="2EE3CA03" w14:textId="77777777" w:rsidR="00A93231" w:rsidRPr="00A93231" w:rsidRDefault="00A93231" w:rsidP="00A93231">
            <w:pPr>
              <w:spacing w:after="0" w:line="240" w:lineRule="auto"/>
              <w:rPr>
                <w:rFonts w:ascii="Calibri" w:eastAsia="Times New Roman" w:hAnsi="Calibri" w:cs="Calibri"/>
                <w:lang w:val="en-GB" w:eastAsia="en-GB"/>
              </w:rPr>
            </w:pPr>
            <w:r w:rsidRPr="00A93231">
              <w:rPr>
                <w:rFonts w:ascii="Calibri" w:eastAsia="Times New Roman" w:hAnsi="Calibri" w:cs="Calibri"/>
                <w:lang w:val="en-GB" w:eastAsia="en-GB"/>
              </w:rPr>
              <w:t>The proposed solution should integrate with a Active Directory server to allow user accounts to be added to management console.</w:t>
            </w:r>
          </w:p>
        </w:tc>
        <w:tc>
          <w:tcPr>
            <w:tcW w:w="1220" w:type="dxa"/>
            <w:tcBorders>
              <w:top w:val="nil"/>
              <w:left w:val="nil"/>
              <w:bottom w:val="single" w:sz="4" w:space="0" w:color="auto"/>
              <w:right w:val="single" w:sz="4" w:space="0" w:color="auto"/>
            </w:tcBorders>
            <w:shd w:val="clear" w:color="000000" w:fill="FFFFFF"/>
            <w:noWrap/>
            <w:vAlign w:val="bottom"/>
            <w:hideMark/>
          </w:tcPr>
          <w:p w14:paraId="73C9B3F2" w14:textId="77777777" w:rsidR="00A93231" w:rsidRPr="00A93231" w:rsidRDefault="00A93231" w:rsidP="00A93231">
            <w:pPr>
              <w:spacing w:after="0" w:line="240" w:lineRule="auto"/>
              <w:jc w:val="center"/>
              <w:rPr>
                <w:rFonts w:ascii="Calibri" w:eastAsia="Times New Roman" w:hAnsi="Calibri" w:cs="Calibri"/>
                <w:lang w:val="en-GB" w:eastAsia="en-GB"/>
              </w:rPr>
            </w:pPr>
            <w:r w:rsidRPr="00A93231">
              <w:rPr>
                <w:rFonts w:ascii="Calibri" w:eastAsia="Times New Roman" w:hAnsi="Calibri" w:cs="Calibri"/>
                <w:lang w:val="en-GB" w:eastAsia="en-GB"/>
              </w:rPr>
              <w:t> </w:t>
            </w:r>
          </w:p>
        </w:tc>
        <w:tc>
          <w:tcPr>
            <w:tcW w:w="1760" w:type="dxa"/>
            <w:tcBorders>
              <w:top w:val="nil"/>
              <w:left w:val="nil"/>
              <w:bottom w:val="single" w:sz="4" w:space="0" w:color="auto"/>
              <w:right w:val="single" w:sz="4" w:space="0" w:color="auto"/>
            </w:tcBorders>
            <w:shd w:val="clear" w:color="000000" w:fill="FFFFFF"/>
            <w:noWrap/>
            <w:vAlign w:val="bottom"/>
            <w:hideMark/>
          </w:tcPr>
          <w:p w14:paraId="1C094978" w14:textId="77777777" w:rsidR="00A93231" w:rsidRPr="00A93231" w:rsidRDefault="00A93231" w:rsidP="00A93231">
            <w:pPr>
              <w:spacing w:after="0" w:line="240" w:lineRule="auto"/>
              <w:rPr>
                <w:rFonts w:ascii="Calibri" w:eastAsia="Times New Roman" w:hAnsi="Calibri" w:cs="Calibri"/>
                <w:lang w:val="en-GB" w:eastAsia="en-GB"/>
              </w:rPr>
            </w:pPr>
            <w:r w:rsidRPr="00A93231">
              <w:rPr>
                <w:rFonts w:ascii="Calibri" w:eastAsia="Times New Roman" w:hAnsi="Calibri" w:cs="Calibri"/>
                <w:lang w:val="en-GB" w:eastAsia="en-GB"/>
              </w:rPr>
              <w:t> </w:t>
            </w:r>
          </w:p>
        </w:tc>
      </w:tr>
      <w:tr w:rsidR="00A93231" w:rsidRPr="00A93231" w14:paraId="18F77DC3" w14:textId="77777777" w:rsidTr="00A93231">
        <w:trPr>
          <w:trHeight w:val="60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CED73B4" w14:textId="77777777" w:rsidR="00A93231" w:rsidRPr="00A93231" w:rsidRDefault="00A93231" w:rsidP="00A93231">
            <w:pPr>
              <w:spacing w:after="0" w:line="240" w:lineRule="auto"/>
              <w:jc w:val="center"/>
              <w:rPr>
                <w:rFonts w:ascii="Calibri" w:eastAsia="Times New Roman" w:hAnsi="Calibri" w:cs="Calibri"/>
                <w:lang w:val="en-GB" w:eastAsia="en-GB"/>
              </w:rPr>
            </w:pPr>
            <w:r w:rsidRPr="00A93231">
              <w:rPr>
                <w:rFonts w:ascii="Calibri" w:eastAsia="Times New Roman" w:hAnsi="Calibri" w:cs="Calibri"/>
                <w:lang w:val="en-GB" w:eastAsia="en-GB"/>
              </w:rPr>
              <w:t>18</w:t>
            </w:r>
          </w:p>
        </w:tc>
        <w:tc>
          <w:tcPr>
            <w:tcW w:w="11440" w:type="dxa"/>
            <w:tcBorders>
              <w:top w:val="nil"/>
              <w:left w:val="nil"/>
              <w:bottom w:val="single" w:sz="4" w:space="0" w:color="auto"/>
              <w:right w:val="single" w:sz="4" w:space="0" w:color="auto"/>
            </w:tcBorders>
            <w:shd w:val="clear" w:color="auto" w:fill="auto"/>
            <w:vAlign w:val="bottom"/>
            <w:hideMark/>
          </w:tcPr>
          <w:p w14:paraId="1C7CA89E" w14:textId="77777777" w:rsidR="00A93231" w:rsidRPr="00A93231" w:rsidRDefault="00A93231" w:rsidP="00A93231">
            <w:pPr>
              <w:spacing w:after="0" w:line="240" w:lineRule="auto"/>
              <w:rPr>
                <w:rFonts w:ascii="Calibri" w:eastAsia="Times New Roman" w:hAnsi="Calibri" w:cs="Calibri"/>
                <w:lang w:val="en-GB" w:eastAsia="en-GB"/>
              </w:rPr>
            </w:pPr>
            <w:r w:rsidRPr="00A93231">
              <w:rPr>
                <w:rFonts w:ascii="Calibri" w:eastAsia="Times New Roman" w:hAnsi="Calibri" w:cs="Calibri"/>
                <w:lang w:val="en-GB" w:eastAsia="en-GB"/>
              </w:rPr>
              <w:t>The proposed solution should have a on-premises management solution for centralized deployment of hotfixes, critical patches, firmware, sandboxing virtual images or serve as threat intelligence sharing platform.</w:t>
            </w:r>
          </w:p>
        </w:tc>
        <w:tc>
          <w:tcPr>
            <w:tcW w:w="1220" w:type="dxa"/>
            <w:tcBorders>
              <w:top w:val="nil"/>
              <w:left w:val="nil"/>
              <w:bottom w:val="single" w:sz="4" w:space="0" w:color="auto"/>
              <w:right w:val="single" w:sz="4" w:space="0" w:color="auto"/>
            </w:tcBorders>
            <w:shd w:val="clear" w:color="000000" w:fill="FFFFFF"/>
            <w:noWrap/>
            <w:vAlign w:val="bottom"/>
            <w:hideMark/>
          </w:tcPr>
          <w:p w14:paraId="755D8246" w14:textId="77777777" w:rsidR="00A93231" w:rsidRPr="00A93231" w:rsidRDefault="00A93231" w:rsidP="00A93231">
            <w:pPr>
              <w:spacing w:after="0" w:line="240" w:lineRule="auto"/>
              <w:jc w:val="center"/>
              <w:rPr>
                <w:rFonts w:ascii="Calibri" w:eastAsia="Times New Roman" w:hAnsi="Calibri" w:cs="Calibri"/>
                <w:lang w:val="en-GB" w:eastAsia="en-GB"/>
              </w:rPr>
            </w:pPr>
            <w:r w:rsidRPr="00A93231">
              <w:rPr>
                <w:rFonts w:ascii="Calibri" w:eastAsia="Times New Roman" w:hAnsi="Calibri" w:cs="Calibri"/>
                <w:lang w:val="en-GB" w:eastAsia="en-GB"/>
              </w:rPr>
              <w:t> </w:t>
            </w:r>
          </w:p>
        </w:tc>
        <w:tc>
          <w:tcPr>
            <w:tcW w:w="1760" w:type="dxa"/>
            <w:tcBorders>
              <w:top w:val="nil"/>
              <w:left w:val="nil"/>
              <w:bottom w:val="single" w:sz="4" w:space="0" w:color="auto"/>
              <w:right w:val="single" w:sz="4" w:space="0" w:color="auto"/>
            </w:tcBorders>
            <w:shd w:val="clear" w:color="000000" w:fill="FFFFFF"/>
            <w:noWrap/>
            <w:vAlign w:val="bottom"/>
            <w:hideMark/>
          </w:tcPr>
          <w:p w14:paraId="1F5B9F35" w14:textId="77777777" w:rsidR="00A93231" w:rsidRPr="00A93231" w:rsidRDefault="00A93231" w:rsidP="00A93231">
            <w:pPr>
              <w:spacing w:after="0" w:line="240" w:lineRule="auto"/>
              <w:rPr>
                <w:rFonts w:ascii="Calibri" w:eastAsia="Times New Roman" w:hAnsi="Calibri" w:cs="Calibri"/>
                <w:lang w:val="en-GB" w:eastAsia="en-GB"/>
              </w:rPr>
            </w:pPr>
            <w:r w:rsidRPr="00A93231">
              <w:rPr>
                <w:rFonts w:ascii="Calibri" w:eastAsia="Times New Roman" w:hAnsi="Calibri" w:cs="Calibri"/>
                <w:lang w:val="en-GB" w:eastAsia="en-GB"/>
              </w:rPr>
              <w:t> </w:t>
            </w:r>
          </w:p>
        </w:tc>
      </w:tr>
      <w:tr w:rsidR="00A93231" w:rsidRPr="00A93231" w14:paraId="4C1F279E" w14:textId="77777777" w:rsidTr="00A93231">
        <w:trPr>
          <w:trHeight w:val="60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9A05C95" w14:textId="77777777" w:rsidR="00A93231" w:rsidRPr="00A93231" w:rsidRDefault="00A93231" w:rsidP="00A93231">
            <w:pPr>
              <w:spacing w:after="0" w:line="240" w:lineRule="auto"/>
              <w:jc w:val="center"/>
              <w:rPr>
                <w:rFonts w:ascii="Calibri" w:eastAsia="Times New Roman" w:hAnsi="Calibri" w:cs="Calibri"/>
                <w:lang w:val="en-GB" w:eastAsia="en-GB"/>
              </w:rPr>
            </w:pPr>
            <w:r w:rsidRPr="00A93231">
              <w:rPr>
                <w:rFonts w:ascii="Calibri" w:eastAsia="Times New Roman" w:hAnsi="Calibri" w:cs="Calibri"/>
                <w:lang w:val="en-GB" w:eastAsia="en-GB"/>
              </w:rPr>
              <w:t>19</w:t>
            </w:r>
          </w:p>
        </w:tc>
        <w:tc>
          <w:tcPr>
            <w:tcW w:w="11440" w:type="dxa"/>
            <w:tcBorders>
              <w:top w:val="nil"/>
              <w:left w:val="nil"/>
              <w:bottom w:val="single" w:sz="4" w:space="0" w:color="auto"/>
              <w:right w:val="single" w:sz="4" w:space="0" w:color="auto"/>
            </w:tcBorders>
            <w:shd w:val="clear" w:color="auto" w:fill="auto"/>
            <w:vAlign w:val="bottom"/>
            <w:hideMark/>
          </w:tcPr>
          <w:p w14:paraId="480CA98E" w14:textId="77777777" w:rsidR="00A93231" w:rsidRPr="00A93231" w:rsidRDefault="00A93231" w:rsidP="00A93231">
            <w:pPr>
              <w:spacing w:after="0" w:line="240" w:lineRule="auto"/>
              <w:rPr>
                <w:rFonts w:ascii="Calibri" w:eastAsia="Times New Roman" w:hAnsi="Calibri" w:cs="Calibri"/>
                <w:lang w:val="en-GB" w:eastAsia="en-GB"/>
              </w:rPr>
            </w:pPr>
            <w:r w:rsidRPr="00A93231">
              <w:rPr>
                <w:rFonts w:ascii="Calibri" w:eastAsia="Times New Roman" w:hAnsi="Calibri" w:cs="Calibri"/>
                <w:lang w:val="en-GB" w:eastAsia="en-GB"/>
              </w:rPr>
              <w:t>The proposed solution should have a secure web based console that can display information such as risk level of submissions, processing time, number of processing samples etc.</w:t>
            </w:r>
          </w:p>
        </w:tc>
        <w:tc>
          <w:tcPr>
            <w:tcW w:w="1220" w:type="dxa"/>
            <w:tcBorders>
              <w:top w:val="nil"/>
              <w:left w:val="nil"/>
              <w:bottom w:val="single" w:sz="4" w:space="0" w:color="auto"/>
              <w:right w:val="single" w:sz="4" w:space="0" w:color="auto"/>
            </w:tcBorders>
            <w:shd w:val="clear" w:color="000000" w:fill="FFFFFF"/>
            <w:noWrap/>
            <w:vAlign w:val="bottom"/>
            <w:hideMark/>
          </w:tcPr>
          <w:p w14:paraId="28D175DE" w14:textId="77777777" w:rsidR="00A93231" w:rsidRPr="00A93231" w:rsidRDefault="00A93231" w:rsidP="00A93231">
            <w:pPr>
              <w:spacing w:after="0" w:line="240" w:lineRule="auto"/>
              <w:jc w:val="center"/>
              <w:rPr>
                <w:rFonts w:ascii="Calibri" w:eastAsia="Times New Roman" w:hAnsi="Calibri" w:cs="Calibri"/>
                <w:lang w:val="en-GB" w:eastAsia="en-GB"/>
              </w:rPr>
            </w:pPr>
            <w:r w:rsidRPr="00A93231">
              <w:rPr>
                <w:rFonts w:ascii="Calibri" w:eastAsia="Times New Roman" w:hAnsi="Calibri" w:cs="Calibri"/>
                <w:lang w:val="en-GB" w:eastAsia="en-GB"/>
              </w:rPr>
              <w:t> </w:t>
            </w:r>
          </w:p>
        </w:tc>
        <w:tc>
          <w:tcPr>
            <w:tcW w:w="1760" w:type="dxa"/>
            <w:tcBorders>
              <w:top w:val="nil"/>
              <w:left w:val="nil"/>
              <w:bottom w:val="single" w:sz="4" w:space="0" w:color="auto"/>
              <w:right w:val="single" w:sz="4" w:space="0" w:color="auto"/>
            </w:tcBorders>
            <w:shd w:val="clear" w:color="000000" w:fill="FFFFFF"/>
            <w:noWrap/>
            <w:vAlign w:val="bottom"/>
            <w:hideMark/>
          </w:tcPr>
          <w:p w14:paraId="06A391DB" w14:textId="77777777" w:rsidR="00A93231" w:rsidRPr="00A93231" w:rsidRDefault="00A93231" w:rsidP="00A93231">
            <w:pPr>
              <w:spacing w:after="0" w:line="240" w:lineRule="auto"/>
              <w:rPr>
                <w:rFonts w:ascii="Calibri" w:eastAsia="Times New Roman" w:hAnsi="Calibri" w:cs="Calibri"/>
                <w:lang w:val="en-GB" w:eastAsia="en-GB"/>
              </w:rPr>
            </w:pPr>
            <w:r w:rsidRPr="00A93231">
              <w:rPr>
                <w:rFonts w:ascii="Calibri" w:eastAsia="Times New Roman" w:hAnsi="Calibri" w:cs="Calibri"/>
                <w:lang w:val="en-GB" w:eastAsia="en-GB"/>
              </w:rPr>
              <w:t> </w:t>
            </w:r>
          </w:p>
        </w:tc>
      </w:tr>
      <w:tr w:rsidR="00A93231" w:rsidRPr="00A93231" w14:paraId="3A938F58" w14:textId="77777777" w:rsidTr="00A93231">
        <w:trPr>
          <w:trHeight w:val="60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23FC6EA" w14:textId="77777777" w:rsidR="00A93231" w:rsidRPr="00A93231" w:rsidRDefault="00A93231" w:rsidP="00A93231">
            <w:pPr>
              <w:spacing w:after="0" w:line="240" w:lineRule="auto"/>
              <w:jc w:val="center"/>
              <w:rPr>
                <w:rFonts w:ascii="Calibri" w:eastAsia="Times New Roman" w:hAnsi="Calibri" w:cs="Calibri"/>
                <w:lang w:val="en-GB" w:eastAsia="en-GB"/>
              </w:rPr>
            </w:pPr>
            <w:r w:rsidRPr="00A93231">
              <w:rPr>
                <w:rFonts w:ascii="Calibri" w:eastAsia="Times New Roman" w:hAnsi="Calibri" w:cs="Calibri"/>
                <w:lang w:val="en-GB" w:eastAsia="en-GB"/>
              </w:rPr>
              <w:t>20</w:t>
            </w:r>
          </w:p>
        </w:tc>
        <w:tc>
          <w:tcPr>
            <w:tcW w:w="11440" w:type="dxa"/>
            <w:tcBorders>
              <w:top w:val="nil"/>
              <w:left w:val="nil"/>
              <w:bottom w:val="single" w:sz="4" w:space="0" w:color="auto"/>
              <w:right w:val="single" w:sz="4" w:space="0" w:color="auto"/>
            </w:tcBorders>
            <w:shd w:val="clear" w:color="auto" w:fill="auto"/>
            <w:vAlign w:val="bottom"/>
            <w:hideMark/>
          </w:tcPr>
          <w:p w14:paraId="43BEFC23" w14:textId="77777777" w:rsidR="00A93231" w:rsidRPr="00A93231" w:rsidRDefault="00A93231" w:rsidP="00A93231">
            <w:pPr>
              <w:spacing w:after="0" w:line="240" w:lineRule="auto"/>
              <w:rPr>
                <w:rFonts w:ascii="Calibri" w:eastAsia="Times New Roman" w:hAnsi="Calibri" w:cs="Calibri"/>
                <w:lang w:val="en-GB" w:eastAsia="en-GB"/>
              </w:rPr>
            </w:pPr>
            <w:r w:rsidRPr="00A93231">
              <w:rPr>
                <w:rFonts w:ascii="Calibri" w:eastAsia="Times New Roman" w:hAnsi="Calibri" w:cs="Calibri"/>
                <w:lang w:val="en-GB" w:eastAsia="en-GB"/>
              </w:rPr>
              <w:t>The proposed solution should support custom integration by sharing new IOC detection intelligence automatically with existing solutions and third-party products.</w:t>
            </w:r>
          </w:p>
        </w:tc>
        <w:tc>
          <w:tcPr>
            <w:tcW w:w="1220" w:type="dxa"/>
            <w:tcBorders>
              <w:top w:val="nil"/>
              <w:left w:val="nil"/>
              <w:bottom w:val="single" w:sz="4" w:space="0" w:color="auto"/>
              <w:right w:val="single" w:sz="4" w:space="0" w:color="auto"/>
            </w:tcBorders>
            <w:shd w:val="clear" w:color="000000" w:fill="FFFFFF"/>
            <w:noWrap/>
            <w:vAlign w:val="bottom"/>
            <w:hideMark/>
          </w:tcPr>
          <w:p w14:paraId="10DBB198" w14:textId="77777777" w:rsidR="00A93231" w:rsidRPr="00A93231" w:rsidRDefault="00A93231" w:rsidP="00A93231">
            <w:pPr>
              <w:spacing w:after="0" w:line="240" w:lineRule="auto"/>
              <w:jc w:val="center"/>
              <w:rPr>
                <w:rFonts w:ascii="Calibri" w:eastAsia="Times New Roman" w:hAnsi="Calibri" w:cs="Calibri"/>
                <w:lang w:val="en-GB" w:eastAsia="en-GB"/>
              </w:rPr>
            </w:pPr>
            <w:r w:rsidRPr="00A93231">
              <w:rPr>
                <w:rFonts w:ascii="Calibri" w:eastAsia="Times New Roman" w:hAnsi="Calibri" w:cs="Calibri"/>
                <w:lang w:val="en-GB" w:eastAsia="en-GB"/>
              </w:rPr>
              <w:t> </w:t>
            </w:r>
          </w:p>
        </w:tc>
        <w:tc>
          <w:tcPr>
            <w:tcW w:w="1760" w:type="dxa"/>
            <w:tcBorders>
              <w:top w:val="nil"/>
              <w:left w:val="nil"/>
              <w:bottom w:val="single" w:sz="4" w:space="0" w:color="auto"/>
              <w:right w:val="single" w:sz="4" w:space="0" w:color="auto"/>
            </w:tcBorders>
            <w:shd w:val="clear" w:color="000000" w:fill="FFFFFF"/>
            <w:noWrap/>
            <w:vAlign w:val="bottom"/>
            <w:hideMark/>
          </w:tcPr>
          <w:p w14:paraId="5738D6C1" w14:textId="77777777" w:rsidR="00A93231" w:rsidRPr="00A93231" w:rsidRDefault="00A93231" w:rsidP="00A93231">
            <w:pPr>
              <w:spacing w:after="0" w:line="240" w:lineRule="auto"/>
              <w:rPr>
                <w:rFonts w:ascii="Calibri" w:eastAsia="Times New Roman" w:hAnsi="Calibri" w:cs="Calibri"/>
                <w:lang w:val="en-GB" w:eastAsia="en-GB"/>
              </w:rPr>
            </w:pPr>
            <w:r w:rsidRPr="00A93231">
              <w:rPr>
                <w:rFonts w:ascii="Calibri" w:eastAsia="Times New Roman" w:hAnsi="Calibri" w:cs="Calibri"/>
                <w:lang w:val="en-GB" w:eastAsia="en-GB"/>
              </w:rPr>
              <w:t> </w:t>
            </w:r>
          </w:p>
        </w:tc>
      </w:tr>
      <w:tr w:rsidR="00A93231" w:rsidRPr="00A93231" w14:paraId="0D6407AD" w14:textId="77777777" w:rsidTr="00A93231">
        <w:trPr>
          <w:trHeight w:val="315"/>
        </w:trPr>
        <w:tc>
          <w:tcPr>
            <w:tcW w:w="520" w:type="dxa"/>
            <w:tcBorders>
              <w:top w:val="nil"/>
              <w:left w:val="single" w:sz="4" w:space="0" w:color="auto"/>
              <w:bottom w:val="single" w:sz="4" w:space="0" w:color="auto"/>
              <w:right w:val="single" w:sz="4" w:space="0" w:color="auto"/>
            </w:tcBorders>
            <w:shd w:val="clear" w:color="000000" w:fill="DDEBF7"/>
            <w:hideMark/>
          </w:tcPr>
          <w:p w14:paraId="49EEE5A8" w14:textId="77777777" w:rsidR="00A93231" w:rsidRPr="00A93231" w:rsidRDefault="00A93231" w:rsidP="00A93231">
            <w:pPr>
              <w:spacing w:after="0" w:line="240" w:lineRule="auto"/>
              <w:jc w:val="center"/>
              <w:rPr>
                <w:rFonts w:ascii="Calibri" w:eastAsia="Times New Roman" w:hAnsi="Calibri" w:cs="Calibri"/>
                <w:b/>
                <w:bCs/>
                <w:color w:val="000000"/>
                <w:sz w:val="24"/>
                <w:szCs w:val="24"/>
                <w:lang w:val="en-GB" w:eastAsia="en-GB"/>
              </w:rPr>
            </w:pPr>
            <w:r w:rsidRPr="00A93231">
              <w:rPr>
                <w:rFonts w:ascii="Calibri" w:eastAsia="Times New Roman" w:hAnsi="Calibri" w:cs="Calibri"/>
                <w:b/>
                <w:bCs/>
                <w:color w:val="000000"/>
                <w:sz w:val="24"/>
                <w:szCs w:val="24"/>
                <w:lang w:val="en-GB" w:eastAsia="en-GB"/>
              </w:rPr>
              <w:t>C</w:t>
            </w:r>
          </w:p>
        </w:tc>
        <w:tc>
          <w:tcPr>
            <w:tcW w:w="11440" w:type="dxa"/>
            <w:tcBorders>
              <w:top w:val="nil"/>
              <w:left w:val="nil"/>
              <w:bottom w:val="single" w:sz="4" w:space="0" w:color="auto"/>
              <w:right w:val="single" w:sz="4" w:space="0" w:color="auto"/>
            </w:tcBorders>
            <w:shd w:val="clear" w:color="000000" w:fill="DDEBF7"/>
            <w:hideMark/>
          </w:tcPr>
          <w:p w14:paraId="6CED2AD5" w14:textId="77777777" w:rsidR="00A93231" w:rsidRPr="00A93231" w:rsidRDefault="00A93231" w:rsidP="00A93231">
            <w:pPr>
              <w:spacing w:after="0" w:line="240" w:lineRule="auto"/>
              <w:rPr>
                <w:rFonts w:ascii="Calibri" w:eastAsia="Times New Roman" w:hAnsi="Calibri" w:cs="Calibri"/>
                <w:b/>
                <w:bCs/>
                <w:color w:val="000000"/>
                <w:sz w:val="24"/>
                <w:szCs w:val="24"/>
                <w:lang w:val="en-GB" w:eastAsia="en-GB"/>
              </w:rPr>
            </w:pPr>
            <w:r w:rsidRPr="00A93231">
              <w:rPr>
                <w:rFonts w:ascii="Calibri" w:eastAsia="Times New Roman" w:hAnsi="Calibri" w:cs="Calibri"/>
                <w:b/>
                <w:bCs/>
                <w:color w:val="000000"/>
                <w:sz w:val="24"/>
                <w:szCs w:val="24"/>
                <w:lang w:val="en-GB" w:eastAsia="en-GB"/>
              </w:rPr>
              <w:t>Management &amp; Reporting</w:t>
            </w:r>
          </w:p>
        </w:tc>
        <w:tc>
          <w:tcPr>
            <w:tcW w:w="1220" w:type="dxa"/>
            <w:tcBorders>
              <w:top w:val="nil"/>
              <w:left w:val="nil"/>
              <w:bottom w:val="single" w:sz="4" w:space="0" w:color="auto"/>
              <w:right w:val="single" w:sz="4" w:space="0" w:color="auto"/>
            </w:tcBorders>
            <w:shd w:val="clear" w:color="000000" w:fill="DDEBF7"/>
            <w:hideMark/>
          </w:tcPr>
          <w:p w14:paraId="61910E2F" w14:textId="77777777" w:rsidR="00A93231" w:rsidRPr="00A93231" w:rsidRDefault="00A93231" w:rsidP="00A93231">
            <w:pPr>
              <w:spacing w:after="0" w:line="240" w:lineRule="auto"/>
              <w:rPr>
                <w:rFonts w:ascii="Calibri" w:eastAsia="Times New Roman" w:hAnsi="Calibri" w:cs="Calibri"/>
                <w:b/>
                <w:bCs/>
                <w:color w:val="000000"/>
                <w:sz w:val="24"/>
                <w:szCs w:val="24"/>
                <w:lang w:val="en-GB" w:eastAsia="en-GB"/>
              </w:rPr>
            </w:pPr>
            <w:r w:rsidRPr="00A93231">
              <w:rPr>
                <w:rFonts w:ascii="Calibri" w:eastAsia="Times New Roman" w:hAnsi="Calibri" w:cs="Calibri"/>
                <w:b/>
                <w:bCs/>
                <w:color w:val="000000"/>
                <w:sz w:val="24"/>
                <w:szCs w:val="24"/>
                <w:lang w:val="en-GB" w:eastAsia="en-GB"/>
              </w:rPr>
              <w:t> </w:t>
            </w:r>
          </w:p>
        </w:tc>
        <w:tc>
          <w:tcPr>
            <w:tcW w:w="1760" w:type="dxa"/>
            <w:tcBorders>
              <w:top w:val="nil"/>
              <w:left w:val="nil"/>
              <w:bottom w:val="single" w:sz="4" w:space="0" w:color="auto"/>
              <w:right w:val="single" w:sz="4" w:space="0" w:color="auto"/>
            </w:tcBorders>
            <w:shd w:val="clear" w:color="000000" w:fill="DDEBF7"/>
            <w:hideMark/>
          </w:tcPr>
          <w:p w14:paraId="14DA14FE" w14:textId="77777777" w:rsidR="00A93231" w:rsidRPr="00A93231" w:rsidRDefault="00A93231" w:rsidP="00A93231">
            <w:pPr>
              <w:spacing w:after="0" w:line="240" w:lineRule="auto"/>
              <w:rPr>
                <w:rFonts w:ascii="Calibri" w:eastAsia="Times New Roman" w:hAnsi="Calibri" w:cs="Calibri"/>
                <w:b/>
                <w:bCs/>
                <w:color w:val="000000"/>
                <w:sz w:val="24"/>
                <w:szCs w:val="24"/>
                <w:lang w:val="en-GB" w:eastAsia="en-GB"/>
              </w:rPr>
            </w:pPr>
            <w:r w:rsidRPr="00A93231">
              <w:rPr>
                <w:rFonts w:ascii="Calibri" w:eastAsia="Times New Roman" w:hAnsi="Calibri" w:cs="Calibri"/>
                <w:b/>
                <w:bCs/>
                <w:color w:val="000000"/>
                <w:sz w:val="24"/>
                <w:szCs w:val="24"/>
                <w:lang w:val="en-GB" w:eastAsia="en-GB"/>
              </w:rPr>
              <w:t> </w:t>
            </w:r>
          </w:p>
        </w:tc>
      </w:tr>
      <w:tr w:rsidR="00A93231" w:rsidRPr="00A93231" w14:paraId="74C1DED8" w14:textId="77777777" w:rsidTr="00A93231">
        <w:trPr>
          <w:trHeight w:val="315"/>
        </w:trPr>
        <w:tc>
          <w:tcPr>
            <w:tcW w:w="520" w:type="dxa"/>
            <w:tcBorders>
              <w:top w:val="nil"/>
              <w:left w:val="single" w:sz="4" w:space="0" w:color="auto"/>
              <w:bottom w:val="single" w:sz="4" w:space="0" w:color="auto"/>
              <w:right w:val="single" w:sz="4" w:space="0" w:color="auto"/>
            </w:tcBorders>
            <w:shd w:val="clear" w:color="auto" w:fill="auto"/>
            <w:hideMark/>
          </w:tcPr>
          <w:p w14:paraId="5187428D" w14:textId="77777777" w:rsidR="00A93231" w:rsidRPr="00A93231" w:rsidRDefault="00A93231" w:rsidP="00A93231">
            <w:pPr>
              <w:spacing w:after="0" w:line="240" w:lineRule="auto"/>
              <w:jc w:val="center"/>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29</w:t>
            </w:r>
          </w:p>
        </w:tc>
        <w:tc>
          <w:tcPr>
            <w:tcW w:w="11440" w:type="dxa"/>
            <w:tcBorders>
              <w:top w:val="nil"/>
              <w:left w:val="nil"/>
              <w:bottom w:val="single" w:sz="4" w:space="0" w:color="auto"/>
              <w:right w:val="single" w:sz="4" w:space="0" w:color="auto"/>
            </w:tcBorders>
            <w:shd w:val="clear" w:color="auto" w:fill="auto"/>
            <w:hideMark/>
          </w:tcPr>
          <w:p w14:paraId="4D10F8BC"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The solution shall integrate with syslog/SIEM systems</w:t>
            </w:r>
          </w:p>
        </w:tc>
        <w:tc>
          <w:tcPr>
            <w:tcW w:w="1220" w:type="dxa"/>
            <w:tcBorders>
              <w:top w:val="nil"/>
              <w:left w:val="nil"/>
              <w:bottom w:val="single" w:sz="4" w:space="0" w:color="auto"/>
              <w:right w:val="single" w:sz="4" w:space="0" w:color="auto"/>
            </w:tcBorders>
            <w:shd w:val="clear" w:color="auto" w:fill="auto"/>
            <w:hideMark/>
          </w:tcPr>
          <w:p w14:paraId="1F231226" w14:textId="77777777" w:rsidR="00A93231" w:rsidRPr="00A93231" w:rsidRDefault="00A93231" w:rsidP="00A93231">
            <w:pPr>
              <w:spacing w:after="0" w:line="240" w:lineRule="auto"/>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 </w:t>
            </w:r>
          </w:p>
        </w:tc>
        <w:tc>
          <w:tcPr>
            <w:tcW w:w="1760" w:type="dxa"/>
            <w:tcBorders>
              <w:top w:val="nil"/>
              <w:left w:val="nil"/>
              <w:bottom w:val="single" w:sz="4" w:space="0" w:color="auto"/>
              <w:right w:val="single" w:sz="4" w:space="0" w:color="auto"/>
            </w:tcBorders>
            <w:shd w:val="clear" w:color="auto" w:fill="auto"/>
            <w:hideMark/>
          </w:tcPr>
          <w:p w14:paraId="1F7C0B15" w14:textId="77777777" w:rsidR="00A93231" w:rsidRPr="00A93231" w:rsidRDefault="00A93231" w:rsidP="00A93231">
            <w:pPr>
              <w:spacing w:after="0" w:line="240" w:lineRule="auto"/>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 </w:t>
            </w:r>
          </w:p>
        </w:tc>
      </w:tr>
      <w:tr w:rsidR="00A93231" w:rsidRPr="00A93231" w14:paraId="00D25F96" w14:textId="77777777" w:rsidTr="00A93231">
        <w:trPr>
          <w:trHeight w:val="315"/>
        </w:trPr>
        <w:tc>
          <w:tcPr>
            <w:tcW w:w="520" w:type="dxa"/>
            <w:tcBorders>
              <w:top w:val="nil"/>
              <w:left w:val="single" w:sz="4" w:space="0" w:color="auto"/>
              <w:bottom w:val="single" w:sz="4" w:space="0" w:color="auto"/>
              <w:right w:val="single" w:sz="4" w:space="0" w:color="auto"/>
            </w:tcBorders>
            <w:shd w:val="clear" w:color="auto" w:fill="auto"/>
            <w:hideMark/>
          </w:tcPr>
          <w:p w14:paraId="4C8F09D7" w14:textId="77777777" w:rsidR="00A93231" w:rsidRPr="00A93231" w:rsidRDefault="00A93231" w:rsidP="00A93231">
            <w:pPr>
              <w:spacing w:after="0" w:line="240" w:lineRule="auto"/>
              <w:jc w:val="center"/>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30</w:t>
            </w:r>
          </w:p>
        </w:tc>
        <w:tc>
          <w:tcPr>
            <w:tcW w:w="11440" w:type="dxa"/>
            <w:tcBorders>
              <w:top w:val="nil"/>
              <w:left w:val="nil"/>
              <w:bottom w:val="single" w:sz="4" w:space="0" w:color="auto"/>
              <w:right w:val="single" w:sz="4" w:space="0" w:color="auto"/>
            </w:tcBorders>
            <w:shd w:val="clear" w:color="auto" w:fill="auto"/>
            <w:hideMark/>
          </w:tcPr>
          <w:p w14:paraId="2679633C"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xml:space="preserve">The solution must support role-based access control </w:t>
            </w:r>
          </w:p>
        </w:tc>
        <w:tc>
          <w:tcPr>
            <w:tcW w:w="1220" w:type="dxa"/>
            <w:tcBorders>
              <w:top w:val="nil"/>
              <w:left w:val="nil"/>
              <w:bottom w:val="single" w:sz="4" w:space="0" w:color="auto"/>
              <w:right w:val="single" w:sz="4" w:space="0" w:color="auto"/>
            </w:tcBorders>
            <w:shd w:val="clear" w:color="auto" w:fill="auto"/>
            <w:hideMark/>
          </w:tcPr>
          <w:p w14:paraId="19E0BE61" w14:textId="77777777" w:rsidR="00A93231" w:rsidRPr="00A93231" w:rsidRDefault="00A93231" w:rsidP="00A93231">
            <w:pPr>
              <w:spacing w:after="0" w:line="240" w:lineRule="auto"/>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 </w:t>
            </w:r>
          </w:p>
        </w:tc>
        <w:tc>
          <w:tcPr>
            <w:tcW w:w="1760" w:type="dxa"/>
            <w:tcBorders>
              <w:top w:val="nil"/>
              <w:left w:val="nil"/>
              <w:bottom w:val="single" w:sz="4" w:space="0" w:color="auto"/>
              <w:right w:val="single" w:sz="4" w:space="0" w:color="auto"/>
            </w:tcBorders>
            <w:shd w:val="clear" w:color="auto" w:fill="auto"/>
            <w:hideMark/>
          </w:tcPr>
          <w:p w14:paraId="5DF450F3" w14:textId="77777777" w:rsidR="00A93231" w:rsidRPr="00A93231" w:rsidRDefault="00A93231" w:rsidP="00A93231">
            <w:pPr>
              <w:spacing w:after="0" w:line="240" w:lineRule="auto"/>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 </w:t>
            </w:r>
          </w:p>
        </w:tc>
      </w:tr>
      <w:tr w:rsidR="00A93231" w:rsidRPr="00A93231" w14:paraId="449457A5" w14:textId="77777777" w:rsidTr="00A93231">
        <w:trPr>
          <w:trHeight w:val="315"/>
        </w:trPr>
        <w:tc>
          <w:tcPr>
            <w:tcW w:w="520" w:type="dxa"/>
            <w:tcBorders>
              <w:top w:val="nil"/>
              <w:left w:val="single" w:sz="4" w:space="0" w:color="auto"/>
              <w:bottom w:val="single" w:sz="4" w:space="0" w:color="auto"/>
              <w:right w:val="single" w:sz="4" w:space="0" w:color="auto"/>
            </w:tcBorders>
            <w:shd w:val="clear" w:color="auto" w:fill="auto"/>
            <w:hideMark/>
          </w:tcPr>
          <w:p w14:paraId="21A9A0C9" w14:textId="77777777" w:rsidR="00A93231" w:rsidRPr="00A93231" w:rsidRDefault="00A93231" w:rsidP="00A93231">
            <w:pPr>
              <w:spacing w:after="0" w:line="240" w:lineRule="auto"/>
              <w:jc w:val="center"/>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31</w:t>
            </w:r>
          </w:p>
        </w:tc>
        <w:tc>
          <w:tcPr>
            <w:tcW w:w="11440" w:type="dxa"/>
            <w:tcBorders>
              <w:top w:val="nil"/>
              <w:left w:val="nil"/>
              <w:bottom w:val="single" w:sz="4" w:space="0" w:color="auto"/>
              <w:right w:val="single" w:sz="4" w:space="0" w:color="auto"/>
            </w:tcBorders>
            <w:shd w:val="clear" w:color="auto" w:fill="auto"/>
            <w:hideMark/>
          </w:tcPr>
          <w:p w14:paraId="038A07B5"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The solution shall provide Active Directory and LDAP group-based administrative roles</w:t>
            </w:r>
          </w:p>
        </w:tc>
        <w:tc>
          <w:tcPr>
            <w:tcW w:w="1220" w:type="dxa"/>
            <w:tcBorders>
              <w:top w:val="nil"/>
              <w:left w:val="nil"/>
              <w:bottom w:val="single" w:sz="4" w:space="0" w:color="auto"/>
              <w:right w:val="single" w:sz="4" w:space="0" w:color="auto"/>
            </w:tcBorders>
            <w:shd w:val="clear" w:color="auto" w:fill="auto"/>
            <w:hideMark/>
          </w:tcPr>
          <w:p w14:paraId="61564AB6" w14:textId="77777777" w:rsidR="00A93231" w:rsidRPr="00A93231" w:rsidRDefault="00A93231" w:rsidP="00A93231">
            <w:pPr>
              <w:spacing w:after="0" w:line="240" w:lineRule="auto"/>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 </w:t>
            </w:r>
          </w:p>
        </w:tc>
        <w:tc>
          <w:tcPr>
            <w:tcW w:w="1760" w:type="dxa"/>
            <w:tcBorders>
              <w:top w:val="nil"/>
              <w:left w:val="nil"/>
              <w:bottom w:val="single" w:sz="4" w:space="0" w:color="auto"/>
              <w:right w:val="single" w:sz="4" w:space="0" w:color="auto"/>
            </w:tcBorders>
            <w:shd w:val="clear" w:color="auto" w:fill="auto"/>
            <w:hideMark/>
          </w:tcPr>
          <w:p w14:paraId="467D00CB" w14:textId="77777777" w:rsidR="00A93231" w:rsidRPr="00A93231" w:rsidRDefault="00A93231" w:rsidP="00A93231">
            <w:pPr>
              <w:spacing w:after="0" w:line="240" w:lineRule="auto"/>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 </w:t>
            </w:r>
          </w:p>
        </w:tc>
      </w:tr>
      <w:tr w:rsidR="00A93231" w:rsidRPr="00A93231" w14:paraId="47F38553" w14:textId="77777777" w:rsidTr="00A93231">
        <w:trPr>
          <w:trHeight w:val="315"/>
        </w:trPr>
        <w:tc>
          <w:tcPr>
            <w:tcW w:w="520" w:type="dxa"/>
            <w:tcBorders>
              <w:top w:val="nil"/>
              <w:left w:val="single" w:sz="4" w:space="0" w:color="auto"/>
              <w:bottom w:val="single" w:sz="4" w:space="0" w:color="auto"/>
              <w:right w:val="single" w:sz="4" w:space="0" w:color="auto"/>
            </w:tcBorders>
            <w:shd w:val="clear" w:color="auto" w:fill="auto"/>
            <w:hideMark/>
          </w:tcPr>
          <w:p w14:paraId="09F31E00" w14:textId="77777777" w:rsidR="00A93231" w:rsidRPr="00A93231" w:rsidRDefault="00A93231" w:rsidP="00A93231">
            <w:pPr>
              <w:spacing w:after="0" w:line="240" w:lineRule="auto"/>
              <w:jc w:val="center"/>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32</w:t>
            </w:r>
          </w:p>
        </w:tc>
        <w:tc>
          <w:tcPr>
            <w:tcW w:w="11440" w:type="dxa"/>
            <w:tcBorders>
              <w:top w:val="nil"/>
              <w:left w:val="nil"/>
              <w:bottom w:val="single" w:sz="4" w:space="0" w:color="auto"/>
              <w:right w:val="single" w:sz="4" w:space="0" w:color="auto"/>
            </w:tcBorders>
            <w:shd w:val="clear" w:color="auto" w:fill="auto"/>
            <w:hideMark/>
          </w:tcPr>
          <w:p w14:paraId="4ED29D4C"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Solution shall have its logs archived locally, and they shall be downloadable via the GUI</w:t>
            </w:r>
          </w:p>
        </w:tc>
        <w:tc>
          <w:tcPr>
            <w:tcW w:w="1220" w:type="dxa"/>
            <w:tcBorders>
              <w:top w:val="nil"/>
              <w:left w:val="nil"/>
              <w:bottom w:val="single" w:sz="4" w:space="0" w:color="auto"/>
              <w:right w:val="single" w:sz="4" w:space="0" w:color="auto"/>
            </w:tcBorders>
            <w:shd w:val="clear" w:color="auto" w:fill="auto"/>
            <w:hideMark/>
          </w:tcPr>
          <w:p w14:paraId="00E94867" w14:textId="77777777" w:rsidR="00A93231" w:rsidRPr="00A93231" w:rsidRDefault="00A93231" w:rsidP="00A93231">
            <w:pPr>
              <w:spacing w:after="0" w:line="240" w:lineRule="auto"/>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 </w:t>
            </w:r>
          </w:p>
        </w:tc>
        <w:tc>
          <w:tcPr>
            <w:tcW w:w="1760" w:type="dxa"/>
            <w:tcBorders>
              <w:top w:val="nil"/>
              <w:left w:val="nil"/>
              <w:bottom w:val="single" w:sz="4" w:space="0" w:color="auto"/>
              <w:right w:val="single" w:sz="4" w:space="0" w:color="auto"/>
            </w:tcBorders>
            <w:shd w:val="clear" w:color="auto" w:fill="auto"/>
            <w:hideMark/>
          </w:tcPr>
          <w:p w14:paraId="108B3817" w14:textId="77777777" w:rsidR="00A93231" w:rsidRPr="00A93231" w:rsidRDefault="00A93231" w:rsidP="00A93231">
            <w:pPr>
              <w:spacing w:after="0" w:line="240" w:lineRule="auto"/>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 </w:t>
            </w:r>
          </w:p>
        </w:tc>
      </w:tr>
      <w:tr w:rsidR="00A93231" w:rsidRPr="00A93231" w14:paraId="65B2FCE1" w14:textId="77777777" w:rsidTr="00A93231">
        <w:trPr>
          <w:trHeight w:val="315"/>
        </w:trPr>
        <w:tc>
          <w:tcPr>
            <w:tcW w:w="520" w:type="dxa"/>
            <w:tcBorders>
              <w:top w:val="nil"/>
              <w:left w:val="single" w:sz="4" w:space="0" w:color="auto"/>
              <w:bottom w:val="single" w:sz="4" w:space="0" w:color="auto"/>
              <w:right w:val="single" w:sz="4" w:space="0" w:color="auto"/>
            </w:tcBorders>
            <w:shd w:val="clear" w:color="auto" w:fill="auto"/>
            <w:hideMark/>
          </w:tcPr>
          <w:p w14:paraId="644EA49E" w14:textId="77777777" w:rsidR="00A93231" w:rsidRPr="00A93231" w:rsidRDefault="00A93231" w:rsidP="00A93231">
            <w:pPr>
              <w:spacing w:after="0" w:line="240" w:lineRule="auto"/>
              <w:jc w:val="center"/>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33</w:t>
            </w:r>
          </w:p>
        </w:tc>
        <w:tc>
          <w:tcPr>
            <w:tcW w:w="11440" w:type="dxa"/>
            <w:tcBorders>
              <w:top w:val="nil"/>
              <w:left w:val="nil"/>
              <w:bottom w:val="single" w:sz="4" w:space="0" w:color="auto"/>
              <w:right w:val="single" w:sz="4" w:space="0" w:color="auto"/>
            </w:tcBorders>
            <w:shd w:val="clear" w:color="auto" w:fill="auto"/>
            <w:hideMark/>
          </w:tcPr>
          <w:p w14:paraId="380E334A"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The  solution  shall  allow  configuration  export  and backup</w:t>
            </w:r>
          </w:p>
        </w:tc>
        <w:tc>
          <w:tcPr>
            <w:tcW w:w="1220" w:type="dxa"/>
            <w:tcBorders>
              <w:top w:val="nil"/>
              <w:left w:val="nil"/>
              <w:bottom w:val="single" w:sz="4" w:space="0" w:color="auto"/>
              <w:right w:val="single" w:sz="4" w:space="0" w:color="auto"/>
            </w:tcBorders>
            <w:shd w:val="clear" w:color="auto" w:fill="auto"/>
            <w:hideMark/>
          </w:tcPr>
          <w:p w14:paraId="13D27B52" w14:textId="77777777" w:rsidR="00A93231" w:rsidRPr="00A93231" w:rsidRDefault="00A93231" w:rsidP="00A93231">
            <w:pPr>
              <w:spacing w:after="0" w:line="240" w:lineRule="auto"/>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 </w:t>
            </w:r>
          </w:p>
        </w:tc>
        <w:tc>
          <w:tcPr>
            <w:tcW w:w="1760" w:type="dxa"/>
            <w:tcBorders>
              <w:top w:val="nil"/>
              <w:left w:val="nil"/>
              <w:bottom w:val="single" w:sz="4" w:space="0" w:color="auto"/>
              <w:right w:val="single" w:sz="4" w:space="0" w:color="auto"/>
            </w:tcBorders>
            <w:shd w:val="clear" w:color="auto" w:fill="auto"/>
            <w:hideMark/>
          </w:tcPr>
          <w:p w14:paraId="0CD1BFAD" w14:textId="77777777" w:rsidR="00A93231" w:rsidRPr="00A93231" w:rsidRDefault="00A93231" w:rsidP="00A93231">
            <w:pPr>
              <w:spacing w:after="0" w:line="240" w:lineRule="auto"/>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 </w:t>
            </w:r>
          </w:p>
        </w:tc>
      </w:tr>
      <w:tr w:rsidR="00A93231" w:rsidRPr="00A93231" w14:paraId="7D9682E3" w14:textId="77777777" w:rsidTr="00A93231">
        <w:trPr>
          <w:trHeight w:val="315"/>
        </w:trPr>
        <w:tc>
          <w:tcPr>
            <w:tcW w:w="520" w:type="dxa"/>
            <w:tcBorders>
              <w:top w:val="nil"/>
              <w:left w:val="single" w:sz="4" w:space="0" w:color="auto"/>
              <w:bottom w:val="single" w:sz="4" w:space="0" w:color="auto"/>
              <w:right w:val="single" w:sz="4" w:space="0" w:color="auto"/>
            </w:tcBorders>
            <w:shd w:val="clear" w:color="auto" w:fill="auto"/>
            <w:hideMark/>
          </w:tcPr>
          <w:p w14:paraId="1E9C23F3" w14:textId="77777777" w:rsidR="00A93231" w:rsidRPr="00A93231" w:rsidRDefault="00A93231" w:rsidP="00A93231">
            <w:pPr>
              <w:spacing w:after="0" w:line="240" w:lineRule="auto"/>
              <w:jc w:val="center"/>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34</w:t>
            </w:r>
          </w:p>
        </w:tc>
        <w:tc>
          <w:tcPr>
            <w:tcW w:w="11440" w:type="dxa"/>
            <w:tcBorders>
              <w:top w:val="nil"/>
              <w:left w:val="nil"/>
              <w:bottom w:val="single" w:sz="4" w:space="0" w:color="auto"/>
              <w:right w:val="single" w:sz="4" w:space="0" w:color="auto"/>
            </w:tcBorders>
            <w:shd w:val="clear" w:color="auto" w:fill="auto"/>
            <w:hideMark/>
          </w:tcPr>
          <w:p w14:paraId="671BDD71"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Web  access  to  the  platform  shall  be  via  https protocol.</w:t>
            </w:r>
          </w:p>
        </w:tc>
        <w:tc>
          <w:tcPr>
            <w:tcW w:w="1220" w:type="dxa"/>
            <w:tcBorders>
              <w:top w:val="nil"/>
              <w:left w:val="nil"/>
              <w:bottom w:val="single" w:sz="4" w:space="0" w:color="auto"/>
              <w:right w:val="single" w:sz="4" w:space="0" w:color="auto"/>
            </w:tcBorders>
            <w:shd w:val="clear" w:color="auto" w:fill="auto"/>
            <w:hideMark/>
          </w:tcPr>
          <w:p w14:paraId="330B32C9"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c>
          <w:tcPr>
            <w:tcW w:w="1760" w:type="dxa"/>
            <w:tcBorders>
              <w:top w:val="nil"/>
              <w:left w:val="nil"/>
              <w:bottom w:val="single" w:sz="4" w:space="0" w:color="auto"/>
              <w:right w:val="single" w:sz="4" w:space="0" w:color="auto"/>
            </w:tcBorders>
            <w:shd w:val="clear" w:color="auto" w:fill="auto"/>
            <w:hideMark/>
          </w:tcPr>
          <w:p w14:paraId="4FA810BA"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r>
      <w:tr w:rsidR="00A93231" w:rsidRPr="00A93231" w14:paraId="258BDAA2" w14:textId="77777777" w:rsidTr="00A93231">
        <w:trPr>
          <w:trHeight w:val="315"/>
        </w:trPr>
        <w:tc>
          <w:tcPr>
            <w:tcW w:w="520" w:type="dxa"/>
            <w:tcBorders>
              <w:top w:val="nil"/>
              <w:left w:val="single" w:sz="4" w:space="0" w:color="auto"/>
              <w:bottom w:val="single" w:sz="4" w:space="0" w:color="auto"/>
              <w:right w:val="single" w:sz="4" w:space="0" w:color="auto"/>
            </w:tcBorders>
            <w:shd w:val="clear" w:color="auto" w:fill="auto"/>
            <w:hideMark/>
          </w:tcPr>
          <w:p w14:paraId="12283E12" w14:textId="77777777" w:rsidR="00A93231" w:rsidRPr="00A93231" w:rsidRDefault="00A93231" w:rsidP="00A93231">
            <w:pPr>
              <w:spacing w:after="0" w:line="240" w:lineRule="auto"/>
              <w:jc w:val="center"/>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35</w:t>
            </w:r>
          </w:p>
        </w:tc>
        <w:tc>
          <w:tcPr>
            <w:tcW w:w="11440" w:type="dxa"/>
            <w:tcBorders>
              <w:top w:val="nil"/>
              <w:left w:val="nil"/>
              <w:bottom w:val="single" w:sz="4" w:space="0" w:color="auto"/>
              <w:right w:val="single" w:sz="4" w:space="0" w:color="auto"/>
            </w:tcBorders>
            <w:shd w:val="clear" w:color="auto" w:fill="auto"/>
            <w:hideMark/>
          </w:tcPr>
          <w:p w14:paraId="2CE1F8E7"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The solution should provide auditable record of files that has been scanned for RCA etc.</w:t>
            </w:r>
          </w:p>
        </w:tc>
        <w:tc>
          <w:tcPr>
            <w:tcW w:w="1220" w:type="dxa"/>
            <w:tcBorders>
              <w:top w:val="nil"/>
              <w:left w:val="nil"/>
              <w:bottom w:val="single" w:sz="4" w:space="0" w:color="auto"/>
              <w:right w:val="single" w:sz="4" w:space="0" w:color="auto"/>
            </w:tcBorders>
            <w:shd w:val="clear" w:color="auto" w:fill="auto"/>
            <w:hideMark/>
          </w:tcPr>
          <w:p w14:paraId="741690E1" w14:textId="77777777" w:rsidR="00A93231" w:rsidRPr="00A93231" w:rsidRDefault="00A93231" w:rsidP="00A93231">
            <w:pPr>
              <w:spacing w:after="0" w:line="240" w:lineRule="auto"/>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 </w:t>
            </w:r>
          </w:p>
        </w:tc>
        <w:tc>
          <w:tcPr>
            <w:tcW w:w="1760" w:type="dxa"/>
            <w:tcBorders>
              <w:top w:val="nil"/>
              <w:left w:val="nil"/>
              <w:bottom w:val="single" w:sz="4" w:space="0" w:color="auto"/>
              <w:right w:val="single" w:sz="4" w:space="0" w:color="auto"/>
            </w:tcBorders>
            <w:shd w:val="clear" w:color="auto" w:fill="auto"/>
            <w:hideMark/>
          </w:tcPr>
          <w:p w14:paraId="20C0F536" w14:textId="77777777" w:rsidR="00A93231" w:rsidRPr="00A93231" w:rsidRDefault="00A93231" w:rsidP="00A93231">
            <w:pPr>
              <w:spacing w:after="0" w:line="240" w:lineRule="auto"/>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 </w:t>
            </w:r>
          </w:p>
        </w:tc>
      </w:tr>
      <w:tr w:rsidR="00A93231" w:rsidRPr="00A93231" w14:paraId="79300748" w14:textId="77777777" w:rsidTr="00A93231">
        <w:trPr>
          <w:trHeight w:val="315"/>
        </w:trPr>
        <w:tc>
          <w:tcPr>
            <w:tcW w:w="520" w:type="dxa"/>
            <w:tcBorders>
              <w:top w:val="nil"/>
              <w:left w:val="single" w:sz="4" w:space="0" w:color="auto"/>
              <w:bottom w:val="single" w:sz="4" w:space="0" w:color="auto"/>
              <w:right w:val="single" w:sz="4" w:space="0" w:color="auto"/>
            </w:tcBorders>
            <w:shd w:val="clear" w:color="auto" w:fill="auto"/>
            <w:hideMark/>
          </w:tcPr>
          <w:p w14:paraId="014F2D4E" w14:textId="77777777" w:rsidR="00A93231" w:rsidRPr="00A93231" w:rsidRDefault="00A93231" w:rsidP="00A93231">
            <w:pPr>
              <w:spacing w:after="0" w:line="240" w:lineRule="auto"/>
              <w:jc w:val="center"/>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36</w:t>
            </w:r>
          </w:p>
        </w:tc>
        <w:tc>
          <w:tcPr>
            <w:tcW w:w="11440" w:type="dxa"/>
            <w:tcBorders>
              <w:top w:val="nil"/>
              <w:left w:val="nil"/>
              <w:bottom w:val="single" w:sz="4" w:space="0" w:color="auto"/>
              <w:right w:val="single" w:sz="4" w:space="0" w:color="auto"/>
            </w:tcBorders>
            <w:shd w:val="clear" w:color="auto" w:fill="auto"/>
            <w:hideMark/>
          </w:tcPr>
          <w:p w14:paraId="5589C281" w14:textId="11FC97C2"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xml:space="preserve">The solution shall work in Air-gapped </w:t>
            </w:r>
            <w:r w:rsidR="00342ED2" w:rsidRPr="00A93231">
              <w:rPr>
                <w:rFonts w:ascii="Calibri" w:eastAsia="Times New Roman" w:hAnsi="Calibri" w:cs="Calibri"/>
                <w:color w:val="000000"/>
                <w:sz w:val="20"/>
                <w:szCs w:val="20"/>
                <w:lang w:val="en-GB" w:eastAsia="en-GB"/>
              </w:rPr>
              <w:t>environment</w:t>
            </w:r>
            <w:r w:rsidRPr="00A93231">
              <w:rPr>
                <w:rFonts w:ascii="Calibri" w:eastAsia="Times New Roman" w:hAnsi="Calibri" w:cs="Calibri"/>
                <w:color w:val="000000"/>
                <w:sz w:val="20"/>
                <w:szCs w:val="20"/>
                <w:lang w:val="en-GB" w:eastAsia="en-GB"/>
              </w:rPr>
              <w:t xml:space="preserve"> and support offline update of signatures</w:t>
            </w:r>
          </w:p>
        </w:tc>
        <w:tc>
          <w:tcPr>
            <w:tcW w:w="1220" w:type="dxa"/>
            <w:tcBorders>
              <w:top w:val="nil"/>
              <w:left w:val="nil"/>
              <w:bottom w:val="single" w:sz="4" w:space="0" w:color="auto"/>
              <w:right w:val="single" w:sz="4" w:space="0" w:color="auto"/>
            </w:tcBorders>
            <w:shd w:val="clear" w:color="auto" w:fill="auto"/>
            <w:hideMark/>
          </w:tcPr>
          <w:p w14:paraId="20F7BF69" w14:textId="77777777" w:rsidR="00A93231" w:rsidRPr="00A93231" w:rsidRDefault="00A93231" w:rsidP="00A93231">
            <w:pPr>
              <w:spacing w:after="0" w:line="240" w:lineRule="auto"/>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 </w:t>
            </w:r>
          </w:p>
        </w:tc>
        <w:tc>
          <w:tcPr>
            <w:tcW w:w="1760" w:type="dxa"/>
            <w:tcBorders>
              <w:top w:val="nil"/>
              <w:left w:val="nil"/>
              <w:bottom w:val="single" w:sz="4" w:space="0" w:color="auto"/>
              <w:right w:val="single" w:sz="4" w:space="0" w:color="auto"/>
            </w:tcBorders>
            <w:shd w:val="clear" w:color="auto" w:fill="auto"/>
            <w:hideMark/>
          </w:tcPr>
          <w:p w14:paraId="5B76D757" w14:textId="77777777" w:rsidR="00A93231" w:rsidRPr="00A93231" w:rsidRDefault="00A93231" w:rsidP="00A93231">
            <w:pPr>
              <w:spacing w:after="0" w:line="240" w:lineRule="auto"/>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 </w:t>
            </w:r>
          </w:p>
        </w:tc>
      </w:tr>
    </w:tbl>
    <w:p w14:paraId="50E04D7B" w14:textId="77777777" w:rsidR="00A93231" w:rsidRDefault="00A93231">
      <w:pPr>
        <w:rPr>
          <w:rFonts w:cstheme="minorHAnsi"/>
        </w:rPr>
      </w:pPr>
    </w:p>
    <w:p w14:paraId="25462D50" w14:textId="77777777" w:rsidR="00A93231" w:rsidRDefault="00A93231">
      <w:pPr>
        <w:rPr>
          <w:rFonts w:cstheme="minorHAnsi"/>
        </w:rPr>
      </w:pPr>
      <w:r>
        <w:rPr>
          <w:rFonts w:cstheme="minorHAnsi"/>
        </w:rPr>
        <w:br w:type="page"/>
      </w:r>
    </w:p>
    <w:tbl>
      <w:tblPr>
        <w:tblW w:w="5000" w:type="pct"/>
        <w:tblLook w:val="04A0" w:firstRow="1" w:lastRow="0" w:firstColumn="1" w:lastColumn="0" w:noHBand="0" w:noVBand="1"/>
      </w:tblPr>
      <w:tblGrid>
        <w:gridCol w:w="607"/>
        <w:gridCol w:w="9694"/>
        <w:gridCol w:w="1747"/>
        <w:gridCol w:w="1900"/>
      </w:tblGrid>
      <w:tr w:rsidR="00A93231" w:rsidRPr="00A93231" w14:paraId="44585803" w14:textId="77777777" w:rsidTr="008E0319">
        <w:trPr>
          <w:trHeight w:val="315"/>
        </w:trPr>
        <w:tc>
          <w:tcPr>
            <w:tcW w:w="5000" w:type="pct"/>
            <w:gridSpan w:val="4"/>
            <w:tcBorders>
              <w:top w:val="single" w:sz="4" w:space="0" w:color="auto"/>
              <w:left w:val="single" w:sz="4" w:space="0" w:color="auto"/>
              <w:bottom w:val="single" w:sz="4" w:space="0" w:color="auto"/>
              <w:right w:val="single" w:sz="4" w:space="0" w:color="auto"/>
            </w:tcBorders>
            <w:shd w:val="clear" w:color="000000" w:fill="FFE699"/>
            <w:hideMark/>
          </w:tcPr>
          <w:p w14:paraId="1639D977" w14:textId="77777777" w:rsidR="00A93231" w:rsidRPr="00A93231" w:rsidRDefault="00A93231" w:rsidP="00A93231">
            <w:pPr>
              <w:spacing w:after="0" w:line="240" w:lineRule="auto"/>
              <w:jc w:val="center"/>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lastRenderedPageBreak/>
              <w:t xml:space="preserve">Technical Specifications for </w:t>
            </w:r>
            <w:r w:rsidRPr="00A93231">
              <w:rPr>
                <w:rFonts w:ascii="Calibri" w:eastAsia="Times New Roman" w:hAnsi="Calibri" w:cs="Calibri"/>
                <w:b/>
                <w:bCs/>
                <w:color w:val="000000"/>
                <w:sz w:val="24"/>
                <w:szCs w:val="24"/>
                <w:lang w:val="en-GB" w:eastAsia="en-GB"/>
              </w:rPr>
              <w:t>Attack Surface Management</w:t>
            </w:r>
          </w:p>
        </w:tc>
      </w:tr>
      <w:tr w:rsidR="00A93231" w:rsidRPr="00A93231" w14:paraId="2FA5C4C2" w14:textId="77777777" w:rsidTr="008E0319">
        <w:trPr>
          <w:trHeight w:val="645"/>
        </w:trPr>
        <w:tc>
          <w:tcPr>
            <w:tcW w:w="185" w:type="pct"/>
            <w:tcBorders>
              <w:top w:val="nil"/>
              <w:left w:val="single" w:sz="4" w:space="0" w:color="auto"/>
              <w:bottom w:val="nil"/>
              <w:right w:val="single" w:sz="4" w:space="0" w:color="auto"/>
            </w:tcBorders>
            <w:shd w:val="clear" w:color="000000" w:fill="1F4E78"/>
            <w:hideMark/>
          </w:tcPr>
          <w:p w14:paraId="0C354442" w14:textId="77777777" w:rsidR="00A93231" w:rsidRPr="00A93231" w:rsidRDefault="00A93231" w:rsidP="00A93231">
            <w:pPr>
              <w:spacing w:after="0" w:line="240" w:lineRule="auto"/>
              <w:jc w:val="center"/>
              <w:rPr>
                <w:rFonts w:ascii="Calibri" w:eastAsia="Times New Roman" w:hAnsi="Calibri" w:cs="Calibri"/>
                <w:b/>
                <w:bCs/>
                <w:color w:val="FFFFFF"/>
                <w:sz w:val="24"/>
                <w:szCs w:val="24"/>
                <w:lang w:val="en-GB" w:eastAsia="en-GB"/>
              </w:rPr>
            </w:pPr>
            <w:r w:rsidRPr="00A93231">
              <w:rPr>
                <w:rFonts w:ascii="Calibri" w:eastAsia="Times New Roman" w:hAnsi="Calibri" w:cs="Calibri"/>
                <w:b/>
                <w:bCs/>
                <w:color w:val="FFFFFF"/>
                <w:sz w:val="24"/>
                <w:szCs w:val="24"/>
                <w:lang w:val="en-GB" w:eastAsia="en-GB"/>
              </w:rPr>
              <w:t>S No</w:t>
            </w:r>
          </w:p>
        </w:tc>
        <w:tc>
          <w:tcPr>
            <w:tcW w:w="3486" w:type="pct"/>
            <w:tcBorders>
              <w:top w:val="nil"/>
              <w:left w:val="nil"/>
              <w:bottom w:val="nil"/>
              <w:right w:val="single" w:sz="4" w:space="0" w:color="auto"/>
            </w:tcBorders>
            <w:shd w:val="clear" w:color="000000" w:fill="1F4E78"/>
            <w:hideMark/>
          </w:tcPr>
          <w:p w14:paraId="7288514B" w14:textId="77777777" w:rsidR="00A93231" w:rsidRPr="00A93231" w:rsidRDefault="00A93231" w:rsidP="00A93231">
            <w:pPr>
              <w:spacing w:after="0" w:line="240" w:lineRule="auto"/>
              <w:rPr>
                <w:rFonts w:ascii="Calibri" w:eastAsia="Times New Roman" w:hAnsi="Calibri" w:cs="Calibri"/>
                <w:b/>
                <w:bCs/>
                <w:color w:val="FFFFFF"/>
                <w:sz w:val="24"/>
                <w:szCs w:val="24"/>
                <w:lang w:val="en-GB" w:eastAsia="en-GB"/>
              </w:rPr>
            </w:pPr>
            <w:r w:rsidRPr="00A93231">
              <w:rPr>
                <w:rFonts w:ascii="Calibri" w:eastAsia="Times New Roman" w:hAnsi="Calibri" w:cs="Calibri"/>
                <w:b/>
                <w:bCs/>
                <w:color w:val="FFFFFF"/>
                <w:sz w:val="24"/>
                <w:szCs w:val="24"/>
                <w:lang w:val="en-GB" w:eastAsia="en-GB"/>
              </w:rPr>
              <w:t xml:space="preserve">Minimum Technical Specifications </w:t>
            </w:r>
          </w:p>
        </w:tc>
        <w:tc>
          <w:tcPr>
            <w:tcW w:w="637" w:type="pct"/>
            <w:tcBorders>
              <w:top w:val="nil"/>
              <w:left w:val="nil"/>
              <w:bottom w:val="nil"/>
              <w:right w:val="single" w:sz="4" w:space="0" w:color="auto"/>
            </w:tcBorders>
            <w:shd w:val="clear" w:color="000000" w:fill="1F4E78"/>
            <w:hideMark/>
          </w:tcPr>
          <w:p w14:paraId="72A3A8B9" w14:textId="77777777" w:rsidR="00A93231" w:rsidRPr="00A93231" w:rsidRDefault="00A93231" w:rsidP="00A93231">
            <w:pPr>
              <w:spacing w:after="0" w:line="240" w:lineRule="auto"/>
              <w:rPr>
                <w:rFonts w:ascii="Calibri" w:eastAsia="Times New Roman" w:hAnsi="Calibri" w:cs="Calibri"/>
                <w:b/>
                <w:bCs/>
                <w:color w:val="FFFFFF"/>
                <w:sz w:val="24"/>
                <w:szCs w:val="24"/>
                <w:lang w:val="en-GB" w:eastAsia="en-GB"/>
              </w:rPr>
            </w:pPr>
            <w:r w:rsidRPr="00A93231">
              <w:rPr>
                <w:rFonts w:ascii="Calibri" w:eastAsia="Times New Roman" w:hAnsi="Calibri" w:cs="Calibri"/>
                <w:b/>
                <w:bCs/>
                <w:color w:val="FFFFFF"/>
                <w:sz w:val="24"/>
                <w:szCs w:val="24"/>
                <w:lang w:val="en-GB" w:eastAsia="en-GB"/>
              </w:rPr>
              <w:t>Vendor's Compliance</w:t>
            </w:r>
          </w:p>
        </w:tc>
        <w:tc>
          <w:tcPr>
            <w:tcW w:w="692" w:type="pct"/>
            <w:tcBorders>
              <w:top w:val="nil"/>
              <w:left w:val="nil"/>
              <w:bottom w:val="nil"/>
              <w:right w:val="single" w:sz="4" w:space="0" w:color="auto"/>
            </w:tcBorders>
            <w:shd w:val="clear" w:color="000000" w:fill="1F4E78"/>
            <w:hideMark/>
          </w:tcPr>
          <w:p w14:paraId="0B8CB26D" w14:textId="77777777" w:rsidR="00A93231" w:rsidRPr="00A93231" w:rsidRDefault="00A93231" w:rsidP="00A93231">
            <w:pPr>
              <w:spacing w:after="0" w:line="240" w:lineRule="auto"/>
              <w:rPr>
                <w:rFonts w:ascii="Calibri" w:eastAsia="Times New Roman" w:hAnsi="Calibri" w:cs="Calibri"/>
                <w:b/>
                <w:bCs/>
                <w:color w:val="FFFFFF"/>
                <w:sz w:val="24"/>
                <w:szCs w:val="24"/>
                <w:lang w:val="en-GB" w:eastAsia="en-GB"/>
              </w:rPr>
            </w:pPr>
            <w:r w:rsidRPr="00A93231">
              <w:rPr>
                <w:rFonts w:ascii="Calibri" w:eastAsia="Times New Roman" w:hAnsi="Calibri" w:cs="Calibri"/>
                <w:b/>
                <w:bCs/>
                <w:color w:val="FFFFFF"/>
                <w:sz w:val="24"/>
                <w:szCs w:val="24"/>
                <w:lang w:val="en-GB" w:eastAsia="en-GB"/>
              </w:rPr>
              <w:t>Vendor's Remark</w:t>
            </w:r>
          </w:p>
        </w:tc>
      </w:tr>
      <w:tr w:rsidR="00A93231" w:rsidRPr="00A93231" w14:paraId="71745F83" w14:textId="77777777" w:rsidTr="008E0319">
        <w:trPr>
          <w:trHeight w:val="315"/>
        </w:trPr>
        <w:tc>
          <w:tcPr>
            <w:tcW w:w="185" w:type="pct"/>
            <w:tcBorders>
              <w:top w:val="single" w:sz="8" w:space="0" w:color="auto"/>
              <w:left w:val="single" w:sz="8" w:space="0" w:color="auto"/>
              <w:bottom w:val="single" w:sz="4" w:space="0" w:color="auto"/>
              <w:right w:val="single" w:sz="4" w:space="0" w:color="auto"/>
            </w:tcBorders>
            <w:shd w:val="clear" w:color="auto" w:fill="auto"/>
            <w:hideMark/>
          </w:tcPr>
          <w:p w14:paraId="057A130F"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1</w:t>
            </w:r>
          </w:p>
        </w:tc>
        <w:tc>
          <w:tcPr>
            <w:tcW w:w="3486" w:type="pct"/>
            <w:tcBorders>
              <w:top w:val="single" w:sz="8" w:space="0" w:color="auto"/>
              <w:left w:val="nil"/>
              <w:bottom w:val="single" w:sz="4" w:space="0" w:color="auto"/>
              <w:right w:val="single" w:sz="4" w:space="0" w:color="auto"/>
            </w:tcBorders>
            <w:shd w:val="clear" w:color="auto" w:fill="auto"/>
            <w:hideMark/>
          </w:tcPr>
          <w:p w14:paraId="3739CBFD"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should offer frequent, high-quality internet indexing with proprietary technology and ensure result accuracy.</w:t>
            </w:r>
          </w:p>
        </w:tc>
        <w:tc>
          <w:tcPr>
            <w:tcW w:w="637" w:type="pct"/>
            <w:tcBorders>
              <w:top w:val="single" w:sz="8" w:space="0" w:color="auto"/>
              <w:left w:val="nil"/>
              <w:bottom w:val="single" w:sz="4" w:space="0" w:color="auto"/>
              <w:right w:val="single" w:sz="4" w:space="0" w:color="auto"/>
            </w:tcBorders>
            <w:shd w:val="clear" w:color="auto" w:fill="auto"/>
            <w:hideMark/>
          </w:tcPr>
          <w:p w14:paraId="3F5382D3" w14:textId="77777777" w:rsidR="00A93231" w:rsidRPr="00A93231" w:rsidRDefault="00A93231" w:rsidP="00A93231">
            <w:pPr>
              <w:spacing w:after="0" w:line="240" w:lineRule="auto"/>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 </w:t>
            </w:r>
          </w:p>
        </w:tc>
        <w:tc>
          <w:tcPr>
            <w:tcW w:w="692" w:type="pct"/>
            <w:tcBorders>
              <w:top w:val="single" w:sz="8" w:space="0" w:color="auto"/>
              <w:left w:val="nil"/>
              <w:bottom w:val="single" w:sz="4" w:space="0" w:color="auto"/>
              <w:right w:val="single" w:sz="8" w:space="0" w:color="auto"/>
            </w:tcBorders>
            <w:shd w:val="clear" w:color="auto" w:fill="auto"/>
            <w:hideMark/>
          </w:tcPr>
          <w:p w14:paraId="01CEB14C" w14:textId="77777777" w:rsidR="00A93231" w:rsidRPr="00A93231" w:rsidRDefault="00A93231" w:rsidP="00A93231">
            <w:pPr>
              <w:spacing w:after="0" w:line="240" w:lineRule="auto"/>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 </w:t>
            </w:r>
          </w:p>
        </w:tc>
      </w:tr>
      <w:tr w:rsidR="00A93231" w:rsidRPr="00A93231" w14:paraId="30B70254" w14:textId="77777777" w:rsidTr="008E0319">
        <w:trPr>
          <w:trHeight w:val="315"/>
        </w:trPr>
        <w:tc>
          <w:tcPr>
            <w:tcW w:w="185" w:type="pct"/>
            <w:tcBorders>
              <w:top w:val="nil"/>
              <w:left w:val="single" w:sz="8" w:space="0" w:color="auto"/>
              <w:bottom w:val="single" w:sz="4" w:space="0" w:color="auto"/>
              <w:right w:val="single" w:sz="4" w:space="0" w:color="auto"/>
            </w:tcBorders>
            <w:shd w:val="clear" w:color="auto" w:fill="auto"/>
            <w:hideMark/>
          </w:tcPr>
          <w:p w14:paraId="1881198F"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2</w:t>
            </w:r>
          </w:p>
        </w:tc>
        <w:tc>
          <w:tcPr>
            <w:tcW w:w="3486" w:type="pct"/>
            <w:tcBorders>
              <w:top w:val="nil"/>
              <w:left w:val="nil"/>
              <w:bottom w:val="single" w:sz="4" w:space="0" w:color="auto"/>
              <w:right w:val="single" w:sz="4" w:space="0" w:color="auto"/>
            </w:tcBorders>
            <w:shd w:val="clear" w:color="auto" w:fill="auto"/>
            <w:hideMark/>
          </w:tcPr>
          <w:p w14:paraId="2BBE3BD2"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must generate its own scan data independently and avoid reliance on third-party providers.</w:t>
            </w:r>
          </w:p>
        </w:tc>
        <w:tc>
          <w:tcPr>
            <w:tcW w:w="637" w:type="pct"/>
            <w:tcBorders>
              <w:top w:val="nil"/>
              <w:left w:val="nil"/>
              <w:bottom w:val="single" w:sz="4" w:space="0" w:color="auto"/>
              <w:right w:val="single" w:sz="4" w:space="0" w:color="auto"/>
            </w:tcBorders>
            <w:shd w:val="clear" w:color="auto" w:fill="auto"/>
            <w:hideMark/>
          </w:tcPr>
          <w:p w14:paraId="3C09BBF5" w14:textId="77777777" w:rsidR="00A93231" w:rsidRPr="00A93231" w:rsidRDefault="00A93231" w:rsidP="00A93231">
            <w:pPr>
              <w:spacing w:after="0" w:line="240" w:lineRule="auto"/>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 </w:t>
            </w:r>
          </w:p>
        </w:tc>
        <w:tc>
          <w:tcPr>
            <w:tcW w:w="692" w:type="pct"/>
            <w:tcBorders>
              <w:top w:val="nil"/>
              <w:left w:val="nil"/>
              <w:bottom w:val="single" w:sz="4" w:space="0" w:color="auto"/>
              <w:right w:val="single" w:sz="8" w:space="0" w:color="auto"/>
            </w:tcBorders>
            <w:shd w:val="clear" w:color="auto" w:fill="auto"/>
            <w:hideMark/>
          </w:tcPr>
          <w:p w14:paraId="5C7C8995" w14:textId="77777777" w:rsidR="00A93231" w:rsidRPr="00A93231" w:rsidRDefault="00A93231" w:rsidP="00A93231">
            <w:pPr>
              <w:spacing w:after="0" w:line="240" w:lineRule="auto"/>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 </w:t>
            </w:r>
          </w:p>
        </w:tc>
      </w:tr>
      <w:tr w:rsidR="00A93231" w:rsidRPr="00A93231" w14:paraId="44296C33" w14:textId="77777777" w:rsidTr="008E0319">
        <w:trPr>
          <w:trHeight w:val="315"/>
        </w:trPr>
        <w:tc>
          <w:tcPr>
            <w:tcW w:w="185" w:type="pct"/>
            <w:tcBorders>
              <w:top w:val="nil"/>
              <w:left w:val="single" w:sz="8" w:space="0" w:color="auto"/>
              <w:bottom w:val="single" w:sz="4" w:space="0" w:color="auto"/>
              <w:right w:val="single" w:sz="4" w:space="0" w:color="auto"/>
            </w:tcBorders>
            <w:shd w:val="clear" w:color="auto" w:fill="auto"/>
            <w:hideMark/>
          </w:tcPr>
          <w:p w14:paraId="77E12B40"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3</w:t>
            </w:r>
          </w:p>
        </w:tc>
        <w:tc>
          <w:tcPr>
            <w:tcW w:w="3486" w:type="pct"/>
            <w:tcBorders>
              <w:top w:val="nil"/>
              <w:left w:val="nil"/>
              <w:bottom w:val="single" w:sz="4" w:space="0" w:color="auto"/>
              <w:right w:val="single" w:sz="4" w:space="0" w:color="auto"/>
            </w:tcBorders>
            <w:shd w:val="clear" w:color="auto" w:fill="auto"/>
            <w:hideMark/>
          </w:tcPr>
          <w:p w14:paraId="1445352E"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should have a minimum of 3 years of experience in scanning the internet.</w:t>
            </w:r>
          </w:p>
        </w:tc>
        <w:tc>
          <w:tcPr>
            <w:tcW w:w="637" w:type="pct"/>
            <w:tcBorders>
              <w:top w:val="nil"/>
              <w:left w:val="nil"/>
              <w:bottom w:val="single" w:sz="4" w:space="0" w:color="auto"/>
              <w:right w:val="single" w:sz="4" w:space="0" w:color="auto"/>
            </w:tcBorders>
            <w:shd w:val="clear" w:color="auto" w:fill="auto"/>
            <w:hideMark/>
          </w:tcPr>
          <w:p w14:paraId="3E15F429" w14:textId="77777777" w:rsidR="00A93231" w:rsidRPr="00A93231" w:rsidRDefault="00A93231" w:rsidP="00A93231">
            <w:pPr>
              <w:spacing w:after="0" w:line="240" w:lineRule="auto"/>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 </w:t>
            </w:r>
          </w:p>
        </w:tc>
        <w:tc>
          <w:tcPr>
            <w:tcW w:w="692" w:type="pct"/>
            <w:tcBorders>
              <w:top w:val="nil"/>
              <w:left w:val="nil"/>
              <w:bottom w:val="single" w:sz="4" w:space="0" w:color="auto"/>
              <w:right w:val="single" w:sz="8" w:space="0" w:color="auto"/>
            </w:tcBorders>
            <w:shd w:val="clear" w:color="auto" w:fill="auto"/>
            <w:hideMark/>
          </w:tcPr>
          <w:p w14:paraId="6B44A98D" w14:textId="77777777" w:rsidR="00A93231" w:rsidRPr="00A93231" w:rsidRDefault="00A93231" w:rsidP="00A93231">
            <w:pPr>
              <w:spacing w:after="0" w:line="240" w:lineRule="auto"/>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 </w:t>
            </w:r>
          </w:p>
        </w:tc>
      </w:tr>
      <w:tr w:rsidR="00A93231" w:rsidRPr="00A93231" w14:paraId="0C6CD22F" w14:textId="77777777" w:rsidTr="008E0319">
        <w:trPr>
          <w:trHeight w:val="315"/>
        </w:trPr>
        <w:tc>
          <w:tcPr>
            <w:tcW w:w="185" w:type="pct"/>
            <w:tcBorders>
              <w:top w:val="nil"/>
              <w:left w:val="single" w:sz="8" w:space="0" w:color="auto"/>
              <w:bottom w:val="single" w:sz="4" w:space="0" w:color="auto"/>
              <w:right w:val="single" w:sz="4" w:space="0" w:color="auto"/>
            </w:tcBorders>
            <w:shd w:val="clear" w:color="auto" w:fill="auto"/>
            <w:hideMark/>
          </w:tcPr>
          <w:p w14:paraId="0428C29D"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4</w:t>
            </w:r>
          </w:p>
        </w:tc>
        <w:tc>
          <w:tcPr>
            <w:tcW w:w="3486" w:type="pct"/>
            <w:tcBorders>
              <w:top w:val="nil"/>
              <w:left w:val="nil"/>
              <w:bottom w:val="single" w:sz="4" w:space="0" w:color="auto"/>
              <w:right w:val="single" w:sz="4" w:space="0" w:color="auto"/>
            </w:tcBorders>
            <w:shd w:val="clear" w:color="auto" w:fill="auto"/>
            <w:hideMark/>
          </w:tcPr>
          <w:p w14:paraId="2ABEAB99"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should perform rescans on a daily basis or at a faster frequency.</w:t>
            </w:r>
          </w:p>
        </w:tc>
        <w:tc>
          <w:tcPr>
            <w:tcW w:w="637" w:type="pct"/>
            <w:tcBorders>
              <w:top w:val="nil"/>
              <w:left w:val="nil"/>
              <w:bottom w:val="single" w:sz="4" w:space="0" w:color="auto"/>
              <w:right w:val="single" w:sz="4" w:space="0" w:color="auto"/>
            </w:tcBorders>
            <w:shd w:val="clear" w:color="auto" w:fill="auto"/>
            <w:hideMark/>
          </w:tcPr>
          <w:p w14:paraId="6FC9C6A6" w14:textId="77777777" w:rsidR="00A93231" w:rsidRPr="00A93231" w:rsidRDefault="00A93231" w:rsidP="00A93231">
            <w:pPr>
              <w:spacing w:after="0" w:line="240" w:lineRule="auto"/>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 </w:t>
            </w:r>
          </w:p>
        </w:tc>
        <w:tc>
          <w:tcPr>
            <w:tcW w:w="692" w:type="pct"/>
            <w:tcBorders>
              <w:top w:val="nil"/>
              <w:left w:val="nil"/>
              <w:bottom w:val="single" w:sz="4" w:space="0" w:color="auto"/>
              <w:right w:val="single" w:sz="8" w:space="0" w:color="auto"/>
            </w:tcBorders>
            <w:shd w:val="clear" w:color="auto" w:fill="auto"/>
            <w:hideMark/>
          </w:tcPr>
          <w:p w14:paraId="2AD6C5BE" w14:textId="77777777" w:rsidR="00A93231" w:rsidRPr="00A93231" w:rsidRDefault="00A93231" w:rsidP="00A93231">
            <w:pPr>
              <w:spacing w:after="0" w:line="240" w:lineRule="auto"/>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 xml:space="preserve"> </w:t>
            </w:r>
          </w:p>
        </w:tc>
      </w:tr>
      <w:tr w:rsidR="00A93231" w:rsidRPr="00A93231" w14:paraId="147186AF" w14:textId="77777777" w:rsidTr="008E0319">
        <w:trPr>
          <w:trHeight w:val="315"/>
        </w:trPr>
        <w:tc>
          <w:tcPr>
            <w:tcW w:w="185" w:type="pct"/>
            <w:tcBorders>
              <w:top w:val="nil"/>
              <w:left w:val="single" w:sz="8" w:space="0" w:color="auto"/>
              <w:bottom w:val="single" w:sz="4" w:space="0" w:color="auto"/>
              <w:right w:val="single" w:sz="4" w:space="0" w:color="auto"/>
            </w:tcBorders>
            <w:shd w:val="clear" w:color="auto" w:fill="auto"/>
            <w:hideMark/>
          </w:tcPr>
          <w:p w14:paraId="45C8057A"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5</w:t>
            </w:r>
          </w:p>
        </w:tc>
        <w:tc>
          <w:tcPr>
            <w:tcW w:w="3486" w:type="pct"/>
            <w:tcBorders>
              <w:top w:val="nil"/>
              <w:left w:val="nil"/>
              <w:bottom w:val="single" w:sz="4" w:space="0" w:color="auto"/>
              <w:right w:val="single" w:sz="4" w:space="0" w:color="auto"/>
            </w:tcBorders>
            <w:shd w:val="clear" w:color="auto" w:fill="auto"/>
            <w:hideMark/>
          </w:tcPr>
          <w:p w14:paraId="25870033"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should support detection across more than 2500 common / widely used ports for comprehensive coverage.</w:t>
            </w:r>
          </w:p>
        </w:tc>
        <w:tc>
          <w:tcPr>
            <w:tcW w:w="637" w:type="pct"/>
            <w:tcBorders>
              <w:top w:val="nil"/>
              <w:left w:val="nil"/>
              <w:bottom w:val="single" w:sz="4" w:space="0" w:color="auto"/>
              <w:right w:val="single" w:sz="4" w:space="0" w:color="auto"/>
            </w:tcBorders>
            <w:shd w:val="clear" w:color="auto" w:fill="auto"/>
            <w:hideMark/>
          </w:tcPr>
          <w:p w14:paraId="471F6710" w14:textId="77777777" w:rsidR="00A93231" w:rsidRPr="00A93231" w:rsidRDefault="00A93231" w:rsidP="00A93231">
            <w:pPr>
              <w:spacing w:after="0" w:line="240" w:lineRule="auto"/>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 </w:t>
            </w:r>
          </w:p>
        </w:tc>
        <w:tc>
          <w:tcPr>
            <w:tcW w:w="692" w:type="pct"/>
            <w:tcBorders>
              <w:top w:val="nil"/>
              <w:left w:val="nil"/>
              <w:bottom w:val="single" w:sz="4" w:space="0" w:color="auto"/>
              <w:right w:val="single" w:sz="8" w:space="0" w:color="auto"/>
            </w:tcBorders>
            <w:shd w:val="clear" w:color="auto" w:fill="auto"/>
            <w:hideMark/>
          </w:tcPr>
          <w:p w14:paraId="1AC1B60B" w14:textId="77777777" w:rsidR="00A93231" w:rsidRPr="00A93231" w:rsidRDefault="00A93231" w:rsidP="00A93231">
            <w:pPr>
              <w:spacing w:after="0" w:line="240" w:lineRule="auto"/>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 </w:t>
            </w:r>
          </w:p>
        </w:tc>
      </w:tr>
      <w:tr w:rsidR="00A93231" w:rsidRPr="00A93231" w14:paraId="74797A07" w14:textId="77777777" w:rsidTr="008E0319">
        <w:trPr>
          <w:trHeight w:val="315"/>
        </w:trPr>
        <w:tc>
          <w:tcPr>
            <w:tcW w:w="185" w:type="pct"/>
            <w:tcBorders>
              <w:top w:val="nil"/>
              <w:left w:val="single" w:sz="8" w:space="0" w:color="auto"/>
              <w:bottom w:val="single" w:sz="4" w:space="0" w:color="auto"/>
              <w:right w:val="single" w:sz="4" w:space="0" w:color="auto"/>
            </w:tcBorders>
            <w:shd w:val="clear" w:color="auto" w:fill="auto"/>
            <w:hideMark/>
          </w:tcPr>
          <w:p w14:paraId="6248B460"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6</w:t>
            </w:r>
          </w:p>
        </w:tc>
        <w:tc>
          <w:tcPr>
            <w:tcW w:w="3486" w:type="pct"/>
            <w:tcBorders>
              <w:top w:val="nil"/>
              <w:left w:val="nil"/>
              <w:bottom w:val="single" w:sz="4" w:space="0" w:color="auto"/>
              <w:right w:val="single" w:sz="4" w:space="0" w:color="auto"/>
            </w:tcBorders>
            <w:shd w:val="clear" w:color="auto" w:fill="auto"/>
            <w:hideMark/>
          </w:tcPr>
          <w:p w14:paraId="1A3CA7AF"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should perform full protocol handshakes, rather than just open port checks, to ensure accuracy.</w:t>
            </w:r>
          </w:p>
        </w:tc>
        <w:tc>
          <w:tcPr>
            <w:tcW w:w="637" w:type="pct"/>
            <w:tcBorders>
              <w:top w:val="nil"/>
              <w:left w:val="nil"/>
              <w:bottom w:val="single" w:sz="4" w:space="0" w:color="auto"/>
              <w:right w:val="single" w:sz="4" w:space="0" w:color="auto"/>
            </w:tcBorders>
            <w:shd w:val="clear" w:color="auto" w:fill="auto"/>
            <w:hideMark/>
          </w:tcPr>
          <w:p w14:paraId="23F9B221" w14:textId="77777777" w:rsidR="00A93231" w:rsidRPr="00A93231" w:rsidRDefault="00A93231" w:rsidP="00A93231">
            <w:pPr>
              <w:spacing w:after="0" w:line="240" w:lineRule="auto"/>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 </w:t>
            </w:r>
          </w:p>
        </w:tc>
        <w:tc>
          <w:tcPr>
            <w:tcW w:w="692" w:type="pct"/>
            <w:tcBorders>
              <w:top w:val="nil"/>
              <w:left w:val="nil"/>
              <w:bottom w:val="single" w:sz="4" w:space="0" w:color="auto"/>
              <w:right w:val="single" w:sz="8" w:space="0" w:color="auto"/>
            </w:tcBorders>
            <w:shd w:val="clear" w:color="auto" w:fill="auto"/>
            <w:hideMark/>
          </w:tcPr>
          <w:p w14:paraId="3D334F64" w14:textId="77777777" w:rsidR="00A93231" w:rsidRPr="00A93231" w:rsidRDefault="00A93231" w:rsidP="00A93231">
            <w:pPr>
              <w:spacing w:after="0" w:line="240" w:lineRule="auto"/>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 </w:t>
            </w:r>
          </w:p>
        </w:tc>
      </w:tr>
      <w:tr w:rsidR="00A93231" w:rsidRPr="00A93231" w14:paraId="666B249A" w14:textId="77777777" w:rsidTr="008E0319">
        <w:trPr>
          <w:trHeight w:val="315"/>
        </w:trPr>
        <w:tc>
          <w:tcPr>
            <w:tcW w:w="185" w:type="pct"/>
            <w:tcBorders>
              <w:top w:val="nil"/>
              <w:left w:val="single" w:sz="8" w:space="0" w:color="auto"/>
              <w:bottom w:val="single" w:sz="4" w:space="0" w:color="auto"/>
              <w:right w:val="single" w:sz="4" w:space="0" w:color="auto"/>
            </w:tcBorders>
            <w:shd w:val="clear" w:color="auto" w:fill="auto"/>
            <w:hideMark/>
          </w:tcPr>
          <w:p w14:paraId="734B626A"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7</w:t>
            </w:r>
          </w:p>
        </w:tc>
        <w:tc>
          <w:tcPr>
            <w:tcW w:w="3486" w:type="pct"/>
            <w:tcBorders>
              <w:top w:val="nil"/>
              <w:left w:val="nil"/>
              <w:bottom w:val="single" w:sz="4" w:space="0" w:color="auto"/>
              <w:right w:val="single" w:sz="4" w:space="0" w:color="auto"/>
            </w:tcBorders>
            <w:shd w:val="clear" w:color="auto" w:fill="auto"/>
            <w:hideMark/>
          </w:tcPr>
          <w:p w14:paraId="2E0B70B9"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should crawl websites and provide detailed reports, including screenshots.</w:t>
            </w:r>
          </w:p>
        </w:tc>
        <w:tc>
          <w:tcPr>
            <w:tcW w:w="637" w:type="pct"/>
            <w:tcBorders>
              <w:top w:val="nil"/>
              <w:left w:val="nil"/>
              <w:bottom w:val="single" w:sz="4" w:space="0" w:color="auto"/>
              <w:right w:val="single" w:sz="4" w:space="0" w:color="auto"/>
            </w:tcBorders>
            <w:shd w:val="clear" w:color="auto" w:fill="auto"/>
            <w:hideMark/>
          </w:tcPr>
          <w:p w14:paraId="07F0388F" w14:textId="77777777" w:rsidR="00A93231" w:rsidRPr="00A93231" w:rsidRDefault="00A93231" w:rsidP="00A93231">
            <w:pPr>
              <w:spacing w:after="0" w:line="240" w:lineRule="auto"/>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 </w:t>
            </w:r>
          </w:p>
        </w:tc>
        <w:tc>
          <w:tcPr>
            <w:tcW w:w="692" w:type="pct"/>
            <w:tcBorders>
              <w:top w:val="nil"/>
              <w:left w:val="nil"/>
              <w:bottom w:val="single" w:sz="4" w:space="0" w:color="auto"/>
              <w:right w:val="single" w:sz="8" w:space="0" w:color="auto"/>
            </w:tcBorders>
            <w:shd w:val="clear" w:color="auto" w:fill="auto"/>
            <w:hideMark/>
          </w:tcPr>
          <w:p w14:paraId="25B68724" w14:textId="77777777" w:rsidR="00A93231" w:rsidRPr="00A93231" w:rsidRDefault="00A93231" w:rsidP="00A93231">
            <w:pPr>
              <w:spacing w:after="0" w:line="240" w:lineRule="auto"/>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 </w:t>
            </w:r>
          </w:p>
        </w:tc>
      </w:tr>
      <w:tr w:rsidR="00A93231" w:rsidRPr="00A93231" w14:paraId="0AC3D029" w14:textId="77777777" w:rsidTr="008E0319">
        <w:trPr>
          <w:trHeight w:val="315"/>
        </w:trPr>
        <w:tc>
          <w:tcPr>
            <w:tcW w:w="185" w:type="pct"/>
            <w:tcBorders>
              <w:top w:val="nil"/>
              <w:left w:val="single" w:sz="8" w:space="0" w:color="auto"/>
              <w:bottom w:val="single" w:sz="4" w:space="0" w:color="auto"/>
              <w:right w:val="single" w:sz="4" w:space="0" w:color="auto"/>
            </w:tcBorders>
            <w:shd w:val="clear" w:color="auto" w:fill="auto"/>
            <w:hideMark/>
          </w:tcPr>
          <w:p w14:paraId="37680E73"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8</w:t>
            </w:r>
          </w:p>
        </w:tc>
        <w:tc>
          <w:tcPr>
            <w:tcW w:w="3486" w:type="pct"/>
            <w:tcBorders>
              <w:top w:val="nil"/>
              <w:left w:val="nil"/>
              <w:bottom w:val="single" w:sz="4" w:space="0" w:color="auto"/>
              <w:right w:val="single" w:sz="4" w:space="0" w:color="auto"/>
            </w:tcBorders>
            <w:shd w:val="clear" w:color="auto" w:fill="auto"/>
            <w:hideMark/>
          </w:tcPr>
          <w:p w14:paraId="2DFF17D6"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should fully support IPv4.</w:t>
            </w:r>
          </w:p>
        </w:tc>
        <w:tc>
          <w:tcPr>
            <w:tcW w:w="637" w:type="pct"/>
            <w:tcBorders>
              <w:top w:val="nil"/>
              <w:left w:val="nil"/>
              <w:bottom w:val="single" w:sz="4" w:space="0" w:color="auto"/>
              <w:right w:val="single" w:sz="4" w:space="0" w:color="auto"/>
            </w:tcBorders>
            <w:shd w:val="clear" w:color="auto" w:fill="auto"/>
            <w:hideMark/>
          </w:tcPr>
          <w:p w14:paraId="2E424037" w14:textId="77777777" w:rsidR="00A93231" w:rsidRPr="00A93231" w:rsidRDefault="00A93231" w:rsidP="00A93231">
            <w:pPr>
              <w:spacing w:after="0" w:line="240" w:lineRule="auto"/>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 </w:t>
            </w:r>
          </w:p>
        </w:tc>
        <w:tc>
          <w:tcPr>
            <w:tcW w:w="692" w:type="pct"/>
            <w:tcBorders>
              <w:top w:val="nil"/>
              <w:left w:val="nil"/>
              <w:bottom w:val="single" w:sz="4" w:space="0" w:color="auto"/>
              <w:right w:val="single" w:sz="8" w:space="0" w:color="auto"/>
            </w:tcBorders>
            <w:shd w:val="clear" w:color="auto" w:fill="auto"/>
            <w:hideMark/>
          </w:tcPr>
          <w:p w14:paraId="3EA63ECB" w14:textId="77777777" w:rsidR="00A93231" w:rsidRPr="00A93231" w:rsidRDefault="00A93231" w:rsidP="00A93231">
            <w:pPr>
              <w:spacing w:after="0" w:line="240" w:lineRule="auto"/>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 </w:t>
            </w:r>
          </w:p>
        </w:tc>
      </w:tr>
      <w:tr w:rsidR="00A93231" w:rsidRPr="00A93231" w14:paraId="54766809" w14:textId="77777777" w:rsidTr="008E0319">
        <w:trPr>
          <w:trHeight w:val="315"/>
        </w:trPr>
        <w:tc>
          <w:tcPr>
            <w:tcW w:w="185" w:type="pct"/>
            <w:tcBorders>
              <w:top w:val="nil"/>
              <w:left w:val="single" w:sz="8" w:space="0" w:color="auto"/>
              <w:bottom w:val="single" w:sz="4" w:space="0" w:color="auto"/>
              <w:right w:val="single" w:sz="4" w:space="0" w:color="auto"/>
            </w:tcBorders>
            <w:shd w:val="clear" w:color="auto" w:fill="auto"/>
            <w:hideMark/>
          </w:tcPr>
          <w:p w14:paraId="15156347"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9</w:t>
            </w:r>
          </w:p>
        </w:tc>
        <w:tc>
          <w:tcPr>
            <w:tcW w:w="3486" w:type="pct"/>
            <w:tcBorders>
              <w:top w:val="nil"/>
              <w:left w:val="nil"/>
              <w:bottom w:val="single" w:sz="4" w:space="0" w:color="auto"/>
              <w:right w:val="single" w:sz="4" w:space="0" w:color="auto"/>
            </w:tcBorders>
            <w:shd w:val="clear" w:color="auto" w:fill="auto"/>
            <w:hideMark/>
          </w:tcPr>
          <w:p w14:paraId="708E5EFA"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should fully support IPv6.</w:t>
            </w:r>
          </w:p>
        </w:tc>
        <w:tc>
          <w:tcPr>
            <w:tcW w:w="637" w:type="pct"/>
            <w:tcBorders>
              <w:top w:val="nil"/>
              <w:left w:val="nil"/>
              <w:bottom w:val="single" w:sz="4" w:space="0" w:color="auto"/>
              <w:right w:val="single" w:sz="4" w:space="0" w:color="auto"/>
            </w:tcBorders>
            <w:shd w:val="clear" w:color="auto" w:fill="auto"/>
            <w:hideMark/>
          </w:tcPr>
          <w:p w14:paraId="20DE81E7" w14:textId="77777777" w:rsidR="00A93231" w:rsidRPr="00A93231" w:rsidRDefault="00A93231" w:rsidP="00A93231">
            <w:pPr>
              <w:spacing w:after="0" w:line="240" w:lineRule="auto"/>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 </w:t>
            </w:r>
          </w:p>
        </w:tc>
        <w:tc>
          <w:tcPr>
            <w:tcW w:w="692" w:type="pct"/>
            <w:tcBorders>
              <w:top w:val="nil"/>
              <w:left w:val="nil"/>
              <w:bottom w:val="single" w:sz="4" w:space="0" w:color="auto"/>
              <w:right w:val="single" w:sz="8" w:space="0" w:color="auto"/>
            </w:tcBorders>
            <w:shd w:val="clear" w:color="auto" w:fill="auto"/>
            <w:hideMark/>
          </w:tcPr>
          <w:p w14:paraId="132A2FBF" w14:textId="77777777" w:rsidR="00A93231" w:rsidRPr="00A93231" w:rsidRDefault="00A93231" w:rsidP="00A93231">
            <w:pPr>
              <w:spacing w:after="0" w:line="240" w:lineRule="auto"/>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 </w:t>
            </w:r>
          </w:p>
        </w:tc>
      </w:tr>
      <w:tr w:rsidR="00A93231" w:rsidRPr="00A93231" w14:paraId="0E9222E4" w14:textId="77777777" w:rsidTr="008E0319">
        <w:trPr>
          <w:trHeight w:val="315"/>
        </w:trPr>
        <w:tc>
          <w:tcPr>
            <w:tcW w:w="185" w:type="pct"/>
            <w:tcBorders>
              <w:top w:val="nil"/>
              <w:left w:val="single" w:sz="8" w:space="0" w:color="auto"/>
              <w:bottom w:val="single" w:sz="4" w:space="0" w:color="auto"/>
              <w:right w:val="single" w:sz="4" w:space="0" w:color="auto"/>
            </w:tcBorders>
            <w:shd w:val="clear" w:color="auto" w:fill="auto"/>
            <w:hideMark/>
          </w:tcPr>
          <w:p w14:paraId="5D81FD34"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10</w:t>
            </w:r>
          </w:p>
        </w:tc>
        <w:tc>
          <w:tcPr>
            <w:tcW w:w="3486" w:type="pct"/>
            <w:tcBorders>
              <w:top w:val="nil"/>
              <w:left w:val="nil"/>
              <w:bottom w:val="single" w:sz="4" w:space="0" w:color="auto"/>
              <w:right w:val="single" w:sz="4" w:space="0" w:color="auto"/>
            </w:tcBorders>
            <w:shd w:val="clear" w:color="auto" w:fill="auto"/>
            <w:hideMark/>
          </w:tcPr>
          <w:p w14:paraId="5EDBAF39"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should identify various assets exposed to the global internet, including but not limited to:</w:t>
            </w:r>
          </w:p>
        </w:tc>
        <w:tc>
          <w:tcPr>
            <w:tcW w:w="637" w:type="pct"/>
            <w:tcBorders>
              <w:top w:val="nil"/>
              <w:left w:val="nil"/>
              <w:bottom w:val="single" w:sz="4" w:space="0" w:color="auto"/>
              <w:right w:val="single" w:sz="4" w:space="0" w:color="auto"/>
            </w:tcBorders>
            <w:shd w:val="clear" w:color="auto" w:fill="auto"/>
            <w:hideMark/>
          </w:tcPr>
          <w:p w14:paraId="2CDDF6CC" w14:textId="77777777" w:rsidR="00A93231" w:rsidRPr="00A93231" w:rsidRDefault="00A93231" w:rsidP="00A93231">
            <w:pPr>
              <w:spacing w:after="0" w:line="240" w:lineRule="auto"/>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 </w:t>
            </w:r>
          </w:p>
        </w:tc>
        <w:tc>
          <w:tcPr>
            <w:tcW w:w="692" w:type="pct"/>
            <w:tcBorders>
              <w:top w:val="nil"/>
              <w:left w:val="nil"/>
              <w:bottom w:val="single" w:sz="4" w:space="0" w:color="auto"/>
              <w:right w:val="single" w:sz="8" w:space="0" w:color="auto"/>
            </w:tcBorders>
            <w:shd w:val="clear" w:color="auto" w:fill="auto"/>
            <w:hideMark/>
          </w:tcPr>
          <w:p w14:paraId="5A51C8D3" w14:textId="77777777" w:rsidR="00A93231" w:rsidRPr="00A93231" w:rsidRDefault="00A93231" w:rsidP="00A93231">
            <w:pPr>
              <w:spacing w:after="0" w:line="240" w:lineRule="auto"/>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 </w:t>
            </w:r>
          </w:p>
        </w:tc>
      </w:tr>
      <w:tr w:rsidR="00A93231" w:rsidRPr="00A93231" w14:paraId="4AECEEA9" w14:textId="77777777" w:rsidTr="008E0319">
        <w:trPr>
          <w:trHeight w:val="315"/>
        </w:trPr>
        <w:tc>
          <w:tcPr>
            <w:tcW w:w="185" w:type="pct"/>
            <w:tcBorders>
              <w:top w:val="nil"/>
              <w:left w:val="single" w:sz="8" w:space="0" w:color="auto"/>
              <w:bottom w:val="single" w:sz="4" w:space="0" w:color="auto"/>
              <w:right w:val="single" w:sz="4" w:space="0" w:color="auto"/>
            </w:tcBorders>
            <w:shd w:val="clear" w:color="auto" w:fill="auto"/>
            <w:hideMark/>
          </w:tcPr>
          <w:p w14:paraId="17514F4F"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11</w:t>
            </w:r>
          </w:p>
        </w:tc>
        <w:tc>
          <w:tcPr>
            <w:tcW w:w="3486" w:type="pct"/>
            <w:tcBorders>
              <w:top w:val="nil"/>
              <w:left w:val="nil"/>
              <w:bottom w:val="single" w:sz="4" w:space="0" w:color="auto"/>
              <w:right w:val="single" w:sz="4" w:space="0" w:color="auto"/>
            </w:tcBorders>
            <w:shd w:val="clear" w:color="auto" w:fill="auto"/>
            <w:hideMark/>
          </w:tcPr>
          <w:p w14:paraId="255C524F"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should identify and discover IP ranges.</w:t>
            </w:r>
          </w:p>
        </w:tc>
        <w:tc>
          <w:tcPr>
            <w:tcW w:w="637" w:type="pct"/>
            <w:tcBorders>
              <w:top w:val="nil"/>
              <w:left w:val="nil"/>
              <w:bottom w:val="single" w:sz="4" w:space="0" w:color="auto"/>
              <w:right w:val="single" w:sz="4" w:space="0" w:color="auto"/>
            </w:tcBorders>
            <w:shd w:val="clear" w:color="auto" w:fill="auto"/>
            <w:hideMark/>
          </w:tcPr>
          <w:p w14:paraId="61CE548C" w14:textId="77777777" w:rsidR="00A93231" w:rsidRPr="00A93231" w:rsidRDefault="00A93231" w:rsidP="00A93231">
            <w:pPr>
              <w:spacing w:after="0" w:line="240" w:lineRule="auto"/>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 </w:t>
            </w:r>
          </w:p>
        </w:tc>
        <w:tc>
          <w:tcPr>
            <w:tcW w:w="692" w:type="pct"/>
            <w:tcBorders>
              <w:top w:val="nil"/>
              <w:left w:val="nil"/>
              <w:bottom w:val="single" w:sz="4" w:space="0" w:color="auto"/>
              <w:right w:val="single" w:sz="8" w:space="0" w:color="auto"/>
            </w:tcBorders>
            <w:shd w:val="clear" w:color="auto" w:fill="auto"/>
            <w:hideMark/>
          </w:tcPr>
          <w:p w14:paraId="438E735F" w14:textId="77777777" w:rsidR="00A93231" w:rsidRPr="00A93231" w:rsidRDefault="00A93231" w:rsidP="00A93231">
            <w:pPr>
              <w:spacing w:after="0" w:line="240" w:lineRule="auto"/>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 </w:t>
            </w:r>
          </w:p>
        </w:tc>
      </w:tr>
      <w:tr w:rsidR="00A93231" w:rsidRPr="00A93231" w14:paraId="4EA838A8" w14:textId="77777777" w:rsidTr="008E0319">
        <w:trPr>
          <w:trHeight w:val="315"/>
        </w:trPr>
        <w:tc>
          <w:tcPr>
            <w:tcW w:w="185" w:type="pct"/>
            <w:tcBorders>
              <w:top w:val="nil"/>
              <w:left w:val="single" w:sz="8" w:space="0" w:color="auto"/>
              <w:bottom w:val="single" w:sz="4" w:space="0" w:color="auto"/>
              <w:right w:val="single" w:sz="4" w:space="0" w:color="auto"/>
            </w:tcBorders>
            <w:shd w:val="clear" w:color="auto" w:fill="auto"/>
            <w:hideMark/>
          </w:tcPr>
          <w:p w14:paraId="7E8C997D"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12</w:t>
            </w:r>
          </w:p>
        </w:tc>
        <w:tc>
          <w:tcPr>
            <w:tcW w:w="3486" w:type="pct"/>
            <w:tcBorders>
              <w:top w:val="nil"/>
              <w:left w:val="nil"/>
              <w:bottom w:val="single" w:sz="4" w:space="0" w:color="auto"/>
              <w:right w:val="single" w:sz="4" w:space="0" w:color="auto"/>
            </w:tcBorders>
            <w:shd w:val="clear" w:color="auto" w:fill="auto"/>
            <w:hideMark/>
          </w:tcPr>
          <w:p w14:paraId="72E95747"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should identify certificates and provide a specific inventory view for them.</w:t>
            </w:r>
          </w:p>
        </w:tc>
        <w:tc>
          <w:tcPr>
            <w:tcW w:w="637" w:type="pct"/>
            <w:tcBorders>
              <w:top w:val="nil"/>
              <w:left w:val="nil"/>
              <w:bottom w:val="single" w:sz="4" w:space="0" w:color="auto"/>
              <w:right w:val="single" w:sz="4" w:space="0" w:color="auto"/>
            </w:tcBorders>
            <w:shd w:val="clear" w:color="auto" w:fill="auto"/>
            <w:hideMark/>
          </w:tcPr>
          <w:p w14:paraId="7CC63D32" w14:textId="77777777" w:rsidR="00A93231" w:rsidRPr="00A93231" w:rsidRDefault="00A93231" w:rsidP="00A93231">
            <w:pPr>
              <w:spacing w:after="0" w:line="240" w:lineRule="auto"/>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 </w:t>
            </w:r>
          </w:p>
        </w:tc>
        <w:tc>
          <w:tcPr>
            <w:tcW w:w="692" w:type="pct"/>
            <w:tcBorders>
              <w:top w:val="nil"/>
              <w:left w:val="nil"/>
              <w:bottom w:val="single" w:sz="4" w:space="0" w:color="auto"/>
              <w:right w:val="single" w:sz="8" w:space="0" w:color="auto"/>
            </w:tcBorders>
            <w:shd w:val="clear" w:color="auto" w:fill="auto"/>
            <w:hideMark/>
          </w:tcPr>
          <w:p w14:paraId="5C26917C" w14:textId="77777777" w:rsidR="00A93231" w:rsidRPr="00A93231" w:rsidRDefault="00A93231" w:rsidP="00A93231">
            <w:pPr>
              <w:spacing w:after="0" w:line="240" w:lineRule="auto"/>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 </w:t>
            </w:r>
          </w:p>
        </w:tc>
      </w:tr>
      <w:tr w:rsidR="00A93231" w:rsidRPr="00A93231" w14:paraId="5426D63B" w14:textId="77777777" w:rsidTr="008E0319">
        <w:trPr>
          <w:trHeight w:val="315"/>
        </w:trPr>
        <w:tc>
          <w:tcPr>
            <w:tcW w:w="185" w:type="pct"/>
            <w:tcBorders>
              <w:top w:val="nil"/>
              <w:left w:val="single" w:sz="8" w:space="0" w:color="auto"/>
              <w:bottom w:val="single" w:sz="4" w:space="0" w:color="auto"/>
              <w:right w:val="single" w:sz="4" w:space="0" w:color="auto"/>
            </w:tcBorders>
            <w:shd w:val="clear" w:color="auto" w:fill="auto"/>
            <w:hideMark/>
          </w:tcPr>
          <w:p w14:paraId="2692737A"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13</w:t>
            </w:r>
          </w:p>
        </w:tc>
        <w:tc>
          <w:tcPr>
            <w:tcW w:w="3486" w:type="pct"/>
            <w:tcBorders>
              <w:top w:val="nil"/>
              <w:left w:val="nil"/>
              <w:bottom w:val="single" w:sz="4" w:space="0" w:color="auto"/>
              <w:right w:val="single" w:sz="4" w:space="0" w:color="auto"/>
            </w:tcBorders>
            <w:shd w:val="clear" w:color="auto" w:fill="auto"/>
            <w:hideMark/>
          </w:tcPr>
          <w:p w14:paraId="5B64DF1E"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should identify paid-level domains.</w:t>
            </w:r>
          </w:p>
        </w:tc>
        <w:tc>
          <w:tcPr>
            <w:tcW w:w="637" w:type="pct"/>
            <w:tcBorders>
              <w:top w:val="nil"/>
              <w:left w:val="nil"/>
              <w:bottom w:val="single" w:sz="4" w:space="0" w:color="auto"/>
              <w:right w:val="single" w:sz="4" w:space="0" w:color="auto"/>
            </w:tcBorders>
            <w:shd w:val="clear" w:color="auto" w:fill="auto"/>
            <w:hideMark/>
          </w:tcPr>
          <w:p w14:paraId="47D06CE5" w14:textId="77777777" w:rsidR="00A93231" w:rsidRPr="00A93231" w:rsidRDefault="00A93231" w:rsidP="00A93231">
            <w:pPr>
              <w:spacing w:after="0" w:line="240" w:lineRule="auto"/>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 </w:t>
            </w:r>
          </w:p>
        </w:tc>
        <w:tc>
          <w:tcPr>
            <w:tcW w:w="692" w:type="pct"/>
            <w:tcBorders>
              <w:top w:val="nil"/>
              <w:left w:val="nil"/>
              <w:bottom w:val="single" w:sz="4" w:space="0" w:color="auto"/>
              <w:right w:val="single" w:sz="8" w:space="0" w:color="auto"/>
            </w:tcBorders>
            <w:shd w:val="clear" w:color="auto" w:fill="auto"/>
            <w:hideMark/>
          </w:tcPr>
          <w:p w14:paraId="21EE75B8" w14:textId="77777777" w:rsidR="00A93231" w:rsidRPr="00A93231" w:rsidRDefault="00A93231" w:rsidP="00A93231">
            <w:pPr>
              <w:spacing w:after="0" w:line="240" w:lineRule="auto"/>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 </w:t>
            </w:r>
          </w:p>
        </w:tc>
      </w:tr>
      <w:tr w:rsidR="00A93231" w:rsidRPr="00A93231" w14:paraId="52DCB673" w14:textId="77777777" w:rsidTr="008E0319">
        <w:trPr>
          <w:trHeight w:val="315"/>
        </w:trPr>
        <w:tc>
          <w:tcPr>
            <w:tcW w:w="185" w:type="pct"/>
            <w:tcBorders>
              <w:top w:val="nil"/>
              <w:left w:val="single" w:sz="8" w:space="0" w:color="auto"/>
              <w:bottom w:val="single" w:sz="4" w:space="0" w:color="auto"/>
              <w:right w:val="single" w:sz="4" w:space="0" w:color="auto"/>
            </w:tcBorders>
            <w:shd w:val="clear" w:color="auto" w:fill="auto"/>
            <w:hideMark/>
          </w:tcPr>
          <w:p w14:paraId="70F56CB9"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14</w:t>
            </w:r>
          </w:p>
        </w:tc>
        <w:tc>
          <w:tcPr>
            <w:tcW w:w="3486" w:type="pct"/>
            <w:tcBorders>
              <w:top w:val="nil"/>
              <w:left w:val="nil"/>
              <w:bottom w:val="single" w:sz="4" w:space="0" w:color="auto"/>
              <w:right w:val="single" w:sz="4" w:space="0" w:color="auto"/>
            </w:tcBorders>
            <w:shd w:val="clear" w:color="auto" w:fill="auto"/>
            <w:hideMark/>
          </w:tcPr>
          <w:p w14:paraId="1258E680"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should identify subdomains associated with the organization.</w:t>
            </w:r>
          </w:p>
        </w:tc>
        <w:tc>
          <w:tcPr>
            <w:tcW w:w="637" w:type="pct"/>
            <w:tcBorders>
              <w:top w:val="nil"/>
              <w:left w:val="nil"/>
              <w:bottom w:val="single" w:sz="4" w:space="0" w:color="auto"/>
              <w:right w:val="single" w:sz="4" w:space="0" w:color="auto"/>
            </w:tcBorders>
            <w:shd w:val="clear" w:color="auto" w:fill="auto"/>
            <w:hideMark/>
          </w:tcPr>
          <w:p w14:paraId="778F888D" w14:textId="77777777" w:rsidR="00A93231" w:rsidRPr="00A93231" w:rsidRDefault="00A93231" w:rsidP="00A93231">
            <w:pPr>
              <w:spacing w:after="0" w:line="240" w:lineRule="auto"/>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 </w:t>
            </w:r>
          </w:p>
        </w:tc>
        <w:tc>
          <w:tcPr>
            <w:tcW w:w="692" w:type="pct"/>
            <w:tcBorders>
              <w:top w:val="nil"/>
              <w:left w:val="nil"/>
              <w:bottom w:val="single" w:sz="4" w:space="0" w:color="auto"/>
              <w:right w:val="single" w:sz="8" w:space="0" w:color="auto"/>
            </w:tcBorders>
            <w:shd w:val="clear" w:color="auto" w:fill="auto"/>
            <w:hideMark/>
          </w:tcPr>
          <w:p w14:paraId="58767112" w14:textId="77777777" w:rsidR="00A93231" w:rsidRPr="00A93231" w:rsidRDefault="00A93231" w:rsidP="00A93231">
            <w:pPr>
              <w:spacing w:after="0" w:line="240" w:lineRule="auto"/>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 </w:t>
            </w:r>
          </w:p>
        </w:tc>
      </w:tr>
      <w:tr w:rsidR="00A93231" w:rsidRPr="00A93231" w14:paraId="1E6B0166" w14:textId="77777777" w:rsidTr="008E0319">
        <w:trPr>
          <w:trHeight w:val="315"/>
        </w:trPr>
        <w:tc>
          <w:tcPr>
            <w:tcW w:w="185" w:type="pct"/>
            <w:tcBorders>
              <w:top w:val="nil"/>
              <w:left w:val="single" w:sz="8" w:space="0" w:color="auto"/>
              <w:bottom w:val="single" w:sz="4" w:space="0" w:color="auto"/>
              <w:right w:val="single" w:sz="4" w:space="0" w:color="auto"/>
            </w:tcBorders>
            <w:shd w:val="clear" w:color="auto" w:fill="auto"/>
            <w:hideMark/>
          </w:tcPr>
          <w:p w14:paraId="78503DBB"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15</w:t>
            </w:r>
          </w:p>
        </w:tc>
        <w:tc>
          <w:tcPr>
            <w:tcW w:w="3486" w:type="pct"/>
            <w:tcBorders>
              <w:top w:val="nil"/>
              <w:left w:val="nil"/>
              <w:bottom w:val="single" w:sz="4" w:space="0" w:color="auto"/>
              <w:right w:val="single" w:sz="4" w:space="0" w:color="auto"/>
            </w:tcBorders>
            <w:shd w:val="clear" w:color="auto" w:fill="auto"/>
            <w:hideMark/>
          </w:tcPr>
          <w:p w14:paraId="395D149D"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should identify and discover websites.</w:t>
            </w:r>
          </w:p>
        </w:tc>
        <w:tc>
          <w:tcPr>
            <w:tcW w:w="637" w:type="pct"/>
            <w:tcBorders>
              <w:top w:val="nil"/>
              <w:left w:val="nil"/>
              <w:bottom w:val="single" w:sz="4" w:space="0" w:color="auto"/>
              <w:right w:val="single" w:sz="4" w:space="0" w:color="auto"/>
            </w:tcBorders>
            <w:shd w:val="clear" w:color="auto" w:fill="auto"/>
            <w:hideMark/>
          </w:tcPr>
          <w:p w14:paraId="42EC913E" w14:textId="77777777" w:rsidR="00A93231" w:rsidRPr="00A93231" w:rsidRDefault="00A93231" w:rsidP="00A93231">
            <w:pPr>
              <w:spacing w:after="0" w:line="240" w:lineRule="auto"/>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 </w:t>
            </w:r>
          </w:p>
        </w:tc>
        <w:tc>
          <w:tcPr>
            <w:tcW w:w="692" w:type="pct"/>
            <w:tcBorders>
              <w:top w:val="nil"/>
              <w:left w:val="nil"/>
              <w:bottom w:val="single" w:sz="4" w:space="0" w:color="auto"/>
              <w:right w:val="single" w:sz="8" w:space="0" w:color="auto"/>
            </w:tcBorders>
            <w:shd w:val="clear" w:color="auto" w:fill="auto"/>
            <w:hideMark/>
          </w:tcPr>
          <w:p w14:paraId="088CD8EF" w14:textId="77777777" w:rsidR="00A93231" w:rsidRPr="00A93231" w:rsidRDefault="00A93231" w:rsidP="00A93231">
            <w:pPr>
              <w:spacing w:after="0" w:line="240" w:lineRule="auto"/>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 </w:t>
            </w:r>
          </w:p>
        </w:tc>
      </w:tr>
      <w:tr w:rsidR="00A93231" w:rsidRPr="00A93231" w14:paraId="5C2FDA00" w14:textId="77777777" w:rsidTr="008E0319">
        <w:trPr>
          <w:trHeight w:val="315"/>
        </w:trPr>
        <w:tc>
          <w:tcPr>
            <w:tcW w:w="185" w:type="pct"/>
            <w:tcBorders>
              <w:top w:val="nil"/>
              <w:left w:val="single" w:sz="8" w:space="0" w:color="auto"/>
              <w:bottom w:val="single" w:sz="4" w:space="0" w:color="auto"/>
              <w:right w:val="single" w:sz="4" w:space="0" w:color="auto"/>
            </w:tcBorders>
            <w:shd w:val="clear" w:color="auto" w:fill="auto"/>
            <w:hideMark/>
          </w:tcPr>
          <w:p w14:paraId="0A215EDB"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16</w:t>
            </w:r>
          </w:p>
        </w:tc>
        <w:tc>
          <w:tcPr>
            <w:tcW w:w="3486" w:type="pct"/>
            <w:tcBorders>
              <w:top w:val="nil"/>
              <w:left w:val="nil"/>
              <w:bottom w:val="single" w:sz="4" w:space="0" w:color="auto"/>
              <w:right w:val="single" w:sz="4" w:space="0" w:color="auto"/>
            </w:tcBorders>
            <w:shd w:val="clear" w:color="auto" w:fill="auto"/>
            <w:hideMark/>
          </w:tcPr>
          <w:p w14:paraId="3D409EE5"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should include discovery of cloud compute instances.</w:t>
            </w:r>
          </w:p>
        </w:tc>
        <w:tc>
          <w:tcPr>
            <w:tcW w:w="637" w:type="pct"/>
            <w:tcBorders>
              <w:top w:val="nil"/>
              <w:left w:val="nil"/>
              <w:bottom w:val="single" w:sz="4" w:space="0" w:color="auto"/>
              <w:right w:val="single" w:sz="4" w:space="0" w:color="auto"/>
            </w:tcBorders>
            <w:shd w:val="clear" w:color="auto" w:fill="auto"/>
            <w:hideMark/>
          </w:tcPr>
          <w:p w14:paraId="731C9EE4" w14:textId="77777777" w:rsidR="00A93231" w:rsidRPr="00A93231" w:rsidRDefault="00A93231" w:rsidP="00A93231">
            <w:pPr>
              <w:spacing w:after="0" w:line="240" w:lineRule="auto"/>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 </w:t>
            </w:r>
          </w:p>
        </w:tc>
        <w:tc>
          <w:tcPr>
            <w:tcW w:w="692" w:type="pct"/>
            <w:tcBorders>
              <w:top w:val="nil"/>
              <w:left w:val="nil"/>
              <w:bottom w:val="single" w:sz="4" w:space="0" w:color="auto"/>
              <w:right w:val="single" w:sz="8" w:space="0" w:color="auto"/>
            </w:tcBorders>
            <w:shd w:val="clear" w:color="auto" w:fill="auto"/>
            <w:hideMark/>
          </w:tcPr>
          <w:p w14:paraId="2C0879A8" w14:textId="77777777" w:rsidR="00A93231" w:rsidRPr="00A93231" w:rsidRDefault="00A93231" w:rsidP="00A93231">
            <w:pPr>
              <w:spacing w:after="0" w:line="240" w:lineRule="auto"/>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 </w:t>
            </w:r>
          </w:p>
        </w:tc>
      </w:tr>
      <w:tr w:rsidR="00A93231" w:rsidRPr="00A93231" w14:paraId="6EC3C4BD" w14:textId="77777777" w:rsidTr="008E0319">
        <w:trPr>
          <w:trHeight w:val="315"/>
        </w:trPr>
        <w:tc>
          <w:tcPr>
            <w:tcW w:w="185" w:type="pct"/>
            <w:tcBorders>
              <w:top w:val="nil"/>
              <w:left w:val="single" w:sz="8" w:space="0" w:color="auto"/>
              <w:bottom w:val="single" w:sz="4" w:space="0" w:color="auto"/>
              <w:right w:val="single" w:sz="4" w:space="0" w:color="auto"/>
            </w:tcBorders>
            <w:shd w:val="clear" w:color="auto" w:fill="auto"/>
            <w:hideMark/>
          </w:tcPr>
          <w:p w14:paraId="32CB2624"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17</w:t>
            </w:r>
          </w:p>
        </w:tc>
        <w:tc>
          <w:tcPr>
            <w:tcW w:w="3486" w:type="pct"/>
            <w:tcBorders>
              <w:top w:val="nil"/>
              <w:left w:val="nil"/>
              <w:bottom w:val="single" w:sz="4" w:space="0" w:color="auto"/>
              <w:right w:val="single" w:sz="4" w:space="0" w:color="auto"/>
            </w:tcBorders>
            <w:shd w:val="clear" w:color="auto" w:fill="auto"/>
            <w:hideMark/>
          </w:tcPr>
          <w:p w14:paraId="3682FB63"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should enumerate all services running on discovered assets.</w:t>
            </w:r>
          </w:p>
        </w:tc>
        <w:tc>
          <w:tcPr>
            <w:tcW w:w="637" w:type="pct"/>
            <w:tcBorders>
              <w:top w:val="nil"/>
              <w:left w:val="nil"/>
              <w:bottom w:val="single" w:sz="4" w:space="0" w:color="auto"/>
              <w:right w:val="single" w:sz="4" w:space="0" w:color="auto"/>
            </w:tcBorders>
            <w:shd w:val="clear" w:color="auto" w:fill="auto"/>
            <w:hideMark/>
          </w:tcPr>
          <w:p w14:paraId="59F2C34E" w14:textId="77777777" w:rsidR="00A93231" w:rsidRPr="00A93231" w:rsidRDefault="00A93231" w:rsidP="00A93231">
            <w:pPr>
              <w:spacing w:after="0" w:line="240" w:lineRule="auto"/>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 </w:t>
            </w:r>
          </w:p>
        </w:tc>
        <w:tc>
          <w:tcPr>
            <w:tcW w:w="692" w:type="pct"/>
            <w:tcBorders>
              <w:top w:val="nil"/>
              <w:left w:val="nil"/>
              <w:bottom w:val="single" w:sz="4" w:space="0" w:color="auto"/>
              <w:right w:val="single" w:sz="8" w:space="0" w:color="auto"/>
            </w:tcBorders>
            <w:shd w:val="clear" w:color="auto" w:fill="auto"/>
            <w:hideMark/>
          </w:tcPr>
          <w:p w14:paraId="513B65F8" w14:textId="77777777" w:rsidR="00A93231" w:rsidRPr="00A93231" w:rsidRDefault="00A93231" w:rsidP="00A93231">
            <w:pPr>
              <w:spacing w:after="0" w:line="240" w:lineRule="auto"/>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 </w:t>
            </w:r>
          </w:p>
        </w:tc>
      </w:tr>
      <w:tr w:rsidR="00A93231" w:rsidRPr="00A93231" w14:paraId="7A716FCD" w14:textId="77777777" w:rsidTr="008E0319">
        <w:trPr>
          <w:trHeight w:val="315"/>
        </w:trPr>
        <w:tc>
          <w:tcPr>
            <w:tcW w:w="185" w:type="pct"/>
            <w:tcBorders>
              <w:top w:val="nil"/>
              <w:left w:val="single" w:sz="8" w:space="0" w:color="auto"/>
              <w:bottom w:val="single" w:sz="4" w:space="0" w:color="auto"/>
              <w:right w:val="single" w:sz="4" w:space="0" w:color="auto"/>
            </w:tcBorders>
            <w:shd w:val="clear" w:color="auto" w:fill="auto"/>
            <w:hideMark/>
          </w:tcPr>
          <w:p w14:paraId="675F8B35"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18</w:t>
            </w:r>
          </w:p>
        </w:tc>
        <w:tc>
          <w:tcPr>
            <w:tcW w:w="3486" w:type="pct"/>
            <w:tcBorders>
              <w:top w:val="nil"/>
              <w:left w:val="nil"/>
              <w:bottom w:val="single" w:sz="4" w:space="0" w:color="auto"/>
              <w:right w:val="single" w:sz="4" w:space="0" w:color="auto"/>
            </w:tcBorders>
            <w:shd w:val="clear" w:color="auto" w:fill="auto"/>
            <w:hideMark/>
          </w:tcPr>
          <w:p w14:paraId="576C5688"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should provide detailed contextual information for each asset type, including registration details.</w:t>
            </w:r>
          </w:p>
        </w:tc>
        <w:tc>
          <w:tcPr>
            <w:tcW w:w="637" w:type="pct"/>
            <w:tcBorders>
              <w:top w:val="nil"/>
              <w:left w:val="nil"/>
              <w:bottom w:val="single" w:sz="4" w:space="0" w:color="auto"/>
              <w:right w:val="single" w:sz="4" w:space="0" w:color="auto"/>
            </w:tcBorders>
            <w:shd w:val="clear" w:color="auto" w:fill="auto"/>
            <w:hideMark/>
          </w:tcPr>
          <w:p w14:paraId="724076EB" w14:textId="77777777" w:rsidR="00A93231" w:rsidRPr="00A93231" w:rsidRDefault="00A93231" w:rsidP="00A93231">
            <w:pPr>
              <w:spacing w:after="0" w:line="240" w:lineRule="auto"/>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 </w:t>
            </w:r>
          </w:p>
        </w:tc>
        <w:tc>
          <w:tcPr>
            <w:tcW w:w="692" w:type="pct"/>
            <w:tcBorders>
              <w:top w:val="nil"/>
              <w:left w:val="nil"/>
              <w:bottom w:val="single" w:sz="4" w:space="0" w:color="auto"/>
              <w:right w:val="single" w:sz="8" w:space="0" w:color="auto"/>
            </w:tcBorders>
            <w:shd w:val="clear" w:color="auto" w:fill="auto"/>
            <w:hideMark/>
          </w:tcPr>
          <w:p w14:paraId="2E1F1B92" w14:textId="77777777" w:rsidR="00A93231" w:rsidRPr="00A93231" w:rsidRDefault="00A93231" w:rsidP="00A93231">
            <w:pPr>
              <w:spacing w:after="0" w:line="240" w:lineRule="auto"/>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 </w:t>
            </w:r>
          </w:p>
        </w:tc>
      </w:tr>
      <w:tr w:rsidR="00A93231" w:rsidRPr="00A93231" w14:paraId="7B83ED28" w14:textId="77777777" w:rsidTr="008E0319">
        <w:trPr>
          <w:trHeight w:val="315"/>
        </w:trPr>
        <w:tc>
          <w:tcPr>
            <w:tcW w:w="185" w:type="pct"/>
            <w:tcBorders>
              <w:top w:val="nil"/>
              <w:left w:val="single" w:sz="8" w:space="0" w:color="auto"/>
              <w:bottom w:val="single" w:sz="4" w:space="0" w:color="auto"/>
              <w:right w:val="single" w:sz="4" w:space="0" w:color="auto"/>
            </w:tcBorders>
            <w:shd w:val="clear" w:color="auto" w:fill="auto"/>
            <w:hideMark/>
          </w:tcPr>
          <w:p w14:paraId="6CDAFB6A"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19</w:t>
            </w:r>
          </w:p>
        </w:tc>
        <w:tc>
          <w:tcPr>
            <w:tcW w:w="3486" w:type="pct"/>
            <w:tcBorders>
              <w:top w:val="nil"/>
              <w:left w:val="nil"/>
              <w:bottom w:val="single" w:sz="4" w:space="0" w:color="auto"/>
              <w:right w:val="single" w:sz="4" w:space="0" w:color="auto"/>
            </w:tcBorders>
            <w:shd w:val="clear" w:color="auto" w:fill="auto"/>
            <w:hideMark/>
          </w:tcPr>
          <w:p w14:paraId="27EBF9BC"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should use machine learning for asset mapping, complemented by human analyst expertise for accuracy.</w:t>
            </w:r>
          </w:p>
        </w:tc>
        <w:tc>
          <w:tcPr>
            <w:tcW w:w="637" w:type="pct"/>
            <w:tcBorders>
              <w:top w:val="nil"/>
              <w:left w:val="nil"/>
              <w:bottom w:val="single" w:sz="4" w:space="0" w:color="auto"/>
              <w:right w:val="single" w:sz="4" w:space="0" w:color="auto"/>
            </w:tcBorders>
            <w:shd w:val="clear" w:color="auto" w:fill="auto"/>
            <w:hideMark/>
          </w:tcPr>
          <w:p w14:paraId="22D86E40" w14:textId="77777777" w:rsidR="00A93231" w:rsidRPr="00A93231" w:rsidRDefault="00A93231" w:rsidP="00A93231">
            <w:pPr>
              <w:spacing w:after="0" w:line="240" w:lineRule="auto"/>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 </w:t>
            </w:r>
          </w:p>
        </w:tc>
        <w:tc>
          <w:tcPr>
            <w:tcW w:w="692" w:type="pct"/>
            <w:tcBorders>
              <w:top w:val="nil"/>
              <w:left w:val="nil"/>
              <w:bottom w:val="single" w:sz="4" w:space="0" w:color="auto"/>
              <w:right w:val="single" w:sz="8" w:space="0" w:color="auto"/>
            </w:tcBorders>
            <w:shd w:val="clear" w:color="auto" w:fill="auto"/>
            <w:hideMark/>
          </w:tcPr>
          <w:p w14:paraId="640A55A1" w14:textId="77777777" w:rsidR="00A93231" w:rsidRPr="00A93231" w:rsidRDefault="00A93231" w:rsidP="00A93231">
            <w:pPr>
              <w:spacing w:after="0" w:line="240" w:lineRule="auto"/>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 </w:t>
            </w:r>
          </w:p>
        </w:tc>
      </w:tr>
      <w:tr w:rsidR="00A93231" w:rsidRPr="00A93231" w14:paraId="41AFA53F" w14:textId="77777777" w:rsidTr="008E0319">
        <w:trPr>
          <w:trHeight w:val="315"/>
        </w:trPr>
        <w:tc>
          <w:tcPr>
            <w:tcW w:w="185" w:type="pct"/>
            <w:tcBorders>
              <w:top w:val="nil"/>
              <w:left w:val="single" w:sz="8" w:space="0" w:color="auto"/>
              <w:bottom w:val="single" w:sz="4" w:space="0" w:color="auto"/>
              <w:right w:val="single" w:sz="4" w:space="0" w:color="auto"/>
            </w:tcBorders>
            <w:shd w:val="clear" w:color="auto" w:fill="auto"/>
            <w:hideMark/>
          </w:tcPr>
          <w:p w14:paraId="0F2E1869"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20</w:t>
            </w:r>
          </w:p>
        </w:tc>
        <w:tc>
          <w:tcPr>
            <w:tcW w:w="3486" w:type="pct"/>
            <w:tcBorders>
              <w:top w:val="nil"/>
              <w:left w:val="nil"/>
              <w:bottom w:val="single" w:sz="4" w:space="0" w:color="auto"/>
              <w:right w:val="single" w:sz="4" w:space="0" w:color="auto"/>
            </w:tcBorders>
            <w:shd w:val="clear" w:color="auto" w:fill="auto"/>
            <w:hideMark/>
          </w:tcPr>
          <w:p w14:paraId="766B37CD"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should enrich data to provide broader context and insights.</w:t>
            </w:r>
          </w:p>
        </w:tc>
        <w:tc>
          <w:tcPr>
            <w:tcW w:w="637" w:type="pct"/>
            <w:tcBorders>
              <w:top w:val="nil"/>
              <w:left w:val="nil"/>
              <w:bottom w:val="single" w:sz="4" w:space="0" w:color="auto"/>
              <w:right w:val="single" w:sz="4" w:space="0" w:color="auto"/>
            </w:tcBorders>
            <w:shd w:val="clear" w:color="auto" w:fill="auto"/>
            <w:hideMark/>
          </w:tcPr>
          <w:p w14:paraId="0A48B481" w14:textId="77777777" w:rsidR="00A93231" w:rsidRPr="00A93231" w:rsidRDefault="00A93231" w:rsidP="00A93231">
            <w:pPr>
              <w:spacing w:after="0" w:line="240" w:lineRule="auto"/>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 </w:t>
            </w:r>
          </w:p>
        </w:tc>
        <w:tc>
          <w:tcPr>
            <w:tcW w:w="692" w:type="pct"/>
            <w:tcBorders>
              <w:top w:val="nil"/>
              <w:left w:val="nil"/>
              <w:bottom w:val="single" w:sz="4" w:space="0" w:color="auto"/>
              <w:right w:val="single" w:sz="8" w:space="0" w:color="auto"/>
            </w:tcBorders>
            <w:shd w:val="clear" w:color="auto" w:fill="auto"/>
            <w:hideMark/>
          </w:tcPr>
          <w:p w14:paraId="22416440" w14:textId="77777777" w:rsidR="00A93231" w:rsidRPr="00A93231" w:rsidRDefault="00A93231" w:rsidP="00A93231">
            <w:pPr>
              <w:spacing w:after="0" w:line="240" w:lineRule="auto"/>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 </w:t>
            </w:r>
          </w:p>
        </w:tc>
      </w:tr>
      <w:tr w:rsidR="00A93231" w:rsidRPr="00A93231" w14:paraId="5CAF3C35" w14:textId="77777777" w:rsidTr="008E0319">
        <w:trPr>
          <w:trHeight w:val="315"/>
        </w:trPr>
        <w:tc>
          <w:tcPr>
            <w:tcW w:w="185" w:type="pct"/>
            <w:tcBorders>
              <w:top w:val="nil"/>
              <w:left w:val="single" w:sz="8" w:space="0" w:color="auto"/>
              <w:bottom w:val="single" w:sz="4" w:space="0" w:color="auto"/>
              <w:right w:val="single" w:sz="4" w:space="0" w:color="auto"/>
            </w:tcBorders>
            <w:shd w:val="clear" w:color="auto" w:fill="auto"/>
            <w:hideMark/>
          </w:tcPr>
          <w:p w14:paraId="0A632BFF"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21</w:t>
            </w:r>
          </w:p>
        </w:tc>
        <w:tc>
          <w:tcPr>
            <w:tcW w:w="3486" w:type="pct"/>
            <w:tcBorders>
              <w:top w:val="nil"/>
              <w:left w:val="nil"/>
              <w:bottom w:val="single" w:sz="4" w:space="0" w:color="auto"/>
              <w:right w:val="single" w:sz="4" w:space="0" w:color="auto"/>
            </w:tcBorders>
            <w:shd w:val="clear" w:color="auto" w:fill="auto"/>
            <w:hideMark/>
          </w:tcPr>
          <w:p w14:paraId="199B7B67"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should include date and time information in scan results.</w:t>
            </w:r>
          </w:p>
        </w:tc>
        <w:tc>
          <w:tcPr>
            <w:tcW w:w="637" w:type="pct"/>
            <w:tcBorders>
              <w:top w:val="nil"/>
              <w:left w:val="nil"/>
              <w:bottom w:val="single" w:sz="4" w:space="0" w:color="auto"/>
              <w:right w:val="single" w:sz="4" w:space="0" w:color="auto"/>
            </w:tcBorders>
            <w:shd w:val="clear" w:color="auto" w:fill="auto"/>
            <w:hideMark/>
          </w:tcPr>
          <w:p w14:paraId="7CD9E6DF" w14:textId="77777777" w:rsidR="00A93231" w:rsidRPr="00A93231" w:rsidRDefault="00A93231" w:rsidP="00A93231">
            <w:pPr>
              <w:spacing w:after="0" w:line="240" w:lineRule="auto"/>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 </w:t>
            </w:r>
          </w:p>
        </w:tc>
        <w:tc>
          <w:tcPr>
            <w:tcW w:w="692" w:type="pct"/>
            <w:tcBorders>
              <w:top w:val="nil"/>
              <w:left w:val="nil"/>
              <w:bottom w:val="single" w:sz="4" w:space="0" w:color="auto"/>
              <w:right w:val="single" w:sz="8" w:space="0" w:color="auto"/>
            </w:tcBorders>
            <w:shd w:val="clear" w:color="auto" w:fill="auto"/>
            <w:hideMark/>
          </w:tcPr>
          <w:p w14:paraId="4E7AEBA7" w14:textId="77777777" w:rsidR="00A93231" w:rsidRPr="00A93231" w:rsidRDefault="00A93231" w:rsidP="00A93231">
            <w:pPr>
              <w:spacing w:after="0" w:line="240" w:lineRule="auto"/>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 </w:t>
            </w:r>
          </w:p>
        </w:tc>
      </w:tr>
      <w:tr w:rsidR="00A93231" w:rsidRPr="00A93231" w14:paraId="1905B88D" w14:textId="77777777" w:rsidTr="008E0319">
        <w:trPr>
          <w:trHeight w:val="315"/>
        </w:trPr>
        <w:tc>
          <w:tcPr>
            <w:tcW w:w="185" w:type="pct"/>
            <w:tcBorders>
              <w:top w:val="nil"/>
              <w:left w:val="single" w:sz="8" w:space="0" w:color="auto"/>
              <w:bottom w:val="single" w:sz="4" w:space="0" w:color="auto"/>
              <w:right w:val="single" w:sz="4" w:space="0" w:color="auto"/>
            </w:tcBorders>
            <w:shd w:val="clear" w:color="auto" w:fill="auto"/>
            <w:hideMark/>
          </w:tcPr>
          <w:p w14:paraId="49A5B597"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lastRenderedPageBreak/>
              <w:t>22</w:t>
            </w:r>
          </w:p>
        </w:tc>
        <w:tc>
          <w:tcPr>
            <w:tcW w:w="3486" w:type="pct"/>
            <w:tcBorders>
              <w:top w:val="nil"/>
              <w:left w:val="nil"/>
              <w:bottom w:val="single" w:sz="4" w:space="0" w:color="auto"/>
              <w:right w:val="single" w:sz="4" w:space="0" w:color="auto"/>
            </w:tcBorders>
            <w:shd w:val="clear" w:color="auto" w:fill="auto"/>
            <w:hideMark/>
          </w:tcPr>
          <w:p w14:paraId="753430C1"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should incorporate GeoIP data for enhanced contextual information.</w:t>
            </w:r>
          </w:p>
        </w:tc>
        <w:tc>
          <w:tcPr>
            <w:tcW w:w="637" w:type="pct"/>
            <w:tcBorders>
              <w:top w:val="nil"/>
              <w:left w:val="nil"/>
              <w:bottom w:val="single" w:sz="4" w:space="0" w:color="auto"/>
              <w:right w:val="single" w:sz="4" w:space="0" w:color="auto"/>
            </w:tcBorders>
            <w:shd w:val="clear" w:color="auto" w:fill="auto"/>
            <w:hideMark/>
          </w:tcPr>
          <w:p w14:paraId="6E3F4037" w14:textId="77777777" w:rsidR="00A93231" w:rsidRPr="00A93231" w:rsidRDefault="00A93231" w:rsidP="00A93231">
            <w:pPr>
              <w:spacing w:after="0" w:line="240" w:lineRule="auto"/>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 </w:t>
            </w:r>
          </w:p>
        </w:tc>
        <w:tc>
          <w:tcPr>
            <w:tcW w:w="692" w:type="pct"/>
            <w:tcBorders>
              <w:top w:val="nil"/>
              <w:left w:val="nil"/>
              <w:bottom w:val="single" w:sz="4" w:space="0" w:color="auto"/>
              <w:right w:val="single" w:sz="8" w:space="0" w:color="auto"/>
            </w:tcBorders>
            <w:shd w:val="clear" w:color="auto" w:fill="auto"/>
            <w:hideMark/>
          </w:tcPr>
          <w:p w14:paraId="0B8F7199" w14:textId="77777777" w:rsidR="00A93231" w:rsidRPr="00A93231" w:rsidRDefault="00A93231" w:rsidP="00A93231">
            <w:pPr>
              <w:spacing w:after="0" w:line="240" w:lineRule="auto"/>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 </w:t>
            </w:r>
          </w:p>
        </w:tc>
      </w:tr>
      <w:tr w:rsidR="00A93231" w:rsidRPr="00A93231" w14:paraId="688FB3CA" w14:textId="77777777" w:rsidTr="008E0319">
        <w:trPr>
          <w:trHeight w:val="315"/>
        </w:trPr>
        <w:tc>
          <w:tcPr>
            <w:tcW w:w="185" w:type="pct"/>
            <w:tcBorders>
              <w:top w:val="nil"/>
              <w:left w:val="single" w:sz="8" w:space="0" w:color="auto"/>
              <w:bottom w:val="single" w:sz="4" w:space="0" w:color="auto"/>
              <w:right w:val="single" w:sz="4" w:space="0" w:color="auto"/>
            </w:tcBorders>
            <w:shd w:val="clear" w:color="auto" w:fill="auto"/>
            <w:hideMark/>
          </w:tcPr>
          <w:p w14:paraId="0B85B505"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23</w:t>
            </w:r>
          </w:p>
        </w:tc>
        <w:tc>
          <w:tcPr>
            <w:tcW w:w="3486" w:type="pct"/>
            <w:tcBorders>
              <w:top w:val="nil"/>
              <w:left w:val="nil"/>
              <w:bottom w:val="single" w:sz="4" w:space="0" w:color="auto"/>
              <w:right w:val="single" w:sz="4" w:space="0" w:color="auto"/>
            </w:tcBorders>
            <w:shd w:val="clear" w:color="auto" w:fill="auto"/>
            <w:hideMark/>
          </w:tcPr>
          <w:p w14:paraId="237E3259"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should include Common Vulnerabilities and Exposures (CVE) data.</w:t>
            </w:r>
          </w:p>
        </w:tc>
        <w:tc>
          <w:tcPr>
            <w:tcW w:w="637" w:type="pct"/>
            <w:tcBorders>
              <w:top w:val="nil"/>
              <w:left w:val="nil"/>
              <w:bottom w:val="single" w:sz="4" w:space="0" w:color="auto"/>
              <w:right w:val="single" w:sz="4" w:space="0" w:color="auto"/>
            </w:tcBorders>
            <w:shd w:val="clear" w:color="auto" w:fill="auto"/>
            <w:hideMark/>
          </w:tcPr>
          <w:p w14:paraId="3B5E3648" w14:textId="77777777" w:rsidR="00A93231" w:rsidRPr="00A93231" w:rsidRDefault="00A93231" w:rsidP="00A93231">
            <w:pPr>
              <w:spacing w:after="0" w:line="240" w:lineRule="auto"/>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 </w:t>
            </w:r>
          </w:p>
        </w:tc>
        <w:tc>
          <w:tcPr>
            <w:tcW w:w="692" w:type="pct"/>
            <w:tcBorders>
              <w:top w:val="nil"/>
              <w:left w:val="nil"/>
              <w:bottom w:val="single" w:sz="4" w:space="0" w:color="auto"/>
              <w:right w:val="single" w:sz="8" w:space="0" w:color="auto"/>
            </w:tcBorders>
            <w:shd w:val="clear" w:color="auto" w:fill="auto"/>
            <w:hideMark/>
          </w:tcPr>
          <w:p w14:paraId="2855399B" w14:textId="77777777" w:rsidR="00A93231" w:rsidRPr="00A93231" w:rsidRDefault="00A93231" w:rsidP="00A93231">
            <w:pPr>
              <w:spacing w:after="0" w:line="240" w:lineRule="auto"/>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 </w:t>
            </w:r>
          </w:p>
        </w:tc>
      </w:tr>
      <w:tr w:rsidR="00A93231" w:rsidRPr="00A93231" w14:paraId="062C98DA" w14:textId="77777777" w:rsidTr="008E0319">
        <w:trPr>
          <w:trHeight w:val="315"/>
        </w:trPr>
        <w:tc>
          <w:tcPr>
            <w:tcW w:w="185" w:type="pct"/>
            <w:tcBorders>
              <w:top w:val="nil"/>
              <w:left w:val="single" w:sz="8" w:space="0" w:color="auto"/>
              <w:bottom w:val="single" w:sz="4" w:space="0" w:color="auto"/>
              <w:right w:val="single" w:sz="4" w:space="0" w:color="auto"/>
            </w:tcBorders>
            <w:shd w:val="clear" w:color="auto" w:fill="auto"/>
            <w:hideMark/>
          </w:tcPr>
          <w:p w14:paraId="6BF14D55"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24</w:t>
            </w:r>
          </w:p>
        </w:tc>
        <w:tc>
          <w:tcPr>
            <w:tcW w:w="3486" w:type="pct"/>
            <w:tcBorders>
              <w:top w:val="nil"/>
              <w:left w:val="nil"/>
              <w:bottom w:val="single" w:sz="4" w:space="0" w:color="auto"/>
              <w:right w:val="single" w:sz="4" w:space="0" w:color="auto"/>
            </w:tcBorders>
            <w:shd w:val="clear" w:color="auto" w:fill="auto"/>
            <w:hideMark/>
          </w:tcPr>
          <w:p w14:paraId="2330A6DF"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should not only identify but also assist in managing cloud assets.</w:t>
            </w:r>
          </w:p>
        </w:tc>
        <w:tc>
          <w:tcPr>
            <w:tcW w:w="637" w:type="pct"/>
            <w:tcBorders>
              <w:top w:val="nil"/>
              <w:left w:val="nil"/>
              <w:bottom w:val="single" w:sz="4" w:space="0" w:color="auto"/>
              <w:right w:val="single" w:sz="4" w:space="0" w:color="auto"/>
            </w:tcBorders>
            <w:shd w:val="clear" w:color="auto" w:fill="auto"/>
            <w:hideMark/>
          </w:tcPr>
          <w:p w14:paraId="1C7E8F8E" w14:textId="77777777" w:rsidR="00A93231" w:rsidRPr="00A93231" w:rsidRDefault="00A93231" w:rsidP="00A93231">
            <w:pPr>
              <w:spacing w:after="0" w:line="240" w:lineRule="auto"/>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 </w:t>
            </w:r>
          </w:p>
        </w:tc>
        <w:tc>
          <w:tcPr>
            <w:tcW w:w="692" w:type="pct"/>
            <w:tcBorders>
              <w:top w:val="nil"/>
              <w:left w:val="nil"/>
              <w:bottom w:val="single" w:sz="4" w:space="0" w:color="auto"/>
              <w:right w:val="single" w:sz="8" w:space="0" w:color="auto"/>
            </w:tcBorders>
            <w:shd w:val="clear" w:color="auto" w:fill="auto"/>
            <w:hideMark/>
          </w:tcPr>
          <w:p w14:paraId="3E560C8F" w14:textId="77777777" w:rsidR="00A93231" w:rsidRPr="00A93231" w:rsidRDefault="00A93231" w:rsidP="00A93231">
            <w:pPr>
              <w:spacing w:after="0" w:line="240" w:lineRule="auto"/>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 </w:t>
            </w:r>
          </w:p>
        </w:tc>
      </w:tr>
      <w:tr w:rsidR="00A93231" w:rsidRPr="00A93231" w14:paraId="1E3830B7" w14:textId="77777777" w:rsidTr="008E0319">
        <w:trPr>
          <w:trHeight w:val="315"/>
        </w:trPr>
        <w:tc>
          <w:tcPr>
            <w:tcW w:w="185" w:type="pct"/>
            <w:tcBorders>
              <w:top w:val="nil"/>
              <w:left w:val="single" w:sz="8" w:space="0" w:color="auto"/>
              <w:bottom w:val="single" w:sz="4" w:space="0" w:color="auto"/>
              <w:right w:val="single" w:sz="4" w:space="0" w:color="auto"/>
            </w:tcBorders>
            <w:shd w:val="clear" w:color="auto" w:fill="auto"/>
            <w:hideMark/>
          </w:tcPr>
          <w:p w14:paraId="77F0A0EF"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25</w:t>
            </w:r>
          </w:p>
        </w:tc>
        <w:tc>
          <w:tcPr>
            <w:tcW w:w="3486" w:type="pct"/>
            <w:tcBorders>
              <w:top w:val="nil"/>
              <w:left w:val="nil"/>
              <w:bottom w:val="single" w:sz="4" w:space="0" w:color="auto"/>
              <w:right w:val="single" w:sz="4" w:space="0" w:color="auto"/>
            </w:tcBorders>
            <w:shd w:val="clear" w:color="auto" w:fill="auto"/>
            <w:hideMark/>
          </w:tcPr>
          <w:p w14:paraId="655AE470"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should identify assets across all major cloud providers.</w:t>
            </w:r>
          </w:p>
        </w:tc>
        <w:tc>
          <w:tcPr>
            <w:tcW w:w="637" w:type="pct"/>
            <w:tcBorders>
              <w:top w:val="nil"/>
              <w:left w:val="nil"/>
              <w:bottom w:val="single" w:sz="4" w:space="0" w:color="auto"/>
              <w:right w:val="single" w:sz="4" w:space="0" w:color="auto"/>
            </w:tcBorders>
            <w:shd w:val="clear" w:color="auto" w:fill="auto"/>
            <w:hideMark/>
          </w:tcPr>
          <w:p w14:paraId="6AFA8104" w14:textId="77777777" w:rsidR="00A93231" w:rsidRPr="00A93231" w:rsidRDefault="00A93231" w:rsidP="00A93231">
            <w:pPr>
              <w:spacing w:after="0" w:line="240" w:lineRule="auto"/>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 </w:t>
            </w:r>
          </w:p>
        </w:tc>
        <w:tc>
          <w:tcPr>
            <w:tcW w:w="692" w:type="pct"/>
            <w:tcBorders>
              <w:top w:val="nil"/>
              <w:left w:val="nil"/>
              <w:bottom w:val="single" w:sz="4" w:space="0" w:color="auto"/>
              <w:right w:val="single" w:sz="8" w:space="0" w:color="auto"/>
            </w:tcBorders>
            <w:shd w:val="clear" w:color="auto" w:fill="auto"/>
            <w:hideMark/>
          </w:tcPr>
          <w:p w14:paraId="2734589C" w14:textId="77777777" w:rsidR="00A93231" w:rsidRPr="00A93231" w:rsidRDefault="00A93231" w:rsidP="00A93231">
            <w:pPr>
              <w:spacing w:after="0" w:line="240" w:lineRule="auto"/>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t> </w:t>
            </w:r>
          </w:p>
        </w:tc>
      </w:tr>
      <w:tr w:rsidR="00A93231" w:rsidRPr="00A93231" w14:paraId="5937F04A" w14:textId="77777777" w:rsidTr="008E0319">
        <w:trPr>
          <w:trHeight w:val="510"/>
        </w:trPr>
        <w:tc>
          <w:tcPr>
            <w:tcW w:w="185" w:type="pct"/>
            <w:tcBorders>
              <w:top w:val="nil"/>
              <w:left w:val="single" w:sz="8" w:space="0" w:color="auto"/>
              <w:bottom w:val="single" w:sz="4" w:space="0" w:color="auto"/>
              <w:right w:val="single" w:sz="4" w:space="0" w:color="auto"/>
            </w:tcBorders>
            <w:shd w:val="clear" w:color="auto" w:fill="auto"/>
            <w:hideMark/>
          </w:tcPr>
          <w:p w14:paraId="6CB1A05D"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26</w:t>
            </w:r>
          </w:p>
        </w:tc>
        <w:tc>
          <w:tcPr>
            <w:tcW w:w="3486" w:type="pct"/>
            <w:tcBorders>
              <w:top w:val="nil"/>
              <w:left w:val="nil"/>
              <w:bottom w:val="single" w:sz="4" w:space="0" w:color="auto"/>
              <w:right w:val="single" w:sz="4" w:space="0" w:color="auto"/>
            </w:tcBorders>
            <w:shd w:val="clear" w:color="auto" w:fill="auto"/>
            <w:hideMark/>
          </w:tcPr>
          <w:p w14:paraId="7561FF5A" w14:textId="2256A0A8"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should treat dynamic assets in a simple manner, so that results can be de</w:t>
            </w:r>
            <w:r w:rsidR="00342ED2">
              <w:rPr>
                <w:rFonts w:ascii="Calibri" w:eastAsia="Times New Roman" w:hAnsi="Calibri" w:cs="Calibri"/>
                <w:sz w:val="20"/>
                <w:szCs w:val="20"/>
                <w:lang w:val="en-GB" w:eastAsia="en-GB"/>
              </w:rPr>
              <w:t>-</w:t>
            </w:r>
            <w:r w:rsidRPr="00A93231">
              <w:rPr>
                <w:rFonts w:ascii="Calibri" w:eastAsia="Times New Roman" w:hAnsi="Calibri" w:cs="Calibri"/>
                <w:sz w:val="20"/>
                <w:szCs w:val="20"/>
                <w:lang w:val="en-GB" w:eastAsia="en-GB"/>
              </w:rPr>
              <w:t>duplicated when a single identifier is seen hosted many times across large CDNs</w:t>
            </w:r>
          </w:p>
        </w:tc>
        <w:tc>
          <w:tcPr>
            <w:tcW w:w="637" w:type="pct"/>
            <w:tcBorders>
              <w:top w:val="nil"/>
              <w:left w:val="nil"/>
              <w:bottom w:val="single" w:sz="4" w:space="0" w:color="auto"/>
              <w:right w:val="single" w:sz="4" w:space="0" w:color="auto"/>
            </w:tcBorders>
            <w:shd w:val="clear" w:color="auto" w:fill="auto"/>
            <w:hideMark/>
          </w:tcPr>
          <w:p w14:paraId="4B8E0B5E"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c>
          <w:tcPr>
            <w:tcW w:w="692" w:type="pct"/>
            <w:tcBorders>
              <w:top w:val="nil"/>
              <w:left w:val="nil"/>
              <w:bottom w:val="single" w:sz="4" w:space="0" w:color="auto"/>
              <w:right w:val="single" w:sz="8" w:space="0" w:color="auto"/>
            </w:tcBorders>
            <w:shd w:val="clear" w:color="auto" w:fill="auto"/>
            <w:hideMark/>
          </w:tcPr>
          <w:p w14:paraId="2356EFBD"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r>
      <w:tr w:rsidR="00A93231" w:rsidRPr="00A93231" w14:paraId="55BE707F" w14:textId="77777777" w:rsidTr="008E0319">
        <w:trPr>
          <w:trHeight w:val="300"/>
        </w:trPr>
        <w:tc>
          <w:tcPr>
            <w:tcW w:w="185" w:type="pct"/>
            <w:tcBorders>
              <w:top w:val="nil"/>
              <w:left w:val="single" w:sz="8" w:space="0" w:color="auto"/>
              <w:bottom w:val="single" w:sz="4" w:space="0" w:color="auto"/>
              <w:right w:val="single" w:sz="4" w:space="0" w:color="auto"/>
            </w:tcBorders>
            <w:shd w:val="clear" w:color="auto" w:fill="auto"/>
            <w:hideMark/>
          </w:tcPr>
          <w:p w14:paraId="520A1D6D"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27</w:t>
            </w:r>
          </w:p>
        </w:tc>
        <w:tc>
          <w:tcPr>
            <w:tcW w:w="3486" w:type="pct"/>
            <w:tcBorders>
              <w:top w:val="nil"/>
              <w:left w:val="nil"/>
              <w:bottom w:val="single" w:sz="4" w:space="0" w:color="auto"/>
              <w:right w:val="single" w:sz="4" w:space="0" w:color="auto"/>
            </w:tcBorders>
            <w:shd w:val="clear" w:color="auto" w:fill="auto"/>
            <w:hideMark/>
          </w:tcPr>
          <w:p w14:paraId="6917B091"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should distinguish between directly attributable assets and co-located services</w:t>
            </w:r>
          </w:p>
        </w:tc>
        <w:tc>
          <w:tcPr>
            <w:tcW w:w="637" w:type="pct"/>
            <w:tcBorders>
              <w:top w:val="nil"/>
              <w:left w:val="nil"/>
              <w:bottom w:val="single" w:sz="4" w:space="0" w:color="auto"/>
              <w:right w:val="single" w:sz="4" w:space="0" w:color="auto"/>
            </w:tcBorders>
            <w:shd w:val="clear" w:color="auto" w:fill="auto"/>
            <w:hideMark/>
          </w:tcPr>
          <w:p w14:paraId="4CDD9FF0"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c>
          <w:tcPr>
            <w:tcW w:w="692" w:type="pct"/>
            <w:tcBorders>
              <w:top w:val="nil"/>
              <w:left w:val="nil"/>
              <w:bottom w:val="single" w:sz="4" w:space="0" w:color="auto"/>
              <w:right w:val="single" w:sz="8" w:space="0" w:color="auto"/>
            </w:tcBorders>
            <w:shd w:val="clear" w:color="auto" w:fill="auto"/>
            <w:hideMark/>
          </w:tcPr>
          <w:p w14:paraId="6D4D9E4A"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r>
      <w:tr w:rsidR="00A93231" w:rsidRPr="00A93231" w14:paraId="410AD976" w14:textId="77777777" w:rsidTr="008E0319">
        <w:trPr>
          <w:trHeight w:val="300"/>
        </w:trPr>
        <w:tc>
          <w:tcPr>
            <w:tcW w:w="185" w:type="pct"/>
            <w:tcBorders>
              <w:top w:val="nil"/>
              <w:left w:val="single" w:sz="8" w:space="0" w:color="auto"/>
              <w:bottom w:val="single" w:sz="4" w:space="0" w:color="auto"/>
              <w:right w:val="single" w:sz="4" w:space="0" w:color="auto"/>
            </w:tcBorders>
            <w:shd w:val="clear" w:color="auto" w:fill="auto"/>
            <w:hideMark/>
          </w:tcPr>
          <w:p w14:paraId="05EE9C78"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28</w:t>
            </w:r>
          </w:p>
        </w:tc>
        <w:tc>
          <w:tcPr>
            <w:tcW w:w="3486" w:type="pct"/>
            <w:tcBorders>
              <w:top w:val="nil"/>
              <w:left w:val="nil"/>
              <w:bottom w:val="single" w:sz="4" w:space="0" w:color="auto"/>
              <w:right w:val="single" w:sz="4" w:space="0" w:color="auto"/>
            </w:tcBorders>
            <w:shd w:val="clear" w:color="auto" w:fill="auto"/>
            <w:hideMark/>
          </w:tcPr>
          <w:p w14:paraId="2DF56363"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should allow for the configuration of approved and unapproved cloud providers, and corresponding alerts</w:t>
            </w:r>
          </w:p>
        </w:tc>
        <w:tc>
          <w:tcPr>
            <w:tcW w:w="637" w:type="pct"/>
            <w:tcBorders>
              <w:top w:val="nil"/>
              <w:left w:val="nil"/>
              <w:bottom w:val="single" w:sz="4" w:space="0" w:color="auto"/>
              <w:right w:val="single" w:sz="4" w:space="0" w:color="auto"/>
            </w:tcBorders>
            <w:shd w:val="clear" w:color="auto" w:fill="auto"/>
            <w:hideMark/>
          </w:tcPr>
          <w:p w14:paraId="39F2A4DB"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c>
          <w:tcPr>
            <w:tcW w:w="692" w:type="pct"/>
            <w:tcBorders>
              <w:top w:val="nil"/>
              <w:left w:val="nil"/>
              <w:bottom w:val="single" w:sz="4" w:space="0" w:color="auto"/>
              <w:right w:val="single" w:sz="8" w:space="0" w:color="auto"/>
            </w:tcBorders>
            <w:shd w:val="clear" w:color="auto" w:fill="auto"/>
            <w:hideMark/>
          </w:tcPr>
          <w:p w14:paraId="2CAB41DF"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r>
      <w:tr w:rsidR="00A93231" w:rsidRPr="00A93231" w14:paraId="41B9DE4E" w14:textId="77777777" w:rsidTr="008E0319">
        <w:trPr>
          <w:trHeight w:val="300"/>
        </w:trPr>
        <w:tc>
          <w:tcPr>
            <w:tcW w:w="185" w:type="pct"/>
            <w:tcBorders>
              <w:top w:val="nil"/>
              <w:left w:val="single" w:sz="8" w:space="0" w:color="auto"/>
              <w:bottom w:val="single" w:sz="4" w:space="0" w:color="auto"/>
              <w:right w:val="single" w:sz="4" w:space="0" w:color="auto"/>
            </w:tcBorders>
            <w:shd w:val="clear" w:color="auto" w:fill="auto"/>
            <w:hideMark/>
          </w:tcPr>
          <w:p w14:paraId="5845485A"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29</w:t>
            </w:r>
          </w:p>
        </w:tc>
        <w:tc>
          <w:tcPr>
            <w:tcW w:w="3486" w:type="pct"/>
            <w:tcBorders>
              <w:top w:val="nil"/>
              <w:left w:val="nil"/>
              <w:bottom w:val="single" w:sz="4" w:space="0" w:color="auto"/>
              <w:right w:val="single" w:sz="4" w:space="0" w:color="auto"/>
            </w:tcBorders>
            <w:shd w:val="clear" w:color="auto" w:fill="auto"/>
            <w:hideMark/>
          </w:tcPr>
          <w:p w14:paraId="74F57F48"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Tooling to streamline the management of assets</w:t>
            </w:r>
          </w:p>
        </w:tc>
        <w:tc>
          <w:tcPr>
            <w:tcW w:w="637" w:type="pct"/>
            <w:tcBorders>
              <w:top w:val="nil"/>
              <w:left w:val="nil"/>
              <w:bottom w:val="single" w:sz="4" w:space="0" w:color="auto"/>
              <w:right w:val="single" w:sz="4" w:space="0" w:color="auto"/>
            </w:tcBorders>
            <w:shd w:val="clear" w:color="auto" w:fill="auto"/>
            <w:hideMark/>
          </w:tcPr>
          <w:p w14:paraId="0920DE27"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c>
          <w:tcPr>
            <w:tcW w:w="692" w:type="pct"/>
            <w:tcBorders>
              <w:top w:val="nil"/>
              <w:left w:val="nil"/>
              <w:bottom w:val="single" w:sz="4" w:space="0" w:color="auto"/>
              <w:right w:val="single" w:sz="8" w:space="0" w:color="auto"/>
            </w:tcBorders>
            <w:shd w:val="clear" w:color="auto" w:fill="auto"/>
            <w:hideMark/>
          </w:tcPr>
          <w:p w14:paraId="4CF72E59"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r>
      <w:tr w:rsidR="00A93231" w:rsidRPr="00A93231" w14:paraId="2774EA91" w14:textId="77777777" w:rsidTr="008E0319">
        <w:trPr>
          <w:trHeight w:val="300"/>
        </w:trPr>
        <w:tc>
          <w:tcPr>
            <w:tcW w:w="185" w:type="pct"/>
            <w:tcBorders>
              <w:top w:val="nil"/>
              <w:left w:val="single" w:sz="8" w:space="0" w:color="auto"/>
              <w:bottom w:val="single" w:sz="4" w:space="0" w:color="auto"/>
              <w:right w:val="single" w:sz="4" w:space="0" w:color="auto"/>
            </w:tcBorders>
            <w:shd w:val="clear" w:color="auto" w:fill="auto"/>
            <w:hideMark/>
          </w:tcPr>
          <w:p w14:paraId="1292253D"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30</w:t>
            </w:r>
          </w:p>
        </w:tc>
        <w:tc>
          <w:tcPr>
            <w:tcW w:w="3486" w:type="pct"/>
            <w:tcBorders>
              <w:top w:val="nil"/>
              <w:left w:val="nil"/>
              <w:bottom w:val="single" w:sz="4" w:space="0" w:color="auto"/>
              <w:right w:val="single" w:sz="4" w:space="0" w:color="auto"/>
            </w:tcBorders>
            <w:shd w:val="clear" w:color="auto" w:fill="auto"/>
            <w:hideMark/>
          </w:tcPr>
          <w:p w14:paraId="0BAB52E8"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should have a defined and scoped process for validating that assets do in fact belong to that organization</w:t>
            </w:r>
          </w:p>
        </w:tc>
        <w:tc>
          <w:tcPr>
            <w:tcW w:w="637" w:type="pct"/>
            <w:tcBorders>
              <w:top w:val="nil"/>
              <w:left w:val="nil"/>
              <w:bottom w:val="single" w:sz="4" w:space="0" w:color="auto"/>
              <w:right w:val="single" w:sz="4" w:space="0" w:color="auto"/>
            </w:tcBorders>
            <w:shd w:val="clear" w:color="auto" w:fill="auto"/>
            <w:hideMark/>
          </w:tcPr>
          <w:p w14:paraId="4698352B"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c>
          <w:tcPr>
            <w:tcW w:w="692" w:type="pct"/>
            <w:tcBorders>
              <w:top w:val="nil"/>
              <w:left w:val="nil"/>
              <w:bottom w:val="single" w:sz="4" w:space="0" w:color="auto"/>
              <w:right w:val="single" w:sz="8" w:space="0" w:color="auto"/>
            </w:tcBorders>
            <w:shd w:val="clear" w:color="auto" w:fill="auto"/>
            <w:hideMark/>
          </w:tcPr>
          <w:p w14:paraId="583C96E0"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r>
      <w:tr w:rsidR="00A93231" w:rsidRPr="00A93231" w14:paraId="5174B50E" w14:textId="77777777" w:rsidTr="008E0319">
        <w:trPr>
          <w:trHeight w:val="300"/>
        </w:trPr>
        <w:tc>
          <w:tcPr>
            <w:tcW w:w="185" w:type="pct"/>
            <w:tcBorders>
              <w:top w:val="nil"/>
              <w:left w:val="single" w:sz="8" w:space="0" w:color="auto"/>
              <w:bottom w:val="single" w:sz="4" w:space="0" w:color="auto"/>
              <w:right w:val="single" w:sz="4" w:space="0" w:color="auto"/>
            </w:tcBorders>
            <w:shd w:val="clear" w:color="auto" w:fill="auto"/>
            <w:hideMark/>
          </w:tcPr>
          <w:p w14:paraId="4B577253"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31</w:t>
            </w:r>
          </w:p>
        </w:tc>
        <w:tc>
          <w:tcPr>
            <w:tcW w:w="3486" w:type="pct"/>
            <w:tcBorders>
              <w:top w:val="nil"/>
              <w:left w:val="nil"/>
              <w:bottom w:val="single" w:sz="4" w:space="0" w:color="auto"/>
              <w:right w:val="single" w:sz="4" w:space="0" w:color="auto"/>
            </w:tcBorders>
            <w:shd w:val="clear" w:color="auto" w:fill="auto"/>
            <w:hideMark/>
          </w:tcPr>
          <w:p w14:paraId="74C9B616"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should describe why an asset is attributed to the Bank.</w:t>
            </w:r>
          </w:p>
        </w:tc>
        <w:tc>
          <w:tcPr>
            <w:tcW w:w="637" w:type="pct"/>
            <w:tcBorders>
              <w:top w:val="nil"/>
              <w:left w:val="nil"/>
              <w:bottom w:val="single" w:sz="4" w:space="0" w:color="auto"/>
              <w:right w:val="single" w:sz="4" w:space="0" w:color="auto"/>
            </w:tcBorders>
            <w:shd w:val="clear" w:color="auto" w:fill="auto"/>
            <w:hideMark/>
          </w:tcPr>
          <w:p w14:paraId="795B6552"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c>
          <w:tcPr>
            <w:tcW w:w="692" w:type="pct"/>
            <w:tcBorders>
              <w:top w:val="nil"/>
              <w:left w:val="nil"/>
              <w:bottom w:val="single" w:sz="4" w:space="0" w:color="auto"/>
              <w:right w:val="single" w:sz="8" w:space="0" w:color="auto"/>
            </w:tcBorders>
            <w:shd w:val="clear" w:color="auto" w:fill="auto"/>
            <w:hideMark/>
          </w:tcPr>
          <w:p w14:paraId="424AFA64"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r>
      <w:tr w:rsidR="00A93231" w:rsidRPr="00A93231" w14:paraId="4ECA2CB8" w14:textId="77777777" w:rsidTr="008E0319">
        <w:trPr>
          <w:trHeight w:val="300"/>
        </w:trPr>
        <w:tc>
          <w:tcPr>
            <w:tcW w:w="185" w:type="pct"/>
            <w:tcBorders>
              <w:top w:val="nil"/>
              <w:left w:val="single" w:sz="8" w:space="0" w:color="auto"/>
              <w:bottom w:val="single" w:sz="4" w:space="0" w:color="auto"/>
              <w:right w:val="single" w:sz="4" w:space="0" w:color="auto"/>
            </w:tcBorders>
            <w:shd w:val="clear" w:color="auto" w:fill="auto"/>
            <w:hideMark/>
          </w:tcPr>
          <w:p w14:paraId="0552B50E"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32</w:t>
            </w:r>
          </w:p>
        </w:tc>
        <w:tc>
          <w:tcPr>
            <w:tcW w:w="3486" w:type="pct"/>
            <w:tcBorders>
              <w:top w:val="nil"/>
              <w:left w:val="nil"/>
              <w:bottom w:val="single" w:sz="4" w:space="0" w:color="auto"/>
              <w:right w:val="single" w:sz="4" w:space="0" w:color="auto"/>
            </w:tcBorders>
            <w:shd w:val="clear" w:color="auto" w:fill="auto"/>
            <w:hideMark/>
          </w:tcPr>
          <w:p w14:paraId="50F87AD4"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should label assets with an ownership confidence score</w:t>
            </w:r>
          </w:p>
        </w:tc>
        <w:tc>
          <w:tcPr>
            <w:tcW w:w="637" w:type="pct"/>
            <w:tcBorders>
              <w:top w:val="nil"/>
              <w:left w:val="nil"/>
              <w:bottom w:val="single" w:sz="4" w:space="0" w:color="auto"/>
              <w:right w:val="single" w:sz="4" w:space="0" w:color="auto"/>
            </w:tcBorders>
            <w:shd w:val="clear" w:color="auto" w:fill="auto"/>
            <w:hideMark/>
          </w:tcPr>
          <w:p w14:paraId="678CFF50"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c>
          <w:tcPr>
            <w:tcW w:w="692" w:type="pct"/>
            <w:tcBorders>
              <w:top w:val="nil"/>
              <w:left w:val="nil"/>
              <w:bottom w:val="single" w:sz="4" w:space="0" w:color="auto"/>
              <w:right w:val="single" w:sz="8" w:space="0" w:color="auto"/>
            </w:tcBorders>
            <w:shd w:val="clear" w:color="auto" w:fill="auto"/>
            <w:hideMark/>
          </w:tcPr>
          <w:p w14:paraId="272B9A46"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r>
      <w:tr w:rsidR="00A93231" w:rsidRPr="00A93231" w14:paraId="6E27C266" w14:textId="77777777" w:rsidTr="008E0319">
        <w:trPr>
          <w:trHeight w:val="1275"/>
        </w:trPr>
        <w:tc>
          <w:tcPr>
            <w:tcW w:w="185" w:type="pct"/>
            <w:tcBorders>
              <w:top w:val="nil"/>
              <w:left w:val="single" w:sz="8" w:space="0" w:color="auto"/>
              <w:bottom w:val="single" w:sz="4" w:space="0" w:color="auto"/>
              <w:right w:val="single" w:sz="4" w:space="0" w:color="auto"/>
            </w:tcBorders>
            <w:shd w:val="clear" w:color="auto" w:fill="auto"/>
            <w:hideMark/>
          </w:tcPr>
          <w:p w14:paraId="3D227F03"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33</w:t>
            </w:r>
          </w:p>
        </w:tc>
        <w:tc>
          <w:tcPr>
            <w:tcW w:w="3486" w:type="pct"/>
            <w:tcBorders>
              <w:top w:val="nil"/>
              <w:left w:val="nil"/>
              <w:bottom w:val="single" w:sz="4" w:space="0" w:color="auto"/>
              <w:right w:val="single" w:sz="4" w:space="0" w:color="auto"/>
            </w:tcBorders>
            <w:shd w:val="clear" w:color="auto" w:fill="auto"/>
            <w:hideMark/>
          </w:tcPr>
          <w:p w14:paraId="6F6F6CB4"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should provide visibility into assets across cloud providers, certificate issuers and domain registrars. Also, solution should provide contextual visibility into all assets by:</w:t>
            </w:r>
            <w:r w:rsidRPr="00A93231">
              <w:rPr>
                <w:rFonts w:ascii="Calibri" w:eastAsia="Times New Roman" w:hAnsi="Calibri" w:cs="Calibri"/>
                <w:sz w:val="20"/>
                <w:szCs w:val="20"/>
                <w:lang w:val="en-GB" w:eastAsia="en-GB"/>
              </w:rPr>
              <w:br/>
              <w:t>• Criticality based on asset attribute and activity.</w:t>
            </w:r>
            <w:r w:rsidRPr="00A93231">
              <w:rPr>
                <w:rFonts w:ascii="Calibri" w:eastAsia="Times New Roman" w:hAnsi="Calibri" w:cs="Calibri"/>
                <w:sz w:val="20"/>
                <w:szCs w:val="20"/>
                <w:lang w:val="en-GB" w:eastAsia="en-GB"/>
              </w:rPr>
              <w:br/>
              <w:t>• Graphical presentation on relationship of assets</w:t>
            </w:r>
            <w:r w:rsidRPr="00A93231">
              <w:rPr>
                <w:rFonts w:ascii="Calibri" w:eastAsia="Times New Roman" w:hAnsi="Calibri" w:cs="Calibri"/>
                <w:sz w:val="20"/>
                <w:szCs w:val="20"/>
                <w:lang w:val="en-GB" w:eastAsia="en-GB"/>
              </w:rPr>
              <w:br/>
              <w:t>• Historical risk assessment result</w:t>
            </w:r>
          </w:p>
        </w:tc>
        <w:tc>
          <w:tcPr>
            <w:tcW w:w="637" w:type="pct"/>
            <w:tcBorders>
              <w:top w:val="nil"/>
              <w:left w:val="nil"/>
              <w:bottom w:val="single" w:sz="4" w:space="0" w:color="auto"/>
              <w:right w:val="single" w:sz="4" w:space="0" w:color="auto"/>
            </w:tcBorders>
            <w:shd w:val="clear" w:color="auto" w:fill="auto"/>
            <w:hideMark/>
          </w:tcPr>
          <w:p w14:paraId="20AA34B2"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c>
          <w:tcPr>
            <w:tcW w:w="692" w:type="pct"/>
            <w:tcBorders>
              <w:top w:val="nil"/>
              <w:left w:val="nil"/>
              <w:bottom w:val="single" w:sz="4" w:space="0" w:color="auto"/>
              <w:right w:val="single" w:sz="8" w:space="0" w:color="auto"/>
            </w:tcBorders>
            <w:shd w:val="clear" w:color="auto" w:fill="auto"/>
            <w:hideMark/>
          </w:tcPr>
          <w:p w14:paraId="3CB45B85"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r>
      <w:tr w:rsidR="00A93231" w:rsidRPr="00A93231" w14:paraId="2C157028" w14:textId="77777777" w:rsidTr="008E0319">
        <w:trPr>
          <w:trHeight w:val="300"/>
        </w:trPr>
        <w:tc>
          <w:tcPr>
            <w:tcW w:w="185" w:type="pct"/>
            <w:tcBorders>
              <w:top w:val="nil"/>
              <w:left w:val="single" w:sz="8" w:space="0" w:color="auto"/>
              <w:bottom w:val="single" w:sz="4" w:space="0" w:color="auto"/>
              <w:right w:val="single" w:sz="4" w:space="0" w:color="auto"/>
            </w:tcBorders>
            <w:shd w:val="clear" w:color="auto" w:fill="auto"/>
            <w:hideMark/>
          </w:tcPr>
          <w:p w14:paraId="0659AF08"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34</w:t>
            </w:r>
          </w:p>
        </w:tc>
        <w:tc>
          <w:tcPr>
            <w:tcW w:w="3486" w:type="pct"/>
            <w:tcBorders>
              <w:top w:val="nil"/>
              <w:left w:val="nil"/>
              <w:bottom w:val="single" w:sz="4" w:space="0" w:color="auto"/>
              <w:right w:val="single" w:sz="4" w:space="0" w:color="auto"/>
            </w:tcBorders>
            <w:shd w:val="clear" w:color="auto" w:fill="auto"/>
            <w:hideMark/>
          </w:tcPr>
          <w:p w14:paraId="399C6FA4"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should highlight stale IP registration records for update and to reflect accurate ownership</w:t>
            </w:r>
          </w:p>
        </w:tc>
        <w:tc>
          <w:tcPr>
            <w:tcW w:w="637" w:type="pct"/>
            <w:tcBorders>
              <w:top w:val="nil"/>
              <w:left w:val="nil"/>
              <w:bottom w:val="single" w:sz="4" w:space="0" w:color="auto"/>
              <w:right w:val="single" w:sz="4" w:space="0" w:color="auto"/>
            </w:tcBorders>
            <w:shd w:val="clear" w:color="auto" w:fill="auto"/>
            <w:hideMark/>
          </w:tcPr>
          <w:p w14:paraId="4173C716"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c>
          <w:tcPr>
            <w:tcW w:w="692" w:type="pct"/>
            <w:tcBorders>
              <w:top w:val="nil"/>
              <w:left w:val="nil"/>
              <w:bottom w:val="single" w:sz="4" w:space="0" w:color="auto"/>
              <w:right w:val="single" w:sz="8" w:space="0" w:color="auto"/>
            </w:tcBorders>
            <w:shd w:val="clear" w:color="auto" w:fill="auto"/>
            <w:hideMark/>
          </w:tcPr>
          <w:p w14:paraId="11A96F09"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r>
      <w:tr w:rsidR="00A93231" w:rsidRPr="00A93231" w14:paraId="61C31956" w14:textId="77777777" w:rsidTr="008E0319">
        <w:trPr>
          <w:trHeight w:val="300"/>
        </w:trPr>
        <w:tc>
          <w:tcPr>
            <w:tcW w:w="185" w:type="pct"/>
            <w:tcBorders>
              <w:top w:val="nil"/>
              <w:left w:val="single" w:sz="8" w:space="0" w:color="auto"/>
              <w:bottom w:val="single" w:sz="4" w:space="0" w:color="auto"/>
              <w:right w:val="single" w:sz="4" w:space="0" w:color="auto"/>
            </w:tcBorders>
            <w:shd w:val="clear" w:color="auto" w:fill="auto"/>
            <w:hideMark/>
          </w:tcPr>
          <w:p w14:paraId="4D7C77BC"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35</w:t>
            </w:r>
          </w:p>
        </w:tc>
        <w:tc>
          <w:tcPr>
            <w:tcW w:w="3486" w:type="pct"/>
            <w:tcBorders>
              <w:top w:val="nil"/>
              <w:left w:val="nil"/>
              <w:bottom w:val="single" w:sz="4" w:space="0" w:color="auto"/>
              <w:right w:val="single" w:sz="4" w:space="0" w:color="auto"/>
            </w:tcBorders>
            <w:shd w:val="clear" w:color="auto" w:fill="auto"/>
            <w:hideMark/>
          </w:tcPr>
          <w:p w14:paraId="3B0A52E5"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should forecast all asset expirations including certificate and domain registrations for proactive maintenance.</w:t>
            </w:r>
          </w:p>
        </w:tc>
        <w:tc>
          <w:tcPr>
            <w:tcW w:w="637" w:type="pct"/>
            <w:tcBorders>
              <w:top w:val="nil"/>
              <w:left w:val="nil"/>
              <w:bottom w:val="single" w:sz="4" w:space="0" w:color="auto"/>
              <w:right w:val="single" w:sz="4" w:space="0" w:color="auto"/>
            </w:tcBorders>
            <w:shd w:val="clear" w:color="auto" w:fill="auto"/>
            <w:hideMark/>
          </w:tcPr>
          <w:p w14:paraId="161AEEBD"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c>
          <w:tcPr>
            <w:tcW w:w="692" w:type="pct"/>
            <w:tcBorders>
              <w:top w:val="nil"/>
              <w:left w:val="nil"/>
              <w:bottom w:val="single" w:sz="4" w:space="0" w:color="auto"/>
              <w:right w:val="single" w:sz="8" w:space="0" w:color="auto"/>
            </w:tcBorders>
            <w:shd w:val="clear" w:color="auto" w:fill="auto"/>
            <w:hideMark/>
          </w:tcPr>
          <w:p w14:paraId="22459072"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r>
      <w:tr w:rsidR="00A93231" w:rsidRPr="00A93231" w14:paraId="269F0199" w14:textId="77777777" w:rsidTr="008E0319">
        <w:trPr>
          <w:trHeight w:val="300"/>
        </w:trPr>
        <w:tc>
          <w:tcPr>
            <w:tcW w:w="185" w:type="pct"/>
            <w:tcBorders>
              <w:top w:val="nil"/>
              <w:left w:val="single" w:sz="8" w:space="0" w:color="auto"/>
              <w:bottom w:val="single" w:sz="4" w:space="0" w:color="auto"/>
              <w:right w:val="single" w:sz="4" w:space="0" w:color="auto"/>
            </w:tcBorders>
            <w:shd w:val="clear" w:color="auto" w:fill="auto"/>
            <w:hideMark/>
          </w:tcPr>
          <w:p w14:paraId="14AFF3BA"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36</w:t>
            </w:r>
          </w:p>
        </w:tc>
        <w:tc>
          <w:tcPr>
            <w:tcW w:w="3486" w:type="pct"/>
            <w:tcBorders>
              <w:top w:val="nil"/>
              <w:left w:val="nil"/>
              <w:bottom w:val="single" w:sz="4" w:space="0" w:color="auto"/>
              <w:right w:val="single" w:sz="4" w:space="0" w:color="auto"/>
            </w:tcBorders>
            <w:shd w:val="clear" w:color="auto" w:fill="auto"/>
            <w:hideMark/>
          </w:tcPr>
          <w:p w14:paraId="3D25E73C"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The ability to apply tags to enable advanced data filtering, customized data, and to restrict or permit access to data </w:t>
            </w:r>
          </w:p>
        </w:tc>
        <w:tc>
          <w:tcPr>
            <w:tcW w:w="637" w:type="pct"/>
            <w:tcBorders>
              <w:top w:val="nil"/>
              <w:left w:val="nil"/>
              <w:bottom w:val="single" w:sz="4" w:space="0" w:color="auto"/>
              <w:right w:val="single" w:sz="4" w:space="0" w:color="auto"/>
            </w:tcBorders>
            <w:shd w:val="clear" w:color="auto" w:fill="auto"/>
            <w:hideMark/>
          </w:tcPr>
          <w:p w14:paraId="7224B944"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c>
          <w:tcPr>
            <w:tcW w:w="692" w:type="pct"/>
            <w:tcBorders>
              <w:top w:val="nil"/>
              <w:left w:val="nil"/>
              <w:bottom w:val="single" w:sz="4" w:space="0" w:color="auto"/>
              <w:right w:val="single" w:sz="8" w:space="0" w:color="auto"/>
            </w:tcBorders>
            <w:shd w:val="clear" w:color="auto" w:fill="auto"/>
            <w:hideMark/>
          </w:tcPr>
          <w:p w14:paraId="05E4690E"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r>
      <w:tr w:rsidR="00A93231" w:rsidRPr="00A93231" w14:paraId="1D43454C" w14:textId="77777777" w:rsidTr="008E0319">
        <w:trPr>
          <w:trHeight w:val="300"/>
        </w:trPr>
        <w:tc>
          <w:tcPr>
            <w:tcW w:w="185" w:type="pct"/>
            <w:tcBorders>
              <w:top w:val="nil"/>
              <w:left w:val="single" w:sz="8" w:space="0" w:color="auto"/>
              <w:bottom w:val="single" w:sz="4" w:space="0" w:color="auto"/>
              <w:right w:val="single" w:sz="4" w:space="0" w:color="auto"/>
            </w:tcBorders>
            <w:shd w:val="clear" w:color="auto" w:fill="auto"/>
            <w:hideMark/>
          </w:tcPr>
          <w:p w14:paraId="3D0D174F"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37</w:t>
            </w:r>
          </w:p>
        </w:tc>
        <w:tc>
          <w:tcPr>
            <w:tcW w:w="3486" w:type="pct"/>
            <w:tcBorders>
              <w:top w:val="nil"/>
              <w:left w:val="nil"/>
              <w:bottom w:val="single" w:sz="4" w:space="0" w:color="auto"/>
              <w:right w:val="single" w:sz="4" w:space="0" w:color="auto"/>
            </w:tcBorders>
            <w:shd w:val="clear" w:color="auto" w:fill="auto"/>
            <w:hideMark/>
          </w:tcPr>
          <w:p w14:paraId="3A440B8A"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should have Risk scoring and prioritization capabilities</w:t>
            </w:r>
          </w:p>
        </w:tc>
        <w:tc>
          <w:tcPr>
            <w:tcW w:w="637" w:type="pct"/>
            <w:tcBorders>
              <w:top w:val="nil"/>
              <w:left w:val="nil"/>
              <w:bottom w:val="single" w:sz="4" w:space="0" w:color="auto"/>
              <w:right w:val="single" w:sz="4" w:space="0" w:color="auto"/>
            </w:tcBorders>
            <w:shd w:val="clear" w:color="auto" w:fill="auto"/>
            <w:hideMark/>
          </w:tcPr>
          <w:p w14:paraId="5F7B7ECE"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c>
          <w:tcPr>
            <w:tcW w:w="692" w:type="pct"/>
            <w:tcBorders>
              <w:top w:val="nil"/>
              <w:left w:val="nil"/>
              <w:bottom w:val="single" w:sz="4" w:space="0" w:color="auto"/>
              <w:right w:val="single" w:sz="8" w:space="0" w:color="auto"/>
            </w:tcBorders>
            <w:shd w:val="clear" w:color="auto" w:fill="auto"/>
            <w:hideMark/>
          </w:tcPr>
          <w:p w14:paraId="1FBC7E3A"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r>
      <w:tr w:rsidR="00A93231" w:rsidRPr="00A93231" w14:paraId="358C7637" w14:textId="77777777" w:rsidTr="008E0319">
        <w:trPr>
          <w:trHeight w:val="300"/>
        </w:trPr>
        <w:tc>
          <w:tcPr>
            <w:tcW w:w="185" w:type="pct"/>
            <w:tcBorders>
              <w:top w:val="nil"/>
              <w:left w:val="single" w:sz="8" w:space="0" w:color="auto"/>
              <w:bottom w:val="single" w:sz="4" w:space="0" w:color="auto"/>
              <w:right w:val="single" w:sz="4" w:space="0" w:color="auto"/>
            </w:tcBorders>
            <w:shd w:val="clear" w:color="auto" w:fill="auto"/>
            <w:hideMark/>
          </w:tcPr>
          <w:p w14:paraId="38C6405D"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38</w:t>
            </w:r>
          </w:p>
        </w:tc>
        <w:tc>
          <w:tcPr>
            <w:tcW w:w="3486" w:type="pct"/>
            <w:tcBorders>
              <w:top w:val="nil"/>
              <w:left w:val="nil"/>
              <w:bottom w:val="single" w:sz="4" w:space="0" w:color="auto"/>
              <w:right w:val="single" w:sz="4" w:space="0" w:color="auto"/>
            </w:tcBorders>
            <w:shd w:val="clear" w:color="auto" w:fill="auto"/>
            <w:hideMark/>
          </w:tcPr>
          <w:p w14:paraId="289FFBC4"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should identify risks across Bank's assets, categorize the risk, and prioritize incidents for remediation</w:t>
            </w:r>
          </w:p>
        </w:tc>
        <w:tc>
          <w:tcPr>
            <w:tcW w:w="637" w:type="pct"/>
            <w:tcBorders>
              <w:top w:val="nil"/>
              <w:left w:val="nil"/>
              <w:bottom w:val="single" w:sz="4" w:space="0" w:color="auto"/>
              <w:right w:val="single" w:sz="4" w:space="0" w:color="auto"/>
            </w:tcBorders>
            <w:shd w:val="clear" w:color="auto" w:fill="auto"/>
            <w:hideMark/>
          </w:tcPr>
          <w:p w14:paraId="1C8A48BA"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c>
          <w:tcPr>
            <w:tcW w:w="692" w:type="pct"/>
            <w:tcBorders>
              <w:top w:val="nil"/>
              <w:left w:val="nil"/>
              <w:bottom w:val="single" w:sz="4" w:space="0" w:color="auto"/>
              <w:right w:val="single" w:sz="8" w:space="0" w:color="auto"/>
            </w:tcBorders>
            <w:shd w:val="clear" w:color="auto" w:fill="auto"/>
            <w:hideMark/>
          </w:tcPr>
          <w:p w14:paraId="0014B5BB"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r>
      <w:tr w:rsidR="00A93231" w:rsidRPr="00A93231" w14:paraId="788EC65A" w14:textId="77777777" w:rsidTr="008E0319">
        <w:trPr>
          <w:trHeight w:val="300"/>
        </w:trPr>
        <w:tc>
          <w:tcPr>
            <w:tcW w:w="185" w:type="pct"/>
            <w:tcBorders>
              <w:top w:val="nil"/>
              <w:left w:val="single" w:sz="8" w:space="0" w:color="auto"/>
              <w:bottom w:val="single" w:sz="4" w:space="0" w:color="auto"/>
              <w:right w:val="single" w:sz="4" w:space="0" w:color="auto"/>
            </w:tcBorders>
            <w:shd w:val="clear" w:color="auto" w:fill="auto"/>
            <w:hideMark/>
          </w:tcPr>
          <w:p w14:paraId="689FE70F"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39</w:t>
            </w:r>
          </w:p>
        </w:tc>
        <w:tc>
          <w:tcPr>
            <w:tcW w:w="3486" w:type="pct"/>
            <w:tcBorders>
              <w:top w:val="nil"/>
              <w:left w:val="nil"/>
              <w:bottom w:val="single" w:sz="4" w:space="0" w:color="auto"/>
              <w:right w:val="single" w:sz="4" w:space="0" w:color="auto"/>
            </w:tcBorders>
            <w:shd w:val="clear" w:color="auto" w:fill="auto"/>
            <w:hideMark/>
          </w:tcPr>
          <w:p w14:paraId="59701213"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Risk score should be based on accepted industry metrics, and allow for customization</w:t>
            </w:r>
          </w:p>
        </w:tc>
        <w:tc>
          <w:tcPr>
            <w:tcW w:w="637" w:type="pct"/>
            <w:tcBorders>
              <w:top w:val="nil"/>
              <w:left w:val="nil"/>
              <w:bottom w:val="single" w:sz="4" w:space="0" w:color="auto"/>
              <w:right w:val="single" w:sz="4" w:space="0" w:color="auto"/>
            </w:tcBorders>
            <w:shd w:val="clear" w:color="auto" w:fill="auto"/>
            <w:hideMark/>
          </w:tcPr>
          <w:p w14:paraId="3B7244C2"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c>
          <w:tcPr>
            <w:tcW w:w="692" w:type="pct"/>
            <w:tcBorders>
              <w:top w:val="nil"/>
              <w:left w:val="nil"/>
              <w:bottom w:val="single" w:sz="4" w:space="0" w:color="auto"/>
              <w:right w:val="single" w:sz="8" w:space="0" w:color="auto"/>
            </w:tcBorders>
            <w:shd w:val="clear" w:color="auto" w:fill="auto"/>
            <w:hideMark/>
          </w:tcPr>
          <w:p w14:paraId="29C4A8DC"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r>
      <w:tr w:rsidR="00A93231" w:rsidRPr="00A93231" w14:paraId="2AE761F8" w14:textId="77777777" w:rsidTr="008E0319">
        <w:trPr>
          <w:trHeight w:val="300"/>
        </w:trPr>
        <w:tc>
          <w:tcPr>
            <w:tcW w:w="185" w:type="pct"/>
            <w:tcBorders>
              <w:top w:val="nil"/>
              <w:left w:val="single" w:sz="8" w:space="0" w:color="auto"/>
              <w:bottom w:val="single" w:sz="4" w:space="0" w:color="auto"/>
              <w:right w:val="single" w:sz="4" w:space="0" w:color="auto"/>
            </w:tcBorders>
            <w:shd w:val="clear" w:color="auto" w:fill="auto"/>
            <w:hideMark/>
          </w:tcPr>
          <w:p w14:paraId="185C6103"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40</w:t>
            </w:r>
          </w:p>
        </w:tc>
        <w:tc>
          <w:tcPr>
            <w:tcW w:w="3486" w:type="pct"/>
            <w:tcBorders>
              <w:top w:val="nil"/>
              <w:left w:val="nil"/>
              <w:bottom w:val="single" w:sz="4" w:space="0" w:color="auto"/>
              <w:right w:val="single" w:sz="4" w:space="0" w:color="auto"/>
            </w:tcBorders>
            <w:shd w:val="clear" w:color="auto" w:fill="auto"/>
            <w:hideMark/>
          </w:tcPr>
          <w:p w14:paraId="2B025C60"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should offer remediation guidance for risks</w:t>
            </w:r>
          </w:p>
        </w:tc>
        <w:tc>
          <w:tcPr>
            <w:tcW w:w="637" w:type="pct"/>
            <w:tcBorders>
              <w:top w:val="nil"/>
              <w:left w:val="nil"/>
              <w:bottom w:val="single" w:sz="4" w:space="0" w:color="auto"/>
              <w:right w:val="single" w:sz="4" w:space="0" w:color="auto"/>
            </w:tcBorders>
            <w:shd w:val="clear" w:color="auto" w:fill="auto"/>
            <w:hideMark/>
          </w:tcPr>
          <w:p w14:paraId="149E8FC4"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c>
          <w:tcPr>
            <w:tcW w:w="692" w:type="pct"/>
            <w:tcBorders>
              <w:top w:val="nil"/>
              <w:left w:val="nil"/>
              <w:bottom w:val="single" w:sz="4" w:space="0" w:color="auto"/>
              <w:right w:val="single" w:sz="8" w:space="0" w:color="auto"/>
            </w:tcBorders>
            <w:shd w:val="clear" w:color="auto" w:fill="auto"/>
            <w:hideMark/>
          </w:tcPr>
          <w:p w14:paraId="21FE1138"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r>
      <w:tr w:rsidR="00A93231" w:rsidRPr="00A93231" w14:paraId="08208E07" w14:textId="77777777" w:rsidTr="008E0319">
        <w:trPr>
          <w:trHeight w:val="300"/>
        </w:trPr>
        <w:tc>
          <w:tcPr>
            <w:tcW w:w="185" w:type="pct"/>
            <w:tcBorders>
              <w:top w:val="nil"/>
              <w:left w:val="single" w:sz="8" w:space="0" w:color="auto"/>
              <w:bottom w:val="single" w:sz="4" w:space="0" w:color="auto"/>
              <w:right w:val="single" w:sz="4" w:space="0" w:color="auto"/>
            </w:tcBorders>
            <w:shd w:val="clear" w:color="auto" w:fill="auto"/>
            <w:hideMark/>
          </w:tcPr>
          <w:p w14:paraId="09A62BA8"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41</w:t>
            </w:r>
          </w:p>
        </w:tc>
        <w:tc>
          <w:tcPr>
            <w:tcW w:w="3486" w:type="pct"/>
            <w:tcBorders>
              <w:top w:val="nil"/>
              <w:left w:val="nil"/>
              <w:bottom w:val="single" w:sz="4" w:space="0" w:color="auto"/>
              <w:right w:val="single" w:sz="4" w:space="0" w:color="auto"/>
            </w:tcBorders>
            <w:shd w:val="clear" w:color="auto" w:fill="auto"/>
            <w:hideMark/>
          </w:tcPr>
          <w:p w14:paraId="46E58739"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The solution should group alerts impacting the same service together automatically </w:t>
            </w:r>
          </w:p>
        </w:tc>
        <w:tc>
          <w:tcPr>
            <w:tcW w:w="637" w:type="pct"/>
            <w:tcBorders>
              <w:top w:val="nil"/>
              <w:left w:val="nil"/>
              <w:bottom w:val="single" w:sz="4" w:space="0" w:color="auto"/>
              <w:right w:val="single" w:sz="4" w:space="0" w:color="auto"/>
            </w:tcBorders>
            <w:shd w:val="clear" w:color="auto" w:fill="auto"/>
            <w:hideMark/>
          </w:tcPr>
          <w:p w14:paraId="6E818293"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c>
          <w:tcPr>
            <w:tcW w:w="692" w:type="pct"/>
            <w:tcBorders>
              <w:top w:val="nil"/>
              <w:left w:val="nil"/>
              <w:bottom w:val="single" w:sz="4" w:space="0" w:color="auto"/>
              <w:right w:val="single" w:sz="8" w:space="0" w:color="auto"/>
            </w:tcBorders>
            <w:shd w:val="clear" w:color="auto" w:fill="auto"/>
            <w:hideMark/>
          </w:tcPr>
          <w:p w14:paraId="797B3EAE"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r>
      <w:tr w:rsidR="00A93231" w:rsidRPr="00A93231" w14:paraId="0E28F1BB" w14:textId="77777777" w:rsidTr="008E0319">
        <w:trPr>
          <w:trHeight w:val="300"/>
        </w:trPr>
        <w:tc>
          <w:tcPr>
            <w:tcW w:w="185" w:type="pct"/>
            <w:tcBorders>
              <w:top w:val="nil"/>
              <w:left w:val="single" w:sz="8" w:space="0" w:color="auto"/>
              <w:bottom w:val="single" w:sz="4" w:space="0" w:color="auto"/>
              <w:right w:val="single" w:sz="4" w:space="0" w:color="auto"/>
            </w:tcBorders>
            <w:shd w:val="clear" w:color="auto" w:fill="auto"/>
            <w:hideMark/>
          </w:tcPr>
          <w:p w14:paraId="63F55CE9"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42</w:t>
            </w:r>
          </w:p>
        </w:tc>
        <w:tc>
          <w:tcPr>
            <w:tcW w:w="3486" w:type="pct"/>
            <w:tcBorders>
              <w:top w:val="nil"/>
              <w:left w:val="nil"/>
              <w:bottom w:val="single" w:sz="4" w:space="0" w:color="auto"/>
              <w:right w:val="single" w:sz="4" w:space="0" w:color="auto"/>
            </w:tcBorders>
            <w:shd w:val="clear" w:color="auto" w:fill="auto"/>
            <w:hideMark/>
          </w:tcPr>
          <w:p w14:paraId="56FA4397"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should be capable of actually fixing things</w:t>
            </w:r>
          </w:p>
        </w:tc>
        <w:tc>
          <w:tcPr>
            <w:tcW w:w="637" w:type="pct"/>
            <w:tcBorders>
              <w:top w:val="nil"/>
              <w:left w:val="nil"/>
              <w:bottom w:val="single" w:sz="4" w:space="0" w:color="auto"/>
              <w:right w:val="single" w:sz="4" w:space="0" w:color="auto"/>
            </w:tcBorders>
            <w:shd w:val="clear" w:color="auto" w:fill="auto"/>
            <w:hideMark/>
          </w:tcPr>
          <w:p w14:paraId="59FFD5BD"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c>
          <w:tcPr>
            <w:tcW w:w="692" w:type="pct"/>
            <w:tcBorders>
              <w:top w:val="nil"/>
              <w:left w:val="nil"/>
              <w:bottom w:val="single" w:sz="4" w:space="0" w:color="auto"/>
              <w:right w:val="single" w:sz="8" w:space="0" w:color="auto"/>
            </w:tcBorders>
            <w:shd w:val="clear" w:color="auto" w:fill="auto"/>
            <w:hideMark/>
          </w:tcPr>
          <w:p w14:paraId="46B7A45A"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r>
      <w:tr w:rsidR="00A93231" w:rsidRPr="00A93231" w14:paraId="5DF0C8DA" w14:textId="77777777" w:rsidTr="008E0319">
        <w:trPr>
          <w:trHeight w:val="510"/>
        </w:trPr>
        <w:tc>
          <w:tcPr>
            <w:tcW w:w="185" w:type="pct"/>
            <w:tcBorders>
              <w:top w:val="nil"/>
              <w:left w:val="single" w:sz="8" w:space="0" w:color="auto"/>
              <w:bottom w:val="single" w:sz="4" w:space="0" w:color="auto"/>
              <w:right w:val="single" w:sz="4" w:space="0" w:color="auto"/>
            </w:tcBorders>
            <w:shd w:val="clear" w:color="auto" w:fill="auto"/>
            <w:hideMark/>
          </w:tcPr>
          <w:p w14:paraId="53CE4F06"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lastRenderedPageBreak/>
              <w:t>43</w:t>
            </w:r>
          </w:p>
        </w:tc>
        <w:tc>
          <w:tcPr>
            <w:tcW w:w="3486" w:type="pct"/>
            <w:tcBorders>
              <w:top w:val="nil"/>
              <w:left w:val="nil"/>
              <w:bottom w:val="single" w:sz="4" w:space="0" w:color="auto"/>
              <w:right w:val="single" w:sz="4" w:space="0" w:color="auto"/>
            </w:tcBorders>
            <w:shd w:val="clear" w:color="auto" w:fill="auto"/>
            <w:hideMark/>
          </w:tcPr>
          <w:p w14:paraId="2CBA8CF2"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should have the ability to automate common actions. This includes pulling in known asset owners, sending automated emails, or automatically creating tickets for investigation.</w:t>
            </w:r>
          </w:p>
        </w:tc>
        <w:tc>
          <w:tcPr>
            <w:tcW w:w="637" w:type="pct"/>
            <w:tcBorders>
              <w:top w:val="nil"/>
              <w:left w:val="nil"/>
              <w:bottom w:val="single" w:sz="4" w:space="0" w:color="auto"/>
              <w:right w:val="single" w:sz="4" w:space="0" w:color="auto"/>
            </w:tcBorders>
            <w:shd w:val="clear" w:color="auto" w:fill="auto"/>
            <w:hideMark/>
          </w:tcPr>
          <w:p w14:paraId="0BBDEBBF"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c>
          <w:tcPr>
            <w:tcW w:w="692" w:type="pct"/>
            <w:tcBorders>
              <w:top w:val="nil"/>
              <w:left w:val="nil"/>
              <w:bottom w:val="single" w:sz="4" w:space="0" w:color="auto"/>
              <w:right w:val="single" w:sz="8" w:space="0" w:color="auto"/>
            </w:tcBorders>
            <w:shd w:val="clear" w:color="auto" w:fill="auto"/>
            <w:hideMark/>
          </w:tcPr>
          <w:p w14:paraId="1009AAF9"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r>
      <w:tr w:rsidR="00A93231" w:rsidRPr="00A93231" w14:paraId="65A7C87C" w14:textId="77777777" w:rsidTr="008E0319">
        <w:trPr>
          <w:trHeight w:val="510"/>
        </w:trPr>
        <w:tc>
          <w:tcPr>
            <w:tcW w:w="185" w:type="pct"/>
            <w:tcBorders>
              <w:top w:val="nil"/>
              <w:left w:val="single" w:sz="8" w:space="0" w:color="auto"/>
              <w:bottom w:val="single" w:sz="4" w:space="0" w:color="auto"/>
              <w:right w:val="single" w:sz="4" w:space="0" w:color="auto"/>
            </w:tcBorders>
            <w:shd w:val="clear" w:color="auto" w:fill="auto"/>
            <w:hideMark/>
          </w:tcPr>
          <w:p w14:paraId="79564E73"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44</w:t>
            </w:r>
          </w:p>
        </w:tc>
        <w:tc>
          <w:tcPr>
            <w:tcW w:w="3486" w:type="pct"/>
            <w:tcBorders>
              <w:top w:val="nil"/>
              <w:left w:val="nil"/>
              <w:bottom w:val="single" w:sz="4" w:space="0" w:color="auto"/>
              <w:right w:val="single" w:sz="4" w:space="0" w:color="auto"/>
            </w:tcBorders>
            <w:shd w:val="clear" w:color="auto" w:fill="auto"/>
            <w:hideMark/>
          </w:tcPr>
          <w:p w14:paraId="7F0C8A42"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The solution should have the ability to automatically remediate exposures. This should include full resolution of the incident by reaching back via API and blocking the service at the port level. </w:t>
            </w:r>
          </w:p>
        </w:tc>
        <w:tc>
          <w:tcPr>
            <w:tcW w:w="637" w:type="pct"/>
            <w:tcBorders>
              <w:top w:val="nil"/>
              <w:left w:val="nil"/>
              <w:bottom w:val="single" w:sz="4" w:space="0" w:color="auto"/>
              <w:right w:val="single" w:sz="4" w:space="0" w:color="auto"/>
            </w:tcBorders>
            <w:shd w:val="clear" w:color="auto" w:fill="auto"/>
            <w:hideMark/>
          </w:tcPr>
          <w:p w14:paraId="1F21092E"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c>
          <w:tcPr>
            <w:tcW w:w="692" w:type="pct"/>
            <w:tcBorders>
              <w:top w:val="nil"/>
              <w:left w:val="nil"/>
              <w:bottom w:val="single" w:sz="4" w:space="0" w:color="auto"/>
              <w:right w:val="single" w:sz="8" w:space="0" w:color="auto"/>
            </w:tcBorders>
            <w:shd w:val="clear" w:color="auto" w:fill="auto"/>
            <w:hideMark/>
          </w:tcPr>
          <w:p w14:paraId="5169DF49"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r>
      <w:tr w:rsidR="00A93231" w:rsidRPr="00A93231" w14:paraId="4315A642" w14:textId="77777777" w:rsidTr="008E0319">
        <w:trPr>
          <w:trHeight w:val="300"/>
        </w:trPr>
        <w:tc>
          <w:tcPr>
            <w:tcW w:w="185" w:type="pct"/>
            <w:tcBorders>
              <w:top w:val="nil"/>
              <w:left w:val="single" w:sz="8" w:space="0" w:color="auto"/>
              <w:bottom w:val="single" w:sz="4" w:space="0" w:color="auto"/>
              <w:right w:val="single" w:sz="4" w:space="0" w:color="auto"/>
            </w:tcBorders>
            <w:shd w:val="clear" w:color="auto" w:fill="auto"/>
            <w:hideMark/>
          </w:tcPr>
          <w:p w14:paraId="70C33C7F"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45</w:t>
            </w:r>
          </w:p>
        </w:tc>
        <w:tc>
          <w:tcPr>
            <w:tcW w:w="3486" w:type="pct"/>
            <w:tcBorders>
              <w:top w:val="nil"/>
              <w:left w:val="nil"/>
              <w:bottom w:val="single" w:sz="4" w:space="0" w:color="auto"/>
              <w:right w:val="single" w:sz="4" w:space="0" w:color="auto"/>
            </w:tcBorders>
            <w:shd w:val="clear" w:color="auto" w:fill="auto"/>
            <w:hideMark/>
          </w:tcPr>
          <w:p w14:paraId="0CF4D338"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Allow customizability to the remediation path </w:t>
            </w:r>
          </w:p>
        </w:tc>
        <w:tc>
          <w:tcPr>
            <w:tcW w:w="637" w:type="pct"/>
            <w:tcBorders>
              <w:top w:val="nil"/>
              <w:left w:val="nil"/>
              <w:bottom w:val="single" w:sz="4" w:space="0" w:color="auto"/>
              <w:right w:val="single" w:sz="4" w:space="0" w:color="auto"/>
            </w:tcBorders>
            <w:shd w:val="clear" w:color="auto" w:fill="auto"/>
            <w:hideMark/>
          </w:tcPr>
          <w:p w14:paraId="2757C138"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c>
          <w:tcPr>
            <w:tcW w:w="692" w:type="pct"/>
            <w:tcBorders>
              <w:top w:val="nil"/>
              <w:left w:val="nil"/>
              <w:bottom w:val="single" w:sz="4" w:space="0" w:color="auto"/>
              <w:right w:val="single" w:sz="8" w:space="0" w:color="auto"/>
            </w:tcBorders>
            <w:shd w:val="clear" w:color="auto" w:fill="auto"/>
            <w:hideMark/>
          </w:tcPr>
          <w:p w14:paraId="6C9C4BD2"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r>
      <w:tr w:rsidR="00A93231" w:rsidRPr="00A93231" w14:paraId="1B9C178B" w14:textId="77777777" w:rsidTr="008E0319">
        <w:trPr>
          <w:trHeight w:val="300"/>
        </w:trPr>
        <w:tc>
          <w:tcPr>
            <w:tcW w:w="185" w:type="pct"/>
            <w:tcBorders>
              <w:top w:val="nil"/>
              <w:left w:val="single" w:sz="8" w:space="0" w:color="auto"/>
              <w:bottom w:val="single" w:sz="4" w:space="0" w:color="auto"/>
              <w:right w:val="single" w:sz="4" w:space="0" w:color="auto"/>
            </w:tcBorders>
            <w:shd w:val="clear" w:color="auto" w:fill="auto"/>
            <w:hideMark/>
          </w:tcPr>
          <w:p w14:paraId="30980C44"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46</w:t>
            </w:r>
          </w:p>
        </w:tc>
        <w:tc>
          <w:tcPr>
            <w:tcW w:w="3486" w:type="pct"/>
            <w:tcBorders>
              <w:top w:val="nil"/>
              <w:left w:val="nil"/>
              <w:bottom w:val="single" w:sz="4" w:space="0" w:color="auto"/>
              <w:right w:val="single" w:sz="4" w:space="0" w:color="auto"/>
            </w:tcBorders>
            <w:shd w:val="clear" w:color="auto" w:fill="auto"/>
            <w:hideMark/>
          </w:tcPr>
          <w:p w14:paraId="541B61D2"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In platform instructions on how to set up integrations and use Automated Remediation</w:t>
            </w:r>
          </w:p>
        </w:tc>
        <w:tc>
          <w:tcPr>
            <w:tcW w:w="637" w:type="pct"/>
            <w:tcBorders>
              <w:top w:val="nil"/>
              <w:left w:val="nil"/>
              <w:bottom w:val="single" w:sz="4" w:space="0" w:color="auto"/>
              <w:right w:val="single" w:sz="4" w:space="0" w:color="auto"/>
            </w:tcBorders>
            <w:shd w:val="clear" w:color="auto" w:fill="auto"/>
            <w:hideMark/>
          </w:tcPr>
          <w:p w14:paraId="39849C51"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c>
          <w:tcPr>
            <w:tcW w:w="692" w:type="pct"/>
            <w:tcBorders>
              <w:top w:val="nil"/>
              <w:left w:val="nil"/>
              <w:bottom w:val="single" w:sz="4" w:space="0" w:color="auto"/>
              <w:right w:val="single" w:sz="8" w:space="0" w:color="auto"/>
            </w:tcBorders>
            <w:shd w:val="clear" w:color="auto" w:fill="auto"/>
            <w:hideMark/>
          </w:tcPr>
          <w:p w14:paraId="2F6D9FE6"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r>
      <w:tr w:rsidR="00A93231" w:rsidRPr="00A93231" w14:paraId="6E41FC94" w14:textId="77777777" w:rsidTr="008E0319">
        <w:trPr>
          <w:trHeight w:val="300"/>
        </w:trPr>
        <w:tc>
          <w:tcPr>
            <w:tcW w:w="185" w:type="pct"/>
            <w:tcBorders>
              <w:top w:val="nil"/>
              <w:left w:val="single" w:sz="8" w:space="0" w:color="auto"/>
              <w:bottom w:val="single" w:sz="4" w:space="0" w:color="auto"/>
              <w:right w:val="single" w:sz="4" w:space="0" w:color="auto"/>
            </w:tcBorders>
            <w:shd w:val="clear" w:color="auto" w:fill="auto"/>
            <w:hideMark/>
          </w:tcPr>
          <w:p w14:paraId="4E3FF2EE"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47</w:t>
            </w:r>
          </w:p>
        </w:tc>
        <w:tc>
          <w:tcPr>
            <w:tcW w:w="3486" w:type="pct"/>
            <w:tcBorders>
              <w:top w:val="nil"/>
              <w:left w:val="nil"/>
              <w:bottom w:val="single" w:sz="4" w:space="0" w:color="auto"/>
              <w:right w:val="single" w:sz="4" w:space="0" w:color="auto"/>
            </w:tcBorders>
            <w:shd w:val="clear" w:color="auto" w:fill="auto"/>
            <w:hideMark/>
          </w:tcPr>
          <w:p w14:paraId="06578096"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A comprehensive score on Bank's overall security posture </w:t>
            </w:r>
          </w:p>
        </w:tc>
        <w:tc>
          <w:tcPr>
            <w:tcW w:w="637" w:type="pct"/>
            <w:tcBorders>
              <w:top w:val="nil"/>
              <w:left w:val="nil"/>
              <w:bottom w:val="single" w:sz="4" w:space="0" w:color="auto"/>
              <w:right w:val="single" w:sz="4" w:space="0" w:color="auto"/>
            </w:tcBorders>
            <w:shd w:val="clear" w:color="auto" w:fill="auto"/>
            <w:hideMark/>
          </w:tcPr>
          <w:p w14:paraId="65ECB216"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c>
          <w:tcPr>
            <w:tcW w:w="692" w:type="pct"/>
            <w:tcBorders>
              <w:top w:val="nil"/>
              <w:left w:val="nil"/>
              <w:bottom w:val="single" w:sz="4" w:space="0" w:color="auto"/>
              <w:right w:val="single" w:sz="8" w:space="0" w:color="auto"/>
            </w:tcBorders>
            <w:shd w:val="clear" w:color="auto" w:fill="auto"/>
            <w:hideMark/>
          </w:tcPr>
          <w:p w14:paraId="4478EDA7"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r>
      <w:tr w:rsidR="00A93231" w:rsidRPr="00A93231" w14:paraId="05FDBB7D" w14:textId="77777777" w:rsidTr="008E0319">
        <w:trPr>
          <w:trHeight w:val="510"/>
        </w:trPr>
        <w:tc>
          <w:tcPr>
            <w:tcW w:w="185" w:type="pct"/>
            <w:tcBorders>
              <w:top w:val="nil"/>
              <w:left w:val="single" w:sz="8" w:space="0" w:color="auto"/>
              <w:bottom w:val="single" w:sz="4" w:space="0" w:color="auto"/>
              <w:right w:val="single" w:sz="4" w:space="0" w:color="auto"/>
            </w:tcBorders>
            <w:shd w:val="clear" w:color="auto" w:fill="auto"/>
            <w:hideMark/>
          </w:tcPr>
          <w:p w14:paraId="74839C98"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48</w:t>
            </w:r>
          </w:p>
        </w:tc>
        <w:tc>
          <w:tcPr>
            <w:tcW w:w="3486" w:type="pct"/>
            <w:tcBorders>
              <w:top w:val="nil"/>
              <w:left w:val="nil"/>
              <w:bottom w:val="single" w:sz="4" w:space="0" w:color="auto"/>
              <w:right w:val="single" w:sz="4" w:space="0" w:color="auto"/>
            </w:tcBorders>
            <w:shd w:val="clear" w:color="auto" w:fill="auto"/>
            <w:hideMark/>
          </w:tcPr>
          <w:p w14:paraId="781B6388"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should have the ability to allow users to customize the weight of incidents in their overall risk score based on the organizations needs</w:t>
            </w:r>
          </w:p>
        </w:tc>
        <w:tc>
          <w:tcPr>
            <w:tcW w:w="637" w:type="pct"/>
            <w:tcBorders>
              <w:top w:val="nil"/>
              <w:left w:val="nil"/>
              <w:bottom w:val="single" w:sz="4" w:space="0" w:color="auto"/>
              <w:right w:val="single" w:sz="4" w:space="0" w:color="auto"/>
            </w:tcBorders>
            <w:shd w:val="clear" w:color="auto" w:fill="auto"/>
            <w:hideMark/>
          </w:tcPr>
          <w:p w14:paraId="4DC66366"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c>
          <w:tcPr>
            <w:tcW w:w="692" w:type="pct"/>
            <w:tcBorders>
              <w:top w:val="nil"/>
              <w:left w:val="nil"/>
              <w:bottom w:val="single" w:sz="4" w:space="0" w:color="auto"/>
              <w:right w:val="single" w:sz="8" w:space="0" w:color="auto"/>
            </w:tcBorders>
            <w:shd w:val="clear" w:color="auto" w:fill="auto"/>
            <w:hideMark/>
          </w:tcPr>
          <w:p w14:paraId="4EE017CC"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r>
      <w:tr w:rsidR="00A93231" w:rsidRPr="00A93231" w14:paraId="6E739B48" w14:textId="77777777" w:rsidTr="008E0319">
        <w:trPr>
          <w:trHeight w:val="300"/>
        </w:trPr>
        <w:tc>
          <w:tcPr>
            <w:tcW w:w="185" w:type="pct"/>
            <w:tcBorders>
              <w:top w:val="nil"/>
              <w:left w:val="single" w:sz="8" w:space="0" w:color="auto"/>
              <w:bottom w:val="single" w:sz="4" w:space="0" w:color="auto"/>
              <w:right w:val="single" w:sz="4" w:space="0" w:color="auto"/>
            </w:tcBorders>
            <w:shd w:val="clear" w:color="auto" w:fill="auto"/>
            <w:hideMark/>
          </w:tcPr>
          <w:p w14:paraId="720E5DBC"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49</w:t>
            </w:r>
          </w:p>
        </w:tc>
        <w:tc>
          <w:tcPr>
            <w:tcW w:w="3486" w:type="pct"/>
            <w:tcBorders>
              <w:top w:val="nil"/>
              <w:left w:val="nil"/>
              <w:bottom w:val="single" w:sz="4" w:space="0" w:color="auto"/>
              <w:right w:val="single" w:sz="4" w:space="0" w:color="auto"/>
            </w:tcBorders>
            <w:shd w:val="clear" w:color="auto" w:fill="auto"/>
            <w:hideMark/>
          </w:tcPr>
          <w:p w14:paraId="2C2EDF66"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should update the score based on what new incidents are found and should not have delays in score updates</w:t>
            </w:r>
          </w:p>
        </w:tc>
        <w:tc>
          <w:tcPr>
            <w:tcW w:w="637" w:type="pct"/>
            <w:tcBorders>
              <w:top w:val="nil"/>
              <w:left w:val="nil"/>
              <w:bottom w:val="single" w:sz="4" w:space="0" w:color="auto"/>
              <w:right w:val="single" w:sz="4" w:space="0" w:color="auto"/>
            </w:tcBorders>
            <w:shd w:val="clear" w:color="auto" w:fill="auto"/>
            <w:hideMark/>
          </w:tcPr>
          <w:p w14:paraId="1D3D0753"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c>
          <w:tcPr>
            <w:tcW w:w="692" w:type="pct"/>
            <w:tcBorders>
              <w:top w:val="nil"/>
              <w:left w:val="nil"/>
              <w:bottom w:val="single" w:sz="4" w:space="0" w:color="auto"/>
              <w:right w:val="single" w:sz="8" w:space="0" w:color="auto"/>
            </w:tcBorders>
            <w:shd w:val="clear" w:color="auto" w:fill="auto"/>
            <w:hideMark/>
          </w:tcPr>
          <w:p w14:paraId="494EC8A1"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r>
      <w:tr w:rsidR="00A93231" w:rsidRPr="00A93231" w14:paraId="1D2A5B91" w14:textId="77777777" w:rsidTr="008E0319">
        <w:trPr>
          <w:trHeight w:val="300"/>
        </w:trPr>
        <w:tc>
          <w:tcPr>
            <w:tcW w:w="185" w:type="pct"/>
            <w:tcBorders>
              <w:top w:val="nil"/>
              <w:left w:val="single" w:sz="8" w:space="0" w:color="auto"/>
              <w:bottom w:val="single" w:sz="4" w:space="0" w:color="auto"/>
              <w:right w:val="single" w:sz="4" w:space="0" w:color="auto"/>
            </w:tcBorders>
            <w:shd w:val="clear" w:color="auto" w:fill="auto"/>
            <w:hideMark/>
          </w:tcPr>
          <w:p w14:paraId="64190E58"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50</w:t>
            </w:r>
          </w:p>
        </w:tc>
        <w:tc>
          <w:tcPr>
            <w:tcW w:w="3486" w:type="pct"/>
            <w:tcBorders>
              <w:top w:val="nil"/>
              <w:left w:val="nil"/>
              <w:bottom w:val="single" w:sz="4" w:space="0" w:color="auto"/>
              <w:right w:val="single" w:sz="4" w:space="0" w:color="auto"/>
            </w:tcBorders>
            <w:shd w:val="clear" w:color="auto" w:fill="auto"/>
            <w:hideMark/>
          </w:tcPr>
          <w:p w14:paraId="3048231B"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Ability to create or remove risk scoring rules </w:t>
            </w:r>
          </w:p>
        </w:tc>
        <w:tc>
          <w:tcPr>
            <w:tcW w:w="637" w:type="pct"/>
            <w:tcBorders>
              <w:top w:val="nil"/>
              <w:left w:val="nil"/>
              <w:bottom w:val="single" w:sz="4" w:space="0" w:color="auto"/>
              <w:right w:val="single" w:sz="4" w:space="0" w:color="auto"/>
            </w:tcBorders>
            <w:shd w:val="clear" w:color="auto" w:fill="auto"/>
            <w:hideMark/>
          </w:tcPr>
          <w:p w14:paraId="5A77942E"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c>
          <w:tcPr>
            <w:tcW w:w="692" w:type="pct"/>
            <w:tcBorders>
              <w:top w:val="nil"/>
              <w:left w:val="nil"/>
              <w:bottom w:val="single" w:sz="4" w:space="0" w:color="auto"/>
              <w:right w:val="single" w:sz="8" w:space="0" w:color="auto"/>
            </w:tcBorders>
            <w:shd w:val="clear" w:color="auto" w:fill="auto"/>
            <w:hideMark/>
          </w:tcPr>
          <w:p w14:paraId="387C8C97"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r>
      <w:tr w:rsidR="00A93231" w:rsidRPr="00A93231" w14:paraId="52B8C07E" w14:textId="77777777" w:rsidTr="008E0319">
        <w:trPr>
          <w:trHeight w:val="300"/>
        </w:trPr>
        <w:tc>
          <w:tcPr>
            <w:tcW w:w="185" w:type="pct"/>
            <w:tcBorders>
              <w:top w:val="nil"/>
              <w:left w:val="single" w:sz="8" w:space="0" w:color="auto"/>
              <w:bottom w:val="single" w:sz="4" w:space="0" w:color="auto"/>
              <w:right w:val="single" w:sz="4" w:space="0" w:color="auto"/>
            </w:tcBorders>
            <w:shd w:val="clear" w:color="auto" w:fill="auto"/>
            <w:hideMark/>
          </w:tcPr>
          <w:p w14:paraId="7D0793ED"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51</w:t>
            </w:r>
          </w:p>
        </w:tc>
        <w:tc>
          <w:tcPr>
            <w:tcW w:w="3486" w:type="pct"/>
            <w:tcBorders>
              <w:top w:val="nil"/>
              <w:left w:val="nil"/>
              <w:bottom w:val="single" w:sz="4" w:space="0" w:color="auto"/>
              <w:right w:val="single" w:sz="4" w:space="0" w:color="auto"/>
            </w:tcBorders>
            <w:shd w:val="clear" w:color="auto" w:fill="auto"/>
            <w:hideMark/>
          </w:tcPr>
          <w:p w14:paraId="26C2EB87"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Ability to override the default system score and enter a score </w:t>
            </w:r>
          </w:p>
        </w:tc>
        <w:tc>
          <w:tcPr>
            <w:tcW w:w="637" w:type="pct"/>
            <w:tcBorders>
              <w:top w:val="nil"/>
              <w:left w:val="nil"/>
              <w:bottom w:val="single" w:sz="4" w:space="0" w:color="auto"/>
              <w:right w:val="single" w:sz="4" w:space="0" w:color="auto"/>
            </w:tcBorders>
            <w:shd w:val="clear" w:color="auto" w:fill="auto"/>
            <w:hideMark/>
          </w:tcPr>
          <w:p w14:paraId="1ED25A69"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c>
          <w:tcPr>
            <w:tcW w:w="692" w:type="pct"/>
            <w:tcBorders>
              <w:top w:val="nil"/>
              <w:left w:val="nil"/>
              <w:bottom w:val="single" w:sz="4" w:space="0" w:color="auto"/>
              <w:right w:val="single" w:sz="8" w:space="0" w:color="auto"/>
            </w:tcBorders>
            <w:shd w:val="clear" w:color="auto" w:fill="auto"/>
            <w:hideMark/>
          </w:tcPr>
          <w:p w14:paraId="06E322BF"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r>
      <w:tr w:rsidR="00A93231" w:rsidRPr="00A93231" w14:paraId="4524C32A" w14:textId="77777777" w:rsidTr="008E0319">
        <w:trPr>
          <w:trHeight w:val="510"/>
        </w:trPr>
        <w:tc>
          <w:tcPr>
            <w:tcW w:w="185" w:type="pct"/>
            <w:tcBorders>
              <w:top w:val="nil"/>
              <w:left w:val="single" w:sz="8" w:space="0" w:color="auto"/>
              <w:bottom w:val="single" w:sz="4" w:space="0" w:color="auto"/>
              <w:right w:val="single" w:sz="4" w:space="0" w:color="auto"/>
            </w:tcBorders>
            <w:shd w:val="clear" w:color="auto" w:fill="auto"/>
            <w:hideMark/>
          </w:tcPr>
          <w:p w14:paraId="14BD8A14"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52</w:t>
            </w:r>
          </w:p>
        </w:tc>
        <w:tc>
          <w:tcPr>
            <w:tcW w:w="3486" w:type="pct"/>
            <w:tcBorders>
              <w:top w:val="nil"/>
              <w:left w:val="nil"/>
              <w:bottom w:val="single" w:sz="4" w:space="0" w:color="auto"/>
              <w:right w:val="single" w:sz="4" w:space="0" w:color="auto"/>
            </w:tcBorders>
            <w:shd w:val="clear" w:color="auto" w:fill="auto"/>
            <w:hideMark/>
          </w:tcPr>
          <w:p w14:paraId="4666CEBF"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should provide risk scoring using or leveraging a combination of CVSS (Common Vulnerability Scoring System) and EPSS (Exploit Prediction Scoring System) data</w:t>
            </w:r>
          </w:p>
        </w:tc>
        <w:tc>
          <w:tcPr>
            <w:tcW w:w="637" w:type="pct"/>
            <w:tcBorders>
              <w:top w:val="nil"/>
              <w:left w:val="nil"/>
              <w:bottom w:val="single" w:sz="4" w:space="0" w:color="auto"/>
              <w:right w:val="single" w:sz="4" w:space="0" w:color="auto"/>
            </w:tcBorders>
            <w:shd w:val="clear" w:color="auto" w:fill="auto"/>
            <w:hideMark/>
          </w:tcPr>
          <w:p w14:paraId="7116590A"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c>
          <w:tcPr>
            <w:tcW w:w="692" w:type="pct"/>
            <w:tcBorders>
              <w:top w:val="nil"/>
              <w:left w:val="nil"/>
              <w:bottom w:val="single" w:sz="4" w:space="0" w:color="auto"/>
              <w:right w:val="single" w:sz="8" w:space="0" w:color="auto"/>
            </w:tcBorders>
            <w:shd w:val="clear" w:color="auto" w:fill="auto"/>
            <w:hideMark/>
          </w:tcPr>
          <w:p w14:paraId="0162C4CE"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r>
      <w:tr w:rsidR="00A93231" w:rsidRPr="00A93231" w14:paraId="143F4206" w14:textId="77777777" w:rsidTr="008E0319">
        <w:trPr>
          <w:trHeight w:val="300"/>
        </w:trPr>
        <w:tc>
          <w:tcPr>
            <w:tcW w:w="185" w:type="pct"/>
            <w:tcBorders>
              <w:top w:val="nil"/>
              <w:left w:val="single" w:sz="8" w:space="0" w:color="auto"/>
              <w:bottom w:val="single" w:sz="4" w:space="0" w:color="auto"/>
              <w:right w:val="single" w:sz="4" w:space="0" w:color="auto"/>
            </w:tcBorders>
            <w:shd w:val="clear" w:color="auto" w:fill="auto"/>
            <w:hideMark/>
          </w:tcPr>
          <w:p w14:paraId="2E60022B"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53</w:t>
            </w:r>
          </w:p>
        </w:tc>
        <w:tc>
          <w:tcPr>
            <w:tcW w:w="3486" w:type="pct"/>
            <w:tcBorders>
              <w:top w:val="nil"/>
              <w:left w:val="nil"/>
              <w:bottom w:val="single" w:sz="4" w:space="0" w:color="auto"/>
              <w:right w:val="single" w:sz="4" w:space="0" w:color="auto"/>
            </w:tcBorders>
            <w:shd w:val="clear" w:color="auto" w:fill="auto"/>
            <w:hideMark/>
          </w:tcPr>
          <w:p w14:paraId="343FFDBE"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should have a method of explaining why an asset was attributed to the organization</w:t>
            </w:r>
          </w:p>
        </w:tc>
        <w:tc>
          <w:tcPr>
            <w:tcW w:w="637" w:type="pct"/>
            <w:tcBorders>
              <w:top w:val="nil"/>
              <w:left w:val="nil"/>
              <w:bottom w:val="single" w:sz="4" w:space="0" w:color="auto"/>
              <w:right w:val="single" w:sz="4" w:space="0" w:color="auto"/>
            </w:tcBorders>
            <w:shd w:val="clear" w:color="auto" w:fill="auto"/>
            <w:hideMark/>
          </w:tcPr>
          <w:p w14:paraId="15F63EDD"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c>
          <w:tcPr>
            <w:tcW w:w="692" w:type="pct"/>
            <w:tcBorders>
              <w:top w:val="nil"/>
              <w:left w:val="nil"/>
              <w:bottom w:val="single" w:sz="4" w:space="0" w:color="auto"/>
              <w:right w:val="single" w:sz="8" w:space="0" w:color="auto"/>
            </w:tcBorders>
            <w:shd w:val="clear" w:color="auto" w:fill="auto"/>
            <w:hideMark/>
          </w:tcPr>
          <w:p w14:paraId="22D659C9"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r>
      <w:tr w:rsidR="00A93231" w:rsidRPr="00A93231" w14:paraId="318F4E76" w14:textId="77777777" w:rsidTr="008E0319">
        <w:trPr>
          <w:trHeight w:val="300"/>
        </w:trPr>
        <w:tc>
          <w:tcPr>
            <w:tcW w:w="185" w:type="pct"/>
            <w:tcBorders>
              <w:top w:val="nil"/>
              <w:left w:val="single" w:sz="8" w:space="0" w:color="auto"/>
              <w:bottom w:val="single" w:sz="4" w:space="0" w:color="auto"/>
              <w:right w:val="single" w:sz="4" w:space="0" w:color="auto"/>
            </w:tcBorders>
            <w:shd w:val="clear" w:color="auto" w:fill="auto"/>
            <w:hideMark/>
          </w:tcPr>
          <w:p w14:paraId="59D49707"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54</w:t>
            </w:r>
          </w:p>
        </w:tc>
        <w:tc>
          <w:tcPr>
            <w:tcW w:w="3486" w:type="pct"/>
            <w:tcBorders>
              <w:top w:val="nil"/>
              <w:left w:val="nil"/>
              <w:bottom w:val="single" w:sz="4" w:space="0" w:color="auto"/>
              <w:right w:val="single" w:sz="4" w:space="0" w:color="auto"/>
            </w:tcBorders>
            <w:shd w:val="clear" w:color="auto" w:fill="auto"/>
            <w:hideMark/>
          </w:tcPr>
          <w:p w14:paraId="4BB2BFE2"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The solution should describe why the asset was attributed &amp; provide evidence </w:t>
            </w:r>
          </w:p>
        </w:tc>
        <w:tc>
          <w:tcPr>
            <w:tcW w:w="637" w:type="pct"/>
            <w:tcBorders>
              <w:top w:val="nil"/>
              <w:left w:val="nil"/>
              <w:bottom w:val="single" w:sz="4" w:space="0" w:color="auto"/>
              <w:right w:val="single" w:sz="4" w:space="0" w:color="auto"/>
            </w:tcBorders>
            <w:shd w:val="clear" w:color="auto" w:fill="auto"/>
            <w:hideMark/>
          </w:tcPr>
          <w:p w14:paraId="237820DD"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c>
          <w:tcPr>
            <w:tcW w:w="692" w:type="pct"/>
            <w:tcBorders>
              <w:top w:val="nil"/>
              <w:left w:val="nil"/>
              <w:bottom w:val="single" w:sz="4" w:space="0" w:color="auto"/>
              <w:right w:val="single" w:sz="8" w:space="0" w:color="auto"/>
            </w:tcBorders>
            <w:shd w:val="clear" w:color="auto" w:fill="auto"/>
            <w:hideMark/>
          </w:tcPr>
          <w:p w14:paraId="52917701"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r>
      <w:tr w:rsidR="00A93231" w:rsidRPr="00A93231" w14:paraId="0E711F1B" w14:textId="77777777" w:rsidTr="008E0319">
        <w:trPr>
          <w:trHeight w:val="300"/>
        </w:trPr>
        <w:tc>
          <w:tcPr>
            <w:tcW w:w="185" w:type="pct"/>
            <w:tcBorders>
              <w:top w:val="nil"/>
              <w:left w:val="single" w:sz="8" w:space="0" w:color="auto"/>
              <w:bottom w:val="single" w:sz="4" w:space="0" w:color="auto"/>
              <w:right w:val="single" w:sz="4" w:space="0" w:color="auto"/>
            </w:tcBorders>
            <w:shd w:val="clear" w:color="auto" w:fill="auto"/>
            <w:hideMark/>
          </w:tcPr>
          <w:p w14:paraId="61C1CA53"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55</w:t>
            </w:r>
          </w:p>
        </w:tc>
        <w:tc>
          <w:tcPr>
            <w:tcW w:w="3486" w:type="pct"/>
            <w:tcBorders>
              <w:top w:val="nil"/>
              <w:left w:val="nil"/>
              <w:bottom w:val="single" w:sz="4" w:space="0" w:color="auto"/>
              <w:right w:val="single" w:sz="4" w:space="0" w:color="auto"/>
            </w:tcBorders>
            <w:shd w:val="clear" w:color="auto" w:fill="auto"/>
            <w:hideMark/>
          </w:tcPr>
          <w:p w14:paraId="627BBA9A"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should be explicit on how confident the product is on the attribution</w:t>
            </w:r>
          </w:p>
        </w:tc>
        <w:tc>
          <w:tcPr>
            <w:tcW w:w="637" w:type="pct"/>
            <w:tcBorders>
              <w:top w:val="nil"/>
              <w:left w:val="nil"/>
              <w:bottom w:val="single" w:sz="4" w:space="0" w:color="auto"/>
              <w:right w:val="single" w:sz="4" w:space="0" w:color="auto"/>
            </w:tcBorders>
            <w:shd w:val="clear" w:color="auto" w:fill="auto"/>
            <w:hideMark/>
          </w:tcPr>
          <w:p w14:paraId="3FB287BA"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c>
          <w:tcPr>
            <w:tcW w:w="692" w:type="pct"/>
            <w:tcBorders>
              <w:top w:val="nil"/>
              <w:left w:val="nil"/>
              <w:bottom w:val="single" w:sz="4" w:space="0" w:color="auto"/>
              <w:right w:val="single" w:sz="8" w:space="0" w:color="auto"/>
            </w:tcBorders>
            <w:shd w:val="clear" w:color="auto" w:fill="auto"/>
            <w:hideMark/>
          </w:tcPr>
          <w:p w14:paraId="3F0DC5FC"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r>
      <w:tr w:rsidR="00A93231" w:rsidRPr="00A93231" w14:paraId="530149BE" w14:textId="77777777" w:rsidTr="008E0319">
        <w:trPr>
          <w:trHeight w:val="300"/>
        </w:trPr>
        <w:tc>
          <w:tcPr>
            <w:tcW w:w="185" w:type="pct"/>
            <w:tcBorders>
              <w:top w:val="nil"/>
              <w:left w:val="single" w:sz="8" w:space="0" w:color="auto"/>
              <w:bottom w:val="single" w:sz="4" w:space="0" w:color="auto"/>
              <w:right w:val="single" w:sz="4" w:space="0" w:color="auto"/>
            </w:tcBorders>
            <w:shd w:val="clear" w:color="auto" w:fill="auto"/>
            <w:hideMark/>
          </w:tcPr>
          <w:p w14:paraId="24C2F805"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56</w:t>
            </w:r>
          </w:p>
        </w:tc>
        <w:tc>
          <w:tcPr>
            <w:tcW w:w="3486" w:type="pct"/>
            <w:tcBorders>
              <w:top w:val="nil"/>
              <w:left w:val="nil"/>
              <w:bottom w:val="single" w:sz="4" w:space="0" w:color="auto"/>
              <w:right w:val="single" w:sz="4" w:space="0" w:color="auto"/>
            </w:tcBorders>
            <w:shd w:val="clear" w:color="auto" w:fill="auto"/>
            <w:hideMark/>
          </w:tcPr>
          <w:p w14:paraId="66B1ADE8"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should offer features that improve enterprise usability and function</w:t>
            </w:r>
          </w:p>
        </w:tc>
        <w:tc>
          <w:tcPr>
            <w:tcW w:w="637" w:type="pct"/>
            <w:tcBorders>
              <w:top w:val="nil"/>
              <w:left w:val="nil"/>
              <w:bottom w:val="single" w:sz="4" w:space="0" w:color="auto"/>
              <w:right w:val="single" w:sz="4" w:space="0" w:color="auto"/>
            </w:tcBorders>
            <w:shd w:val="clear" w:color="auto" w:fill="auto"/>
            <w:hideMark/>
          </w:tcPr>
          <w:p w14:paraId="4969922B"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c>
          <w:tcPr>
            <w:tcW w:w="692" w:type="pct"/>
            <w:tcBorders>
              <w:top w:val="nil"/>
              <w:left w:val="nil"/>
              <w:bottom w:val="single" w:sz="4" w:space="0" w:color="auto"/>
              <w:right w:val="single" w:sz="8" w:space="0" w:color="auto"/>
            </w:tcBorders>
            <w:shd w:val="clear" w:color="auto" w:fill="auto"/>
            <w:hideMark/>
          </w:tcPr>
          <w:p w14:paraId="7219633F"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r>
      <w:tr w:rsidR="00A93231" w:rsidRPr="00A93231" w14:paraId="34C2DFB6" w14:textId="77777777" w:rsidTr="008E0319">
        <w:trPr>
          <w:trHeight w:val="300"/>
        </w:trPr>
        <w:tc>
          <w:tcPr>
            <w:tcW w:w="185" w:type="pct"/>
            <w:tcBorders>
              <w:top w:val="nil"/>
              <w:left w:val="single" w:sz="8" w:space="0" w:color="auto"/>
              <w:bottom w:val="single" w:sz="4" w:space="0" w:color="auto"/>
              <w:right w:val="single" w:sz="4" w:space="0" w:color="auto"/>
            </w:tcBorders>
            <w:shd w:val="clear" w:color="auto" w:fill="auto"/>
            <w:hideMark/>
          </w:tcPr>
          <w:p w14:paraId="7376E08D"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57</w:t>
            </w:r>
          </w:p>
        </w:tc>
        <w:tc>
          <w:tcPr>
            <w:tcW w:w="3486" w:type="pct"/>
            <w:tcBorders>
              <w:top w:val="nil"/>
              <w:left w:val="nil"/>
              <w:bottom w:val="single" w:sz="4" w:space="0" w:color="auto"/>
              <w:right w:val="single" w:sz="4" w:space="0" w:color="auto"/>
            </w:tcBorders>
            <w:shd w:val="clear" w:color="auto" w:fill="auto"/>
            <w:hideMark/>
          </w:tcPr>
          <w:p w14:paraId="32917BF5"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Supports single-sign on with Security Assertion Markup Language (SAML)</w:t>
            </w:r>
          </w:p>
        </w:tc>
        <w:tc>
          <w:tcPr>
            <w:tcW w:w="637" w:type="pct"/>
            <w:tcBorders>
              <w:top w:val="nil"/>
              <w:left w:val="nil"/>
              <w:bottom w:val="single" w:sz="4" w:space="0" w:color="auto"/>
              <w:right w:val="single" w:sz="4" w:space="0" w:color="auto"/>
            </w:tcBorders>
            <w:shd w:val="clear" w:color="auto" w:fill="auto"/>
            <w:hideMark/>
          </w:tcPr>
          <w:p w14:paraId="124D2DDD"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c>
          <w:tcPr>
            <w:tcW w:w="692" w:type="pct"/>
            <w:tcBorders>
              <w:top w:val="nil"/>
              <w:left w:val="nil"/>
              <w:bottom w:val="single" w:sz="4" w:space="0" w:color="auto"/>
              <w:right w:val="single" w:sz="8" w:space="0" w:color="auto"/>
            </w:tcBorders>
            <w:shd w:val="clear" w:color="auto" w:fill="auto"/>
            <w:hideMark/>
          </w:tcPr>
          <w:p w14:paraId="35E5322E"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r>
      <w:tr w:rsidR="00A93231" w:rsidRPr="00A93231" w14:paraId="5647F494" w14:textId="77777777" w:rsidTr="008E0319">
        <w:trPr>
          <w:trHeight w:val="300"/>
        </w:trPr>
        <w:tc>
          <w:tcPr>
            <w:tcW w:w="185" w:type="pct"/>
            <w:tcBorders>
              <w:top w:val="nil"/>
              <w:left w:val="single" w:sz="8" w:space="0" w:color="auto"/>
              <w:bottom w:val="single" w:sz="4" w:space="0" w:color="auto"/>
              <w:right w:val="single" w:sz="4" w:space="0" w:color="auto"/>
            </w:tcBorders>
            <w:shd w:val="clear" w:color="auto" w:fill="auto"/>
            <w:hideMark/>
          </w:tcPr>
          <w:p w14:paraId="330D0A28"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58</w:t>
            </w:r>
          </w:p>
        </w:tc>
        <w:tc>
          <w:tcPr>
            <w:tcW w:w="3486" w:type="pct"/>
            <w:tcBorders>
              <w:top w:val="nil"/>
              <w:left w:val="nil"/>
              <w:bottom w:val="single" w:sz="4" w:space="0" w:color="auto"/>
              <w:right w:val="single" w:sz="4" w:space="0" w:color="auto"/>
            </w:tcBorders>
            <w:shd w:val="clear" w:color="auto" w:fill="auto"/>
            <w:hideMark/>
          </w:tcPr>
          <w:p w14:paraId="164B6D7C"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Allows you to directly export any data from the platform </w:t>
            </w:r>
          </w:p>
        </w:tc>
        <w:tc>
          <w:tcPr>
            <w:tcW w:w="637" w:type="pct"/>
            <w:tcBorders>
              <w:top w:val="nil"/>
              <w:left w:val="nil"/>
              <w:bottom w:val="single" w:sz="4" w:space="0" w:color="auto"/>
              <w:right w:val="single" w:sz="4" w:space="0" w:color="auto"/>
            </w:tcBorders>
            <w:shd w:val="clear" w:color="auto" w:fill="auto"/>
            <w:hideMark/>
          </w:tcPr>
          <w:p w14:paraId="66B3F66D"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c>
          <w:tcPr>
            <w:tcW w:w="692" w:type="pct"/>
            <w:tcBorders>
              <w:top w:val="nil"/>
              <w:left w:val="nil"/>
              <w:bottom w:val="single" w:sz="4" w:space="0" w:color="auto"/>
              <w:right w:val="single" w:sz="8" w:space="0" w:color="auto"/>
            </w:tcBorders>
            <w:shd w:val="clear" w:color="auto" w:fill="auto"/>
            <w:hideMark/>
          </w:tcPr>
          <w:p w14:paraId="21019F46"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r>
      <w:tr w:rsidR="00A93231" w:rsidRPr="00A93231" w14:paraId="505F7CF1" w14:textId="77777777" w:rsidTr="008E0319">
        <w:trPr>
          <w:trHeight w:val="300"/>
        </w:trPr>
        <w:tc>
          <w:tcPr>
            <w:tcW w:w="185" w:type="pct"/>
            <w:tcBorders>
              <w:top w:val="nil"/>
              <w:left w:val="single" w:sz="8" w:space="0" w:color="auto"/>
              <w:bottom w:val="single" w:sz="4" w:space="0" w:color="auto"/>
              <w:right w:val="single" w:sz="4" w:space="0" w:color="auto"/>
            </w:tcBorders>
            <w:shd w:val="clear" w:color="auto" w:fill="auto"/>
            <w:hideMark/>
          </w:tcPr>
          <w:p w14:paraId="217EBBCB"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59</w:t>
            </w:r>
          </w:p>
        </w:tc>
        <w:tc>
          <w:tcPr>
            <w:tcW w:w="3486" w:type="pct"/>
            <w:tcBorders>
              <w:top w:val="nil"/>
              <w:left w:val="nil"/>
              <w:bottom w:val="single" w:sz="4" w:space="0" w:color="auto"/>
              <w:right w:val="single" w:sz="4" w:space="0" w:color="auto"/>
            </w:tcBorders>
            <w:shd w:val="clear" w:color="auto" w:fill="auto"/>
            <w:hideMark/>
          </w:tcPr>
          <w:p w14:paraId="15F70F0D"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Create dashboards based on the needs of Bank and based on what visibility Bank is looking to have.</w:t>
            </w:r>
          </w:p>
        </w:tc>
        <w:tc>
          <w:tcPr>
            <w:tcW w:w="637" w:type="pct"/>
            <w:tcBorders>
              <w:top w:val="nil"/>
              <w:left w:val="nil"/>
              <w:bottom w:val="single" w:sz="4" w:space="0" w:color="auto"/>
              <w:right w:val="single" w:sz="4" w:space="0" w:color="auto"/>
            </w:tcBorders>
            <w:shd w:val="clear" w:color="auto" w:fill="auto"/>
            <w:hideMark/>
          </w:tcPr>
          <w:p w14:paraId="420910F5"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c>
          <w:tcPr>
            <w:tcW w:w="692" w:type="pct"/>
            <w:tcBorders>
              <w:top w:val="nil"/>
              <w:left w:val="nil"/>
              <w:bottom w:val="single" w:sz="4" w:space="0" w:color="auto"/>
              <w:right w:val="single" w:sz="8" w:space="0" w:color="auto"/>
            </w:tcBorders>
            <w:shd w:val="clear" w:color="auto" w:fill="auto"/>
            <w:hideMark/>
          </w:tcPr>
          <w:p w14:paraId="70DC596C"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r>
      <w:tr w:rsidR="00A93231" w:rsidRPr="00A93231" w14:paraId="7A675932" w14:textId="77777777" w:rsidTr="008E0319">
        <w:trPr>
          <w:trHeight w:val="300"/>
        </w:trPr>
        <w:tc>
          <w:tcPr>
            <w:tcW w:w="185" w:type="pct"/>
            <w:tcBorders>
              <w:top w:val="nil"/>
              <w:left w:val="single" w:sz="8" w:space="0" w:color="auto"/>
              <w:bottom w:val="single" w:sz="4" w:space="0" w:color="auto"/>
              <w:right w:val="single" w:sz="4" w:space="0" w:color="auto"/>
            </w:tcBorders>
            <w:shd w:val="clear" w:color="auto" w:fill="auto"/>
            <w:hideMark/>
          </w:tcPr>
          <w:p w14:paraId="7A491B5D"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60</w:t>
            </w:r>
          </w:p>
        </w:tc>
        <w:tc>
          <w:tcPr>
            <w:tcW w:w="3486" w:type="pct"/>
            <w:tcBorders>
              <w:top w:val="nil"/>
              <w:left w:val="nil"/>
              <w:bottom w:val="single" w:sz="4" w:space="0" w:color="auto"/>
              <w:right w:val="single" w:sz="4" w:space="0" w:color="auto"/>
            </w:tcBorders>
            <w:shd w:val="clear" w:color="auto" w:fill="auto"/>
            <w:hideMark/>
          </w:tcPr>
          <w:p w14:paraId="61ABBB9D"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Create reports based on the needs of Bank and schedule regular reporting on a particular cadence for quicker reporting cycles </w:t>
            </w:r>
          </w:p>
        </w:tc>
        <w:tc>
          <w:tcPr>
            <w:tcW w:w="637" w:type="pct"/>
            <w:tcBorders>
              <w:top w:val="nil"/>
              <w:left w:val="nil"/>
              <w:bottom w:val="single" w:sz="4" w:space="0" w:color="auto"/>
              <w:right w:val="single" w:sz="4" w:space="0" w:color="auto"/>
            </w:tcBorders>
            <w:shd w:val="clear" w:color="auto" w:fill="auto"/>
            <w:hideMark/>
          </w:tcPr>
          <w:p w14:paraId="1449678E"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c>
          <w:tcPr>
            <w:tcW w:w="692" w:type="pct"/>
            <w:tcBorders>
              <w:top w:val="nil"/>
              <w:left w:val="nil"/>
              <w:bottom w:val="single" w:sz="4" w:space="0" w:color="auto"/>
              <w:right w:val="single" w:sz="8" w:space="0" w:color="auto"/>
            </w:tcBorders>
            <w:shd w:val="clear" w:color="auto" w:fill="auto"/>
            <w:hideMark/>
          </w:tcPr>
          <w:p w14:paraId="5F166D2E"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r>
      <w:tr w:rsidR="00A93231" w:rsidRPr="00A93231" w14:paraId="1AF34E7C" w14:textId="77777777" w:rsidTr="008E0319">
        <w:trPr>
          <w:trHeight w:val="300"/>
        </w:trPr>
        <w:tc>
          <w:tcPr>
            <w:tcW w:w="185" w:type="pct"/>
            <w:tcBorders>
              <w:top w:val="nil"/>
              <w:left w:val="single" w:sz="8" w:space="0" w:color="auto"/>
              <w:bottom w:val="single" w:sz="4" w:space="0" w:color="auto"/>
              <w:right w:val="single" w:sz="4" w:space="0" w:color="auto"/>
            </w:tcBorders>
            <w:shd w:val="clear" w:color="auto" w:fill="auto"/>
            <w:hideMark/>
          </w:tcPr>
          <w:p w14:paraId="69D5CB0C"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61</w:t>
            </w:r>
          </w:p>
        </w:tc>
        <w:tc>
          <w:tcPr>
            <w:tcW w:w="3486" w:type="pct"/>
            <w:tcBorders>
              <w:top w:val="nil"/>
              <w:left w:val="nil"/>
              <w:bottom w:val="single" w:sz="4" w:space="0" w:color="auto"/>
              <w:right w:val="single" w:sz="4" w:space="0" w:color="auto"/>
            </w:tcBorders>
            <w:shd w:val="clear" w:color="auto" w:fill="auto"/>
            <w:hideMark/>
          </w:tcPr>
          <w:p w14:paraId="49DB7D2D"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Perform AND/OR searches across assets to drill down easily </w:t>
            </w:r>
          </w:p>
        </w:tc>
        <w:tc>
          <w:tcPr>
            <w:tcW w:w="637" w:type="pct"/>
            <w:tcBorders>
              <w:top w:val="nil"/>
              <w:left w:val="nil"/>
              <w:bottom w:val="single" w:sz="4" w:space="0" w:color="auto"/>
              <w:right w:val="single" w:sz="4" w:space="0" w:color="auto"/>
            </w:tcBorders>
            <w:shd w:val="clear" w:color="auto" w:fill="auto"/>
            <w:hideMark/>
          </w:tcPr>
          <w:p w14:paraId="045DFDD2"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c>
          <w:tcPr>
            <w:tcW w:w="692" w:type="pct"/>
            <w:tcBorders>
              <w:top w:val="nil"/>
              <w:left w:val="nil"/>
              <w:bottom w:val="single" w:sz="4" w:space="0" w:color="auto"/>
              <w:right w:val="single" w:sz="8" w:space="0" w:color="auto"/>
            </w:tcBorders>
            <w:shd w:val="clear" w:color="auto" w:fill="auto"/>
            <w:hideMark/>
          </w:tcPr>
          <w:p w14:paraId="24DF05EE"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r>
      <w:tr w:rsidR="00A93231" w:rsidRPr="00A93231" w14:paraId="51B5291A" w14:textId="77777777" w:rsidTr="008E0319">
        <w:trPr>
          <w:trHeight w:val="300"/>
        </w:trPr>
        <w:tc>
          <w:tcPr>
            <w:tcW w:w="185" w:type="pct"/>
            <w:tcBorders>
              <w:top w:val="nil"/>
              <w:left w:val="single" w:sz="8" w:space="0" w:color="auto"/>
              <w:bottom w:val="single" w:sz="4" w:space="0" w:color="auto"/>
              <w:right w:val="single" w:sz="4" w:space="0" w:color="auto"/>
            </w:tcBorders>
            <w:shd w:val="clear" w:color="auto" w:fill="auto"/>
            <w:hideMark/>
          </w:tcPr>
          <w:p w14:paraId="0316A86B"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62</w:t>
            </w:r>
          </w:p>
        </w:tc>
        <w:tc>
          <w:tcPr>
            <w:tcW w:w="3486" w:type="pct"/>
            <w:tcBorders>
              <w:top w:val="nil"/>
              <w:left w:val="nil"/>
              <w:bottom w:val="single" w:sz="4" w:space="0" w:color="auto"/>
              <w:right w:val="single" w:sz="4" w:space="0" w:color="auto"/>
            </w:tcBorders>
            <w:shd w:val="clear" w:color="auto" w:fill="auto"/>
            <w:hideMark/>
          </w:tcPr>
          <w:p w14:paraId="1747BB49"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Allow for designated administrators to add, delete, and edit users </w:t>
            </w:r>
          </w:p>
        </w:tc>
        <w:tc>
          <w:tcPr>
            <w:tcW w:w="637" w:type="pct"/>
            <w:tcBorders>
              <w:top w:val="nil"/>
              <w:left w:val="nil"/>
              <w:bottom w:val="single" w:sz="4" w:space="0" w:color="auto"/>
              <w:right w:val="single" w:sz="4" w:space="0" w:color="auto"/>
            </w:tcBorders>
            <w:shd w:val="clear" w:color="auto" w:fill="auto"/>
            <w:hideMark/>
          </w:tcPr>
          <w:p w14:paraId="35E88BA8"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c>
          <w:tcPr>
            <w:tcW w:w="692" w:type="pct"/>
            <w:tcBorders>
              <w:top w:val="nil"/>
              <w:left w:val="nil"/>
              <w:bottom w:val="single" w:sz="4" w:space="0" w:color="auto"/>
              <w:right w:val="single" w:sz="8" w:space="0" w:color="auto"/>
            </w:tcBorders>
            <w:shd w:val="clear" w:color="auto" w:fill="auto"/>
            <w:hideMark/>
          </w:tcPr>
          <w:p w14:paraId="354275FD"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r>
      <w:tr w:rsidR="00A93231" w:rsidRPr="00A93231" w14:paraId="3FC32A6E" w14:textId="77777777" w:rsidTr="008E0319">
        <w:trPr>
          <w:trHeight w:val="300"/>
        </w:trPr>
        <w:tc>
          <w:tcPr>
            <w:tcW w:w="185" w:type="pct"/>
            <w:tcBorders>
              <w:top w:val="nil"/>
              <w:left w:val="single" w:sz="8" w:space="0" w:color="auto"/>
              <w:bottom w:val="single" w:sz="4" w:space="0" w:color="auto"/>
              <w:right w:val="single" w:sz="4" w:space="0" w:color="auto"/>
            </w:tcBorders>
            <w:shd w:val="clear" w:color="auto" w:fill="auto"/>
            <w:hideMark/>
          </w:tcPr>
          <w:p w14:paraId="2DF69B25"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63</w:t>
            </w:r>
          </w:p>
        </w:tc>
        <w:tc>
          <w:tcPr>
            <w:tcW w:w="3486" w:type="pct"/>
            <w:tcBorders>
              <w:top w:val="nil"/>
              <w:left w:val="nil"/>
              <w:bottom w:val="single" w:sz="4" w:space="0" w:color="auto"/>
              <w:right w:val="single" w:sz="4" w:space="0" w:color="auto"/>
            </w:tcBorders>
            <w:shd w:val="clear" w:color="auto" w:fill="auto"/>
            <w:hideMark/>
          </w:tcPr>
          <w:p w14:paraId="68AAA5F8"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Select from default roles or create new role with designated privileges for better security </w:t>
            </w:r>
          </w:p>
        </w:tc>
        <w:tc>
          <w:tcPr>
            <w:tcW w:w="637" w:type="pct"/>
            <w:tcBorders>
              <w:top w:val="nil"/>
              <w:left w:val="nil"/>
              <w:bottom w:val="single" w:sz="4" w:space="0" w:color="auto"/>
              <w:right w:val="single" w:sz="4" w:space="0" w:color="auto"/>
            </w:tcBorders>
            <w:shd w:val="clear" w:color="auto" w:fill="auto"/>
            <w:hideMark/>
          </w:tcPr>
          <w:p w14:paraId="75ADF887"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c>
          <w:tcPr>
            <w:tcW w:w="692" w:type="pct"/>
            <w:tcBorders>
              <w:top w:val="nil"/>
              <w:left w:val="nil"/>
              <w:bottom w:val="single" w:sz="4" w:space="0" w:color="auto"/>
              <w:right w:val="single" w:sz="8" w:space="0" w:color="auto"/>
            </w:tcBorders>
            <w:shd w:val="clear" w:color="auto" w:fill="auto"/>
            <w:hideMark/>
          </w:tcPr>
          <w:p w14:paraId="2E24404A"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r>
      <w:tr w:rsidR="00A93231" w:rsidRPr="00A93231" w14:paraId="1207F823" w14:textId="77777777" w:rsidTr="008E0319">
        <w:trPr>
          <w:trHeight w:val="300"/>
        </w:trPr>
        <w:tc>
          <w:tcPr>
            <w:tcW w:w="185" w:type="pct"/>
            <w:tcBorders>
              <w:top w:val="nil"/>
              <w:left w:val="single" w:sz="8" w:space="0" w:color="auto"/>
              <w:bottom w:val="single" w:sz="4" w:space="0" w:color="auto"/>
              <w:right w:val="single" w:sz="4" w:space="0" w:color="auto"/>
            </w:tcBorders>
            <w:shd w:val="clear" w:color="auto" w:fill="auto"/>
            <w:hideMark/>
          </w:tcPr>
          <w:p w14:paraId="3D3F85BE"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64</w:t>
            </w:r>
          </w:p>
        </w:tc>
        <w:tc>
          <w:tcPr>
            <w:tcW w:w="3486" w:type="pct"/>
            <w:tcBorders>
              <w:top w:val="nil"/>
              <w:left w:val="nil"/>
              <w:bottom w:val="single" w:sz="4" w:space="0" w:color="auto"/>
              <w:right w:val="single" w:sz="4" w:space="0" w:color="auto"/>
            </w:tcBorders>
            <w:shd w:val="clear" w:color="auto" w:fill="auto"/>
            <w:hideMark/>
          </w:tcPr>
          <w:p w14:paraId="48FAA450"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Create User Groups based on a role for quick administration</w:t>
            </w:r>
          </w:p>
        </w:tc>
        <w:tc>
          <w:tcPr>
            <w:tcW w:w="637" w:type="pct"/>
            <w:tcBorders>
              <w:top w:val="nil"/>
              <w:left w:val="nil"/>
              <w:bottom w:val="single" w:sz="4" w:space="0" w:color="auto"/>
              <w:right w:val="single" w:sz="4" w:space="0" w:color="auto"/>
            </w:tcBorders>
            <w:shd w:val="clear" w:color="auto" w:fill="auto"/>
            <w:hideMark/>
          </w:tcPr>
          <w:p w14:paraId="527E662E"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c>
          <w:tcPr>
            <w:tcW w:w="692" w:type="pct"/>
            <w:tcBorders>
              <w:top w:val="nil"/>
              <w:left w:val="nil"/>
              <w:bottom w:val="single" w:sz="4" w:space="0" w:color="auto"/>
              <w:right w:val="single" w:sz="8" w:space="0" w:color="auto"/>
            </w:tcBorders>
            <w:shd w:val="clear" w:color="auto" w:fill="auto"/>
            <w:hideMark/>
          </w:tcPr>
          <w:p w14:paraId="5622D9BC"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r>
      <w:tr w:rsidR="00A93231" w:rsidRPr="00A93231" w14:paraId="1AF0AD34" w14:textId="77777777" w:rsidTr="008E0319">
        <w:trPr>
          <w:trHeight w:val="300"/>
        </w:trPr>
        <w:tc>
          <w:tcPr>
            <w:tcW w:w="185" w:type="pct"/>
            <w:tcBorders>
              <w:top w:val="nil"/>
              <w:left w:val="single" w:sz="8" w:space="0" w:color="auto"/>
              <w:bottom w:val="single" w:sz="4" w:space="0" w:color="auto"/>
              <w:right w:val="single" w:sz="4" w:space="0" w:color="auto"/>
            </w:tcBorders>
            <w:shd w:val="clear" w:color="auto" w:fill="auto"/>
            <w:hideMark/>
          </w:tcPr>
          <w:p w14:paraId="56C70D56"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65</w:t>
            </w:r>
          </w:p>
        </w:tc>
        <w:tc>
          <w:tcPr>
            <w:tcW w:w="3486" w:type="pct"/>
            <w:tcBorders>
              <w:top w:val="nil"/>
              <w:left w:val="nil"/>
              <w:bottom w:val="single" w:sz="4" w:space="0" w:color="auto"/>
              <w:right w:val="single" w:sz="4" w:space="0" w:color="auto"/>
            </w:tcBorders>
            <w:shd w:val="clear" w:color="auto" w:fill="auto"/>
            <w:hideMark/>
          </w:tcPr>
          <w:p w14:paraId="2D57860B"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should come with integrations to other popular tools</w:t>
            </w:r>
          </w:p>
        </w:tc>
        <w:tc>
          <w:tcPr>
            <w:tcW w:w="637" w:type="pct"/>
            <w:tcBorders>
              <w:top w:val="nil"/>
              <w:left w:val="nil"/>
              <w:bottom w:val="single" w:sz="4" w:space="0" w:color="auto"/>
              <w:right w:val="single" w:sz="4" w:space="0" w:color="auto"/>
            </w:tcBorders>
            <w:shd w:val="clear" w:color="auto" w:fill="auto"/>
            <w:hideMark/>
          </w:tcPr>
          <w:p w14:paraId="11BE19C2"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c>
          <w:tcPr>
            <w:tcW w:w="692" w:type="pct"/>
            <w:tcBorders>
              <w:top w:val="nil"/>
              <w:left w:val="nil"/>
              <w:bottom w:val="single" w:sz="4" w:space="0" w:color="auto"/>
              <w:right w:val="single" w:sz="8" w:space="0" w:color="auto"/>
            </w:tcBorders>
            <w:shd w:val="clear" w:color="auto" w:fill="auto"/>
            <w:hideMark/>
          </w:tcPr>
          <w:p w14:paraId="44EEDF13"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r>
      <w:tr w:rsidR="00A93231" w:rsidRPr="00A93231" w14:paraId="1B45F292" w14:textId="77777777" w:rsidTr="008E0319">
        <w:trPr>
          <w:trHeight w:val="300"/>
        </w:trPr>
        <w:tc>
          <w:tcPr>
            <w:tcW w:w="185" w:type="pct"/>
            <w:tcBorders>
              <w:top w:val="nil"/>
              <w:left w:val="single" w:sz="8" w:space="0" w:color="auto"/>
              <w:bottom w:val="single" w:sz="4" w:space="0" w:color="auto"/>
              <w:right w:val="single" w:sz="4" w:space="0" w:color="auto"/>
            </w:tcBorders>
            <w:shd w:val="clear" w:color="auto" w:fill="auto"/>
            <w:hideMark/>
          </w:tcPr>
          <w:p w14:paraId="1E315A71"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lastRenderedPageBreak/>
              <w:t>66</w:t>
            </w:r>
          </w:p>
        </w:tc>
        <w:tc>
          <w:tcPr>
            <w:tcW w:w="3486" w:type="pct"/>
            <w:tcBorders>
              <w:top w:val="nil"/>
              <w:left w:val="nil"/>
              <w:bottom w:val="single" w:sz="4" w:space="0" w:color="auto"/>
              <w:right w:val="single" w:sz="4" w:space="0" w:color="auto"/>
            </w:tcBorders>
            <w:shd w:val="clear" w:color="auto" w:fill="auto"/>
            <w:hideMark/>
          </w:tcPr>
          <w:p w14:paraId="66675D84"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Stay in one platform to manage all API keys for integrations</w:t>
            </w:r>
          </w:p>
        </w:tc>
        <w:tc>
          <w:tcPr>
            <w:tcW w:w="637" w:type="pct"/>
            <w:tcBorders>
              <w:top w:val="nil"/>
              <w:left w:val="nil"/>
              <w:bottom w:val="single" w:sz="4" w:space="0" w:color="auto"/>
              <w:right w:val="single" w:sz="4" w:space="0" w:color="auto"/>
            </w:tcBorders>
            <w:shd w:val="clear" w:color="auto" w:fill="auto"/>
            <w:hideMark/>
          </w:tcPr>
          <w:p w14:paraId="267B8133"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c>
          <w:tcPr>
            <w:tcW w:w="692" w:type="pct"/>
            <w:tcBorders>
              <w:top w:val="nil"/>
              <w:left w:val="nil"/>
              <w:bottom w:val="single" w:sz="4" w:space="0" w:color="auto"/>
              <w:right w:val="single" w:sz="8" w:space="0" w:color="auto"/>
            </w:tcBorders>
            <w:shd w:val="clear" w:color="auto" w:fill="auto"/>
            <w:hideMark/>
          </w:tcPr>
          <w:p w14:paraId="6B1838BF"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r>
      <w:tr w:rsidR="00A93231" w:rsidRPr="00A93231" w14:paraId="2BD38D11" w14:textId="77777777" w:rsidTr="008E0319">
        <w:trPr>
          <w:trHeight w:val="510"/>
        </w:trPr>
        <w:tc>
          <w:tcPr>
            <w:tcW w:w="185" w:type="pct"/>
            <w:tcBorders>
              <w:top w:val="nil"/>
              <w:left w:val="single" w:sz="8" w:space="0" w:color="auto"/>
              <w:bottom w:val="single" w:sz="4" w:space="0" w:color="auto"/>
              <w:right w:val="single" w:sz="4" w:space="0" w:color="auto"/>
            </w:tcBorders>
            <w:shd w:val="clear" w:color="auto" w:fill="auto"/>
            <w:hideMark/>
          </w:tcPr>
          <w:p w14:paraId="65779631"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67</w:t>
            </w:r>
          </w:p>
        </w:tc>
        <w:tc>
          <w:tcPr>
            <w:tcW w:w="3486" w:type="pct"/>
            <w:tcBorders>
              <w:top w:val="nil"/>
              <w:left w:val="nil"/>
              <w:bottom w:val="single" w:sz="4" w:space="0" w:color="auto"/>
              <w:right w:val="single" w:sz="4" w:space="0" w:color="auto"/>
            </w:tcBorders>
            <w:shd w:val="clear" w:color="auto" w:fill="auto"/>
            <w:hideMark/>
          </w:tcPr>
          <w:p w14:paraId="37C9B6C2"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A central location for installing, exchanging, and managing of Bank's content including playbooks, integrations, automations, fields, layouts, etc. </w:t>
            </w:r>
          </w:p>
        </w:tc>
        <w:tc>
          <w:tcPr>
            <w:tcW w:w="637" w:type="pct"/>
            <w:tcBorders>
              <w:top w:val="nil"/>
              <w:left w:val="nil"/>
              <w:bottom w:val="single" w:sz="4" w:space="0" w:color="auto"/>
              <w:right w:val="single" w:sz="4" w:space="0" w:color="auto"/>
            </w:tcBorders>
            <w:shd w:val="clear" w:color="auto" w:fill="auto"/>
            <w:hideMark/>
          </w:tcPr>
          <w:p w14:paraId="50750BF7"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c>
          <w:tcPr>
            <w:tcW w:w="692" w:type="pct"/>
            <w:tcBorders>
              <w:top w:val="nil"/>
              <w:left w:val="nil"/>
              <w:bottom w:val="single" w:sz="4" w:space="0" w:color="auto"/>
              <w:right w:val="single" w:sz="8" w:space="0" w:color="auto"/>
            </w:tcBorders>
            <w:shd w:val="clear" w:color="auto" w:fill="auto"/>
            <w:hideMark/>
          </w:tcPr>
          <w:p w14:paraId="3558D441"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r>
      <w:tr w:rsidR="00A93231" w:rsidRPr="00A93231" w14:paraId="14D84B41" w14:textId="77777777" w:rsidTr="008E0319">
        <w:trPr>
          <w:trHeight w:val="300"/>
        </w:trPr>
        <w:tc>
          <w:tcPr>
            <w:tcW w:w="185" w:type="pct"/>
            <w:tcBorders>
              <w:top w:val="nil"/>
              <w:left w:val="single" w:sz="8" w:space="0" w:color="auto"/>
              <w:bottom w:val="single" w:sz="4" w:space="0" w:color="auto"/>
              <w:right w:val="single" w:sz="4" w:space="0" w:color="auto"/>
            </w:tcBorders>
            <w:shd w:val="clear" w:color="auto" w:fill="auto"/>
            <w:hideMark/>
          </w:tcPr>
          <w:p w14:paraId="6DD79BA4"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68</w:t>
            </w:r>
          </w:p>
        </w:tc>
        <w:tc>
          <w:tcPr>
            <w:tcW w:w="3486" w:type="pct"/>
            <w:tcBorders>
              <w:top w:val="nil"/>
              <w:left w:val="nil"/>
              <w:bottom w:val="single" w:sz="4" w:space="0" w:color="auto"/>
              <w:right w:val="single" w:sz="4" w:space="0" w:color="auto"/>
            </w:tcBorders>
            <w:shd w:val="clear" w:color="auto" w:fill="auto"/>
            <w:hideMark/>
          </w:tcPr>
          <w:p w14:paraId="037AD3F3"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Connect to IT Asset Repository and ITSM to easily create new tickets based on incidents, identify the owner, and close out open ones.</w:t>
            </w:r>
          </w:p>
        </w:tc>
        <w:tc>
          <w:tcPr>
            <w:tcW w:w="637" w:type="pct"/>
            <w:tcBorders>
              <w:top w:val="nil"/>
              <w:left w:val="nil"/>
              <w:bottom w:val="single" w:sz="4" w:space="0" w:color="auto"/>
              <w:right w:val="single" w:sz="4" w:space="0" w:color="auto"/>
            </w:tcBorders>
            <w:shd w:val="clear" w:color="auto" w:fill="auto"/>
            <w:hideMark/>
          </w:tcPr>
          <w:p w14:paraId="1A21BE03"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c>
          <w:tcPr>
            <w:tcW w:w="692" w:type="pct"/>
            <w:tcBorders>
              <w:top w:val="nil"/>
              <w:left w:val="nil"/>
              <w:bottom w:val="single" w:sz="4" w:space="0" w:color="auto"/>
              <w:right w:val="single" w:sz="8" w:space="0" w:color="auto"/>
            </w:tcBorders>
            <w:shd w:val="clear" w:color="auto" w:fill="auto"/>
            <w:hideMark/>
          </w:tcPr>
          <w:p w14:paraId="1B833D6D"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r>
      <w:tr w:rsidR="00A93231" w:rsidRPr="00A93231" w14:paraId="506A1528" w14:textId="77777777" w:rsidTr="008E0319">
        <w:trPr>
          <w:trHeight w:val="510"/>
        </w:trPr>
        <w:tc>
          <w:tcPr>
            <w:tcW w:w="185" w:type="pct"/>
            <w:tcBorders>
              <w:top w:val="nil"/>
              <w:left w:val="single" w:sz="8" w:space="0" w:color="auto"/>
              <w:bottom w:val="single" w:sz="4" w:space="0" w:color="auto"/>
              <w:right w:val="single" w:sz="4" w:space="0" w:color="auto"/>
            </w:tcBorders>
            <w:shd w:val="clear" w:color="auto" w:fill="auto"/>
            <w:hideMark/>
          </w:tcPr>
          <w:p w14:paraId="48CBA91F"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69</w:t>
            </w:r>
          </w:p>
        </w:tc>
        <w:tc>
          <w:tcPr>
            <w:tcW w:w="3486" w:type="pct"/>
            <w:tcBorders>
              <w:top w:val="nil"/>
              <w:left w:val="nil"/>
              <w:bottom w:val="single" w:sz="4" w:space="0" w:color="auto"/>
              <w:right w:val="single" w:sz="4" w:space="0" w:color="auto"/>
            </w:tcBorders>
            <w:shd w:val="clear" w:color="auto" w:fill="auto"/>
            <w:hideMark/>
          </w:tcPr>
          <w:p w14:paraId="4823E00E"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The solution should integrate with standard cloud service providers such as AWS, Azure, GCP etc. for greater visibility into cloud assets </w:t>
            </w:r>
          </w:p>
        </w:tc>
        <w:tc>
          <w:tcPr>
            <w:tcW w:w="637" w:type="pct"/>
            <w:tcBorders>
              <w:top w:val="nil"/>
              <w:left w:val="nil"/>
              <w:bottom w:val="single" w:sz="4" w:space="0" w:color="auto"/>
              <w:right w:val="single" w:sz="4" w:space="0" w:color="auto"/>
            </w:tcBorders>
            <w:shd w:val="clear" w:color="auto" w:fill="auto"/>
            <w:hideMark/>
          </w:tcPr>
          <w:p w14:paraId="2357521A"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c>
          <w:tcPr>
            <w:tcW w:w="692" w:type="pct"/>
            <w:tcBorders>
              <w:top w:val="nil"/>
              <w:left w:val="nil"/>
              <w:bottom w:val="single" w:sz="4" w:space="0" w:color="auto"/>
              <w:right w:val="single" w:sz="8" w:space="0" w:color="auto"/>
            </w:tcBorders>
            <w:shd w:val="clear" w:color="auto" w:fill="auto"/>
            <w:hideMark/>
          </w:tcPr>
          <w:p w14:paraId="67F58131"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r>
      <w:tr w:rsidR="00A93231" w:rsidRPr="00A93231" w14:paraId="6484AFB1" w14:textId="77777777" w:rsidTr="008E0319">
        <w:trPr>
          <w:trHeight w:val="300"/>
        </w:trPr>
        <w:tc>
          <w:tcPr>
            <w:tcW w:w="185" w:type="pct"/>
            <w:tcBorders>
              <w:top w:val="nil"/>
              <w:left w:val="single" w:sz="8" w:space="0" w:color="auto"/>
              <w:bottom w:val="single" w:sz="4" w:space="0" w:color="auto"/>
              <w:right w:val="single" w:sz="4" w:space="0" w:color="auto"/>
            </w:tcBorders>
            <w:shd w:val="clear" w:color="auto" w:fill="auto"/>
            <w:hideMark/>
          </w:tcPr>
          <w:p w14:paraId="10BA9000"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70</w:t>
            </w:r>
          </w:p>
        </w:tc>
        <w:tc>
          <w:tcPr>
            <w:tcW w:w="3486" w:type="pct"/>
            <w:tcBorders>
              <w:top w:val="nil"/>
              <w:left w:val="nil"/>
              <w:bottom w:val="single" w:sz="4" w:space="0" w:color="auto"/>
              <w:right w:val="single" w:sz="4" w:space="0" w:color="auto"/>
            </w:tcBorders>
            <w:shd w:val="clear" w:color="auto" w:fill="auto"/>
            <w:hideMark/>
          </w:tcPr>
          <w:p w14:paraId="60331C20" w14:textId="61CF644B"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S</w:t>
            </w:r>
            <w:r w:rsidR="00342ED2">
              <w:rPr>
                <w:rFonts w:ascii="Calibri" w:eastAsia="Times New Roman" w:hAnsi="Calibri" w:cs="Calibri"/>
                <w:sz w:val="20"/>
                <w:szCs w:val="20"/>
                <w:lang w:val="en-GB" w:eastAsia="en-GB"/>
              </w:rPr>
              <w:t>upported integration into SIEM tools</w:t>
            </w:r>
          </w:p>
        </w:tc>
        <w:tc>
          <w:tcPr>
            <w:tcW w:w="637" w:type="pct"/>
            <w:tcBorders>
              <w:top w:val="nil"/>
              <w:left w:val="nil"/>
              <w:bottom w:val="single" w:sz="4" w:space="0" w:color="auto"/>
              <w:right w:val="single" w:sz="4" w:space="0" w:color="auto"/>
            </w:tcBorders>
            <w:shd w:val="clear" w:color="auto" w:fill="auto"/>
            <w:hideMark/>
          </w:tcPr>
          <w:p w14:paraId="23CAE672"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c>
          <w:tcPr>
            <w:tcW w:w="692" w:type="pct"/>
            <w:tcBorders>
              <w:top w:val="nil"/>
              <w:left w:val="nil"/>
              <w:bottom w:val="single" w:sz="4" w:space="0" w:color="auto"/>
              <w:right w:val="single" w:sz="8" w:space="0" w:color="auto"/>
            </w:tcBorders>
            <w:shd w:val="clear" w:color="auto" w:fill="auto"/>
            <w:hideMark/>
          </w:tcPr>
          <w:p w14:paraId="39F76FB1"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r>
      <w:tr w:rsidR="00A93231" w:rsidRPr="00A93231" w14:paraId="43DC37A3" w14:textId="77777777" w:rsidTr="008E0319">
        <w:trPr>
          <w:trHeight w:val="300"/>
        </w:trPr>
        <w:tc>
          <w:tcPr>
            <w:tcW w:w="185" w:type="pct"/>
            <w:tcBorders>
              <w:top w:val="nil"/>
              <w:left w:val="single" w:sz="8" w:space="0" w:color="auto"/>
              <w:bottom w:val="single" w:sz="4" w:space="0" w:color="auto"/>
              <w:right w:val="single" w:sz="4" w:space="0" w:color="auto"/>
            </w:tcBorders>
            <w:shd w:val="clear" w:color="auto" w:fill="auto"/>
            <w:hideMark/>
          </w:tcPr>
          <w:p w14:paraId="515503B3"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71</w:t>
            </w:r>
          </w:p>
        </w:tc>
        <w:tc>
          <w:tcPr>
            <w:tcW w:w="3486" w:type="pct"/>
            <w:tcBorders>
              <w:top w:val="nil"/>
              <w:left w:val="nil"/>
              <w:bottom w:val="single" w:sz="4" w:space="0" w:color="auto"/>
              <w:right w:val="single" w:sz="4" w:space="0" w:color="auto"/>
            </w:tcBorders>
            <w:shd w:val="clear" w:color="auto" w:fill="auto"/>
            <w:hideMark/>
          </w:tcPr>
          <w:p w14:paraId="457BC12B"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should have integrations with a SOAR tool</w:t>
            </w:r>
          </w:p>
        </w:tc>
        <w:tc>
          <w:tcPr>
            <w:tcW w:w="637" w:type="pct"/>
            <w:tcBorders>
              <w:top w:val="nil"/>
              <w:left w:val="nil"/>
              <w:bottom w:val="single" w:sz="4" w:space="0" w:color="auto"/>
              <w:right w:val="single" w:sz="4" w:space="0" w:color="auto"/>
            </w:tcBorders>
            <w:shd w:val="clear" w:color="auto" w:fill="auto"/>
            <w:hideMark/>
          </w:tcPr>
          <w:p w14:paraId="37AE71FA"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c>
          <w:tcPr>
            <w:tcW w:w="692" w:type="pct"/>
            <w:tcBorders>
              <w:top w:val="nil"/>
              <w:left w:val="nil"/>
              <w:bottom w:val="single" w:sz="4" w:space="0" w:color="auto"/>
              <w:right w:val="single" w:sz="8" w:space="0" w:color="auto"/>
            </w:tcBorders>
            <w:shd w:val="clear" w:color="auto" w:fill="auto"/>
            <w:hideMark/>
          </w:tcPr>
          <w:p w14:paraId="3A57581E"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r>
      <w:tr w:rsidR="00A93231" w:rsidRPr="00A93231" w14:paraId="77CEC619" w14:textId="77777777" w:rsidTr="008E0319">
        <w:trPr>
          <w:trHeight w:val="300"/>
        </w:trPr>
        <w:tc>
          <w:tcPr>
            <w:tcW w:w="185" w:type="pct"/>
            <w:tcBorders>
              <w:top w:val="nil"/>
              <w:left w:val="single" w:sz="8" w:space="0" w:color="auto"/>
              <w:bottom w:val="single" w:sz="4" w:space="0" w:color="auto"/>
              <w:right w:val="single" w:sz="4" w:space="0" w:color="auto"/>
            </w:tcBorders>
            <w:shd w:val="clear" w:color="auto" w:fill="auto"/>
            <w:hideMark/>
          </w:tcPr>
          <w:p w14:paraId="724F3FA7"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72</w:t>
            </w:r>
          </w:p>
        </w:tc>
        <w:tc>
          <w:tcPr>
            <w:tcW w:w="3486" w:type="pct"/>
            <w:tcBorders>
              <w:top w:val="nil"/>
              <w:left w:val="nil"/>
              <w:bottom w:val="single" w:sz="4" w:space="0" w:color="auto"/>
              <w:right w:val="single" w:sz="4" w:space="0" w:color="auto"/>
            </w:tcBorders>
            <w:shd w:val="clear" w:color="auto" w:fill="auto"/>
            <w:hideMark/>
          </w:tcPr>
          <w:p w14:paraId="6549E8E5"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should offer ways to manage compliance and standards</w:t>
            </w:r>
          </w:p>
        </w:tc>
        <w:tc>
          <w:tcPr>
            <w:tcW w:w="637" w:type="pct"/>
            <w:tcBorders>
              <w:top w:val="nil"/>
              <w:left w:val="nil"/>
              <w:bottom w:val="single" w:sz="4" w:space="0" w:color="auto"/>
              <w:right w:val="single" w:sz="4" w:space="0" w:color="auto"/>
            </w:tcBorders>
            <w:shd w:val="clear" w:color="auto" w:fill="auto"/>
            <w:hideMark/>
          </w:tcPr>
          <w:p w14:paraId="5F788383"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c>
          <w:tcPr>
            <w:tcW w:w="692" w:type="pct"/>
            <w:tcBorders>
              <w:top w:val="nil"/>
              <w:left w:val="nil"/>
              <w:bottom w:val="single" w:sz="4" w:space="0" w:color="auto"/>
              <w:right w:val="single" w:sz="8" w:space="0" w:color="auto"/>
            </w:tcBorders>
            <w:shd w:val="clear" w:color="auto" w:fill="auto"/>
            <w:hideMark/>
          </w:tcPr>
          <w:p w14:paraId="2D5A2F21"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r>
      <w:tr w:rsidR="00A93231" w:rsidRPr="00A93231" w14:paraId="27C9B026" w14:textId="77777777" w:rsidTr="008E0319">
        <w:trPr>
          <w:trHeight w:val="765"/>
        </w:trPr>
        <w:tc>
          <w:tcPr>
            <w:tcW w:w="185" w:type="pct"/>
            <w:tcBorders>
              <w:top w:val="nil"/>
              <w:left w:val="single" w:sz="8" w:space="0" w:color="auto"/>
              <w:bottom w:val="single" w:sz="4" w:space="0" w:color="auto"/>
              <w:right w:val="single" w:sz="4" w:space="0" w:color="auto"/>
            </w:tcBorders>
            <w:shd w:val="clear" w:color="auto" w:fill="auto"/>
            <w:hideMark/>
          </w:tcPr>
          <w:p w14:paraId="5292A75D"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73</w:t>
            </w:r>
          </w:p>
        </w:tc>
        <w:tc>
          <w:tcPr>
            <w:tcW w:w="3486" w:type="pct"/>
            <w:tcBorders>
              <w:top w:val="nil"/>
              <w:left w:val="nil"/>
              <w:bottom w:val="single" w:sz="4" w:space="0" w:color="auto"/>
              <w:right w:val="single" w:sz="4" w:space="0" w:color="auto"/>
            </w:tcBorders>
            <w:shd w:val="clear" w:color="auto" w:fill="auto"/>
            <w:hideMark/>
          </w:tcPr>
          <w:p w14:paraId="5F2B8568"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Provide compliance dashboards that map identified Issues to compliance frameworks to help our teams understand their overall compliance with regulatory and organizational  policies. These dashboards need to provide executive visibility, prioritize high-risk cybersecurity areas, and measure the progress of our organization's maturity.</w:t>
            </w:r>
          </w:p>
        </w:tc>
        <w:tc>
          <w:tcPr>
            <w:tcW w:w="637" w:type="pct"/>
            <w:tcBorders>
              <w:top w:val="nil"/>
              <w:left w:val="nil"/>
              <w:bottom w:val="single" w:sz="4" w:space="0" w:color="auto"/>
              <w:right w:val="single" w:sz="4" w:space="0" w:color="auto"/>
            </w:tcBorders>
            <w:shd w:val="clear" w:color="auto" w:fill="auto"/>
            <w:hideMark/>
          </w:tcPr>
          <w:p w14:paraId="23A9D2D4"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c>
          <w:tcPr>
            <w:tcW w:w="692" w:type="pct"/>
            <w:tcBorders>
              <w:top w:val="nil"/>
              <w:left w:val="nil"/>
              <w:bottom w:val="single" w:sz="4" w:space="0" w:color="auto"/>
              <w:right w:val="single" w:sz="8" w:space="0" w:color="auto"/>
            </w:tcBorders>
            <w:shd w:val="clear" w:color="auto" w:fill="auto"/>
            <w:hideMark/>
          </w:tcPr>
          <w:p w14:paraId="4509E602"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r>
      <w:tr w:rsidR="00A93231" w:rsidRPr="00A93231" w14:paraId="0C3C038C" w14:textId="77777777" w:rsidTr="008E0319">
        <w:trPr>
          <w:trHeight w:val="300"/>
        </w:trPr>
        <w:tc>
          <w:tcPr>
            <w:tcW w:w="185" w:type="pct"/>
            <w:tcBorders>
              <w:top w:val="nil"/>
              <w:left w:val="single" w:sz="8" w:space="0" w:color="auto"/>
              <w:bottom w:val="single" w:sz="4" w:space="0" w:color="auto"/>
              <w:right w:val="single" w:sz="4" w:space="0" w:color="auto"/>
            </w:tcBorders>
            <w:shd w:val="clear" w:color="auto" w:fill="auto"/>
            <w:hideMark/>
          </w:tcPr>
          <w:p w14:paraId="7F7757F9"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74</w:t>
            </w:r>
          </w:p>
        </w:tc>
        <w:tc>
          <w:tcPr>
            <w:tcW w:w="3486" w:type="pct"/>
            <w:tcBorders>
              <w:top w:val="nil"/>
              <w:left w:val="nil"/>
              <w:bottom w:val="single" w:sz="4" w:space="0" w:color="auto"/>
              <w:right w:val="single" w:sz="4" w:space="0" w:color="auto"/>
            </w:tcBorders>
            <w:shd w:val="clear" w:color="auto" w:fill="auto"/>
            <w:hideMark/>
          </w:tcPr>
          <w:p w14:paraId="2076F82D"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The solution should offer a way of managing assets and identifying risk through policies </w:t>
            </w:r>
          </w:p>
        </w:tc>
        <w:tc>
          <w:tcPr>
            <w:tcW w:w="637" w:type="pct"/>
            <w:tcBorders>
              <w:top w:val="nil"/>
              <w:left w:val="nil"/>
              <w:bottom w:val="single" w:sz="4" w:space="0" w:color="auto"/>
              <w:right w:val="single" w:sz="4" w:space="0" w:color="auto"/>
            </w:tcBorders>
            <w:shd w:val="clear" w:color="auto" w:fill="auto"/>
            <w:hideMark/>
          </w:tcPr>
          <w:p w14:paraId="0F1B8E9F"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c>
          <w:tcPr>
            <w:tcW w:w="692" w:type="pct"/>
            <w:tcBorders>
              <w:top w:val="nil"/>
              <w:left w:val="nil"/>
              <w:bottom w:val="single" w:sz="4" w:space="0" w:color="auto"/>
              <w:right w:val="single" w:sz="8" w:space="0" w:color="auto"/>
            </w:tcBorders>
            <w:shd w:val="clear" w:color="auto" w:fill="auto"/>
            <w:hideMark/>
          </w:tcPr>
          <w:p w14:paraId="2F3B2D0C"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r>
      <w:tr w:rsidR="00A93231" w:rsidRPr="00A93231" w14:paraId="7D6C3DD5" w14:textId="77777777" w:rsidTr="008E0319">
        <w:trPr>
          <w:trHeight w:val="300"/>
        </w:trPr>
        <w:tc>
          <w:tcPr>
            <w:tcW w:w="185" w:type="pct"/>
            <w:tcBorders>
              <w:top w:val="nil"/>
              <w:left w:val="single" w:sz="8" w:space="0" w:color="auto"/>
              <w:bottom w:val="single" w:sz="4" w:space="0" w:color="auto"/>
              <w:right w:val="single" w:sz="4" w:space="0" w:color="auto"/>
            </w:tcBorders>
            <w:shd w:val="clear" w:color="auto" w:fill="auto"/>
            <w:hideMark/>
          </w:tcPr>
          <w:p w14:paraId="7560D1B2"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75</w:t>
            </w:r>
          </w:p>
        </w:tc>
        <w:tc>
          <w:tcPr>
            <w:tcW w:w="3486" w:type="pct"/>
            <w:tcBorders>
              <w:top w:val="nil"/>
              <w:left w:val="nil"/>
              <w:bottom w:val="single" w:sz="4" w:space="0" w:color="auto"/>
              <w:right w:val="single" w:sz="4" w:space="0" w:color="auto"/>
            </w:tcBorders>
            <w:shd w:val="clear" w:color="auto" w:fill="auto"/>
            <w:hideMark/>
          </w:tcPr>
          <w:p w14:paraId="1E599094"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Provide accurate context &amp; classification to enable automated policy development and mitigate security exposures identified. </w:t>
            </w:r>
          </w:p>
        </w:tc>
        <w:tc>
          <w:tcPr>
            <w:tcW w:w="637" w:type="pct"/>
            <w:tcBorders>
              <w:top w:val="nil"/>
              <w:left w:val="nil"/>
              <w:bottom w:val="single" w:sz="4" w:space="0" w:color="auto"/>
              <w:right w:val="single" w:sz="4" w:space="0" w:color="auto"/>
            </w:tcBorders>
            <w:shd w:val="clear" w:color="auto" w:fill="auto"/>
            <w:hideMark/>
          </w:tcPr>
          <w:p w14:paraId="6D0C3B6E"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c>
          <w:tcPr>
            <w:tcW w:w="692" w:type="pct"/>
            <w:tcBorders>
              <w:top w:val="nil"/>
              <w:left w:val="nil"/>
              <w:bottom w:val="single" w:sz="4" w:space="0" w:color="auto"/>
              <w:right w:val="single" w:sz="8" w:space="0" w:color="auto"/>
            </w:tcBorders>
            <w:shd w:val="clear" w:color="auto" w:fill="auto"/>
            <w:hideMark/>
          </w:tcPr>
          <w:p w14:paraId="0950D79C"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r>
      <w:tr w:rsidR="00A93231" w:rsidRPr="00A93231" w14:paraId="13DB5D55" w14:textId="77777777" w:rsidTr="008E0319">
        <w:trPr>
          <w:trHeight w:val="300"/>
        </w:trPr>
        <w:tc>
          <w:tcPr>
            <w:tcW w:w="185" w:type="pct"/>
            <w:tcBorders>
              <w:top w:val="nil"/>
              <w:left w:val="single" w:sz="8" w:space="0" w:color="auto"/>
              <w:bottom w:val="single" w:sz="4" w:space="0" w:color="auto"/>
              <w:right w:val="single" w:sz="4" w:space="0" w:color="auto"/>
            </w:tcBorders>
            <w:shd w:val="clear" w:color="auto" w:fill="auto"/>
            <w:hideMark/>
          </w:tcPr>
          <w:p w14:paraId="3C8CFD21"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76</w:t>
            </w:r>
          </w:p>
        </w:tc>
        <w:tc>
          <w:tcPr>
            <w:tcW w:w="3486" w:type="pct"/>
            <w:tcBorders>
              <w:top w:val="nil"/>
              <w:left w:val="nil"/>
              <w:bottom w:val="single" w:sz="4" w:space="0" w:color="auto"/>
              <w:right w:val="single" w:sz="4" w:space="0" w:color="auto"/>
            </w:tcBorders>
            <w:shd w:val="clear" w:color="auto" w:fill="auto"/>
            <w:hideMark/>
          </w:tcPr>
          <w:p w14:paraId="07D7B26F"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Identify all VPNs, certificates about to expire, domains about to expire, etc.</w:t>
            </w:r>
          </w:p>
        </w:tc>
        <w:tc>
          <w:tcPr>
            <w:tcW w:w="637" w:type="pct"/>
            <w:tcBorders>
              <w:top w:val="nil"/>
              <w:left w:val="nil"/>
              <w:bottom w:val="single" w:sz="4" w:space="0" w:color="auto"/>
              <w:right w:val="single" w:sz="4" w:space="0" w:color="auto"/>
            </w:tcBorders>
            <w:shd w:val="clear" w:color="auto" w:fill="auto"/>
            <w:hideMark/>
          </w:tcPr>
          <w:p w14:paraId="78E4FED3"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c>
          <w:tcPr>
            <w:tcW w:w="692" w:type="pct"/>
            <w:tcBorders>
              <w:top w:val="nil"/>
              <w:left w:val="nil"/>
              <w:bottom w:val="single" w:sz="4" w:space="0" w:color="auto"/>
              <w:right w:val="single" w:sz="8" w:space="0" w:color="auto"/>
            </w:tcBorders>
            <w:shd w:val="clear" w:color="auto" w:fill="auto"/>
            <w:hideMark/>
          </w:tcPr>
          <w:p w14:paraId="0410CED4"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r>
      <w:tr w:rsidR="00A93231" w:rsidRPr="00A93231" w14:paraId="23C3E721" w14:textId="77777777" w:rsidTr="008E0319">
        <w:trPr>
          <w:trHeight w:val="510"/>
        </w:trPr>
        <w:tc>
          <w:tcPr>
            <w:tcW w:w="185" w:type="pct"/>
            <w:tcBorders>
              <w:top w:val="nil"/>
              <w:left w:val="single" w:sz="8" w:space="0" w:color="auto"/>
              <w:bottom w:val="single" w:sz="4" w:space="0" w:color="auto"/>
              <w:right w:val="single" w:sz="4" w:space="0" w:color="auto"/>
            </w:tcBorders>
            <w:shd w:val="clear" w:color="auto" w:fill="auto"/>
            <w:hideMark/>
          </w:tcPr>
          <w:p w14:paraId="61982FD6"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77</w:t>
            </w:r>
          </w:p>
        </w:tc>
        <w:tc>
          <w:tcPr>
            <w:tcW w:w="3486" w:type="pct"/>
            <w:tcBorders>
              <w:top w:val="nil"/>
              <w:left w:val="nil"/>
              <w:bottom w:val="single" w:sz="4" w:space="0" w:color="auto"/>
              <w:right w:val="single" w:sz="4" w:space="0" w:color="auto"/>
            </w:tcBorders>
            <w:shd w:val="clear" w:color="auto" w:fill="auto"/>
            <w:hideMark/>
          </w:tcPr>
          <w:p w14:paraId="26701A28"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The solution should identify potential vulnerabilities such as sites using word press plugins, ecommerce sites, analytic packages, blogs, and web frameworks in the Bank's internet-facing assets. </w:t>
            </w:r>
          </w:p>
        </w:tc>
        <w:tc>
          <w:tcPr>
            <w:tcW w:w="637" w:type="pct"/>
            <w:tcBorders>
              <w:top w:val="nil"/>
              <w:left w:val="nil"/>
              <w:bottom w:val="single" w:sz="4" w:space="0" w:color="auto"/>
              <w:right w:val="single" w:sz="4" w:space="0" w:color="auto"/>
            </w:tcBorders>
            <w:shd w:val="clear" w:color="auto" w:fill="auto"/>
            <w:hideMark/>
          </w:tcPr>
          <w:p w14:paraId="35A83C36"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c>
          <w:tcPr>
            <w:tcW w:w="692" w:type="pct"/>
            <w:tcBorders>
              <w:top w:val="nil"/>
              <w:left w:val="nil"/>
              <w:bottom w:val="single" w:sz="4" w:space="0" w:color="auto"/>
              <w:right w:val="single" w:sz="8" w:space="0" w:color="auto"/>
            </w:tcBorders>
            <w:shd w:val="clear" w:color="auto" w:fill="auto"/>
            <w:hideMark/>
          </w:tcPr>
          <w:p w14:paraId="121AA8A1"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r>
      <w:tr w:rsidR="00A93231" w:rsidRPr="00A93231" w14:paraId="2B9EEDBC" w14:textId="77777777" w:rsidTr="008E0319">
        <w:trPr>
          <w:trHeight w:val="300"/>
        </w:trPr>
        <w:tc>
          <w:tcPr>
            <w:tcW w:w="185" w:type="pct"/>
            <w:tcBorders>
              <w:top w:val="nil"/>
              <w:left w:val="single" w:sz="8" w:space="0" w:color="auto"/>
              <w:bottom w:val="single" w:sz="4" w:space="0" w:color="auto"/>
              <w:right w:val="single" w:sz="4" w:space="0" w:color="auto"/>
            </w:tcBorders>
            <w:shd w:val="clear" w:color="auto" w:fill="auto"/>
            <w:hideMark/>
          </w:tcPr>
          <w:p w14:paraId="2D86B122"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78</w:t>
            </w:r>
          </w:p>
        </w:tc>
        <w:tc>
          <w:tcPr>
            <w:tcW w:w="3486" w:type="pct"/>
            <w:tcBorders>
              <w:top w:val="nil"/>
              <w:left w:val="nil"/>
              <w:bottom w:val="single" w:sz="4" w:space="0" w:color="auto"/>
              <w:right w:val="single" w:sz="4" w:space="0" w:color="auto"/>
            </w:tcBorders>
            <w:shd w:val="clear" w:color="auto" w:fill="auto"/>
            <w:hideMark/>
          </w:tcPr>
          <w:p w14:paraId="23463E85"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A flexible policy engine that allows rapid building of new fingerprints and detect devices against critical CVEs</w:t>
            </w:r>
          </w:p>
        </w:tc>
        <w:tc>
          <w:tcPr>
            <w:tcW w:w="637" w:type="pct"/>
            <w:tcBorders>
              <w:top w:val="nil"/>
              <w:left w:val="nil"/>
              <w:bottom w:val="single" w:sz="4" w:space="0" w:color="auto"/>
              <w:right w:val="single" w:sz="4" w:space="0" w:color="auto"/>
            </w:tcBorders>
            <w:shd w:val="clear" w:color="auto" w:fill="auto"/>
            <w:hideMark/>
          </w:tcPr>
          <w:p w14:paraId="58D92DA3"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c>
          <w:tcPr>
            <w:tcW w:w="692" w:type="pct"/>
            <w:tcBorders>
              <w:top w:val="nil"/>
              <w:left w:val="nil"/>
              <w:bottom w:val="single" w:sz="4" w:space="0" w:color="auto"/>
              <w:right w:val="single" w:sz="8" w:space="0" w:color="auto"/>
            </w:tcBorders>
            <w:shd w:val="clear" w:color="auto" w:fill="auto"/>
            <w:hideMark/>
          </w:tcPr>
          <w:p w14:paraId="1EB89E55"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r>
      <w:tr w:rsidR="00A93231" w:rsidRPr="00A93231" w14:paraId="6E4EC60F" w14:textId="77777777" w:rsidTr="008E0319">
        <w:trPr>
          <w:trHeight w:val="300"/>
        </w:trPr>
        <w:tc>
          <w:tcPr>
            <w:tcW w:w="185" w:type="pct"/>
            <w:tcBorders>
              <w:top w:val="nil"/>
              <w:left w:val="single" w:sz="8" w:space="0" w:color="auto"/>
              <w:bottom w:val="single" w:sz="4" w:space="0" w:color="auto"/>
              <w:right w:val="single" w:sz="4" w:space="0" w:color="auto"/>
            </w:tcBorders>
            <w:shd w:val="clear" w:color="auto" w:fill="auto"/>
            <w:hideMark/>
          </w:tcPr>
          <w:p w14:paraId="0B130A62"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79</w:t>
            </w:r>
          </w:p>
        </w:tc>
        <w:tc>
          <w:tcPr>
            <w:tcW w:w="3486" w:type="pct"/>
            <w:tcBorders>
              <w:top w:val="nil"/>
              <w:left w:val="nil"/>
              <w:bottom w:val="single" w:sz="4" w:space="0" w:color="auto"/>
              <w:right w:val="single" w:sz="4" w:space="0" w:color="auto"/>
            </w:tcBorders>
            <w:shd w:val="clear" w:color="auto" w:fill="auto"/>
            <w:hideMark/>
          </w:tcPr>
          <w:p w14:paraId="74821735"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Offer descriptions of common CVEs and the best practices around securing Bank's assets from them</w:t>
            </w:r>
          </w:p>
        </w:tc>
        <w:tc>
          <w:tcPr>
            <w:tcW w:w="637" w:type="pct"/>
            <w:tcBorders>
              <w:top w:val="nil"/>
              <w:left w:val="nil"/>
              <w:bottom w:val="single" w:sz="4" w:space="0" w:color="auto"/>
              <w:right w:val="single" w:sz="4" w:space="0" w:color="auto"/>
            </w:tcBorders>
            <w:shd w:val="clear" w:color="auto" w:fill="auto"/>
            <w:hideMark/>
          </w:tcPr>
          <w:p w14:paraId="3DC142A4"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c>
          <w:tcPr>
            <w:tcW w:w="692" w:type="pct"/>
            <w:tcBorders>
              <w:top w:val="nil"/>
              <w:left w:val="nil"/>
              <w:bottom w:val="single" w:sz="4" w:space="0" w:color="auto"/>
              <w:right w:val="single" w:sz="8" w:space="0" w:color="auto"/>
            </w:tcBorders>
            <w:shd w:val="clear" w:color="auto" w:fill="auto"/>
            <w:hideMark/>
          </w:tcPr>
          <w:p w14:paraId="3A26671E"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r>
      <w:tr w:rsidR="00A93231" w:rsidRPr="00A93231" w14:paraId="232A6148" w14:textId="77777777" w:rsidTr="008E0319">
        <w:trPr>
          <w:trHeight w:val="300"/>
        </w:trPr>
        <w:tc>
          <w:tcPr>
            <w:tcW w:w="185" w:type="pct"/>
            <w:tcBorders>
              <w:top w:val="nil"/>
              <w:left w:val="single" w:sz="8" w:space="0" w:color="auto"/>
              <w:bottom w:val="single" w:sz="4" w:space="0" w:color="auto"/>
              <w:right w:val="single" w:sz="4" w:space="0" w:color="auto"/>
            </w:tcBorders>
            <w:shd w:val="clear" w:color="auto" w:fill="auto"/>
            <w:hideMark/>
          </w:tcPr>
          <w:p w14:paraId="5F111752"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80</w:t>
            </w:r>
          </w:p>
        </w:tc>
        <w:tc>
          <w:tcPr>
            <w:tcW w:w="3486" w:type="pct"/>
            <w:tcBorders>
              <w:top w:val="nil"/>
              <w:left w:val="nil"/>
              <w:bottom w:val="single" w:sz="4" w:space="0" w:color="auto"/>
              <w:right w:val="single" w:sz="4" w:space="0" w:color="auto"/>
            </w:tcBorders>
            <w:shd w:val="clear" w:color="auto" w:fill="auto"/>
            <w:hideMark/>
          </w:tcPr>
          <w:p w14:paraId="2DB897F5"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Built-in security policies and settings must:</w:t>
            </w:r>
          </w:p>
        </w:tc>
        <w:tc>
          <w:tcPr>
            <w:tcW w:w="637" w:type="pct"/>
            <w:tcBorders>
              <w:top w:val="nil"/>
              <w:left w:val="nil"/>
              <w:bottom w:val="single" w:sz="4" w:space="0" w:color="auto"/>
              <w:right w:val="single" w:sz="4" w:space="0" w:color="auto"/>
            </w:tcBorders>
            <w:shd w:val="clear" w:color="auto" w:fill="auto"/>
            <w:hideMark/>
          </w:tcPr>
          <w:p w14:paraId="1DAA4C73"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c>
          <w:tcPr>
            <w:tcW w:w="692" w:type="pct"/>
            <w:tcBorders>
              <w:top w:val="nil"/>
              <w:left w:val="nil"/>
              <w:bottom w:val="single" w:sz="4" w:space="0" w:color="auto"/>
              <w:right w:val="single" w:sz="8" w:space="0" w:color="auto"/>
            </w:tcBorders>
            <w:shd w:val="clear" w:color="auto" w:fill="auto"/>
            <w:hideMark/>
          </w:tcPr>
          <w:p w14:paraId="2943A554"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r>
      <w:tr w:rsidR="00A93231" w:rsidRPr="00A93231" w14:paraId="098AA759" w14:textId="77777777" w:rsidTr="008E0319">
        <w:trPr>
          <w:trHeight w:val="300"/>
        </w:trPr>
        <w:tc>
          <w:tcPr>
            <w:tcW w:w="185" w:type="pct"/>
            <w:tcBorders>
              <w:top w:val="nil"/>
              <w:left w:val="single" w:sz="8" w:space="0" w:color="auto"/>
              <w:bottom w:val="single" w:sz="4" w:space="0" w:color="auto"/>
              <w:right w:val="single" w:sz="4" w:space="0" w:color="auto"/>
            </w:tcBorders>
            <w:shd w:val="clear" w:color="auto" w:fill="auto"/>
            <w:hideMark/>
          </w:tcPr>
          <w:p w14:paraId="2BE2D1DC"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80.1</w:t>
            </w:r>
          </w:p>
        </w:tc>
        <w:tc>
          <w:tcPr>
            <w:tcW w:w="3486" w:type="pct"/>
            <w:tcBorders>
              <w:top w:val="nil"/>
              <w:left w:val="nil"/>
              <w:bottom w:val="single" w:sz="4" w:space="0" w:color="auto"/>
              <w:right w:val="single" w:sz="4" w:space="0" w:color="auto"/>
            </w:tcBorders>
            <w:shd w:val="clear" w:color="auto" w:fill="auto"/>
            <w:hideMark/>
          </w:tcPr>
          <w:p w14:paraId="3799C26F"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Enable the Bank to define the number of hours after which the user login session will expire. </w:t>
            </w:r>
          </w:p>
        </w:tc>
        <w:tc>
          <w:tcPr>
            <w:tcW w:w="637" w:type="pct"/>
            <w:tcBorders>
              <w:top w:val="nil"/>
              <w:left w:val="nil"/>
              <w:bottom w:val="single" w:sz="4" w:space="0" w:color="auto"/>
              <w:right w:val="single" w:sz="4" w:space="0" w:color="auto"/>
            </w:tcBorders>
            <w:shd w:val="clear" w:color="auto" w:fill="auto"/>
            <w:hideMark/>
          </w:tcPr>
          <w:p w14:paraId="20C4EA2D"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c>
          <w:tcPr>
            <w:tcW w:w="692" w:type="pct"/>
            <w:tcBorders>
              <w:top w:val="nil"/>
              <w:left w:val="nil"/>
              <w:bottom w:val="single" w:sz="4" w:space="0" w:color="auto"/>
              <w:right w:val="single" w:sz="8" w:space="0" w:color="auto"/>
            </w:tcBorders>
            <w:shd w:val="clear" w:color="auto" w:fill="auto"/>
            <w:hideMark/>
          </w:tcPr>
          <w:p w14:paraId="3D588F9F"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r>
      <w:tr w:rsidR="00A93231" w:rsidRPr="00A93231" w14:paraId="37434128" w14:textId="77777777" w:rsidTr="008E0319">
        <w:trPr>
          <w:trHeight w:val="300"/>
        </w:trPr>
        <w:tc>
          <w:tcPr>
            <w:tcW w:w="185" w:type="pct"/>
            <w:tcBorders>
              <w:top w:val="nil"/>
              <w:left w:val="single" w:sz="8" w:space="0" w:color="auto"/>
              <w:bottom w:val="single" w:sz="4" w:space="0" w:color="auto"/>
              <w:right w:val="single" w:sz="4" w:space="0" w:color="auto"/>
            </w:tcBorders>
            <w:shd w:val="clear" w:color="auto" w:fill="auto"/>
            <w:hideMark/>
          </w:tcPr>
          <w:p w14:paraId="2742B9FB" w14:textId="77777777" w:rsidR="00A93231" w:rsidRPr="00A93231" w:rsidRDefault="00A93231" w:rsidP="00A93231">
            <w:pPr>
              <w:spacing w:after="0" w:line="240" w:lineRule="auto"/>
              <w:jc w:val="right"/>
              <w:rPr>
                <w:rFonts w:ascii="Calibri" w:eastAsia="Times New Roman" w:hAnsi="Calibri" w:cs="Calibri"/>
                <w:color w:val="000000"/>
                <w:lang w:val="en-GB" w:eastAsia="en-GB"/>
              </w:rPr>
            </w:pPr>
            <w:r w:rsidRPr="00A93231">
              <w:rPr>
                <w:rFonts w:ascii="Calibri" w:eastAsia="Times New Roman" w:hAnsi="Calibri" w:cs="Calibri"/>
                <w:color w:val="000000"/>
                <w:lang w:val="en-GB" w:eastAsia="en-GB"/>
              </w:rPr>
              <w:t>80.2</w:t>
            </w:r>
          </w:p>
        </w:tc>
        <w:tc>
          <w:tcPr>
            <w:tcW w:w="3486" w:type="pct"/>
            <w:tcBorders>
              <w:top w:val="nil"/>
              <w:left w:val="nil"/>
              <w:bottom w:val="single" w:sz="4" w:space="0" w:color="auto"/>
              <w:right w:val="single" w:sz="4" w:space="0" w:color="auto"/>
            </w:tcBorders>
            <w:shd w:val="clear" w:color="auto" w:fill="auto"/>
            <w:hideMark/>
          </w:tcPr>
          <w:p w14:paraId="45E591F3"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Enable the Bank to define approved domains and approved IP ranges through which access the platform</w:t>
            </w:r>
          </w:p>
        </w:tc>
        <w:tc>
          <w:tcPr>
            <w:tcW w:w="637" w:type="pct"/>
            <w:tcBorders>
              <w:top w:val="nil"/>
              <w:left w:val="nil"/>
              <w:bottom w:val="single" w:sz="4" w:space="0" w:color="auto"/>
              <w:right w:val="single" w:sz="4" w:space="0" w:color="auto"/>
            </w:tcBorders>
            <w:shd w:val="clear" w:color="auto" w:fill="auto"/>
            <w:hideMark/>
          </w:tcPr>
          <w:p w14:paraId="131CE0DC"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c>
          <w:tcPr>
            <w:tcW w:w="692" w:type="pct"/>
            <w:tcBorders>
              <w:top w:val="nil"/>
              <w:left w:val="nil"/>
              <w:bottom w:val="single" w:sz="4" w:space="0" w:color="auto"/>
              <w:right w:val="single" w:sz="8" w:space="0" w:color="auto"/>
            </w:tcBorders>
            <w:shd w:val="clear" w:color="auto" w:fill="auto"/>
            <w:hideMark/>
          </w:tcPr>
          <w:p w14:paraId="55EB19A2"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r>
      <w:tr w:rsidR="00A93231" w:rsidRPr="00A93231" w14:paraId="166EA28E" w14:textId="77777777" w:rsidTr="008E0319">
        <w:trPr>
          <w:trHeight w:val="285"/>
        </w:trPr>
        <w:tc>
          <w:tcPr>
            <w:tcW w:w="185" w:type="pct"/>
            <w:tcBorders>
              <w:top w:val="nil"/>
              <w:left w:val="single" w:sz="8" w:space="0" w:color="auto"/>
              <w:bottom w:val="single" w:sz="4" w:space="0" w:color="auto"/>
              <w:right w:val="single" w:sz="4" w:space="0" w:color="auto"/>
            </w:tcBorders>
            <w:shd w:val="clear" w:color="auto" w:fill="auto"/>
            <w:hideMark/>
          </w:tcPr>
          <w:p w14:paraId="2A276530" w14:textId="77777777" w:rsidR="00A93231" w:rsidRPr="00A93231" w:rsidRDefault="00A93231" w:rsidP="00A93231">
            <w:pPr>
              <w:spacing w:after="0" w:line="240" w:lineRule="auto"/>
              <w:jc w:val="right"/>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80.3</w:t>
            </w:r>
          </w:p>
        </w:tc>
        <w:tc>
          <w:tcPr>
            <w:tcW w:w="3486" w:type="pct"/>
            <w:tcBorders>
              <w:top w:val="nil"/>
              <w:left w:val="nil"/>
              <w:bottom w:val="single" w:sz="4" w:space="0" w:color="auto"/>
              <w:right w:val="single" w:sz="4" w:space="0" w:color="auto"/>
            </w:tcBorders>
            <w:shd w:val="clear" w:color="auto" w:fill="auto"/>
            <w:hideMark/>
          </w:tcPr>
          <w:p w14:paraId="4461AB1E"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Enable the Bank to specify one or more domain names that can be used in Bank's distribution lists</w:t>
            </w:r>
          </w:p>
        </w:tc>
        <w:tc>
          <w:tcPr>
            <w:tcW w:w="637" w:type="pct"/>
            <w:tcBorders>
              <w:top w:val="nil"/>
              <w:left w:val="nil"/>
              <w:bottom w:val="single" w:sz="4" w:space="0" w:color="auto"/>
              <w:right w:val="single" w:sz="4" w:space="0" w:color="auto"/>
            </w:tcBorders>
            <w:shd w:val="clear" w:color="auto" w:fill="auto"/>
            <w:hideMark/>
          </w:tcPr>
          <w:p w14:paraId="71EE7F14"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c>
          <w:tcPr>
            <w:tcW w:w="692" w:type="pct"/>
            <w:tcBorders>
              <w:top w:val="nil"/>
              <w:left w:val="nil"/>
              <w:bottom w:val="single" w:sz="4" w:space="0" w:color="auto"/>
              <w:right w:val="single" w:sz="8" w:space="0" w:color="auto"/>
            </w:tcBorders>
            <w:shd w:val="clear" w:color="auto" w:fill="auto"/>
            <w:hideMark/>
          </w:tcPr>
          <w:p w14:paraId="658E12A8"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r>
      <w:tr w:rsidR="00A93231" w:rsidRPr="00A93231" w14:paraId="28F38560" w14:textId="77777777" w:rsidTr="008E0319">
        <w:trPr>
          <w:trHeight w:val="285"/>
        </w:trPr>
        <w:tc>
          <w:tcPr>
            <w:tcW w:w="185" w:type="pct"/>
            <w:tcBorders>
              <w:top w:val="nil"/>
              <w:left w:val="single" w:sz="8" w:space="0" w:color="auto"/>
              <w:bottom w:val="single" w:sz="4" w:space="0" w:color="auto"/>
              <w:right w:val="single" w:sz="4" w:space="0" w:color="auto"/>
            </w:tcBorders>
            <w:shd w:val="clear" w:color="auto" w:fill="auto"/>
            <w:hideMark/>
          </w:tcPr>
          <w:p w14:paraId="2D5EEE2A" w14:textId="77777777" w:rsidR="00A93231" w:rsidRPr="00A93231" w:rsidRDefault="00A93231" w:rsidP="00A93231">
            <w:pPr>
              <w:spacing w:after="0" w:line="240" w:lineRule="auto"/>
              <w:jc w:val="right"/>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80.4</w:t>
            </w:r>
          </w:p>
        </w:tc>
        <w:tc>
          <w:tcPr>
            <w:tcW w:w="3486" w:type="pct"/>
            <w:tcBorders>
              <w:top w:val="nil"/>
              <w:left w:val="nil"/>
              <w:bottom w:val="single" w:sz="4" w:space="0" w:color="auto"/>
              <w:right w:val="single" w:sz="4" w:space="0" w:color="auto"/>
            </w:tcBorders>
            <w:shd w:val="clear" w:color="auto" w:fill="auto"/>
            <w:hideMark/>
          </w:tcPr>
          <w:p w14:paraId="2DE38D29"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Enable the Bank to deactivate an inactive user &amp; set a deactivation time period</w:t>
            </w:r>
          </w:p>
        </w:tc>
        <w:tc>
          <w:tcPr>
            <w:tcW w:w="637" w:type="pct"/>
            <w:tcBorders>
              <w:top w:val="nil"/>
              <w:left w:val="nil"/>
              <w:bottom w:val="single" w:sz="4" w:space="0" w:color="auto"/>
              <w:right w:val="single" w:sz="4" w:space="0" w:color="auto"/>
            </w:tcBorders>
            <w:shd w:val="clear" w:color="auto" w:fill="auto"/>
            <w:hideMark/>
          </w:tcPr>
          <w:p w14:paraId="0DAB37D0"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c>
          <w:tcPr>
            <w:tcW w:w="692" w:type="pct"/>
            <w:tcBorders>
              <w:top w:val="nil"/>
              <w:left w:val="nil"/>
              <w:bottom w:val="single" w:sz="4" w:space="0" w:color="auto"/>
              <w:right w:val="single" w:sz="8" w:space="0" w:color="auto"/>
            </w:tcBorders>
            <w:shd w:val="clear" w:color="auto" w:fill="auto"/>
            <w:hideMark/>
          </w:tcPr>
          <w:p w14:paraId="7C88D8D6"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r>
      <w:tr w:rsidR="00A93231" w:rsidRPr="00A93231" w14:paraId="21801F7E" w14:textId="77777777" w:rsidTr="008E0319">
        <w:trPr>
          <w:trHeight w:val="510"/>
        </w:trPr>
        <w:tc>
          <w:tcPr>
            <w:tcW w:w="185" w:type="pct"/>
            <w:tcBorders>
              <w:top w:val="nil"/>
              <w:left w:val="single" w:sz="8" w:space="0" w:color="auto"/>
              <w:bottom w:val="single" w:sz="4" w:space="0" w:color="auto"/>
              <w:right w:val="single" w:sz="4" w:space="0" w:color="auto"/>
            </w:tcBorders>
            <w:shd w:val="clear" w:color="auto" w:fill="auto"/>
            <w:vAlign w:val="bottom"/>
            <w:hideMark/>
          </w:tcPr>
          <w:p w14:paraId="215082A0"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81</w:t>
            </w:r>
          </w:p>
        </w:tc>
        <w:tc>
          <w:tcPr>
            <w:tcW w:w="3486" w:type="pct"/>
            <w:tcBorders>
              <w:top w:val="nil"/>
              <w:left w:val="nil"/>
              <w:bottom w:val="single" w:sz="4" w:space="0" w:color="auto"/>
              <w:right w:val="single" w:sz="4" w:space="0" w:color="auto"/>
            </w:tcBorders>
            <w:shd w:val="clear" w:color="auto" w:fill="auto"/>
            <w:vAlign w:val="bottom"/>
            <w:hideMark/>
          </w:tcPr>
          <w:p w14:paraId="28B00A4B"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Provide risk assessment for each domain and IP address asset and assign a risk score that can be monitored over time. Display risk indicators like what type of risks, events, and risk level for each discovered risk.</w:t>
            </w:r>
          </w:p>
        </w:tc>
        <w:tc>
          <w:tcPr>
            <w:tcW w:w="637" w:type="pct"/>
            <w:tcBorders>
              <w:top w:val="nil"/>
              <w:left w:val="nil"/>
              <w:bottom w:val="single" w:sz="4" w:space="0" w:color="auto"/>
              <w:right w:val="single" w:sz="4" w:space="0" w:color="auto"/>
            </w:tcBorders>
            <w:shd w:val="clear" w:color="auto" w:fill="auto"/>
            <w:vAlign w:val="bottom"/>
            <w:hideMark/>
          </w:tcPr>
          <w:p w14:paraId="0487B4BE"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c>
          <w:tcPr>
            <w:tcW w:w="692" w:type="pct"/>
            <w:tcBorders>
              <w:top w:val="nil"/>
              <w:left w:val="nil"/>
              <w:bottom w:val="single" w:sz="4" w:space="0" w:color="auto"/>
              <w:right w:val="single" w:sz="8" w:space="0" w:color="auto"/>
            </w:tcBorders>
            <w:shd w:val="clear" w:color="auto" w:fill="auto"/>
            <w:vAlign w:val="bottom"/>
            <w:hideMark/>
          </w:tcPr>
          <w:p w14:paraId="652D9A2A"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r>
      <w:tr w:rsidR="00A93231" w:rsidRPr="00A93231" w14:paraId="2AA2F8AC" w14:textId="77777777" w:rsidTr="008E0319">
        <w:trPr>
          <w:trHeight w:val="510"/>
        </w:trPr>
        <w:tc>
          <w:tcPr>
            <w:tcW w:w="185" w:type="pct"/>
            <w:tcBorders>
              <w:top w:val="nil"/>
              <w:left w:val="single" w:sz="8" w:space="0" w:color="auto"/>
              <w:bottom w:val="single" w:sz="4" w:space="0" w:color="auto"/>
              <w:right w:val="single" w:sz="4" w:space="0" w:color="auto"/>
            </w:tcBorders>
            <w:shd w:val="clear" w:color="auto" w:fill="auto"/>
            <w:vAlign w:val="bottom"/>
            <w:hideMark/>
          </w:tcPr>
          <w:p w14:paraId="4B44DD45"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82</w:t>
            </w:r>
          </w:p>
        </w:tc>
        <w:tc>
          <w:tcPr>
            <w:tcW w:w="3486" w:type="pct"/>
            <w:tcBorders>
              <w:top w:val="nil"/>
              <w:left w:val="nil"/>
              <w:bottom w:val="single" w:sz="4" w:space="0" w:color="auto"/>
              <w:right w:val="single" w:sz="4" w:space="0" w:color="auto"/>
            </w:tcBorders>
            <w:shd w:val="clear" w:color="auto" w:fill="auto"/>
            <w:vAlign w:val="bottom"/>
            <w:hideMark/>
          </w:tcPr>
          <w:p w14:paraId="2BE97842"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Provide an asset criticality score per device asset. Asset criticality indicates the importance of an asset in an organization. Administrators should be able to manually change asset criticality.</w:t>
            </w:r>
          </w:p>
        </w:tc>
        <w:tc>
          <w:tcPr>
            <w:tcW w:w="637" w:type="pct"/>
            <w:tcBorders>
              <w:top w:val="nil"/>
              <w:left w:val="nil"/>
              <w:bottom w:val="single" w:sz="4" w:space="0" w:color="auto"/>
              <w:right w:val="single" w:sz="4" w:space="0" w:color="auto"/>
            </w:tcBorders>
            <w:shd w:val="clear" w:color="auto" w:fill="auto"/>
            <w:vAlign w:val="bottom"/>
            <w:hideMark/>
          </w:tcPr>
          <w:p w14:paraId="36B74DCD"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c>
          <w:tcPr>
            <w:tcW w:w="692" w:type="pct"/>
            <w:tcBorders>
              <w:top w:val="nil"/>
              <w:left w:val="nil"/>
              <w:bottom w:val="single" w:sz="4" w:space="0" w:color="auto"/>
              <w:right w:val="single" w:sz="8" w:space="0" w:color="auto"/>
            </w:tcBorders>
            <w:shd w:val="clear" w:color="auto" w:fill="auto"/>
            <w:vAlign w:val="bottom"/>
            <w:hideMark/>
          </w:tcPr>
          <w:p w14:paraId="31307270"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r>
      <w:tr w:rsidR="00A93231" w:rsidRPr="00A93231" w14:paraId="6C686FC7" w14:textId="77777777" w:rsidTr="008E0319">
        <w:trPr>
          <w:trHeight w:val="510"/>
        </w:trPr>
        <w:tc>
          <w:tcPr>
            <w:tcW w:w="185" w:type="pct"/>
            <w:tcBorders>
              <w:top w:val="nil"/>
              <w:left w:val="single" w:sz="8" w:space="0" w:color="auto"/>
              <w:bottom w:val="single" w:sz="4" w:space="0" w:color="auto"/>
              <w:right w:val="single" w:sz="4" w:space="0" w:color="auto"/>
            </w:tcBorders>
            <w:shd w:val="clear" w:color="auto" w:fill="auto"/>
            <w:vAlign w:val="bottom"/>
            <w:hideMark/>
          </w:tcPr>
          <w:p w14:paraId="492AAAFC"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lastRenderedPageBreak/>
              <w:t>83</w:t>
            </w:r>
          </w:p>
        </w:tc>
        <w:tc>
          <w:tcPr>
            <w:tcW w:w="3486" w:type="pct"/>
            <w:tcBorders>
              <w:top w:val="nil"/>
              <w:left w:val="nil"/>
              <w:bottom w:val="single" w:sz="4" w:space="0" w:color="auto"/>
              <w:right w:val="single" w:sz="4" w:space="0" w:color="auto"/>
            </w:tcBorders>
            <w:shd w:val="clear" w:color="auto" w:fill="auto"/>
            <w:hideMark/>
          </w:tcPr>
          <w:p w14:paraId="04EE70D9"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Provides insights into the organization’s security posture using an Executive level dashboard. Must be able to show the company’s overall risk score, individual asset risks, a view of ongoing attacks and their contributing risk factors.</w:t>
            </w:r>
          </w:p>
        </w:tc>
        <w:tc>
          <w:tcPr>
            <w:tcW w:w="637" w:type="pct"/>
            <w:tcBorders>
              <w:top w:val="nil"/>
              <w:left w:val="nil"/>
              <w:bottom w:val="single" w:sz="4" w:space="0" w:color="auto"/>
              <w:right w:val="single" w:sz="4" w:space="0" w:color="auto"/>
            </w:tcBorders>
            <w:shd w:val="clear" w:color="auto" w:fill="auto"/>
            <w:vAlign w:val="bottom"/>
            <w:hideMark/>
          </w:tcPr>
          <w:p w14:paraId="4A6BEC81"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c>
          <w:tcPr>
            <w:tcW w:w="692" w:type="pct"/>
            <w:tcBorders>
              <w:top w:val="nil"/>
              <w:left w:val="nil"/>
              <w:bottom w:val="single" w:sz="4" w:space="0" w:color="auto"/>
              <w:right w:val="single" w:sz="8" w:space="0" w:color="auto"/>
            </w:tcBorders>
            <w:shd w:val="clear" w:color="auto" w:fill="auto"/>
            <w:vAlign w:val="bottom"/>
            <w:hideMark/>
          </w:tcPr>
          <w:p w14:paraId="295CE921"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r>
      <w:tr w:rsidR="00A93231" w:rsidRPr="00A93231" w14:paraId="69AEDA78" w14:textId="77777777" w:rsidTr="008E0319">
        <w:trPr>
          <w:trHeight w:val="300"/>
        </w:trPr>
        <w:tc>
          <w:tcPr>
            <w:tcW w:w="185" w:type="pct"/>
            <w:tcBorders>
              <w:top w:val="nil"/>
              <w:left w:val="single" w:sz="8" w:space="0" w:color="auto"/>
              <w:bottom w:val="single" w:sz="8" w:space="0" w:color="auto"/>
              <w:right w:val="single" w:sz="4" w:space="0" w:color="auto"/>
            </w:tcBorders>
            <w:shd w:val="clear" w:color="auto" w:fill="auto"/>
            <w:vAlign w:val="bottom"/>
            <w:hideMark/>
          </w:tcPr>
          <w:p w14:paraId="7D95087F"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3486" w:type="pct"/>
            <w:tcBorders>
              <w:top w:val="nil"/>
              <w:left w:val="nil"/>
              <w:bottom w:val="single" w:sz="8" w:space="0" w:color="auto"/>
              <w:right w:val="single" w:sz="4" w:space="0" w:color="auto"/>
            </w:tcBorders>
            <w:shd w:val="clear" w:color="auto" w:fill="auto"/>
            <w:hideMark/>
          </w:tcPr>
          <w:p w14:paraId="5973DCDB"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Provides the ability to assess and mitigate vulnerabilities related to users, devices, and device assets on an Operations dashboard.</w:t>
            </w:r>
          </w:p>
        </w:tc>
        <w:tc>
          <w:tcPr>
            <w:tcW w:w="637" w:type="pct"/>
            <w:tcBorders>
              <w:top w:val="nil"/>
              <w:left w:val="nil"/>
              <w:bottom w:val="single" w:sz="8" w:space="0" w:color="auto"/>
              <w:right w:val="single" w:sz="4" w:space="0" w:color="auto"/>
            </w:tcBorders>
            <w:shd w:val="clear" w:color="auto" w:fill="auto"/>
            <w:vAlign w:val="bottom"/>
            <w:hideMark/>
          </w:tcPr>
          <w:p w14:paraId="4CECACFA"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c>
          <w:tcPr>
            <w:tcW w:w="692" w:type="pct"/>
            <w:tcBorders>
              <w:top w:val="nil"/>
              <w:left w:val="nil"/>
              <w:bottom w:val="single" w:sz="8" w:space="0" w:color="auto"/>
              <w:right w:val="single" w:sz="8" w:space="0" w:color="auto"/>
            </w:tcBorders>
            <w:shd w:val="clear" w:color="auto" w:fill="auto"/>
            <w:vAlign w:val="bottom"/>
            <w:hideMark/>
          </w:tcPr>
          <w:p w14:paraId="2EB4D07B" w14:textId="77777777" w:rsidR="00A93231" w:rsidRPr="00A93231" w:rsidRDefault="00A93231" w:rsidP="00A93231">
            <w:pPr>
              <w:spacing w:after="0" w:line="240" w:lineRule="auto"/>
              <w:rPr>
                <w:rFonts w:ascii="Verdana" w:eastAsia="Times New Roman" w:hAnsi="Verdana" w:cs="Calibri"/>
                <w:color w:val="000000"/>
                <w:lang w:val="en-GB" w:eastAsia="en-GB"/>
              </w:rPr>
            </w:pPr>
            <w:r w:rsidRPr="00A93231">
              <w:rPr>
                <w:rFonts w:ascii="Verdana" w:eastAsia="Times New Roman" w:hAnsi="Verdana" w:cs="Calibri"/>
                <w:color w:val="000000"/>
                <w:lang w:val="en-GB" w:eastAsia="en-GB"/>
              </w:rPr>
              <w:t> </w:t>
            </w:r>
          </w:p>
        </w:tc>
      </w:tr>
    </w:tbl>
    <w:p w14:paraId="43183D3E" w14:textId="77777777" w:rsidR="00A93231" w:rsidRDefault="00A93231">
      <w:pPr>
        <w:rPr>
          <w:rFonts w:cstheme="minorHAnsi"/>
        </w:rPr>
      </w:pPr>
    </w:p>
    <w:p w14:paraId="5149BD8F" w14:textId="77777777" w:rsidR="00A93231" w:rsidRDefault="00A93231">
      <w:pPr>
        <w:rPr>
          <w:rFonts w:cstheme="minorHAnsi"/>
        </w:rPr>
      </w:pPr>
      <w:r>
        <w:rPr>
          <w:rFonts w:cstheme="minorHAnsi"/>
        </w:rPr>
        <w:br w:type="page"/>
      </w:r>
    </w:p>
    <w:tbl>
      <w:tblPr>
        <w:tblW w:w="5000" w:type="pct"/>
        <w:tblLook w:val="04A0" w:firstRow="1" w:lastRow="0" w:firstColumn="1" w:lastColumn="0" w:noHBand="0" w:noVBand="1"/>
      </w:tblPr>
      <w:tblGrid>
        <w:gridCol w:w="571"/>
        <w:gridCol w:w="9739"/>
        <w:gridCol w:w="1383"/>
        <w:gridCol w:w="2255"/>
      </w:tblGrid>
      <w:tr w:rsidR="00A93231" w:rsidRPr="00A93231" w14:paraId="35FA5E7F" w14:textId="77777777" w:rsidTr="008E0319">
        <w:trPr>
          <w:trHeight w:val="315"/>
        </w:trPr>
        <w:tc>
          <w:tcPr>
            <w:tcW w:w="5000" w:type="pct"/>
            <w:gridSpan w:val="4"/>
            <w:tcBorders>
              <w:top w:val="single" w:sz="4" w:space="0" w:color="auto"/>
              <w:left w:val="single" w:sz="4" w:space="0" w:color="auto"/>
              <w:bottom w:val="single" w:sz="4" w:space="0" w:color="auto"/>
              <w:right w:val="single" w:sz="4" w:space="0" w:color="auto"/>
            </w:tcBorders>
            <w:shd w:val="clear" w:color="000000" w:fill="FFE699"/>
            <w:hideMark/>
          </w:tcPr>
          <w:p w14:paraId="6617B151" w14:textId="77777777" w:rsidR="00A93231" w:rsidRPr="00A93231" w:rsidRDefault="00A93231" w:rsidP="00A93231">
            <w:pPr>
              <w:spacing w:after="0" w:line="240" w:lineRule="auto"/>
              <w:jc w:val="center"/>
              <w:rPr>
                <w:rFonts w:ascii="Calibri" w:eastAsia="Times New Roman" w:hAnsi="Calibri" w:cs="Calibri"/>
                <w:color w:val="000000"/>
                <w:sz w:val="24"/>
                <w:szCs w:val="24"/>
                <w:lang w:val="en-GB" w:eastAsia="en-GB"/>
              </w:rPr>
            </w:pPr>
            <w:r w:rsidRPr="00A93231">
              <w:rPr>
                <w:rFonts w:ascii="Calibri" w:eastAsia="Times New Roman" w:hAnsi="Calibri" w:cs="Calibri"/>
                <w:color w:val="000000"/>
                <w:sz w:val="24"/>
                <w:szCs w:val="24"/>
                <w:lang w:val="en-GB" w:eastAsia="en-GB"/>
              </w:rPr>
              <w:lastRenderedPageBreak/>
              <w:t xml:space="preserve">Technical Specifications for </w:t>
            </w:r>
            <w:r w:rsidRPr="00A93231">
              <w:rPr>
                <w:rFonts w:ascii="Calibri" w:eastAsia="Times New Roman" w:hAnsi="Calibri" w:cs="Calibri"/>
                <w:b/>
                <w:bCs/>
                <w:color w:val="000000"/>
                <w:sz w:val="24"/>
                <w:szCs w:val="24"/>
                <w:lang w:val="en-GB" w:eastAsia="en-GB"/>
              </w:rPr>
              <w:t>Breach and Attack Simulation with Red Team Solution</w:t>
            </w:r>
          </w:p>
        </w:tc>
      </w:tr>
      <w:tr w:rsidR="00A93231" w:rsidRPr="00A93231" w14:paraId="3EAF36B2" w14:textId="77777777" w:rsidTr="008E0319">
        <w:trPr>
          <w:trHeight w:val="630"/>
        </w:trPr>
        <w:tc>
          <w:tcPr>
            <w:tcW w:w="176" w:type="pct"/>
            <w:tcBorders>
              <w:top w:val="nil"/>
              <w:left w:val="single" w:sz="4" w:space="0" w:color="auto"/>
              <w:bottom w:val="single" w:sz="4" w:space="0" w:color="auto"/>
              <w:right w:val="single" w:sz="4" w:space="0" w:color="auto"/>
            </w:tcBorders>
            <w:shd w:val="clear" w:color="000000" w:fill="1F4E78"/>
            <w:hideMark/>
          </w:tcPr>
          <w:p w14:paraId="61080175" w14:textId="77777777" w:rsidR="00A93231" w:rsidRPr="00A93231" w:rsidRDefault="00A93231" w:rsidP="00A93231">
            <w:pPr>
              <w:spacing w:after="0" w:line="240" w:lineRule="auto"/>
              <w:jc w:val="center"/>
              <w:rPr>
                <w:rFonts w:ascii="Calibri" w:eastAsia="Times New Roman" w:hAnsi="Calibri" w:cs="Calibri"/>
                <w:b/>
                <w:bCs/>
                <w:color w:val="FFFFFF"/>
                <w:sz w:val="24"/>
                <w:szCs w:val="24"/>
                <w:lang w:val="en-GB" w:eastAsia="en-GB"/>
              </w:rPr>
            </w:pPr>
            <w:r w:rsidRPr="00A93231">
              <w:rPr>
                <w:rFonts w:ascii="Calibri" w:eastAsia="Times New Roman" w:hAnsi="Calibri" w:cs="Calibri"/>
                <w:b/>
                <w:bCs/>
                <w:color w:val="FFFFFF"/>
                <w:sz w:val="24"/>
                <w:szCs w:val="24"/>
                <w:lang w:val="en-GB" w:eastAsia="en-GB"/>
              </w:rPr>
              <w:t>S No</w:t>
            </w:r>
          </w:p>
        </w:tc>
        <w:tc>
          <w:tcPr>
            <w:tcW w:w="3540" w:type="pct"/>
            <w:tcBorders>
              <w:top w:val="nil"/>
              <w:left w:val="nil"/>
              <w:bottom w:val="single" w:sz="4" w:space="0" w:color="auto"/>
              <w:right w:val="single" w:sz="4" w:space="0" w:color="auto"/>
            </w:tcBorders>
            <w:shd w:val="clear" w:color="000000" w:fill="1F4E78"/>
            <w:hideMark/>
          </w:tcPr>
          <w:p w14:paraId="0B2CBEBF" w14:textId="77777777" w:rsidR="00A93231" w:rsidRPr="00A93231" w:rsidRDefault="00A93231" w:rsidP="00A93231">
            <w:pPr>
              <w:spacing w:after="0" w:line="240" w:lineRule="auto"/>
              <w:rPr>
                <w:rFonts w:ascii="Calibri" w:eastAsia="Times New Roman" w:hAnsi="Calibri" w:cs="Calibri"/>
                <w:b/>
                <w:bCs/>
                <w:color w:val="FFFFFF"/>
                <w:sz w:val="24"/>
                <w:szCs w:val="24"/>
                <w:lang w:val="en-GB" w:eastAsia="en-GB"/>
              </w:rPr>
            </w:pPr>
            <w:r w:rsidRPr="00A93231">
              <w:rPr>
                <w:rFonts w:ascii="Calibri" w:eastAsia="Times New Roman" w:hAnsi="Calibri" w:cs="Calibri"/>
                <w:b/>
                <w:bCs/>
                <w:color w:val="FFFFFF"/>
                <w:sz w:val="24"/>
                <w:szCs w:val="24"/>
                <w:lang w:val="en-GB" w:eastAsia="en-GB"/>
              </w:rPr>
              <w:t xml:space="preserve">Minimum Technical Specifications </w:t>
            </w:r>
          </w:p>
        </w:tc>
        <w:tc>
          <w:tcPr>
            <w:tcW w:w="427" w:type="pct"/>
            <w:tcBorders>
              <w:top w:val="nil"/>
              <w:left w:val="nil"/>
              <w:bottom w:val="single" w:sz="4" w:space="0" w:color="auto"/>
              <w:right w:val="single" w:sz="4" w:space="0" w:color="auto"/>
            </w:tcBorders>
            <w:shd w:val="clear" w:color="000000" w:fill="1F4E78"/>
            <w:hideMark/>
          </w:tcPr>
          <w:p w14:paraId="4E9E65AD" w14:textId="77777777" w:rsidR="00A93231" w:rsidRPr="00A93231" w:rsidRDefault="00A93231" w:rsidP="00A93231">
            <w:pPr>
              <w:spacing w:after="0" w:line="240" w:lineRule="auto"/>
              <w:rPr>
                <w:rFonts w:ascii="Calibri" w:eastAsia="Times New Roman" w:hAnsi="Calibri" w:cs="Calibri"/>
                <w:b/>
                <w:bCs/>
                <w:color w:val="FFFFFF"/>
                <w:sz w:val="24"/>
                <w:szCs w:val="24"/>
                <w:lang w:val="en-GB" w:eastAsia="en-GB"/>
              </w:rPr>
            </w:pPr>
            <w:r w:rsidRPr="00A93231">
              <w:rPr>
                <w:rFonts w:ascii="Calibri" w:eastAsia="Times New Roman" w:hAnsi="Calibri" w:cs="Calibri"/>
                <w:b/>
                <w:bCs/>
                <w:color w:val="FFFFFF"/>
                <w:sz w:val="24"/>
                <w:szCs w:val="24"/>
                <w:lang w:val="en-GB" w:eastAsia="en-GB"/>
              </w:rPr>
              <w:t>Vendor's Compliance</w:t>
            </w:r>
          </w:p>
        </w:tc>
        <w:tc>
          <w:tcPr>
            <w:tcW w:w="857" w:type="pct"/>
            <w:tcBorders>
              <w:top w:val="nil"/>
              <w:left w:val="nil"/>
              <w:bottom w:val="single" w:sz="4" w:space="0" w:color="auto"/>
              <w:right w:val="single" w:sz="4" w:space="0" w:color="auto"/>
            </w:tcBorders>
            <w:shd w:val="clear" w:color="000000" w:fill="1F4E78"/>
            <w:hideMark/>
          </w:tcPr>
          <w:p w14:paraId="2DAF71D8" w14:textId="77777777" w:rsidR="00A93231" w:rsidRPr="00A93231" w:rsidRDefault="00A93231" w:rsidP="00A93231">
            <w:pPr>
              <w:spacing w:after="0" w:line="240" w:lineRule="auto"/>
              <w:rPr>
                <w:rFonts w:ascii="Calibri" w:eastAsia="Times New Roman" w:hAnsi="Calibri" w:cs="Calibri"/>
                <w:b/>
                <w:bCs/>
                <w:color w:val="FFFFFF"/>
                <w:sz w:val="24"/>
                <w:szCs w:val="24"/>
                <w:lang w:val="en-GB" w:eastAsia="en-GB"/>
              </w:rPr>
            </w:pPr>
            <w:r w:rsidRPr="00A93231">
              <w:rPr>
                <w:rFonts w:ascii="Calibri" w:eastAsia="Times New Roman" w:hAnsi="Calibri" w:cs="Calibri"/>
                <w:b/>
                <w:bCs/>
                <w:color w:val="FFFFFF"/>
                <w:sz w:val="24"/>
                <w:szCs w:val="24"/>
                <w:lang w:val="en-GB" w:eastAsia="en-GB"/>
              </w:rPr>
              <w:t>Vendor's Remark</w:t>
            </w:r>
          </w:p>
        </w:tc>
      </w:tr>
      <w:tr w:rsidR="00A93231" w:rsidRPr="00A93231" w14:paraId="21522C63" w14:textId="77777777" w:rsidTr="008E0319">
        <w:trPr>
          <w:trHeight w:val="1020"/>
        </w:trPr>
        <w:tc>
          <w:tcPr>
            <w:tcW w:w="176" w:type="pct"/>
            <w:tcBorders>
              <w:top w:val="nil"/>
              <w:left w:val="single" w:sz="4" w:space="0" w:color="auto"/>
              <w:bottom w:val="single" w:sz="4" w:space="0" w:color="auto"/>
              <w:right w:val="single" w:sz="4" w:space="0" w:color="auto"/>
            </w:tcBorders>
            <w:shd w:val="clear" w:color="auto" w:fill="auto"/>
            <w:hideMark/>
          </w:tcPr>
          <w:p w14:paraId="62D23296"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w:t>
            </w:r>
          </w:p>
        </w:tc>
        <w:tc>
          <w:tcPr>
            <w:tcW w:w="3540" w:type="pct"/>
            <w:tcBorders>
              <w:top w:val="nil"/>
              <w:left w:val="nil"/>
              <w:bottom w:val="single" w:sz="4" w:space="0" w:color="auto"/>
              <w:right w:val="single" w:sz="4" w:space="0" w:color="auto"/>
            </w:tcBorders>
            <w:shd w:val="clear" w:color="auto" w:fill="auto"/>
            <w:hideMark/>
          </w:tcPr>
          <w:p w14:paraId="34EBA239"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must be supported by an in-house and external threat intelligence group for providing threat updates on a regular basis, including features such as daily malware feeds and must also include attack Tactics, Techniques, and Procedures (TTPs) from multiple APT groups including those based on the MITRE Adversarial Tactics, Techniques, and Common Knowledge (ATT&amp;CK) framework</w:t>
            </w:r>
          </w:p>
        </w:tc>
        <w:tc>
          <w:tcPr>
            <w:tcW w:w="427" w:type="pct"/>
            <w:tcBorders>
              <w:top w:val="nil"/>
              <w:left w:val="nil"/>
              <w:bottom w:val="single" w:sz="4" w:space="0" w:color="auto"/>
              <w:right w:val="single" w:sz="4" w:space="0" w:color="auto"/>
            </w:tcBorders>
            <w:shd w:val="clear" w:color="auto" w:fill="auto"/>
            <w:hideMark/>
          </w:tcPr>
          <w:p w14:paraId="4EBB369A" w14:textId="77777777" w:rsidR="00A93231" w:rsidRPr="00A93231" w:rsidRDefault="00A93231" w:rsidP="00A93231">
            <w:pPr>
              <w:spacing w:after="0" w:line="240" w:lineRule="auto"/>
              <w:rPr>
                <w:rFonts w:ascii="Calibri" w:eastAsia="Times New Roman" w:hAnsi="Calibri" w:cs="Calibri"/>
                <w:b/>
                <w:bCs/>
                <w:color w:val="000000"/>
                <w:sz w:val="20"/>
                <w:szCs w:val="20"/>
                <w:lang w:val="en-GB" w:eastAsia="en-GB"/>
              </w:rPr>
            </w:pPr>
            <w:r w:rsidRPr="00A93231">
              <w:rPr>
                <w:rFonts w:ascii="Calibri" w:eastAsia="Times New Roman" w:hAnsi="Calibri" w:cs="Calibri"/>
                <w:b/>
                <w:bCs/>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7F2AA03C" w14:textId="77777777" w:rsidR="00A93231" w:rsidRPr="00A93231" w:rsidRDefault="00A93231" w:rsidP="00A93231">
            <w:pPr>
              <w:spacing w:after="0" w:line="240" w:lineRule="auto"/>
              <w:rPr>
                <w:rFonts w:ascii="Calibri" w:eastAsia="Times New Roman" w:hAnsi="Calibri" w:cs="Calibri"/>
                <w:b/>
                <w:bCs/>
                <w:color w:val="000000"/>
                <w:sz w:val="20"/>
                <w:szCs w:val="20"/>
                <w:lang w:val="en-GB" w:eastAsia="en-GB"/>
              </w:rPr>
            </w:pPr>
            <w:r w:rsidRPr="00A93231">
              <w:rPr>
                <w:rFonts w:ascii="Calibri" w:eastAsia="Times New Roman" w:hAnsi="Calibri" w:cs="Calibri"/>
                <w:b/>
                <w:bCs/>
                <w:color w:val="000000"/>
                <w:sz w:val="20"/>
                <w:szCs w:val="20"/>
                <w:lang w:val="en-GB" w:eastAsia="en-GB"/>
              </w:rPr>
              <w:t> </w:t>
            </w:r>
          </w:p>
        </w:tc>
      </w:tr>
      <w:tr w:rsidR="00A93231" w:rsidRPr="00A93231" w14:paraId="3BBCC069"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687D9EEA"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2</w:t>
            </w:r>
          </w:p>
        </w:tc>
        <w:tc>
          <w:tcPr>
            <w:tcW w:w="3540" w:type="pct"/>
            <w:tcBorders>
              <w:top w:val="nil"/>
              <w:left w:val="nil"/>
              <w:bottom w:val="single" w:sz="4" w:space="0" w:color="auto"/>
              <w:right w:val="single" w:sz="4" w:space="0" w:color="auto"/>
            </w:tcBorders>
            <w:shd w:val="clear" w:color="auto" w:fill="auto"/>
            <w:hideMark/>
          </w:tcPr>
          <w:p w14:paraId="364665C1"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should be able to simulate multiple attack vectors like:</w:t>
            </w:r>
          </w:p>
        </w:tc>
        <w:tc>
          <w:tcPr>
            <w:tcW w:w="427" w:type="pct"/>
            <w:tcBorders>
              <w:top w:val="nil"/>
              <w:left w:val="nil"/>
              <w:bottom w:val="single" w:sz="4" w:space="0" w:color="auto"/>
              <w:right w:val="single" w:sz="4" w:space="0" w:color="auto"/>
            </w:tcBorders>
            <w:shd w:val="clear" w:color="auto" w:fill="auto"/>
            <w:hideMark/>
          </w:tcPr>
          <w:p w14:paraId="45BA626C" w14:textId="77777777" w:rsidR="00A93231" w:rsidRPr="00A93231" w:rsidRDefault="00A93231" w:rsidP="00A93231">
            <w:pPr>
              <w:spacing w:after="0" w:line="240" w:lineRule="auto"/>
              <w:rPr>
                <w:rFonts w:ascii="Calibri" w:eastAsia="Times New Roman" w:hAnsi="Calibri" w:cs="Calibri"/>
                <w:b/>
                <w:bCs/>
                <w:color w:val="000000"/>
                <w:sz w:val="20"/>
                <w:szCs w:val="20"/>
                <w:lang w:val="en-GB" w:eastAsia="en-GB"/>
              </w:rPr>
            </w:pPr>
            <w:r w:rsidRPr="00A93231">
              <w:rPr>
                <w:rFonts w:ascii="Calibri" w:eastAsia="Times New Roman" w:hAnsi="Calibri" w:cs="Calibri"/>
                <w:b/>
                <w:bCs/>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1A5EA3C0" w14:textId="77777777" w:rsidR="00A93231" w:rsidRPr="00A93231" w:rsidRDefault="00A93231" w:rsidP="00A93231">
            <w:pPr>
              <w:spacing w:after="0" w:line="240" w:lineRule="auto"/>
              <w:rPr>
                <w:rFonts w:ascii="Calibri" w:eastAsia="Times New Roman" w:hAnsi="Calibri" w:cs="Calibri"/>
                <w:b/>
                <w:bCs/>
                <w:color w:val="000000"/>
                <w:sz w:val="20"/>
                <w:szCs w:val="20"/>
                <w:lang w:val="en-GB" w:eastAsia="en-GB"/>
              </w:rPr>
            </w:pPr>
            <w:r w:rsidRPr="00A93231">
              <w:rPr>
                <w:rFonts w:ascii="Calibri" w:eastAsia="Times New Roman" w:hAnsi="Calibri" w:cs="Calibri"/>
                <w:b/>
                <w:bCs/>
                <w:color w:val="000000"/>
                <w:sz w:val="20"/>
                <w:szCs w:val="20"/>
                <w:lang w:val="en-GB" w:eastAsia="en-GB"/>
              </w:rPr>
              <w:t> </w:t>
            </w:r>
          </w:p>
        </w:tc>
      </w:tr>
      <w:tr w:rsidR="00A93231" w:rsidRPr="00A93231" w14:paraId="542A267E"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532E56CF"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3</w:t>
            </w:r>
          </w:p>
        </w:tc>
        <w:tc>
          <w:tcPr>
            <w:tcW w:w="3540" w:type="pct"/>
            <w:tcBorders>
              <w:top w:val="nil"/>
              <w:left w:val="nil"/>
              <w:bottom w:val="single" w:sz="4" w:space="0" w:color="auto"/>
              <w:right w:val="single" w:sz="4" w:space="0" w:color="auto"/>
            </w:tcBorders>
            <w:shd w:val="clear" w:color="auto" w:fill="auto"/>
            <w:hideMark/>
          </w:tcPr>
          <w:p w14:paraId="33C514CC"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Network Infiltration Attacks</w:t>
            </w:r>
          </w:p>
        </w:tc>
        <w:tc>
          <w:tcPr>
            <w:tcW w:w="427" w:type="pct"/>
            <w:tcBorders>
              <w:top w:val="nil"/>
              <w:left w:val="nil"/>
              <w:bottom w:val="single" w:sz="4" w:space="0" w:color="auto"/>
              <w:right w:val="single" w:sz="4" w:space="0" w:color="auto"/>
            </w:tcBorders>
            <w:shd w:val="clear" w:color="auto" w:fill="auto"/>
            <w:hideMark/>
          </w:tcPr>
          <w:p w14:paraId="2ABBA888" w14:textId="77777777" w:rsidR="00A93231" w:rsidRPr="00A93231" w:rsidRDefault="00A93231" w:rsidP="00A93231">
            <w:pPr>
              <w:spacing w:after="0" w:line="240" w:lineRule="auto"/>
              <w:rPr>
                <w:rFonts w:ascii="Calibri" w:eastAsia="Times New Roman" w:hAnsi="Calibri" w:cs="Calibri"/>
                <w:b/>
                <w:bCs/>
                <w:color w:val="000000"/>
                <w:sz w:val="20"/>
                <w:szCs w:val="20"/>
                <w:lang w:val="en-GB" w:eastAsia="en-GB"/>
              </w:rPr>
            </w:pPr>
            <w:r w:rsidRPr="00A93231">
              <w:rPr>
                <w:rFonts w:ascii="Calibri" w:eastAsia="Times New Roman" w:hAnsi="Calibri" w:cs="Calibri"/>
                <w:b/>
                <w:bCs/>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7C3D3BC0" w14:textId="77777777" w:rsidR="00A93231" w:rsidRPr="00A93231" w:rsidRDefault="00A93231" w:rsidP="00A93231">
            <w:pPr>
              <w:spacing w:after="0" w:line="240" w:lineRule="auto"/>
              <w:rPr>
                <w:rFonts w:ascii="Calibri" w:eastAsia="Times New Roman" w:hAnsi="Calibri" w:cs="Calibri"/>
                <w:b/>
                <w:bCs/>
                <w:color w:val="000000"/>
                <w:sz w:val="20"/>
                <w:szCs w:val="20"/>
                <w:lang w:val="en-GB" w:eastAsia="en-GB"/>
              </w:rPr>
            </w:pPr>
            <w:r w:rsidRPr="00A93231">
              <w:rPr>
                <w:rFonts w:ascii="Calibri" w:eastAsia="Times New Roman" w:hAnsi="Calibri" w:cs="Calibri"/>
                <w:b/>
                <w:bCs/>
                <w:color w:val="000000"/>
                <w:sz w:val="20"/>
                <w:szCs w:val="20"/>
                <w:lang w:val="en-GB" w:eastAsia="en-GB"/>
              </w:rPr>
              <w:t> </w:t>
            </w:r>
          </w:p>
        </w:tc>
      </w:tr>
      <w:tr w:rsidR="00A93231" w:rsidRPr="00A93231" w14:paraId="0DE03C7A"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70137F6B"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4</w:t>
            </w:r>
          </w:p>
        </w:tc>
        <w:tc>
          <w:tcPr>
            <w:tcW w:w="3540" w:type="pct"/>
            <w:tcBorders>
              <w:top w:val="nil"/>
              <w:left w:val="nil"/>
              <w:bottom w:val="single" w:sz="4" w:space="0" w:color="auto"/>
              <w:right w:val="single" w:sz="4" w:space="0" w:color="auto"/>
            </w:tcBorders>
            <w:shd w:val="clear" w:color="auto" w:fill="auto"/>
            <w:hideMark/>
          </w:tcPr>
          <w:p w14:paraId="370C2F4C"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End Point Attacks</w:t>
            </w:r>
          </w:p>
        </w:tc>
        <w:tc>
          <w:tcPr>
            <w:tcW w:w="427" w:type="pct"/>
            <w:tcBorders>
              <w:top w:val="nil"/>
              <w:left w:val="nil"/>
              <w:bottom w:val="single" w:sz="4" w:space="0" w:color="auto"/>
              <w:right w:val="single" w:sz="4" w:space="0" w:color="auto"/>
            </w:tcBorders>
            <w:shd w:val="clear" w:color="auto" w:fill="auto"/>
            <w:hideMark/>
          </w:tcPr>
          <w:p w14:paraId="697F4129" w14:textId="77777777" w:rsidR="00A93231" w:rsidRPr="00A93231" w:rsidRDefault="00A93231" w:rsidP="00A93231">
            <w:pPr>
              <w:spacing w:after="0" w:line="240" w:lineRule="auto"/>
              <w:rPr>
                <w:rFonts w:ascii="Calibri" w:eastAsia="Times New Roman" w:hAnsi="Calibri" w:cs="Calibri"/>
                <w:b/>
                <w:bCs/>
                <w:color w:val="000000"/>
                <w:sz w:val="20"/>
                <w:szCs w:val="20"/>
                <w:lang w:val="en-GB" w:eastAsia="en-GB"/>
              </w:rPr>
            </w:pPr>
            <w:r w:rsidRPr="00A93231">
              <w:rPr>
                <w:rFonts w:ascii="Calibri" w:eastAsia="Times New Roman" w:hAnsi="Calibri" w:cs="Calibri"/>
                <w:b/>
                <w:bCs/>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51F3B7D5" w14:textId="77777777" w:rsidR="00A93231" w:rsidRPr="00A93231" w:rsidRDefault="00A93231" w:rsidP="00A93231">
            <w:pPr>
              <w:spacing w:after="0" w:line="240" w:lineRule="auto"/>
              <w:rPr>
                <w:rFonts w:ascii="Calibri" w:eastAsia="Times New Roman" w:hAnsi="Calibri" w:cs="Calibri"/>
                <w:b/>
                <w:bCs/>
                <w:color w:val="000000"/>
                <w:sz w:val="20"/>
                <w:szCs w:val="20"/>
                <w:lang w:val="en-GB" w:eastAsia="en-GB"/>
              </w:rPr>
            </w:pPr>
            <w:r w:rsidRPr="00A93231">
              <w:rPr>
                <w:rFonts w:ascii="Calibri" w:eastAsia="Times New Roman" w:hAnsi="Calibri" w:cs="Calibri"/>
                <w:b/>
                <w:bCs/>
                <w:color w:val="000000"/>
                <w:sz w:val="20"/>
                <w:szCs w:val="20"/>
                <w:lang w:val="en-GB" w:eastAsia="en-GB"/>
              </w:rPr>
              <w:t> </w:t>
            </w:r>
          </w:p>
        </w:tc>
      </w:tr>
      <w:tr w:rsidR="00A93231" w:rsidRPr="00A93231" w14:paraId="0D7DE16C"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6E7CBC7B"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5</w:t>
            </w:r>
          </w:p>
        </w:tc>
        <w:tc>
          <w:tcPr>
            <w:tcW w:w="3540" w:type="pct"/>
            <w:tcBorders>
              <w:top w:val="nil"/>
              <w:left w:val="nil"/>
              <w:bottom w:val="single" w:sz="4" w:space="0" w:color="auto"/>
              <w:right w:val="single" w:sz="4" w:space="0" w:color="auto"/>
            </w:tcBorders>
            <w:shd w:val="clear" w:color="auto" w:fill="auto"/>
            <w:hideMark/>
          </w:tcPr>
          <w:p w14:paraId="4257A24F"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Email Infiltration Attacks</w:t>
            </w:r>
          </w:p>
        </w:tc>
        <w:tc>
          <w:tcPr>
            <w:tcW w:w="427" w:type="pct"/>
            <w:tcBorders>
              <w:top w:val="nil"/>
              <w:left w:val="nil"/>
              <w:bottom w:val="single" w:sz="4" w:space="0" w:color="auto"/>
              <w:right w:val="single" w:sz="4" w:space="0" w:color="auto"/>
            </w:tcBorders>
            <w:shd w:val="clear" w:color="auto" w:fill="auto"/>
            <w:hideMark/>
          </w:tcPr>
          <w:p w14:paraId="36FA92A2" w14:textId="77777777" w:rsidR="00A93231" w:rsidRPr="00A93231" w:rsidRDefault="00A93231" w:rsidP="00A93231">
            <w:pPr>
              <w:spacing w:after="0" w:line="240" w:lineRule="auto"/>
              <w:rPr>
                <w:rFonts w:ascii="Calibri" w:eastAsia="Times New Roman" w:hAnsi="Calibri" w:cs="Calibri"/>
                <w:b/>
                <w:bCs/>
                <w:color w:val="000000"/>
                <w:sz w:val="20"/>
                <w:szCs w:val="20"/>
                <w:lang w:val="en-GB" w:eastAsia="en-GB"/>
              </w:rPr>
            </w:pPr>
            <w:r w:rsidRPr="00A93231">
              <w:rPr>
                <w:rFonts w:ascii="Calibri" w:eastAsia="Times New Roman" w:hAnsi="Calibri" w:cs="Calibri"/>
                <w:b/>
                <w:bCs/>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45D813D6" w14:textId="77777777" w:rsidR="00A93231" w:rsidRPr="00A93231" w:rsidRDefault="00A93231" w:rsidP="00A93231">
            <w:pPr>
              <w:spacing w:after="0" w:line="240" w:lineRule="auto"/>
              <w:rPr>
                <w:rFonts w:ascii="Calibri" w:eastAsia="Times New Roman" w:hAnsi="Calibri" w:cs="Calibri"/>
                <w:b/>
                <w:bCs/>
                <w:color w:val="000000"/>
                <w:sz w:val="20"/>
                <w:szCs w:val="20"/>
                <w:lang w:val="en-GB" w:eastAsia="en-GB"/>
              </w:rPr>
            </w:pPr>
            <w:r w:rsidRPr="00A93231">
              <w:rPr>
                <w:rFonts w:ascii="Calibri" w:eastAsia="Times New Roman" w:hAnsi="Calibri" w:cs="Calibri"/>
                <w:b/>
                <w:bCs/>
                <w:color w:val="000000"/>
                <w:sz w:val="20"/>
                <w:szCs w:val="20"/>
                <w:lang w:val="en-GB" w:eastAsia="en-GB"/>
              </w:rPr>
              <w:t> </w:t>
            </w:r>
          </w:p>
        </w:tc>
      </w:tr>
      <w:tr w:rsidR="00A93231" w:rsidRPr="00A93231" w14:paraId="36DB147F"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313D9632"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6</w:t>
            </w:r>
          </w:p>
        </w:tc>
        <w:tc>
          <w:tcPr>
            <w:tcW w:w="3540" w:type="pct"/>
            <w:tcBorders>
              <w:top w:val="nil"/>
              <w:left w:val="nil"/>
              <w:bottom w:val="single" w:sz="4" w:space="0" w:color="auto"/>
              <w:right w:val="single" w:sz="4" w:space="0" w:color="auto"/>
            </w:tcBorders>
            <w:shd w:val="clear" w:color="auto" w:fill="auto"/>
            <w:hideMark/>
          </w:tcPr>
          <w:p w14:paraId="22B7CB37"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Web Application Attacks</w:t>
            </w:r>
          </w:p>
        </w:tc>
        <w:tc>
          <w:tcPr>
            <w:tcW w:w="427" w:type="pct"/>
            <w:tcBorders>
              <w:top w:val="nil"/>
              <w:left w:val="nil"/>
              <w:bottom w:val="single" w:sz="4" w:space="0" w:color="auto"/>
              <w:right w:val="single" w:sz="4" w:space="0" w:color="auto"/>
            </w:tcBorders>
            <w:shd w:val="clear" w:color="auto" w:fill="auto"/>
            <w:hideMark/>
          </w:tcPr>
          <w:p w14:paraId="7FFBC8A8" w14:textId="77777777" w:rsidR="00A93231" w:rsidRPr="00A93231" w:rsidRDefault="00A93231" w:rsidP="00A93231">
            <w:pPr>
              <w:spacing w:after="0" w:line="240" w:lineRule="auto"/>
              <w:rPr>
                <w:rFonts w:ascii="Calibri" w:eastAsia="Times New Roman" w:hAnsi="Calibri" w:cs="Calibri"/>
                <w:b/>
                <w:bCs/>
                <w:color w:val="000000"/>
                <w:sz w:val="20"/>
                <w:szCs w:val="20"/>
                <w:lang w:val="en-GB" w:eastAsia="en-GB"/>
              </w:rPr>
            </w:pPr>
            <w:r w:rsidRPr="00A93231">
              <w:rPr>
                <w:rFonts w:ascii="Calibri" w:eastAsia="Times New Roman" w:hAnsi="Calibri" w:cs="Calibri"/>
                <w:b/>
                <w:bCs/>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794DC066" w14:textId="77777777" w:rsidR="00A93231" w:rsidRPr="00A93231" w:rsidRDefault="00A93231" w:rsidP="00A93231">
            <w:pPr>
              <w:spacing w:after="0" w:line="240" w:lineRule="auto"/>
              <w:rPr>
                <w:rFonts w:ascii="Calibri" w:eastAsia="Times New Roman" w:hAnsi="Calibri" w:cs="Calibri"/>
                <w:b/>
                <w:bCs/>
                <w:color w:val="000000"/>
                <w:sz w:val="20"/>
                <w:szCs w:val="20"/>
                <w:lang w:val="en-GB" w:eastAsia="en-GB"/>
              </w:rPr>
            </w:pPr>
            <w:r w:rsidRPr="00A93231">
              <w:rPr>
                <w:rFonts w:ascii="Calibri" w:eastAsia="Times New Roman" w:hAnsi="Calibri" w:cs="Calibri"/>
                <w:b/>
                <w:bCs/>
                <w:color w:val="000000"/>
                <w:sz w:val="20"/>
                <w:szCs w:val="20"/>
                <w:lang w:val="en-GB" w:eastAsia="en-GB"/>
              </w:rPr>
              <w:t> </w:t>
            </w:r>
          </w:p>
        </w:tc>
      </w:tr>
      <w:tr w:rsidR="00A93231" w:rsidRPr="00A93231" w14:paraId="005AEA51"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0DAE2754"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7</w:t>
            </w:r>
          </w:p>
        </w:tc>
        <w:tc>
          <w:tcPr>
            <w:tcW w:w="3540" w:type="pct"/>
            <w:tcBorders>
              <w:top w:val="nil"/>
              <w:left w:val="nil"/>
              <w:bottom w:val="single" w:sz="4" w:space="0" w:color="auto"/>
              <w:right w:val="single" w:sz="4" w:space="0" w:color="auto"/>
            </w:tcBorders>
            <w:shd w:val="clear" w:color="auto" w:fill="auto"/>
            <w:hideMark/>
          </w:tcPr>
          <w:p w14:paraId="6D277729"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Data Exfiltration Attacks</w:t>
            </w:r>
          </w:p>
        </w:tc>
        <w:tc>
          <w:tcPr>
            <w:tcW w:w="427" w:type="pct"/>
            <w:tcBorders>
              <w:top w:val="nil"/>
              <w:left w:val="nil"/>
              <w:bottom w:val="single" w:sz="4" w:space="0" w:color="auto"/>
              <w:right w:val="single" w:sz="4" w:space="0" w:color="auto"/>
            </w:tcBorders>
            <w:shd w:val="clear" w:color="auto" w:fill="auto"/>
            <w:hideMark/>
          </w:tcPr>
          <w:p w14:paraId="1E136232" w14:textId="77777777" w:rsidR="00A93231" w:rsidRPr="00A93231" w:rsidRDefault="00A93231" w:rsidP="00A93231">
            <w:pPr>
              <w:spacing w:after="0" w:line="240" w:lineRule="auto"/>
              <w:rPr>
                <w:rFonts w:ascii="Calibri" w:eastAsia="Times New Roman" w:hAnsi="Calibri" w:cs="Calibri"/>
                <w:b/>
                <w:bCs/>
                <w:color w:val="000000"/>
                <w:sz w:val="20"/>
                <w:szCs w:val="20"/>
                <w:lang w:val="en-GB" w:eastAsia="en-GB"/>
              </w:rPr>
            </w:pPr>
            <w:r w:rsidRPr="00A93231">
              <w:rPr>
                <w:rFonts w:ascii="Calibri" w:eastAsia="Times New Roman" w:hAnsi="Calibri" w:cs="Calibri"/>
                <w:b/>
                <w:bCs/>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68AAED35" w14:textId="77777777" w:rsidR="00A93231" w:rsidRPr="00A93231" w:rsidRDefault="00A93231" w:rsidP="00A93231">
            <w:pPr>
              <w:spacing w:after="0" w:line="240" w:lineRule="auto"/>
              <w:rPr>
                <w:rFonts w:ascii="Calibri" w:eastAsia="Times New Roman" w:hAnsi="Calibri" w:cs="Calibri"/>
                <w:b/>
                <w:bCs/>
                <w:color w:val="000000"/>
                <w:sz w:val="20"/>
                <w:szCs w:val="20"/>
                <w:lang w:val="en-GB" w:eastAsia="en-GB"/>
              </w:rPr>
            </w:pPr>
            <w:r w:rsidRPr="00A93231">
              <w:rPr>
                <w:rFonts w:ascii="Calibri" w:eastAsia="Times New Roman" w:hAnsi="Calibri" w:cs="Calibri"/>
                <w:b/>
                <w:bCs/>
                <w:color w:val="000000"/>
                <w:sz w:val="20"/>
                <w:szCs w:val="20"/>
                <w:lang w:val="en-GB" w:eastAsia="en-GB"/>
              </w:rPr>
              <w:t> </w:t>
            </w:r>
          </w:p>
        </w:tc>
      </w:tr>
      <w:tr w:rsidR="00A93231" w:rsidRPr="00A93231" w14:paraId="3F49DB77"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3ADBD3A8" w14:textId="77777777" w:rsidR="00A93231" w:rsidRPr="00A93231" w:rsidRDefault="00A93231" w:rsidP="00A93231">
            <w:pPr>
              <w:spacing w:after="0" w:line="240" w:lineRule="auto"/>
              <w:jc w:val="center"/>
              <w:rPr>
                <w:rFonts w:ascii="Calibri" w:eastAsia="Times New Roman" w:hAnsi="Calibri" w:cs="Calibri"/>
                <w:color w:val="00B050"/>
                <w:sz w:val="20"/>
                <w:szCs w:val="20"/>
                <w:lang w:val="en-GB" w:eastAsia="en-GB"/>
              </w:rPr>
            </w:pPr>
            <w:r w:rsidRPr="00A93231">
              <w:rPr>
                <w:rFonts w:ascii="Calibri" w:eastAsia="Times New Roman" w:hAnsi="Calibri" w:cs="Calibri"/>
                <w:color w:val="00B050"/>
                <w:sz w:val="20"/>
                <w:szCs w:val="20"/>
                <w:lang w:val="en-GB" w:eastAsia="en-GB"/>
              </w:rPr>
              <w:t>8</w:t>
            </w:r>
          </w:p>
        </w:tc>
        <w:tc>
          <w:tcPr>
            <w:tcW w:w="3540" w:type="pct"/>
            <w:tcBorders>
              <w:top w:val="nil"/>
              <w:left w:val="nil"/>
              <w:bottom w:val="single" w:sz="4" w:space="0" w:color="auto"/>
              <w:right w:val="single" w:sz="4" w:space="0" w:color="auto"/>
            </w:tcBorders>
            <w:shd w:val="clear" w:color="auto" w:fill="auto"/>
            <w:hideMark/>
          </w:tcPr>
          <w:p w14:paraId="1E53B0A5"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Web Gateway and Proxy </w:t>
            </w:r>
          </w:p>
        </w:tc>
        <w:tc>
          <w:tcPr>
            <w:tcW w:w="427" w:type="pct"/>
            <w:tcBorders>
              <w:top w:val="nil"/>
              <w:left w:val="nil"/>
              <w:bottom w:val="single" w:sz="4" w:space="0" w:color="auto"/>
              <w:right w:val="single" w:sz="4" w:space="0" w:color="auto"/>
            </w:tcBorders>
            <w:shd w:val="clear" w:color="auto" w:fill="auto"/>
            <w:hideMark/>
          </w:tcPr>
          <w:p w14:paraId="0BAC7F4A" w14:textId="77777777" w:rsidR="00A93231" w:rsidRPr="00A93231" w:rsidRDefault="00A93231" w:rsidP="00A93231">
            <w:pPr>
              <w:spacing w:after="0" w:line="240" w:lineRule="auto"/>
              <w:rPr>
                <w:rFonts w:ascii="Calibri" w:eastAsia="Times New Roman" w:hAnsi="Calibri" w:cs="Calibri"/>
                <w:b/>
                <w:bCs/>
                <w:color w:val="00B050"/>
                <w:sz w:val="20"/>
                <w:szCs w:val="20"/>
                <w:lang w:val="en-GB" w:eastAsia="en-GB"/>
              </w:rPr>
            </w:pPr>
            <w:r w:rsidRPr="00A93231">
              <w:rPr>
                <w:rFonts w:ascii="Calibri" w:eastAsia="Times New Roman" w:hAnsi="Calibri" w:cs="Calibri"/>
                <w:b/>
                <w:bCs/>
                <w:color w:val="00B05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739BE916" w14:textId="77777777" w:rsidR="00A93231" w:rsidRPr="00A93231" w:rsidRDefault="00A93231" w:rsidP="00A93231">
            <w:pPr>
              <w:spacing w:after="0" w:line="240" w:lineRule="auto"/>
              <w:rPr>
                <w:rFonts w:ascii="Calibri" w:eastAsia="Times New Roman" w:hAnsi="Calibri" w:cs="Calibri"/>
                <w:b/>
                <w:bCs/>
                <w:color w:val="00B050"/>
                <w:sz w:val="20"/>
                <w:szCs w:val="20"/>
                <w:lang w:val="en-GB" w:eastAsia="en-GB"/>
              </w:rPr>
            </w:pPr>
            <w:r w:rsidRPr="00A93231">
              <w:rPr>
                <w:rFonts w:ascii="Calibri" w:eastAsia="Times New Roman" w:hAnsi="Calibri" w:cs="Calibri"/>
                <w:b/>
                <w:bCs/>
                <w:color w:val="00B050"/>
                <w:sz w:val="20"/>
                <w:szCs w:val="20"/>
                <w:lang w:val="en-GB" w:eastAsia="en-GB"/>
              </w:rPr>
              <w:t> </w:t>
            </w:r>
          </w:p>
        </w:tc>
      </w:tr>
      <w:tr w:rsidR="00A93231" w:rsidRPr="00A93231" w14:paraId="66B604CB"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0F75426B" w14:textId="77777777" w:rsidR="00A93231" w:rsidRPr="00A93231" w:rsidRDefault="00A93231" w:rsidP="00A93231">
            <w:pPr>
              <w:spacing w:after="0" w:line="240" w:lineRule="auto"/>
              <w:jc w:val="center"/>
              <w:rPr>
                <w:rFonts w:ascii="Calibri" w:eastAsia="Times New Roman" w:hAnsi="Calibri" w:cs="Calibri"/>
                <w:color w:val="00B050"/>
                <w:sz w:val="20"/>
                <w:szCs w:val="20"/>
                <w:lang w:val="en-GB" w:eastAsia="en-GB"/>
              </w:rPr>
            </w:pPr>
            <w:r w:rsidRPr="00A93231">
              <w:rPr>
                <w:rFonts w:ascii="Calibri" w:eastAsia="Times New Roman" w:hAnsi="Calibri" w:cs="Calibri"/>
                <w:color w:val="00B050"/>
                <w:sz w:val="20"/>
                <w:szCs w:val="20"/>
                <w:lang w:val="en-GB" w:eastAsia="en-GB"/>
              </w:rPr>
              <w:t>9</w:t>
            </w:r>
          </w:p>
        </w:tc>
        <w:tc>
          <w:tcPr>
            <w:tcW w:w="3540" w:type="pct"/>
            <w:tcBorders>
              <w:top w:val="nil"/>
              <w:left w:val="nil"/>
              <w:bottom w:val="single" w:sz="4" w:space="0" w:color="auto"/>
              <w:right w:val="single" w:sz="4" w:space="0" w:color="auto"/>
            </w:tcBorders>
            <w:shd w:val="clear" w:color="auto" w:fill="auto"/>
            <w:hideMark/>
          </w:tcPr>
          <w:p w14:paraId="2081C2B6"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Threat Intelligence Exposure</w:t>
            </w:r>
          </w:p>
        </w:tc>
        <w:tc>
          <w:tcPr>
            <w:tcW w:w="427" w:type="pct"/>
            <w:tcBorders>
              <w:top w:val="nil"/>
              <w:left w:val="nil"/>
              <w:bottom w:val="single" w:sz="4" w:space="0" w:color="auto"/>
              <w:right w:val="single" w:sz="4" w:space="0" w:color="auto"/>
            </w:tcBorders>
            <w:shd w:val="clear" w:color="auto" w:fill="auto"/>
            <w:hideMark/>
          </w:tcPr>
          <w:p w14:paraId="2D1790AB" w14:textId="77777777" w:rsidR="00A93231" w:rsidRPr="00A93231" w:rsidRDefault="00A93231" w:rsidP="00A93231">
            <w:pPr>
              <w:spacing w:after="0" w:line="240" w:lineRule="auto"/>
              <w:rPr>
                <w:rFonts w:ascii="Calibri" w:eastAsia="Times New Roman" w:hAnsi="Calibri" w:cs="Calibri"/>
                <w:b/>
                <w:bCs/>
                <w:color w:val="00B050"/>
                <w:sz w:val="20"/>
                <w:szCs w:val="20"/>
                <w:lang w:val="en-GB" w:eastAsia="en-GB"/>
              </w:rPr>
            </w:pPr>
            <w:r w:rsidRPr="00A93231">
              <w:rPr>
                <w:rFonts w:ascii="Calibri" w:eastAsia="Times New Roman" w:hAnsi="Calibri" w:cs="Calibri"/>
                <w:b/>
                <w:bCs/>
                <w:color w:val="00B05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7C15ADB5" w14:textId="77777777" w:rsidR="00A93231" w:rsidRPr="00A93231" w:rsidRDefault="00A93231" w:rsidP="00A93231">
            <w:pPr>
              <w:spacing w:after="0" w:line="240" w:lineRule="auto"/>
              <w:rPr>
                <w:rFonts w:ascii="Calibri" w:eastAsia="Times New Roman" w:hAnsi="Calibri" w:cs="Calibri"/>
                <w:b/>
                <w:bCs/>
                <w:color w:val="00B050"/>
                <w:sz w:val="20"/>
                <w:szCs w:val="20"/>
                <w:lang w:val="en-GB" w:eastAsia="en-GB"/>
              </w:rPr>
            </w:pPr>
            <w:r w:rsidRPr="00A93231">
              <w:rPr>
                <w:rFonts w:ascii="Calibri" w:eastAsia="Times New Roman" w:hAnsi="Calibri" w:cs="Calibri"/>
                <w:b/>
                <w:bCs/>
                <w:color w:val="00B050"/>
                <w:sz w:val="20"/>
                <w:szCs w:val="20"/>
                <w:lang w:val="en-GB" w:eastAsia="en-GB"/>
              </w:rPr>
              <w:t> </w:t>
            </w:r>
          </w:p>
        </w:tc>
      </w:tr>
      <w:tr w:rsidR="00A93231" w:rsidRPr="00A93231" w14:paraId="37EE5E47"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6FE2CC51" w14:textId="77777777" w:rsidR="00A93231" w:rsidRPr="00A93231" w:rsidRDefault="00A93231" w:rsidP="00A93231">
            <w:pPr>
              <w:spacing w:after="0" w:line="240" w:lineRule="auto"/>
              <w:jc w:val="center"/>
              <w:rPr>
                <w:rFonts w:ascii="Calibri" w:eastAsia="Times New Roman" w:hAnsi="Calibri" w:cs="Calibri"/>
                <w:color w:val="00B050"/>
                <w:sz w:val="20"/>
                <w:szCs w:val="20"/>
                <w:lang w:val="en-GB" w:eastAsia="en-GB"/>
              </w:rPr>
            </w:pPr>
            <w:r w:rsidRPr="00A93231">
              <w:rPr>
                <w:rFonts w:ascii="Calibri" w:eastAsia="Times New Roman" w:hAnsi="Calibri" w:cs="Calibri"/>
                <w:color w:val="00B050"/>
                <w:sz w:val="20"/>
                <w:szCs w:val="20"/>
                <w:lang w:val="en-GB" w:eastAsia="en-GB"/>
              </w:rPr>
              <w:t>10</w:t>
            </w:r>
          </w:p>
        </w:tc>
        <w:tc>
          <w:tcPr>
            <w:tcW w:w="3540" w:type="pct"/>
            <w:tcBorders>
              <w:top w:val="nil"/>
              <w:left w:val="nil"/>
              <w:bottom w:val="single" w:sz="4" w:space="0" w:color="auto"/>
              <w:right w:val="single" w:sz="4" w:space="0" w:color="auto"/>
            </w:tcBorders>
            <w:shd w:val="clear" w:color="auto" w:fill="auto"/>
            <w:hideMark/>
          </w:tcPr>
          <w:p w14:paraId="6AC520D5"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Full cyber kill chain attacks</w:t>
            </w:r>
          </w:p>
        </w:tc>
        <w:tc>
          <w:tcPr>
            <w:tcW w:w="427" w:type="pct"/>
            <w:tcBorders>
              <w:top w:val="nil"/>
              <w:left w:val="nil"/>
              <w:bottom w:val="single" w:sz="4" w:space="0" w:color="auto"/>
              <w:right w:val="single" w:sz="4" w:space="0" w:color="auto"/>
            </w:tcBorders>
            <w:shd w:val="clear" w:color="auto" w:fill="auto"/>
            <w:hideMark/>
          </w:tcPr>
          <w:p w14:paraId="27896A51" w14:textId="77777777" w:rsidR="00A93231" w:rsidRPr="00A93231" w:rsidRDefault="00A93231" w:rsidP="00A93231">
            <w:pPr>
              <w:spacing w:after="0" w:line="240" w:lineRule="auto"/>
              <w:rPr>
                <w:rFonts w:ascii="Calibri" w:eastAsia="Times New Roman" w:hAnsi="Calibri" w:cs="Calibri"/>
                <w:b/>
                <w:bCs/>
                <w:color w:val="00B050"/>
                <w:sz w:val="20"/>
                <w:szCs w:val="20"/>
                <w:lang w:val="en-GB" w:eastAsia="en-GB"/>
              </w:rPr>
            </w:pPr>
            <w:r w:rsidRPr="00A93231">
              <w:rPr>
                <w:rFonts w:ascii="Calibri" w:eastAsia="Times New Roman" w:hAnsi="Calibri" w:cs="Calibri"/>
                <w:b/>
                <w:bCs/>
                <w:color w:val="00B05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5DC05E4B" w14:textId="77777777" w:rsidR="00A93231" w:rsidRPr="00A93231" w:rsidRDefault="00A93231" w:rsidP="00A93231">
            <w:pPr>
              <w:spacing w:after="0" w:line="240" w:lineRule="auto"/>
              <w:rPr>
                <w:rFonts w:ascii="Calibri" w:eastAsia="Times New Roman" w:hAnsi="Calibri" w:cs="Calibri"/>
                <w:b/>
                <w:bCs/>
                <w:color w:val="00B050"/>
                <w:sz w:val="20"/>
                <w:szCs w:val="20"/>
                <w:lang w:val="en-GB" w:eastAsia="en-GB"/>
              </w:rPr>
            </w:pPr>
            <w:r w:rsidRPr="00A93231">
              <w:rPr>
                <w:rFonts w:ascii="Calibri" w:eastAsia="Times New Roman" w:hAnsi="Calibri" w:cs="Calibri"/>
                <w:b/>
                <w:bCs/>
                <w:color w:val="00B050"/>
                <w:sz w:val="20"/>
                <w:szCs w:val="20"/>
                <w:lang w:val="en-GB" w:eastAsia="en-GB"/>
              </w:rPr>
              <w:t> </w:t>
            </w:r>
          </w:p>
        </w:tc>
      </w:tr>
      <w:tr w:rsidR="00A93231" w:rsidRPr="00A93231" w14:paraId="7DB351CB"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4EA3AD5F"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8</w:t>
            </w:r>
          </w:p>
        </w:tc>
        <w:tc>
          <w:tcPr>
            <w:tcW w:w="3540" w:type="pct"/>
            <w:tcBorders>
              <w:top w:val="nil"/>
              <w:left w:val="nil"/>
              <w:bottom w:val="single" w:sz="4" w:space="0" w:color="auto"/>
              <w:right w:val="single" w:sz="4" w:space="0" w:color="auto"/>
            </w:tcBorders>
            <w:shd w:val="clear" w:color="auto" w:fill="auto"/>
            <w:hideMark/>
          </w:tcPr>
          <w:p w14:paraId="783EFEB5"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must provide emerging threats without requiring additional licenses and the same should be included as part of the solution.</w:t>
            </w:r>
          </w:p>
        </w:tc>
        <w:tc>
          <w:tcPr>
            <w:tcW w:w="427" w:type="pct"/>
            <w:tcBorders>
              <w:top w:val="nil"/>
              <w:left w:val="nil"/>
              <w:bottom w:val="single" w:sz="4" w:space="0" w:color="auto"/>
              <w:right w:val="single" w:sz="4" w:space="0" w:color="auto"/>
            </w:tcBorders>
            <w:shd w:val="clear" w:color="auto" w:fill="auto"/>
            <w:hideMark/>
          </w:tcPr>
          <w:p w14:paraId="23BE66DB" w14:textId="77777777" w:rsidR="00A93231" w:rsidRPr="00A93231" w:rsidRDefault="00A93231" w:rsidP="00A93231">
            <w:pPr>
              <w:spacing w:after="0" w:line="240" w:lineRule="auto"/>
              <w:rPr>
                <w:rFonts w:ascii="Calibri" w:eastAsia="Times New Roman" w:hAnsi="Calibri" w:cs="Calibri"/>
                <w:b/>
                <w:bCs/>
                <w:color w:val="000000"/>
                <w:sz w:val="20"/>
                <w:szCs w:val="20"/>
                <w:lang w:val="en-GB" w:eastAsia="en-GB"/>
              </w:rPr>
            </w:pPr>
            <w:r w:rsidRPr="00A93231">
              <w:rPr>
                <w:rFonts w:ascii="Calibri" w:eastAsia="Times New Roman" w:hAnsi="Calibri" w:cs="Calibri"/>
                <w:b/>
                <w:bCs/>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5A7CB833" w14:textId="77777777" w:rsidR="00A93231" w:rsidRPr="00A93231" w:rsidRDefault="00A93231" w:rsidP="00A93231">
            <w:pPr>
              <w:spacing w:after="0" w:line="240" w:lineRule="auto"/>
              <w:rPr>
                <w:rFonts w:ascii="Calibri" w:eastAsia="Times New Roman" w:hAnsi="Calibri" w:cs="Calibri"/>
                <w:b/>
                <w:bCs/>
                <w:color w:val="000000"/>
                <w:sz w:val="20"/>
                <w:szCs w:val="20"/>
                <w:lang w:val="en-GB" w:eastAsia="en-GB"/>
              </w:rPr>
            </w:pPr>
            <w:r w:rsidRPr="00A93231">
              <w:rPr>
                <w:rFonts w:ascii="Calibri" w:eastAsia="Times New Roman" w:hAnsi="Calibri" w:cs="Calibri"/>
                <w:b/>
                <w:bCs/>
                <w:color w:val="000000"/>
                <w:sz w:val="20"/>
                <w:szCs w:val="20"/>
                <w:lang w:val="en-GB" w:eastAsia="en-GB"/>
              </w:rPr>
              <w:t> </w:t>
            </w:r>
          </w:p>
        </w:tc>
      </w:tr>
      <w:tr w:rsidR="00A93231" w:rsidRPr="00A93231" w14:paraId="44A250F0"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6355CDB5"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9</w:t>
            </w:r>
          </w:p>
        </w:tc>
        <w:tc>
          <w:tcPr>
            <w:tcW w:w="3540" w:type="pct"/>
            <w:tcBorders>
              <w:top w:val="nil"/>
              <w:left w:val="nil"/>
              <w:bottom w:val="single" w:sz="4" w:space="0" w:color="auto"/>
              <w:right w:val="single" w:sz="4" w:space="0" w:color="auto"/>
            </w:tcBorders>
            <w:shd w:val="clear" w:color="auto" w:fill="auto"/>
            <w:hideMark/>
          </w:tcPr>
          <w:p w14:paraId="6DC1876C" w14:textId="0ECC4FA9"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must be deployed On-Premise i.e. at bank's DC and DRC. However th</w:t>
            </w:r>
            <w:r w:rsidR="00342ED2">
              <w:rPr>
                <w:rFonts w:ascii="Calibri" w:eastAsia="Times New Roman" w:hAnsi="Calibri" w:cs="Calibri"/>
                <w:sz w:val="20"/>
                <w:szCs w:val="20"/>
                <w:lang w:val="en-GB" w:eastAsia="en-GB"/>
              </w:rPr>
              <w:t>e proposed solution should supp</w:t>
            </w:r>
            <w:r w:rsidRPr="00A93231">
              <w:rPr>
                <w:rFonts w:ascii="Calibri" w:eastAsia="Times New Roman" w:hAnsi="Calibri" w:cs="Calibri"/>
                <w:sz w:val="20"/>
                <w:szCs w:val="20"/>
                <w:lang w:val="en-GB" w:eastAsia="en-GB"/>
              </w:rPr>
              <w:t xml:space="preserve">ort Bank's infrastructure hosted on cloud </w:t>
            </w:r>
          </w:p>
        </w:tc>
        <w:tc>
          <w:tcPr>
            <w:tcW w:w="427" w:type="pct"/>
            <w:tcBorders>
              <w:top w:val="nil"/>
              <w:left w:val="nil"/>
              <w:bottom w:val="single" w:sz="4" w:space="0" w:color="auto"/>
              <w:right w:val="single" w:sz="4" w:space="0" w:color="auto"/>
            </w:tcBorders>
            <w:shd w:val="clear" w:color="auto" w:fill="auto"/>
            <w:hideMark/>
          </w:tcPr>
          <w:p w14:paraId="34751EF0" w14:textId="77777777" w:rsidR="00A93231" w:rsidRPr="00A93231" w:rsidRDefault="00A93231" w:rsidP="00A93231">
            <w:pPr>
              <w:spacing w:after="0" w:line="240" w:lineRule="auto"/>
              <w:rPr>
                <w:rFonts w:ascii="Calibri" w:eastAsia="Times New Roman" w:hAnsi="Calibri" w:cs="Calibri"/>
                <w:b/>
                <w:bCs/>
                <w:color w:val="000000"/>
                <w:sz w:val="20"/>
                <w:szCs w:val="20"/>
                <w:lang w:val="en-GB" w:eastAsia="en-GB"/>
              </w:rPr>
            </w:pPr>
            <w:r w:rsidRPr="00A93231">
              <w:rPr>
                <w:rFonts w:ascii="Calibri" w:eastAsia="Times New Roman" w:hAnsi="Calibri" w:cs="Calibri"/>
                <w:b/>
                <w:bCs/>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0C30BBD3" w14:textId="77777777" w:rsidR="00A93231" w:rsidRPr="00A93231" w:rsidRDefault="00A93231" w:rsidP="00A93231">
            <w:pPr>
              <w:spacing w:after="0" w:line="240" w:lineRule="auto"/>
              <w:rPr>
                <w:rFonts w:ascii="Calibri" w:eastAsia="Times New Roman" w:hAnsi="Calibri" w:cs="Calibri"/>
                <w:b/>
                <w:bCs/>
                <w:color w:val="000000"/>
                <w:sz w:val="20"/>
                <w:szCs w:val="20"/>
                <w:lang w:val="en-GB" w:eastAsia="en-GB"/>
              </w:rPr>
            </w:pPr>
            <w:r w:rsidRPr="00A93231">
              <w:rPr>
                <w:rFonts w:ascii="Calibri" w:eastAsia="Times New Roman" w:hAnsi="Calibri" w:cs="Calibri"/>
                <w:b/>
                <w:bCs/>
                <w:color w:val="000000"/>
                <w:sz w:val="20"/>
                <w:szCs w:val="20"/>
                <w:lang w:val="en-GB" w:eastAsia="en-GB"/>
              </w:rPr>
              <w:t> </w:t>
            </w:r>
          </w:p>
        </w:tc>
      </w:tr>
      <w:tr w:rsidR="00A93231" w:rsidRPr="00A93231" w14:paraId="611DA1D0"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2207E560"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10</w:t>
            </w:r>
          </w:p>
        </w:tc>
        <w:tc>
          <w:tcPr>
            <w:tcW w:w="3540" w:type="pct"/>
            <w:tcBorders>
              <w:top w:val="nil"/>
              <w:left w:val="nil"/>
              <w:bottom w:val="single" w:sz="4" w:space="0" w:color="auto"/>
              <w:right w:val="single" w:sz="4" w:space="0" w:color="auto"/>
            </w:tcBorders>
            <w:shd w:val="clear" w:color="auto" w:fill="auto"/>
            <w:hideMark/>
          </w:tcPr>
          <w:p w14:paraId="23F753B7"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must have the capability for on-premise installation of attackers, in order to allow for the simulation of attacks to originate on-premise instead of from the cloud, if needed by the customer</w:t>
            </w:r>
          </w:p>
        </w:tc>
        <w:tc>
          <w:tcPr>
            <w:tcW w:w="427" w:type="pct"/>
            <w:tcBorders>
              <w:top w:val="nil"/>
              <w:left w:val="nil"/>
              <w:bottom w:val="single" w:sz="4" w:space="0" w:color="auto"/>
              <w:right w:val="single" w:sz="4" w:space="0" w:color="auto"/>
            </w:tcBorders>
            <w:shd w:val="clear" w:color="auto" w:fill="auto"/>
            <w:hideMark/>
          </w:tcPr>
          <w:p w14:paraId="62536407" w14:textId="77777777" w:rsidR="00A93231" w:rsidRPr="00A93231" w:rsidRDefault="00A93231" w:rsidP="00A93231">
            <w:pPr>
              <w:spacing w:after="0" w:line="240" w:lineRule="auto"/>
              <w:rPr>
                <w:rFonts w:ascii="Calibri" w:eastAsia="Times New Roman" w:hAnsi="Calibri" w:cs="Calibri"/>
                <w:b/>
                <w:bCs/>
                <w:color w:val="000000"/>
                <w:sz w:val="20"/>
                <w:szCs w:val="20"/>
                <w:lang w:val="en-GB" w:eastAsia="en-GB"/>
              </w:rPr>
            </w:pPr>
            <w:r w:rsidRPr="00A93231">
              <w:rPr>
                <w:rFonts w:ascii="Calibri" w:eastAsia="Times New Roman" w:hAnsi="Calibri" w:cs="Calibri"/>
                <w:b/>
                <w:bCs/>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34314480" w14:textId="77777777" w:rsidR="00A93231" w:rsidRPr="00A93231" w:rsidRDefault="00A93231" w:rsidP="00A93231">
            <w:pPr>
              <w:spacing w:after="0" w:line="240" w:lineRule="auto"/>
              <w:rPr>
                <w:rFonts w:ascii="Calibri" w:eastAsia="Times New Roman" w:hAnsi="Calibri" w:cs="Calibri"/>
                <w:b/>
                <w:bCs/>
                <w:color w:val="000000"/>
                <w:sz w:val="20"/>
                <w:szCs w:val="20"/>
                <w:lang w:val="en-GB" w:eastAsia="en-GB"/>
              </w:rPr>
            </w:pPr>
            <w:r w:rsidRPr="00A93231">
              <w:rPr>
                <w:rFonts w:ascii="Calibri" w:eastAsia="Times New Roman" w:hAnsi="Calibri" w:cs="Calibri"/>
                <w:b/>
                <w:bCs/>
                <w:color w:val="000000"/>
                <w:sz w:val="20"/>
                <w:szCs w:val="20"/>
                <w:lang w:val="en-GB" w:eastAsia="en-GB"/>
              </w:rPr>
              <w:t> </w:t>
            </w:r>
          </w:p>
        </w:tc>
      </w:tr>
      <w:tr w:rsidR="00A93231" w:rsidRPr="00A93231" w14:paraId="18ECB0AC"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48D5950F"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11</w:t>
            </w:r>
          </w:p>
        </w:tc>
        <w:tc>
          <w:tcPr>
            <w:tcW w:w="3540" w:type="pct"/>
            <w:tcBorders>
              <w:top w:val="nil"/>
              <w:left w:val="nil"/>
              <w:bottom w:val="single" w:sz="4" w:space="0" w:color="auto"/>
              <w:right w:val="single" w:sz="4" w:space="0" w:color="auto"/>
            </w:tcBorders>
            <w:shd w:val="clear" w:color="auto" w:fill="auto"/>
            <w:hideMark/>
          </w:tcPr>
          <w:p w14:paraId="44C43AE3"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should include multiple On-Premise Attackers modules with the Complete Threat Library.</w:t>
            </w:r>
          </w:p>
        </w:tc>
        <w:tc>
          <w:tcPr>
            <w:tcW w:w="427" w:type="pct"/>
            <w:tcBorders>
              <w:top w:val="nil"/>
              <w:left w:val="nil"/>
              <w:bottom w:val="single" w:sz="4" w:space="0" w:color="auto"/>
              <w:right w:val="single" w:sz="4" w:space="0" w:color="auto"/>
            </w:tcBorders>
            <w:shd w:val="clear" w:color="auto" w:fill="auto"/>
            <w:hideMark/>
          </w:tcPr>
          <w:p w14:paraId="3713F985" w14:textId="77777777" w:rsidR="00A93231" w:rsidRPr="00A93231" w:rsidRDefault="00A93231" w:rsidP="00A93231">
            <w:pPr>
              <w:spacing w:after="0" w:line="240" w:lineRule="auto"/>
              <w:rPr>
                <w:rFonts w:ascii="Calibri" w:eastAsia="Times New Roman" w:hAnsi="Calibri" w:cs="Calibri"/>
                <w:b/>
                <w:bCs/>
                <w:color w:val="000000"/>
                <w:sz w:val="20"/>
                <w:szCs w:val="20"/>
                <w:lang w:val="en-GB" w:eastAsia="en-GB"/>
              </w:rPr>
            </w:pPr>
            <w:r w:rsidRPr="00A93231">
              <w:rPr>
                <w:rFonts w:ascii="Calibri" w:eastAsia="Times New Roman" w:hAnsi="Calibri" w:cs="Calibri"/>
                <w:b/>
                <w:bCs/>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1458421B" w14:textId="77777777" w:rsidR="00A93231" w:rsidRPr="00A93231" w:rsidRDefault="00A93231" w:rsidP="00A93231">
            <w:pPr>
              <w:spacing w:after="0" w:line="240" w:lineRule="auto"/>
              <w:rPr>
                <w:rFonts w:ascii="Calibri" w:eastAsia="Times New Roman" w:hAnsi="Calibri" w:cs="Calibri"/>
                <w:b/>
                <w:bCs/>
                <w:color w:val="000000"/>
                <w:sz w:val="20"/>
                <w:szCs w:val="20"/>
                <w:lang w:val="en-GB" w:eastAsia="en-GB"/>
              </w:rPr>
            </w:pPr>
            <w:r w:rsidRPr="00A93231">
              <w:rPr>
                <w:rFonts w:ascii="Calibri" w:eastAsia="Times New Roman" w:hAnsi="Calibri" w:cs="Calibri"/>
                <w:b/>
                <w:bCs/>
                <w:color w:val="000000"/>
                <w:sz w:val="20"/>
                <w:szCs w:val="20"/>
                <w:lang w:val="en-GB" w:eastAsia="en-GB"/>
              </w:rPr>
              <w:t> </w:t>
            </w:r>
          </w:p>
        </w:tc>
      </w:tr>
      <w:tr w:rsidR="00A93231" w:rsidRPr="00A93231" w14:paraId="3B430B59"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4B426610"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12</w:t>
            </w:r>
          </w:p>
        </w:tc>
        <w:tc>
          <w:tcPr>
            <w:tcW w:w="3540" w:type="pct"/>
            <w:tcBorders>
              <w:top w:val="nil"/>
              <w:left w:val="nil"/>
              <w:bottom w:val="single" w:sz="4" w:space="0" w:color="auto"/>
              <w:right w:val="single" w:sz="4" w:space="0" w:color="auto"/>
            </w:tcBorders>
            <w:shd w:val="clear" w:color="auto" w:fill="auto"/>
            <w:hideMark/>
          </w:tcPr>
          <w:p w14:paraId="4D525AC3"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Threats contained in the threat database of the proposed solution should be referenced according to the following set of information, including but not limited to: </w:t>
            </w:r>
          </w:p>
        </w:tc>
        <w:tc>
          <w:tcPr>
            <w:tcW w:w="427" w:type="pct"/>
            <w:tcBorders>
              <w:top w:val="nil"/>
              <w:left w:val="nil"/>
              <w:bottom w:val="single" w:sz="4" w:space="0" w:color="auto"/>
              <w:right w:val="single" w:sz="4" w:space="0" w:color="auto"/>
            </w:tcBorders>
            <w:shd w:val="clear" w:color="auto" w:fill="auto"/>
            <w:hideMark/>
          </w:tcPr>
          <w:p w14:paraId="6B70DAB5" w14:textId="77777777" w:rsidR="00A93231" w:rsidRPr="00A93231" w:rsidRDefault="00A93231" w:rsidP="00A93231">
            <w:pPr>
              <w:spacing w:after="0" w:line="240" w:lineRule="auto"/>
              <w:rPr>
                <w:rFonts w:ascii="Calibri" w:eastAsia="Times New Roman" w:hAnsi="Calibri" w:cs="Calibri"/>
                <w:b/>
                <w:bCs/>
                <w:color w:val="000000"/>
                <w:sz w:val="20"/>
                <w:szCs w:val="20"/>
                <w:lang w:val="en-GB" w:eastAsia="en-GB"/>
              </w:rPr>
            </w:pPr>
            <w:r w:rsidRPr="00A93231">
              <w:rPr>
                <w:rFonts w:ascii="Calibri" w:eastAsia="Times New Roman" w:hAnsi="Calibri" w:cs="Calibri"/>
                <w:b/>
                <w:bCs/>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638332DC" w14:textId="77777777" w:rsidR="00A93231" w:rsidRPr="00A93231" w:rsidRDefault="00A93231" w:rsidP="00A93231">
            <w:pPr>
              <w:spacing w:after="0" w:line="240" w:lineRule="auto"/>
              <w:rPr>
                <w:rFonts w:ascii="Calibri" w:eastAsia="Times New Roman" w:hAnsi="Calibri" w:cs="Calibri"/>
                <w:b/>
                <w:bCs/>
                <w:color w:val="000000"/>
                <w:sz w:val="20"/>
                <w:szCs w:val="20"/>
                <w:lang w:val="en-GB" w:eastAsia="en-GB"/>
              </w:rPr>
            </w:pPr>
            <w:r w:rsidRPr="00A93231">
              <w:rPr>
                <w:rFonts w:ascii="Calibri" w:eastAsia="Times New Roman" w:hAnsi="Calibri" w:cs="Calibri"/>
                <w:b/>
                <w:bCs/>
                <w:color w:val="000000"/>
                <w:sz w:val="20"/>
                <w:szCs w:val="20"/>
                <w:lang w:val="en-GB" w:eastAsia="en-GB"/>
              </w:rPr>
              <w:t> </w:t>
            </w:r>
          </w:p>
        </w:tc>
      </w:tr>
      <w:tr w:rsidR="00A93231" w:rsidRPr="00A93231" w14:paraId="5FE29912"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16171E9D"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13</w:t>
            </w:r>
          </w:p>
        </w:tc>
        <w:tc>
          <w:tcPr>
            <w:tcW w:w="3540" w:type="pct"/>
            <w:tcBorders>
              <w:top w:val="nil"/>
              <w:left w:val="nil"/>
              <w:bottom w:val="single" w:sz="4" w:space="0" w:color="auto"/>
              <w:right w:val="single" w:sz="4" w:space="0" w:color="auto"/>
            </w:tcBorders>
            <w:shd w:val="clear" w:color="auto" w:fill="auto"/>
            <w:hideMark/>
          </w:tcPr>
          <w:p w14:paraId="0FFE393E"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a) Unique identification number of the threat (unique ID), </w:t>
            </w:r>
          </w:p>
        </w:tc>
        <w:tc>
          <w:tcPr>
            <w:tcW w:w="427" w:type="pct"/>
            <w:tcBorders>
              <w:top w:val="nil"/>
              <w:left w:val="nil"/>
              <w:bottom w:val="single" w:sz="4" w:space="0" w:color="auto"/>
              <w:right w:val="single" w:sz="4" w:space="0" w:color="auto"/>
            </w:tcBorders>
            <w:shd w:val="clear" w:color="auto" w:fill="auto"/>
            <w:hideMark/>
          </w:tcPr>
          <w:p w14:paraId="26E6A896" w14:textId="77777777" w:rsidR="00A93231" w:rsidRPr="00A93231" w:rsidRDefault="00A93231" w:rsidP="00A93231">
            <w:pPr>
              <w:spacing w:after="0" w:line="240" w:lineRule="auto"/>
              <w:rPr>
                <w:rFonts w:ascii="Calibri" w:eastAsia="Times New Roman" w:hAnsi="Calibri" w:cs="Calibri"/>
                <w:b/>
                <w:bCs/>
                <w:color w:val="000000"/>
                <w:sz w:val="20"/>
                <w:szCs w:val="20"/>
                <w:lang w:val="en-GB" w:eastAsia="en-GB"/>
              </w:rPr>
            </w:pPr>
            <w:r w:rsidRPr="00A93231">
              <w:rPr>
                <w:rFonts w:ascii="Calibri" w:eastAsia="Times New Roman" w:hAnsi="Calibri" w:cs="Calibri"/>
                <w:b/>
                <w:bCs/>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79DE4AA5" w14:textId="77777777" w:rsidR="00A93231" w:rsidRPr="00A93231" w:rsidRDefault="00A93231" w:rsidP="00A93231">
            <w:pPr>
              <w:spacing w:after="0" w:line="240" w:lineRule="auto"/>
              <w:rPr>
                <w:rFonts w:ascii="Calibri" w:eastAsia="Times New Roman" w:hAnsi="Calibri" w:cs="Calibri"/>
                <w:b/>
                <w:bCs/>
                <w:color w:val="000000"/>
                <w:sz w:val="20"/>
                <w:szCs w:val="20"/>
                <w:lang w:val="en-GB" w:eastAsia="en-GB"/>
              </w:rPr>
            </w:pPr>
            <w:r w:rsidRPr="00A93231">
              <w:rPr>
                <w:rFonts w:ascii="Calibri" w:eastAsia="Times New Roman" w:hAnsi="Calibri" w:cs="Calibri"/>
                <w:b/>
                <w:bCs/>
                <w:color w:val="000000"/>
                <w:sz w:val="20"/>
                <w:szCs w:val="20"/>
                <w:lang w:val="en-GB" w:eastAsia="en-GB"/>
              </w:rPr>
              <w:t> </w:t>
            </w:r>
          </w:p>
        </w:tc>
      </w:tr>
      <w:tr w:rsidR="00A93231" w:rsidRPr="00A93231" w14:paraId="07DB86B5"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13172E92"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14</w:t>
            </w:r>
          </w:p>
        </w:tc>
        <w:tc>
          <w:tcPr>
            <w:tcW w:w="3540" w:type="pct"/>
            <w:tcBorders>
              <w:top w:val="nil"/>
              <w:left w:val="nil"/>
              <w:bottom w:val="single" w:sz="4" w:space="0" w:color="auto"/>
              <w:right w:val="single" w:sz="4" w:space="0" w:color="auto"/>
            </w:tcBorders>
            <w:shd w:val="clear" w:color="auto" w:fill="auto"/>
            <w:hideMark/>
          </w:tcPr>
          <w:p w14:paraId="7B624125"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b) Release date of the threat, </w:t>
            </w:r>
          </w:p>
        </w:tc>
        <w:tc>
          <w:tcPr>
            <w:tcW w:w="427" w:type="pct"/>
            <w:tcBorders>
              <w:top w:val="nil"/>
              <w:left w:val="nil"/>
              <w:bottom w:val="single" w:sz="4" w:space="0" w:color="auto"/>
              <w:right w:val="single" w:sz="4" w:space="0" w:color="auto"/>
            </w:tcBorders>
            <w:shd w:val="clear" w:color="auto" w:fill="auto"/>
            <w:hideMark/>
          </w:tcPr>
          <w:p w14:paraId="036A2BCB" w14:textId="77777777" w:rsidR="00A93231" w:rsidRPr="00A93231" w:rsidRDefault="00A93231" w:rsidP="00A93231">
            <w:pPr>
              <w:spacing w:after="0" w:line="240" w:lineRule="auto"/>
              <w:rPr>
                <w:rFonts w:ascii="Calibri" w:eastAsia="Times New Roman" w:hAnsi="Calibri" w:cs="Calibri"/>
                <w:b/>
                <w:bCs/>
                <w:color w:val="000000"/>
                <w:sz w:val="20"/>
                <w:szCs w:val="20"/>
                <w:lang w:val="en-GB" w:eastAsia="en-GB"/>
              </w:rPr>
            </w:pPr>
            <w:r w:rsidRPr="00A93231">
              <w:rPr>
                <w:rFonts w:ascii="Calibri" w:eastAsia="Times New Roman" w:hAnsi="Calibri" w:cs="Calibri"/>
                <w:b/>
                <w:bCs/>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1B1ECE42" w14:textId="77777777" w:rsidR="00A93231" w:rsidRPr="00A93231" w:rsidRDefault="00A93231" w:rsidP="00A93231">
            <w:pPr>
              <w:spacing w:after="0" w:line="240" w:lineRule="auto"/>
              <w:rPr>
                <w:rFonts w:ascii="Calibri" w:eastAsia="Times New Roman" w:hAnsi="Calibri" w:cs="Calibri"/>
                <w:b/>
                <w:bCs/>
                <w:color w:val="000000"/>
                <w:sz w:val="20"/>
                <w:szCs w:val="20"/>
                <w:lang w:val="en-GB" w:eastAsia="en-GB"/>
              </w:rPr>
            </w:pPr>
            <w:r w:rsidRPr="00A93231">
              <w:rPr>
                <w:rFonts w:ascii="Calibri" w:eastAsia="Times New Roman" w:hAnsi="Calibri" w:cs="Calibri"/>
                <w:b/>
                <w:bCs/>
                <w:color w:val="000000"/>
                <w:sz w:val="20"/>
                <w:szCs w:val="20"/>
                <w:lang w:val="en-GB" w:eastAsia="en-GB"/>
              </w:rPr>
              <w:t> </w:t>
            </w:r>
          </w:p>
        </w:tc>
      </w:tr>
      <w:tr w:rsidR="00A93231" w:rsidRPr="00A93231" w14:paraId="6F578CDD"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0BCB813C"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15</w:t>
            </w:r>
          </w:p>
        </w:tc>
        <w:tc>
          <w:tcPr>
            <w:tcW w:w="3540" w:type="pct"/>
            <w:tcBorders>
              <w:top w:val="nil"/>
              <w:left w:val="nil"/>
              <w:bottom w:val="single" w:sz="4" w:space="0" w:color="auto"/>
              <w:right w:val="single" w:sz="4" w:space="0" w:color="auto"/>
            </w:tcBorders>
            <w:shd w:val="clear" w:color="auto" w:fill="auto"/>
            <w:hideMark/>
          </w:tcPr>
          <w:p w14:paraId="1929861C"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c) Text-based description of the threat, </w:t>
            </w:r>
          </w:p>
        </w:tc>
        <w:tc>
          <w:tcPr>
            <w:tcW w:w="427" w:type="pct"/>
            <w:tcBorders>
              <w:top w:val="nil"/>
              <w:left w:val="nil"/>
              <w:bottom w:val="single" w:sz="4" w:space="0" w:color="auto"/>
              <w:right w:val="single" w:sz="4" w:space="0" w:color="auto"/>
            </w:tcBorders>
            <w:shd w:val="clear" w:color="auto" w:fill="auto"/>
            <w:hideMark/>
          </w:tcPr>
          <w:p w14:paraId="690A9332" w14:textId="77777777" w:rsidR="00A93231" w:rsidRPr="00A93231" w:rsidRDefault="00A93231" w:rsidP="00A93231">
            <w:pPr>
              <w:spacing w:after="0" w:line="240" w:lineRule="auto"/>
              <w:rPr>
                <w:rFonts w:ascii="Calibri" w:eastAsia="Times New Roman" w:hAnsi="Calibri" w:cs="Calibri"/>
                <w:b/>
                <w:bCs/>
                <w:color w:val="000000"/>
                <w:sz w:val="20"/>
                <w:szCs w:val="20"/>
                <w:lang w:val="en-GB" w:eastAsia="en-GB"/>
              </w:rPr>
            </w:pPr>
            <w:r w:rsidRPr="00A93231">
              <w:rPr>
                <w:rFonts w:ascii="Calibri" w:eastAsia="Times New Roman" w:hAnsi="Calibri" w:cs="Calibri"/>
                <w:b/>
                <w:bCs/>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55BDD9C0" w14:textId="77777777" w:rsidR="00A93231" w:rsidRPr="00A93231" w:rsidRDefault="00A93231" w:rsidP="00A93231">
            <w:pPr>
              <w:spacing w:after="0" w:line="240" w:lineRule="auto"/>
              <w:rPr>
                <w:rFonts w:ascii="Calibri" w:eastAsia="Times New Roman" w:hAnsi="Calibri" w:cs="Calibri"/>
                <w:b/>
                <w:bCs/>
                <w:color w:val="000000"/>
                <w:sz w:val="20"/>
                <w:szCs w:val="20"/>
                <w:lang w:val="en-GB" w:eastAsia="en-GB"/>
              </w:rPr>
            </w:pPr>
            <w:r w:rsidRPr="00A93231">
              <w:rPr>
                <w:rFonts w:ascii="Calibri" w:eastAsia="Times New Roman" w:hAnsi="Calibri" w:cs="Calibri"/>
                <w:b/>
                <w:bCs/>
                <w:color w:val="000000"/>
                <w:sz w:val="20"/>
                <w:szCs w:val="20"/>
                <w:lang w:val="en-GB" w:eastAsia="en-GB"/>
              </w:rPr>
              <w:t> </w:t>
            </w:r>
          </w:p>
        </w:tc>
      </w:tr>
      <w:tr w:rsidR="00A93231" w:rsidRPr="00A93231" w14:paraId="689916E3"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0CC3ECA1"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16</w:t>
            </w:r>
          </w:p>
        </w:tc>
        <w:tc>
          <w:tcPr>
            <w:tcW w:w="3540" w:type="pct"/>
            <w:tcBorders>
              <w:top w:val="nil"/>
              <w:left w:val="nil"/>
              <w:bottom w:val="single" w:sz="4" w:space="0" w:color="auto"/>
              <w:right w:val="single" w:sz="4" w:space="0" w:color="auto"/>
            </w:tcBorders>
            <w:shd w:val="clear" w:color="auto" w:fill="auto"/>
            <w:hideMark/>
          </w:tcPr>
          <w:p w14:paraId="53599728"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d) The severity of the threat is according to the following scale: Low, Medium, High. </w:t>
            </w:r>
          </w:p>
        </w:tc>
        <w:tc>
          <w:tcPr>
            <w:tcW w:w="427" w:type="pct"/>
            <w:tcBorders>
              <w:top w:val="nil"/>
              <w:left w:val="nil"/>
              <w:bottom w:val="single" w:sz="4" w:space="0" w:color="auto"/>
              <w:right w:val="single" w:sz="4" w:space="0" w:color="auto"/>
            </w:tcBorders>
            <w:shd w:val="clear" w:color="auto" w:fill="auto"/>
            <w:hideMark/>
          </w:tcPr>
          <w:p w14:paraId="2F08BBFD" w14:textId="77777777" w:rsidR="00A93231" w:rsidRPr="00A93231" w:rsidRDefault="00A93231" w:rsidP="00A93231">
            <w:pPr>
              <w:spacing w:after="0" w:line="240" w:lineRule="auto"/>
              <w:rPr>
                <w:rFonts w:ascii="Calibri" w:eastAsia="Times New Roman" w:hAnsi="Calibri" w:cs="Calibri"/>
                <w:b/>
                <w:bCs/>
                <w:color w:val="000000"/>
                <w:sz w:val="20"/>
                <w:szCs w:val="20"/>
                <w:lang w:val="en-GB" w:eastAsia="en-GB"/>
              </w:rPr>
            </w:pPr>
            <w:r w:rsidRPr="00A93231">
              <w:rPr>
                <w:rFonts w:ascii="Calibri" w:eastAsia="Times New Roman" w:hAnsi="Calibri" w:cs="Calibri"/>
                <w:b/>
                <w:bCs/>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7D20A64F" w14:textId="77777777" w:rsidR="00A93231" w:rsidRPr="00A93231" w:rsidRDefault="00A93231" w:rsidP="00A93231">
            <w:pPr>
              <w:spacing w:after="0" w:line="240" w:lineRule="auto"/>
              <w:rPr>
                <w:rFonts w:ascii="Calibri" w:eastAsia="Times New Roman" w:hAnsi="Calibri" w:cs="Calibri"/>
                <w:b/>
                <w:bCs/>
                <w:color w:val="000000"/>
                <w:sz w:val="20"/>
                <w:szCs w:val="20"/>
                <w:lang w:val="en-GB" w:eastAsia="en-GB"/>
              </w:rPr>
            </w:pPr>
            <w:r w:rsidRPr="00A93231">
              <w:rPr>
                <w:rFonts w:ascii="Calibri" w:eastAsia="Times New Roman" w:hAnsi="Calibri" w:cs="Calibri"/>
                <w:b/>
                <w:bCs/>
                <w:color w:val="000000"/>
                <w:sz w:val="20"/>
                <w:szCs w:val="20"/>
                <w:lang w:val="en-GB" w:eastAsia="en-GB"/>
              </w:rPr>
              <w:t> </w:t>
            </w:r>
          </w:p>
        </w:tc>
      </w:tr>
      <w:tr w:rsidR="00A93231" w:rsidRPr="00A93231" w14:paraId="038BE35C"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540FFBC6"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17</w:t>
            </w:r>
          </w:p>
        </w:tc>
        <w:tc>
          <w:tcPr>
            <w:tcW w:w="3540" w:type="pct"/>
            <w:tcBorders>
              <w:top w:val="nil"/>
              <w:left w:val="nil"/>
              <w:bottom w:val="single" w:sz="4" w:space="0" w:color="auto"/>
              <w:right w:val="single" w:sz="4" w:space="0" w:color="auto"/>
            </w:tcBorders>
            <w:shd w:val="clear" w:color="auto" w:fill="auto"/>
            <w:hideMark/>
          </w:tcPr>
          <w:p w14:paraId="043AB7B2"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e) Affected Platforms, </w:t>
            </w:r>
          </w:p>
        </w:tc>
        <w:tc>
          <w:tcPr>
            <w:tcW w:w="427" w:type="pct"/>
            <w:tcBorders>
              <w:top w:val="nil"/>
              <w:left w:val="nil"/>
              <w:bottom w:val="single" w:sz="4" w:space="0" w:color="auto"/>
              <w:right w:val="single" w:sz="4" w:space="0" w:color="auto"/>
            </w:tcBorders>
            <w:shd w:val="clear" w:color="auto" w:fill="auto"/>
            <w:hideMark/>
          </w:tcPr>
          <w:p w14:paraId="5BA5D631" w14:textId="77777777" w:rsidR="00A93231" w:rsidRPr="00A93231" w:rsidRDefault="00A93231" w:rsidP="00A93231">
            <w:pPr>
              <w:spacing w:after="0" w:line="240" w:lineRule="auto"/>
              <w:rPr>
                <w:rFonts w:ascii="Calibri" w:eastAsia="Times New Roman" w:hAnsi="Calibri" w:cs="Calibri"/>
                <w:b/>
                <w:bCs/>
                <w:color w:val="000000"/>
                <w:sz w:val="20"/>
                <w:szCs w:val="20"/>
                <w:lang w:val="en-GB" w:eastAsia="en-GB"/>
              </w:rPr>
            </w:pPr>
            <w:r w:rsidRPr="00A93231">
              <w:rPr>
                <w:rFonts w:ascii="Calibri" w:eastAsia="Times New Roman" w:hAnsi="Calibri" w:cs="Calibri"/>
                <w:b/>
                <w:bCs/>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04170E4A" w14:textId="77777777" w:rsidR="00A93231" w:rsidRPr="00A93231" w:rsidRDefault="00A93231" w:rsidP="00A93231">
            <w:pPr>
              <w:spacing w:after="0" w:line="240" w:lineRule="auto"/>
              <w:rPr>
                <w:rFonts w:ascii="Calibri" w:eastAsia="Times New Roman" w:hAnsi="Calibri" w:cs="Calibri"/>
                <w:b/>
                <w:bCs/>
                <w:color w:val="000000"/>
                <w:sz w:val="20"/>
                <w:szCs w:val="20"/>
                <w:lang w:val="en-GB" w:eastAsia="en-GB"/>
              </w:rPr>
            </w:pPr>
            <w:r w:rsidRPr="00A93231">
              <w:rPr>
                <w:rFonts w:ascii="Calibri" w:eastAsia="Times New Roman" w:hAnsi="Calibri" w:cs="Calibri"/>
                <w:b/>
                <w:bCs/>
                <w:color w:val="000000"/>
                <w:sz w:val="20"/>
                <w:szCs w:val="20"/>
                <w:lang w:val="en-GB" w:eastAsia="en-GB"/>
              </w:rPr>
              <w:t> </w:t>
            </w:r>
          </w:p>
        </w:tc>
      </w:tr>
      <w:tr w:rsidR="00A93231" w:rsidRPr="00A93231" w14:paraId="0920AE83"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289DF5EC"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lastRenderedPageBreak/>
              <w:t>18</w:t>
            </w:r>
          </w:p>
        </w:tc>
        <w:tc>
          <w:tcPr>
            <w:tcW w:w="3540" w:type="pct"/>
            <w:tcBorders>
              <w:top w:val="nil"/>
              <w:left w:val="nil"/>
              <w:bottom w:val="single" w:sz="4" w:space="0" w:color="auto"/>
              <w:right w:val="single" w:sz="4" w:space="0" w:color="auto"/>
            </w:tcBorders>
            <w:shd w:val="clear" w:color="auto" w:fill="auto"/>
            <w:hideMark/>
          </w:tcPr>
          <w:p w14:paraId="4EF02CBC"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f) Targeted Sector,</w:t>
            </w:r>
          </w:p>
        </w:tc>
        <w:tc>
          <w:tcPr>
            <w:tcW w:w="427" w:type="pct"/>
            <w:tcBorders>
              <w:top w:val="nil"/>
              <w:left w:val="nil"/>
              <w:bottom w:val="single" w:sz="4" w:space="0" w:color="auto"/>
              <w:right w:val="single" w:sz="4" w:space="0" w:color="auto"/>
            </w:tcBorders>
            <w:shd w:val="clear" w:color="auto" w:fill="auto"/>
            <w:hideMark/>
          </w:tcPr>
          <w:p w14:paraId="6EF10581" w14:textId="77777777" w:rsidR="00A93231" w:rsidRPr="00A93231" w:rsidRDefault="00A93231" w:rsidP="00A93231">
            <w:pPr>
              <w:spacing w:after="0" w:line="240" w:lineRule="auto"/>
              <w:rPr>
                <w:rFonts w:ascii="Calibri" w:eastAsia="Times New Roman" w:hAnsi="Calibri" w:cs="Calibri"/>
                <w:b/>
                <w:bCs/>
                <w:color w:val="000000"/>
                <w:sz w:val="20"/>
                <w:szCs w:val="20"/>
                <w:lang w:val="en-GB" w:eastAsia="en-GB"/>
              </w:rPr>
            </w:pPr>
            <w:r w:rsidRPr="00A93231">
              <w:rPr>
                <w:rFonts w:ascii="Calibri" w:eastAsia="Times New Roman" w:hAnsi="Calibri" w:cs="Calibri"/>
                <w:b/>
                <w:bCs/>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2F6D2492" w14:textId="77777777" w:rsidR="00A93231" w:rsidRPr="00A93231" w:rsidRDefault="00A93231" w:rsidP="00A93231">
            <w:pPr>
              <w:spacing w:after="0" w:line="240" w:lineRule="auto"/>
              <w:rPr>
                <w:rFonts w:ascii="Calibri" w:eastAsia="Times New Roman" w:hAnsi="Calibri" w:cs="Calibri"/>
                <w:b/>
                <w:bCs/>
                <w:color w:val="000000"/>
                <w:sz w:val="20"/>
                <w:szCs w:val="20"/>
                <w:lang w:val="en-GB" w:eastAsia="en-GB"/>
              </w:rPr>
            </w:pPr>
            <w:r w:rsidRPr="00A93231">
              <w:rPr>
                <w:rFonts w:ascii="Calibri" w:eastAsia="Times New Roman" w:hAnsi="Calibri" w:cs="Calibri"/>
                <w:b/>
                <w:bCs/>
                <w:color w:val="000000"/>
                <w:sz w:val="20"/>
                <w:szCs w:val="20"/>
                <w:lang w:val="en-GB" w:eastAsia="en-GB"/>
              </w:rPr>
              <w:t> </w:t>
            </w:r>
          </w:p>
        </w:tc>
      </w:tr>
      <w:tr w:rsidR="00A93231" w:rsidRPr="00A93231" w14:paraId="7A05CFB8"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45D39747"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19</w:t>
            </w:r>
          </w:p>
        </w:tc>
        <w:tc>
          <w:tcPr>
            <w:tcW w:w="3540" w:type="pct"/>
            <w:tcBorders>
              <w:top w:val="nil"/>
              <w:left w:val="nil"/>
              <w:bottom w:val="single" w:sz="4" w:space="0" w:color="auto"/>
              <w:right w:val="single" w:sz="4" w:space="0" w:color="auto"/>
            </w:tcBorders>
            <w:shd w:val="clear" w:color="auto" w:fill="auto"/>
            <w:hideMark/>
          </w:tcPr>
          <w:p w14:paraId="615F67C4"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g) Targeted Region </w:t>
            </w:r>
          </w:p>
        </w:tc>
        <w:tc>
          <w:tcPr>
            <w:tcW w:w="427" w:type="pct"/>
            <w:tcBorders>
              <w:top w:val="nil"/>
              <w:left w:val="nil"/>
              <w:bottom w:val="single" w:sz="4" w:space="0" w:color="auto"/>
              <w:right w:val="single" w:sz="4" w:space="0" w:color="auto"/>
            </w:tcBorders>
            <w:shd w:val="clear" w:color="auto" w:fill="auto"/>
            <w:hideMark/>
          </w:tcPr>
          <w:p w14:paraId="241CB667" w14:textId="77777777" w:rsidR="00A93231" w:rsidRPr="00A93231" w:rsidRDefault="00A93231" w:rsidP="00A93231">
            <w:pPr>
              <w:spacing w:after="0" w:line="240" w:lineRule="auto"/>
              <w:rPr>
                <w:rFonts w:ascii="Calibri" w:eastAsia="Times New Roman" w:hAnsi="Calibri" w:cs="Calibri"/>
                <w:b/>
                <w:bCs/>
                <w:color w:val="000000"/>
                <w:sz w:val="20"/>
                <w:szCs w:val="20"/>
                <w:lang w:val="en-GB" w:eastAsia="en-GB"/>
              </w:rPr>
            </w:pPr>
            <w:r w:rsidRPr="00A93231">
              <w:rPr>
                <w:rFonts w:ascii="Calibri" w:eastAsia="Times New Roman" w:hAnsi="Calibri" w:cs="Calibri"/>
                <w:b/>
                <w:bCs/>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7C8E4BFB" w14:textId="77777777" w:rsidR="00A93231" w:rsidRPr="00A93231" w:rsidRDefault="00A93231" w:rsidP="00A93231">
            <w:pPr>
              <w:spacing w:after="0" w:line="240" w:lineRule="auto"/>
              <w:rPr>
                <w:rFonts w:ascii="Calibri" w:eastAsia="Times New Roman" w:hAnsi="Calibri" w:cs="Calibri"/>
                <w:b/>
                <w:bCs/>
                <w:color w:val="000000"/>
                <w:sz w:val="20"/>
                <w:szCs w:val="20"/>
                <w:lang w:val="en-GB" w:eastAsia="en-GB"/>
              </w:rPr>
            </w:pPr>
            <w:r w:rsidRPr="00A93231">
              <w:rPr>
                <w:rFonts w:ascii="Calibri" w:eastAsia="Times New Roman" w:hAnsi="Calibri" w:cs="Calibri"/>
                <w:b/>
                <w:bCs/>
                <w:color w:val="000000"/>
                <w:sz w:val="20"/>
                <w:szCs w:val="20"/>
                <w:lang w:val="en-GB" w:eastAsia="en-GB"/>
              </w:rPr>
              <w:t> </w:t>
            </w:r>
          </w:p>
        </w:tc>
      </w:tr>
      <w:tr w:rsidR="00A93231" w:rsidRPr="00A93231" w14:paraId="55F78469"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4BFEC9A4"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20</w:t>
            </w:r>
          </w:p>
        </w:tc>
        <w:tc>
          <w:tcPr>
            <w:tcW w:w="3540" w:type="pct"/>
            <w:tcBorders>
              <w:top w:val="nil"/>
              <w:left w:val="nil"/>
              <w:bottom w:val="single" w:sz="4" w:space="0" w:color="auto"/>
              <w:right w:val="single" w:sz="4" w:space="0" w:color="auto"/>
            </w:tcBorders>
            <w:shd w:val="clear" w:color="auto" w:fill="auto"/>
            <w:hideMark/>
          </w:tcPr>
          <w:p w14:paraId="088A85E7"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h) Attacker's Objectives, Actions</w:t>
            </w:r>
          </w:p>
        </w:tc>
        <w:tc>
          <w:tcPr>
            <w:tcW w:w="427" w:type="pct"/>
            <w:tcBorders>
              <w:top w:val="nil"/>
              <w:left w:val="nil"/>
              <w:bottom w:val="single" w:sz="4" w:space="0" w:color="auto"/>
              <w:right w:val="single" w:sz="4" w:space="0" w:color="auto"/>
            </w:tcBorders>
            <w:shd w:val="clear" w:color="auto" w:fill="auto"/>
            <w:hideMark/>
          </w:tcPr>
          <w:p w14:paraId="453FA2EB" w14:textId="77777777" w:rsidR="00A93231" w:rsidRPr="00A93231" w:rsidRDefault="00A93231" w:rsidP="00A93231">
            <w:pPr>
              <w:spacing w:after="0" w:line="240" w:lineRule="auto"/>
              <w:rPr>
                <w:rFonts w:ascii="Calibri" w:eastAsia="Times New Roman" w:hAnsi="Calibri" w:cs="Calibri"/>
                <w:b/>
                <w:bCs/>
                <w:color w:val="000000"/>
                <w:sz w:val="20"/>
                <w:szCs w:val="20"/>
                <w:lang w:val="en-GB" w:eastAsia="en-GB"/>
              </w:rPr>
            </w:pPr>
            <w:r w:rsidRPr="00A93231">
              <w:rPr>
                <w:rFonts w:ascii="Calibri" w:eastAsia="Times New Roman" w:hAnsi="Calibri" w:cs="Calibri"/>
                <w:b/>
                <w:bCs/>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3559ED75" w14:textId="77777777" w:rsidR="00A93231" w:rsidRPr="00A93231" w:rsidRDefault="00A93231" w:rsidP="00A93231">
            <w:pPr>
              <w:spacing w:after="0" w:line="240" w:lineRule="auto"/>
              <w:rPr>
                <w:rFonts w:ascii="Calibri" w:eastAsia="Times New Roman" w:hAnsi="Calibri" w:cs="Calibri"/>
                <w:b/>
                <w:bCs/>
                <w:color w:val="000000"/>
                <w:sz w:val="20"/>
                <w:szCs w:val="20"/>
                <w:lang w:val="en-GB" w:eastAsia="en-GB"/>
              </w:rPr>
            </w:pPr>
            <w:r w:rsidRPr="00A93231">
              <w:rPr>
                <w:rFonts w:ascii="Calibri" w:eastAsia="Times New Roman" w:hAnsi="Calibri" w:cs="Calibri"/>
                <w:b/>
                <w:bCs/>
                <w:color w:val="000000"/>
                <w:sz w:val="20"/>
                <w:szCs w:val="20"/>
                <w:lang w:val="en-GB" w:eastAsia="en-GB"/>
              </w:rPr>
              <w:t> </w:t>
            </w:r>
          </w:p>
        </w:tc>
      </w:tr>
      <w:tr w:rsidR="00A93231" w:rsidRPr="00A93231" w14:paraId="18336528"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139F80FF"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21</w:t>
            </w:r>
          </w:p>
        </w:tc>
        <w:tc>
          <w:tcPr>
            <w:tcW w:w="3540" w:type="pct"/>
            <w:tcBorders>
              <w:top w:val="nil"/>
              <w:left w:val="nil"/>
              <w:bottom w:val="single" w:sz="4" w:space="0" w:color="auto"/>
              <w:right w:val="single" w:sz="4" w:space="0" w:color="auto"/>
            </w:tcBorders>
            <w:shd w:val="clear" w:color="auto" w:fill="auto"/>
            <w:hideMark/>
          </w:tcPr>
          <w:p w14:paraId="692469BC"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i) Payloads, Executed Process Command Lines or Hash Values based on Attack Type</w:t>
            </w:r>
          </w:p>
        </w:tc>
        <w:tc>
          <w:tcPr>
            <w:tcW w:w="427" w:type="pct"/>
            <w:tcBorders>
              <w:top w:val="nil"/>
              <w:left w:val="nil"/>
              <w:bottom w:val="single" w:sz="4" w:space="0" w:color="auto"/>
              <w:right w:val="single" w:sz="4" w:space="0" w:color="auto"/>
            </w:tcBorders>
            <w:shd w:val="clear" w:color="auto" w:fill="auto"/>
            <w:hideMark/>
          </w:tcPr>
          <w:p w14:paraId="34F94CDB" w14:textId="77777777" w:rsidR="00A93231" w:rsidRPr="00A93231" w:rsidRDefault="00A93231" w:rsidP="00A93231">
            <w:pPr>
              <w:spacing w:after="0" w:line="240" w:lineRule="auto"/>
              <w:rPr>
                <w:rFonts w:ascii="Calibri" w:eastAsia="Times New Roman" w:hAnsi="Calibri" w:cs="Calibri"/>
                <w:b/>
                <w:bCs/>
                <w:color w:val="000000"/>
                <w:sz w:val="20"/>
                <w:szCs w:val="20"/>
                <w:lang w:val="en-GB" w:eastAsia="en-GB"/>
              </w:rPr>
            </w:pPr>
            <w:r w:rsidRPr="00A93231">
              <w:rPr>
                <w:rFonts w:ascii="Calibri" w:eastAsia="Times New Roman" w:hAnsi="Calibri" w:cs="Calibri"/>
                <w:b/>
                <w:bCs/>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5B063530" w14:textId="77777777" w:rsidR="00A93231" w:rsidRPr="00A93231" w:rsidRDefault="00A93231" w:rsidP="00A93231">
            <w:pPr>
              <w:spacing w:after="0" w:line="240" w:lineRule="auto"/>
              <w:rPr>
                <w:rFonts w:ascii="Calibri" w:eastAsia="Times New Roman" w:hAnsi="Calibri" w:cs="Calibri"/>
                <w:b/>
                <w:bCs/>
                <w:color w:val="000000"/>
                <w:sz w:val="20"/>
                <w:szCs w:val="20"/>
                <w:lang w:val="en-GB" w:eastAsia="en-GB"/>
              </w:rPr>
            </w:pPr>
            <w:r w:rsidRPr="00A93231">
              <w:rPr>
                <w:rFonts w:ascii="Calibri" w:eastAsia="Times New Roman" w:hAnsi="Calibri" w:cs="Calibri"/>
                <w:b/>
                <w:bCs/>
                <w:color w:val="000000"/>
                <w:sz w:val="20"/>
                <w:szCs w:val="20"/>
                <w:lang w:val="en-GB" w:eastAsia="en-GB"/>
              </w:rPr>
              <w:t> </w:t>
            </w:r>
          </w:p>
        </w:tc>
      </w:tr>
      <w:tr w:rsidR="00A93231" w:rsidRPr="00A93231" w14:paraId="34BE7BAD"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06BC6688"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22</w:t>
            </w:r>
          </w:p>
        </w:tc>
        <w:tc>
          <w:tcPr>
            <w:tcW w:w="3540" w:type="pct"/>
            <w:tcBorders>
              <w:top w:val="nil"/>
              <w:left w:val="nil"/>
              <w:bottom w:val="single" w:sz="4" w:space="0" w:color="auto"/>
              <w:right w:val="single" w:sz="4" w:space="0" w:color="auto"/>
            </w:tcBorders>
            <w:shd w:val="clear" w:color="auto" w:fill="auto"/>
            <w:hideMark/>
          </w:tcPr>
          <w:p w14:paraId="04B62F53"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j) References in publicly known databases like VirusTotal and other malware information sources</w:t>
            </w:r>
          </w:p>
        </w:tc>
        <w:tc>
          <w:tcPr>
            <w:tcW w:w="427" w:type="pct"/>
            <w:tcBorders>
              <w:top w:val="nil"/>
              <w:left w:val="nil"/>
              <w:bottom w:val="single" w:sz="4" w:space="0" w:color="auto"/>
              <w:right w:val="single" w:sz="4" w:space="0" w:color="auto"/>
            </w:tcBorders>
            <w:shd w:val="clear" w:color="auto" w:fill="auto"/>
            <w:hideMark/>
          </w:tcPr>
          <w:p w14:paraId="5C42344E" w14:textId="77777777" w:rsidR="00A93231" w:rsidRPr="00A93231" w:rsidRDefault="00A93231" w:rsidP="00A93231">
            <w:pPr>
              <w:spacing w:after="0" w:line="240" w:lineRule="auto"/>
              <w:rPr>
                <w:rFonts w:ascii="Calibri" w:eastAsia="Times New Roman" w:hAnsi="Calibri" w:cs="Calibri"/>
                <w:b/>
                <w:bCs/>
                <w:color w:val="000000"/>
                <w:sz w:val="20"/>
                <w:szCs w:val="20"/>
                <w:lang w:val="en-GB" w:eastAsia="en-GB"/>
              </w:rPr>
            </w:pPr>
            <w:r w:rsidRPr="00A93231">
              <w:rPr>
                <w:rFonts w:ascii="Calibri" w:eastAsia="Times New Roman" w:hAnsi="Calibri" w:cs="Calibri"/>
                <w:b/>
                <w:bCs/>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72DD742B" w14:textId="77777777" w:rsidR="00A93231" w:rsidRPr="00A93231" w:rsidRDefault="00A93231" w:rsidP="00A93231">
            <w:pPr>
              <w:spacing w:after="0" w:line="240" w:lineRule="auto"/>
              <w:rPr>
                <w:rFonts w:ascii="Calibri" w:eastAsia="Times New Roman" w:hAnsi="Calibri" w:cs="Calibri"/>
                <w:b/>
                <w:bCs/>
                <w:color w:val="000000"/>
                <w:sz w:val="20"/>
                <w:szCs w:val="20"/>
                <w:lang w:val="en-GB" w:eastAsia="en-GB"/>
              </w:rPr>
            </w:pPr>
            <w:r w:rsidRPr="00A93231">
              <w:rPr>
                <w:rFonts w:ascii="Calibri" w:eastAsia="Times New Roman" w:hAnsi="Calibri" w:cs="Calibri"/>
                <w:b/>
                <w:bCs/>
                <w:color w:val="000000"/>
                <w:sz w:val="20"/>
                <w:szCs w:val="20"/>
                <w:lang w:val="en-GB" w:eastAsia="en-GB"/>
              </w:rPr>
              <w:t> </w:t>
            </w:r>
          </w:p>
        </w:tc>
      </w:tr>
      <w:tr w:rsidR="00A93231" w:rsidRPr="00A93231" w14:paraId="6A1615BC"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0A9B5E9D"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23</w:t>
            </w:r>
          </w:p>
        </w:tc>
        <w:tc>
          <w:tcPr>
            <w:tcW w:w="3540" w:type="pct"/>
            <w:tcBorders>
              <w:top w:val="nil"/>
              <w:left w:val="nil"/>
              <w:bottom w:val="single" w:sz="4" w:space="0" w:color="auto"/>
              <w:right w:val="single" w:sz="4" w:space="0" w:color="auto"/>
            </w:tcBorders>
            <w:shd w:val="clear" w:color="auto" w:fill="auto"/>
            <w:hideMark/>
          </w:tcPr>
          <w:p w14:paraId="05895A72"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k) References in the following industry-recognized threat scoring and enumeration systems: CVE, CWE, CVSS, OWASP</w:t>
            </w:r>
          </w:p>
        </w:tc>
        <w:tc>
          <w:tcPr>
            <w:tcW w:w="427" w:type="pct"/>
            <w:tcBorders>
              <w:top w:val="nil"/>
              <w:left w:val="nil"/>
              <w:bottom w:val="single" w:sz="4" w:space="0" w:color="auto"/>
              <w:right w:val="single" w:sz="4" w:space="0" w:color="auto"/>
            </w:tcBorders>
            <w:shd w:val="clear" w:color="auto" w:fill="auto"/>
            <w:hideMark/>
          </w:tcPr>
          <w:p w14:paraId="015F7DBE" w14:textId="77777777" w:rsidR="00A93231" w:rsidRPr="00A93231" w:rsidRDefault="00A93231" w:rsidP="00A93231">
            <w:pPr>
              <w:spacing w:after="0" w:line="240" w:lineRule="auto"/>
              <w:rPr>
                <w:rFonts w:ascii="Calibri" w:eastAsia="Times New Roman" w:hAnsi="Calibri" w:cs="Calibri"/>
                <w:b/>
                <w:bCs/>
                <w:color w:val="000000"/>
                <w:sz w:val="20"/>
                <w:szCs w:val="20"/>
                <w:lang w:val="en-GB" w:eastAsia="en-GB"/>
              </w:rPr>
            </w:pPr>
            <w:r w:rsidRPr="00A93231">
              <w:rPr>
                <w:rFonts w:ascii="Calibri" w:eastAsia="Times New Roman" w:hAnsi="Calibri" w:cs="Calibri"/>
                <w:b/>
                <w:bCs/>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47678996" w14:textId="77777777" w:rsidR="00A93231" w:rsidRPr="00A93231" w:rsidRDefault="00A93231" w:rsidP="00A93231">
            <w:pPr>
              <w:spacing w:after="0" w:line="240" w:lineRule="auto"/>
              <w:rPr>
                <w:rFonts w:ascii="Calibri" w:eastAsia="Times New Roman" w:hAnsi="Calibri" w:cs="Calibri"/>
                <w:b/>
                <w:bCs/>
                <w:color w:val="000000"/>
                <w:sz w:val="20"/>
                <w:szCs w:val="20"/>
                <w:lang w:val="en-GB" w:eastAsia="en-GB"/>
              </w:rPr>
            </w:pPr>
            <w:r w:rsidRPr="00A93231">
              <w:rPr>
                <w:rFonts w:ascii="Calibri" w:eastAsia="Times New Roman" w:hAnsi="Calibri" w:cs="Calibri"/>
                <w:b/>
                <w:bCs/>
                <w:color w:val="000000"/>
                <w:sz w:val="20"/>
                <w:szCs w:val="20"/>
                <w:lang w:val="en-GB" w:eastAsia="en-GB"/>
              </w:rPr>
              <w:t> </w:t>
            </w:r>
          </w:p>
        </w:tc>
      </w:tr>
      <w:tr w:rsidR="00A93231" w:rsidRPr="00A93231" w14:paraId="5AB2D46C"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6C4CB538"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24</w:t>
            </w:r>
          </w:p>
        </w:tc>
        <w:tc>
          <w:tcPr>
            <w:tcW w:w="3540" w:type="pct"/>
            <w:tcBorders>
              <w:top w:val="nil"/>
              <w:left w:val="nil"/>
              <w:bottom w:val="single" w:sz="4" w:space="0" w:color="auto"/>
              <w:right w:val="single" w:sz="4" w:space="0" w:color="auto"/>
            </w:tcBorders>
            <w:shd w:val="clear" w:color="auto" w:fill="auto"/>
            <w:hideMark/>
          </w:tcPr>
          <w:p w14:paraId="55D12313"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l) Operating systems affected by the threat</w:t>
            </w:r>
          </w:p>
        </w:tc>
        <w:tc>
          <w:tcPr>
            <w:tcW w:w="427" w:type="pct"/>
            <w:tcBorders>
              <w:top w:val="nil"/>
              <w:left w:val="nil"/>
              <w:bottom w:val="single" w:sz="4" w:space="0" w:color="auto"/>
              <w:right w:val="single" w:sz="4" w:space="0" w:color="auto"/>
            </w:tcBorders>
            <w:shd w:val="clear" w:color="auto" w:fill="auto"/>
            <w:hideMark/>
          </w:tcPr>
          <w:p w14:paraId="533B61F3" w14:textId="77777777" w:rsidR="00A93231" w:rsidRPr="00A93231" w:rsidRDefault="00A93231" w:rsidP="00A93231">
            <w:pPr>
              <w:spacing w:after="0" w:line="240" w:lineRule="auto"/>
              <w:rPr>
                <w:rFonts w:ascii="Calibri" w:eastAsia="Times New Roman" w:hAnsi="Calibri" w:cs="Calibri"/>
                <w:b/>
                <w:bCs/>
                <w:color w:val="000000"/>
                <w:sz w:val="20"/>
                <w:szCs w:val="20"/>
                <w:lang w:val="en-GB" w:eastAsia="en-GB"/>
              </w:rPr>
            </w:pPr>
            <w:r w:rsidRPr="00A93231">
              <w:rPr>
                <w:rFonts w:ascii="Calibri" w:eastAsia="Times New Roman" w:hAnsi="Calibri" w:cs="Calibri"/>
                <w:b/>
                <w:bCs/>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28297D26" w14:textId="77777777" w:rsidR="00A93231" w:rsidRPr="00A93231" w:rsidRDefault="00A93231" w:rsidP="00A93231">
            <w:pPr>
              <w:spacing w:after="0" w:line="240" w:lineRule="auto"/>
              <w:rPr>
                <w:rFonts w:ascii="Calibri" w:eastAsia="Times New Roman" w:hAnsi="Calibri" w:cs="Calibri"/>
                <w:b/>
                <w:bCs/>
                <w:color w:val="000000"/>
                <w:sz w:val="20"/>
                <w:szCs w:val="20"/>
                <w:lang w:val="en-GB" w:eastAsia="en-GB"/>
              </w:rPr>
            </w:pPr>
            <w:r w:rsidRPr="00A93231">
              <w:rPr>
                <w:rFonts w:ascii="Calibri" w:eastAsia="Times New Roman" w:hAnsi="Calibri" w:cs="Calibri"/>
                <w:b/>
                <w:bCs/>
                <w:color w:val="000000"/>
                <w:sz w:val="20"/>
                <w:szCs w:val="20"/>
                <w:lang w:val="en-GB" w:eastAsia="en-GB"/>
              </w:rPr>
              <w:t> </w:t>
            </w:r>
          </w:p>
        </w:tc>
      </w:tr>
      <w:tr w:rsidR="00A93231" w:rsidRPr="00A93231" w14:paraId="52133BFD"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198C273A"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25</w:t>
            </w:r>
          </w:p>
        </w:tc>
        <w:tc>
          <w:tcPr>
            <w:tcW w:w="3540" w:type="pct"/>
            <w:tcBorders>
              <w:top w:val="nil"/>
              <w:left w:val="nil"/>
              <w:bottom w:val="single" w:sz="4" w:space="0" w:color="auto"/>
              <w:right w:val="single" w:sz="4" w:space="0" w:color="auto"/>
            </w:tcBorders>
            <w:shd w:val="clear" w:color="auto" w:fill="auto"/>
            <w:hideMark/>
          </w:tcPr>
          <w:p w14:paraId="30C99671"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OEM must add new globally critical attacks to the threat library within 24 hours, available for simulation.</w:t>
            </w:r>
          </w:p>
        </w:tc>
        <w:tc>
          <w:tcPr>
            <w:tcW w:w="427" w:type="pct"/>
            <w:tcBorders>
              <w:top w:val="nil"/>
              <w:left w:val="nil"/>
              <w:bottom w:val="single" w:sz="4" w:space="0" w:color="auto"/>
              <w:right w:val="single" w:sz="4" w:space="0" w:color="auto"/>
            </w:tcBorders>
            <w:shd w:val="clear" w:color="auto" w:fill="auto"/>
            <w:hideMark/>
          </w:tcPr>
          <w:p w14:paraId="409D33A2" w14:textId="77777777" w:rsidR="00A93231" w:rsidRPr="00A93231" w:rsidRDefault="00A93231" w:rsidP="00A93231">
            <w:pPr>
              <w:spacing w:after="0" w:line="240" w:lineRule="auto"/>
              <w:rPr>
                <w:rFonts w:ascii="Calibri" w:eastAsia="Times New Roman" w:hAnsi="Calibri" w:cs="Calibri"/>
                <w:b/>
                <w:bCs/>
                <w:color w:val="000000"/>
                <w:sz w:val="20"/>
                <w:szCs w:val="20"/>
                <w:lang w:val="en-GB" w:eastAsia="en-GB"/>
              </w:rPr>
            </w:pPr>
            <w:r w:rsidRPr="00A93231">
              <w:rPr>
                <w:rFonts w:ascii="Calibri" w:eastAsia="Times New Roman" w:hAnsi="Calibri" w:cs="Calibri"/>
                <w:b/>
                <w:bCs/>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69D2ABBC" w14:textId="77777777" w:rsidR="00A93231" w:rsidRPr="00A93231" w:rsidRDefault="00A93231" w:rsidP="00A93231">
            <w:pPr>
              <w:spacing w:after="0" w:line="240" w:lineRule="auto"/>
              <w:rPr>
                <w:rFonts w:ascii="Calibri" w:eastAsia="Times New Roman" w:hAnsi="Calibri" w:cs="Calibri"/>
                <w:b/>
                <w:bCs/>
                <w:color w:val="000000"/>
                <w:sz w:val="20"/>
                <w:szCs w:val="20"/>
                <w:lang w:val="en-GB" w:eastAsia="en-GB"/>
              </w:rPr>
            </w:pPr>
            <w:r w:rsidRPr="00A93231">
              <w:rPr>
                <w:rFonts w:ascii="Calibri" w:eastAsia="Times New Roman" w:hAnsi="Calibri" w:cs="Calibri"/>
                <w:b/>
                <w:bCs/>
                <w:color w:val="000000"/>
                <w:sz w:val="20"/>
                <w:szCs w:val="20"/>
                <w:lang w:val="en-GB" w:eastAsia="en-GB"/>
              </w:rPr>
              <w:t> </w:t>
            </w:r>
          </w:p>
        </w:tc>
      </w:tr>
      <w:tr w:rsidR="00A93231" w:rsidRPr="00A93231" w14:paraId="4AFAC0DF"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46F139F1"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26</w:t>
            </w:r>
          </w:p>
        </w:tc>
        <w:tc>
          <w:tcPr>
            <w:tcW w:w="3540" w:type="pct"/>
            <w:tcBorders>
              <w:top w:val="nil"/>
              <w:left w:val="nil"/>
              <w:bottom w:val="single" w:sz="4" w:space="0" w:color="auto"/>
              <w:right w:val="single" w:sz="4" w:space="0" w:color="auto"/>
            </w:tcBorders>
            <w:shd w:val="clear" w:color="auto" w:fill="auto"/>
            <w:hideMark/>
          </w:tcPr>
          <w:p w14:paraId="2F48B502"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should allow users to create new attacks by integrating samples from other platforms without OEM intervention.</w:t>
            </w:r>
          </w:p>
        </w:tc>
        <w:tc>
          <w:tcPr>
            <w:tcW w:w="427" w:type="pct"/>
            <w:tcBorders>
              <w:top w:val="nil"/>
              <w:left w:val="nil"/>
              <w:bottom w:val="single" w:sz="4" w:space="0" w:color="auto"/>
              <w:right w:val="single" w:sz="4" w:space="0" w:color="auto"/>
            </w:tcBorders>
            <w:shd w:val="clear" w:color="auto" w:fill="auto"/>
            <w:hideMark/>
          </w:tcPr>
          <w:p w14:paraId="1354DB21" w14:textId="77777777" w:rsidR="00A93231" w:rsidRPr="00A93231" w:rsidRDefault="00A93231" w:rsidP="00A93231">
            <w:pPr>
              <w:spacing w:after="0" w:line="240" w:lineRule="auto"/>
              <w:rPr>
                <w:rFonts w:ascii="Calibri" w:eastAsia="Times New Roman" w:hAnsi="Calibri" w:cs="Calibri"/>
                <w:b/>
                <w:bCs/>
                <w:color w:val="000000"/>
                <w:sz w:val="20"/>
                <w:szCs w:val="20"/>
                <w:lang w:val="en-GB" w:eastAsia="en-GB"/>
              </w:rPr>
            </w:pPr>
            <w:r w:rsidRPr="00A93231">
              <w:rPr>
                <w:rFonts w:ascii="Calibri" w:eastAsia="Times New Roman" w:hAnsi="Calibri" w:cs="Calibri"/>
                <w:b/>
                <w:bCs/>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39674CD1" w14:textId="77777777" w:rsidR="00A93231" w:rsidRPr="00A93231" w:rsidRDefault="00A93231" w:rsidP="00A93231">
            <w:pPr>
              <w:spacing w:after="0" w:line="240" w:lineRule="auto"/>
              <w:rPr>
                <w:rFonts w:ascii="Calibri" w:eastAsia="Times New Roman" w:hAnsi="Calibri" w:cs="Calibri"/>
                <w:b/>
                <w:bCs/>
                <w:color w:val="000000"/>
                <w:sz w:val="20"/>
                <w:szCs w:val="20"/>
                <w:lang w:val="en-GB" w:eastAsia="en-GB"/>
              </w:rPr>
            </w:pPr>
            <w:r w:rsidRPr="00A93231">
              <w:rPr>
                <w:rFonts w:ascii="Calibri" w:eastAsia="Times New Roman" w:hAnsi="Calibri" w:cs="Calibri"/>
                <w:b/>
                <w:bCs/>
                <w:color w:val="000000"/>
                <w:sz w:val="20"/>
                <w:szCs w:val="20"/>
                <w:lang w:val="en-GB" w:eastAsia="en-GB"/>
              </w:rPr>
              <w:t> </w:t>
            </w:r>
          </w:p>
        </w:tc>
      </w:tr>
      <w:tr w:rsidR="00A93231" w:rsidRPr="00A93231" w14:paraId="78B2CA10"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10C607C7"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27</w:t>
            </w:r>
          </w:p>
        </w:tc>
        <w:tc>
          <w:tcPr>
            <w:tcW w:w="3540" w:type="pct"/>
            <w:tcBorders>
              <w:top w:val="nil"/>
              <w:left w:val="nil"/>
              <w:bottom w:val="single" w:sz="4" w:space="0" w:color="auto"/>
              <w:right w:val="single" w:sz="4" w:space="0" w:color="auto"/>
            </w:tcBorders>
            <w:shd w:val="clear" w:color="auto" w:fill="auto"/>
            <w:hideMark/>
          </w:tcPr>
          <w:p w14:paraId="18250BD4"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The proposed solution should be able to support browser agents for quick IPS/IDS/Web Gateway testing over https </w:t>
            </w:r>
          </w:p>
        </w:tc>
        <w:tc>
          <w:tcPr>
            <w:tcW w:w="427" w:type="pct"/>
            <w:tcBorders>
              <w:top w:val="nil"/>
              <w:left w:val="nil"/>
              <w:bottom w:val="single" w:sz="4" w:space="0" w:color="auto"/>
              <w:right w:val="single" w:sz="4" w:space="0" w:color="auto"/>
            </w:tcBorders>
            <w:shd w:val="clear" w:color="auto" w:fill="auto"/>
            <w:hideMark/>
          </w:tcPr>
          <w:p w14:paraId="60436FC6" w14:textId="77777777" w:rsidR="00A93231" w:rsidRPr="00A93231" w:rsidRDefault="00A93231" w:rsidP="00A93231">
            <w:pPr>
              <w:spacing w:after="0" w:line="240" w:lineRule="auto"/>
              <w:rPr>
                <w:rFonts w:ascii="Calibri" w:eastAsia="Times New Roman" w:hAnsi="Calibri" w:cs="Calibri"/>
                <w:b/>
                <w:bCs/>
                <w:color w:val="000000"/>
                <w:sz w:val="20"/>
                <w:szCs w:val="20"/>
                <w:lang w:val="en-GB" w:eastAsia="en-GB"/>
              </w:rPr>
            </w:pPr>
            <w:r w:rsidRPr="00A93231">
              <w:rPr>
                <w:rFonts w:ascii="Calibri" w:eastAsia="Times New Roman" w:hAnsi="Calibri" w:cs="Calibri"/>
                <w:b/>
                <w:bCs/>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1623DBC5" w14:textId="77777777" w:rsidR="00A93231" w:rsidRPr="00A93231" w:rsidRDefault="00A93231" w:rsidP="00A93231">
            <w:pPr>
              <w:spacing w:after="0" w:line="240" w:lineRule="auto"/>
              <w:rPr>
                <w:rFonts w:ascii="Calibri" w:eastAsia="Times New Roman" w:hAnsi="Calibri" w:cs="Calibri"/>
                <w:b/>
                <w:bCs/>
                <w:color w:val="000000"/>
                <w:sz w:val="20"/>
                <w:szCs w:val="20"/>
                <w:lang w:val="en-GB" w:eastAsia="en-GB"/>
              </w:rPr>
            </w:pPr>
            <w:r w:rsidRPr="00A93231">
              <w:rPr>
                <w:rFonts w:ascii="Calibri" w:eastAsia="Times New Roman" w:hAnsi="Calibri" w:cs="Calibri"/>
                <w:b/>
                <w:bCs/>
                <w:color w:val="000000"/>
                <w:sz w:val="20"/>
                <w:szCs w:val="20"/>
                <w:lang w:val="en-GB" w:eastAsia="en-GB"/>
              </w:rPr>
              <w:t> </w:t>
            </w:r>
          </w:p>
        </w:tc>
      </w:tr>
      <w:tr w:rsidR="00A93231" w:rsidRPr="00A93231" w14:paraId="3C9D03C2"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7DFEBC2C"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28</w:t>
            </w:r>
          </w:p>
        </w:tc>
        <w:tc>
          <w:tcPr>
            <w:tcW w:w="3540" w:type="pct"/>
            <w:tcBorders>
              <w:top w:val="nil"/>
              <w:left w:val="nil"/>
              <w:bottom w:val="single" w:sz="4" w:space="0" w:color="auto"/>
              <w:right w:val="single" w:sz="4" w:space="0" w:color="auto"/>
            </w:tcBorders>
            <w:shd w:val="clear" w:color="auto" w:fill="auto"/>
            <w:hideMark/>
          </w:tcPr>
          <w:p w14:paraId="3085E7A2"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The proposed solution should be able to provide in-built Threat campaigns like Emerging threats, Top 10 ATT&amp;CK techniques, Top 10 Ransomware attacks, Top Vulnerabilities exploited by State actors etc. </w:t>
            </w:r>
          </w:p>
        </w:tc>
        <w:tc>
          <w:tcPr>
            <w:tcW w:w="427" w:type="pct"/>
            <w:tcBorders>
              <w:top w:val="nil"/>
              <w:left w:val="nil"/>
              <w:bottom w:val="single" w:sz="4" w:space="0" w:color="auto"/>
              <w:right w:val="single" w:sz="4" w:space="0" w:color="auto"/>
            </w:tcBorders>
            <w:shd w:val="clear" w:color="auto" w:fill="auto"/>
            <w:hideMark/>
          </w:tcPr>
          <w:p w14:paraId="1C14113D"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48E60D67"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298207FF"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6EA5ED0F"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29</w:t>
            </w:r>
          </w:p>
        </w:tc>
        <w:tc>
          <w:tcPr>
            <w:tcW w:w="3540" w:type="pct"/>
            <w:tcBorders>
              <w:top w:val="nil"/>
              <w:left w:val="nil"/>
              <w:bottom w:val="single" w:sz="4" w:space="0" w:color="auto"/>
              <w:right w:val="single" w:sz="4" w:space="0" w:color="auto"/>
            </w:tcBorders>
            <w:shd w:val="clear" w:color="auto" w:fill="auto"/>
            <w:hideMark/>
          </w:tcPr>
          <w:p w14:paraId="6E845281"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The proposed solution should provide relevant payloads (availability of at least Hash Values, TTPs and RegEx provided by the BAS tool), signatures for the threats not available by default with Prevention technologies. </w:t>
            </w:r>
          </w:p>
        </w:tc>
        <w:tc>
          <w:tcPr>
            <w:tcW w:w="427" w:type="pct"/>
            <w:tcBorders>
              <w:top w:val="nil"/>
              <w:left w:val="nil"/>
              <w:bottom w:val="single" w:sz="4" w:space="0" w:color="auto"/>
              <w:right w:val="single" w:sz="4" w:space="0" w:color="auto"/>
            </w:tcBorders>
            <w:shd w:val="clear" w:color="auto" w:fill="auto"/>
            <w:hideMark/>
          </w:tcPr>
          <w:p w14:paraId="655E1B04"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663F67E7"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7A1212E3"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7C799DDF"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30</w:t>
            </w:r>
          </w:p>
        </w:tc>
        <w:tc>
          <w:tcPr>
            <w:tcW w:w="3540" w:type="pct"/>
            <w:tcBorders>
              <w:top w:val="nil"/>
              <w:left w:val="nil"/>
              <w:bottom w:val="single" w:sz="4" w:space="0" w:color="auto"/>
              <w:right w:val="single" w:sz="4" w:space="0" w:color="auto"/>
            </w:tcBorders>
            <w:shd w:val="clear" w:color="auto" w:fill="auto"/>
            <w:hideMark/>
          </w:tcPr>
          <w:p w14:paraId="60AA64DA"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must continue simulations even if some techniques/actions are blocked, ensuring comprehensive results for all stages of the kill chain.</w:t>
            </w:r>
          </w:p>
        </w:tc>
        <w:tc>
          <w:tcPr>
            <w:tcW w:w="427" w:type="pct"/>
            <w:tcBorders>
              <w:top w:val="nil"/>
              <w:left w:val="nil"/>
              <w:bottom w:val="single" w:sz="4" w:space="0" w:color="auto"/>
              <w:right w:val="single" w:sz="4" w:space="0" w:color="auto"/>
            </w:tcBorders>
            <w:shd w:val="clear" w:color="auto" w:fill="auto"/>
            <w:hideMark/>
          </w:tcPr>
          <w:p w14:paraId="03EBEE51"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0D225B37"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2F26984F"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226B7A5D"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31</w:t>
            </w:r>
          </w:p>
        </w:tc>
        <w:tc>
          <w:tcPr>
            <w:tcW w:w="3540" w:type="pct"/>
            <w:tcBorders>
              <w:top w:val="nil"/>
              <w:left w:val="nil"/>
              <w:bottom w:val="single" w:sz="4" w:space="0" w:color="auto"/>
              <w:right w:val="single" w:sz="4" w:space="0" w:color="auto"/>
            </w:tcBorders>
            <w:shd w:val="clear" w:color="auto" w:fill="auto"/>
            <w:hideMark/>
          </w:tcPr>
          <w:p w14:paraId="10420AD8"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must provide detailed results with IoCs and pass/fail criteria for each kill-chain stage and continue evaluation even if some stages are blocked.</w:t>
            </w:r>
          </w:p>
        </w:tc>
        <w:tc>
          <w:tcPr>
            <w:tcW w:w="427" w:type="pct"/>
            <w:tcBorders>
              <w:top w:val="nil"/>
              <w:left w:val="nil"/>
              <w:bottom w:val="single" w:sz="4" w:space="0" w:color="auto"/>
              <w:right w:val="single" w:sz="4" w:space="0" w:color="auto"/>
            </w:tcBorders>
            <w:shd w:val="clear" w:color="auto" w:fill="auto"/>
            <w:hideMark/>
          </w:tcPr>
          <w:p w14:paraId="50A6B7C4"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26E4B5FE"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74D0E51D"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76ADC9AA"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32</w:t>
            </w:r>
          </w:p>
        </w:tc>
        <w:tc>
          <w:tcPr>
            <w:tcW w:w="3540" w:type="pct"/>
            <w:tcBorders>
              <w:top w:val="nil"/>
              <w:left w:val="nil"/>
              <w:bottom w:val="single" w:sz="4" w:space="0" w:color="auto"/>
              <w:right w:val="single" w:sz="4" w:space="0" w:color="auto"/>
            </w:tcBorders>
            <w:shd w:val="clear" w:color="auto" w:fill="auto"/>
            <w:hideMark/>
          </w:tcPr>
          <w:p w14:paraId="041E7D17"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solution should provide real payloads and complete attack details, not just IoCs.</w:t>
            </w:r>
          </w:p>
        </w:tc>
        <w:tc>
          <w:tcPr>
            <w:tcW w:w="427" w:type="pct"/>
            <w:tcBorders>
              <w:top w:val="nil"/>
              <w:left w:val="nil"/>
              <w:bottom w:val="single" w:sz="4" w:space="0" w:color="auto"/>
              <w:right w:val="single" w:sz="4" w:space="0" w:color="auto"/>
            </w:tcBorders>
            <w:shd w:val="clear" w:color="auto" w:fill="auto"/>
            <w:hideMark/>
          </w:tcPr>
          <w:p w14:paraId="20B1986D"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5831427F"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62EB1609"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0CF287B8"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33</w:t>
            </w:r>
          </w:p>
        </w:tc>
        <w:tc>
          <w:tcPr>
            <w:tcW w:w="3540" w:type="pct"/>
            <w:tcBorders>
              <w:top w:val="nil"/>
              <w:left w:val="nil"/>
              <w:bottom w:val="single" w:sz="4" w:space="0" w:color="auto"/>
              <w:right w:val="single" w:sz="4" w:space="0" w:color="auto"/>
            </w:tcBorders>
            <w:shd w:val="clear" w:color="auto" w:fill="auto"/>
            <w:hideMark/>
          </w:tcPr>
          <w:p w14:paraId="4F4D4CD3"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In the proposed solution, the attack simulations must avoid trying to access real Command and Control (C2) URLs or any actions that could expose the network to actual malware or attackers</w:t>
            </w:r>
          </w:p>
        </w:tc>
        <w:tc>
          <w:tcPr>
            <w:tcW w:w="427" w:type="pct"/>
            <w:tcBorders>
              <w:top w:val="nil"/>
              <w:left w:val="nil"/>
              <w:bottom w:val="single" w:sz="4" w:space="0" w:color="auto"/>
              <w:right w:val="single" w:sz="4" w:space="0" w:color="auto"/>
            </w:tcBorders>
            <w:shd w:val="clear" w:color="auto" w:fill="auto"/>
            <w:hideMark/>
          </w:tcPr>
          <w:p w14:paraId="63891038"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1C401ED2"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6491110E"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6FB93680"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34</w:t>
            </w:r>
          </w:p>
        </w:tc>
        <w:tc>
          <w:tcPr>
            <w:tcW w:w="3540" w:type="pct"/>
            <w:tcBorders>
              <w:top w:val="nil"/>
              <w:left w:val="nil"/>
              <w:bottom w:val="single" w:sz="4" w:space="0" w:color="auto"/>
              <w:right w:val="single" w:sz="4" w:space="0" w:color="auto"/>
            </w:tcBorders>
            <w:shd w:val="clear" w:color="auto" w:fill="auto"/>
            <w:hideMark/>
          </w:tcPr>
          <w:p w14:paraId="2F6CC789"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should provide the result of every specific action of the threat actor individually. Result should specifically depict if action was blocked, not blocked and objectives of threat actors were achieved or not achieved</w:t>
            </w:r>
          </w:p>
        </w:tc>
        <w:tc>
          <w:tcPr>
            <w:tcW w:w="427" w:type="pct"/>
            <w:tcBorders>
              <w:top w:val="nil"/>
              <w:left w:val="nil"/>
              <w:bottom w:val="single" w:sz="4" w:space="0" w:color="auto"/>
              <w:right w:val="single" w:sz="4" w:space="0" w:color="auto"/>
            </w:tcBorders>
            <w:shd w:val="clear" w:color="auto" w:fill="auto"/>
            <w:hideMark/>
          </w:tcPr>
          <w:p w14:paraId="7B2F9022"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6AB95F7C"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1AA5513D"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2C482D57"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35</w:t>
            </w:r>
          </w:p>
        </w:tc>
        <w:tc>
          <w:tcPr>
            <w:tcW w:w="3540" w:type="pct"/>
            <w:tcBorders>
              <w:top w:val="nil"/>
              <w:left w:val="nil"/>
              <w:bottom w:val="single" w:sz="4" w:space="0" w:color="auto"/>
              <w:right w:val="single" w:sz="4" w:space="0" w:color="auto"/>
            </w:tcBorders>
            <w:shd w:val="clear" w:color="auto" w:fill="auto"/>
            <w:hideMark/>
          </w:tcPr>
          <w:p w14:paraId="6800219E"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should also provide details of the specific action that technology is not able to block while simulation</w:t>
            </w:r>
          </w:p>
        </w:tc>
        <w:tc>
          <w:tcPr>
            <w:tcW w:w="427" w:type="pct"/>
            <w:tcBorders>
              <w:top w:val="nil"/>
              <w:left w:val="nil"/>
              <w:bottom w:val="single" w:sz="4" w:space="0" w:color="auto"/>
              <w:right w:val="single" w:sz="4" w:space="0" w:color="auto"/>
            </w:tcBorders>
            <w:shd w:val="clear" w:color="auto" w:fill="auto"/>
            <w:hideMark/>
          </w:tcPr>
          <w:p w14:paraId="6816A162"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473A1786"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48E99C7F" w14:textId="77777777" w:rsidTr="008E0319">
        <w:trPr>
          <w:trHeight w:val="765"/>
        </w:trPr>
        <w:tc>
          <w:tcPr>
            <w:tcW w:w="176" w:type="pct"/>
            <w:tcBorders>
              <w:top w:val="nil"/>
              <w:left w:val="single" w:sz="4" w:space="0" w:color="auto"/>
              <w:bottom w:val="single" w:sz="4" w:space="0" w:color="auto"/>
              <w:right w:val="single" w:sz="4" w:space="0" w:color="auto"/>
            </w:tcBorders>
            <w:shd w:val="clear" w:color="auto" w:fill="auto"/>
            <w:hideMark/>
          </w:tcPr>
          <w:p w14:paraId="532A57AB"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36</w:t>
            </w:r>
          </w:p>
        </w:tc>
        <w:tc>
          <w:tcPr>
            <w:tcW w:w="3540" w:type="pct"/>
            <w:tcBorders>
              <w:top w:val="nil"/>
              <w:left w:val="nil"/>
              <w:bottom w:val="single" w:sz="4" w:space="0" w:color="auto"/>
              <w:right w:val="single" w:sz="4" w:space="0" w:color="auto"/>
            </w:tcBorders>
            <w:shd w:val="clear" w:color="auto" w:fill="auto"/>
            <w:hideMark/>
          </w:tcPr>
          <w:p w14:paraId="1A72120A"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should safely simulate attacks to get accurate map of the Security resiliency : The proposed solution’s components should run attack simulations among its components and should not initiate connections to any production applications and endpoint systems to provide a risk-free assessment unless configured for lateral movement</w:t>
            </w:r>
          </w:p>
        </w:tc>
        <w:tc>
          <w:tcPr>
            <w:tcW w:w="427" w:type="pct"/>
            <w:tcBorders>
              <w:top w:val="nil"/>
              <w:left w:val="nil"/>
              <w:bottom w:val="single" w:sz="4" w:space="0" w:color="auto"/>
              <w:right w:val="single" w:sz="4" w:space="0" w:color="auto"/>
            </w:tcBorders>
            <w:shd w:val="clear" w:color="auto" w:fill="auto"/>
            <w:hideMark/>
          </w:tcPr>
          <w:p w14:paraId="252AD816"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77B07E49"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35795864"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45259638"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37</w:t>
            </w:r>
          </w:p>
        </w:tc>
        <w:tc>
          <w:tcPr>
            <w:tcW w:w="3540" w:type="pct"/>
            <w:tcBorders>
              <w:top w:val="nil"/>
              <w:left w:val="nil"/>
              <w:bottom w:val="single" w:sz="4" w:space="0" w:color="auto"/>
              <w:right w:val="single" w:sz="4" w:space="0" w:color="auto"/>
            </w:tcBorders>
            <w:shd w:val="clear" w:color="auto" w:fill="auto"/>
            <w:hideMark/>
          </w:tcPr>
          <w:p w14:paraId="4E00B344"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should be able to run multiple simulations in parallel with multiple agents</w:t>
            </w:r>
          </w:p>
        </w:tc>
        <w:tc>
          <w:tcPr>
            <w:tcW w:w="427" w:type="pct"/>
            <w:tcBorders>
              <w:top w:val="nil"/>
              <w:left w:val="nil"/>
              <w:bottom w:val="single" w:sz="4" w:space="0" w:color="auto"/>
              <w:right w:val="single" w:sz="4" w:space="0" w:color="auto"/>
            </w:tcBorders>
            <w:shd w:val="clear" w:color="auto" w:fill="auto"/>
            <w:hideMark/>
          </w:tcPr>
          <w:p w14:paraId="0BEA1824"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2EACC7CA"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6570F40A"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0B40BD29"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lastRenderedPageBreak/>
              <w:t>38</w:t>
            </w:r>
          </w:p>
        </w:tc>
        <w:tc>
          <w:tcPr>
            <w:tcW w:w="3540" w:type="pct"/>
            <w:tcBorders>
              <w:top w:val="nil"/>
              <w:left w:val="nil"/>
              <w:bottom w:val="single" w:sz="4" w:space="0" w:color="auto"/>
              <w:right w:val="single" w:sz="4" w:space="0" w:color="auto"/>
            </w:tcBorders>
            <w:shd w:val="clear" w:color="auto" w:fill="auto"/>
            <w:hideMark/>
          </w:tcPr>
          <w:p w14:paraId="4DA596A6"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must allow for the configuration of time delay between each action and protocol (HTTP/HTTPS) wherever applicable</w:t>
            </w:r>
          </w:p>
        </w:tc>
        <w:tc>
          <w:tcPr>
            <w:tcW w:w="427" w:type="pct"/>
            <w:tcBorders>
              <w:top w:val="nil"/>
              <w:left w:val="nil"/>
              <w:bottom w:val="single" w:sz="4" w:space="0" w:color="auto"/>
              <w:right w:val="single" w:sz="4" w:space="0" w:color="auto"/>
            </w:tcBorders>
            <w:shd w:val="clear" w:color="auto" w:fill="auto"/>
            <w:hideMark/>
          </w:tcPr>
          <w:p w14:paraId="64914674"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3448BC6A"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6A5F37C0" w14:textId="77777777" w:rsidTr="008E0319">
        <w:trPr>
          <w:trHeight w:val="765"/>
        </w:trPr>
        <w:tc>
          <w:tcPr>
            <w:tcW w:w="176" w:type="pct"/>
            <w:tcBorders>
              <w:top w:val="nil"/>
              <w:left w:val="single" w:sz="4" w:space="0" w:color="auto"/>
              <w:bottom w:val="single" w:sz="4" w:space="0" w:color="auto"/>
              <w:right w:val="single" w:sz="4" w:space="0" w:color="auto"/>
            </w:tcBorders>
            <w:shd w:val="clear" w:color="auto" w:fill="auto"/>
            <w:hideMark/>
          </w:tcPr>
          <w:p w14:paraId="394F130D"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39</w:t>
            </w:r>
          </w:p>
        </w:tc>
        <w:tc>
          <w:tcPr>
            <w:tcW w:w="3540" w:type="pct"/>
            <w:tcBorders>
              <w:top w:val="nil"/>
              <w:left w:val="nil"/>
              <w:bottom w:val="single" w:sz="4" w:space="0" w:color="auto"/>
              <w:right w:val="single" w:sz="4" w:space="0" w:color="auto"/>
            </w:tcBorders>
            <w:shd w:val="clear" w:color="auto" w:fill="auto"/>
            <w:hideMark/>
          </w:tcPr>
          <w:p w14:paraId="299AB762"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must not send Web Application Attacks targeted towards the customer's web applications to avoid any potential harm or performance instability. Instead, the proposed solution must send the web application attacks towards a component of the solution itself (like an agent)</w:t>
            </w:r>
          </w:p>
        </w:tc>
        <w:tc>
          <w:tcPr>
            <w:tcW w:w="427" w:type="pct"/>
            <w:tcBorders>
              <w:top w:val="nil"/>
              <w:left w:val="nil"/>
              <w:bottom w:val="single" w:sz="4" w:space="0" w:color="auto"/>
              <w:right w:val="single" w:sz="4" w:space="0" w:color="auto"/>
            </w:tcBorders>
            <w:shd w:val="clear" w:color="auto" w:fill="auto"/>
            <w:hideMark/>
          </w:tcPr>
          <w:p w14:paraId="2F7A0664"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7753F15B"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5E09D10B"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61EABF27"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40</w:t>
            </w:r>
          </w:p>
        </w:tc>
        <w:tc>
          <w:tcPr>
            <w:tcW w:w="3540" w:type="pct"/>
            <w:tcBorders>
              <w:top w:val="nil"/>
              <w:left w:val="nil"/>
              <w:bottom w:val="single" w:sz="4" w:space="0" w:color="auto"/>
              <w:right w:val="single" w:sz="4" w:space="0" w:color="auto"/>
            </w:tcBorders>
            <w:shd w:val="clear" w:color="auto" w:fill="auto"/>
            <w:hideMark/>
          </w:tcPr>
          <w:p w14:paraId="05B4256C"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must not require specific response customizations for Web Application Firewall (WAF) assessment</w:t>
            </w:r>
          </w:p>
        </w:tc>
        <w:tc>
          <w:tcPr>
            <w:tcW w:w="427" w:type="pct"/>
            <w:tcBorders>
              <w:top w:val="nil"/>
              <w:left w:val="nil"/>
              <w:bottom w:val="single" w:sz="4" w:space="0" w:color="auto"/>
              <w:right w:val="single" w:sz="4" w:space="0" w:color="auto"/>
            </w:tcBorders>
            <w:shd w:val="clear" w:color="auto" w:fill="auto"/>
            <w:hideMark/>
          </w:tcPr>
          <w:p w14:paraId="6B0C4313"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50761B80"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59304068"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39A58124"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41</w:t>
            </w:r>
          </w:p>
        </w:tc>
        <w:tc>
          <w:tcPr>
            <w:tcW w:w="3540" w:type="pct"/>
            <w:tcBorders>
              <w:top w:val="nil"/>
              <w:left w:val="nil"/>
              <w:bottom w:val="single" w:sz="4" w:space="0" w:color="auto"/>
              <w:right w:val="single" w:sz="4" w:space="0" w:color="auto"/>
            </w:tcBorders>
            <w:shd w:val="clear" w:color="auto" w:fill="auto"/>
            <w:hideMark/>
          </w:tcPr>
          <w:p w14:paraId="1D581C5F"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should use actual threat payload for security control assessment rather than using “PCAP playing” for web application attacks</w:t>
            </w:r>
          </w:p>
        </w:tc>
        <w:tc>
          <w:tcPr>
            <w:tcW w:w="427" w:type="pct"/>
            <w:tcBorders>
              <w:top w:val="nil"/>
              <w:left w:val="nil"/>
              <w:bottom w:val="single" w:sz="4" w:space="0" w:color="auto"/>
              <w:right w:val="single" w:sz="4" w:space="0" w:color="auto"/>
            </w:tcBorders>
            <w:shd w:val="clear" w:color="auto" w:fill="auto"/>
            <w:hideMark/>
          </w:tcPr>
          <w:p w14:paraId="58451744"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6D9A72BA"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0324ACBF"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2B23B2EB"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42</w:t>
            </w:r>
          </w:p>
        </w:tc>
        <w:tc>
          <w:tcPr>
            <w:tcW w:w="3540" w:type="pct"/>
            <w:tcBorders>
              <w:top w:val="nil"/>
              <w:left w:val="nil"/>
              <w:bottom w:val="single" w:sz="4" w:space="0" w:color="auto"/>
              <w:right w:val="single" w:sz="4" w:space="0" w:color="auto"/>
            </w:tcBorders>
            <w:shd w:val="clear" w:color="auto" w:fill="auto"/>
            <w:hideMark/>
          </w:tcPr>
          <w:p w14:paraId="1393B2BF"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should also perform Web Application Attacks over both HTTP and HTTPS and should allow users to change HTTP and HTTPS default ports</w:t>
            </w:r>
          </w:p>
        </w:tc>
        <w:tc>
          <w:tcPr>
            <w:tcW w:w="427" w:type="pct"/>
            <w:tcBorders>
              <w:top w:val="nil"/>
              <w:left w:val="nil"/>
              <w:bottom w:val="single" w:sz="4" w:space="0" w:color="auto"/>
              <w:right w:val="single" w:sz="4" w:space="0" w:color="auto"/>
            </w:tcBorders>
            <w:shd w:val="clear" w:color="auto" w:fill="auto"/>
            <w:hideMark/>
          </w:tcPr>
          <w:p w14:paraId="243D06E8"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543EAAA0"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01217E8A"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3103CF17"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43</w:t>
            </w:r>
          </w:p>
        </w:tc>
        <w:tc>
          <w:tcPr>
            <w:tcW w:w="3540" w:type="pct"/>
            <w:tcBorders>
              <w:top w:val="nil"/>
              <w:left w:val="nil"/>
              <w:bottom w:val="single" w:sz="4" w:space="0" w:color="auto"/>
              <w:right w:val="single" w:sz="4" w:space="0" w:color="auto"/>
            </w:tcBorders>
            <w:shd w:val="clear" w:color="auto" w:fill="auto"/>
            <w:hideMark/>
          </w:tcPr>
          <w:p w14:paraId="7A2C6591"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should also cover Data exfiltration techniques including HTTP, HTTPS &amp; TCP protocols</w:t>
            </w:r>
          </w:p>
        </w:tc>
        <w:tc>
          <w:tcPr>
            <w:tcW w:w="427" w:type="pct"/>
            <w:tcBorders>
              <w:top w:val="nil"/>
              <w:left w:val="nil"/>
              <w:bottom w:val="single" w:sz="4" w:space="0" w:color="auto"/>
              <w:right w:val="single" w:sz="4" w:space="0" w:color="auto"/>
            </w:tcBorders>
            <w:shd w:val="clear" w:color="auto" w:fill="auto"/>
            <w:hideMark/>
          </w:tcPr>
          <w:p w14:paraId="14417612"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2E5B56E6"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5EDCC6B8"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7D002475"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44</w:t>
            </w:r>
          </w:p>
        </w:tc>
        <w:tc>
          <w:tcPr>
            <w:tcW w:w="3540" w:type="pct"/>
            <w:tcBorders>
              <w:top w:val="nil"/>
              <w:left w:val="nil"/>
              <w:bottom w:val="single" w:sz="4" w:space="0" w:color="auto"/>
              <w:right w:val="single" w:sz="4" w:space="0" w:color="auto"/>
            </w:tcBorders>
            <w:shd w:val="clear" w:color="auto" w:fill="auto"/>
            <w:hideMark/>
          </w:tcPr>
          <w:p w14:paraId="0983A2C8"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In the Data Exfiltration Assessment activity, the solution should send files in an encrypted format instead of clear text</w:t>
            </w:r>
          </w:p>
        </w:tc>
        <w:tc>
          <w:tcPr>
            <w:tcW w:w="427" w:type="pct"/>
            <w:tcBorders>
              <w:top w:val="nil"/>
              <w:left w:val="nil"/>
              <w:bottom w:val="single" w:sz="4" w:space="0" w:color="auto"/>
              <w:right w:val="single" w:sz="4" w:space="0" w:color="auto"/>
            </w:tcBorders>
            <w:shd w:val="clear" w:color="auto" w:fill="auto"/>
            <w:hideMark/>
          </w:tcPr>
          <w:p w14:paraId="1A087E7E"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52E96537"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38C8C60A"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56C07595"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45</w:t>
            </w:r>
          </w:p>
        </w:tc>
        <w:tc>
          <w:tcPr>
            <w:tcW w:w="3540" w:type="pct"/>
            <w:tcBorders>
              <w:top w:val="nil"/>
              <w:left w:val="nil"/>
              <w:bottom w:val="single" w:sz="4" w:space="0" w:color="auto"/>
              <w:right w:val="single" w:sz="4" w:space="0" w:color="auto"/>
            </w:tcBorders>
            <w:shd w:val="clear" w:color="auto" w:fill="auto"/>
            <w:hideMark/>
          </w:tcPr>
          <w:p w14:paraId="306BAED2"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should be able to validate URL filtering capabilities against different URL categories</w:t>
            </w:r>
          </w:p>
        </w:tc>
        <w:tc>
          <w:tcPr>
            <w:tcW w:w="427" w:type="pct"/>
            <w:tcBorders>
              <w:top w:val="nil"/>
              <w:left w:val="nil"/>
              <w:bottom w:val="single" w:sz="4" w:space="0" w:color="auto"/>
              <w:right w:val="single" w:sz="4" w:space="0" w:color="auto"/>
            </w:tcBorders>
            <w:shd w:val="clear" w:color="auto" w:fill="auto"/>
            <w:hideMark/>
          </w:tcPr>
          <w:p w14:paraId="2E1E7207"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610931CF"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68E342F2"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0962406F"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46</w:t>
            </w:r>
          </w:p>
        </w:tc>
        <w:tc>
          <w:tcPr>
            <w:tcW w:w="3540" w:type="pct"/>
            <w:tcBorders>
              <w:top w:val="nil"/>
              <w:left w:val="nil"/>
              <w:bottom w:val="single" w:sz="4" w:space="0" w:color="auto"/>
              <w:right w:val="single" w:sz="4" w:space="0" w:color="auto"/>
            </w:tcBorders>
            <w:shd w:val="clear" w:color="auto" w:fill="auto"/>
            <w:hideMark/>
          </w:tcPr>
          <w:p w14:paraId="194E8ACA"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should include URL categories within its database as templates</w:t>
            </w:r>
          </w:p>
        </w:tc>
        <w:tc>
          <w:tcPr>
            <w:tcW w:w="427" w:type="pct"/>
            <w:tcBorders>
              <w:top w:val="nil"/>
              <w:left w:val="nil"/>
              <w:bottom w:val="single" w:sz="4" w:space="0" w:color="auto"/>
              <w:right w:val="single" w:sz="4" w:space="0" w:color="auto"/>
            </w:tcBorders>
            <w:shd w:val="clear" w:color="auto" w:fill="auto"/>
            <w:hideMark/>
          </w:tcPr>
          <w:p w14:paraId="752F1E27"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2BA4B5E8"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0FDBEDC7"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718C2A8F"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47</w:t>
            </w:r>
          </w:p>
        </w:tc>
        <w:tc>
          <w:tcPr>
            <w:tcW w:w="3540" w:type="pct"/>
            <w:tcBorders>
              <w:top w:val="nil"/>
              <w:left w:val="nil"/>
              <w:bottom w:val="single" w:sz="4" w:space="0" w:color="auto"/>
              <w:right w:val="single" w:sz="4" w:space="0" w:color="auto"/>
            </w:tcBorders>
            <w:shd w:val="clear" w:color="auto" w:fill="auto"/>
            <w:hideMark/>
          </w:tcPr>
          <w:p w14:paraId="29499853"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should allow users to easily import custom URLs to be validated</w:t>
            </w:r>
          </w:p>
        </w:tc>
        <w:tc>
          <w:tcPr>
            <w:tcW w:w="427" w:type="pct"/>
            <w:tcBorders>
              <w:top w:val="nil"/>
              <w:left w:val="nil"/>
              <w:bottom w:val="single" w:sz="4" w:space="0" w:color="auto"/>
              <w:right w:val="single" w:sz="4" w:space="0" w:color="auto"/>
            </w:tcBorders>
            <w:shd w:val="clear" w:color="auto" w:fill="auto"/>
            <w:hideMark/>
          </w:tcPr>
          <w:p w14:paraId="0765830B"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5C60FD22"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13B20656"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033D9867"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48</w:t>
            </w:r>
          </w:p>
        </w:tc>
        <w:tc>
          <w:tcPr>
            <w:tcW w:w="3540" w:type="pct"/>
            <w:tcBorders>
              <w:top w:val="nil"/>
              <w:left w:val="nil"/>
              <w:bottom w:val="single" w:sz="4" w:space="0" w:color="auto"/>
              <w:right w:val="single" w:sz="4" w:space="0" w:color="auto"/>
            </w:tcBorders>
            <w:shd w:val="clear" w:color="auto" w:fill="auto"/>
            <w:hideMark/>
          </w:tcPr>
          <w:p w14:paraId="6D0C683B"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should allow users to configure the expected response while trying to access the URL as the result condition</w:t>
            </w:r>
          </w:p>
        </w:tc>
        <w:tc>
          <w:tcPr>
            <w:tcW w:w="427" w:type="pct"/>
            <w:tcBorders>
              <w:top w:val="nil"/>
              <w:left w:val="nil"/>
              <w:bottom w:val="single" w:sz="4" w:space="0" w:color="auto"/>
              <w:right w:val="single" w:sz="4" w:space="0" w:color="auto"/>
            </w:tcBorders>
            <w:shd w:val="clear" w:color="auto" w:fill="auto"/>
            <w:hideMark/>
          </w:tcPr>
          <w:p w14:paraId="10077DD9"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0A73B34B"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49AD1E08"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2FA9CCA9"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49</w:t>
            </w:r>
          </w:p>
        </w:tc>
        <w:tc>
          <w:tcPr>
            <w:tcW w:w="3540" w:type="pct"/>
            <w:tcBorders>
              <w:top w:val="nil"/>
              <w:left w:val="nil"/>
              <w:bottom w:val="single" w:sz="4" w:space="0" w:color="auto"/>
              <w:right w:val="single" w:sz="4" w:space="0" w:color="auto"/>
            </w:tcBorders>
            <w:shd w:val="clear" w:color="auto" w:fill="auto"/>
            <w:hideMark/>
          </w:tcPr>
          <w:p w14:paraId="201D4ACF"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should imitate malicious methods used by APT’s (Advanced Persistent Threats) while testing on Windows, Linux, MAC etc endpoint security controls, without infecting the underlying operating system.</w:t>
            </w:r>
          </w:p>
        </w:tc>
        <w:tc>
          <w:tcPr>
            <w:tcW w:w="427" w:type="pct"/>
            <w:tcBorders>
              <w:top w:val="nil"/>
              <w:left w:val="nil"/>
              <w:bottom w:val="single" w:sz="4" w:space="0" w:color="auto"/>
              <w:right w:val="single" w:sz="4" w:space="0" w:color="auto"/>
            </w:tcBorders>
            <w:shd w:val="clear" w:color="auto" w:fill="auto"/>
            <w:hideMark/>
          </w:tcPr>
          <w:p w14:paraId="1ECBB1C1"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076F08B1"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0FBB4CEB" w14:textId="77777777" w:rsidTr="008E0319">
        <w:trPr>
          <w:trHeight w:val="765"/>
        </w:trPr>
        <w:tc>
          <w:tcPr>
            <w:tcW w:w="176" w:type="pct"/>
            <w:tcBorders>
              <w:top w:val="nil"/>
              <w:left w:val="single" w:sz="4" w:space="0" w:color="auto"/>
              <w:bottom w:val="single" w:sz="4" w:space="0" w:color="auto"/>
              <w:right w:val="single" w:sz="4" w:space="0" w:color="auto"/>
            </w:tcBorders>
            <w:shd w:val="clear" w:color="auto" w:fill="auto"/>
            <w:hideMark/>
          </w:tcPr>
          <w:p w14:paraId="1165E76F"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50</w:t>
            </w:r>
          </w:p>
        </w:tc>
        <w:tc>
          <w:tcPr>
            <w:tcW w:w="3540" w:type="pct"/>
            <w:tcBorders>
              <w:top w:val="nil"/>
              <w:left w:val="nil"/>
              <w:bottom w:val="single" w:sz="4" w:space="0" w:color="auto"/>
              <w:right w:val="single" w:sz="4" w:space="0" w:color="auto"/>
            </w:tcBorders>
            <w:shd w:val="clear" w:color="auto" w:fill="auto"/>
            <w:hideMark/>
          </w:tcPr>
          <w:p w14:paraId="0D6C4E97"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should have on-premises agent based/ agentless component of Breach Attack Simulation (BAS) which would be used to access the security posture of the target production environment (inside-to-outside, outside-to-inside, inside to-inside, and lateral movement), gain insights into the effectiveness of applicable security controls</w:t>
            </w:r>
          </w:p>
        </w:tc>
        <w:tc>
          <w:tcPr>
            <w:tcW w:w="427" w:type="pct"/>
            <w:tcBorders>
              <w:top w:val="nil"/>
              <w:left w:val="nil"/>
              <w:bottom w:val="single" w:sz="4" w:space="0" w:color="auto"/>
              <w:right w:val="single" w:sz="4" w:space="0" w:color="auto"/>
            </w:tcBorders>
            <w:shd w:val="clear" w:color="auto" w:fill="auto"/>
            <w:hideMark/>
          </w:tcPr>
          <w:p w14:paraId="0F0FB25A"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6839E2B6"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12D98819"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1F827CF5"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51</w:t>
            </w:r>
          </w:p>
        </w:tc>
        <w:tc>
          <w:tcPr>
            <w:tcW w:w="3540" w:type="pct"/>
            <w:tcBorders>
              <w:top w:val="nil"/>
              <w:left w:val="nil"/>
              <w:bottom w:val="single" w:sz="4" w:space="0" w:color="auto"/>
              <w:right w:val="single" w:sz="4" w:space="0" w:color="auto"/>
            </w:tcBorders>
            <w:shd w:val="clear" w:color="auto" w:fill="auto"/>
            <w:hideMark/>
          </w:tcPr>
          <w:p w14:paraId="6C009593"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should support HTTP &amp; HTTPS protocols for testing network security controls. All applicable Network Infiltration (file download) attacks should run over these protocols</w:t>
            </w:r>
          </w:p>
        </w:tc>
        <w:tc>
          <w:tcPr>
            <w:tcW w:w="427" w:type="pct"/>
            <w:tcBorders>
              <w:top w:val="nil"/>
              <w:left w:val="nil"/>
              <w:bottom w:val="single" w:sz="4" w:space="0" w:color="auto"/>
              <w:right w:val="single" w:sz="4" w:space="0" w:color="auto"/>
            </w:tcBorders>
            <w:shd w:val="clear" w:color="auto" w:fill="auto"/>
            <w:hideMark/>
          </w:tcPr>
          <w:p w14:paraId="6D7708AF"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0A950B27"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162398F1"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3E46F203"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52</w:t>
            </w:r>
          </w:p>
        </w:tc>
        <w:tc>
          <w:tcPr>
            <w:tcW w:w="3540" w:type="pct"/>
            <w:tcBorders>
              <w:top w:val="nil"/>
              <w:left w:val="nil"/>
              <w:bottom w:val="single" w:sz="4" w:space="0" w:color="auto"/>
              <w:right w:val="single" w:sz="4" w:space="0" w:color="auto"/>
            </w:tcBorders>
            <w:shd w:val="clear" w:color="auto" w:fill="auto"/>
            <w:hideMark/>
          </w:tcPr>
          <w:p w14:paraId="42BF2924"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should validate the threat facing Cyber Security technology like Firewall, IDS/IPS, Antivirus, EDR, Web Application Firewalls, XDR &amp; SIEM.</w:t>
            </w:r>
          </w:p>
        </w:tc>
        <w:tc>
          <w:tcPr>
            <w:tcW w:w="427" w:type="pct"/>
            <w:tcBorders>
              <w:top w:val="nil"/>
              <w:left w:val="nil"/>
              <w:bottom w:val="single" w:sz="4" w:space="0" w:color="auto"/>
              <w:right w:val="single" w:sz="4" w:space="0" w:color="auto"/>
            </w:tcBorders>
            <w:shd w:val="clear" w:color="auto" w:fill="auto"/>
            <w:hideMark/>
          </w:tcPr>
          <w:p w14:paraId="3A9A31EE"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487A47DC"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032AC917"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6EAF1D1B"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53</w:t>
            </w:r>
          </w:p>
        </w:tc>
        <w:tc>
          <w:tcPr>
            <w:tcW w:w="3540" w:type="pct"/>
            <w:tcBorders>
              <w:top w:val="nil"/>
              <w:left w:val="nil"/>
              <w:bottom w:val="single" w:sz="4" w:space="0" w:color="auto"/>
              <w:right w:val="single" w:sz="4" w:space="0" w:color="auto"/>
            </w:tcBorders>
            <w:shd w:val="clear" w:color="auto" w:fill="auto"/>
            <w:hideMark/>
          </w:tcPr>
          <w:p w14:paraId="4EFC808E"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The proposed solution should allow users to add Play and Rewind processes with at least the following information to be added: </w:t>
            </w:r>
          </w:p>
        </w:tc>
        <w:tc>
          <w:tcPr>
            <w:tcW w:w="427" w:type="pct"/>
            <w:tcBorders>
              <w:top w:val="nil"/>
              <w:left w:val="nil"/>
              <w:bottom w:val="single" w:sz="4" w:space="0" w:color="auto"/>
              <w:right w:val="single" w:sz="4" w:space="0" w:color="auto"/>
            </w:tcBorders>
            <w:shd w:val="clear" w:color="auto" w:fill="auto"/>
            <w:hideMark/>
          </w:tcPr>
          <w:p w14:paraId="47DCA938"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775496D1"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43CA2227"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1B711FE5"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54</w:t>
            </w:r>
          </w:p>
        </w:tc>
        <w:tc>
          <w:tcPr>
            <w:tcW w:w="3540" w:type="pct"/>
            <w:tcBorders>
              <w:top w:val="nil"/>
              <w:left w:val="nil"/>
              <w:bottom w:val="single" w:sz="4" w:space="0" w:color="auto"/>
              <w:right w:val="single" w:sz="4" w:space="0" w:color="auto"/>
            </w:tcBorders>
            <w:shd w:val="clear" w:color="auto" w:fill="auto"/>
            <w:hideMark/>
          </w:tcPr>
          <w:p w14:paraId="5DE151EF"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a) Path and Argument, </w:t>
            </w:r>
          </w:p>
        </w:tc>
        <w:tc>
          <w:tcPr>
            <w:tcW w:w="427" w:type="pct"/>
            <w:tcBorders>
              <w:top w:val="nil"/>
              <w:left w:val="nil"/>
              <w:bottom w:val="single" w:sz="4" w:space="0" w:color="auto"/>
              <w:right w:val="single" w:sz="4" w:space="0" w:color="auto"/>
            </w:tcBorders>
            <w:shd w:val="clear" w:color="auto" w:fill="auto"/>
            <w:hideMark/>
          </w:tcPr>
          <w:p w14:paraId="28112214"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34553474"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3A2778AA"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3C8D0E1B"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55</w:t>
            </w:r>
          </w:p>
        </w:tc>
        <w:tc>
          <w:tcPr>
            <w:tcW w:w="3540" w:type="pct"/>
            <w:tcBorders>
              <w:top w:val="nil"/>
              <w:left w:val="nil"/>
              <w:bottom w:val="single" w:sz="4" w:space="0" w:color="auto"/>
              <w:right w:val="single" w:sz="4" w:space="0" w:color="auto"/>
            </w:tcBorders>
            <w:shd w:val="clear" w:color="auto" w:fill="auto"/>
            <w:hideMark/>
          </w:tcPr>
          <w:p w14:paraId="0A62F6C8"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b) Ability to Add a Remote File </w:t>
            </w:r>
          </w:p>
        </w:tc>
        <w:tc>
          <w:tcPr>
            <w:tcW w:w="427" w:type="pct"/>
            <w:tcBorders>
              <w:top w:val="nil"/>
              <w:left w:val="nil"/>
              <w:bottom w:val="single" w:sz="4" w:space="0" w:color="auto"/>
              <w:right w:val="single" w:sz="4" w:space="0" w:color="auto"/>
            </w:tcBorders>
            <w:shd w:val="clear" w:color="auto" w:fill="auto"/>
            <w:hideMark/>
          </w:tcPr>
          <w:p w14:paraId="11A20963"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104ECD52"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61BEBEF6"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174CDC3D"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lastRenderedPageBreak/>
              <w:t>56</w:t>
            </w:r>
          </w:p>
        </w:tc>
        <w:tc>
          <w:tcPr>
            <w:tcW w:w="3540" w:type="pct"/>
            <w:tcBorders>
              <w:top w:val="nil"/>
              <w:left w:val="nil"/>
              <w:bottom w:val="single" w:sz="4" w:space="0" w:color="auto"/>
              <w:right w:val="single" w:sz="4" w:space="0" w:color="auto"/>
            </w:tcBorders>
            <w:shd w:val="clear" w:color="auto" w:fill="auto"/>
            <w:hideMark/>
          </w:tcPr>
          <w:p w14:paraId="7AA9D8C3"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c) Ability to Use a Local File </w:t>
            </w:r>
          </w:p>
        </w:tc>
        <w:tc>
          <w:tcPr>
            <w:tcW w:w="427" w:type="pct"/>
            <w:tcBorders>
              <w:top w:val="nil"/>
              <w:left w:val="nil"/>
              <w:bottom w:val="single" w:sz="4" w:space="0" w:color="auto"/>
              <w:right w:val="single" w:sz="4" w:space="0" w:color="auto"/>
            </w:tcBorders>
            <w:shd w:val="clear" w:color="auto" w:fill="auto"/>
            <w:hideMark/>
          </w:tcPr>
          <w:p w14:paraId="60EDB16A"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19BC2406"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66E078EC"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6DB0D9D4"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57</w:t>
            </w:r>
          </w:p>
        </w:tc>
        <w:tc>
          <w:tcPr>
            <w:tcW w:w="3540" w:type="pct"/>
            <w:tcBorders>
              <w:top w:val="nil"/>
              <w:left w:val="nil"/>
              <w:bottom w:val="single" w:sz="4" w:space="0" w:color="auto"/>
              <w:right w:val="single" w:sz="4" w:space="0" w:color="auto"/>
            </w:tcBorders>
            <w:shd w:val="clear" w:color="auto" w:fill="auto"/>
            <w:hideMark/>
          </w:tcPr>
          <w:p w14:paraId="34A17A86"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d) Define Result Logic </w:t>
            </w:r>
          </w:p>
        </w:tc>
        <w:tc>
          <w:tcPr>
            <w:tcW w:w="427" w:type="pct"/>
            <w:tcBorders>
              <w:top w:val="nil"/>
              <w:left w:val="nil"/>
              <w:bottom w:val="single" w:sz="4" w:space="0" w:color="auto"/>
              <w:right w:val="single" w:sz="4" w:space="0" w:color="auto"/>
            </w:tcBorders>
            <w:shd w:val="clear" w:color="auto" w:fill="auto"/>
            <w:hideMark/>
          </w:tcPr>
          <w:p w14:paraId="31E63EB9"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69010317"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05C44D3E"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4C8BE155"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58</w:t>
            </w:r>
          </w:p>
        </w:tc>
        <w:tc>
          <w:tcPr>
            <w:tcW w:w="3540" w:type="pct"/>
            <w:tcBorders>
              <w:top w:val="nil"/>
              <w:left w:val="nil"/>
              <w:bottom w:val="single" w:sz="4" w:space="0" w:color="auto"/>
              <w:right w:val="single" w:sz="4" w:space="0" w:color="auto"/>
            </w:tcBorders>
            <w:shd w:val="clear" w:color="auto" w:fill="auto"/>
            <w:hideMark/>
          </w:tcPr>
          <w:p w14:paraId="2D504D6D"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e) Metadata Information </w:t>
            </w:r>
          </w:p>
        </w:tc>
        <w:tc>
          <w:tcPr>
            <w:tcW w:w="427" w:type="pct"/>
            <w:tcBorders>
              <w:top w:val="nil"/>
              <w:left w:val="nil"/>
              <w:bottom w:val="single" w:sz="4" w:space="0" w:color="auto"/>
              <w:right w:val="single" w:sz="4" w:space="0" w:color="auto"/>
            </w:tcBorders>
            <w:shd w:val="clear" w:color="auto" w:fill="auto"/>
            <w:hideMark/>
          </w:tcPr>
          <w:p w14:paraId="7CB71660"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16E26188"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61158708"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56D3E4CA"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59</w:t>
            </w:r>
          </w:p>
        </w:tc>
        <w:tc>
          <w:tcPr>
            <w:tcW w:w="3540" w:type="pct"/>
            <w:tcBorders>
              <w:top w:val="nil"/>
              <w:left w:val="nil"/>
              <w:bottom w:val="single" w:sz="4" w:space="0" w:color="auto"/>
              <w:right w:val="single" w:sz="4" w:space="0" w:color="auto"/>
            </w:tcBorders>
            <w:shd w:val="clear" w:color="auto" w:fill="auto"/>
            <w:hideMark/>
          </w:tcPr>
          <w:p w14:paraId="19FD0C1A"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f) Action Details </w:t>
            </w:r>
          </w:p>
        </w:tc>
        <w:tc>
          <w:tcPr>
            <w:tcW w:w="427" w:type="pct"/>
            <w:tcBorders>
              <w:top w:val="nil"/>
              <w:left w:val="nil"/>
              <w:bottom w:val="single" w:sz="4" w:space="0" w:color="auto"/>
              <w:right w:val="single" w:sz="4" w:space="0" w:color="auto"/>
            </w:tcBorders>
            <w:shd w:val="clear" w:color="auto" w:fill="auto"/>
            <w:hideMark/>
          </w:tcPr>
          <w:p w14:paraId="1BC5F872"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14D8ED55"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41A2D827"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11EA1DBE"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60</w:t>
            </w:r>
          </w:p>
        </w:tc>
        <w:tc>
          <w:tcPr>
            <w:tcW w:w="3540" w:type="pct"/>
            <w:tcBorders>
              <w:top w:val="nil"/>
              <w:left w:val="nil"/>
              <w:bottom w:val="single" w:sz="4" w:space="0" w:color="auto"/>
              <w:right w:val="single" w:sz="4" w:space="0" w:color="auto"/>
            </w:tcBorders>
            <w:shd w:val="clear" w:color="auto" w:fill="auto"/>
            <w:hideMark/>
          </w:tcPr>
          <w:p w14:paraId="5D83C1B6"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should provide ready to use, user-customisable dynamic threat templates for Security Posture Management such as Readiness Against Ransomwares, Readiness Against APT Groups</w:t>
            </w:r>
          </w:p>
        </w:tc>
        <w:tc>
          <w:tcPr>
            <w:tcW w:w="427" w:type="pct"/>
            <w:tcBorders>
              <w:top w:val="nil"/>
              <w:left w:val="nil"/>
              <w:bottom w:val="single" w:sz="4" w:space="0" w:color="auto"/>
              <w:right w:val="single" w:sz="4" w:space="0" w:color="auto"/>
            </w:tcBorders>
            <w:shd w:val="clear" w:color="auto" w:fill="auto"/>
            <w:hideMark/>
          </w:tcPr>
          <w:p w14:paraId="22AB4C18"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2092FA8E"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7BAA3B0B"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1F4B1D59"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61</w:t>
            </w:r>
          </w:p>
        </w:tc>
        <w:tc>
          <w:tcPr>
            <w:tcW w:w="3540" w:type="pct"/>
            <w:tcBorders>
              <w:top w:val="nil"/>
              <w:left w:val="nil"/>
              <w:bottom w:val="single" w:sz="4" w:space="0" w:color="auto"/>
              <w:right w:val="single" w:sz="4" w:space="0" w:color="auto"/>
            </w:tcBorders>
            <w:shd w:val="clear" w:color="auto" w:fill="auto"/>
            <w:hideMark/>
          </w:tcPr>
          <w:p w14:paraId="1FB19642"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should be able to Create dynamic attack groups so that future attacks are automatically added into the group.</w:t>
            </w:r>
          </w:p>
        </w:tc>
        <w:tc>
          <w:tcPr>
            <w:tcW w:w="427" w:type="pct"/>
            <w:tcBorders>
              <w:top w:val="nil"/>
              <w:left w:val="nil"/>
              <w:bottom w:val="single" w:sz="4" w:space="0" w:color="auto"/>
              <w:right w:val="single" w:sz="4" w:space="0" w:color="auto"/>
            </w:tcBorders>
            <w:shd w:val="clear" w:color="auto" w:fill="auto"/>
            <w:hideMark/>
          </w:tcPr>
          <w:p w14:paraId="7ADE1AEB"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35BBAB5F"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7B3DEE9E"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4CA8058A"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62</w:t>
            </w:r>
          </w:p>
        </w:tc>
        <w:tc>
          <w:tcPr>
            <w:tcW w:w="3540" w:type="pct"/>
            <w:tcBorders>
              <w:top w:val="nil"/>
              <w:left w:val="nil"/>
              <w:bottom w:val="single" w:sz="4" w:space="0" w:color="auto"/>
              <w:right w:val="single" w:sz="4" w:space="0" w:color="auto"/>
            </w:tcBorders>
            <w:shd w:val="clear" w:color="auto" w:fill="auto"/>
            <w:hideMark/>
          </w:tcPr>
          <w:p w14:paraId="64E95260"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The proposed solution should provide the custom creation of dynamic templates with filters such as Threat Name, Tags, Attack Category, Threat Actors, Unified Kill chain, MITRE ATT&amp;CK Tactics, Affected OS, Severity, Release Date. </w:t>
            </w:r>
          </w:p>
        </w:tc>
        <w:tc>
          <w:tcPr>
            <w:tcW w:w="427" w:type="pct"/>
            <w:tcBorders>
              <w:top w:val="nil"/>
              <w:left w:val="nil"/>
              <w:bottom w:val="single" w:sz="4" w:space="0" w:color="auto"/>
              <w:right w:val="single" w:sz="4" w:space="0" w:color="auto"/>
            </w:tcBorders>
            <w:shd w:val="clear" w:color="auto" w:fill="auto"/>
            <w:hideMark/>
          </w:tcPr>
          <w:p w14:paraId="660A2582"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2E4DD700"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00D1E2D6"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11F81884"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63</w:t>
            </w:r>
          </w:p>
        </w:tc>
        <w:tc>
          <w:tcPr>
            <w:tcW w:w="3540" w:type="pct"/>
            <w:tcBorders>
              <w:top w:val="nil"/>
              <w:left w:val="nil"/>
              <w:bottom w:val="single" w:sz="4" w:space="0" w:color="auto"/>
              <w:right w:val="single" w:sz="4" w:space="0" w:color="auto"/>
            </w:tcBorders>
            <w:shd w:val="clear" w:color="auto" w:fill="auto"/>
            <w:hideMark/>
          </w:tcPr>
          <w:p w14:paraId="75D12FD4"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should display the utilization and effectiveness level of a Cyber Security technology, expressed as a percentage, number of blocked and not blocked threats per simulation</w:t>
            </w:r>
          </w:p>
        </w:tc>
        <w:tc>
          <w:tcPr>
            <w:tcW w:w="427" w:type="pct"/>
            <w:tcBorders>
              <w:top w:val="nil"/>
              <w:left w:val="nil"/>
              <w:bottom w:val="single" w:sz="4" w:space="0" w:color="auto"/>
              <w:right w:val="single" w:sz="4" w:space="0" w:color="auto"/>
            </w:tcBorders>
            <w:shd w:val="clear" w:color="auto" w:fill="auto"/>
            <w:hideMark/>
          </w:tcPr>
          <w:p w14:paraId="7524DAD6"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21EC49A4"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099AA7CF"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0EF7DF72"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64</w:t>
            </w:r>
          </w:p>
        </w:tc>
        <w:tc>
          <w:tcPr>
            <w:tcW w:w="3540" w:type="pct"/>
            <w:tcBorders>
              <w:top w:val="nil"/>
              <w:left w:val="nil"/>
              <w:bottom w:val="single" w:sz="4" w:space="0" w:color="auto"/>
              <w:right w:val="single" w:sz="4" w:space="0" w:color="auto"/>
            </w:tcBorders>
            <w:shd w:val="clear" w:color="auto" w:fill="auto"/>
            <w:hideMark/>
          </w:tcPr>
          <w:p w14:paraId="5643D8A1"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should provide access to MITRE ATT&amp;CK framework coverage in the web interface for each simulation</w:t>
            </w:r>
          </w:p>
        </w:tc>
        <w:tc>
          <w:tcPr>
            <w:tcW w:w="427" w:type="pct"/>
            <w:tcBorders>
              <w:top w:val="nil"/>
              <w:left w:val="nil"/>
              <w:bottom w:val="single" w:sz="4" w:space="0" w:color="auto"/>
              <w:right w:val="single" w:sz="4" w:space="0" w:color="auto"/>
            </w:tcBorders>
            <w:shd w:val="clear" w:color="auto" w:fill="auto"/>
            <w:hideMark/>
          </w:tcPr>
          <w:p w14:paraId="03DA7105"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6E2E8469"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19A79F70"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0D2466D3"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65</w:t>
            </w:r>
          </w:p>
        </w:tc>
        <w:tc>
          <w:tcPr>
            <w:tcW w:w="3540" w:type="pct"/>
            <w:tcBorders>
              <w:top w:val="nil"/>
              <w:left w:val="nil"/>
              <w:bottom w:val="single" w:sz="4" w:space="0" w:color="auto"/>
              <w:right w:val="single" w:sz="4" w:space="0" w:color="auto"/>
            </w:tcBorders>
            <w:shd w:val="clear" w:color="auto" w:fill="auto"/>
            <w:hideMark/>
          </w:tcPr>
          <w:p w14:paraId="48897016"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must provide a unified MITRE ATT&amp;CK heatmap that integrates and shows prevention and detection scores of MITRE ATT&amp;CK techniques</w:t>
            </w:r>
          </w:p>
        </w:tc>
        <w:tc>
          <w:tcPr>
            <w:tcW w:w="427" w:type="pct"/>
            <w:tcBorders>
              <w:top w:val="nil"/>
              <w:left w:val="nil"/>
              <w:bottom w:val="single" w:sz="4" w:space="0" w:color="auto"/>
              <w:right w:val="single" w:sz="4" w:space="0" w:color="auto"/>
            </w:tcBorders>
            <w:shd w:val="clear" w:color="auto" w:fill="auto"/>
            <w:hideMark/>
          </w:tcPr>
          <w:p w14:paraId="5B9DE81D"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53DE7E7F"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2550441E"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4E9C423C"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66</w:t>
            </w:r>
          </w:p>
        </w:tc>
        <w:tc>
          <w:tcPr>
            <w:tcW w:w="3540" w:type="pct"/>
            <w:tcBorders>
              <w:top w:val="nil"/>
              <w:left w:val="nil"/>
              <w:bottom w:val="single" w:sz="4" w:space="0" w:color="auto"/>
              <w:right w:val="single" w:sz="4" w:space="0" w:color="auto"/>
            </w:tcBorders>
            <w:shd w:val="clear" w:color="auto" w:fill="auto"/>
            <w:hideMark/>
          </w:tcPr>
          <w:p w14:paraId="5BA5DAA0"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The proposed solution should provide the custom creation of dynamic templates with filters such as Threat Name, Tags, Attack Category, Threat Actors, Unified Kill chain, MITRE ATT&amp;CK Tactics, Affected OS, Severity, and Release Date. </w:t>
            </w:r>
          </w:p>
        </w:tc>
        <w:tc>
          <w:tcPr>
            <w:tcW w:w="427" w:type="pct"/>
            <w:tcBorders>
              <w:top w:val="nil"/>
              <w:left w:val="nil"/>
              <w:bottom w:val="single" w:sz="4" w:space="0" w:color="auto"/>
              <w:right w:val="single" w:sz="4" w:space="0" w:color="auto"/>
            </w:tcBorders>
            <w:shd w:val="clear" w:color="auto" w:fill="auto"/>
            <w:hideMark/>
          </w:tcPr>
          <w:p w14:paraId="04C11C5F"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7F6A1FBB"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046BDBAE" w14:textId="77777777" w:rsidTr="008E0319">
        <w:trPr>
          <w:trHeight w:val="765"/>
        </w:trPr>
        <w:tc>
          <w:tcPr>
            <w:tcW w:w="176" w:type="pct"/>
            <w:tcBorders>
              <w:top w:val="nil"/>
              <w:left w:val="single" w:sz="4" w:space="0" w:color="auto"/>
              <w:bottom w:val="single" w:sz="4" w:space="0" w:color="auto"/>
              <w:right w:val="single" w:sz="4" w:space="0" w:color="auto"/>
            </w:tcBorders>
            <w:shd w:val="clear" w:color="auto" w:fill="auto"/>
            <w:hideMark/>
          </w:tcPr>
          <w:p w14:paraId="1351FE0E"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67</w:t>
            </w:r>
          </w:p>
        </w:tc>
        <w:tc>
          <w:tcPr>
            <w:tcW w:w="3540" w:type="pct"/>
            <w:tcBorders>
              <w:top w:val="nil"/>
              <w:left w:val="nil"/>
              <w:bottom w:val="single" w:sz="4" w:space="0" w:color="auto"/>
              <w:right w:val="single" w:sz="4" w:space="0" w:color="auto"/>
            </w:tcBorders>
            <w:shd w:val="clear" w:color="auto" w:fill="auto"/>
            <w:hideMark/>
          </w:tcPr>
          <w:p w14:paraId="4B8C19AE"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should allow users to upload their custom attacks, Malicious Codes or Vulnerability Exploits payloads, Hashes etc to the Threat Repository for web application attack, email attack, network infiltration attacks, End Point attacks and data exfiltration attack</w:t>
            </w:r>
          </w:p>
        </w:tc>
        <w:tc>
          <w:tcPr>
            <w:tcW w:w="427" w:type="pct"/>
            <w:tcBorders>
              <w:top w:val="nil"/>
              <w:left w:val="nil"/>
              <w:bottom w:val="single" w:sz="4" w:space="0" w:color="auto"/>
              <w:right w:val="single" w:sz="4" w:space="0" w:color="auto"/>
            </w:tcBorders>
            <w:shd w:val="clear" w:color="auto" w:fill="auto"/>
            <w:hideMark/>
          </w:tcPr>
          <w:p w14:paraId="58C203B2"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2614BB8D"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0F5537DC"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38D75251"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68</w:t>
            </w:r>
          </w:p>
        </w:tc>
        <w:tc>
          <w:tcPr>
            <w:tcW w:w="3540" w:type="pct"/>
            <w:tcBorders>
              <w:top w:val="nil"/>
              <w:left w:val="nil"/>
              <w:bottom w:val="single" w:sz="4" w:space="0" w:color="auto"/>
              <w:right w:val="single" w:sz="4" w:space="0" w:color="auto"/>
            </w:tcBorders>
            <w:shd w:val="clear" w:color="auto" w:fill="auto"/>
            <w:hideMark/>
          </w:tcPr>
          <w:p w14:paraId="377DB86E"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The proposed solution should allow for the creation of multiple and customizable profiles – </w:t>
            </w:r>
          </w:p>
        </w:tc>
        <w:tc>
          <w:tcPr>
            <w:tcW w:w="427" w:type="pct"/>
            <w:tcBorders>
              <w:top w:val="nil"/>
              <w:left w:val="nil"/>
              <w:bottom w:val="single" w:sz="4" w:space="0" w:color="auto"/>
              <w:right w:val="single" w:sz="4" w:space="0" w:color="auto"/>
            </w:tcBorders>
            <w:shd w:val="clear" w:color="auto" w:fill="auto"/>
            <w:hideMark/>
          </w:tcPr>
          <w:p w14:paraId="6D1926FB"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78F94EE9"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6E17D47E"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534CA619"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69</w:t>
            </w:r>
          </w:p>
        </w:tc>
        <w:tc>
          <w:tcPr>
            <w:tcW w:w="3540" w:type="pct"/>
            <w:tcBorders>
              <w:top w:val="nil"/>
              <w:left w:val="nil"/>
              <w:bottom w:val="single" w:sz="4" w:space="0" w:color="auto"/>
              <w:right w:val="single" w:sz="4" w:space="0" w:color="auto"/>
            </w:tcBorders>
            <w:shd w:val="clear" w:color="auto" w:fill="auto"/>
            <w:hideMark/>
          </w:tcPr>
          <w:p w14:paraId="3E8CE93F"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a. admins, </w:t>
            </w:r>
          </w:p>
        </w:tc>
        <w:tc>
          <w:tcPr>
            <w:tcW w:w="427" w:type="pct"/>
            <w:tcBorders>
              <w:top w:val="nil"/>
              <w:left w:val="nil"/>
              <w:bottom w:val="single" w:sz="4" w:space="0" w:color="auto"/>
              <w:right w:val="single" w:sz="4" w:space="0" w:color="auto"/>
            </w:tcBorders>
            <w:shd w:val="clear" w:color="auto" w:fill="auto"/>
            <w:hideMark/>
          </w:tcPr>
          <w:p w14:paraId="3EDCD966"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398CEAC8"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7D6392FB"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233FDDD0"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70</w:t>
            </w:r>
          </w:p>
        </w:tc>
        <w:tc>
          <w:tcPr>
            <w:tcW w:w="3540" w:type="pct"/>
            <w:tcBorders>
              <w:top w:val="nil"/>
              <w:left w:val="nil"/>
              <w:bottom w:val="single" w:sz="4" w:space="0" w:color="auto"/>
              <w:right w:val="single" w:sz="4" w:space="0" w:color="auto"/>
            </w:tcBorders>
            <w:shd w:val="clear" w:color="auto" w:fill="auto"/>
            <w:hideMark/>
          </w:tcPr>
          <w:p w14:paraId="642D27BD"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b. analysts and </w:t>
            </w:r>
          </w:p>
        </w:tc>
        <w:tc>
          <w:tcPr>
            <w:tcW w:w="427" w:type="pct"/>
            <w:tcBorders>
              <w:top w:val="nil"/>
              <w:left w:val="nil"/>
              <w:bottom w:val="single" w:sz="4" w:space="0" w:color="auto"/>
              <w:right w:val="single" w:sz="4" w:space="0" w:color="auto"/>
            </w:tcBorders>
            <w:shd w:val="clear" w:color="auto" w:fill="auto"/>
            <w:hideMark/>
          </w:tcPr>
          <w:p w14:paraId="335A59D3"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2C34B72A"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39D285C4"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700AA762"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71</w:t>
            </w:r>
          </w:p>
        </w:tc>
        <w:tc>
          <w:tcPr>
            <w:tcW w:w="3540" w:type="pct"/>
            <w:tcBorders>
              <w:top w:val="nil"/>
              <w:left w:val="nil"/>
              <w:bottom w:val="single" w:sz="4" w:space="0" w:color="auto"/>
              <w:right w:val="single" w:sz="4" w:space="0" w:color="auto"/>
            </w:tcBorders>
            <w:shd w:val="clear" w:color="auto" w:fill="auto"/>
            <w:hideMark/>
          </w:tcPr>
          <w:p w14:paraId="63C452B6"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c. viewers with monitoring authorization levels only. </w:t>
            </w:r>
          </w:p>
        </w:tc>
        <w:tc>
          <w:tcPr>
            <w:tcW w:w="427" w:type="pct"/>
            <w:tcBorders>
              <w:top w:val="nil"/>
              <w:left w:val="nil"/>
              <w:bottom w:val="single" w:sz="4" w:space="0" w:color="auto"/>
              <w:right w:val="single" w:sz="4" w:space="0" w:color="auto"/>
            </w:tcBorders>
            <w:shd w:val="clear" w:color="auto" w:fill="auto"/>
            <w:hideMark/>
          </w:tcPr>
          <w:p w14:paraId="7DA5F08C"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620A224B"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716EF08C"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5C6286F8"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72</w:t>
            </w:r>
          </w:p>
        </w:tc>
        <w:tc>
          <w:tcPr>
            <w:tcW w:w="3540" w:type="pct"/>
            <w:tcBorders>
              <w:top w:val="nil"/>
              <w:left w:val="nil"/>
              <w:bottom w:val="single" w:sz="4" w:space="0" w:color="auto"/>
              <w:right w:val="single" w:sz="4" w:space="0" w:color="auto"/>
            </w:tcBorders>
            <w:shd w:val="clear" w:color="auto" w:fill="auto"/>
            <w:hideMark/>
          </w:tcPr>
          <w:p w14:paraId="4AE0BEF8"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Customizable options should be as follows: (a) Simulations (b) Templates (c) Agents (d) Custom Threats (e) Custom Actions (f) REST API Token (g) Organization Management (h) Mitigation</w:t>
            </w:r>
          </w:p>
        </w:tc>
        <w:tc>
          <w:tcPr>
            <w:tcW w:w="427" w:type="pct"/>
            <w:tcBorders>
              <w:top w:val="nil"/>
              <w:left w:val="nil"/>
              <w:bottom w:val="single" w:sz="4" w:space="0" w:color="auto"/>
              <w:right w:val="single" w:sz="4" w:space="0" w:color="auto"/>
            </w:tcBorders>
            <w:shd w:val="clear" w:color="auto" w:fill="auto"/>
            <w:hideMark/>
          </w:tcPr>
          <w:p w14:paraId="2B0B18FF"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63CAAD80"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7B03D4C1" w14:textId="77777777" w:rsidTr="008E0319">
        <w:trPr>
          <w:trHeight w:val="765"/>
        </w:trPr>
        <w:tc>
          <w:tcPr>
            <w:tcW w:w="176" w:type="pct"/>
            <w:tcBorders>
              <w:top w:val="nil"/>
              <w:left w:val="single" w:sz="4" w:space="0" w:color="auto"/>
              <w:bottom w:val="single" w:sz="4" w:space="0" w:color="auto"/>
              <w:right w:val="single" w:sz="4" w:space="0" w:color="auto"/>
            </w:tcBorders>
            <w:shd w:val="clear" w:color="auto" w:fill="auto"/>
            <w:hideMark/>
          </w:tcPr>
          <w:p w14:paraId="480F1E06"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73</w:t>
            </w:r>
          </w:p>
        </w:tc>
        <w:tc>
          <w:tcPr>
            <w:tcW w:w="3540" w:type="pct"/>
            <w:tcBorders>
              <w:top w:val="nil"/>
              <w:left w:val="nil"/>
              <w:bottom w:val="single" w:sz="4" w:space="0" w:color="auto"/>
              <w:right w:val="single" w:sz="4" w:space="0" w:color="auto"/>
            </w:tcBorders>
            <w:shd w:val="clear" w:color="auto" w:fill="auto"/>
            <w:hideMark/>
          </w:tcPr>
          <w:p w14:paraId="06FFAD11"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The proposed solution must allow access through a web interface and RESTful APIs. The proposed solution should support integration and communicate with other solutions based on an “Application Control Interface” (API) access or the Syslog protocol, for purposes such as:  </w:t>
            </w:r>
          </w:p>
        </w:tc>
        <w:tc>
          <w:tcPr>
            <w:tcW w:w="427" w:type="pct"/>
            <w:tcBorders>
              <w:top w:val="nil"/>
              <w:left w:val="nil"/>
              <w:bottom w:val="single" w:sz="4" w:space="0" w:color="auto"/>
              <w:right w:val="single" w:sz="4" w:space="0" w:color="auto"/>
            </w:tcBorders>
            <w:shd w:val="clear" w:color="auto" w:fill="auto"/>
            <w:hideMark/>
          </w:tcPr>
          <w:p w14:paraId="199F1356"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06B57987"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510C16D7"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5D05F077"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lastRenderedPageBreak/>
              <w:t>73.1</w:t>
            </w:r>
          </w:p>
        </w:tc>
        <w:tc>
          <w:tcPr>
            <w:tcW w:w="3540" w:type="pct"/>
            <w:tcBorders>
              <w:top w:val="nil"/>
              <w:left w:val="nil"/>
              <w:bottom w:val="single" w:sz="4" w:space="0" w:color="auto"/>
              <w:right w:val="single" w:sz="4" w:space="0" w:color="auto"/>
            </w:tcBorders>
            <w:shd w:val="clear" w:color="auto" w:fill="auto"/>
            <w:hideMark/>
          </w:tcPr>
          <w:p w14:paraId="47E6E4EA"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(a) Customized reports </w:t>
            </w:r>
          </w:p>
        </w:tc>
        <w:tc>
          <w:tcPr>
            <w:tcW w:w="427" w:type="pct"/>
            <w:tcBorders>
              <w:top w:val="nil"/>
              <w:left w:val="nil"/>
              <w:bottom w:val="single" w:sz="4" w:space="0" w:color="auto"/>
              <w:right w:val="single" w:sz="4" w:space="0" w:color="auto"/>
            </w:tcBorders>
            <w:shd w:val="clear" w:color="auto" w:fill="auto"/>
            <w:hideMark/>
          </w:tcPr>
          <w:p w14:paraId="7FE8BD1F"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1EAC3F7B"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626A85E1"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57D5290B"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73.2</w:t>
            </w:r>
          </w:p>
        </w:tc>
        <w:tc>
          <w:tcPr>
            <w:tcW w:w="3540" w:type="pct"/>
            <w:tcBorders>
              <w:top w:val="nil"/>
              <w:left w:val="nil"/>
              <w:bottom w:val="single" w:sz="4" w:space="0" w:color="auto"/>
              <w:right w:val="single" w:sz="4" w:space="0" w:color="auto"/>
            </w:tcBorders>
            <w:shd w:val="clear" w:color="auto" w:fill="auto"/>
            <w:hideMark/>
          </w:tcPr>
          <w:p w14:paraId="27947D43"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(b) Customized dashboards</w:t>
            </w:r>
          </w:p>
        </w:tc>
        <w:tc>
          <w:tcPr>
            <w:tcW w:w="427" w:type="pct"/>
            <w:tcBorders>
              <w:top w:val="nil"/>
              <w:left w:val="nil"/>
              <w:bottom w:val="single" w:sz="4" w:space="0" w:color="auto"/>
              <w:right w:val="single" w:sz="4" w:space="0" w:color="auto"/>
            </w:tcBorders>
            <w:shd w:val="clear" w:color="auto" w:fill="auto"/>
            <w:hideMark/>
          </w:tcPr>
          <w:p w14:paraId="06964D42"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4F1E8F41"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0625611B"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2B9EFDB4"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73.3</w:t>
            </w:r>
          </w:p>
        </w:tc>
        <w:tc>
          <w:tcPr>
            <w:tcW w:w="3540" w:type="pct"/>
            <w:tcBorders>
              <w:top w:val="nil"/>
              <w:left w:val="nil"/>
              <w:bottom w:val="single" w:sz="4" w:space="0" w:color="auto"/>
              <w:right w:val="single" w:sz="4" w:space="0" w:color="auto"/>
            </w:tcBorders>
            <w:shd w:val="clear" w:color="auto" w:fill="auto"/>
            <w:hideMark/>
          </w:tcPr>
          <w:p w14:paraId="0D77AAA0"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(c) Integration with third party solutions like SOAR, SIEM or other platforms </w:t>
            </w:r>
          </w:p>
        </w:tc>
        <w:tc>
          <w:tcPr>
            <w:tcW w:w="427" w:type="pct"/>
            <w:tcBorders>
              <w:top w:val="nil"/>
              <w:left w:val="nil"/>
              <w:bottom w:val="single" w:sz="4" w:space="0" w:color="auto"/>
              <w:right w:val="single" w:sz="4" w:space="0" w:color="auto"/>
            </w:tcBorders>
            <w:shd w:val="clear" w:color="auto" w:fill="auto"/>
            <w:hideMark/>
          </w:tcPr>
          <w:p w14:paraId="42D9737F"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2B30B1E5"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2565FB0B"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630B0426"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73.4</w:t>
            </w:r>
          </w:p>
        </w:tc>
        <w:tc>
          <w:tcPr>
            <w:tcW w:w="3540" w:type="pct"/>
            <w:tcBorders>
              <w:top w:val="nil"/>
              <w:left w:val="nil"/>
              <w:bottom w:val="single" w:sz="4" w:space="0" w:color="auto"/>
              <w:right w:val="single" w:sz="4" w:space="0" w:color="auto"/>
            </w:tcBorders>
            <w:shd w:val="clear" w:color="auto" w:fill="auto"/>
            <w:hideMark/>
          </w:tcPr>
          <w:p w14:paraId="38AB209D"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(d) Creating Dynamic &amp; Static Templates </w:t>
            </w:r>
          </w:p>
        </w:tc>
        <w:tc>
          <w:tcPr>
            <w:tcW w:w="427" w:type="pct"/>
            <w:tcBorders>
              <w:top w:val="nil"/>
              <w:left w:val="nil"/>
              <w:bottom w:val="single" w:sz="4" w:space="0" w:color="auto"/>
              <w:right w:val="single" w:sz="4" w:space="0" w:color="auto"/>
            </w:tcBorders>
            <w:shd w:val="clear" w:color="auto" w:fill="auto"/>
            <w:hideMark/>
          </w:tcPr>
          <w:p w14:paraId="180EF5B6"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10F51652"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14539A30"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545C91C3"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73.5</w:t>
            </w:r>
          </w:p>
        </w:tc>
        <w:tc>
          <w:tcPr>
            <w:tcW w:w="3540" w:type="pct"/>
            <w:tcBorders>
              <w:top w:val="nil"/>
              <w:left w:val="nil"/>
              <w:bottom w:val="single" w:sz="4" w:space="0" w:color="auto"/>
              <w:right w:val="single" w:sz="4" w:space="0" w:color="auto"/>
            </w:tcBorders>
            <w:shd w:val="clear" w:color="auto" w:fill="auto"/>
            <w:hideMark/>
          </w:tcPr>
          <w:p w14:paraId="7E50CB97"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(e) Creating Simulations &amp; Re-run Simulations </w:t>
            </w:r>
          </w:p>
        </w:tc>
        <w:tc>
          <w:tcPr>
            <w:tcW w:w="427" w:type="pct"/>
            <w:tcBorders>
              <w:top w:val="nil"/>
              <w:left w:val="nil"/>
              <w:bottom w:val="single" w:sz="4" w:space="0" w:color="auto"/>
              <w:right w:val="single" w:sz="4" w:space="0" w:color="auto"/>
            </w:tcBorders>
            <w:shd w:val="clear" w:color="auto" w:fill="auto"/>
            <w:hideMark/>
          </w:tcPr>
          <w:p w14:paraId="7C9F5351"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074C472F"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1B3F9D83"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664EDB2F"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73.6</w:t>
            </w:r>
          </w:p>
        </w:tc>
        <w:tc>
          <w:tcPr>
            <w:tcW w:w="3540" w:type="pct"/>
            <w:tcBorders>
              <w:top w:val="nil"/>
              <w:left w:val="nil"/>
              <w:bottom w:val="single" w:sz="4" w:space="0" w:color="auto"/>
              <w:right w:val="single" w:sz="4" w:space="0" w:color="auto"/>
            </w:tcBorders>
            <w:shd w:val="clear" w:color="auto" w:fill="auto"/>
            <w:hideMark/>
          </w:tcPr>
          <w:p w14:paraId="7A3B794E"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(f) Export Mitigations </w:t>
            </w:r>
          </w:p>
        </w:tc>
        <w:tc>
          <w:tcPr>
            <w:tcW w:w="427" w:type="pct"/>
            <w:tcBorders>
              <w:top w:val="nil"/>
              <w:left w:val="nil"/>
              <w:bottom w:val="single" w:sz="4" w:space="0" w:color="auto"/>
              <w:right w:val="single" w:sz="4" w:space="0" w:color="auto"/>
            </w:tcBorders>
            <w:shd w:val="clear" w:color="auto" w:fill="auto"/>
            <w:hideMark/>
          </w:tcPr>
          <w:p w14:paraId="56A9A05E"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447A19E1"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69E03C57"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728A7D15"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73.7</w:t>
            </w:r>
          </w:p>
        </w:tc>
        <w:tc>
          <w:tcPr>
            <w:tcW w:w="3540" w:type="pct"/>
            <w:tcBorders>
              <w:top w:val="nil"/>
              <w:left w:val="nil"/>
              <w:bottom w:val="single" w:sz="4" w:space="0" w:color="auto"/>
              <w:right w:val="single" w:sz="4" w:space="0" w:color="auto"/>
            </w:tcBorders>
            <w:shd w:val="clear" w:color="auto" w:fill="auto"/>
            <w:hideMark/>
          </w:tcPr>
          <w:p w14:paraId="45ED8E4F"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(g) Export Threat Lists</w:t>
            </w:r>
          </w:p>
        </w:tc>
        <w:tc>
          <w:tcPr>
            <w:tcW w:w="427" w:type="pct"/>
            <w:tcBorders>
              <w:top w:val="nil"/>
              <w:left w:val="nil"/>
              <w:bottom w:val="single" w:sz="4" w:space="0" w:color="auto"/>
              <w:right w:val="single" w:sz="4" w:space="0" w:color="auto"/>
            </w:tcBorders>
            <w:shd w:val="clear" w:color="auto" w:fill="auto"/>
            <w:hideMark/>
          </w:tcPr>
          <w:p w14:paraId="457933F5"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55CB0DE0"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217807CC"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5A77BA02"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74</w:t>
            </w:r>
          </w:p>
        </w:tc>
        <w:tc>
          <w:tcPr>
            <w:tcW w:w="3540" w:type="pct"/>
            <w:tcBorders>
              <w:top w:val="nil"/>
              <w:left w:val="nil"/>
              <w:bottom w:val="single" w:sz="4" w:space="0" w:color="auto"/>
              <w:right w:val="single" w:sz="4" w:space="0" w:color="auto"/>
            </w:tcBorders>
            <w:shd w:val="clear" w:color="auto" w:fill="auto"/>
            <w:hideMark/>
          </w:tcPr>
          <w:p w14:paraId="3E27C7DA"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should allow the status of “not blocked” threats and signatures to be exported via CSV format.</w:t>
            </w:r>
          </w:p>
        </w:tc>
        <w:tc>
          <w:tcPr>
            <w:tcW w:w="427" w:type="pct"/>
            <w:tcBorders>
              <w:top w:val="nil"/>
              <w:left w:val="nil"/>
              <w:bottom w:val="single" w:sz="4" w:space="0" w:color="auto"/>
              <w:right w:val="single" w:sz="4" w:space="0" w:color="auto"/>
            </w:tcBorders>
            <w:shd w:val="clear" w:color="auto" w:fill="auto"/>
            <w:hideMark/>
          </w:tcPr>
          <w:p w14:paraId="172AC9F8"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5F92E56A"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2C304E60"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14CFF35B"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75</w:t>
            </w:r>
          </w:p>
        </w:tc>
        <w:tc>
          <w:tcPr>
            <w:tcW w:w="3540" w:type="pct"/>
            <w:tcBorders>
              <w:top w:val="nil"/>
              <w:left w:val="nil"/>
              <w:bottom w:val="single" w:sz="4" w:space="0" w:color="auto"/>
              <w:right w:val="single" w:sz="4" w:space="0" w:color="auto"/>
            </w:tcBorders>
            <w:shd w:val="clear" w:color="auto" w:fill="auto"/>
            <w:hideMark/>
          </w:tcPr>
          <w:p w14:paraId="08B7A029"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should display the utilization and effectiveness level of a vendor technology, expressed as a percentage, number of blocked and not blocked threats per simulation for a number of supported technologies of leading vendors</w:t>
            </w:r>
          </w:p>
        </w:tc>
        <w:tc>
          <w:tcPr>
            <w:tcW w:w="427" w:type="pct"/>
            <w:tcBorders>
              <w:top w:val="nil"/>
              <w:left w:val="nil"/>
              <w:bottom w:val="single" w:sz="4" w:space="0" w:color="auto"/>
              <w:right w:val="single" w:sz="4" w:space="0" w:color="auto"/>
            </w:tcBorders>
            <w:shd w:val="clear" w:color="auto" w:fill="auto"/>
            <w:hideMark/>
          </w:tcPr>
          <w:p w14:paraId="0787FDEB"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0724DC9E"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06C4DA83"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543B7C76"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76</w:t>
            </w:r>
          </w:p>
        </w:tc>
        <w:tc>
          <w:tcPr>
            <w:tcW w:w="3540" w:type="pct"/>
            <w:tcBorders>
              <w:top w:val="nil"/>
              <w:left w:val="nil"/>
              <w:bottom w:val="single" w:sz="4" w:space="0" w:color="auto"/>
              <w:right w:val="single" w:sz="4" w:space="0" w:color="auto"/>
            </w:tcBorders>
            <w:shd w:val="clear" w:color="auto" w:fill="auto"/>
            <w:hideMark/>
          </w:tcPr>
          <w:p w14:paraId="09228E91"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should support vendor-specific mitigations for globally leading vendors of Prevention &amp; Detection Controls</w:t>
            </w:r>
          </w:p>
        </w:tc>
        <w:tc>
          <w:tcPr>
            <w:tcW w:w="427" w:type="pct"/>
            <w:tcBorders>
              <w:top w:val="nil"/>
              <w:left w:val="nil"/>
              <w:bottom w:val="single" w:sz="4" w:space="0" w:color="auto"/>
              <w:right w:val="single" w:sz="4" w:space="0" w:color="auto"/>
            </w:tcBorders>
            <w:shd w:val="clear" w:color="auto" w:fill="auto"/>
            <w:hideMark/>
          </w:tcPr>
          <w:p w14:paraId="0DC40009"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334204F4"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2A6E66D6" w14:textId="77777777" w:rsidTr="008E0319">
        <w:trPr>
          <w:trHeight w:val="765"/>
        </w:trPr>
        <w:tc>
          <w:tcPr>
            <w:tcW w:w="176" w:type="pct"/>
            <w:tcBorders>
              <w:top w:val="nil"/>
              <w:left w:val="single" w:sz="4" w:space="0" w:color="auto"/>
              <w:bottom w:val="single" w:sz="4" w:space="0" w:color="auto"/>
              <w:right w:val="single" w:sz="4" w:space="0" w:color="auto"/>
            </w:tcBorders>
            <w:shd w:val="clear" w:color="auto" w:fill="auto"/>
            <w:hideMark/>
          </w:tcPr>
          <w:p w14:paraId="48FF8D36"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77</w:t>
            </w:r>
          </w:p>
        </w:tc>
        <w:tc>
          <w:tcPr>
            <w:tcW w:w="3540" w:type="pct"/>
            <w:tcBorders>
              <w:top w:val="nil"/>
              <w:left w:val="nil"/>
              <w:bottom w:val="single" w:sz="4" w:space="0" w:color="auto"/>
              <w:right w:val="single" w:sz="4" w:space="0" w:color="auto"/>
            </w:tcBorders>
            <w:shd w:val="clear" w:color="auto" w:fill="auto"/>
            <w:hideMark/>
          </w:tcPr>
          <w:p w14:paraId="0ED91E3F"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should uniquely identify and associate mitigation signatures of Cyber Security Technology with threat library content, by presenting a signature ID, Signature Version, Product version, Vendor assigned native Criticality  associated with each threat in the threat library</w:t>
            </w:r>
          </w:p>
        </w:tc>
        <w:tc>
          <w:tcPr>
            <w:tcW w:w="427" w:type="pct"/>
            <w:tcBorders>
              <w:top w:val="nil"/>
              <w:left w:val="nil"/>
              <w:bottom w:val="single" w:sz="4" w:space="0" w:color="auto"/>
              <w:right w:val="single" w:sz="4" w:space="0" w:color="auto"/>
            </w:tcBorders>
            <w:shd w:val="clear" w:color="auto" w:fill="auto"/>
            <w:hideMark/>
          </w:tcPr>
          <w:p w14:paraId="3A6A1142"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1224D790"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6AF7DF08"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686BEA12"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78</w:t>
            </w:r>
          </w:p>
        </w:tc>
        <w:tc>
          <w:tcPr>
            <w:tcW w:w="3540" w:type="pct"/>
            <w:tcBorders>
              <w:top w:val="nil"/>
              <w:left w:val="nil"/>
              <w:bottom w:val="single" w:sz="4" w:space="0" w:color="auto"/>
              <w:right w:val="single" w:sz="4" w:space="0" w:color="auto"/>
            </w:tcBorders>
            <w:shd w:val="clear" w:color="auto" w:fill="auto"/>
            <w:hideMark/>
          </w:tcPr>
          <w:p w14:paraId="0EFF9593"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should provide relevant Payload , signatures for Threats not available by default with Prevention technologies like NGFW</w:t>
            </w:r>
          </w:p>
        </w:tc>
        <w:tc>
          <w:tcPr>
            <w:tcW w:w="427" w:type="pct"/>
            <w:tcBorders>
              <w:top w:val="nil"/>
              <w:left w:val="nil"/>
              <w:bottom w:val="single" w:sz="4" w:space="0" w:color="auto"/>
              <w:right w:val="single" w:sz="4" w:space="0" w:color="auto"/>
            </w:tcBorders>
            <w:shd w:val="clear" w:color="auto" w:fill="auto"/>
            <w:hideMark/>
          </w:tcPr>
          <w:p w14:paraId="7E19E47E"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425FA98A"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26DA96EE"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4234362F"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79</w:t>
            </w:r>
          </w:p>
        </w:tc>
        <w:tc>
          <w:tcPr>
            <w:tcW w:w="3540" w:type="pct"/>
            <w:tcBorders>
              <w:top w:val="nil"/>
              <w:left w:val="nil"/>
              <w:bottom w:val="single" w:sz="4" w:space="0" w:color="auto"/>
              <w:right w:val="single" w:sz="4" w:space="0" w:color="auto"/>
            </w:tcBorders>
            <w:shd w:val="clear" w:color="auto" w:fill="auto"/>
            <w:hideMark/>
          </w:tcPr>
          <w:p w14:paraId="680F81B6"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should present and classify signatures and mitigations by severity and category (web application attacks, vulnerability exploitation, malicious code) of the related threats for a number of supported technologies of leading vendors</w:t>
            </w:r>
          </w:p>
        </w:tc>
        <w:tc>
          <w:tcPr>
            <w:tcW w:w="427" w:type="pct"/>
            <w:tcBorders>
              <w:top w:val="nil"/>
              <w:left w:val="nil"/>
              <w:bottom w:val="single" w:sz="4" w:space="0" w:color="auto"/>
              <w:right w:val="single" w:sz="4" w:space="0" w:color="auto"/>
            </w:tcBorders>
            <w:shd w:val="clear" w:color="auto" w:fill="auto"/>
            <w:hideMark/>
          </w:tcPr>
          <w:p w14:paraId="35F01EC0"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57D87A59"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49D00CB2"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2ADCDFD6"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80</w:t>
            </w:r>
          </w:p>
        </w:tc>
        <w:tc>
          <w:tcPr>
            <w:tcW w:w="3540" w:type="pct"/>
            <w:tcBorders>
              <w:top w:val="nil"/>
              <w:left w:val="nil"/>
              <w:bottom w:val="single" w:sz="4" w:space="0" w:color="auto"/>
              <w:right w:val="single" w:sz="4" w:space="0" w:color="auto"/>
            </w:tcBorders>
            <w:shd w:val="clear" w:color="auto" w:fill="auto"/>
            <w:hideMark/>
          </w:tcPr>
          <w:p w14:paraId="7683D122"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should allow signatures or threats to be searched and filtered using threat, action or signature names for a number of supported technologies of leading vendors</w:t>
            </w:r>
          </w:p>
        </w:tc>
        <w:tc>
          <w:tcPr>
            <w:tcW w:w="427" w:type="pct"/>
            <w:tcBorders>
              <w:top w:val="nil"/>
              <w:left w:val="nil"/>
              <w:bottom w:val="single" w:sz="4" w:space="0" w:color="auto"/>
              <w:right w:val="single" w:sz="4" w:space="0" w:color="auto"/>
            </w:tcBorders>
            <w:shd w:val="clear" w:color="auto" w:fill="auto"/>
            <w:hideMark/>
          </w:tcPr>
          <w:p w14:paraId="39FAEEA0"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6AA151E7"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599681BD"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4D83D338"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81</w:t>
            </w:r>
          </w:p>
        </w:tc>
        <w:tc>
          <w:tcPr>
            <w:tcW w:w="3540" w:type="pct"/>
            <w:tcBorders>
              <w:top w:val="nil"/>
              <w:left w:val="nil"/>
              <w:bottom w:val="single" w:sz="4" w:space="0" w:color="auto"/>
              <w:right w:val="single" w:sz="4" w:space="0" w:color="auto"/>
            </w:tcBorders>
            <w:shd w:val="clear" w:color="auto" w:fill="auto"/>
            <w:hideMark/>
          </w:tcPr>
          <w:p w14:paraId="554ADAEB"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should allow users to filter mitigation suggestions based on simulations and vendor type for a number of supported technologies of leading vendors</w:t>
            </w:r>
          </w:p>
        </w:tc>
        <w:tc>
          <w:tcPr>
            <w:tcW w:w="427" w:type="pct"/>
            <w:tcBorders>
              <w:top w:val="nil"/>
              <w:left w:val="nil"/>
              <w:bottom w:val="single" w:sz="4" w:space="0" w:color="auto"/>
              <w:right w:val="single" w:sz="4" w:space="0" w:color="auto"/>
            </w:tcBorders>
            <w:shd w:val="clear" w:color="auto" w:fill="auto"/>
            <w:hideMark/>
          </w:tcPr>
          <w:p w14:paraId="33BD3F77"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7E3886C0"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7B523FFA"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7DFC1197"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82</w:t>
            </w:r>
          </w:p>
        </w:tc>
        <w:tc>
          <w:tcPr>
            <w:tcW w:w="3540" w:type="pct"/>
            <w:tcBorders>
              <w:top w:val="nil"/>
              <w:left w:val="nil"/>
              <w:bottom w:val="single" w:sz="4" w:space="0" w:color="auto"/>
              <w:right w:val="single" w:sz="4" w:space="0" w:color="auto"/>
            </w:tcBorders>
            <w:shd w:val="clear" w:color="auto" w:fill="auto"/>
            <w:hideMark/>
          </w:tcPr>
          <w:p w14:paraId="4A3BB734"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should allow users to filter non-tempering Malware Engine signatures to be shown or hidden on demand for a number of supported technologies of leading vendors</w:t>
            </w:r>
          </w:p>
        </w:tc>
        <w:tc>
          <w:tcPr>
            <w:tcW w:w="427" w:type="pct"/>
            <w:tcBorders>
              <w:top w:val="nil"/>
              <w:left w:val="nil"/>
              <w:bottom w:val="single" w:sz="4" w:space="0" w:color="auto"/>
              <w:right w:val="single" w:sz="4" w:space="0" w:color="auto"/>
            </w:tcBorders>
            <w:shd w:val="clear" w:color="auto" w:fill="auto"/>
            <w:hideMark/>
          </w:tcPr>
          <w:p w14:paraId="6FF02EB6"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6C3D00BD"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31E642C1" w14:textId="77777777" w:rsidTr="008E0319">
        <w:trPr>
          <w:trHeight w:val="765"/>
        </w:trPr>
        <w:tc>
          <w:tcPr>
            <w:tcW w:w="176" w:type="pct"/>
            <w:tcBorders>
              <w:top w:val="nil"/>
              <w:left w:val="single" w:sz="4" w:space="0" w:color="auto"/>
              <w:bottom w:val="single" w:sz="4" w:space="0" w:color="auto"/>
              <w:right w:val="single" w:sz="4" w:space="0" w:color="auto"/>
            </w:tcBorders>
            <w:shd w:val="clear" w:color="auto" w:fill="auto"/>
            <w:hideMark/>
          </w:tcPr>
          <w:p w14:paraId="1D6D5AA0"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83</w:t>
            </w:r>
          </w:p>
        </w:tc>
        <w:tc>
          <w:tcPr>
            <w:tcW w:w="3540" w:type="pct"/>
            <w:tcBorders>
              <w:top w:val="nil"/>
              <w:left w:val="nil"/>
              <w:bottom w:val="single" w:sz="4" w:space="0" w:color="auto"/>
              <w:right w:val="single" w:sz="4" w:space="0" w:color="auto"/>
            </w:tcBorders>
            <w:shd w:val="clear" w:color="auto" w:fill="auto"/>
            <w:hideMark/>
          </w:tcPr>
          <w:p w14:paraId="073A68E5"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For security gaps revealed during the web application and network infiltration assessments, the proposed solution should provide vendor-specific mitigation suggestions on a dedicated dashboard on the interface for a number of supported technologies of leading vendors</w:t>
            </w:r>
          </w:p>
        </w:tc>
        <w:tc>
          <w:tcPr>
            <w:tcW w:w="427" w:type="pct"/>
            <w:tcBorders>
              <w:top w:val="nil"/>
              <w:left w:val="nil"/>
              <w:bottom w:val="single" w:sz="4" w:space="0" w:color="auto"/>
              <w:right w:val="single" w:sz="4" w:space="0" w:color="auto"/>
            </w:tcBorders>
            <w:shd w:val="clear" w:color="auto" w:fill="auto"/>
            <w:hideMark/>
          </w:tcPr>
          <w:p w14:paraId="66D6D894"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5B3F993B"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69F42334"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699BA32D"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lastRenderedPageBreak/>
              <w:t>84</w:t>
            </w:r>
          </w:p>
        </w:tc>
        <w:tc>
          <w:tcPr>
            <w:tcW w:w="3540" w:type="pct"/>
            <w:tcBorders>
              <w:top w:val="nil"/>
              <w:left w:val="nil"/>
              <w:bottom w:val="single" w:sz="4" w:space="0" w:color="auto"/>
              <w:right w:val="single" w:sz="4" w:space="0" w:color="auto"/>
            </w:tcBorders>
            <w:shd w:val="clear" w:color="auto" w:fill="auto"/>
            <w:hideMark/>
          </w:tcPr>
          <w:p w14:paraId="12CFF6FA"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For security gaps revealed during the Windows Endpoint Scenario and Email assessments, the proposed solution should provide generic mitigation suggestions on a dedicated dashboard on the interface for a number of supported technologies of leading vendors</w:t>
            </w:r>
          </w:p>
        </w:tc>
        <w:tc>
          <w:tcPr>
            <w:tcW w:w="427" w:type="pct"/>
            <w:tcBorders>
              <w:top w:val="nil"/>
              <w:left w:val="nil"/>
              <w:bottom w:val="single" w:sz="4" w:space="0" w:color="auto"/>
              <w:right w:val="single" w:sz="4" w:space="0" w:color="auto"/>
            </w:tcBorders>
            <w:shd w:val="clear" w:color="auto" w:fill="auto"/>
            <w:hideMark/>
          </w:tcPr>
          <w:p w14:paraId="4F429170"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47D24D81"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79ED3841"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55F77DD2"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85</w:t>
            </w:r>
          </w:p>
        </w:tc>
        <w:tc>
          <w:tcPr>
            <w:tcW w:w="3540" w:type="pct"/>
            <w:tcBorders>
              <w:top w:val="nil"/>
              <w:left w:val="nil"/>
              <w:bottom w:val="single" w:sz="4" w:space="0" w:color="auto"/>
              <w:right w:val="single" w:sz="4" w:space="0" w:color="auto"/>
            </w:tcBorders>
            <w:shd w:val="clear" w:color="auto" w:fill="auto"/>
            <w:hideMark/>
          </w:tcPr>
          <w:p w14:paraId="12A2CBC4"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shall allow using “vendor severity” to filter signatures to prioritize and start mitigation actions for a number of supported technologies of leading vendors</w:t>
            </w:r>
          </w:p>
        </w:tc>
        <w:tc>
          <w:tcPr>
            <w:tcW w:w="427" w:type="pct"/>
            <w:tcBorders>
              <w:top w:val="nil"/>
              <w:left w:val="nil"/>
              <w:bottom w:val="single" w:sz="4" w:space="0" w:color="auto"/>
              <w:right w:val="single" w:sz="4" w:space="0" w:color="auto"/>
            </w:tcBorders>
            <w:shd w:val="clear" w:color="auto" w:fill="auto"/>
            <w:hideMark/>
          </w:tcPr>
          <w:p w14:paraId="0A6FD5F4"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7F6FAA82"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32E251FB" w14:textId="77777777" w:rsidTr="008E0319">
        <w:trPr>
          <w:trHeight w:val="765"/>
        </w:trPr>
        <w:tc>
          <w:tcPr>
            <w:tcW w:w="176" w:type="pct"/>
            <w:tcBorders>
              <w:top w:val="nil"/>
              <w:left w:val="single" w:sz="4" w:space="0" w:color="auto"/>
              <w:bottom w:val="single" w:sz="4" w:space="0" w:color="auto"/>
              <w:right w:val="single" w:sz="4" w:space="0" w:color="auto"/>
            </w:tcBorders>
            <w:shd w:val="clear" w:color="auto" w:fill="auto"/>
            <w:hideMark/>
          </w:tcPr>
          <w:p w14:paraId="1C941FB5"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86</w:t>
            </w:r>
          </w:p>
        </w:tc>
        <w:tc>
          <w:tcPr>
            <w:tcW w:w="3540" w:type="pct"/>
            <w:tcBorders>
              <w:top w:val="nil"/>
              <w:left w:val="nil"/>
              <w:bottom w:val="single" w:sz="4" w:space="0" w:color="auto"/>
              <w:right w:val="single" w:sz="4" w:space="0" w:color="auto"/>
            </w:tcBorders>
            <w:shd w:val="clear" w:color="auto" w:fill="auto"/>
            <w:hideMark/>
          </w:tcPr>
          <w:p w14:paraId="79913399" w14:textId="06204956"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The proposed solution should have the ability to </w:t>
            </w:r>
            <w:r w:rsidR="00342ED2" w:rsidRPr="00A93231">
              <w:rPr>
                <w:rFonts w:ascii="Calibri" w:eastAsia="Times New Roman" w:hAnsi="Calibri" w:cs="Calibri"/>
                <w:sz w:val="20"/>
                <w:szCs w:val="20"/>
                <w:lang w:val="en-GB" w:eastAsia="en-GB"/>
              </w:rPr>
              <w:t>analyse</w:t>
            </w:r>
            <w:r w:rsidRPr="00A93231">
              <w:rPr>
                <w:rFonts w:ascii="Calibri" w:eastAsia="Times New Roman" w:hAnsi="Calibri" w:cs="Calibri"/>
                <w:sz w:val="20"/>
                <w:szCs w:val="20"/>
                <w:lang w:val="en-GB" w:eastAsia="en-GB"/>
              </w:rPr>
              <w:t xml:space="preserve"> whether the threats in the tested attack vectors are detected and alerted on "Security Information and Event Management" (SIEM) and Endpoint Detection and Response (EDR) solutions by connecting to the relevant solution platform(s).</w:t>
            </w:r>
          </w:p>
        </w:tc>
        <w:tc>
          <w:tcPr>
            <w:tcW w:w="427" w:type="pct"/>
            <w:tcBorders>
              <w:top w:val="nil"/>
              <w:left w:val="nil"/>
              <w:bottom w:val="single" w:sz="4" w:space="0" w:color="auto"/>
              <w:right w:val="single" w:sz="4" w:space="0" w:color="auto"/>
            </w:tcBorders>
            <w:shd w:val="clear" w:color="auto" w:fill="auto"/>
            <w:hideMark/>
          </w:tcPr>
          <w:p w14:paraId="52757469"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7EFFB57C"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7E3C7731"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2F6FCE72"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87</w:t>
            </w:r>
          </w:p>
        </w:tc>
        <w:tc>
          <w:tcPr>
            <w:tcW w:w="3540" w:type="pct"/>
            <w:tcBorders>
              <w:top w:val="nil"/>
              <w:left w:val="nil"/>
              <w:bottom w:val="single" w:sz="4" w:space="0" w:color="auto"/>
              <w:right w:val="single" w:sz="4" w:space="0" w:color="auto"/>
            </w:tcBorders>
            <w:shd w:val="clear" w:color="auto" w:fill="auto"/>
            <w:hideMark/>
          </w:tcPr>
          <w:p w14:paraId="6F4FB118"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When connecting to the SIEM, EDR and other such security solutions, the proposed solution must provide a connection via" API "using username-password authentication or token.</w:t>
            </w:r>
          </w:p>
        </w:tc>
        <w:tc>
          <w:tcPr>
            <w:tcW w:w="427" w:type="pct"/>
            <w:tcBorders>
              <w:top w:val="nil"/>
              <w:left w:val="nil"/>
              <w:bottom w:val="single" w:sz="4" w:space="0" w:color="auto"/>
              <w:right w:val="single" w:sz="4" w:space="0" w:color="auto"/>
            </w:tcBorders>
            <w:shd w:val="clear" w:color="auto" w:fill="auto"/>
            <w:hideMark/>
          </w:tcPr>
          <w:p w14:paraId="5F49E312"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30992566"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0347C3F1"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70B59B64"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88</w:t>
            </w:r>
          </w:p>
        </w:tc>
        <w:tc>
          <w:tcPr>
            <w:tcW w:w="3540" w:type="pct"/>
            <w:tcBorders>
              <w:top w:val="nil"/>
              <w:left w:val="nil"/>
              <w:bottom w:val="single" w:sz="4" w:space="0" w:color="auto"/>
              <w:right w:val="single" w:sz="4" w:space="0" w:color="auto"/>
            </w:tcBorders>
            <w:shd w:val="clear" w:color="auto" w:fill="auto"/>
            <w:hideMark/>
          </w:tcPr>
          <w:p w14:paraId="021750A1"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should be able to provide Log Source Information to log necessary actions for the SIEM &amp; EDR being used by the Bank</w:t>
            </w:r>
          </w:p>
        </w:tc>
        <w:tc>
          <w:tcPr>
            <w:tcW w:w="427" w:type="pct"/>
            <w:tcBorders>
              <w:top w:val="nil"/>
              <w:left w:val="nil"/>
              <w:bottom w:val="single" w:sz="4" w:space="0" w:color="auto"/>
              <w:right w:val="single" w:sz="4" w:space="0" w:color="auto"/>
            </w:tcBorders>
            <w:shd w:val="clear" w:color="auto" w:fill="auto"/>
            <w:hideMark/>
          </w:tcPr>
          <w:p w14:paraId="537CE95C"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7A114317"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63CA5EBB"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7334AE51"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89</w:t>
            </w:r>
          </w:p>
        </w:tc>
        <w:tc>
          <w:tcPr>
            <w:tcW w:w="3540" w:type="pct"/>
            <w:tcBorders>
              <w:top w:val="nil"/>
              <w:left w:val="nil"/>
              <w:bottom w:val="single" w:sz="4" w:space="0" w:color="auto"/>
              <w:right w:val="single" w:sz="4" w:space="0" w:color="auto"/>
            </w:tcBorders>
            <w:shd w:val="clear" w:color="auto" w:fill="auto"/>
            <w:hideMark/>
          </w:tcPr>
          <w:p w14:paraId="47105B5B"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should report the total number of simulated threats logged, not logged, or alerted, not alerted for each simulation</w:t>
            </w:r>
          </w:p>
        </w:tc>
        <w:tc>
          <w:tcPr>
            <w:tcW w:w="427" w:type="pct"/>
            <w:tcBorders>
              <w:top w:val="nil"/>
              <w:left w:val="nil"/>
              <w:bottom w:val="single" w:sz="4" w:space="0" w:color="auto"/>
              <w:right w:val="single" w:sz="4" w:space="0" w:color="auto"/>
            </w:tcBorders>
            <w:shd w:val="clear" w:color="auto" w:fill="auto"/>
            <w:hideMark/>
          </w:tcPr>
          <w:p w14:paraId="598D7B43"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23BEA4F0"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1220AC6C" w14:textId="77777777" w:rsidTr="008E0319">
        <w:trPr>
          <w:trHeight w:val="765"/>
        </w:trPr>
        <w:tc>
          <w:tcPr>
            <w:tcW w:w="176" w:type="pct"/>
            <w:tcBorders>
              <w:top w:val="nil"/>
              <w:left w:val="single" w:sz="4" w:space="0" w:color="auto"/>
              <w:bottom w:val="single" w:sz="4" w:space="0" w:color="auto"/>
              <w:right w:val="single" w:sz="4" w:space="0" w:color="auto"/>
            </w:tcBorders>
            <w:shd w:val="clear" w:color="auto" w:fill="auto"/>
            <w:hideMark/>
          </w:tcPr>
          <w:p w14:paraId="65A11A14"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90</w:t>
            </w:r>
          </w:p>
        </w:tc>
        <w:tc>
          <w:tcPr>
            <w:tcW w:w="3540" w:type="pct"/>
            <w:tcBorders>
              <w:top w:val="nil"/>
              <w:left w:val="nil"/>
              <w:bottom w:val="single" w:sz="4" w:space="0" w:color="auto"/>
              <w:right w:val="single" w:sz="4" w:space="0" w:color="auto"/>
            </w:tcBorders>
            <w:shd w:val="clear" w:color="auto" w:fill="auto"/>
            <w:hideMark/>
          </w:tcPr>
          <w:p w14:paraId="70724B8D"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will be able to show the "start time" of the simulated attack, "the end time", "the time between two periods" and in addition, the "logging time", "the time between the end of the attack and logging", "the time between the end of the attack and the occurrence of the alert"</w:t>
            </w:r>
          </w:p>
        </w:tc>
        <w:tc>
          <w:tcPr>
            <w:tcW w:w="427" w:type="pct"/>
            <w:tcBorders>
              <w:top w:val="nil"/>
              <w:left w:val="nil"/>
              <w:bottom w:val="single" w:sz="4" w:space="0" w:color="auto"/>
              <w:right w:val="single" w:sz="4" w:space="0" w:color="auto"/>
            </w:tcBorders>
            <w:shd w:val="clear" w:color="auto" w:fill="auto"/>
            <w:hideMark/>
          </w:tcPr>
          <w:p w14:paraId="6BC95BB4"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26CFEF6B"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51416E2C"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0A8368D4"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91</w:t>
            </w:r>
          </w:p>
        </w:tc>
        <w:tc>
          <w:tcPr>
            <w:tcW w:w="3540" w:type="pct"/>
            <w:tcBorders>
              <w:top w:val="nil"/>
              <w:left w:val="nil"/>
              <w:bottom w:val="single" w:sz="4" w:space="0" w:color="auto"/>
              <w:right w:val="single" w:sz="4" w:space="0" w:color="auto"/>
            </w:tcBorders>
            <w:shd w:val="clear" w:color="auto" w:fill="auto"/>
            <w:hideMark/>
          </w:tcPr>
          <w:p w14:paraId="6E594C54"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must provide an interface to add attack detection query time difference caused due to network delays or security vendor's time differences, by specifying an attack start early interval and an attack terminated delay interval.</w:t>
            </w:r>
          </w:p>
        </w:tc>
        <w:tc>
          <w:tcPr>
            <w:tcW w:w="427" w:type="pct"/>
            <w:tcBorders>
              <w:top w:val="nil"/>
              <w:left w:val="nil"/>
              <w:bottom w:val="single" w:sz="4" w:space="0" w:color="auto"/>
              <w:right w:val="single" w:sz="4" w:space="0" w:color="auto"/>
            </w:tcBorders>
            <w:shd w:val="clear" w:color="auto" w:fill="auto"/>
            <w:hideMark/>
          </w:tcPr>
          <w:p w14:paraId="72D21F02"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01FC9088"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16A4FFE3"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562C73BD"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92</w:t>
            </w:r>
          </w:p>
        </w:tc>
        <w:tc>
          <w:tcPr>
            <w:tcW w:w="3540" w:type="pct"/>
            <w:tcBorders>
              <w:top w:val="nil"/>
              <w:left w:val="nil"/>
              <w:bottom w:val="single" w:sz="4" w:space="0" w:color="auto"/>
              <w:right w:val="single" w:sz="4" w:space="0" w:color="auto"/>
            </w:tcBorders>
            <w:shd w:val="clear" w:color="auto" w:fill="auto"/>
            <w:hideMark/>
          </w:tcPr>
          <w:p w14:paraId="0260FDC5"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must provide an interface to limit the number of raw logs imported from SIEM to the management server to avoid high resource consumption on SIEM Solution</w:t>
            </w:r>
          </w:p>
        </w:tc>
        <w:tc>
          <w:tcPr>
            <w:tcW w:w="427" w:type="pct"/>
            <w:tcBorders>
              <w:top w:val="nil"/>
              <w:left w:val="nil"/>
              <w:bottom w:val="single" w:sz="4" w:space="0" w:color="auto"/>
              <w:right w:val="single" w:sz="4" w:space="0" w:color="auto"/>
            </w:tcBorders>
            <w:shd w:val="clear" w:color="auto" w:fill="auto"/>
            <w:hideMark/>
          </w:tcPr>
          <w:p w14:paraId="5DF41574"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77E7E765"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3E511E81"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52F9540C"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93</w:t>
            </w:r>
          </w:p>
        </w:tc>
        <w:tc>
          <w:tcPr>
            <w:tcW w:w="3540" w:type="pct"/>
            <w:tcBorders>
              <w:top w:val="nil"/>
              <w:left w:val="nil"/>
              <w:bottom w:val="single" w:sz="4" w:space="0" w:color="auto"/>
              <w:right w:val="single" w:sz="4" w:space="0" w:color="auto"/>
            </w:tcBorders>
            <w:shd w:val="clear" w:color="auto" w:fill="auto"/>
            <w:hideMark/>
          </w:tcPr>
          <w:p w14:paraId="421A2D1F"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must also provide an interface to define a limit on concurrent queries that can be made to the SIEM/EDR solution to perform detection analysis on parallel threats at the same time</w:t>
            </w:r>
          </w:p>
        </w:tc>
        <w:tc>
          <w:tcPr>
            <w:tcW w:w="427" w:type="pct"/>
            <w:tcBorders>
              <w:top w:val="nil"/>
              <w:left w:val="nil"/>
              <w:bottom w:val="single" w:sz="4" w:space="0" w:color="auto"/>
              <w:right w:val="single" w:sz="4" w:space="0" w:color="auto"/>
            </w:tcBorders>
            <w:shd w:val="clear" w:color="auto" w:fill="auto"/>
            <w:hideMark/>
          </w:tcPr>
          <w:p w14:paraId="0141D329"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554E77A7"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191FEFF2"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490C2230"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94</w:t>
            </w:r>
          </w:p>
        </w:tc>
        <w:tc>
          <w:tcPr>
            <w:tcW w:w="3540" w:type="pct"/>
            <w:tcBorders>
              <w:top w:val="nil"/>
              <w:left w:val="nil"/>
              <w:bottom w:val="single" w:sz="4" w:space="0" w:color="auto"/>
              <w:right w:val="single" w:sz="4" w:space="0" w:color="auto"/>
            </w:tcBorders>
            <w:shd w:val="clear" w:color="auto" w:fill="auto"/>
            <w:hideMark/>
          </w:tcPr>
          <w:p w14:paraId="718877C8"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should give insights to get a holistic visibility of threat detection and response capabilities and accelerate the operationalization of the MITRE ATT&amp;CK Framework</w:t>
            </w:r>
          </w:p>
        </w:tc>
        <w:tc>
          <w:tcPr>
            <w:tcW w:w="427" w:type="pct"/>
            <w:tcBorders>
              <w:top w:val="nil"/>
              <w:left w:val="nil"/>
              <w:bottom w:val="single" w:sz="4" w:space="0" w:color="auto"/>
              <w:right w:val="single" w:sz="4" w:space="0" w:color="auto"/>
            </w:tcBorders>
            <w:shd w:val="clear" w:color="auto" w:fill="auto"/>
            <w:hideMark/>
          </w:tcPr>
          <w:p w14:paraId="1B682686"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059AA7B1"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1238AA14"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7944C4B1"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95</w:t>
            </w:r>
          </w:p>
        </w:tc>
        <w:tc>
          <w:tcPr>
            <w:tcW w:w="3540" w:type="pct"/>
            <w:tcBorders>
              <w:top w:val="nil"/>
              <w:left w:val="nil"/>
              <w:bottom w:val="single" w:sz="4" w:space="0" w:color="auto"/>
              <w:right w:val="single" w:sz="4" w:space="0" w:color="auto"/>
            </w:tcBorders>
            <w:shd w:val="clear" w:color="auto" w:fill="auto"/>
            <w:hideMark/>
          </w:tcPr>
          <w:p w14:paraId="5E3AB9D4"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should categorize the issues based on criticality:</w:t>
            </w:r>
          </w:p>
        </w:tc>
        <w:tc>
          <w:tcPr>
            <w:tcW w:w="427" w:type="pct"/>
            <w:tcBorders>
              <w:top w:val="nil"/>
              <w:left w:val="nil"/>
              <w:bottom w:val="single" w:sz="4" w:space="0" w:color="auto"/>
              <w:right w:val="single" w:sz="4" w:space="0" w:color="auto"/>
            </w:tcBorders>
            <w:shd w:val="clear" w:color="auto" w:fill="auto"/>
            <w:hideMark/>
          </w:tcPr>
          <w:p w14:paraId="0DF7D9DA"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786D3FE2"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75AC04BC"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22E1872D"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96</w:t>
            </w:r>
          </w:p>
        </w:tc>
        <w:tc>
          <w:tcPr>
            <w:tcW w:w="3540" w:type="pct"/>
            <w:tcBorders>
              <w:top w:val="nil"/>
              <w:left w:val="nil"/>
              <w:bottom w:val="single" w:sz="4" w:space="0" w:color="auto"/>
              <w:right w:val="single" w:sz="4" w:space="0" w:color="auto"/>
            </w:tcBorders>
            <w:shd w:val="clear" w:color="auto" w:fill="auto"/>
            <w:hideMark/>
          </w:tcPr>
          <w:p w14:paraId="410B8EE2"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a. High  - Rules that are malfunctioning or not functioning due to any issue</w:t>
            </w:r>
          </w:p>
        </w:tc>
        <w:tc>
          <w:tcPr>
            <w:tcW w:w="427" w:type="pct"/>
            <w:tcBorders>
              <w:top w:val="nil"/>
              <w:left w:val="nil"/>
              <w:bottom w:val="single" w:sz="4" w:space="0" w:color="auto"/>
              <w:right w:val="single" w:sz="4" w:space="0" w:color="auto"/>
            </w:tcBorders>
            <w:shd w:val="clear" w:color="auto" w:fill="auto"/>
            <w:hideMark/>
          </w:tcPr>
          <w:p w14:paraId="73753D27"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73B80530"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04250F88"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633E9BB4"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97</w:t>
            </w:r>
          </w:p>
        </w:tc>
        <w:tc>
          <w:tcPr>
            <w:tcW w:w="3540" w:type="pct"/>
            <w:tcBorders>
              <w:top w:val="nil"/>
              <w:left w:val="nil"/>
              <w:bottom w:val="single" w:sz="4" w:space="0" w:color="auto"/>
              <w:right w:val="single" w:sz="4" w:space="0" w:color="auto"/>
            </w:tcBorders>
            <w:shd w:val="clear" w:color="auto" w:fill="auto"/>
            <w:hideMark/>
          </w:tcPr>
          <w:p w14:paraId="73E82885"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b. Medium  - Rules with optimization and performance issues</w:t>
            </w:r>
          </w:p>
        </w:tc>
        <w:tc>
          <w:tcPr>
            <w:tcW w:w="427" w:type="pct"/>
            <w:tcBorders>
              <w:top w:val="nil"/>
              <w:left w:val="nil"/>
              <w:bottom w:val="single" w:sz="4" w:space="0" w:color="auto"/>
              <w:right w:val="single" w:sz="4" w:space="0" w:color="auto"/>
            </w:tcBorders>
            <w:shd w:val="clear" w:color="auto" w:fill="auto"/>
            <w:hideMark/>
          </w:tcPr>
          <w:p w14:paraId="2C67783E"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187CBB2B"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3011FADC"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1CD17CA5"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98</w:t>
            </w:r>
          </w:p>
        </w:tc>
        <w:tc>
          <w:tcPr>
            <w:tcW w:w="3540" w:type="pct"/>
            <w:tcBorders>
              <w:top w:val="nil"/>
              <w:left w:val="nil"/>
              <w:bottom w:val="single" w:sz="4" w:space="0" w:color="auto"/>
              <w:right w:val="single" w:sz="4" w:space="0" w:color="auto"/>
            </w:tcBorders>
            <w:shd w:val="clear" w:color="auto" w:fill="auto"/>
            <w:hideMark/>
          </w:tcPr>
          <w:p w14:paraId="2BA78E2D"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c. Low - Rules with no issues and/or MITRE mapping</w:t>
            </w:r>
          </w:p>
        </w:tc>
        <w:tc>
          <w:tcPr>
            <w:tcW w:w="427" w:type="pct"/>
            <w:tcBorders>
              <w:top w:val="nil"/>
              <w:left w:val="nil"/>
              <w:bottom w:val="single" w:sz="4" w:space="0" w:color="auto"/>
              <w:right w:val="single" w:sz="4" w:space="0" w:color="auto"/>
            </w:tcBorders>
            <w:shd w:val="clear" w:color="auto" w:fill="auto"/>
            <w:hideMark/>
          </w:tcPr>
          <w:p w14:paraId="56060BB8"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40FC7499"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38880EB7"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3CD18544"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99</w:t>
            </w:r>
          </w:p>
        </w:tc>
        <w:tc>
          <w:tcPr>
            <w:tcW w:w="3540" w:type="pct"/>
            <w:tcBorders>
              <w:top w:val="nil"/>
              <w:left w:val="nil"/>
              <w:bottom w:val="single" w:sz="4" w:space="0" w:color="auto"/>
              <w:right w:val="single" w:sz="4" w:space="0" w:color="auto"/>
            </w:tcBorders>
            <w:shd w:val="clear" w:color="auto" w:fill="auto"/>
            <w:hideMark/>
          </w:tcPr>
          <w:p w14:paraId="4CF25626"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should be able to move laterally to achieve a defined object by the admin, without using an agent, while evading its operations from security controls.</w:t>
            </w:r>
          </w:p>
        </w:tc>
        <w:tc>
          <w:tcPr>
            <w:tcW w:w="427" w:type="pct"/>
            <w:tcBorders>
              <w:top w:val="nil"/>
              <w:left w:val="nil"/>
              <w:bottom w:val="single" w:sz="4" w:space="0" w:color="auto"/>
              <w:right w:val="single" w:sz="4" w:space="0" w:color="auto"/>
            </w:tcBorders>
            <w:shd w:val="clear" w:color="auto" w:fill="auto"/>
            <w:hideMark/>
          </w:tcPr>
          <w:p w14:paraId="07DFBE7C"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2D9B43E2"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1DE5FD67"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56A9659C"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lastRenderedPageBreak/>
              <w:t>100</w:t>
            </w:r>
          </w:p>
        </w:tc>
        <w:tc>
          <w:tcPr>
            <w:tcW w:w="3540" w:type="pct"/>
            <w:tcBorders>
              <w:top w:val="nil"/>
              <w:left w:val="nil"/>
              <w:bottom w:val="single" w:sz="4" w:space="0" w:color="auto"/>
              <w:right w:val="single" w:sz="4" w:space="0" w:color="auto"/>
            </w:tcBorders>
            <w:shd w:val="clear" w:color="auto" w:fill="auto"/>
            <w:hideMark/>
          </w:tcPr>
          <w:p w14:paraId="3BABF76D"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The proposed solution should allow users to initiate the actions with various binary executables such as: </w:t>
            </w:r>
          </w:p>
        </w:tc>
        <w:tc>
          <w:tcPr>
            <w:tcW w:w="427" w:type="pct"/>
            <w:tcBorders>
              <w:top w:val="nil"/>
              <w:left w:val="nil"/>
              <w:bottom w:val="single" w:sz="4" w:space="0" w:color="auto"/>
              <w:right w:val="single" w:sz="4" w:space="0" w:color="auto"/>
            </w:tcBorders>
            <w:shd w:val="clear" w:color="auto" w:fill="auto"/>
            <w:hideMark/>
          </w:tcPr>
          <w:p w14:paraId="4F3FDDB3"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6028F258"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631E23AA"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1B370D52"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101</w:t>
            </w:r>
          </w:p>
        </w:tc>
        <w:tc>
          <w:tcPr>
            <w:tcW w:w="3540" w:type="pct"/>
            <w:tcBorders>
              <w:top w:val="nil"/>
              <w:left w:val="nil"/>
              <w:bottom w:val="single" w:sz="4" w:space="0" w:color="auto"/>
              <w:right w:val="single" w:sz="4" w:space="0" w:color="auto"/>
            </w:tcBorders>
            <w:shd w:val="clear" w:color="auto" w:fill="auto"/>
            <w:hideMark/>
          </w:tcPr>
          <w:p w14:paraId="2A06BF68"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a)Execution via New Threat Creation </w:t>
            </w:r>
          </w:p>
        </w:tc>
        <w:tc>
          <w:tcPr>
            <w:tcW w:w="427" w:type="pct"/>
            <w:tcBorders>
              <w:top w:val="nil"/>
              <w:left w:val="nil"/>
              <w:bottom w:val="single" w:sz="4" w:space="0" w:color="auto"/>
              <w:right w:val="single" w:sz="4" w:space="0" w:color="auto"/>
            </w:tcBorders>
            <w:shd w:val="clear" w:color="auto" w:fill="auto"/>
            <w:hideMark/>
          </w:tcPr>
          <w:p w14:paraId="5FE9D098"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27F452ED"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3BF64887"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164B1B3C"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102</w:t>
            </w:r>
          </w:p>
        </w:tc>
        <w:tc>
          <w:tcPr>
            <w:tcW w:w="3540" w:type="pct"/>
            <w:tcBorders>
              <w:top w:val="nil"/>
              <w:left w:val="nil"/>
              <w:bottom w:val="single" w:sz="4" w:space="0" w:color="auto"/>
              <w:right w:val="single" w:sz="4" w:space="0" w:color="auto"/>
            </w:tcBorders>
            <w:shd w:val="clear" w:color="auto" w:fill="auto"/>
            <w:hideMark/>
          </w:tcPr>
          <w:p w14:paraId="5A60848B"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b) Execution via APC Injection, </w:t>
            </w:r>
          </w:p>
        </w:tc>
        <w:tc>
          <w:tcPr>
            <w:tcW w:w="427" w:type="pct"/>
            <w:tcBorders>
              <w:top w:val="nil"/>
              <w:left w:val="nil"/>
              <w:bottom w:val="single" w:sz="4" w:space="0" w:color="auto"/>
              <w:right w:val="single" w:sz="4" w:space="0" w:color="auto"/>
            </w:tcBorders>
            <w:shd w:val="clear" w:color="auto" w:fill="auto"/>
            <w:hideMark/>
          </w:tcPr>
          <w:p w14:paraId="43C9A7BB"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2A34859B"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1E44F4B0"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724925E0"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103</w:t>
            </w:r>
          </w:p>
        </w:tc>
        <w:tc>
          <w:tcPr>
            <w:tcW w:w="3540" w:type="pct"/>
            <w:tcBorders>
              <w:top w:val="nil"/>
              <w:left w:val="nil"/>
              <w:bottom w:val="single" w:sz="4" w:space="0" w:color="auto"/>
              <w:right w:val="single" w:sz="4" w:space="0" w:color="auto"/>
            </w:tcBorders>
            <w:shd w:val="clear" w:color="auto" w:fill="auto"/>
            <w:hideMark/>
          </w:tcPr>
          <w:p w14:paraId="7B3F0379"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c)Execution via Call-Back</w:t>
            </w:r>
          </w:p>
        </w:tc>
        <w:tc>
          <w:tcPr>
            <w:tcW w:w="427" w:type="pct"/>
            <w:tcBorders>
              <w:top w:val="nil"/>
              <w:left w:val="nil"/>
              <w:bottom w:val="single" w:sz="4" w:space="0" w:color="auto"/>
              <w:right w:val="single" w:sz="4" w:space="0" w:color="auto"/>
            </w:tcBorders>
            <w:shd w:val="clear" w:color="auto" w:fill="auto"/>
            <w:hideMark/>
          </w:tcPr>
          <w:p w14:paraId="3B7537F6"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1AF0ADB7"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56CE5606"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566BC80C"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104</w:t>
            </w:r>
          </w:p>
        </w:tc>
        <w:tc>
          <w:tcPr>
            <w:tcW w:w="3540" w:type="pct"/>
            <w:tcBorders>
              <w:top w:val="nil"/>
              <w:left w:val="nil"/>
              <w:bottom w:val="single" w:sz="4" w:space="0" w:color="auto"/>
              <w:right w:val="single" w:sz="4" w:space="0" w:color="auto"/>
            </w:tcBorders>
            <w:shd w:val="clear" w:color="auto" w:fill="auto"/>
            <w:hideMark/>
          </w:tcPr>
          <w:p w14:paraId="7FE65277"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The proposed solution should have the following attack methods in this module: </w:t>
            </w:r>
          </w:p>
        </w:tc>
        <w:tc>
          <w:tcPr>
            <w:tcW w:w="427" w:type="pct"/>
            <w:tcBorders>
              <w:top w:val="nil"/>
              <w:left w:val="nil"/>
              <w:bottom w:val="single" w:sz="4" w:space="0" w:color="auto"/>
              <w:right w:val="single" w:sz="4" w:space="0" w:color="auto"/>
            </w:tcBorders>
            <w:shd w:val="clear" w:color="auto" w:fill="auto"/>
            <w:hideMark/>
          </w:tcPr>
          <w:p w14:paraId="41F6A4D4"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2E1E2DC3"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745BE547"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44C70942"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105</w:t>
            </w:r>
          </w:p>
        </w:tc>
        <w:tc>
          <w:tcPr>
            <w:tcW w:w="3540" w:type="pct"/>
            <w:tcBorders>
              <w:top w:val="nil"/>
              <w:left w:val="nil"/>
              <w:bottom w:val="single" w:sz="4" w:space="0" w:color="auto"/>
              <w:right w:val="single" w:sz="4" w:space="0" w:color="auto"/>
            </w:tcBorders>
            <w:shd w:val="clear" w:color="auto" w:fill="auto"/>
            <w:hideMark/>
          </w:tcPr>
          <w:p w14:paraId="22BB0417"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a)Lateral Movement </w:t>
            </w:r>
          </w:p>
        </w:tc>
        <w:tc>
          <w:tcPr>
            <w:tcW w:w="427" w:type="pct"/>
            <w:tcBorders>
              <w:top w:val="nil"/>
              <w:left w:val="nil"/>
              <w:bottom w:val="single" w:sz="4" w:space="0" w:color="auto"/>
              <w:right w:val="single" w:sz="4" w:space="0" w:color="auto"/>
            </w:tcBorders>
            <w:shd w:val="clear" w:color="auto" w:fill="auto"/>
            <w:hideMark/>
          </w:tcPr>
          <w:p w14:paraId="7B98BB65"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2D5A181D"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0F41561D"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0477BF58"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106</w:t>
            </w:r>
          </w:p>
        </w:tc>
        <w:tc>
          <w:tcPr>
            <w:tcW w:w="3540" w:type="pct"/>
            <w:tcBorders>
              <w:top w:val="nil"/>
              <w:left w:val="nil"/>
              <w:bottom w:val="single" w:sz="4" w:space="0" w:color="auto"/>
              <w:right w:val="single" w:sz="4" w:space="0" w:color="auto"/>
            </w:tcBorders>
            <w:shd w:val="clear" w:color="auto" w:fill="auto"/>
            <w:hideMark/>
          </w:tcPr>
          <w:p w14:paraId="00F451D6" w14:textId="70F35743"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b)</w:t>
            </w:r>
            <w:r w:rsidR="00342ED2">
              <w:rPr>
                <w:rFonts w:ascii="Calibri" w:eastAsia="Times New Roman" w:hAnsi="Calibri" w:cs="Calibri"/>
                <w:sz w:val="20"/>
                <w:szCs w:val="20"/>
                <w:lang w:val="en-GB" w:eastAsia="en-GB"/>
              </w:rPr>
              <w:t>Kerbe</w:t>
            </w:r>
            <w:r w:rsidR="00342ED2" w:rsidRPr="00A93231">
              <w:rPr>
                <w:rFonts w:ascii="Calibri" w:eastAsia="Times New Roman" w:hAnsi="Calibri" w:cs="Calibri"/>
                <w:sz w:val="20"/>
                <w:szCs w:val="20"/>
                <w:lang w:val="en-GB" w:eastAsia="en-GB"/>
              </w:rPr>
              <w:t>roasting</w:t>
            </w:r>
            <w:r w:rsidRPr="00A93231">
              <w:rPr>
                <w:rFonts w:ascii="Calibri" w:eastAsia="Times New Roman" w:hAnsi="Calibri" w:cs="Calibri"/>
                <w:sz w:val="20"/>
                <w:szCs w:val="20"/>
                <w:lang w:val="en-GB" w:eastAsia="en-GB"/>
              </w:rPr>
              <w:t xml:space="preserve"> </w:t>
            </w:r>
          </w:p>
        </w:tc>
        <w:tc>
          <w:tcPr>
            <w:tcW w:w="427" w:type="pct"/>
            <w:tcBorders>
              <w:top w:val="nil"/>
              <w:left w:val="nil"/>
              <w:bottom w:val="single" w:sz="4" w:space="0" w:color="auto"/>
              <w:right w:val="single" w:sz="4" w:space="0" w:color="auto"/>
            </w:tcBorders>
            <w:shd w:val="clear" w:color="auto" w:fill="auto"/>
            <w:hideMark/>
          </w:tcPr>
          <w:p w14:paraId="37F4416E"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307EE5C4"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2B03B014"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58915C11"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107</w:t>
            </w:r>
          </w:p>
        </w:tc>
        <w:tc>
          <w:tcPr>
            <w:tcW w:w="3540" w:type="pct"/>
            <w:tcBorders>
              <w:top w:val="nil"/>
              <w:left w:val="nil"/>
              <w:bottom w:val="single" w:sz="4" w:space="0" w:color="auto"/>
              <w:right w:val="single" w:sz="4" w:space="0" w:color="auto"/>
            </w:tcBorders>
            <w:shd w:val="clear" w:color="auto" w:fill="auto"/>
            <w:hideMark/>
          </w:tcPr>
          <w:p w14:paraId="5B85E798"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c)Local Privilege Escalation </w:t>
            </w:r>
          </w:p>
        </w:tc>
        <w:tc>
          <w:tcPr>
            <w:tcW w:w="427" w:type="pct"/>
            <w:tcBorders>
              <w:top w:val="nil"/>
              <w:left w:val="nil"/>
              <w:bottom w:val="single" w:sz="4" w:space="0" w:color="auto"/>
              <w:right w:val="single" w:sz="4" w:space="0" w:color="auto"/>
            </w:tcBorders>
            <w:shd w:val="clear" w:color="auto" w:fill="auto"/>
            <w:hideMark/>
          </w:tcPr>
          <w:p w14:paraId="3B128FE1"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52268686"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4E4DBEB7"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4786AA3C"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108</w:t>
            </w:r>
          </w:p>
        </w:tc>
        <w:tc>
          <w:tcPr>
            <w:tcW w:w="3540" w:type="pct"/>
            <w:tcBorders>
              <w:top w:val="nil"/>
              <w:left w:val="nil"/>
              <w:bottom w:val="single" w:sz="4" w:space="0" w:color="auto"/>
              <w:right w:val="single" w:sz="4" w:space="0" w:color="auto"/>
            </w:tcBorders>
            <w:shd w:val="clear" w:color="auto" w:fill="auto"/>
            <w:hideMark/>
          </w:tcPr>
          <w:p w14:paraId="143D97C4"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d)Harvesting and Spreading Actions</w:t>
            </w:r>
          </w:p>
        </w:tc>
        <w:tc>
          <w:tcPr>
            <w:tcW w:w="427" w:type="pct"/>
            <w:tcBorders>
              <w:top w:val="nil"/>
              <w:left w:val="nil"/>
              <w:bottom w:val="single" w:sz="4" w:space="0" w:color="auto"/>
              <w:right w:val="single" w:sz="4" w:space="0" w:color="auto"/>
            </w:tcBorders>
            <w:shd w:val="clear" w:color="auto" w:fill="auto"/>
            <w:hideMark/>
          </w:tcPr>
          <w:p w14:paraId="19F3F71F"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3F5C2D97"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68027AFD"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179A498D"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109</w:t>
            </w:r>
          </w:p>
        </w:tc>
        <w:tc>
          <w:tcPr>
            <w:tcW w:w="3540" w:type="pct"/>
            <w:tcBorders>
              <w:top w:val="nil"/>
              <w:left w:val="nil"/>
              <w:bottom w:val="single" w:sz="4" w:space="0" w:color="auto"/>
              <w:right w:val="single" w:sz="4" w:space="0" w:color="auto"/>
            </w:tcBorders>
            <w:shd w:val="clear" w:color="auto" w:fill="auto"/>
            <w:hideMark/>
          </w:tcPr>
          <w:p w14:paraId="15045C40"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The proposed solution should have the following harvesting actions available: </w:t>
            </w:r>
          </w:p>
        </w:tc>
        <w:tc>
          <w:tcPr>
            <w:tcW w:w="427" w:type="pct"/>
            <w:tcBorders>
              <w:top w:val="nil"/>
              <w:left w:val="nil"/>
              <w:bottom w:val="single" w:sz="4" w:space="0" w:color="auto"/>
              <w:right w:val="single" w:sz="4" w:space="0" w:color="auto"/>
            </w:tcBorders>
            <w:shd w:val="clear" w:color="auto" w:fill="auto"/>
            <w:hideMark/>
          </w:tcPr>
          <w:p w14:paraId="6353B54D"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1D5F31B4"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6A07BB1F"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42352961"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110</w:t>
            </w:r>
          </w:p>
        </w:tc>
        <w:tc>
          <w:tcPr>
            <w:tcW w:w="3540" w:type="pct"/>
            <w:tcBorders>
              <w:top w:val="nil"/>
              <w:left w:val="nil"/>
              <w:bottom w:val="single" w:sz="4" w:space="0" w:color="auto"/>
              <w:right w:val="single" w:sz="4" w:space="0" w:color="auto"/>
            </w:tcBorders>
            <w:shd w:val="clear" w:color="auto" w:fill="auto"/>
            <w:hideMark/>
          </w:tcPr>
          <w:p w14:paraId="0C81568B"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a) Local Service Misconfiguration Enumeration, </w:t>
            </w:r>
          </w:p>
        </w:tc>
        <w:tc>
          <w:tcPr>
            <w:tcW w:w="427" w:type="pct"/>
            <w:tcBorders>
              <w:top w:val="nil"/>
              <w:left w:val="nil"/>
              <w:bottom w:val="single" w:sz="4" w:space="0" w:color="auto"/>
              <w:right w:val="single" w:sz="4" w:space="0" w:color="auto"/>
            </w:tcBorders>
            <w:shd w:val="clear" w:color="auto" w:fill="auto"/>
            <w:hideMark/>
          </w:tcPr>
          <w:p w14:paraId="58E1BFFA"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678EBD79"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392737FC"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45A2913E"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111</w:t>
            </w:r>
          </w:p>
        </w:tc>
        <w:tc>
          <w:tcPr>
            <w:tcW w:w="3540" w:type="pct"/>
            <w:tcBorders>
              <w:top w:val="nil"/>
              <w:left w:val="nil"/>
              <w:bottom w:val="single" w:sz="4" w:space="0" w:color="auto"/>
              <w:right w:val="single" w:sz="4" w:space="0" w:color="auto"/>
            </w:tcBorders>
            <w:shd w:val="clear" w:color="auto" w:fill="auto"/>
            <w:hideMark/>
          </w:tcPr>
          <w:p w14:paraId="08AAD078"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b)Remote Management Users' Enumeration, </w:t>
            </w:r>
          </w:p>
        </w:tc>
        <w:tc>
          <w:tcPr>
            <w:tcW w:w="427" w:type="pct"/>
            <w:tcBorders>
              <w:top w:val="nil"/>
              <w:left w:val="nil"/>
              <w:bottom w:val="single" w:sz="4" w:space="0" w:color="auto"/>
              <w:right w:val="single" w:sz="4" w:space="0" w:color="auto"/>
            </w:tcBorders>
            <w:shd w:val="clear" w:color="auto" w:fill="auto"/>
            <w:hideMark/>
          </w:tcPr>
          <w:p w14:paraId="1C0C3003"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1A9AA135"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6A192256"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309B8E32"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112</w:t>
            </w:r>
          </w:p>
        </w:tc>
        <w:tc>
          <w:tcPr>
            <w:tcW w:w="3540" w:type="pct"/>
            <w:tcBorders>
              <w:top w:val="nil"/>
              <w:left w:val="nil"/>
              <w:bottom w:val="single" w:sz="4" w:space="0" w:color="auto"/>
              <w:right w:val="single" w:sz="4" w:space="0" w:color="auto"/>
            </w:tcBorders>
            <w:shd w:val="clear" w:color="auto" w:fill="auto"/>
            <w:hideMark/>
          </w:tcPr>
          <w:p w14:paraId="5AAAF139"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c)Session Enumeration, </w:t>
            </w:r>
          </w:p>
        </w:tc>
        <w:tc>
          <w:tcPr>
            <w:tcW w:w="427" w:type="pct"/>
            <w:tcBorders>
              <w:top w:val="nil"/>
              <w:left w:val="nil"/>
              <w:bottom w:val="single" w:sz="4" w:space="0" w:color="auto"/>
              <w:right w:val="single" w:sz="4" w:space="0" w:color="auto"/>
            </w:tcBorders>
            <w:shd w:val="clear" w:color="auto" w:fill="auto"/>
            <w:hideMark/>
          </w:tcPr>
          <w:p w14:paraId="6AF50879"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5552F1F5"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214EFB5B"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61473161"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113</w:t>
            </w:r>
          </w:p>
        </w:tc>
        <w:tc>
          <w:tcPr>
            <w:tcW w:w="3540" w:type="pct"/>
            <w:tcBorders>
              <w:top w:val="nil"/>
              <w:left w:val="nil"/>
              <w:bottom w:val="single" w:sz="4" w:space="0" w:color="auto"/>
              <w:right w:val="single" w:sz="4" w:space="0" w:color="auto"/>
            </w:tcBorders>
            <w:shd w:val="clear" w:color="auto" w:fill="auto"/>
            <w:hideMark/>
          </w:tcPr>
          <w:p w14:paraId="033E44E9"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d) LSASS Credential Dumping, </w:t>
            </w:r>
          </w:p>
        </w:tc>
        <w:tc>
          <w:tcPr>
            <w:tcW w:w="427" w:type="pct"/>
            <w:tcBorders>
              <w:top w:val="nil"/>
              <w:left w:val="nil"/>
              <w:bottom w:val="single" w:sz="4" w:space="0" w:color="auto"/>
              <w:right w:val="single" w:sz="4" w:space="0" w:color="auto"/>
            </w:tcBorders>
            <w:shd w:val="clear" w:color="auto" w:fill="auto"/>
            <w:hideMark/>
          </w:tcPr>
          <w:p w14:paraId="06E65CFD"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4E8A0E2F"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7DECF9D6"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6E0D97E4"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114</w:t>
            </w:r>
          </w:p>
        </w:tc>
        <w:tc>
          <w:tcPr>
            <w:tcW w:w="3540" w:type="pct"/>
            <w:tcBorders>
              <w:top w:val="nil"/>
              <w:left w:val="nil"/>
              <w:bottom w:val="single" w:sz="4" w:space="0" w:color="auto"/>
              <w:right w:val="single" w:sz="4" w:space="0" w:color="auto"/>
            </w:tcBorders>
            <w:shd w:val="clear" w:color="auto" w:fill="auto"/>
            <w:hideMark/>
          </w:tcPr>
          <w:p w14:paraId="1A88EAC2"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e) Domain Object Enumeration, </w:t>
            </w:r>
          </w:p>
        </w:tc>
        <w:tc>
          <w:tcPr>
            <w:tcW w:w="427" w:type="pct"/>
            <w:tcBorders>
              <w:top w:val="nil"/>
              <w:left w:val="nil"/>
              <w:bottom w:val="single" w:sz="4" w:space="0" w:color="auto"/>
              <w:right w:val="single" w:sz="4" w:space="0" w:color="auto"/>
            </w:tcBorders>
            <w:shd w:val="clear" w:color="auto" w:fill="auto"/>
            <w:hideMark/>
          </w:tcPr>
          <w:p w14:paraId="11A2E1BB"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30BA80D3"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730F3DF7"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0739891F"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115</w:t>
            </w:r>
          </w:p>
        </w:tc>
        <w:tc>
          <w:tcPr>
            <w:tcW w:w="3540" w:type="pct"/>
            <w:tcBorders>
              <w:top w:val="nil"/>
              <w:left w:val="nil"/>
              <w:bottom w:val="single" w:sz="4" w:space="0" w:color="auto"/>
              <w:right w:val="single" w:sz="4" w:space="0" w:color="auto"/>
            </w:tcBorders>
            <w:shd w:val="clear" w:color="auto" w:fill="auto"/>
            <w:hideMark/>
          </w:tcPr>
          <w:p w14:paraId="454E1FD6"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f)Domain DNS Enumeration, </w:t>
            </w:r>
          </w:p>
        </w:tc>
        <w:tc>
          <w:tcPr>
            <w:tcW w:w="427" w:type="pct"/>
            <w:tcBorders>
              <w:top w:val="nil"/>
              <w:left w:val="nil"/>
              <w:bottom w:val="single" w:sz="4" w:space="0" w:color="auto"/>
              <w:right w:val="single" w:sz="4" w:space="0" w:color="auto"/>
            </w:tcBorders>
            <w:shd w:val="clear" w:color="auto" w:fill="auto"/>
            <w:hideMark/>
          </w:tcPr>
          <w:p w14:paraId="612829B6"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5CD50435"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546D79D5"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2AC92F55"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116</w:t>
            </w:r>
          </w:p>
        </w:tc>
        <w:tc>
          <w:tcPr>
            <w:tcW w:w="3540" w:type="pct"/>
            <w:tcBorders>
              <w:top w:val="nil"/>
              <w:left w:val="nil"/>
              <w:bottom w:val="single" w:sz="4" w:space="0" w:color="auto"/>
              <w:right w:val="single" w:sz="4" w:space="0" w:color="auto"/>
            </w:tcBorders>
            <w:shd w:val="clear" w:color="auto" w:fill="auto"/>
            <w:hideMark/>
          </w:tcPr>
          <w:p w14:paraId="03299A70"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g) Organization Units Enumeration, </w:t>
            </w:r>
          </w:p>
        </w:tc>
        <w:tc>
          <w:tcPr>
            <w:tcW w:w="427" w:type="pct"/>
            <w:tcBorders>
              <w:top w:val="nil"/>
              <w:left w:val="nil"/>
              <w:bottom w:val="single" w:sz="4" w:space="0" w:color="auto"/>
              <w:right w:val="single" w:sz="4" w:space="0" w:color="auto"/>
            </w:tcBorders>
            <w:shd w:val="clear" w:color="auto" w:fill="auto"/>
            <w:hideMark/>
          </w:tcPr>
          <w:p w14:paraId="6E1663E5"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6C0344A6"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4AA5B608"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06E7BF04"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117</w:t>
            </w:r>
          </w:p>
        </w:tc>
        <w:tc>
          <w:tcPr>
            <w:tcW w:w="3540" w:type="pct"/>
            <w:tcBorders>
              <w:top w:val="nil"/>
              <w:left w:val="nil"/>
              <w:bottom w:val="single" w:sz="4" w:space="0" w:color="auto"/>
              <w:right w:val="single" w:sz="4" w:space="0" w:color="auto"/>
            </w:tcBorders>
            <w:shd w:val="clear" w:color="auto" w:fill="auto"/>
            <w:hideMark/>
          </w:tcPr>
          <w:p w14:paraId="0397BFBE"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h) Domain Trusts Enumeration, </w:t>
            </w:r>
          </w:p>
        </w:tc>
        <w:tc>
          <w:tcPr>
            <w:tcW w:w="427" w:type="pct"/>
            <w:tcBorders>
              <w:top w:val="nil"/>
              <w:left w:val="nil"/>
              <w:bottom w:val="single" w:sz="4" w:space="0" w:color="auto"/>
              <w:right w:val="single" w:sz="4" w:space="0" w:color="auto"/>
            </w:tcBorders>
            <w:shd w:val="clear" w:color="auto" w:fill="auto"/>
            <w:hideMark/>
          </w:tcPr>
          <w:p w14:paraId="6FA393D8"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716BABAB"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43D177D1"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524534EF"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118</w:t>
            </w:r>
          </w:p>
        </w:tc>
        <w:tc>
          <w:tcPr>
            <w:tcW w:w="3540" w:type="pct"/>
            <w:tcBorders>
              <w:top w:val="nil"/>
              <w:left w:val="nil"/>
              <w:bottom w:val="single" w:sz="4" w:space="0" w:color="auto"/>
              <w:right w:val="single" w:sz="4" w:space="0" w:color="auto"/>
            </w:tcBorders>
            <w:shd w:val="clear" w:color="auto" w:fill="auto"/>
            <w:hideMark/>
          </w:tcPr>
          <w:p w14:paraId="440CA178"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i)Domain Service Account Enumeration, </w:t>
            </w:r>
          </w:p>
        </w:tc>
        <w:tc>
          <w:tcPr>
            <w:tcW w:w="427" w:type="pct"/>
            <w:tcBorders>
              <w:top w:val="nil"/>
              <w:left w:val="nil"/>
              <w:bottom w:val="single" w:sz="4" w:space="0" w:color="auto"/>
              <w:right w:val="single" w:sz="4" w:space="0" w:color="auto"/>
            </w:tcBorders>
            <w:shd w:val="clear" w:color="auto" w:fill="auto"/>
            <w:hideMark/>
          </w:tcPr>
          <w:p w14:paraId="339B60F8"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6AE3E4E8"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6B2013F6"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55EE572E"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119</w:t>
            </w:r>
          </w:p>
        </w:tc>
        <w:tc>
          <w:tcPr>
            <w:tcW w:w="3540" w:type="pct"/>
            <w:tcBorders>
              <w:top w:val="nil"/>
              <w:left w:val="nil"/>
              <w:bottom w:val="single" w:sz="4" w:space="0" w:color="auto"/>
              <w:right w:val="single" w:sz="4" w:space="0" w:color="auto"/>
            </w:tcBorders>
            <w:shd w:val="clear" w:color="auto" w:fill="auto"/>
            <w:hideMark/>
          </w:tcPr>
          <w:p w14:paraId="339359C7"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j)Remote Desktop Users' Enumeration, </w:t>
            </w:r>
          </w:p>
        </w:tc>
        <w:tc>
          <w:tcPr>
            <w:tcW w:w="427" w:type="pct"/>
            <w:tcBorders>
              <w:top w:val="nil"/>
              <w:left w:val="nil"/>
              <w:bottom w:val="single" w:sz="4" w:space="0" w:color="auto"/>
              <w:right w:val="single" w:sz="4" w:space="0" w:color="auto"/>
            </w:tcBorders>
            <w:shd w:val="clear" w:color="auto" w:fill="auto"/>
            <w:hideMark/>
          </w:tcPr>
          <w:p w14:paraId="36E7E782"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79A93340"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394DE711"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48AAABFE"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120</w:t>
            </w:r>
          </w:p>
        </w:tc>
        <w:tc>
          <w:tcPr>
            <w:tcW w:w="3540" w:type="pct"/>
            <w:tcBorders>
              <w:top w:val="nil"/>
              <w:left w:val="nil"/>
              <w:bottom w:val="single" w:sz="4" w:space="0" w:color="auto"/>
              <w:right w:val="single" w:sz="4" w:space="0" w:color="auto"/>
            </w:tcBorders>
            <w:shd w:val="clear" w:color="auto" w:fill="auto"/>
            <w:hideMark/>
          </w:tcPr>
          <w:p w14:paraId="56951134"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k)Distributed COM Users Enumeration </w:t>
            </w:r>
          </w:p>
        </w:tc>
        <w:tc>
          <w:tcPr>
            <w:tcW w:w="427" w:type="pct"/>
            <w:tcBorders>
              <w:top w:val="nil"/>
              <w:left w:val="nil"/>
              <w:bottom w:val="single" w:sz="4" w:space="0" w:color="auto"/>
              <w:right w:val="single" w:sz="4" w:space="0" w:color="auto"/>
            </w:tcBorders>
            <w:shd w:val="clear" w:color="auto" w:fill="auto"/>
            <w:hideMark/>
          </w:tcPr>
          <w:p w14:paraId="2FC1E13E"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3BEAC9D6"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7348BDC2"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7CA64639"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121</w:t>
            </w:r>
          </w:p>
        </w:tc>
        <w:tc>
          <w:tcPr>
            <w:tcW w:w="3540" w:type="pct"/>
            <w:tcBorders>
              <w:top w:val="nil"/>
              <w:left w:val="nil"/>
              <w:bottom w:val="single" w:sz="4" w:space="0" w:color="auto"/>
              <w:right w:val="single" w:sz="4" w:space="0" w:color="auto"/>
            </w:tcBorders>
            <w:shd w:val="clear" w:color="auto" w:fill="auto"/>
            <w:hideMark/>
          </w:tcPr>
          <w:p w14:paraId="11E0EAC0"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l)Local Admin Enumeration</w:t>
            </w:r>
          </w:p>
        </w:tc>
        <w:tc>
          <w:tcPr>
            <w:tcW w:w="427" w:type="pct"/>
            <w:tcBorders>
              <w:top w:val="nil"/>
              <w:left w:val="nil"/>
              <w:bottom w:val="single" w:sz="4" w:space="0" w:color="auto"/>
              <w:right w:val="single" w:sz="4" w:space="0" w:color="auto"/>
            </w:tcBorders>
            <w:shd w:val="clear" w:color="auto" w:fill="auto"/>
            <w:hideMark/>
          </w:tcPr>
          <w:p w14:paraId="7C9A8CE8"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501C9338"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6F817F0C"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48A4A354"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122</w:t>
            </w:r>
          </w:p>
        </w:tc>
        <w:tc>
          <w:tcPr>
            <w:tcW w:w="3540" w:type="pct"/>
            <w:tcBorders>
              <w:top w:val="nil"/>
              <w:left w:val="nil"/>
              <w:bottom w:val="single" w:sz="4" w:space="0" w:color="auto"/>
              <w:right w:val="single" w:sz="4" w:space="0" w:color="auto"/>
            </w:tcBorders>
            <w:shd w:val="clear" w:color="auto" w:fill="auto"/>
            <w:hideMark/>
          </w:tcPr>
          <w:p w14:paraId="6F1A9E10"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The proposed solution should have the following access actions available: </w:t>
            </w:r>
          </w:p>
        </w:tc>
        <w:tc>
          <w:tcPr>
            <w:tcW w:w="427" w:type="pct"/>
            <w:tcBorders>
              <w:top w:val="nil"/>
              <w:left w:val="nil"/>
              <w:bottom w:val="single" w:sz="4" w:space="0" w:color="auto"/>
              <w:right w:val="single" w:sz="4" w:space="0" w:color="auto"/>
            </w:tcBorders>
            <w:shd w:val="clear" w:color="auto" w:fill="auto"/>
            <w:hideMark/>
          </w:tcPr>
          <w:p w14:paraId="6B2EAFC4"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7919D807"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7A236882"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55F3EEF6"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123</w:t>
            </w:r>
          </w:p>
        </w:tc>
        <w:tc>
          <w:tcPr>
            <w:tcW w:w="3540" w:type="pct"/>
            <w:tcBorders>
              <w:top w:val="nil"/>
              <w:left w:val="nil"/>
              <w:bottom w:val="single" w:sz="4" w:space="0" w:color="auto"/>
              <w:right w:val="single" w:sz="4" w:space="0" w:color="auto"/>
            </w:tcBorders>
            <w:shd w:val="clear" w:color="auto" w:fill="auto"/>
            <w:hideMark/>
          </w:tcPr>
          <w:p w14:paraId="0A233A19"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a) Windows Management Instrumentation (WMI) </w:t>
            </w:r>
          </w:p>
        </w:tc>
        <w:tc>
          <w:tcPr>
            <w:tcW w:w="427" w:type="pct"/>
            <w:tcBorders>
              <w:top w:val="nil"/>
              <w:left w:val="nil"/>
              <w:bottom w:val="single" w:sz="4" w:space="0" w:color="auto"/>
              <w:right w:val="single" w:sz="4" w:space="0" w:color="auto"/>
            </w:tcBorders>
            <w:shd w:val="clear" w:color="auto" w:fill="auto"/>
            <w:hideMark/>
          </w:tcPr>
          <w:p w14:paraId="047885B0"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1EAD51AF"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0072A031"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3B6D3D6F"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124</w:t>
            </w:r>
          </w:p>
        </w:tc>
        <w:tc>
          <w:tcPr>
            <w:tcW w:w="3540" w:type="pct"/>
            <w:tcBorders>
              <w:top w:val="nil"/>
              <w:left w:val="nil"/>
              <w:bottom w:val="single" w:sz="4" w:space="0" w:color="auto"/>
              <w:right w:val="single" w:sz="4" w:space="0" w:color="auto"/>
            </w:tcBorders>
            <w:shd w:val="clear" w:color="auto" w:fill="auto"/>
            <w:hideMark/>
          </w:tcPr>
          <w:p w14:paraId="68DAAF0D"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(b) Server Message Block Execution (SMBExec) </w:t>
            </w:r>
          </w:p>
        </w:tc>
        <w:tc>
          <w:tcPr>
            <w:tcW w:w="427" w:type="pct"/>
            <w:tcBorders>
              <w:top w:val="nil"/>
              <w:left w:val="nil"/>
              <w:bottom w:val="single" w:sz="4" w:space="0" w:color="auto"/>
              <w:right w:val="single" w:sz="4" w:space="0" w:color="auto"/>
            </w:tcBorders>
            <w:shd w:val="clear" w:color="auto" w:fill="auto"/>
            <w:hideMark/>
          </w:tcPr>
          <w:p w14:paraId="287A7CDC"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7E14D66A"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547DDA6C"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487818B2"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125</w:t>
            </w:r>
          </w:p>
        </w:tc>
        <w:tc>
          <w:tcPr>
            <w:tcW w:w="3540" w:type="pct"/>
            <w:tcBorders>
              <w:top w:val="nil"/>
              <w:left w:val="nil"/>
              <w:bottom w:val="single" w:sz="4" w:space="0" w:color="auto"/>
              <w:right w:val="single" w:sz="4" w:space="0" w:color="auto"/>
            </w:tcBorders>
            <w:shd w:val="clear" w:color="auto" w:fill="auto"/>
            <w:hideMark/>
          </w:tcPr>
          <w:p w14:paraId="4258348A"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(c) Pass the Ticket (d) Bypass UAC via Fodhelper</w:t>
            </w:r>
          </w:p>
        </w:tc>
        <w:tc>
          <w:tcPr>
            <w:tcW w:w="427" w:type="pct"/>
            <w:tcBorders>
              <w:top w:val="nil"/>
              <w:left w:val="nil"/>
              <w:bottom w:val="single" w:sz="4" w:space="0" w:color="auto"/>
              <w:right w:val="single" w:sz="4" w:space="0" w:color="auto"/>
            </w:tcBorders>
            <w:shd w:val="clear" w:color="auto" w:fill="auto"/>
            <w:hideMark/>
          </w:tcPr>
          <w:p w14:paraId="4CE46933"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71A4A5E9"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06C7B59D"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7B3147F5"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126</w:t>
            </w:r>
          </w:p>
        </w:tc>
        <w:tc>
          <w:tcPr>
            <w:tcW w:w="3540" w:type="pct"/>
            <w:tcBorders>
              <w:top w:val="nil"/>
              <w:left w:val="nil"/>
              <w:bottom w:val="single" w:sz="4" w:space="0" w:color="auto"/>
              <w:right w:val="single" w:sz="4" w:space="0" w:color="auto"/>
            </w:tcBorders>
            <w:shd w:val="clear" w:color="auto" w:fill="auto"/>
            <w:hideMark/>
          </w:tcPr>
          <w:p w14:paraId="2CA28355"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The proposed solution should have the capability to export lateral movement findings as a CSV report with following information: </w:t>
            </w:r>
          </w:p>
        </w:tc>
        <w:tc>
          <w:tcPr>
            <w:tcW w:w="427" w:type="pct"/>
            <w:tcBorders>
              <w:top w:val="nil"/>
              <w:left w:val="nil"/>
              <w:bottom w:val="single" w:sz="4" w:space="0" w:color="auto"/>
              <w:right w:val="single" w:sz="4" w:space="0" w:color="auto"/>
            </w:tcBorders>
            <w:shd w:val="clear" w:color="auto" w:fill="auto"/>
            <w:hideMark/>
          </w:tcPr>
          <w:p w14:paraId="71951B22"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003EDD98"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615DEB94"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368EEDA7"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127</w:t>
            </w:r>
          </w:p>
        </w:tc>
        <w:tc>
          <w:tcPr>
            <w:tcW w:w="3540" w:type="pct"/>
            <w:tcBorders>
              <w:top w:val="nil"/>
              <w:left w:val="nil"/>
              <w:bottom w:val="single" w:sz="4" w:space="0" w:color="auto"/>
              <w:right w:val="single" w:sz="4" w:space="0" w:color="auto"/>
            </w:tcBorders>
            <w:shd w:val="clear" w:color="auto" w:fill="auto"/>
            <w:hideMark/>
          </w:tcPr>
          <w:p w14:paraId="243FE891"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a) Discovered Hosts (IP and Name), </w:t>
            </w:r>
          </w:p>
        </w:tc>
        <w:tc>
          <w:tcPr>
            <w:tcW w:w="427" w:type="pct"/>
            <w:tcBorders>
              <w:top w:val="nil"/>
              <w:left w:val="nil"/>
              <w:bottom w:val="single" w:sz="4" w:space="0" w:color="auto"/>
              <w:right w:val="single" w:sz="4" w:space="0" w:color="auto"/>
            </w:tcBorders>
            <w:shd w:val="clear" w:color="auto" w:fill="auto"/>
            <w:hideMark/>
          </w:tcPr>
          <w:p w14:paraId="42C9C31D"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514F1177"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1FCA0374"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6B237570"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lastRenderedPageBreak/>
              <w:t>128</w:t>
            </w:r>
          </w:p>
        </w:tc>
        <w:tc>
          <w:tcPr>
            <w:tcW w:w="3540" w:type="pct"/>
            <w:tcBorders>
              <w:top w:val="nil"/>
              <w:left w:val="nil"/>
              <w:bottom w:val="single" w:sz="4" w:space="0" w:color="auto"/>
              <w:right w:val="single" w:sz="4" w:space="0" w:color="auto"/>
            </w:tcBorders>
            <w:shd w:val="clear" w:color="auto" w:fill="auto"/>
            <w:hideMark/>
          </w:tcPr>
          <w:p w14:paraId="4A5D4060"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b)Discovered AD Group DNS </w:t>
            </w:r>
          </w:p>
        </w:tc>
        <w:tc>
          <w:tcPr>
            <w:tcW w:w="427" w:type="pct"/>
            <w:tcBorders>
              <w:top w:val="nil"/>
              <w:left w:val="nil"/>
              <w:bottom w:val="single" w:sz="4" w:space="0" w:color="auto"/>
              <w:right w:val="single" w:sz="4" w:space="0" w:color="auto"/>
            </w:tcBorders>
            <w:shd w:val="clear" w:color="auto" w:fill="auto"/>
            <w:hideMark/>
          </w:tcPr>
          <w:p w14:paraId="767B71EC"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78CE5CC6"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36A9F9AC"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23F345CB"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129</w:t>
            </w:r>
          </w:p>
        </w:tc>
        <w:tc>
          <w:tcPr>
            <w:tcW w:w="3540" w:type="pct"/>
            <w:tcBorders>
              <w:top w:val="nil"/>
              <w:left w:val="nil"/>
              <w:bottom w:val="single" w:sz="4" w:space="0" w:color="auto"/>
              <w:right w:val="single" w:sz="4" w:space="0" w:color="auto"/>
            </w:tcBorders>
            <w:shd w:val="clear" w:color="auto" w:fill="auto"/>
            <w:hideMark/>
          </w:tcPr>
          <w:p w14:paraId="46C94F9E"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c) Discovered Domain Users (Username and Password)</w:t>
            </w:r>
          </w:p>
        </w:tc>
        <w:tc>
          <w:tcPr>
            <w:tcW w:w="427" w:type="pct"/>
            <w:tcBorders>
              <w:top w:val="nil"/>
              <w:left w:val="nil"/>
              <w:bottom w:val="single" w:sz="4" w:space="0" w:color="auto"/>
              <w:right w:val="single" w:sz="4" w:space="0" w:color="auto"/>
            </w:tcBorders>
            <w:shd w:val="clear" w:color="auto" w:fill="auto"/>
            <w:hideMark/>
          </w:tcPr>
          <w:p w14:paraId="34003631"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072BCED2"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3E1F4DA3"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31DC1BD8"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130</w:t>
            </w:r>
          </w:p>
        </w:tc>
        <w:tc>
          <w:tcPr>
            <w:tcW w:w="3540" w:type="pct"/>
            <w:tcBorders>
              <w:top w:val="nil"/>
              <w:left w:val="nil"/>
              <w:bottom w:val="single" w:sz="4" w:space="0" w:color="auto"/>
              <w:right w:val="single" w:sz="4" w:space="0" w:color="auto"/>
            </w:tcBorders>
            <w:shd w:val="clear" w:color="auto" w:fill="auto"/>
            <w:hideMark/>
          </w:tcPr>
          <w:p w14:paraId="6424F792"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should map the lateral movement of the simulation in the GUI</w:t>
            </w:r>
          </w:p>
        </w:tc>
        <w:tc>
          <w:tcPr>
            <w:tcW w:w="427" w:type="pct"/>
            <w:tcBorders>
              <w:top w:val="nil"/>
              <w:left w:val="nil"/>
              <w:bottom w:val="single" w:sz="4" w:space="0" w:color="auto"/>
              <w:right w:val="single" w:sz="4" w:space="0" w:color="auto"/>
            </w:tcBorders>
            <w:shd w:val="clear" w:color="auto" w:fill="auto"/>
            <w:hideMark/>
          </w:tcPr>
          <w:p w14:paraId="793A8E87"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567ABFDC"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0F27C679"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51F24393"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131</w:t>
            </w:r>
          </w:p>
        </w:tc>
        <w:tc>
          <w:tcPr>
            <w:tcW w:w="3540" w:type="pct"/>
            <w:tcBorders>
              <w:top w:val="nil"/>
              <w:left w:val="nil"/>
              <w:bottom w:val="single" w:sz="4" w:space="0" w:color="auto"/>
              <w:right w:val="single" w:sz="4" w:space="0" w:color="auto"/>
            </w:tcBorders>
            <w:shd w:val="clear" w:color="auto" w:fill="auto"/>
            <w:hideMark/>
          </w:tcPr>
          <w:p w14:paraId="561744AE"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must help to understand if an attacker could obtain domain admin privileges by acquiring the highest level of access in the Bank’s Active Directory Environment</w:t>
            </w:r>
          </w:p>
        </w:tc>
        <w:tc>
          <w:tcPr>
            <w:tcW w:w="427" w:type="pct"/>
            <w:tcBorders>
              <w:top w:val="nil"/>
              <w:left w:val="nil"/>
              <w:bottom w:val="single" w:sz="4" w:space="0" w:color="auto"/>
              <w:right w:val="single" w:sz="4" w:space="0" w:color="auto"/>
            </w:tcBorders>
            <w:shd w:val="clear" w:color="auto" w:fill="auto"/>
            <w:hideMark/>
          </w:tcPr>
          <w:p w14:paraId="55B29EBA"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40802567"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05E475DC"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03F5D293"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132</w:t>
            </w:r>
          </w:p>
        </w:tc>
        <w:tc>
          <w:tcPr>
            <w:tcW w:w="3540" w:type="pct"/>
            <w:tcBorders>
              <w:top w:val="nil"/>
              <w:left w:val="nil"/>
              <w:bottom w:val="single" w:sz="4" w:space="0" w:color="auto"/>
              <w:right w:val="single" w:sz="4" w:space="0" w:color="auto"/>
            </w:tcBorders>
            <w:shd w:val="clear" w:color="auto" w:fill="auto"/>
            <w:hideMark/>
          </w:tcPr>
          <w:p w14:paraId="089BF0E0"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must be able to simulate ransomware behavior and help to understand which files the attacker can access and exfiltrate</w:t>
            </w:r>
          </w:p>
        </w:tc>
        <w:tc>
          <w:tcPr>
            <w:tcW w:w="427" w:type="pct"/>
            <w:tcBorders>
              <w:top w:val="nil"/>
              <w:left w:val="nil"/>
              <w:bottom w:val="single" w:sz="4" w:space="0" w:color="auto"/>
              <w:right w:val="single" w:sz="4" w:space="0" w:color="auto"/>
            </w:tcBorders>
            <w:shd w:val="clear" w:color="auto" w:fill="auto"/>
            <w:hideMark/>
          </w:tcPr>
          <w:p w14:paraId="61747FF0"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4D5D0DBA"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049D01E9"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288A31DE"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133</w:t>
            </w:r>
          </w:p>
        </w:tc>
        <w:tc>
          <w:tcPr>
            <w:tcW w:w="3540" w:type="pct"/>
            <w:tcBorders>
              <w:top w:val="nil"/>
              <w:left w:val="nil"/>
              <w:bottom w:val="single" w:sz="4" w:space="0" w:color="auto"/>
              <w:right w:val="single" w:sz="4" w:space="0" w:color="auto"/>
            </w:tcBorders>
            <w:shd w:val="clear" w:color="auto" w:fill="auto"/>
            <w:hideMark/>
          </w:tcPr>
          <w:p w14:paraId="58A7ED49"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should report findings as a CSV report with following information: a) Discovered Hosts (IP and Name), b)Discovered AD Group DNS c) Discovered Domain Users (Username and Password)</w:t>
            </w:r>
          </w:p>
        </w:tc>
        <w:tc>
          <w:tcPr>
            <w:tcW w:w="427" w:type="pct"/>
            <w:tcBorders>
              <w:top w:val="nil"/>
              <w:left w:val="nil"/>
              <w:bottom w:val="single" w:sz="4" w:space="0" w:color="auto"/>
              <w:right w:val="single" w:sz="4" w:space="0" w:color="auto"/>
            </w:tcBorders>
            <w:shd w:val="clear" w:color="auto" w:fill="auto"/>
            <w:hideMark/>
          </w:tcPr>
          <w:p w14:paraId="3D46E8FB"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6464A864"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2881E130"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165F0B9B"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134</w:t>
            </w:r>
          </w:p>
        </w:tc>
        <w:tc>
          <w:tcPr>
            <w:tcW w:w="3540" w:type="pct"/>
            <w:tcBorders>
              <w:top w:val="nil"/>
              <w:left w:val="nil"/>
              <w:bottom w:val="single" w:sz="4" w:space="0" w:color="auto"/>
              <w:right w:val="single" w:sz="4" w:space="0" w:color="auto"/>
            </w:tcBorders>
            <w:shd w:val="clear" w:color="auto" w:fill="auto"/>
            <w:hideMark/>
          </w:tcPr>
          <w:p w14:paraId="574D097B"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must support an AI smart assistant to help administrators do their operational tasks and provide users with insights to facilitate decision-making and optimize outcomes</w:t>
            </w:r>
          </w:p>
        </w:tc>
        <w:tc>
          <w:tcPr>
            <w:tcW w:w="427" w:type="pct"/>
            <w:tcBorders>
              <w:top w:val="nil"/>
              <w:left w:val="nil"/>
              <w:bottom w:val="single" w:sz="4" w:space="0" w:color="auto"/>
              <w:right w:val="single" w:sz="4" w:space="0" w:color="auto"/>
            </w:tcBorders>
            <w:shd w:val="clear" w:color="auto" w:fill="auto"/>
            <w:hideMark/>
          </w:tcPr>
          <w:p w14:paraId="41719B29"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3E5A47D1"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59121367"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19A8B420"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135</w:t>
            </w:r>
          </w:p>
        </w:tc>
        <w:tc>
          <w:tcPr>
            <w:tcW w:w="3540" w:type="pct"/>
            <w:tcBorders>
              <w:top w:val="nil"/>
              <w:left w:val="nil"/>
              <w:bottom w:val="single" w:sz="4" w:space="0" w:color="auto"/>
              <w:right w:val="single" w:sz="4" w:space="0" w:color="auto"/>
            </w:tcBorders>
            <w:shd w:val="clear" w:color="auto" w:fill="auto"/>
            <w:hideMark/>
          </w:tcPr>
          <w:p w14:paraId="7812E040"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platform must support to-the-point insights about security posture, most critical gaps and suggested mitigations and simple analysis of simulation results through the AI smart assistant</w:t>
            </w:r>
          </w:p>
        </w:tc>
        <w:tc>
          <w:tcPr>
            <w:tcW w:w="427" w:type="pct"/>
            <w:tcBorders>
              <w:top w:val="nil"/>
              <w:left w:val="nil"/>
              <w:bottom w:val="single" w:sz="4" w:space="0" w:color="auto"/>
              <w:right w:val="single" w:sz="4" w:space="0" w:color="auto"/>
            </w:tcBorders>
            <w:shd w:val="clear" w:color="auto" w:fill="auto"/>
            <w:hideMark/>
          </w:tcPr>
          <w:p w14:paraId="0731F309"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22455672"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5DC96B75"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257F34E8"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136</w:t>
            </w:r>
          </w:p>
        </w:tc>
        <w:tc>
          <w:tcPr>
            <w:tcW w:w="3540" w:type="pct"/>
            <w:tcBorders>
              <w:top w:val="nil"/>
              <w:left w:val="nil"/>
              <w:bottom w:val="single" w:sz="4" w:space="0" w:color="auto"/>
              <w:right w:val="single" w:sz="4" w:space="0" w:color="auto"/>
            </w:tcBorders>
            <w:shd w:val="clear" w:color="auto" w:fill="auto"/>
            <w:hideMark/>
          </w:tcPr>
          <w:p w14:paraId="1C1D5DA2"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must have the capability to integrate with Cyber Threat Intelligence</w:t>
            </w:r>
          </w:p>
        </w:tc>
        <w:tc>
          <w:tcPr>
            <w:tcW w:w="427" w:type="pct"/>
            <w:tcBorders>
              <w:top w:val="nil"/>
              <w:left w:val="nil"/>
              <w:bottom w:val="single" w:sz="4" w:space="0" w:color="auto"/>
              <w:right w:val="single" w:sz="4" w:space="0" w:color="auto"/>
            </w:tcBorders>
            <w:shd w:val="clear" w:color="auto" w:fill="auto"/>
            <w:hideMark/>
          </w:tcPr>
          <w:p w14:paraId="2D9DCFEB"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1A3E2977"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27719A61"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132C4E4F"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137</w:t>
            </w:r>
          </w:p>
        </w:tc>
        <w:tc>
          <w:tcPr>
            <w:tcW w:w="3540" w:type="pct"/>
            <w:tcBorders>
              <w:top w:val="nil"/>
              <w:left w:val="nil"/>
              <w:bottom w:val="single" w:sz="4" w:space="0" w:color="auto"/>
              <w:right w:val="single" w:sz="4" w:space="0" w:color="auto"/>
            </w:tcBorders>
            <w:shd w:val="clear" w:color="auto" w:fill="auto"/>
            <w:hideMark/>
          </w:tcPr>
          <w:p w14:paraId="25C4E845"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must allow for filtering of Cyber Threat Intelligence data based on threat profile by Sector, Country, Region</w:t>
            </w:r>
          </w:p>
        </w:tc>
        <w:tc>
          <w:tcPr>
            <w:tcW w:w="427" w:type="pct"/>
            <w:tcBorders>
              <w:top w:val="nil"/>
              <w:left w:val="nil"/>
              <w:bottom w:val="single" w:sz="4" w:space="0" w:color="auto"/>
              <w:right w:val="single" w:sz="4" w:space="0" w:color="auto"/>
            </w:tcBorders>
            <w:shd w:val="clear" w:color="auto" w:fill="auto"/>
            <w:hideMark/>
          </w:tcPr>
          <w:p w14:paraId="0E0F620E"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7F317565"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75D7AAE3"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4C3C4A4A"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138</w:t>
            </w:r>
          </w:p>
        </w:tc>
        <w:tc>
          <w:tcPr>
            <w:tcW w:w="3540" w:type="pct"/>
            <w:tcBorders>
              <w:top w:val="nil"/>
              <w:left w:val="nil"/>
              <w:bottom w:val="single" w:sz="4" w:space="0" w:color="auto"/>
              <w:right w:val="single" w:sz="4" w:space="0" w:color="auto"/>
            </w:tcBorders>
            <w:shd w:val="clear" w:color="auto" w:fill="auto"/>
            <w:hideMark/>
          </w:tcPr>
          <w:p w14:paraId="3FFAC490"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must support curation of organization-specific threat profile based on threat landscape and organizational context, such as industry, geography, asset landscape, etc</w:t>
            </w:r>
          </w:p>
        </w:tc>
        <w:tc>
          <w:tcPr>
            <w:tcW w:w="427" w:type="pct"/>
            <w:tcBorders>
              <w:top w:val="nil"/>
              <w:left w:val="nil"/>
              <w:bottom w:val="single" w:sz="4" w:space="0" w:color="auto"/>
              <w:right w:val="single" w:sz="4" w:space="0" w:color="auto"/>
            </w:tcBorders>
            <w:shd w:val="clear" w:color="auto" w:fill="auto"/>
            <w:hideMark/>
          </w:tcPr>
          <w:p w14:paraId="12538D53"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2A6167CB"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6E2FC547"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6DC3C5FE"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139</w:t>
            </w:r>
          </w:p>
        </w:tc>
        <w:tc>
          <w:tcPr>
            <w:tcW w:w="3540" w:type="pct"/>
            <w:tcBorders>
              <w:top w:val="nil"/>
              <w:left w:val="nil"/>
              <w:bottom w:val="single" w:sz="4" w:space="0" w:color="auto"/>
              <w:right w:val="single" w:sz="4" w:space="0" w:color="auto"/>
            </w:tcBorders>
            <w:shd w:val="clear" w:color="auto" w:fill="auto"/>
            <w:hideMark/>
          </w:tcPr>
          <w:p w14:paraId="0A8F811C"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platform must support gen AI-driven collection, aggregation and curation of threat intelligence</w:t>
            </w:r>
          </w:p>
        </w:tc>
        <w:tc>
          <w:tcPr>
            <w:tcW w:w="427" w:type="pct"/>
            <w:tcBorders>
              <w:top w:val="nil"/>
              <w:left w:val="nil"/>
              <w:bottom w:val="single" w:sz="4" w:space="0" w:color="auto"/>
              <w:right w:val="single" w:sz="4" w:space="0" w:color="auto"/>
            </w:tcBorders>
            <w:shd w:val="clear" w:color="auto" w:fill="auto"/>
            <w:hideMark/>
          </w:tcPr>
          <w:p w14:paraId="3E58CEF0"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700796C4"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64414DFB"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39B01A2C"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140</w:t>
            </w:r>
          </w:p>
        </w:tc>
        <w:tc>
          <w:tcPr>
            <w:tcW w:w="3540" w:type="pct"/>
            <w:tcBorders>
              <w:top w:val="nil"/>
              <w:left w:val="nil"/>
              <w:bottom w:val="single" w:sz="4" w:space="0" w:color="auto"/>
              <w:right w:val="single" w:sz="4" w:space="0" w:color="auto"/>
            </w:tcBorders>
            <w:shd w:val="clear" w:color="auto" w:fill="auto"/>
            <w:hideMark/>
          </w:tcPr>
          <w:p w14:paraId="33E8DAAF"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The platform must have the in-built capability to add attack detection query time difference caused due to network delays or security vendor's time differences, by specifying an attack start early interval and an attack terminated delay interval. </w:t>
            </w:r>
          </w:p>
        </w:tc>
        <w:tc>
          <w:tcPr>
            <w:tcW w:w="427" w:type="pct"/>
            <w:tcBorders>
              <w:top w:val="nil"/>
              <w:left w:val="nil"/>
              <w:bottom w:val="single" w:sz="4" w:space="0" w:color="auto"/>
              <w:right w:val="single" w:sz="4" w:space="0" w:color="auto"/>
            </w:tcBorders>
            <w:shd w:val="clear" w:color="auto" w:fill="auto"/>
            <w:hideMark/>
          </w:tcPr>
          <w:p w14:paraId="071A371B"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13C0BDE2"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38D190CA"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38598FF1"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141</w:t>
            </w:r>
          </w:p>
        </w:tc>
        <w:tc>
          <w:tcPr>
            <w:tcW w:w="3540" w:type="pct"/>
            <w:tcBorders>
              <w:top w:val="nil"/>
              <w:left w:val="nil"/>
              <w:bottom w:val="single" w:sz="4" w:space="0" w:color="auto"/>
              <w:right w:val="single" w:sz="4" w:space="0" w:color="auto"/>
            </w:tcBorders>
            <w:shd w:val="clear" w:color="auto" w:fill="auto"/>
            <w:hideMark/>
          </w:tcPr>
          <w:p w14:paraId="5EF3F0C2"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should allow users to create custom dashboards for required simulations</w:t>
            </w:r>
          </w:p>
        </w:tc>
        <w:tc>
          <w:tcPr>
            <w:tcW w:w="427" w:type="pct"/>
            <w:tcBorders>
              <w:top w:val="nil"/>
              <w:left w:val="nil"/>
              <w:bottom w:val="single" w:sz="4" w:space="0" w:color="auto"/>
              <w:right w:val="single" w:sz="4" w:space="0" w:color="auto"/>
            </w:tcBorders>
            <w:shd w:val="clear" w:color="auto" w:fill="auto"/>
            <w:hideMark/>
          </w:tcPr>
          <w:p w14:paraId="4F682502"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69609218"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22D1DA35"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5AAC68B4"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142</w:t>
            </w:r>
          </w:p>
        </w:tc>
        <w:tc>
          <w:tcPr>
            <w:tcW w:w="3540" w:type="pct"/>
            <w:tcBorders>
              <w:top w:val="nil"/>
              <w:left w:val="nil"/>
              <w:bottom w:val="single" w:sz="4" w:space="0" w:color="auto"/>
              <w:right w:val="single" w:sz="4" w:space="0" w:color="auto"/>
            </w:tcBorders>
            <w:shd w:val="clear" w:color="auto" w:fill="auto"/>
            <w:hideMark/>
          </w:tcPr>
          <w:p w14:paraId="23399AA2"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should allow users to compare their Prevention scores to industry, region, and platform averages</w:t>
            </w:r>
          </w:p>
        </w:tc>
        <w:tc>
          <w:tcPr>
            <w:tcW w:w="427" w:type="pct"/>
            <w:tcBorders>
              <w:top w:val="nil"/>
              <w:left w:val="nil"/>
              <w:bottom w:val="single" w:sz="4" w:space="0" w:color="auto"/>
              <w:right w:val="single" w:sz="4" w:space="0" w:color="auto"/>
            </w:tcBorders>
            <w:shd w:val="clear" w:color="auto" w:fill="auto"/>
            <w:hideMark/>
          </w:tcPr>
          <w:p w14:paraId="73EDF923"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0B7BAE14"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524700CB"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67ACEBC8"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143</w:t>
            </w:r>
          </w:p>
        </w:tc>
        <w:tc>
          <w:tcPr>
            <w:tcW w:w="3540" w:type="pct"/>
            <w:tcBorders>
              <w:top w:val="nil"/>
              <w:left w:val="nil"/>
              <w:bottom w:val="single" w:sz="4" w:space="0" w:color="auto"/>
              <w:right w:val="single" w:sz="4" w:space="0" w:color="auto"/>
            </w:tcBorders>
            <w:shd w:val="clear" w:color="auto" w:fill="auto"/>
            <w:hideMark/>
          </w:tcPr>
          <w:p w14:paraId="6FDE5143"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must provide benchmarking of the Bank’s security scores with average security scores of 10 for most simulated threats, threat templates, and ATT&amp;CK tactics simulated by other customers</w:t>
            </w:r>
          </w:p>
        </w:tc>
        <w:tc>
          <w:tcPr>
            <w:tcW w:w="427" w:type="pct"/>
            <w:tcBorders>
              <w:top w:val="nil"/>
              <w:left w:val="nil"/>
              <w:bottom w:val="single" w:sz="4" w:space="0" w:color="auto"/>
              <w:right w:val="single" w:sz="4" w:space="0" w:color="auto"/>
            </w:tcBorders>
            <w:shd w:val="clear" w:color="auto" w:fill="auto"/>
            <w:hideMark/>
          </w:tcPr>
          <w:p w14:paraId="3EE06FFA"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hideMark/>
          </w:tcPr>
          <w:p w14:paraId="43348E61" w14:textId="77777777" w:rsidR="00A93231" w:rsidRPr="00A93231" w:rsidRDefault="00A93231" w:rsidP="00A93231">
            <w:pPr>
              <w:spacing w:after="0" w:line="240" w:lineRule="auto"/>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 </w:t>
            </w:r>
          </w:p>
        </w:tc>
      </w:tr>
      <w:tr w:rsidR="00A93231" w:rsidRPr="00A93231" w14:paraId="28BB07D5"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08F6589F"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144</w:t>
            </w:r>
          </w:p>
        </w:tc>
        <w:tc>
          <w:tcPr>
            <w:tcW w:w="3540" w:type="pct"/>
            <w:tcBorders>
              <w:top w:val="nil"/>
              <w:left w:val="nil"/>
              <w:bottom w:val="single" w:sz="4" w:space="0" w:color="auto"/>
              <w:right w:val="single" w:sz="4" w:space="0" w:color="auto"/>
            </w:tcBorders>
            <w:shd w:val="clear" w:color="auto" w:fill="auto"/>
            <w:hideMark/>
          </w:tcPr>
          <w:p w14:paraId="6DB27C50"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must also offer threat landscape filtering by malware family and threat actors to allow for specific focus of attack simulation</w:t>
            </w:r>
          </w:p>
        </w:tc>
        <w:tc>
          <w:tcPr>
            <w:tcW w:w="427" w:type="pct"/>
            <w:tcBorders>
              <w:top w:val="nil"/>
              <w:left w:val="nil"/>
              <w:bottom w:val="single" w:sz="4" w:space="0" w:color="auto"/>
              <w:right w:val="single" w:sz="4" w:space="0" w:color="auto"/>
            </w:tcBorders>
            <w:shd w:val="clear" w:color="auto" w:fill="auto"/>
            <w:vAlign w:val="bottom"/>
            <w:hideMark/>
          </w:tcPr>
          <w:p w14:paraId="7357FDDF" w14:textId="77777777" w:rsidR="00A93231" w:rsidRPr="00A93231" w:rsidRDefault="00A93231" w:rsidP="00A93231">
            <w:pPr>
              <w:spacing w:after="0" w:line="240" w:lineRule="auto"/>
              <w:rPr>
                <w:rFonts w:ascii="Verdana" w:eastAsia="Times New Roman" w:hAnsi="Verdana" w:cs="Calibri"/>
                <w:color w:val="000000"/>
                <w:sz w:val="20"/>
                <w:szCs w:val="20"/>
                <w:lang w:val="en-GB" w:eastAsia="en-GB"/>
              </w:rPr>
            </w:pPr>
            <w:r w:rsidRPr="00A93231">
              <w:rPr>
                <w:rFonts w:ascii="Verdana" w:eastAsia="Times New Roman" w:hAnsi="Verdana"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vAlign w:val="bottom"/>
            <w:hideMark/>
          </w:tcPr>
          <w:p w14:paraId="11B35B1C" w14:textId="77777777" w:rsidR="00A93231" w:rsidRPr="00A93231" w:rsidRDefault="00A93231" w:rsidP="00A93231">
            <w:pPr>
              <w:spacing w:after="0" w:line="240" w:lineRule="auto"/>
              <w:rPr>
                <w:rFonts w:ascii="Verdana" w:eastAsia="Times New Roman" w:hAnsi="Verdana" w:cs="Calibri"/>
                <w:color w:val="000000"/>
                <w:sz w:val="20"/>
                <w:szCs w:val="20"/>
                <w:lang w:val="en-GB" w:eastAsia="en-GB"/>
              </w:rPr>
            </w:pPr>
            <w:r w:rsidRPr="00A93231">
              <w:rPr>
                <w:rFonts w:ascii="Verdana" w:eastAsia="Times New Roman" w:hAnsi="Verdana" w:cs="Calibri"/>
                <w:color w:val="000000"/>
                <w:sz w:val="20"/>
                <w:szCs w:val="20"/>
                <w:lang w:val="en-GB" w:eastAsia="en-GB"/>
              </w:rPr>
              <w:t> </w:t>
            </w:r>
          </w:p>
        </w:tc>
      </w:tr>
      <w:tr w:rsidR="00A93231" w:rsidRPr="00A93231" w14:paraId="333142BC" w14:textId="77777777" w:rsidTr="008E0319">
        <w:trPr>
          <w:trHeight w:val="765"/>
        </w:trPr>
        <w:tc>
          <w:tcPr>
            <w:tcW w:w="176" w:type="pct"/>
            <w:tcBorders>
              <w:top w:val="nil"/>
              <w:left w:val="single" w:sz="4" w:space="0" w:color="auto"/>
              <w:bottom w:val="single" w:sz="4" w:space="0" w:color="auto"/>
              <w:right w:val="single" w:sz="4" w:space="0" w:color="auto"/>
            </w:tcBorders>
            <w:shd w:val="clear" w:color="auto" w:fill="auto"/>
            <w:hideMark/>
          </w:tcPr>
          <w:p w14:paraId="2A2834DF"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145</w:t>
            </w:r>
          </w:p>
        </w:tc>
        <w:tc>
          <w:tcPr>
            <w:tcW w:w="3540" w:type="pct"/>
            <w:tcBorders>
              <w:top w:val="nil"/>
              <w:left w:val="nil"/>
              <w:bottom w:val="single" w:sz="4" w:space="0" w:color="auto"/>
              <w:right w:val="single" w:sz="4" w:space="0" w:color="auto"/>
            </w:tcBorders>
            <w:shd w:val="clear" w:color="auto" w:fill="auto"/>
            <w:hideMark/>
          </w:tcPr>
          <w:p w14:paraId="63811538"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The proposed solution should allow administrators to access Audit Logs via Web UI and analyse with filtering options. The proposed solution should allow administrators to configure Syslog Integration to forward Audit Logs via </w:t>
            </w:r>
            <w:r w:rsidRPr="00A93231">
              <w:rPr>
                <w:rFonts w:ascii="Calibri" w:eastAsia="Times New Roman" w:hAnsi="Calibri" w:cs="Calibri"/>
                <w:sz w:val="20"/>
                <w:szCs w:val="20"/>
                <w:lang w:val="en-GB" w:eastAsia="en-GB"/>
              </w:rPr>
              <w:lastRenderedPageBreak/>
              <w:t>TCP or UDP to a log collector as CEF or JSON formats. The proposed solution should allow administrators to export Audit Logs via CSV file.</w:t>
            </w:r>
          </w:p>
        </w:tc>
        <w:tc>
          <w:tcPr>
            <w:tcW w:w="427" w:type="pct"/>
            <w:tcBorders>
              <w:top w:val="nil"/>
              <w:left w:val="nil"/>
              <w:bottom w:val="single" w:sz="4" w:space="0" w:color="auto"/>
              <w:right w:val="single" w:sz="4" w:space="0" w:color="auto"/>
            </w:tcBorders>
            <w:shd w:val="clear" w:color="auto" w:fill="auto"/>
            <w:vAlign w:val="bottom"/>
            <w:hideMark/>
          </w:tcPr>
          <w:p w14:paraId="6A17E6C0" w14:textId="77777777" w:rsidR="00A93231" w:rsidRPr="00A93231" w:rsidRDefault="00A93231" w:rsidP="00A93231">
            <w:pPr>
              <w:spacing w:after="0" w:line="240" w:lineRule="auto"/>
              <w:rPr>
                <w:rFonts w:ascii="Verdana" w:eastAsia="Times New Roman" w:hAnsi="Verdana" w:cs="Calibri"/>
                <w:color w:val="000000"/>
                <w:sz w:val="20"/>
                <w:szCs w:val="20"/>
                <w:lang w:val="en-GB" w:eastAsia="en-GB"/>
              </w:rPr>
            </w:pPr>
            <w:r w:rsidRPr="00A93231">
              <w:rPr>
                <w:rFonts w:ascii="Verdana" w:eastAsia="Times New Roman" w:hAnsi="Verdana" w:cs="Calibri"/>
                <w:color w:val="000000"/>
                <w:sz w:val="20"/>
                <w:szCs w:val="20"/>
                <w:lang w:val="en-GB" w:eastAsia="en-GB"/>
              </w:rPr>
              <w:lastRenderedPageBreak/>
              <w:t> </w:t>
            </w:r>
          </w:p>
        </w:tc>
        <w:tc>
          <w:tcPr>
            <w:tcW w:w="857" w:type="pct"/>
            <w:tcBorders>
              <w:top w:val="nil"/>
              <w:left w:val="nil"/>
              <w:bottom w:val="single" w:sz="4" w:space="0" w:color="auto"/>
              <w:right w:val="single" w:sz="4" w:space="0" w:color="auto"/>
            </w:tcBorders>
            <w:shd w:val="clear" w:color="auto" w:fill="auto"/>
            <w:vAlign w:val="bottom"/>
            <w:hideMark/>
          </w:tcPr>
          <w:p w14:paraId="31FC32AF" w14:textId="77777777" w:rsidR="00A93231" w:rsidRPr="00A93231" w:rsidRDefault="00A93231" w:rsidP="00A93231">
            <w:pPr>
              <w:spacing w:after="0" w:line="240" w:lineRule="auto"/>
              <w:rPr>
                <w:rFonts w:ascii="Verdana" w:eastAsia="Times New Roman" w:hAnsi="Verdana" w:cs="Calibri"/>
                <w:color w:val="000000"/>
                <w:sz w:val="20"/>
                <w:szCs w:val="20"/>
                <w:lang w:val="en-GB" w:eastAsia="en-GB"/>
              </w:rPr>
            </w:pPr>
            <w:r w:rsidRPr="00A93231">
              <w:rPr>
                <w:rFonts w:ascii="Verdana" w:eastAsia="Times New Roman" w:hAnsi="Verdana" w:cs="Calibri"/>
                <w:color w:val="000000"/>
                <w:sz w:val="20"/>
                <w:szCs w:val="20"/>
                <w:lang w:val="en-GB" w:eastAsia="en-GB"/>
              </w:rPr>
              <w:t> </w:t>
            </w:r>
          </w:p>
        </w:tc>
      </w:tr>
      <w:tr w:rsidR="00A93231" w:rsidRPr="00A93231" w14:paraId="2774367F" w14:textId="77777777" w:rsidTr="008E0319">
        <w:trPr>
          <w:trHeight w:val="765"/>
        </w:trPr>
        <w:tc>
          <w:tcPr>
            <w:tcW w:w="176" w:type="pct"/>
            <w:tcBorders>
              <w:top w:val="nil"/>
              <w:left w:val="single" w:sz="4" w:space="0" w:color="auto"/>
              <w:bottom w:val="single" w:sz="4" w:space="0" w:color="auto"/>
              <w:right w:val="single" w:sz="4" w:space="0" w:color="auto"/>
            </w:tcBorders>
            <w:shd w:val="clear" w:color="auto" w:fill="auto"/>
            <w:hideMark/>
          </w:tcPr>
          <w:p w14:paraId="03D9F400"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146</w:t>
            </w:r>
          </w:p>
        </w:tc>
        <w:tc>
          <w:tcPr>
            <w:tcW w:w="3540" w:type="pct"/>
            <w:tcBorders>
              <w:top w:val="nil"/>
              <w:left w:val="nil"/>
              <w:bottom w:val="single" w:sz="4" w:space="0" w:color="auto"/>
              <w:right w:val="single" w:sz="4" w:space="0" w:color="auto"/>
            </w:tcBorders>
            <w:shd w:val="clear" w:color="auto" w:fill="auto"/>
            <w:hideMark/>
          </w:tcPr>
          <w:p w14:paraId="5B726556"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The proposed solution must allow access through a web interface and RESTful APIs. The proposed solution should support integration and communicate with other solutions based on an “Application Control Interface” (API) access or the Syslog protocol, for purposes such as: </w:t>
            </w:r>
          </w:p>
        </w:tc>
        <w:tc>
          <w:tcPr>
            <w:tcW w:w="427" w:type="pct"/>
            <w:tcBorders>
              <w:top w:val="nil"/>
              <w:left w:val="nil"/>
              <w:bottom w:val="single" w:sz="4" w:space="0" w:color="auto"/>
              <w:right w:val="single" w:sz="4" w:space="0" w:color="auto"/>
            </w:tcBorders>
            <w:shd w:val="clear" w:color="auto" w:fill="auto"/>
            <w:vAlign w:val="bottom"/>
            <w:hideMark/>
          </w:tcPr>
          <w:p w14:paraId="4EA67D11" w14:textId="77777777" w:rsidR="00A93231" w:rsidRPr="00A93231" w:rsidRDefault="00A93231" w:rsidP="00A93231">
            <w:pPr>
              <w:spacing w:after="0" w:line="240" w:lineRule="auto"/>
              <w:rPr>
                <w:rFonts w:ascii="Verdana" w:eastAsia="Times New Roman" w:hAnsi="Verdana" w:cs="Calibri"/>
                <w:color w:val="000000"/>
                <w:sz w:val="20"/>
                <w:szCs w:val="20"/>
                <w:lang w:val="en-GB" w:eastAsia="en-GB"/>
              </w:rPr>
            </w:pPr>
            <w:r w:rsidRPr="00A93231">
              <w:rPr>
                <w:rFonts w:ascii="Verdana" w:eastAsia="Times New Roman" w:hAnsi="Verdana"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vAlign w:val="bottom"/>
            <w:hideMark/>
          </w:tcPr>
          <w:p w14:paraId="6418D36F" w14:textId="77777777" w:rsidR="00A93231" w:rsidRPr="00A93231" w:rsidRDefault="00A93231" w:rsidP="00A93231">
            <w:pPr>
              <w:spacing w:after="0" w:line="240" w:lineRule="auto"/>
              <w:rPr>
                <w:rFonts w:ascii="Verdana" w:eastAsia="Times New Roman" w:hAnsi="Verdana" w:cs="Calibri"/>
                <w:color w:val="000000"/>
                <w:sz w:val="20"/>
                <w:szCs w:val="20"/>
                <w:lang w:val="en-GB" w:eastAsia="en-GB"/>
              </w:rPr>
            </w:pPr>
            <w:r w:rsidRPr="00A93231">
              <w:rPr>
                <w:rFonts w:ascii="Verdana" w:eastAsia="Times New Roman" w:hAnsi="Verdana" w:cs="Calibri"/>
                <w:color w:val="000000"/>
                <w:sz w:val="20"/>
                <w:szCs w:val="20"/>
                <w:lang w:val="en-GB" w:eastAsia="en-GB"/>
              </w:rPr>
              <w:t> </w:t>
            </w:r>
          </w:p>
        </w:tc>
      </w:tr>
      <w:tr w:rsidR="00A93231" w:rsidRPr="00A93231" w14:paraId="354EC8C0"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305B7291"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147</w:t>
            </w:r>
          </w:p>
        </w:tc>
        <w:tc>
          <w:tcPr>
            <w:tcW w:w="3540" w:type="pct"/>
            <w:tcBorders>
              <w:top w:val="nil"/>
              <w:left w:val="nil"/>
              <w:bottom w:val="single" w:sz="4" w:space="0" w:color="auto"/>
              <w:right w:val="single" w:sz="4" w:space="0" w:color="auto"/>
            </w:tcBorders>
            <w:shd w:val="clear" w:color="auto" w:fill="auto"/>
            <w:hideMark/>
          </w:tcPr>
          <w:p w14:paraId="3F46E2A4"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a) Customized reports, </w:t>
            </w:r>
          </w:p>
        </w:tc>
        <w:tc>
          <w:tcPr>
            <w:tcW w:w="427" w:type="pct"/>
            <w:tcBorders>
              <w:top w:val="nil"/>
              <w:left w:val="nil"/>
              <w:bottom w:val="single" w:sz="4" w:space="0" w:color="auto"/>
              <w:right w:val="single" w:sz="4" w:space="0" w:color="auto"/>
            </w:tcBorders>
            <w:shd w:val="clear" w:color="auto" w:fill="auto"/>
            <w:vAlign w:val="bottom"/>
            <w:hideMark/>
          </w:tcPr>
          <w:p w14:paraId="1D718FBD" w14:textId="77777777" w:rsidR="00A93231" w:rsidRPr="00A93231" w:rsidRDefault="00A93231" w:rsidP="00A93231">
            <w:pPr>
              <w:spacing w:after="0" w:line="240" w:lineRule="auto"/>
              <w:rPr>
                <w:rFonts w:ascii="Verdana" w:eastAsia="Times New Roman" w:hAnsi="Verdana" w:cs="Calibri"/>
                <w:color w:val="000000"/>
                <w:sz w:val="20"/>
                <w:szCs w:val="20"/>
                <w:lang w:val="en-GB" w:eastAsia="en-GB"/>
              </w:rPr>
            </w:pPr>
            <w:r w:rsidRPr="00A93231">
              <w:rPr>
                <w:rFonts w:ascii="Verdana" w:eastAsia="Times New Roman" w:hAnsi="Verdana"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vAlign w:val="bottom"/>
            <w:hideMark/>
          </w:tcPr>
          <w:p w14:paraId="28A3F731" w14:textId="77777777" w:rsidR="00A93231" w:rsidRPr="00A93231" w:rsidRDefault="00A93231" w:rsidP="00A93231">
            <w:pPr>
              <w:spacing w:after="0" w:line="240" w:lineRule="auto"/>
              <w:rPr>
                <w:rFonts w:ascii="Verdana" w:eastAsia="Times New Roman" w:hAnsi="Verdana" w:cs="Calibri"/>
                <w:color w:val="000000"/>
                <w:sz w:val="20"/>
                <w:szCs w:val="20"/>
                <w:lang w:val="en-GB" w:eastAsia="en-GB"/>
              </w:rPr>
            </w:pPr>
            <w:r w:rsidRPr="00A93231">
              <w:rPr>
                <w:rFonts w:ascii="Verdana" w:eastAsia="Times New Roman" w:hAnsi="Verdana" w:cs="Calibri"/>
                <w:color w:val="000000"/>
                <w:sz w:val="20"/>
                <w:szCs w:val="20"/>
                <w:lang w:val="en-GB" w:eastAsia="en-GB"/>
              </w:rPr>
              <w:t> </w:t>
            </w:r>
          </w:p>
        </w:tc>
      </w:tr>
      <w:tr w:rsidR="00A93231" w:rsidRPr="00A93231" w14:paraId="315648A6"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2A783F33"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148</w:t>
            </w:r>
          </w:p>
        </w:tc>
        <w:tc>
          <w:tcPr>
            <w:tcW w:w="3540" w:type="pct"/>
            <w:tcBorders>
              <w:top w:val="nil"/>
              <w:left w:val="nil"/>
              <w:bottom w:val="single" w:sz="4" w:space="0" w:color="auto"/>
              <w:right w:val="single" w:sz="4" w:space="0" w:color="auto"/>
            </w:tcBorders>
            <w:shd w:val="clear" w:color="auto" w:fill="auto"/>
            <w:hideMark/>
          </w:tcPr>
          <w:p w14:paraId="621D4C03"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b) Customized dashboards, </w:t>
            </w:r>
          </w:p>
        </w:tc>
        <w:tc>
          <w:tcPr>
            <w:tcW w:w="427" w:type="pct"/>
            <w:tcBorders>
              <w:top w:val="nil"/>
              <w:left w:val="nil"/>
              <w:bottom w:val="single" w:sz="4" w:space="0" w:color="auto"/>
              <w:right w:val="single" w:sz="4" w:space="0" w:color="auto"/>
            </w:tcBorders>
            <w:shd w:val="clear" w:color="auto" w:fill="auto"/>
            <w:vAlign w:val="bottom"/>
            <w:hideMark/>
          </w:tcPr>
          <w:p w14:paraId="18F9E9AE" w14:textId="77777777" w:rsidR="00A93231" w:rsidRPr="00A93231" w:rsidRDefault="00A93231" w:rsidP="00A93231">
            <w:pPr>
              <w:spacing w:after="0" w:line="240" w:lineRule="auto"/>
              <w:rPr>
                <w:rFonts w:ascii="Verdana" w:eastAsia="Times New Roman" w:hAnsi="Verdana" w:cs="Calibri"/>
                <w:color w:val="000000"/>
                <w:sz w:val="20"/>
                <w:szCs w:val="20"/>
                <w:lang w:val="en-GB" w:eastAsia="en-GB"/>
              </w:rPr>
            </w:pPr>
            <w:r w:rsidRPr="00A93231">
              <w:rPr>
                <w:rFonts w:ascii="Verdana" w:eastAsia="Times New Roman" w:hAnsi="Verdana"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vAlign w:val="bottom"/>
            <w:hideMark/>
          </w:tcPr>
          <w:p w14:paraId="468682D7" w14:textId="77777777" w:rsidR="00A93231" w:rsidRPr="00A93231" w:rsidRDefault="00A93231" w:rsidP="00A93231">
            <w:pPr>
              <w:spacing w:after="0" w:line="240" w:lineRule="auto"/>
              <w:rPr>
                <w:rFonts w:ascii="Verdana" w:eastAsia="Times New Roman" w:hAnsi="Verdana" w:cs="Calibri"/>
                <w:color w:val="000000"/>
                <w:sz w:val="20"/>
                <w:szCs w:val="20"/>
                <w:lang w:val="en-GB" w:eastAsia="en-GB"/>
              </w:rPr>
            </w:pPr>
            <w:r w:rsidRPr="00A93231">
              <w:rPr>
                <w:rFonts w:ascii="Verdana" w:eastAsia="Times New Roman" w:hAnsi="Verdana" w:cs="Calibri"/>
                <w:color w:val="000000"/>
                <w:sz w:val="20"/>
                <w:szCs w:val="20"/>
                <w:lang w:val="en-GB" w:eastAsia="en-GB"/>
              </w:rPr>
              <w:t> </w:t>
            </w:r>
          </w:p>
        </w:tc>
      </w:tr>
      <w:tr w:rsidR="00A93231" w:rsidRPr="00A93231" w14:paraId="08EE7C2A"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562DDA46"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149</w:t>
            </w:r>
          </w:p>
        </w:tc>
        <w:tc>
          <w:tcPr>
            <w:tcW w:w="3540" w:type="pct"/>
            <w:tcBorders>
              <w:top w:val="nil"/>
              <w:left w:val="nil"/>
              <w:bottom w:val="single" w:sz="4" w:space="0" w:color="auto"/>
              <w:right w:val="single" w:sz="4" w:space="0" w:color="auto"/>
            </w:tcBorders>
            <w:shd w:val="clear" w:color="auto" w:fill="auto"/>
            <w:hideMark/>
          </w:tcPr>
          <w:p w14:paraId="381BA4B1"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c) Integration with third party solutions like SOAR, SIEM or other platforms, </w:t>
            </w:r>
          </w:p>
        </w:tc>
        <w:tc>
          <w:tcPr>
            <w:tcW w:w="427" w:type="pct"/>
            <w:tcBorders>
              <w:top w:val="nil"/>
              <w:left w:val="nil"/>
              <w:bottom w:val="single" w:sz="4" w:space="0" w:color="auto"/>
              <w:right w:val="single" w:sz="4" w:space="0" w:color="auto"/>
            </w:tcBorders>
            <w:shd w:val="clear" w:color="auto" w:fill="auto"/>
            <w:vAlign w:val="bottom"/>
            <w:hideMark/>
          </w:tcPr>
          <w:p w14:paraId="1789FE68" w14:textId="77777777" w:rsidR="00A93231" w:rsidRPr="00A93231" w:rsidRDefault="00A93231" w:rsidP="00A93231">
            <w:pPr>
              <w:spacing w:after="0" w:line="240" w:lineRule="auto"/>
              <w:rPr>
                <w:rFonts w:ascii="Verdana" w:eastAsia="Times New Roman" w:hAnsi="Verdana" w:cs="Calibri"/>
                <w:color w:val="000000"/>
                <w:sz w:val="20"/>
                <w:szCs w:val="20"/>
                <w:lang w:val="en-GB" w:eastAsia="en-GB"/>
              </w:rPr>
            </w:pPr>
            <w:r w:rsidRPr="00A93231">
              <w:rPr>
                <w:rFonts w:ascii="Verdana" w:eastAsia="Times New Roman" w:hAnsi="Verdana"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vAlign w:val="bottom"/>
            <w:hideMark/>
          </w:tcPr>
          <w:p w14:paraId="23F1A909" w14:textId="77777777" w:rsidR="00A93231" w:rsidRPr="00A93231" w:rsidRDefault="00A93231" w:rsidP="00A93231">
            <w:pPr>
              <w:spacing w:after="0" w:line="240" w:lineRule="auto"/>
              <w:rPr>
                <w:rFonts w:ascii="Verdana" w:eastAsia="Times New Roman" w:hAnsi="Verdana" w:cs="Calibri"/>
                <w:color w:val="000000"/>
                <w:sz w:val="20"/>
                <w:szCs w:val="20"/>
                <w:lang w:val="en-GB" w:eastAsia="en-GB"/>
              </w:rPr>
            </w:pPr>
            <w:r w:rsidRPr="00A93231">
              <w:rPr>
                <w:rFonts w:ascii="Verdana" w:eastAsia="Times New Roman" w:hAnsi="Verdana" w:cs="Calibri"/>
                <w:color w:val="000000"/>
                <w:sz w:val="20"/>
                <w:szCs w:val="20"/>
                <w:lang w:val="en-GB" w:eastAsia="en-GB"/>
              </w:rPr>
              <w:t> </w:t>
            </w:r>
          </w:p>
        </w:tc>
      </w:tr>
      <w:tr w:rsidR="00A93231" w:rsidRPr="00A93231" w14:paraId="5BFBDAD3"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401E0C15"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150</w:t>
            </w:r>
          </w:p>
        </w:tc>
        <w:tc>
          <w:tcPr>
            <w:tcW w:w="3540" w:type="pct"/>
            <w:tcBorders>
              <w:top w:val="nil"/>
              <w:left w:val="nil"/>
              <w:bottom w:val="single" w:sz="4" w:space="0" w:color="auto"/>
              <w:right w:val="single" w:sz="4" w:space="0" w:color="auto"/>
            </w:tcBorders>
            <w:shd w:val="clear" w:color="auto" w:fill="auto"/>
            <w:hideMark/>
          </w:tcPr>
          <w:p w14:paraId="5BC25DA4"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d) Creating Dynamic &amp; Static Templates, </w:t>
            </w:r>
          </w:p>
        </w:tc>
        <w:tc>
          <w:tcPr>
            <w:tcW w:w="427" w:type="pct"/>
            <w:tcBorders>
              <w:top w:val="nil"/>
              <w:left w:val="nil"/>
              <w:bottom w:val="single" w:sz="4" w:space="0" w:color="auto"/>
              <w:right w:val="single" w:sz="4" w:space="0" w:color="auto"/>
            </w:tcBorders>
            <w:shd w:val="clear" w:color="auto" w:fill="auto"/>
            <w:vAlign w:val="bottom"/>
            <w:hideMark/>
          </w:tcPr>
          <w:p w14:paraId="4A8F3884" w14:textId="77777777" w:rsidR="00A93231" w:rsidRPr="00A93231" w:rsidRDefault="00A93231" w:rsidP="00A93231">
            <w:pPr>
              <w:spacing w:after="0" w:line="240" w:lineRule="auto"/>
              <w:rPr>
                <w:rFonts w:ascii="Verdana" w:eastAsia="Times New Roman" w:hAnsi="Verdana" w:cs="Calibri"/>
                <w:color w:val="000000"/>
                <w:sz w:val="20"/>
                <w:szCs w:val="20"/>
                <w:lang w:val="en-GB" w:eastAsia="en-GB"/>
              </w:rPr>
            </w:pPr>
            <w:r w:rsidRPr="00A93231">
              <w:rPr>
                <w:rFonts w:ascii="Verdana" w:eastAsia="Times New Roman" w:hAnsi="Verdana"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vAlign w:val="bottom"/>
            <w:hideMark/>
          </w:tcPr>
          <w:p w14:paraId="7377F4EB" w14:textId="77777777" w:rsidR="00A93231" w:rsidRPr="00A93231" w:rsidRDefault="00A93231" w:rsidP="00A93231">
            <w:pPr>
              <w:spacing w:after="0" w:line="240" w:lineRule="auto"/>
              <w:rPr>
                <w:rFonts w:ascii="Verdana" w:eastAsia="Times New Roman" w:hAnsi="Verdana" w:cs="Calibri"/>
                <w:color w:val="000000"/>
                <w:sz w:val="20"/>
                <w:szCs w:val="20"/>
                <w:lang w:val="en-GB" w:eastAsia="en-GB"/>
              </w:rPr>
            </w:pPr>
            <w:r w:rsidRPr="00A93231">
              <w:rPr>
                <w:rFonts w:ascii="Verdana" w:eastAsia="Times New Roman" w:hAnsi="Verdana" w:cs="Calibri"/>
                <w:color w:val="000000"/>
                <w:sz w:val="20"/>
                <w:szCs w:val="20"/>
                <w:lang w:val="en-GB" w:eastAsia="en-GB"/>
              </w:rPr>
              <w:t> </w:t>
            </w:r>
          </w:p>
        </w:tc>
      </w:tr>
      <w:tr w:rsidR="00A93231" w:rsidRPr="00A93231" w14:paraId="3E526A66"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6806A971"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151</w:t>
            </w:r>
          </w:p>
        </w:tc>
        <w:tc>
          <w:tcPr>
            <w:tcW w:w="3540" w:type="pct"/>
            <w:tcBorders>
              <w:top w:val="nil"/>
              <w:left w:val="nil"/>
              <w:bottom w:val="single" w:sz="4" w:space="0" w:color="auto"/>
              <w:right w:val="single" w:sz="4" w:space="0" w:color="auto"/>
            </w:tcBorders>
            <w:shd w:val="clear" w:color="auto" w:fill="auto"/>
            <w:hideMark/>
          </w:tcPr>
          <w:p w14:paraId="629F3741"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e) Creating Simulations &amp; Re-run Simulations, </w:t>
            </w:r>
          </w:p>
        </w:tc>
        <w:tc>
          <w:tcPr>
            <w:tcW w:w="427" w:type="pct"/>
            <w:tcBorders>
              <w:top w:val="nil"/>
              <w:left w:val="nil"/>
              <w:bottom w:val="single" w:sz="4" w:space="0" w:color="auto"/>
              <w:right w:val="single" w:sz="4" w:space="0" w:color="auto"/>
            </w:tcBorders>
            <w:shd w:val="clear" w:color="auto" w:fill="auto"/>
            <w:vAlign w:val="bottom"/>
            <w:hideMark/>
          </w:tcPr>
          <w:p w14:paraId="1117A556" w14:textId="77777777" w:rsidR="00A93231" w:rsidRPr="00A93231" w:rsidRDefault="00A93231" w:rsidP="00A93231">
            <w:pPr>
              <w:spacing w:after="0" w:line="240" w:lineRule="auto"/>
              <w:rPr>
                <w:rFonts w:ascii="Verdana" w:eastAsia="Times New Roman" w:hAnsi="Verdana" w:cs="Calibri"/>
                <w:color w:val="000000"/>
                <w:sz w:val="20"/>
                <w:szCs w:val="20"/>
                <w:lang w:val="en-GB" w:eastAsia="en-GB"/>
              </w:rPr>
            </w:pPr>
            <w:r w:rsidRPr="00A93231">
              <w:rPr>
                <w:rFonts w:ascii="Verdana" w:eastAsia="Times New Roman" w:hAnsi="Verdana"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vAlign w:val="bottom"/>
            <w:hideMark/>
          </w:tcPr>
          <w:p w14:paraId="532E9D39" w14:textId="77777777" w:rsidR="00A93231" w:rsidRPr="00A93231" w:rsidRDefault="00A93231" w:rsidP="00A93231">
            <w:pPr>
              <w:spacing w:after="0" w:line="240" w:lineRule="auto"/>
              <w:rPr>
                <w:rFonts w:ascii="Verdana" w:eastAsia="Times New Roman" w:hAnsi="Verdana" w:cs="Calibri"/>
                <w:color w:val="000000"/>
                <w:sz w:val="20"/>
                <w:szCs w:val="20"/>
                <w:lang w:val="en-GB" w:eastAsia="en-GB"/>
              </w:rPr>
            </w:pPr>
            <w:r w:rsidRPr="00A93231">
              <w:rPr>
                <w:rFonts w:ascii="Verdana" w:eastAsia="Times New Roman" w:hAnsi="Verdana" w:cs="Calibri"/>
                <w:color w:val="000000"/>
                <w:sz w:val="20"/>
                <w:szCs w:val="20"/>
                <w:lang w:val="en-GB" w:eastAsia="en-GB"/>
              </w:rPr>
              <w:t> </w:t>
            </w:r>
          </w:p>
        </w:tc>
      </w:tr>
      <w:tr w:rsidR="00A93231" w:rsidRPr="00A93231" w14:paraId="26C87F4F"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7AC8AAF6"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152</w:t>
            </w:r>
          </w:p>
        </w:tc>
        <w:tc>
          <w:tcPr>
            <w:tcW w:w="3540" w:type="pct"/>
            <w:tcBorders>
              <w:top w:val="nil"/>
              <w:left w:val="nil"/>
              <w:bottom w:val="single" w:sz="4" w:space="0" w:color="auto"/>
              <w:right w:val="single" w:sz="4" w:space="0" w:color="auto"/>
            </w:tcBorders>
            <w:shd w:val="clear" w:color="auto" w:fill="auto"/>
            <w:hideMark/>
          </w:tcPr>
          <w:p w14:paraId="7F538C62"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f) Export Mitigations, </w:t>
            </w:r>
          </w:p>
        </w:tc>
        <w:tc>
          <w:tcPr>
            <w:tcW w:w="427" w:type="pct"/>
            <w:tcBorders>
              <w:top w:val="nil"/>
              <w:left w:val="nil"/>
              <w:bottom w:val="single" w:sz="4" w:space="0" w:color="auto"/>
              <w:right w:val="single" w:sz="4" w:space="0" w:color="auto"/>
            </w:tcBorders>
            <w:shd w:val="clear" w:color="auto" w:fill="auto"/>
            <w:vAlign w:val="bottom"/>
            <w:hideMark/>
          </w:tcPr>
          <w:p w14:paraId="433D96E5" w14:textId="77777777" w:rsidR="00A93231" w:rsidRPr="00A93231" w:rsidRDefault="00A93231" w:rsidP="00A93231">
            <w:pPr>
              <w:spacing w:after="0" w:line="240" w:lineRule="auto"/>
              <w:rPr>
                <w:rFonts w:ascii="Verdana" w:eastAsia="Times New Roman" w:hAnsi="Verdana" w:cs="Calibri"/>
                <w:color w:val="000000"/>
                <w:sz w:val="20"/>
                <w:szCs w:val="20"/>
                <w:lang w:val="en-GB" w:eastAsia="en-GB"/>
              </w:rPr>
            </w:pPr>
            <w:r w:rsidRPr="00A93231">
              <w:rPr>
                <w:rFonts w:ascii="Verdana" w:eastAsia="Times New Roman" w:hAnsi="Verdana"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vAlign w:val="bottom"/>
            <w:hideMark/>
          </w:tcPr>
          <w:p w14:paraId="2CD29C72" w14:textId="77777777" w:rsidR="00A93231" w:rsidRPr="00A93231" w:rsidRDefault="00A93231" w:rsidP="00A93231">
            <w:pPr>
              <w:spacing w:after="0" w:line="240" w:lineRule="auto"/>
              <w:rPr>
                <w:rFonts w:ascii="Verdana" w:eastAsia="Times New Roman" w:hAnsi="Verdana" w:cs="Calibri"/>
                <w:color w:val="000000"/>
                <w:sz w:val="20"/>
                <w:szCs w:val="20"/>
                <w:lang w:val="en-GB" w:eastAsia="en-GB"/>
              </w:rPr>
            </w:pPr>
            <w:r w:rsidRPr="00A93231">
              <w:rPr>
                <w:rFonts w:ascii="Verdana" w:eastAsia="Times New Roman" w:hAnsi="Verdana" w:cs="Calibri"/>
                <w:color w:val="000000"/>
                <w:sz w:val="20"/>
                <w:szCs w:val="20"/>
                <w:lang w:val="en-GB" w:eastAsia="en-GB"/>
              </w:rPr>
              <w:t> </w:t>
            </w:r>
          </w:p>
        </w:tc>
      </w:tr>
      <w:tr w:rsidR="00A93231" w:rsidRPr="00A93231" w14:paraId="2145F015"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74C8AE85"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153</w:t>
            </w:r>
          </w:p>
        </w:tc>
        <w:tc>
          <w:tcPr>
            <w:tcW w:w="3540" w:type="pct"/>
            <w:tcBorders>
              <w:top w:val="nil"/>
              <w:left w:val="nil"/>
              <w:bottom w:val="single" w:sz="4" w:space="0" w:color="auto"/>
              <w:right w:val="single" w:sz="4" w:space="0" w:color="auto"/>
            </w:tcBorders>
            <w:shd w:val="clear" w:color="auto" w:fill="auto"/>
            <w:hideMark/>
          </w:tcPr>
          <w:p w14:paraId="51DC26B1"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g) Export Threat Lists</w:t>
            </w:r>
          </w:p>
        </w:tc>
        <w:tc>
          <w:tcPr>
            <w:tcW w:w="427" w:type="pct"/>
            <w:tcBorders>
              <w:top w:val="nil"/>
              <w:left w:val="nil"/>
              <w:bottom w:val="single" w:sz="4" w:space="0" w:color="auto"/>
              <w:right w:val="single" w:sz="4" w:space="0" w:color="auto"/>
            </w:tcBorders>
            <w:shd w:val="clear" w:color="auto" w:fill="auto"/>
            <w:vAlign w:val="bottom"/>
            <w:hideMark/>
          </w:tcPr>
          <w:p w14:paraId="05C5303E" w14:textId="77777777" w:rsidR="00A93231" w:rsidRPr="00A93231" w:rsidRDefault="00A93231" w:rsidP="00A93231">
            <w:pPr>
              <w:spacing w:after="0" w:line="240" w:lineRule="auto"/>
              <w:rPr>
                <w:rFonts w:ascii="Verdana" w:eastAsia="Times New Roman" w:hAnsi="Verdana" w:cs="Calibri"/>
                <w:color w:val="000000"/>
                <w:sz w:val="20"/>
                <w:szCs w:val="20"/>
                <w:lang w:val="en-GB" w:eastAsia="en-GB"/>
              </w:rPr>
            </w:pPr>
            <w:r w:rsidRPr="00A93231">
              <w:rPr>
                <w:rFonts w:ascii="Verdana" w:eastAsia="Times New Roman" w:hAnsi="Verdana"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vAlign w:val="bottom"/>
            <w:hideMark/>
          </w:tcPr>
          <w:p w14:paraId="78D86920" w14:textId="77777777" w:rsidR="00A93231" w:rsidRPr="00A93231" w:rsidRDefault="00A93231" w:rsidP="00A93231">
            <w:pPr>
              <w:spacing w:after="0" w:line="240" w:lineRule="auto"/>
              <w:rPr>
                <w:rFonts w:ascii="Verdana" w:eastAsia="Times New Roman" w:hAnsi="Verdana" w:cs="Calibri"/>
                <w:color w:val="000000"/>
                <w:sz w:val="20"/>
                <w:szCs w:val="20"/>
                <w:lang w:val="en-GB" w:eastAsia="en-GB"/>
              </w:rPr>
            </w:pPr>
            <w:r w:rsidRPr="00A93231">
              <w:rPr>
                <w:rFonts w:ascii="Verdana" w:eastAsia="Times New Roman" w:hAnsi="Verdana" w:cs="Calibri"/>
                <w:color w:val="000000"/>
                <w:sz w:val="20"/>
                <w:szCs w:val="20"/>
                <w:lang w:val="en-GB" w:eastAsia="en-GB"/>
              </w:rPr>
              <w:t> </w:t>
            </w:r>
          </w:p>
        </w:tc>
      </w:tr>
      <w:tr w:rsidR="00A93231" w:rsidRPr="00A93231" w14:paraId="3EB1D393"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1318080F"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154</w:t>
            </w:r>
          </w:p>
        </w:tc>
        <w:tc>
          <w:tcPr>
            <w:tcW w:w="3540" w:type="pct"/>
            <w:tcBorders>
              <w:top w:val="nil"/>
              <w:left w:val="nil"/>
              <w:bottom w:val="single" w:sz="4" w:space="0" w:color="auto"/>
              <w:right w:val="single" w:sz="4" w:space="0" w:color="auto"/>
            </w:tcBorders>
            <w:shd w:val="clear" w:color="auto" w:fill="auto"/>
            <w:hideMark/>
          </w:tcPr>
          <w:p w14:paraId="1BF9E44B"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The proposed solution should be able to automatically schedule reports in PDF format on Weekly, Monthly basis for: </w:t>
            </w:r>
          </w:p>
        </w:tc>
        <w:tc>
          <w:tcPr>
            <w:tcW w:w="427" w:type="pct"/>
            <w:tcBorders>
              <w:top w:val="nil"/>
              <w:left w:val="nil"/>
              <w:bottom w:val="single" w:sz="4" w:space="0" w:color="auto"/>
              <w:right w:val="single" w:sz="4" w:space="0" w:color="auto"/>
            </w:tcBorders>
            <w:shd w:val="clear" w:color="auto" w:fill="auto"/>
            <w:vAlign w:val="bottom"/>
            <w:hideMark/>
          </w:tcPr>
          <w:p w14:paraId="5CB7D79A" w14:textId="77777777" w:rsidR="00A93231" w:rsidRPr="00A93231" w:rsidRDefault="00A93231" w:rsidP="00A93231">
            <w:pPr>
              <w:spacing w:after="0" w:line="240" w:lineRule="auto"/>
              <w:rPr>
                <w:rFonts w:ascii="Verdana" w:eastAsia="Times New Roman" w:hAnsi="Verdana" w:cs="Calibri"/>
                <w:color w:val="000000"/>
                <w:sz w:val="20"/>
                <w:szCs w:val="20"/>
                <w:lang w:val="en-GB" w:eastAsia="en-GB"/>
              </w:rPr>
            </w:pPr>
            <w:r w:rsidRPr="00A93231">
              <w:rPr>
                <w:rFonts w:ascii="Verdana" w:eastAsia="Times New Roman" w:hAnsi="Verdana"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vAlign w:val="bottom"/>
            <w:hideMark/>
          </w:tcPr>
          <w:p w14:paraId="13D71E4B" w14:textId="77777777" w:rsidR="00A93231" w:rsidRPr="00A93231" w:rsidRDefault="00A93231" w:rsidP="00A93231">
            <w:pPr>
              <w:spacing w:after="0" w:line="240" w:lineRule="auto"/>
              <w:rPr>
                <w:rFonts w:ascii="Verdana" w:eastAsia="Times New Roman" w:hAnsi="Verdana" w:cs="Calibri"/>
                <w:color w:val="000000"/>
                <w:sz w:val="20"/>
                <w:szCs w:val="20"/>
                <w:lang w:val="en-GB" w:eastAsia="en-GB"/>
              </w:rPr>
            </w:pPr>
            <w:r w:rsidRPr="00A93231">
              <w:rPr>
                <w:rFonts w:ascii="Verdana" w:eastAsia="Times New Roman" w:hAnsi="Verdana" w:cs="Calibri"/>
                <w:color w:val="000000"/>
                <w:sz w:val="20"/>
                <w:szCs w:val="20"/>
                <w:lang w:val="en-GB" w:eastAsia="en-GB"/>
              </w:rPr>
              <w:t> </w:t>
            </w:r>
          </w:p>
        </w:tc>
      </w:tr>
      <w:tr w:rsidR="00A93231" w:rsidRPr="00A93231" w14:paraId="0BA6A035"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470E8E4F"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155</w:t>
            </w:r>
          </w:p>
        </w:tc>
        <w:tc>
          <w:tcPr>
            <w:tcW w:w="3540" w:type="pct"/>
            <w:tcBorders>
              <w:top w:val="nil"/>
              <w:left w:val="nil"/>
              <w:bottom w:val="single" w:sz="4" w:space="0" w:color="auto"/>
              <w:right w:val="single" w:sz="4" w:space="0" w:color="auto"/>
            </w:tcBorders>
            <w:shd w:val="clear" w:color="auto" w:fill="auto"/>
            <w:hideMark/>
          </w:tcPr>
          <w:p w14:paraId="147659B9"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a. Executive Summary Report </w:t>
            </w:r>
          </w:p>
        </w:tc>
        <w:tc>
          <w:tcPr>
            <w:tcW w:w="427" w:type="pct"/>
            <w:tcBorders>
              <w:top w:val="nil"/>
              <w:left w:val="nil"/>
              <w:bottom w:val="single" w:sz="4" w:space="0" w:color="auto"/>
              <w:right w:val="single" w:sz="4" w:space="0" w:color="auto"/>
            </w:tcBorders>
            <w:shd w:val="clear" w:color="auto" w:fill="auto"/>
            <w:vAlign w:val="bottom"/>
            <w:hideMark/>
          </w:tcPr>
          <w:p w14:paraId="1B5CCCB3" w14:textId="77777777" w:rsidR="00A93231" w:rsidRPr="00A93231" w:rsidRDefault="00A93231" w:rsidP="00A93231">
            <w:pPr>
              <w:spacing w:after="0" w:line="240" w:lineRule="auto"/>
              <w:rPr>
                <w:rFonts w:ascii="Verdana" w:eastAsia="Times New Roman" w:hAnsi="Verdana" w:cs="Calibri"/>
                <w:color w:val="000000"/>
                <w:sz w:val="20"/>
                <w:szCs w:val="20"/>
                <w:lang w:val="en-GB" w:eastAsia="en-GB"/>
              </w:rPr>
            </w:pPr>
            <w:r w:rsidRPr="00A93231">
              <w:rPr>
                <w:rFonts w:ascii="Verdana" w:eastAsia="Times New Roman" w:hAnsi="Verdana"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vAlign w:val="bottom"/>
            <w:hideMark/>
          </w:tcPr>
          <w:p w14:paraId="5225B53C" w14:textId="77777777" w:rsidR="00A93231" w:rsidRPr="00A93231" w:rsidRDefault="00A93231" w:rsidP="00A93231">
            <w:pPr>
              <w:spacing w:after="0" w:line="240" w:lineRule="auto"/>
              <w:rPr>
                <w:rFonts w:ascii="Verdana" w:eastAsia="Times New Roman" w:hAnsi="Verdana" w:cs="Calibri"/>
                <w:color w:val="000000"/>
                <w:sz w:val="20"/>
                <w:szCs w:val="20"/>
                <w:lang w:val="en-GB" w:eastAsia="en-GB"/>
              </w:rPr>
            </w:pPr>
            <w:r w:rsidRPr="00A93231">
              <w:rPr>
                <w:rFonts w:ascii="Verdana" w:eastAsia="Times New Roman" w:hAnsi="Verdana" w:cs="Calibri"/>
                <w:color w:val="000000"/>
                <w:sz w:val="20"/>
                <w:szCs w:val="20"/>
                <w:lang w:val="en-GB" w:eastAsia="en-GB"/>
              </w:rPr>
              <w:t> </w:t>
            </w:r>
          </w:p>
        </w:tc>
      </w:tr>
      <w:tr w:rsidR="00A93231" w:rsidRPr="00A93231" w14:paraId="30D15D75"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125CC9D4"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156</w:t>
            </w:r>
          </w:p>
        </w:tc>
        <w:tc>
          <w:tcPr>
            <w:tcW w:w="3540" w:type="pct"/>
            <w:tcBorders>
              <w:top w:val="nil"/>
              <w:left w:val="nil"/>
              <w:bottom w:val="single" w:sz="4" w:space="0" w:color="auto"/>
              <w:right w:val="single" w:sz="4" w:space="0" w:color="auto"/>
            </w:tcBorders>
            <w:shd w:val="clear" w:color="auto" w:fill="auto"/>
            <w:hideMark/>
          </w:tcPr>
          <w:p w14:paraId="0CB782D1"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b. Technical Report </w:t>
            </w:r>
          </w:p>
        </w:tc>
        <w:tc>
          <w:tcPr>
            <w:tcW w:w="427" w:type="pct"/>
            <w:tcBorders>
              <w:top w:val="nil"/>
              <w:left w:val="nil"/>
              <w:bottom w:val="single" w:sz="4" w:space="0" w:color="auto"/>
              <w:right w:val="single" w:sz="4" w:space="0" w:color="auto"/>
            </w:tcBorders>
            <w:shd w:val="clear" w:color="auto" w:fill="auto"/>
            <w:vAlign w:val="bottom"/>
            <w:hideMark/>
          </w:tcPr>
          <w:p w14:paraId="77223343" w14:textId="77777777" w:rsidR="00A93231" w:rsidRPr="00A93231" w:rsidRDefault="00A93231" w:rsidP="00A93231">
            <w:pPr>
              <w:spacing w:after="0" w:line="240" w:lineRule="auto"/>
              <w:rPr>
                <w:rFonts w:ascii="Verdana" w:eastAsia="Times New Roman" w:hAnsi="Verdana" w:cs="Calibri"/>
                <w:color w:val="000000"/>
                <w:sz w:val="20"/>
                <w:szCs w:val="20"/>
                <w:lang w:val="en-GB" w:eastAsia="en-GB"/>
              </w:rPr>
            </w:pPr>
            <w:r w:rsidRPr="00A93231">
              <w:rPr>
                <w:rFonts w:ascii="Verdana" w:eastAsia="Times New Roman" w:hAnsi="Verdana"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vAlign w:val="bottom"/>
            <w:hideMark/>
          </w:tcPr>
          <w:p w14:paraId="7615790A" w14:textId="77777777" w:rsidR="00A93231" w:rsidRPr="00A93231" w:rsidRDefault="00A93231" w:rsidP="00A93231">
            <w:pPr>
              <w:spacing w:after="0" w:line="240" w:lineRule="auto"/>
              <w:rPr>
                <w:rFonts w:ascii="Verdana" w:eastAsia="Times New Roman" w:hAnsi="Verdana" w:cs="Calibri"/>
                <w:color w:val="000000"/>
                <w:sz w:val="20"/>
                <w:szCs w:val="20"/>
                <w:lang w:val="en-GB" w:eastAsia="en-GB"/>
              </w:rPr>
            </w:pPr>
            <w:r w:rsidRPr="00A93231">
              <w:rPr>
                <w:rFonts w:ascii="Verdana" w:eastAsia="Times New Roman" w:hAnsi="Verdana" w:cs="Calibri"/>
                <w:color w:val="000000"/>
                <w:sz w:val="20"/>
                <w:szCs w:val="20"/>
                <w:lang w:val="en-GB" w:eastAsia="en-GB"/>
              </w:rPr>
              <w:t> </w:t>
            </w:r>
          </w:p>
        </w:tc>
      </w:tr>
      <w:tr w:rsidR="00A93231" w:rsidRPr="00A93231" w14:paraId="47126776"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6AFB2FD6"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157</w:t>
            </w:r>
          </w:p>
        </w:tc>
        <w:tc>
          <w:tcPr>
            <w:tcW w:w="3540" w:type="pct"/>
            <w:tcBorders>
              <w:top w:val="nil"/>
              <w:left w:val="nil"/>
              <w:bottom w:val="single" w:sz="4" w:space="0" w:color="auto"/>
              <w:right w:val="single" w:sz="4" w:space="0" w:color="auto"/>
            </w:tcBorders>
            <w:shd w:val="clear" w:color="auto" w:fill="auto"/>
            <w:hideMark/>
          </w:tcPr>
          <w:p w14:paraId="416718E2"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The proposed solution should provide trend of security posture over period of time</w:t>
            </w:r>
          </w:p>
        </w:tc>
        <w:tc>
          <w:tcPr>
            <w:tcW w:w="427" w:type="pct"/>
            <w:tcBorders>
              <w:top w:val="nil"/>
              <w:left w:val="nil"/>
              <w:bottom w:val="single" w:sz="4" w:space="0" w:color="auto"/>
              <w:right w:val="single" w:sz="4" w:space="0" w:color="auto"/>
            </w:tcBorders>
            <w:shd w:val="clear" w:color="auto" w:fill="auto"/>
            <w:vAlign w:val="bottom"/>
            <w:hideMark/>
          </w:tcPr>
          <w:p w14:paraId="2B325E8F" w14:textId="77777777" w:rsidR="00A93231" w:rsidRPr="00A93231" w:rsidRDefault="00A93231" w:rsidP="00A93231">
            <w:pPr>
              <w:spacing w:after="0" w:line="240" w:lineRule="auto"/>
              <w:rPr>
                <w:rFonts w:ascii="Verdana" w:eastAsia="Times New Roman" w:hAnsi="Verdana" w:cs="Calibri"/>
                <w:color w:val="000000"/>
                <w:sz w:val="20"/>
                <w:szCs w:val="20"/>
                <w:lang w:val="en-GB" w:eastAsia="en-GB"/>
              </w:rPr>
            </w:pPr>
            <w:r w:rsidRPr="00A93231">
              <w:rPr>
                <w:rFonts w:ascii="Verdana" w:eastAsia="Times New Roman" w:hAnsi="Verdana"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vAlign w:val="bottom"/>
            <w:hideMark/>
          </w:tcPr>
          <w:p w14:paraId="4662603A" w14:textId="77777777" w:rsidR="00A93231" w:rsidRPr="00A93231" w:rsidRDefault="00A93231" w:rsidP="00A93231">
            <w:pPr>
              <w:spacing w:after="0" w:line="240" w:lineRule="auto"/>
              <w:rPr>
                <w:rFonts w:ascii="Verdana" w:eastAsia="Times New Roman" w:hAnsi="Verdana" w:cs="Calibri"/>
                <w:color w:val="000000"/>
                <w:sz w:val="20"/>
                <w:szCs w:val="20"/>
                <w:lang w:val="en-GB" w:eastAsia="en-GB"/>
              </w:rPr>
            </w:pPr>
            <w:r w:rsidRPr="00A93231">
              <w:rPr>
                <w:rFonts w:ascii="Verdana" w:eastAsia="Times New Roman" w:hAnsi="Verdana" w:cs="Calibri"/>
                <w:color w:val="000000"/>
                <w:sz w:val="20"/>
                <w:szCs w:val="20"/>
                <w:lang w:val="en-GB" w:eastAsia="en-GB"/>
              </w:rPr>
              <w:t> </w:t>
            </w:r>
          </w:p>
        </w:tc>
      </w:tr>
      <w:tr w:rsidR="00A93231" w:rsidRPr="00A93231" w14:paraId="00EA0505"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28180444"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158</w:t>
            </w:r>
          </w:p>
        </w:tc>
        <w:tc>
          <w:tcPr>
            <w:tcW w:w="3540" w:type="pct"/>
            <w:tcBorders>
              <w:top w:val="nil"/>
              <w:left w:val="nil"/>
              <w:bottom w:val="single" w:sz="4" w:space="0" w:color="auto"/>
              <w:right w:val="single" w:sz="4" w:space="0" w:color="auto"/>
            </w:tcBorders>
            <w:shd w:val="clear" w:color="auto" w:fill="auto"/>
            <w:hideMark/>
          </w:tcPr>
          <w:p w14:paraId="3C687BD8"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The proposed solution should be able to notify users in Dashboard and via email. </w:t>
            </w:r>
          </w:p>
        </w:tc>
        <w:tc>
          <w:tcPr>
            <w:tcW w:w="427" w:type="pct"/>
            <w:tcBorders>
              <w:top w:val="nil"/>
              <w:left w:val="nil"/>
              <w:bottom w:val="single" w:sz="4" w:space="0" w:color="auto"/>
              <w:right w:val="single" w:sz="4" w:space="0" w:color="auto"/>
            </w:tcBorders>
            <w:shd w:val="clear" w:color="auto" w:fill="auto"/>
            <w:vAlign w:val="bottom"/>
            <w:hideMark/>
          </w:tcPr>
          <w:p w14:paraId="0F63F0D4" w14:textId="77777777" w:rsidR="00A93231" w:rsidRPr="00A93231" w:rsidRDefault="00A93231" w:rsidP="00A93231">
            <w:pPr>
              <w:spacing w:after="0" w:line="240" w:lineRule="auto"/>
              <w:rPr>
                <w:rFonts w:ascii="Verdana" w:eastAsia="Times New Roman" w:hAnsi="Verdana" w:cs="Calibri"/>
                <w:color w:val="000000"/>
                <w:sz w:val="20"/>
                <w:szCs w:val="20"/>
                <w:lang w:val="en-GB" w:eastAsia="en-GB"/>
              </w:rPr>
            </w:pPr>
            <w:r w:rsidRPr="00A93231">
              <w:rPr>
                <w:rFonts w:ascii="Verdana" w:eastAsia="Times New Roman" w:hAnsi="Verdana"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vAlign w:val="bottom"/>
            <w:hideMark/>
          </w:tcPr>
          <w:p w14:paraId="081AA2F3" w14:textId="77777777" w:rsidR="00A93231" w:rsidRPr="00A93231" w:rsidRDefault="00A93231" w:rsidP="00A93231">
            <w:pPr>
              <w:spacing w:after="0" w:line="240" w:lineRule="auto"/>
              <w:rPr>
                <w:rFonts w:ascii="Verdana" w:eastAsia="Times New Roman" w:hAnsi="Verdana" w:cs="Calibri"/>
                <w:color w:val="000000"/>
                <w:sz w:val="20"/>
                <w:szCs w:val="20"/>
                <w:lang w:val="en-GB" w:eastAsia="en-GB"/>
              </w:rPr>
            </w:pPr>
            <w:r w:rsidRPr="00A93231">
              <w:rPr>
                <w:rFonts w:ascii="Verdana" w:eastAsia="Times New Roman" w:hAnsi="Verdana" w:cs="Calibri"/>
                <w:color w:val="000000"/>
                <w:sz w:val="20"/>
                <w:szCs w:val="20"/>
                <w:lang w:val="en-GB" w:eastAsia="en-GB"/>
              </w:rPr>
              <w:t> </w:t>
            </w:r>
          </w:p>
        </w:tc>
      </w:tr>
      <w:tr w:rsidR="00A93231" w:rsidRPr="00A93231" w14:paraId="1C02CF57"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2CCF41E5"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159</w:t>
            </w:r>
          </w:p>
        </w:tc>
        <w:tc>
          <w:tcPr>
            <w:tcW w:w="3540" w:type="pct"/>
            <w:tcBorders>
              <w:top w:val="nil"/>
              <w:left w:val="nil"/>
              <w:bottom w:val="single" w:sz="4" w:space="0" w:color="auto"/>
              <w:right w:val="single" w:sz="4" w:space="0" w:color="auto"/>
            </w:tcBorders>
            <w:shd w:val="clear" w:color="auto" w:fill="auto"/>
            <w:hideMark/>
          </w:tcPr>
          <w:p w14:paraId="261FC70F"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a) When a simulation agent is down, </w:t>
            </w:r>
          </w:p>
        </w:tc>
        <w:tc>
          <w:tcPr>
            <w:tcW w:w="427" w:type="pct"/>
            <w:tcBorders>
              <w:top w:val="nil"/>
              <w:left w:val="nil"/>
              <w:bottom w:val="single" w:sz="4" w:space="0" w:color="auto"/>
              <w:right w:val="single" w:sz="4" w:space="0" w:color="auto"/>
            </w:tcBorders>
            <w:shd w:val="clear" w:color="auto" w:fill="auto"/>
            <w:vAlign w:val="bottom"/>
            <w:hideMark/>
          </w:tcPr>
          <w:p w14:paraId="2C2459C3" w14:textId="77777777" w:rsidR="00A93231" w:rsidRPr="00A93231" w:rsidRDefault="00A93231" w:rsidP="00A93231">
            <w:pPr>
              <w:spacing w:after="0" w:line="240" w:lineRule="auto"/>
              <w:rPr>
                <w:rFonts w:ascii="Verdana" w:eastAsia="Times New Roman" w:hAnsi="Verdana" w:cs="Calibri"/>
                <w:color w:val="000000"/>
                <w:sz w:val="20"/>
                <w:szCs w:val="20"/>
                <w:lang w:val="en-GB" w:eastAsia="en-GB"/>
              </w:rPr>
            </w:pPr>
            <w:r w:rsidRPr="00A93231">
              <w:rPr>
                <w:rFonts w:ascii="Verdana" w:eastAsia="Times New Roman" w:hAnsi="Verdana"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vAlign w:val="bottom"/>
            <w:hideMark/>
          </w:tcPr>
          <w:p w14:paraId="09945EBB" w14:textId="77777777" w:rsidR="00A93231" w:rsidRPr="00A93231" w:rsidRDefault="00A93231" w:rsidP="00A93231">
            <w:pPr>
              <w:spacing w:after="0" w:line="240" w:lineRule="auto"/>
              <w:rPr>
                <w:rFonts w:ascii="Verdana" w:eastAsia="Times New Roman" w:hAnsi="Verdana" w:cs="Calibri"/>
                <w:color w:val="000000"/>
                <w:sz w:val="20"/>
                <w:szCs w:val="20"/>
                <w:lang w:val="en-GB" w:eastAsia="en-GB"/>
              </w:rPr>
            </w:pPr>
            <w:r w:rsidRPr="00A93231">
              <w:rPr>
                <w:rFonts w:ascii="Verdana" w:eastAsia="Times New Roman" w:hAnsi="Verdana" w:cs="Calibri"/>
                <w:color w:val="000000"/>
                <w:sz w:val="20"/>
                <w:szCs w:val="20"/>
                <w:lang w:val="en-GB" w:eastAsia="en-GB"/>
              </w:rPr>
              <w:t> </w:t>
            </w:r>
          </w:p>
        </w:tc>
      </w:tr>
      <w:tr w:rsidR="00A93231" w:rsidRPr="00A93231" w14:paraId="40C365D8"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32D8FC8F"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160</w:t>
            </w:r>
          </w:p>
        </w:tc>
        <w:tc>
          <w:tcPr>
            <w:tcW w:w="3540" w:type="pct"/>
            <w:tcBorders>
              <w:top w:val="nil"/>
              <w:left w:val="nil"/>
              <w:bottom w:val="single" w:sz="4" w:space="0" w:color="auto"/>
              <w:right w:val="single" w:sz="4" w:space="0" w:color="auto"/>
            </w:tcBorders>
            <w:shd w:val="clear" w:color="auto" w:fill="auto"/>
            <w:hideMark/>
          </w:tcPr>
          <w:p w14:paraId="495DC1C5"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b) When an integration agent is down, </w:t>
            </w:r>
          </w:p>
        </w:tc>
        <w:tc>
          <w:tcPr>
            <w:tcW w:w="427" w:type="pct"/>
            <w:tcBorders>
              <w:top w:val="nil"/>
              <w:left w:val="nil"/>
              <w:bottom w:val="single" w:sz="4" w:space="0" w:color="auto"/>
              <w:right w:val="single" w:sz="4" w:space="0" w:color="auto"/>
            </w:tcBorders>
            <w:shd w:val="clear" w:color="auto" w:fill="auto"/>
            <w:vAlign w:val="bottom"/>
            <w:hideMark/>
          </w:tcPr>
          <w:p w14:paraId="2CDF6D29" w14:textId="77777777" w:rsidR="00A93231" w:rsidRPr="00A93231" w:rsidRDefault="00A93231" w:rsidP="00A93231">
            <w:pPr>
              <w:spacing w:after="0" w:line="240" w:lineRule="auto"/>
              <w:rPr>
                <w:rFonts w:ascii="Verdana" w:eastAsia="Times New Roman" w:hAnsi="Verdana" w:cs="Calibri"/>
                <w:color w:val="000000"/>
                <w:sz w:val="20"/>
                <w:szCs w:val="20"/>
                <w:lang w:val="en-GB" w:eastAsia="en-GB"/>
              </w:rPr>
            </w:pPr>
            <w:r w:rsidRPr="00A93231">
              <w:rPr>
                <w:rFonts w:ascii="Verdana" w:eastAsia="Times New Roman" w:hAnsi="Verdana"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vAlign w:val="bottom"/>
            <w:hideMark/>
          </w:tcPr>
          <w:p w14:paraId="126B7DBD" w14:textId="77777777" w:rsidR="00A93231" w:rsidRPr="00A93231" w:rsidRDefault="00A93231" w:rsidP="00A93231">
            <w:pPr>
              <w:spacing w:after="0" w:line="240" w:lineRule="auto"/>
              <w:rPr>
                <w:rFonts w:ascii="Verdana" w:eastAsia="Times New Roman" w:hAnsi="Verdana" w:cs="Calibri"/>
                <w:color w:val="000000"/>
                <w:sz w:val="20"/>
                <w:szCs w:val="20"/>
                <w:lang w:val="en-GB" w:eastAsia="en-GB"/>
              </w:rPr>
            </w:pPr>
            <w:r w:rsidRPr="00A93231">
              <w:rPr>
                <w:rFonts w:ascii="Verdana" w:eastAsia="Times New Roman" w:hAnsi="Verdana" w:cs="Calibri"/>
                <w:color w:val="000000"/>
                <w:sz w:val="20"/>
                <w:szCs w:val="20"/>
                <w:lang w:val="en-GB" w:eastAsia="en-GB"/>
              </w:rPr>
              <w:t> </w:t>
            </w:r>
          </w:p>
        </w:tc>
      </w:tr>
      <w:tr w:rsidR="00A93231" w:rsidRPr="00A93231" w14:paraId="33292416" w14:textId="77777777" w:rsidTr="008E0319">
        <w:trPr>
          <w:trHeight w:val="285"/>
        </w:trPr>
        <w:tc>
          <w:tcPr>
            <w:tcW w:w="176" w:type="pct"/>
            <w:tcBorders>
              <w:top w:val="nil"/>
              <w:left w:val="single" w:sz="4" w:space="0" w:color="auto"/>
              <w:bottom w:val="single" w:sz="4" w:space="0" w:color="auto"/>
              <w:right w:val="single" w:sz="4" w:space="0" w:color="auto"/>
            </w:tcBorders>
            <w:shd w:val="clear" w:color="auto" w:fill="auto"/>
            <w:hideMark/>
          </w:tcPr>
          <w:p w14:paraId="2326F36D"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161</w:t>
            </w:r>
          </w:p>
        </w:tc>
        <w:tc>
          <w:tcPr>
            <w:tcW w:w="3540" w:type="pct"/>
            <w:tcBorders>
              <w:top w:val="nil"/>
              <w:left w:val="nil"/>
              <w:bottom w:val="single" w:sz="4" w:space="0" w:color="auto"/>
              <w:right w:val="single" w:sz="4" w:space="0" w:color="auto"/>
            </w:tcBorders>
            <w:shd w:val="clear" w:color="auto" w:fill="auto"/>
            <w:hideMark/>
          </w:tcPr>
          <w:p w14:paraId="28555BEA"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c) When an integration is unhealthy, </w:t>
            </w:r>
          </w:p>
        </w:tc>
        <w:tc>
          <w:tcPr>
            <w:tcW w:w="427" w:type="pct"/>
            <w:tcBorders>
              <w:top w:val="nil"/>
              <w:left w:val="nil"/>
              <w:bottom w:val="single" w:sz="4" w:space="0" w:color="auto"/>
              <w:right w:val="single" w:sz="4" w:space="0" w:color="auto"/>
            </w:tcBorders>
            <w:shd w:val="clear" w:color="auto" w:fill="auto"/>
            <w:vAlign w:val="bottom"/>
            <w:hideMark/>
          </w:tcPr>
          <w:p w14:paraId="6DB3E623" w14:textId="77777777" w:rsidR="00A93231" w:rsidRPr="00A93231" w:rsidRDefault="00A93231" w:rsidP="00A93231">
            <w:pPr>
              <w:spacing w:after="0" w:line="240" w:lineRule="auto"/>
              <w:rPr>
                <w:rFonts w:ascii="Verdana" w:eastAsia="Times New Roman" w:hAnsi="Verdana" w:cs="Calibri"/>
                <w:color w:val="000000"/>
                <w:sz w:val="20"/>
                <w:szCs w:val="20"/>
                <w:lang w:val="en-GB" w:eastAsia="en-GB"/>
              </w:rPr>
            </w:pPr>
            <w:r w:rsidRPr="00A93231">
              <w:rPr>
                <w:rFonts w:ascii="Verdana" w:eastAsia="Times New Roman" w:hAnsi="Verdana"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vAlign w:val="bottom"/>
            <w:hideMark/>
          </w:tcPr>
          <w:p w14:paraId="2990CD85" w14:textId="77777777" w:rsidR="00A93231" w:rsidRPr="00A93231" w:rsidRDefault="00A93231" w:rsidP="00A93231">
            <w:pPr>
              <w:spacing w:after="0" w:line="240" w:lineRule="auto"/>
              <w:rPr>
                <w:rFonts w:ascii="Verdana" w:eastAsia="Times New Roman" w:hAnsi="Verdana" w:cs="Calibri"/>
                <w:color w:val="000000"/>
                <w:sz w:val="20"/>
                <w:szCs w:val="20"/>
                <w:lang w:val="en-GB" w:eastAsia="en-GB"/>
              </w:rPr>
            </w:pPr>
            <w:r w:rsidRPr="00A93231">
              <w:rPr>
                <w:rFonts w:ascii="Verdana" w:eastAsia="Times New Roman" w:hAnsi="Verdana" w:cs="Calibri"/>
                <w:color w:val="000000"/>
                <w:sz w:val="20"/>
                <w:szCs w:val="20"/>
                <w:lang w:val="en-GB" w:eastAsia="en-GB"/>
              </w:rPr>
              <w:t> </w:t>
            </w:r>
          </w:p>
        </w:tc>
      </w:tr>
      <w:tr w:rsidR="00A93231" w:rsidRPr="00A93231" w14:paraId="3C993F56"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4C5A1F62" w14:textId="77777777" w:rsidR="00A93231" w:rsidRPr="00A93231" w:rsidRDefault="00A93231" w:rsidP="00A93231">
            <w:pPr>
              <w:spacing w:after="0" w:line="240" w:lineRule="auto"/>
              <w:jc w:val="center"/>
              <w:rPr>
                <w:rFonts w:ascii="Calibri" w:eastAsia="Times New Roman" w:hAnsi="Calibri" w:cs="Calibri"/>
                <w:color w:val="000000"/>
                <w:sz w:val="20"/>
                <w:szCs w:val="20"/>
                <w:lang w:val="en-GB" w:eastAsia="en-GB"/>
              </w:rPr>
            </w:pPr>
            <w:r w:rsidRPr="00A93231">
              <w:rPr>
                <w:rFonts w:ascii="Calibri" w:eastAsia="Times New Roman" w:hAnsi="Calibri" w:cs="Calibri"/>
                <w:color w:val="000000"/>
                <w:sz w:val="20"/>
                <w:szCs w:val="20"/>
                <w:lang w:val="en-GB" w:eastAsia="en-GB"/>
              </w:rPr>
              <w:t>162</w:t>
            </w:r>
          </w:p>
        </w:tc>
        <w:tc>
          <w:tcPr>
            <w:tcW w:w="3540" w:type="pct"/>
            <w:tcBorders>
              <w:top w:val="nil"/>
              <w:left w:val="nil"/>
              <w:bottom w:val="single" w:sz="4" w:space="0" w:color="auto"/>
              <w:right w:val="single" w:sz="4" w:space="0" w:color="auto"/>
            </w:tcBorders>
            <w:shd w:val="clear" w:color="auto" w:fill="auto"/>
            <w:hideMark/>
          </w:tcPr>
          <w:p w14:paraId="3872BFB4" w14:textId="77777777" w:rsidR="00A93231" w:rsidRPr="00A93231" w:rsidRDefault="00A93231" w:rsidP="00A93231">
            <w:pPr>
              <w:spacing w:after="0" w:line="240" w:lineRule="auto"/>
              <w:rPr>
                <w:rFonts w:ascii="Calibri" w:eastAsia="Times New Roman" w:hAnsi="Calibri" w:cs="Calibri"/>
                <w:sz w:val="20"/>
                <w:szCs w:val="20"/>
                <w:lang w:val="en-GB" w:eastAsia="en-GB"/>
              </w:rPr>
            </w:pPr>
            <w:r w:rsidRPr="00A93231">
              <w:rPr>
                <w:rFonts w:ascii="Calibri" w:eastAsia="Times New Roman" w:hAnsi="Calibri" w:cs="Calibri"/>
                <w:sz w:val="20"/>
                <w:szCs w:val="20"/>
                <w:lang w:val="en-GB" w:eastAsia="en-GB"/>
              </w:rPr>
              <w:t xml:space="preserve">d) When the overall score falls below or rises above a custom set threshold or defaults score change updates compared to 7 days ago. </w:t>
            </w:r>
          </w:p>
        </w:tc>
        <w:tc>
          <w:tcPr>
            <w:tcW w:w="427" w:type="pct"/>
            <w:tcBorders>
              <w:top w:val="nil"/>
              <w:left w:val="nil"/>
              <w:bottom w:val="single" w:sz="4" w:space="0" w:color="auto"/>
              <w:right w:val="single" w:sz="4" w:space="0" w:color="auto"/>
            </w:tcBorders>
            <w:shd w:val="clear" w:color="auto" w:fill="auto"/>
            <w:vAlign w:val="bottom"/>
            <w:hideMark/>
          </w:tcPr>
          <w:p w14:paraId="253132B6" w14:textId="77777777" w:rsidR="00A93231" w:rsidRPr="00A93231" w:rsidRDefault="00A93231" w:rsidP="00A93231">
            <w:pPr>
              <w:spacing w:after="0" w:line="240" w:lineRule="auto"/>
              <w:rPr>
                <w:rFonts w:ascii="Verdana" w:eastAsia="Times New Roman" w:hAnsi="Verdana" w:cs="Calibri"/>
                <w:color w:val="000000"/>
                <w:sz w:val="20"/>
                <w:szCs w:val="20"/>
                <w:lang w:val="en-GB" w:eastAsia="en-GB"/>
              </w:rPr>
            </w:pPr>
            <w:r w:rsidRPr="00A93231">
              <w:rPr>
                <w:rFonts w:ascii="Verdana" w:eastAsia="Times New Roman" w:hAnsi="Verdana" w:cs="Calibri"/>
                <w:color w:val="000000"/>
                <w:sz w:val="20"/>
                <w:szCs w:val="20"/>
                <w:lang w:val="en-GB" w:eastAsia="en-GB"/>
              </w:rPr>
              <w:t> </w:t>
            </w:r>
          </w:p>
        </w:tc>
        <w:tc>
          <w:tcPr>
            <w:tcW w:w="857" w:type="pct"/>
            <w:tcBorders>
              <w:top w:val="nil"/>
              <w:left w:val="nil"/>
              <w:bottom w:val="single" w:sz="4" w:space="0" w:color="auto"/>
              <w:right w:val="single" w:sz="4" w:space="0" w:color="auto"/>
            </w:tcBorders>
            <w:shd w:val="clear" w:color="auto" w:fill="auto"/>
            <w:vAlign w:val="bottom"/>
            <w:hideMark/>
          </w:tcPr>
          <w:p w14:paraId="6B732D2E" w14:textId="77777777" w:rsidR="00A93231" w:rsidRPr="00A93231" w:rsidRDefault="00A93231" w:rsidP="00A93231">
            <w:pPr>
              <w:spacing w:after="0" w:line="240" w:lineRule="auto"/>
              <w:rPr>
                <w:rFonts w:ascii="Verdana" w:eastAsia="Times New Roman" w:hAnsi="Verdana" w:cs="Calibri"/>
                <w:color w:val="000000"/>
                <w:sz w:val="20"/>
                <w:szCs w:val="20"/>
                <w:lang w:val="en-GB" w:eastAsia="en-GB"/>
              </w:rPr>
            </w:pPr>
            <w:r w:rsidRPr="00A93231">
              <w:rPr>
                <w:rFonts w:ascii="Verdana" w:eastAsia="Times New Roman" w:hAnsi="Verdana" w:cs="Calibri"/>
                <w:color w:val="000000"/>
                <w:sz w:val="20"/>
                <w:szCs w:val="20"/>
                <w:lang w:val="en-GB" w:eastAsia="en-GB"/>
              </w:rPr>
              <w:t> </w:t>
            </w:r>
          </w:p>
        </w:tc>
      </w:tr>
    </w:tbl>
    <w:p w14:paraId="7FB18743" w14:textId="77777777" w:rsidR="00A93231" w:rsidRDefault="00A93231">
      <w:pPr>
        <w:rPr>
          <w:rFonts w:cstheme="minorHAnsi"/>
        </w:rPr>
      </w:pPr>
    </w:p>
    <w:p w14:paraId="68219D3A" w14:textId="77777777" w:rsidR="00A93231" w:rsidRDefault="00A93231">
      <w:pPr>
        <w:rPr>
          <w:rFonts w:cstheme="minorHAnsi"/>
        </w:rPr>
      </w:pPr>
      <w:r>
        <w:rPr>
          <w:rFonts w:cstheme="minorHAnsi"/>
        </w:rPr>
        <w:br w:type="page"/>
      </w:r>
    </w:p>
    <w:tbl>
      <w:tblPr>
        <w:tblW w:w="5000" w:type="pct"/>
        <w:tblLook w:val="04A0" w:firstRow="1" w:lastRow="0" w:firstColumn="1" w:lastColumn="0" w:noHBand="0" w:noVBand="1"/>
      </w:tblPr>
      <w:tblGrid>
        <w:gridCol w:w="504"/>
        <w:gridCol w:w="9739"/>
        <w:gridCol w:w="1776"/>
        <w:gridCol w:w="1929"/>
      </w:tblGrid>
      <w:tr w:rsidR="00985D46" w:rsidRPr="00985D46" w14:paraId="63E11A6B" w14:textId="77777777" w:rsidTr="008E0319">
        <w:trPr>
          <w:trHeight w:val="315"/>
        </w:trPr>
        <w:tc>
          <w:tcPr>
            <w:tcW w:w="5000" w:type="pct"/>
            <w:gridSpan w:val="4"/>
            <w:tcBorders>
              <w:top w:val="single" w:sz="4" w:space="0" w:color="auto"/>
              <w:left w:val="single" w:sz="4" w:space="0" w:color="auto"/>
              <w:bottom w:val="single" w:sz="4" w:space="0" w:color="auto"/>
              <w:right w:val="single" w:sz="4" w:space="0" w:color="auto"/>
            </w:tcBorders>
            <w:shd w:val="clear" w:color="000000" w:fill="FFE699"/>
            <w:hideMark/>
          </w:tcPr>
          <w:p w14:paraId="7E0A1553" w14:textId="77777777" w:rsidR="00985D46" w:rsidRPr="00985D46" w:rsidRDefault="00985D46" w:rsidP="00985D46">
            <w:pPr>
              <w:spacing w:after="0" w:line="240" w:lineRule="auto"/>
              <w:jc w:val="center"/>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lastRenderedPageBreak/>
              <w:t xml:space="preserve">Technical Specifications for </w:t>
            </w:r>
            <w:r w:rsidRPr="00985D46">
              <w:rPr>
                <w:rFonts w:ascii="Calibri" w:eastAsia="Times New Roman" w:hAnsi="Calibri" w:cs="Calibri"/>
                <w:b/>
                <w:bCs/>
                <w:color w:val="000000"/>
                <w:sz w:val="24"/>
                <w:szCs w:val="24"/>
                <w:lang w:val="en-GB" w:eastAsia="en-GB"/>
              </w:rPr>
              <w:t>Phishing Simulation</w:t>
            </w:r>
          </w:p>
        </w:tc>
      </w:tr>
      <w:tr w:rsidR="00985D46" w:rsidRPr="00985D46" w14:paraId="3CA779EE" w14:textId="77777777" w:rsidTr="008E0319">
        <w:trPr>
          <w:trHeight w:val="630"/>
        </w:trPr>
        <w:tc>
          <w:tcPr>
            <w:tcW w:w="176" w:type="pct"/>
            <w:tcBorders>
              <w:top w:val="nil"/>
              <w:left w:val="single" w:sz="4" w:space="0" w:color="auto"/>
              <w:bottom w:val="single" w:sz="4" w:space="0" w:color="auto"/>
              <w:right w:val="single" w:sz="4" w:space="0" w:color="auto"/>
            </w:tcBorders>
            <w:shd w:val="clear" w:color="000000" w:fill="1F4E78"/>
            <w:hideMark/>
          </w:tcPr>
          <w:p w14:paraId="4DBF7215" w14:textId="77777777" w:rsidR="00985D46" w:rsidRPr="00985D46" w:rsidRDefault="00985D46" w:rsidP="00985D46">
            <w:pPr>
              <w:spacing w:after="0" w:line="240" w:lineRule="auto"/>
              <w:jc w:val="center"/>
              <w:rPr>
                <w:rFonts w:ascii="Calibri" w:eastAsia="Times New Roman" w:hAnsi="Calibri" w:cs="Calibri"/>
                <w:b/>
                <w:bCs/>
                <w:color w:val="FFFFFF"/>
                <w:sz w:val="24"/>
                <w:szCs w:val="24"/>
                <w:lang w:val="en-GB" w:eastAsia="en-GB"/>
              </w:rPr>
            </w:pPr>
            <w:r w:rsidRPr="00985D46">
              <w:rPr>
                <w:rFonts w:ascii="Calibri" w:eastAsia="Times New Roman" w:hAnsi="Calibri" w:cs="Calibri"/>
                <w:b/>
                <w:bCs/>
                <w:color w:val="FFFFFF"/>
                <w:sz w:val="24"/>
                <w:szCs w:val="24"/>
                <w:lang w:val="en-GB" w:eastAsia="en-GB"/>
              </w:rPr>
              <w:t>S No</w:t>
            </w:r>
          </w:p>
        </w:tc>
        <w:tc>
          <w:tcPr>
            <w:tcW w:w="3493" w:type="pct"/>
            <w:tcBorders>
              <w:top w:val="nil"/>
              <w:left w:val="nil"/>
              <w:bottom w:val="single" w:sz="4" w:space="0" w:color="auto"/>
              <w:right w:val="single" w:sz="4" w:space="0" w:color="auto"/>
            </w:tcBorders>
            <w:shd w:val="clear" w:color="000000" w:fill="1F4E78"/>
            <w:hideMark/>
          </w:tcPr>
          <w:p w14:paraId="44886918" w14:textId="77777777" w:rsidR="00985D46" w:rsidRPr="00985D46" w:rsidRDefault="00985D46" w:rsidP="00985D46">
            <w:pPr>
              <w:spacing w:after="0" w:line="240" w:lineRule="auto"/>
              <w:rPr>
                <w:rFonts w:ascii="Calibri" w:eastAsia="Times New Roman" w:hAnsi="Calibri" w:cs="Calibri"/>
                <w:b/>
                <w:bCs/>
                <w:color w:val="FFFFFF"/>
                <w:sz w:val="24"/>
                <w:szCs w:val="24"/>
                <w:lang w:val="en-GB" w:eastAsia="en-GB"/>
              </w:rPr>
            </w:pPr>
            <w:r w:rsidRPr="00985D46">
              <w:rPr>
                <w:rFonts w:ascii="Calibri" w:eastAsia="Times New Roman" w:hAnsi="Calibri" w:cs="Calibri"/>
                <w:b/>
                <w:bCs/>
                <w:color w:val="FFFFFF"/>
                <w:sz w:val="24"/>
                <w:szCs w:val="24"/>
                <w:lang w:val="en-GB" w:eastAsia="en-GB"/>
              </w:rPr>
              <w:t xml:space="preserve">Minimum Technical Specifications </w:t>
            </w:r>
          </w:p>
        </w:tc>
        <w:tc>
          <w:tcPr>
            <w:tcW w:w="638" w:type="pct"/>
            <w:tcBorders>
              <w:top w:val="nil"/>
              <w:left w:val="nil"/>
              <w:bottom w:val="single" w:sz="4" w:space="0" w:color="auto"/>
              <w:right w:val="single" w:sz="4" w:space="0" w:color="auto"/>
            </w:tcBorders>
            <w:shd w:val="clear" w:color="000000" w:fill="1F4E78"/>
            <w:hideMark/>
          </w:tcPr>
          <w:p w14:paraId="403492EA" w14:textId="77777777" w:rsidR="00985D46" w:rsidRPr="00985D46" w:rsidRDefault="00985D46" w:rsidP="00985D46">
            <w:pPr>
              <w:spacing w:after="0" w:line="240" w:lineRule="auto"/>
              <w:rPr>
                <w:rFonts w:ascii="Calibri" w:eastAsia="Times New Roman" w:hAnsi="Calibri" w:cs="Calibri"/>
                <w:b/>
                <w:bCs/>
                <w:color w:val="FFFFFF"/>
                <w:sz w:val="24"/>
                <w:szCs w:val="24"/>
                <w:lang w:val="en-GB" w:eastAsia="en-GB"/>
              </w:rPr>
            </w:pPr>
            <w:r w:rsidRPr="00985D46">
              <w:rPr>
                <w:rFonts w:ascii="Calibri" w:eastAsia="Times New Roman" w:hAnsi="Calibri" w:cs="Calibri"/>
                <w:b/>
                <w:bCs/>
                <w:color w:val="FFFFFF"/>
                <w:sz w:val="24"/>
                <w:szCs w:val="24"/>
                <w:lang w:val="en-GB" w:eastAsia="en-GB"/>
              </w:rPr>
              <w:t>Vendor's Compliance</w:t>
            </w:r>
          </w:p>
        </w:tc>
        <w:tc>
          <w:tcPr>
            <w:tcW w:w="693" w:type="pct"/>
            <w:tcBorders>
              <w:top w:val="nil"/>
              <w:left w:val="nil"/>
              <w:bottom w:val="single" w:sz="4" w:space="0" w:color="auto"/>
              <w:right w:val="single" w:sz="4" w:space="0" w:color="auto"/>
            </w:tcBorders>
            <w:shd w:val="clear" w:color="000000" w:fill="1F4E78"/>
            <w:hideMark/>
          </w:tcPr>
          <w:p w14:paraId="3BF4E2A4" w14:textId="77777777" w:rsidR="00985D46" w:rsidRPr="00985D46" w:rsidRDefault="00985D46" w:rsidP="00985D46">
            <w:pPr>
              <w:spacing w:after="0" w:line="240" w:lineRule="auto"/>
              <w:rPr>
                <w:rFonts w:ascii="Calibri" w:eastAsia="Times New Roman" w:hAnsi="Calibri" w:cs="Calibri"/>
                <w:b/>
                <w:bCs/>
                <w:color w:val="FFFFFF"/>
                <w:sz w:val="24"/>
                <w:szCs w:val="24"/>
                <w:lang w:val="en-GB" w:eastAsia="en-GB"/>
              </w:rPr>
            </w:pPr>
            <w:r w:rsidRPr="00985D46">
              <w:rPr>
                <w:rFonts w:ascii="Calibri" w:eastAsia="Times New Roman" w:hAnsi="Calibri" w:cs="Calibri"/>
                <w:b/>
                <w:bCs/>
                <w:color w:val="FFFFFF"/>
                <w:sz w:val="24"/>
                <w:szCs w:val="24"/>
                <w:lang w:val="en-GB" w:eastAsia="en-GB"/>
              </w:rPr>
              <w:t>Vendor's Remark</w:t>
            </w:r>
          </w:p>
        </w:tc>
      </w:tr>
      <w:tr w:rsidR="00985D46" w:rsidRPr="00985D46" w14:paraId="480045CB"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7FFD7CD1"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w:t>
            </w:r>
          </w:p>
        </w:tc>
        <w:tc>
          <w:tcPr>
            <w:tcW w:w="3493" w:type="pct"/>
            <w:tcBorders>
              <w:top w:val="nil"/>
              <w:left w:val="nil"/>
              <w:bottom w:val="single" w:sz="4" w:space="0" w:color="auto"/>
              <w:right w:val="single" w:sz="4" w:space="0" w:color="auto"/>
            </w:tcBorders>
            <w:shd w:val="clear" w:color="auto" w:fill="auto"/>
            <w:hideMark/>
          </w:tcPr>
          <w:p w14:paraId="3AAA6A91"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should be deployed on premise or on cloud. If cloud based, the CSP (Cloud service providers) must be CERT-in empaneled and must  comply with international standards such as ISO 27001:2022.</w:t>
            </w:r>
          </w:p>
        </w:tc>
        <w:tc>
          <w:tcPr>
            <w:tcW w:w="638" w:type="pct"/>
            <w:tcBorders>
              <w:top w:val="nil"/>
              <w:left w:val="nil"/>
              <w:bottom w:val="single" w:sz="4" w:space="0" w:color="auto"/>
              <w:right w:val="single" w:sz="4" w:space="0" w:color="auto"/>
            </w:tcBorders>
            <w:shd w:val="clear" w:color="auto" w:fill="auto"/>
            <w:hideMark/>
          </w:tcPr>
          <w:p w14:paraId="36C71445"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3" w:type="pct"/>
            <w:tcBorders>
              <w:top w:val="nil"/>
              <w:left w:val="nil"/>
              <w:bottom w:val="single" w:sz="4" w:space="0" w:color="auto"/>
              <w:right w:val="single" w:sz="4" w:space="0" w:color="auto"/>
            </w:tcBorders>
            <w:shd w:val="clear" w:color="auto" w:fill="auto"/>
            <w:hideMark/>
          </w:tcPr>
          <w:p w14:paraId="0E615B82"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r w:rsidR="00985D46" w:rsidRPr="00985D46" w14:paraId="62617E8A"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4D826618"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2</w:t>
            </w:r>
          </w:p>
        </w:tc>
        <w:tc>
          <w:tcPr>
            <w:tcW w:w="3493" w:type="pct"/>
            <w:tcBorders>
              <w:top w:val="nil"/>
              <w:left w:val="nil"/>
              <w:bottom w:val="single" w:sz="4" w:space="0" w:color="auto"/>
              <w:right w:val="single" w:sz="4" w:space="0" w:color="auto"/>
            </w:tcBorders>
            <w:shd w:val="clear" w:color="auto" w:fill="auto"/>
            <w:hideMark/>
          </w:tcPr>
          <w:p w14:paraId="1E938F65"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Offered solution should have atleast 200 variety of pre-loaded templates for phishing, ransomware, smishing and vishing with monthly updates</w:t>
            </w:r>
          </w:p>
        </w:tc>
        <w:tc>
          <w:tcPr>
            <w:tcW w:w="638" w:type="pct"/>
            <w:tcBorders>
              <w:top w:val="nil"/>
              <w:left w:val="nil"/>
              <w:bottom w:val="single" w:sz="4" w:space="0" w:color="auto"/>
              <w:right w:val="single" w:sz="4" w:space="0" w:color="auto"/>
            </w:tcBorders>
            <w:shd w:val="clear" w:color="auto" w:fill="auto"/>
            <w:hideMark/>
          </w:tcPr>
          <w:p w14:paraId="1DF0E604"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3" w:type="pct"/>
            <w:tcBorders>
              <w:top w:val="nil"/>
              <w:left w:val="nil"/>
              <w:bottom w:val="single" w:sz="4" w:space="0" w:color="auto"/>
              <w:right w:val="single" w:sz="4" w:space="0" w:color="auto"/>
            </w:tcBorders>
            <w:shd w:val="clear" w:color="auto" w:fill="auto"/>
            <w:hideMark/>
          </w:tcPr>
          <w:p w14:paraId="3DB4F681"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r w:rsidR="00985D46" w:rsidRPr="00985D46" w14:paraId="77D8027A"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51405F81"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3</w:t>
            </w:r>
          </w:p>
        </w:tc>
        <w:tc>
          <w:tcPr>
            <w:tcW w:w="3493" w:type="pct"/>
            <w:tcBorders>
              <w:top w:val="nil"/>
              <w:left w:val="nil"/>
              <w:bottom w:val="single" w:sz="4" w:space="0" w:color="auto"/>
              <w:right w:val="single" w:sz="4" w:space="0" w:color="auto"/>
            </w:tcBorders>
            <w:shd w:val="clear" w:color="auto" w:fill="auto"/>
            <w:hideMark/>
          </w:tcPr>
          <w:p w14:paraId="2D9CBCDE"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should have multiple campaigns capability of 5+ Cyber Awareness Simulation for identifying users prone to Email, Sms, Voice, (Email based) QR, (EmailBased) Ransomware, Email Attachment(HTML) and WhatsApp based Phishing attacks.</w:t>
            </w:r>
          </w:p>
        </w:tc>
        <w:tc>
          <w:tcPr>
            <w:tcW w:w="638" w:type="pct"/>
            <w:tcBorders>
              <w:top w:val="nil"/>
              <w:left w:val="nil"/>
              <w:bottom w:val="single" w:sz="4" w:space="0" w:color="auto"/>
              <w:right w:val="single" w:sz="4" w:space="0" w:color="auto"/>
            </w:tcBorders>
            <w:shd w:val="clear" w:color="auto" w:fill="auto"/>
            <w:hideMark/>
          </w:tcPr>
          <w:p w14:paraId="710664CA"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3" w:type="pct"/>
            <w:tcBorders>
              <w:top w:val="nil"/>
              <w:left w:val="nil"/>
              <w:bottom w:val="single" w:sz="4" w:space="0" w:color="auto"/>
              <w:right w:val="single" w:sz="4" w:space="0" w:color="auto"/>
            </w:tcBorders>
            <w:shd w:val="clear" w:color="auto" w:fill="auto"/>
            <w:hideMark/>
          </w:tcPr>
          <w:p w14:paraId="1D5598EA"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r w:rsidR="00985D46" w:rsidRPr="00985D46" w14:paraId="2C914CB9" w14:textId="77777777" w:rsidTr="008E0319">
        <w:trPr>
          <w:trHeight w:val="315"/>
        </w:trPr>
        <w:tc>
          <w:tcPr>
            <w:tcW w:w="176" w:type="pct"/>
            <w:tcBorders>
              <w:top w:val="nil"/>
              <w:left w:val="single" w:sz="4" w:space="0" w:color="auto"/>
              <w:bottom w:val="single" w:sz="4" w:space="0" w:color="auto"/>
              <w:right w:val="single" w:sz="4" w:space="0" w:color="auto"/>
            </w:tcBorders>
            <w:shd w:val="clear" w:color="auto" w:fill="auto"/>
            <w:hideMark/>
          </w:tcPr>
          <w:p w14:paraId="34E3E860"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4</w:t>
            </w:r>
          </w:p>
        </w:tc>
        <w:tc>
          <w:tcPr>
            <w:tcW w:w="3493" w:type="pct"/>
            <w:tcBorders>
              <w:top w:val="nil"/>
              <w:left w:val="nil"/>
              <w:bottom w:val="single" w:sz="4" w:space="0" w:color="auto"/>
              <w:right w:val="single" w:sz="4" w:space="0" w:color="auto"/>
            </w:tcBorders>
            <w:shd w:val="clear" w:color="auto" w:fill="auto"/>
            <w:hideMark/>
          </w:tcPr>
          <w:p w14:paraId="26566DA3"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should be available on  On - Premise Model from day 1</w:t>
            </w:r>
          </w:p>
        </w:tc>
        <w:tc>
          <w:tcPr>
            <w:tcW w:w="638" w:type="pct"/>
            <w:tcBorders>
              <w:top w:val="nil"/>
              <w:left w:val="nil"/>
              <w:bottom w:val="single" w:sz="4" w:space="0" w:color="auto"/>
              <w:right w:val="single" w:sz="4" w:space="0" w:color="auto"/>
            </w:tcBorders>
            <w:shd w:val="clear" w:color="auto" w:fill="auto"/>
            <w:hideMark/>
          </w:tcPr>
          <w:p w14:paraId="5CB8D9FC"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3" w:type="pct"/>
            <w:tcBorders>
              <w:top w:val="nil"/>
              <w:left w:val="nil"/>
              <w:bottom w:val="single" w:sz="4" w:space="0" w:color="auto"/>
              <w:right w:val="single" w:sz="4" w:space="0" w:color="auto"/>
            </w:tcBorders>
            <w:shd w:val="clear" w:color="auto" w:fill="auto"/>
            <w:hideMark/>
          </w:tcPr>
          <w:p w14:paraId="3A8F753C"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r w:rsidR="00985D46" w:rsidRPr="00985D46" w14:paraId="074C09A8"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5D392B73"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5</w:t>
            </w:r>
          </w:p>
        </w:tc>
        <w:tc>
          <w:tcPr>
            <w:tcW w:w="3493" w:type="pct"/>
            <w:tcBorders>
              <w:top w:val="nil"/>
              <w:left w:val="nil"/>
              <w:bottom w:val="single" w:sz="4" w:space="0" w:color="auto"/>
              <w:right w:val="single" w:sz="4" w:space="0" w:color="auto"/>
            </w:tcBorders>
            <w:shd w:val="clear" w:color="auto" w:fill="auto"/>
            <w:hideMark/>
          </w:tcPr>
          <w:p w14:paraId="7544B73C"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There should have no limitation on number of cycles of carrying out simulation campaign on CBI users when the solution is operated by CBI during contract period.</w:t>
            </w:r>
          </w:p>
        </w:tc>
        <w:tc>
          <w:tcPr>
            <w:tcW w:w="638" w:type="pct"/>
            <w:tcBorders>
              <w:top w:val="nil"/>
              <w:left w:val="nil"/>
              <w:bottom w:val="single" w:sz="4" w:space="0" w:color="auto"/>
              <w:right w:val="single" w:sz="4" w:space="0" w:color="auto"/>
            </w:tcBorders>
            <w:shd w:val="clear" w:color="auto" w:fill="auto"/>
            <w:hideMark/>
          </w:tcPr>
          <w:p w14:paraId="68367E8B"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3" w:type="pct"/>
            <w:tcBorders>
              <w:top w:val="nil"/>
              <w:left w:val="nil"/>
              <w:bottom w:val="single" w:sz="4" w:space="0" w:color="auto"/>
              <w:right w:val="single" w:sz="4" w:space="0" w:color="auto"/>
            </w:tcBorders>
            <w:shd w:val="clear" w:color="auto" w:fill="auto"/>
            <w:hideMark/>
          </w:tcPr>
          <w:p w14:paraId="0DA17D2E"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r w:rsidR="00985D46" w:rsidRPr="00985D46" w14:paraId="635BD6DE" w14:textId="77777777" w:rsidTr="008E0319">
        <w:trPr>
          <w:trHeight w:val="765"/>
        </w:trPr>
        <w:tc>
          <w:tcPr>
            <w:tcW w:w="176" w:type="pct"/>
            <w:tcBorders>
              <w:top w:val="nil"/>
              <w:left w:val="single" w:sz="4" w:space="0" w:color="auto"/>
              <w:bottom w:val="single" w:sz="4" w:space="0" w:color="auto"/>
              <w:right w:val="single" w:sz="4" w:space="0" w:color="auto"/>
            </w:tcBorders>
            <w:shd w:val="clear" w:color="auto" w:fill="auto"/>
            <w:hideMark/>
          </w:tcPr>
          <w:p w14:paraId="0B1B3180"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6</w:t>
            </w:r>
          </w:p>
        </w:tc>
        <w:tc>
          <w:tcPr>
            <w:tcW w:w="3493" w:type="pct"/>
            <w:tcBorders>
              <w:top w:val="nil"/>
              <w:left w:val="nil"/>
              <w:bottom w:val="single" w:sz="4" w:space="0" w:color="auto"/>
              <w:right w:val="single" w:sz="4" w:space="0" w:color="auto"/>
            </w:tcBorders>
            <w:shd w:val="clear" w:color="auto" w:fill="auto"/>
            <w:hideMark/>
          </w:tcPr>
          <w:p w14:paraId="2D46A935"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Bidder should have the capability of managed services as well(complete activity will be handled by the bidder with his own resources which includes running a simulation campaign, training users and conducting quiz on CBI users) per year whenever CBI asks for it during the contract period)</w:t>
            </w:r>
          </w:p>
        </w:tc>
        <w:tc>
          <w:tcPr>
            <w:tcW w:w="638" w:type="pct"/>
            <w:tcBorders>
              <w:top w:val="nil"/>
              <w:left w:val="nil"/>
              <w:bottom w:val="single" w:sz="4" w:space="0" w:color="auto"/>
              <w:right w:val="single" w:sz="4" w:space="0" w:color="auto"/>
            </w:tcBorders>
            <w:shd w:val="clear" w:color="auto" w:fill="auto"/>
            <w:hideMark/>
          </w:tcPr>
          <w:p w14:paraId="0AD62874"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3" w:type="pct"/>
            <w:tcBorders>
              <w:top w:val="nil"/>
              <w:left w:val="nil"/>
              <w:bottom w:val="single" w:sz="4" w:space="0" w:color="auto"/>
              <w:right w:val="single" w:sz="4" w:space="0" w:color="auto"/>
            </w:tcBorders>
            <w:shd w:val="clear" w:color="auto" w:fill="auto"/>
            <w:hideMark/>
          </w:tcPr>
          <w:p w14:paraId="54DAA795"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r w:rsidR="00985D46" w:rsidRPr="00985D46" w14:paraId="521AA138" w14:textId="77777777" w:rsidTr="008E0319">
        <w:trPr>
          <w:trHeight w:val="315"/>
        </w:trPr>
        <w:tc>
          <w:tcPr>
            <w:tcW w:w="176" w:type="pct"/>
            <w:tcBorders>
              <w:top w:val="nil"/>
              <w:left w:val="single" w:sz="4" w:space="0" w:color="auto"/>
              <w:bottom w:val="single" w:sz="4" w:space="0" w:color="auto"/>
              <w:right w:val="single" w:sz="4" w:space="0" w:color="auto"/>
            </w:tcBorders>
            <w:shd w:val="clear" w:color="000000" w:fill="DDEBF7"/>
            <w:hideMark/>
          </w:tcPr>
          <w:p w14:paraId="554EF763" w14:textId="77777777" w:rsidR="00985D46" w:rsidRPr="00985D46" w:rsidRDefault="00985D46" w:rsidP="00985D46">
            <w:pPr>
              <w:spacing w:after="0" w:line="240" w:lineRule="auto"/>
              <w:jc w:val="center"/>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A</w:t>
            </w:r>
          </w:p>
        </w:tc>
        <w:tc>
          <w:tcPr>
            <w:tcW w:w="3493" w:type="pct"/>
            <w:tcBorders>
              <w:top w:val="nil"/>
              <w:left w:val="nil"/>
              <w:bottom w:val="single" w:sz="4" w:space="0" w:color="auto"/>
              <w:right w:val="single" w:sz="4" w:space="0" w:color="auto"/>
            </w:tcBorders>
            <w:shd w:val="clear" w:color="000000" w:fill="DDEBF7"/>
            <w:hideMark/>
          </w:tcPr>
          <w:p w14:paraId="51756AA7" w14:textId="77777777" w:rsidR="00985D46" w:rsidRPr="00985D46" w:rsidRDefault="00985D46" w:rsidP="00985D46">
            <w:pPr>
              <w:spacing w:after="0" w:line="240" w:lineRule="auto"/>
              <w:rPr>
                <w:rFonts w:ascii="Calibri" w:eastAsia="Times New Roman" w:hAnsi="Calibri" w:cs="Calibri"/>
                <w:b/>
                <w:bCs/>
                <w:sz w:val="24"/>
                <w:szCs w:val="24"/>
                <w:lang w:val="en-GB" w:eastAsia="en-GB"/>
              </w:rPr>
            </w:pPr>
            <w:r w:rsidRPr="00985D46">
              <w:rPr>
                <w:rFonts w:ascii="Calibri" w:eastAsia="Times New Roman" w:hAnsi="Calibri" w:cs="Calibri"/>
                <w:b/>
                <w:bCs/>
                <w:sz w:val="24"/>
                <w:szCs w:val="24"/>
                <w:lang w:val="en-GB" w:eastAsia="en-GB"/>
              </w:rPr>
              <w:t>Regarding Simulation of Phishing e-mails:</w:t>
            </w:r>
          </w:p>
        </w:tc>
        <w:tc>
          <w:tcPr>
            <w:tcW w:w="638" w:type="pct"/>
            <w:tcBorders>
              <w:top w:val="nil"/>
              <w:left w:val="nil"/>
              <w:bottom w:val="single" w:sz="4" w:space="0" w:color="auto"/>
              <w:right w:val="single" w:sz="4" w:space="0" w:color="auto"/>
            </w:tcBorders>
            <w:shd w:val="clear" w:color="000000" w:fill="DDEBF7"/>
            <w:hideMark/>
          </w:tcPr>
          <w:p w14:paraId="208972C5" w14:textId="77777777" w:rsidR="00985D46" w:rsidRPr="00985D46" w:rsidRDefault="00985D46" w:rsidP="00985D46">
            <w:pPr>
              <w:spacing w:after="0" w:line="240" w:lineRule="auto"/>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 </w:t>
            </w:r>
          </w:p>
        </w:tc>
        <w:tc>
          <w:tcPr>
            <w:tcW w:w="693" w:type="pct"/>
            <w:tcBorders>
              <w:top w:val="nil"/>
              <w:left w:val="nil"/>
              <w:bottom w:val="single" w:sz="4" w:space="0" w:color="auto"/>
              <w:right w:val="single" w:sz="4" w:space="0" w:color="auto"/>
            </w:tcBorders>
            <w:shd w:val="clear" w:color="000000" w:fill="DDEBF7"/>
            <w:hideMark/>
          </w:tcPr>
          <w:p w14:paraId="5404AAD5" w14:textId="77777777" w:rsidR="00985D46" w:rsidRPr="00985D46" w:rsidRDefault="00985D46" w:rsidP="00985D46">
            <w:pPr>
              <w:spacing w:after="0" w:line="240" w:lineRule="auto"/>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 </w:t>
            </w:r>
          </w:p>
        </w:tc>
      </w:tr>
      <w:tr w:rsidR="00985D46" w:rsidRPr="00985D46" w14:paraId="1DE4F463" w14:textId="77777777" w:rsidTr="008E0319">
        <w:trPr>
          <w:trHeight w:val="315"/>
        </w:trPr>
        <w:tc>
          <w:tcPr>
            <w:tcW w:w="176" w:type="pct"/>
            <w:tcBorders>
              <w:top w:val="nil"/>
              <w:left w:val="single" w:sz="4" w:space="0" w:color="auto"/>
              <w:bottom w:val="single" w:sz="4" w:space="0" w:color="auto"/>
              <w:right w:val="single" w:sz="4" w:space="0" w:color="auto"/>
            </w:tcBorders>
            <w:shd w:val="clear" w:color="auto" w:fill="auto"/>
            <w:hideMark/>
          </w:tcPr>
          <w:p w14:paraId="62A7B423"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7</w:t>
            </w:r>
          </w:p>
        </w:tc>
        <w:tc>
          <w:tcPr>
            <w:tcW w:w="3493" w:type="pct"/>
            <w:tcBorders>
              <w:top w:val="nil"/>
              <w:left w:val="nil"/>
              <w:bottom w:val="single" w:sz="4" w:space="0" w:color="auto"/>
              <w:right w:val="single" w:sz="4" w:space="0" w:color="auto"/>
            </w:tcBorders>
            <w:shd w:val="clear" w:color="auto" w:fill="auto"/>
            <w:hideMark/>
          </w:tcPr>
          <w:p w14:paraId="56B697E7"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Offered solution should have option to customize the email template or create a fresh template as per CBI requirement.</w:t>
            </w:r>
          </w:p>
        </w:tc>
        <w:tc>
          <w:tcPr>
            <w:tcW w:w="638" w:type="pct"/>
            <w:tcBorders>
              <w:top w:val="nil"/>
              <w:left w:val="nil"/>
              <w:bottom w:val="single" w:sz="4" w:space="0" w:color="auto"/>
              <w:right w:val="single" w:sz="4" w:space="0" w:color="auto"/>
            </w:tcBorders>
            <w:shd w:val="clear" w:color="auto" w:fill="auto"/>
            <w:hideMark/>
          </w:tcPr>
          <w:p w14:paraId="35EE560E"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3" w:type="pct"/>
            <w:tcBorders>
              <w:top w:val="nil"/>
              <w:left w:val="nil"/>
              <w:bottom w:val="single" w:sz="4" w:space="0" w:color="auto"/>
              <w:right w:val="single" w:sz="4" w:space="0" w:color="auto"/>
            </w:tcBorders>
            <w:shd w:val="clear" w:color="auto" w:fill="auto"/>
            <w:hideMark/>
          </w:tcPr>
          <w:p w14:paraId="13682876"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r w:rsidR="00985D46" w:rsidRPr="00985D46" w14:paraId="19FEF7D4"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7380324F"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8</w:t>
            </w:r>
          </w:p>
        </w:tc>
        <w:tc>
          <w:tcPr>
            <w:tcW w:w="3493" w:type="pct"/>
            <w:tcBorders>
              <w:top w:val="nil"/>
              <w:left w:val="nil"/>
              <w:bottom w:val="single" w:sz="4" w:space="0" w:color="auto"/>
              <w:right w:val="single" w:sz="4" w:space="0" w:color="auto"/>
            </w:tcBorders>
            <w:shd w:val="clear" w:color="auto" w:fill="auto"/>
            <w:hideMark/>
          </w:tcPr>
          <w:p w14:paraId="1816F152"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Offered solution should have option to send emails to all tentative participants in a whole or send the email in groups. Solution should able to create various sender groups based on CBI requirements.</w:t>
            </w:r>
          </w:p>
        </w:tc>
        <w:tc>
          <w:tcPr>
            <w:tcW w:w="638" w:type="pct"/>
            <w:tcBorders>
              <w:top w:val="nil"/>
              <w:left w:val="nil"/>
              <w:bottom w:val="single" w:sz="4" w:space="0" w:color="auto"/>
              <w:right w:val="single" w:sz="4" w:space="0" w:color="auto"/>
            </w:tcBorders>
            <w:shd w:val="clear" w:color="auto" w:fill="auto"/>
            <w:hideMark/>
          </w:tcPr>
          <w:p w14:paraId="43348A91"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3" w:type="pct"/>
            <w:tcBorders>
              <w:top w:val="nil"/>
              <w:left w:val="nil"/>
              <w:bottom w:val="single" w:sz="4" w:space="0" w:color="auto"/>
              <w:right w:val="single" w:sz="4" w:space="0" w:color="auto"/>
            </w:tcBorders>
            <w:shd w:val="clear" w:color="auto" w:fill="auto"/>
            <w:hideMark/>
          </w:tcPr>
          <w:p w14:paraId="51B4A3DB"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r w:rsidR="00985D46" w:rsidRPr="00985D46" w14:paraId="462934AD"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65764FBD"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9</w:t>
            </w:r>
          </w:p>
        </w:tc>
        <w:tc>
          <w:tcPr>
            <w:tcW w:w="3493" w:type="pct"/>
            <w:tcBorders>
              <w:top w:val="nil"/>
              <w:left w:val="nil"/>
              <w:bottom w:val="single" w:sz="4" w:space="0" w:color="auto"/>
              <w:right w:val="single" w:sz="4" w:space="0" w:color="auto"/>
            </w:tcBorders>
            <w:shd w:val="clear" w:color="auto" w:fill="auto"/>
            <w:hideMark/>
          </w:tcPr>
          <w:p w14:paraId="06DDE9B1" w14:textId="03F33FF1"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Offered solution should have option to customize the landing page or create a fresh landing page corresponding to t</w:t>
            </w:r>
            <w:r w:rsidR="00342ED2">
              <w:rPr>
                <w:rFonts w:ascii="Calibri" w:eastAsia="Times New Roman" w:hAnsi="Calibri" w:cs="Calibri"/>
                <w:sz w:val="20"/>
                <w:szCs w:val="20"/>
                <w:lang w:val="en-GB" w:eastAsia="en-GB"/>
              </w:rPr>
              <w:t xml:space="preserve">he Phishing email and as per Bank </w:t>
            </w:r>
            <w:r w:rsidRPr="00985D46">
              <w:rPr>
                <w:rFonts w:ascii="Calibri" w:eastAsia="Times New Roman" w:hAnsi="Calibri" w:cs="Calibri"/>
                <w:sz w:val="20"/>
                <w:szCs w:val="20"/>
                <w:lang w:val="en-GB" w:eastAsia="en-GB"/>
              </w:rPr>
              <w:t>requirement.</w:t>
            </w:r>
          </w:p>
        </w:tc>
        <w:tc>
          <w:tcPr>
            <w:tcW w:w="638" w:type="pct"/>
            <w:tcBorders>
              <w:top w:val="nil"/>
              <w:left w:val="nil"/>
              <w:bottom w:val="single" w:sz="4" w:space="0" w:color="auto"/>
              <w:right w:val="single" w:sz="4" w:space="0" w:color="auto"/>
            </w:tcBorders>
            <w:shd w:val="clear" w:color="auto" w:fill="auto"/>
            <w:hideMark/>
          </w:tcPr>
          <w:p w14:paraId="0A5AF196"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3" w:type="pct"/>
            <w:tcBorders>
              <w:top w:val="nil"/>
              <w:left w:val="nil"/>
              <w:bottom w:val="single" w:sz="4" w:space="0" w:color="auto"/>
              <w:right w:val="single" w:sz="4" w:space="0" w:color="auto"/>
            </w:tcBorders>
            <w:shd w:val="clear" w:color="auto" w:fill="auto"/>
            <w:hideMark/>
          </w:tcPr>
          <w:p w14:paraId="5DF2C981"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r w:rsidR="00985D46" w:rsidRPr="00985D46" w14:paraId="1902686F"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35D6B062"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10</w:t>
            </w:r>
          </w:p>
        </w:tc>
        <w:tc>
          <w:tcPr>
            <w:tcW w:w="3493" w:type="pct"/>
            <w:tcBorders>
              <w:top w:val="nil"/>
              <w:left w:val="nil"/>
              <w:bottom w:val="single" w:sz="4" w:space="0" w:color="auto"/>
              <w:right w:val="single" w:sz="4" w:space="0" w:color="auto"/>
            </w:tcBorders>
            <w:shd w:val="clear" w:color="auto" w:fill="auto"/>
            <w:hideMark/>
          </w:tcPr>
          <w:p w14:paraId="083969C9" w14:textId="37BE91D3"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provided solution should have option to customize in such a way so that the landing page can be accessed from Intern</w:t>
            </w:r>
            <w:r w:rsidR="00342ED2">
              <w:rPr>
                <w:rFonts w:ascii="Calibri" w:eastAsia="Times New Roman" w:hAnsi="Calibri" w:cs="Calibri"/>
                <w:sz w:val="20"/>
                <w:szCs w:val="20"/>
                <w:lang w:val="en-GB" w:eastAsia="en-GB"/>
              </w:rPr>
              <w:t>et as per the requirement of Bank</w:t>
            </w:r>
            <w:r w:rsidRPr="00985D46">
              <w:rPr>
                <w:rFonts w:ascii="Calibri" w:eastAsia="Times New Roman" w:hAnsi="Calibri" w:cs="Calibri"/>
                <w:sz w:val="20"/>
                <w:szCs w:val="20"/>
                <w:lang w:val="en-GB" w:eastAsia="en-GB"/>
              </w:rPr>
              <w:t>. All required services/solutions required to do the same is in Bidder’s scope.</w:t>
            </w:r>
          </w:p>
        </w:tc>
        <w:tc>
          <w:tcPr>
            <w:tcW w:w="638" w:type="pct"/>
            <w:tcBorders>
              <w:top w:val="nil"/>
              <w:left w:val="nil"/>
              <w:bottom w:val="single" w:sz="4" w:space="0" w:color="auto"/>
              <w:right w:val="single" w:sz="4" w:space="0" w:color="auto"/>
            </w:tcBorders>
            <w:shd w:val="clear" w:color="auto" w:fill="auto"/>
            <w:hideMark/>
          </w:tcPr>
          <w:p w14:paraId="1D9BF0C1"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3" w:type="pct"/>
            <w:tcBorders>
              <w:top w:val="nil"/>
              <w:left w:val="nil"/>
              <w:bottom w:val="single" w:sz="4" w:space="0" w:color="auto"/>
              <w:right w:val="single" w:sz="4" w:space="0" w:color="auto"/>
            </w:tcBorders>
            <w:shd w:val="clear" w:color="auto" w:fill="auto"/>
            <w:hideMark/>
          </w:tcPr>
          <w:p w14:paraId="026FE074"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r w:rsidR="00985D46" w:rsidRPr="00985D46" w14:paraId="109D0EFF"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0C6D16D6"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11</w:t>
            </w:r>
          </w:p>
        </w:tc>
        <w:tc>
          <w:tcPr>
            <w:tcW w:w="3493" w:type="pct"/>
            <w:tcBorders>
              <w:top w:val="nil"/>
              <w:left w:val="nil"/>
              <w:bottom w:val="single" w:sz="4" w:space="0" w:color="auto"/>
              <w:right w:val="single" w:sz="4" w:space="0" w:color="auto"/>
            </w:tcBorders>
            <w:shd w:val="clear" w:color="auto" w:fill="auto"/>
            <w:hideMark/>
          </w:tcPr>
          <w:p w14:paraId="5011D62D"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Offered solution should provide the user-wise tracking of Email Delivery, phishing Link Clicked &amp; Data Submission in phishing simulation.</w:t>
            </w:r>
          </w:p>
        </w:tc>
        <w:tc>
          <w:tcPr>
            <w:tcW w:w="638" w:type="pct"/>
            <w:tcBorders>
              <w:top w:val="nil"/>
              <w:left w:val="nil"/>
              <w:bottom w:val="single" w:sz="4" w:space="0" w:color="auto"/>
              <w:right w:val="single" w:sz="4" w:space="0" w:color="auto"/>
            </w:tcBorders>
            <w:shd w:val="clear" w:color="auto" w:fill="auto"/>
            <w:hideMark/>
          </w:tcPr>
          <w:p w14:paraId="57524C4C"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3" w:type="pct"/>
            <w:tcBorders>
              <w:top w:val="nil"/>
              <w:left w:val="nil"/>
              <w:bottom w:val="single" w:sz="4" w:space="0" w:color="auto"/>
              <w:right w:val="single" w:sz="4" w:space="0" w:color="auto"/>
            </w:tcBorders>
            <w:shd w:val="clear" w:color="auto" w:fill="auto"/>
            <w:hideMark/>
          </w:tcPr>
          <w:p w14:paraId="0B45D22F"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r w:rsidR="00985D46" w:rsidRPr="00985D46" w14:paraId="6E7E2F41"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74550FC5"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12</w:t>
            </w:r>
          </w:p>
        </w:tc>
        <w:tc>
          <w:tcPr>
            <w:tcW w:w="3493" w:type="pct"/>
            <w:tcBorders>
              <w:top w:val="nil"/>
              <w:left w:val="nil"/>
              <w:bottom w:val="single" w:sz="4" w:space="0" w:color="auto"/>
              <w:right w:val="single" w:sz="4" w:space="0" w:color="auto"/>
            </w:tcBorders>
            <w:shd w:val="clear" w:color="auto" w:fill="auto"/>
            <w:hideMark/>
          </w:tcPr>
          <w:p w14:paraId="7E4AEF2D"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Offered solution should allow to put Fake CC (n number) in the phishing simulation emails. Support customization of Email ID of the sender for phishing campaigns</w:t>
            </w:r>
          </w:p>
        </w:tc>
        <w:tc>
          <w:tcPr>
            <w:tcW w:w="638" w:type="pct"/>
            <w:tcBorders>
              <w:top w:val="nil"/>
              <w:left w:val="nil"/>
              <w:bottom w:val="single" w:sz="4" w:space="0" w:color="auto"/>
              <w:right w:val="single" w:sz="4" w:space="0" w:color="auto"/>
            </w:tcBorders>
            <w:shd w:val="clear" w:color="auto" w:fill="auto"/>
            <w:hideMark/>
          </w:tcPr>
          <w:p w14:paraId="1BC67FDF"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3" w:type="pct"/>
            <w:tcBorders>
              <w:top w:val="nil"/>
              <w:left w:val="nil"/>
              <w:bottom w:val="single" w:sz="4" w:space="0" w:color="auto"/>
              <w:right w:val="single" w:sz="4" w:space="0" w:color="auto"/>
            </w:tcBorders>
            <w:shd w:val="clear" w:color="auto" w:fill="auto"/>
            <w:hideMark/>
          </w:tcPr>
          <w:p w14:paraId="29243E7E"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r w:rsidR="00985D46" w:rsidRPr="00985D46" w14:paraId="7DD8B15D" w14:textId="77777777" w:rsidTr="008E0319">
        <w:trPr>
          <w:trHeight w:val="315"/>
        </w:trPr>
        <w:tc>
          <w:tcPr>
            <w:tcW w:w="176" w:type="pct"/>
            <w:tcBorders>
              <w:top w:val="nil"/>
              <w:left w:val="single" w:sz="4" w:space="0" w:color="auto"/>
              <w:bottom w:val="single" w:sz="4" w:space="0" w:color="auto"/>
              <w:right w:val="single" w:sz="4" w:space="0" w:color="auto"/>
            </w:tcBorders>
            <w:shd w:val="clear" w:color="auto" w:fill="auto"/>
            <w:hideMark/>
          </w:tcPr>
          <w:p w14:paraId="79E7B563"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13</w:t>
            </w:r>
          </w:p>
        </w:tc>
        <w:tc>
          <w:tcPr>
            <w:tcW w:w="3493" w:type="pct"/>
            <w:tcBorders>
              <w:top w:val="nil"/>
              <w:left w:val="nil"/>
              <w:bottom w:val="single" w:sz="4" w:space="0" w:color="auto"/>
              <w:right w:val="single" w:sz="4" w:space="0" w:color="auto"/>
            </w:tcBorders>
            <w:shd w:val="clear" w:color="auto" w:fill="auto"/>
            <w:hideMark/>
          </w:tcPr>
          <w:p w14:paraId="4926A301"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Offered solution should be able to track email reply on phishing emails.</w:t>
            </w:r>
          </w:p>
        </w:tc>
        <w:tc>
          <w:tcPr>
            <w:tcW w:w="638" w:type="pct"/>
            <w:tcBorders>
              <w:top w:val="nil"/>
              <w:left w:val="nil"/>
              <w:bottom w:val="single" w:sz="4" w:space="0" w:color="auto"/>
              <w:right w:val="single" w:sz="4" w:space="0" w:color="auto"/>
            </w:tcBorders>
            <w:shd w:val="clear" w:color="auto" w:fill="auto"/>
            <w:hideMark/>
          </w:tcPr>
          <w:p w14:paraId="6A4849EF"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3" w:type="pct"/>
            <w:tcBorders>
              <w:top w:val="nil"/>
              <w:left w:val="nil"/>
              <w:bottom w:val="single" w:sz="4" w:space="0" w:color="auto"/>
              <w:right w:val="single" w:sz="4" w:space="0" w:color="auto"/>
            </w:tcBorders>
            <w:shd w:val="clear" w:color="auto" w:fill="auto"/>
            <w:hideMark/>
          </w:tcPr>
          <w:p w14:paraId="7249373A"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r w:rsidR="00985D46" w:rsidRPr="00985D46" w14:paraId="0E6830EA" w14:textId="77777777" w:rsidTr="008E0319">
        <w:trPr>
          <w:trHeight w:val="315"/>
        </w:trPr>
        <w:tc>
          <w:tcPr>
            <w:tcW w:w="176" w:type="pct"/>
            <w:tcBorders>
              <w:top w:val="nil"/>
              <w:left w:val="single" w:sz="4" w:space="0" w:color="auto"/>
              <w:bottom w:val="single" w:sz="4" w:space="0" w:color="auto"/>
              <w:right w:val="single" w:sz="4" w:space="0" w:color="auto"/>
            </w:tcBorders>
            <w:shd w:val="clear" w:color="auto" w:fill="auto"/>
            <w:hideMark/>
          </w:tcPr>
          <w:p w14:paraId="7D194261"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14</w:t>
            </w:r>
          </w:p>
        </w:tc>
        <w:tc>
          <w:tcPr>
            <w:tcW w:w="3493" w:type="pct"/>
            <w:tcBorders>
              <w:top w:val="nil"/>
              <w:left w:val="nil"/>
              <w:bottom w:val="single" w:sz="4" w:space="0" w:color="auto"/>
              <w:right w:val="single" w:sz="4" w:space="0" w:color="auto"/>
            </w:tcBorders>
            <w:shd w:val="clear" w:color="auto" w:fill="auto"/>
            <w:hideMark/>
          </w:tcPr>
          <w:p w14:paraId="4D147E58"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Offered solution should have the capability to use HTTPS url for phishing purpose</w:t>
            </w:r>
          </w:p>
        </w:tc>
        <w:tc>
          <w:tcPr>
            <w:tcW w:w="638" w:type="pct"/>
            <w:tcBorders>
              <w:top w:val="nil"/>
              <w:left w:val="nil"/>
              <w:bottom w:val="single" w:sz="4" w:space="0" w:color="auto"/>
              <w:right w:val="single" w:sz="4" w:space="0" w:color="auto"/>
            </w:tcBorders>
            <w:shd w:val="clear" w:color="auto" w:fill="auto"/>
            <w:hideMark/>
          </w:tcPr>
          <w:p w14:paraId="263FE098"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3" w:type="pct"/>
            <w:tcBorders>
              <w:top w:val="nil"/>
              <w:left w:val="nil"/>
              <w:bottom w:val="single" w:sz="4" w:space="0" w:color="auto"/>
              <w:right w:val="single" w:sz="4" w:space="0" w:color="auto"/>
            </w:tcBorders>
            <w:shd w:val="clear" w:color="auto" w:fill="auto"/>
            <w:hideMark/>
          </w:tcPr>
          <w:p w14:paraId="7B97ECE6"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r w:rsidR="00985D46" w:rsidRPr="00985D46" w14:paraId="71254087" w14:textId="77777777" w:rsidTr="008E0319">
        <w:trPr>
          <w:trHeight w:val="315"/>
        </w:trPr>
        <w:tc>
          <w:tcPr>
            <w:tcW w:w="176" w:type="pct"/>
            <w:tcBorders>
              <w:top w:val="nil"/>
              <w:left w:val="single" w:sz="4" w:space="0" w:color="auto"/>
              <w:bottom w:val="single" w:sz="4" w:space="0" w:color="auto"/>
              <w:right w:val="single" w:sz="4" w:space="0" w:color="auto"/>
            </w:tcBorders>
            <w:shd w:val="clear" w:color="000000" w:fill="DDEBF7"/>
            <w:hideMark/>
          </w:tcPr>
          <w:p w14:paraId="4E293023" w14:textId="77777777" w:rsidR="00985D46" w:rsidRPr="00985D46" w:rsidRDefault="00985D46" w:rsidP="00985D46">
            <w:pPr>
              <w:spacing w:after="0" w:line="240" w:lineRule="auto"/>
              <w:jc w:val="center"/>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lastRenderedPageBreak/>
              <w:t>B</w:t>
            </w:r>
          </w:p>
        </w:tc>
        <w:tc>
          <w:tcPr>
            <w:tcW w:w="3493" w:type="pct"/>
            <w:tcBorders>
              <w:top w:val="nil"/>
              <w:left w:val="nil"/>
              <w:bottom w:val="single" w:sz="4" w:space="0" w:color="auto"/>
              <w:right w:val="single" w:sz="4" w:space="0" w:color="auto"/>
            </w:tcBorders>
            <w:shd w:val="clear" w:color="000000" w:fill="DDEBF7"/>
            <w:hideMark/>
          </w:tcPr>
          <w:p w14:paraId="1D289239" w14:textId="77777777" w:rsidR="00985D46" w:rsidRPr="00985D46" w:rsidRDefault="00985D46" w:rsidP="00985D46">
            <w:pPr>
              <w:spacing w:after="0" w:line="240" w:lineRule="auto"/>
              <w:rPr>
                <w:rFonts w:ascii="Calibri" w:eastAsia="Times New Roman" w:hAnsi="Calibri" w:cs="Calibri"/>
                <w:b/>
                <w:bCs/>
                <w:sz w:val="24"/>
                <w:szCs w:val="24"/>
                <w:lang w:val="en-GB" w:eastAsia="en-GB"/>
              </w:rPr>
            </w:pPr>
            <w:r w:rsidRPr="00985D46">
              <w:rPr>
                <w:rFonts w:ascii="Calibri" w:eastAsia="Times New Roman" w:hAnsi="Calibri" w:cs="Calibri"/>
                <w:b/>
                <w:bCs/>
                <w:sz w:val="24"/>
                <w:szCs w:val="24"/>
                <w:lang w:val="en-GB" w:eastAsia="en-GB"/>
              </w:rPr>
              <w:t>Regarding Simulation of Phishing oveR QR Code:</w:t>
            </w:r>
          </w:p>
        </w:tc>
        <w:tc>
          <w:tcPr>
            <w:tcW w:w="638" w:type="pct"/>
            <w:tcBorders>
              <w:top w:val="nil"/>
              <w:left w:val="nil"/>
              <w:bottom w:val="single" w:sz="4" w:space="0" w:color="auto"/>
              <w:right w:val="single" w:sz="4" w:space="0" w:color="auto"/>
            </w:tcBorders>
            <w:shd w:val="clear" w:color="000000" w:fill="DDEBF7"/>
            <w:hideMark/>
          </w:tcPr>
          <w:p w14:paraId="387E5093" w14:textId="77777777" w:rsidR="00985D46" w:rsidRPr="00985D46" w:rsidRDefault="00985D46" w:rsidP="00985D46">
            <w:pPr>
              <w:spacing w:after="0" w:line="240" w:lineRule="auto"/>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 </w:t>
            </w:r>
          </w:p>
        </w:tc>
        <w:tc>
          <w:tcPr>
            <w:tcW w:w="693" w:type="pct"/>
            <w:tcBorders>
              <w:top w:val="nil"/>
              <w:left w:val="nil"/>
              <w:bottom w:val="single" w:sz="4" w:space="0" w:color="auto"/>
              <w:right w:val="single" w:sz="4" w:space="0" w:color="auto"/>
            </w:tcBorders>
            <w:shd w:val="clear" w:color="000000" w:fill="DDEBF7"/>
            <w:hideMark/>
          </w:tcPr>
          <w:p w14:paraId="60E5F643" w14:textId="77777777" w:rsidR="00985D46" w:rsidRPr="00985D46" w:rsidRDefault="00985D46" w:rsidP="00985D46">
            <w:pPr>
              <w:spacing w:after="0" w:line="240" w:lineRule="auto"/>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 </w:t>
            </w:r>
          </w:p>
        </w:tc>
      </w:tr>
      <w:tr w:rsidR="00985D46" w:rsidRPr="00985D46" w14:paraId="69F40163"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3D29733A"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15</w:t>
            </w:r>
          </w:p>
        </w:tc>
        <w:tc>
          <w:tcPr>
            <w:tcW w:w="3493" w:type="pct"/>
            <w:tcBorders>
              <w:top w:val="nil"/>
              <w:left w:val="nil"/>
              <w:bottom w:val="single" w:sz="4" w:space="0" w:color="auto"/>
              <w:right w:val="single" w:sz="4" w:space="0" w:color="auto"/>
            </w:tcBorders>
            <w:shd w:val="clear" w:color="auto" w:fill="auto"/>
            <w:hideMark/>
          </w:tcPr>
          <w:p w14:paraId="7A365F65"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QR Code Simulation - The solution should have option to simulate QR based phishing simulation where user receives an email with an embedded QR code which redirects to a landing page if the code is scanned.</w:t>
            </w:r>
          </w:p>
        </w:tc>
        <w:tc>
          <w:tcPr>
            <w:tcW w:w="638" w:type="pct"/>
            <w:tcBorders>
              <w:top w:val="nil"/>
              <w:left w:val="nil"/>
              <w:bottom w:val="single" w:sz="4" w:space="0" w:color="auto"/>
              <w:right w:val="single" w:sz="4" w:space="0" w:color="auto"/>
            </w:tcBorders>
            <w:shd w:val="clear" w:color="auto" w:fill="auto"/>
            <w:hideMark/>
          </w:tcPr>
          <w:p w14:paraId="12F6920A"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3" w:type="pct"/>
            <w:tcBorders>
              <w:top w:val="nil"/>
              <w:left w:val="nil"/>
              <w:bottom w:val="single" w:sz="4" w:space="0" w:color="auto"/>
              <w:right w:val="single" w:sz="4" w:space="0" w:color="auto"/>
            </w:tcBorders>
            <w:shd w:val="clear" w:color="auto" w:fill="auto"/>
            <w:hideMark/>
          </w:tcPr>
          <w:p w14:paraId="184D564A"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r w:rsidR="00985D46" w:rsidRPr="00985D46" w14:paraId="67CCF3E0" w14:textId="77777777" w:rsidTr="008E0319">
        <w:trPr>
          <w:trHeight w:val="315"/>
        </w:trPr>
        <w:tc>
          <w:tcPr>
            <w:tcW w:w="176" w:type="pct"/>
            <w:tcBorders>
              <w:top w:val="nil"/>
              <w:left w:val="single" w:sz="4" w:space="0" w:color="auto"/>
              <w:bottom w:val="single" w:sz="4" w:space="0" w:color="auto"/>
              <w:right w:val="single" w:sz="4" w:space="0" w:color="auto"/>
            </w:tcBorders>
            <w:shd w:val="clear" w:color="000000" w:fill="DDEBF7"/>
            <w:hideMark/>
          </w:tcPr>
          <w:p w14:paraId="50E62F1F" w14:textId="77777777" w:rsidR="00985D46" w:rsidRPr="00985D46" w:rsidRDefault="00985D46" w:rsidP="00985D46">
            <w:pPr>
              <w:spacing w:after="0" w:line="240" w:lineRule="auto"/>
              <w:jc w:val="center"/>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C</w:t>
            </w:r>
          </w:p>
        </w:tc>
        <w:tc>
          <w:tcPr>
            <w:tcW w:w="3493" w:type="pct"/>
            <w:tcBorders>
              <w:top w:val="nil"/>
              <w:left w:val="nil"/>
              <w:bottom w:val="single" w:sz="4" w:space="0" w:color="auto"/>
              <w:right w:val="single" w:sz="4" w:space="0" w:color="auto"/>
            </w:tcBorders>
            <w:shd w:val="clear" w:color="000000" w:fill="DDEBF7"/>
            <w:hideMark/>
          </w:tcPr>
          <w:p w14:paraId="29AA9147" w14:textId="77777777" w:rsidR="00985D46" w:rsidRPr="00985D46" w:rsidRDefault="00985D46" w:rsidP="00985D46">
            <w:pPr>
              <w:spacing w:after="0" w:line="240" w:lineRule="auto"/>
              <w:rPr>
                <w:rFonts w:ascii="Calibri" w:eastAsia="Times New Roman" w:hAnsi="Calibri" w:cs="Calibri"/>
                <w:b/>
                <w:bCs/>
                <w:sz w:val="24"/>
                <w:szCs w:val="24"/>
                <w:lang w:val="en-GB" w:eastAsia="en-GB"/>
              </w:rPr>
            </w:pPr>
            <w:r w:rsidRPr="00985D46">
              <w:rPr>
                <w:rFonts w:ascii="Calibri" w:eastAsia="Times New Roman" w:hAnsi="Calibri" w:cs="Calibri"/>
                <w:b/>
                <w:bCs/>
                <w:sz w:val="24"/>
                <w:szCs w:val="24"/>
                <w:lang w:val="en-GB" w:eastAsia="en-GB"/>
              </w:rPr>
              <w:t>Regarding Simulation of Phishing over whatsapp:</w:t>
            </w:r>
          </w:p>
        </w:tc>
        <w:tc>
          <w:tcPr>
            <w:tcW w:w="638" w:type="pct"/>
            <w:tcBorders>
              <w:top w:val="nil"/>
              <w:left w:val="nil"/>
              <w:bottom w:val="single" w:sz="4" w:space="0" w:color="auto"/>
              <w:right w:val="single" w:sz="4" w:space="0" w:color="auto"/>
            </w:tcBorders>
            <w:shd w:val="clear" w:color="000000" w:fill="DDEBF7"/>
            <w:hideMark/>
          </w:tcPr>
          <w:p w14:paraId="0F94228B" w14:textId="77777777" w:rsidR="00985D46" w:rsidRPr="00985D46" w:rsidRDefault="00985D46" w:rsidP="00985D46">
            <w:pPr>
              <w:spacing w:after="0" w:line="240" w:lineRule="auto"/>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 </w:t>
            </w:r>
          </w:p>
        </w:tc>
        <w:tc>
          <w:tcPr>
            <w:tcW w:w="693" w:type="pct"/>
            <w:tcBorders>
              <w:top w:val="nil"/>
              <w:left w:val="nil"/>
              <w:bottom w:val="single" w:sz="4" w:space="0" w:color="auto"/>
              <w:right w:val="single" w:sz="4" w:space="0" w:color="auto"/>
            </w:tcBorders>
            <w:shd w:val="clear" w:color="000000" w:fill="DDEBF7"/>
            <w:hideMark/>
          </w:tcPr>
          <w:p w14:paraId="40FDE87E" w14:textId="77777777" w:rsidR="00985D46" w:rsidRPr="00985D46" w:rsidRDefault="00985D46" w:rsidP="00985D46">
            <w:pPr>
              <w:spacing w:after="0" w:line="240" w:lineRule="auto"/>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 </w:t>
            </w:r>
          </w:p>
        </w:tc>
      </w:tr>
      <w:tr w:rsidR="00985D46" w:rsidRPr="00985D46" w14:paraId="72A876BD"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3CB4CADE"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16</w:t>
            </w:r>
          </w:p>
        </w:tc>
        <w:tc>
          <w:tcPr>
            <w:tcW w:w="3493" w:type="pct"/>
            <w:tcBorders>
              <w:top w:val="nil"/>
              <w:left w:val="nil"/>
              <w:bottom w:val="single" w:sz="4" w:space="0" w:color="auto"/>
              <w:right w:val="single" w:sz="4" w:space="0" w:color="auto"/>
            </w:tcBorders>
            <w:shd w:val="clear" w:color="auto" w:fill="auto"/>
            <w:hideMark/>
          </w:tcPr>
          <w:p w14:paraId="7ED76F1A"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WhatsApp Simulation - The solution should have option to simulate whatsapp based phishing where the user recieves a message on whatsapp with customizable text and a simulated phishing link where user submit their data.</w:t>
            </w:r>
          </w:p>
        </w:tc>
        <w:tc>
          <w:tcPr>
            <w:tcW w:w="638" w:type="pct"/>
            <w:tcBorders>
              <w:top w:val="nil"/>
              <w:left w:val="nil"/>
              <w:bottom w:val="single" w:sz="4" w:space="0" w:color="auto"/>
              <w:right w:val="single" w:sz="4" w:space="0" w:color="auto"/>
            </w:tcBorders>
            <w:shd w:val="clear" w:color="auto" w:fill="auto"/>
            <w:hideMark/>
          </w:tcPr>
          <w:p w14:paraId="29CE2B16"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3" w:type="pct"/>
            <w:tcBorders>
              <w:top w:val="nil"/>
              <w:left w:val="nil"/>
              <w:bottom w:val="single" w:sz="4" w:space="0" w:color="auto"/>
              <w:right w:val="single" w:sz="4" w:space="0" w:color="auto"/>
            </w:tcBorders>
            <w:shd w:val="clear" w:color="auto" w:fill="auto"/>
            <w:hideMark/>
          </w:tcPr>
          <w:p w14:paraId="6557C188"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r w:rsidR="00985D46" w:rsidRPr="00985D46" w14:paraId="3BB69A74" w14:textId="77777777" w:rsidTr="008E0319">
        <w:trPr>
          <w:trHeight w:val="315"/>
        </w:trPr>
        <w:tc>
          <w:tcPr>
            <w:tcW w:w="176" w:type="pct"/>
            <w:tcBorders>
              <w:top w:val="nil"/>
              <w:left w:val="single" w:sz="4" w:space="0" w:color="auto"/>
              <w:bottom w:val="single" w:sz="4" w:space="0" w:color="auto"/>
              <w:right w:val="single" w:sz="4" w:space="0" w:color="auto"/>
            </w:tcBorders>
            <w:shd w:val="clear" w:color="000000" w:fill="DDEBF7"/>
            <w:hideMark/>
          </w:tcPr>
          <w:p w14:paraId="43E025EC" w14:textId="77777777" w:rsidR="00985D46" w:rsidRPr="00985D46" w:rsidRDefault="00985D46" w:rsidP="00985D46">
            <w:pPr>
              <w:spacing w:after="0" w:line="240" w:lineRule="auto"/>
              <w:jc w:val="center"/>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D</w:t>
            </w:r>
          </w:p>
        </w:tc>
        <w:tc>
          <w:tcPr>
            <w:tcW w:w="3493" w:type="pct"/>
            <w:tcBorders>
              <w:top w:val="nil"/>
              <w:left w:val="nil"/>
              <w:bottom w:val="single" w:sz="4" w:space="0" w:color="auto"/>
              <w:right w:val="single" w:sz="4" w:space="0" w:color="auto"/>
            </w:tcBorders>
            <w:shd w:val="clear" w:color="000000" w:fill="DDEBF7"/>
            <w:hideMark/>
          </w:tcPr>
          <w:p w14:paraId="091BB2EB" w14:textId="77777777" w:rsidR="00985D46" w:rsidRPr="00985D46" w:rsidRDefault="00985D46" w:rsidP="00985D46">
            <w:pPr>
              <w:spacing w:after="0" w:line="240" w:lineRule="auto"/>
              <w:rPr>
                <w:rFonts w:ascii="Calibri" w:eastAsia="Times New Roman" w:hAnsi="Calibri" w:cs="Calibri"/>
                <w:b/>
                <w:bCs/>
                <w:sz w:val="24"/>
                <w:szCs w:val="24"/>
                <w:lang w:val="en-GB" w:eastAsia="en-GB"/>
              </w:rPr>
            </w:pPr>
            <w:r w:rsidRPr="00985D46">
              <w:rPr>
                <w:rFonts w:ascii="Calibri" w:eastAsia="Times New Roman" w:hAnsi="Calibri" w:cs="Calibri"/>
                <w:b/>
                <w:bCs/>
                <w:sz w:val="24"/>
                <w:szCs w:val="24"/>
                <w:lang w:val="en-GB" w:eastAsia="en-GB"/>
              </w:rPr>
              <w:t>Regarding Simulation of Ransomware and Attachment e-mails:</w:t>
            </w:r>
          </w:p>
        </w:tc>
        <w:tc>
          <w:tcPr>
            <w:tcW w:w="638" w:type="pct"/>
            <w:tcBorders>
              <w:top w:val="nil"/>
              <w:left w:val="nil"/>
              <w:bottom w:val="single" w:sz="4" w:space="0" w:color="auto"/>
              <w:right w:val="single" w:sz="4" w:space="0" w:color="auto"/>
            </w:tcBorders>
            <w:shd w:val="clear" w:color="000000" w:fill="DDEBF7"/>
            <w:hideMark/>
          </w:tcPr>
          <w:p w14:paraId="06AB8F3B" w14:textId="77777777" w:rsidR="00985D46" w:rsidRPr="00985D46" w:rsidRDefault="00985D46" w:rsidP="00985D46">
            <w:pPr>
              <w:spacing w:after="0" w:line="240" w:lineRule="auto"/>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 </w:t>
            </w:r>
          </w:p>
        </w:tc>
        <w:tc>
          <w:tcPr>
            <w:tcW w:w="693" w:type="pct"/>
            <w:tcBorders>
              <w:top w:val="nil"/>
              <w:left w:val="nil"/>
              <w:bottom w:val="single" w:sz="4" w:space="0" w:color="auto"/>
              <w:right w:val="single" w:sz="4" w:space="0" w:color="auto"/>
            </w:tcBorders>
            <w:shd w:val="clear" w:color="000000" w:fill="DDEBF7"/>
            <w:hideMark/>
          </w:tcPr>
          <w:p w14:paraId="7EA28433" w14:textId="77777777" w:rsidR="00985D46" w:rsidRPr="00985D46" w:rsidRDefault="00985D46" w:rsidP="00985D46">
            <w:pPr>
              <w:spacing w:after="0" w:line="240" w:lineRule="auto"/>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 </w:t>
            </w:r>
          </w:p>
        </w:tc>
      </w:tr>
      <w:tr w:rsidR="00985D46" w:rsidRPr="00985D46" w14:paraId="161C5FB7" w14:textId="77777777" w:rsidTr="008E0319">
        <w:trPr>
          <w:trHeight w:val="315"/>
        </w:trPr>
        <w:tc>
          <w:tcPr>
            <w:tcW w:w="176" w:type="pct"/>
            <w:tcBorders>
              <w:top w:val="nil"/>
              <w:left w:val="single" w:sz="4" w:space="0" w:color="auto"/>
              <w:bottom w:val="single" w:sz="4" w:space="0" w:color="auto"/>
              <w:right w:val="single" w:sz="4" w:space="0" w:color="auto"/>
            </w:tcBorders>
            <w:shd w:val="clear" w:color="auto" w:fill="auto"/>
            <w:hideMark/>
          </w:tcPr>
          <w:p w14:paraId="67502CC7"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17</w:t>
            </w:r>
          </w:p>
        </w:tc>
        <w:tc>
          <w:tcPr>
            <w:tcW w:w="3493" w:type="pct"/>
            <w:tcBorders>
              <w:top w:val="nil"/>
              <w:left w:val="nil"/>
              <w:bottom w:val="single" w:sz="4" w:space="0" w:color="auto"/>
              <w:right w:val="single" w:sz="4" w:space="0" w:color="auto"/>
            </w:tcBorders>
            <w:shd w:val="clear" w:color="auto" w:fill="auto"/>
            <w:hideMark/>
          </w:tcPr>
          <w:p w14:paraId="09D2C9EE"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Offered solution should have option to customize the email template or create a fresh template as per CBI requirement</w:t>
            </w:r>
          </w:p>
        </w:tc>
        <w:tc>
          <w:tcPr>
            <w:tcW w:w="638" w:type="pct"/>
            <w:tcBorders>
              <w:top w:val="nil"/>
              <w:left w:val="nil"/>
              <w:bottom w:val="single" w:sz="4" w:space="0" w:color="auto"/>
              <w:right w:val="single" w:sz="4" w:space="0" w:color="auto"/>
            </w:tcBorders>
            <w:shd w:val="clear" w:color="auto" w:fill="auto"/>
            <w:hideMark/>
          </w:tcPr>
          <w:p w14:paraId="769957B2"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3" w:type="pct"/>
            <w:tcBorders>
              <w:top w:val="nil"/>
              <w:left w:val="nil"/>
              <w:bottom w:val="single" w:sz="4" w:space="0" w:color="auto"/>
              <w:right w:val="single" w:sz="4" w:space="0" w:color="auto"/>
            </w:tcBorders>
            <w:shd w:val="clear" w:color="auto" w:fill="auto"/>
            <w:hideMark/>
          </w:tcPr>
          <w:p w14:paraId="73C63641"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r w:rsidR="00985D46" w:rsidRPr="00985D46" w14:paraId="5D7EDFFF"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5990ABF2"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18</w:t>
            </w:r>
          </w:p>
        </w:tc>
        <w:tc>
          <w:tcPr>
            <w:tcW w:w="3493" w:type="pct"/>
            <w:tcBorders>
              <w:top w:val="nil"/>
              <w:left w:val="nil"/>
              <w:bottom w:val="single" w:sz="4" w:space="0" w:color="auto"/>
              <w:right w:val="single" w:sz="4" w:space="0" w:color="auto"/>
            </w:tcBorders>
            <w:shd w:val="clear" w:color="auto" w:fill="auto"/>
            <w:hideMark/>
          </w:tcPr>
          <w:p w14:paraId="1E215329"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For Ransomeware simulation,the attachment should support .exe. Even though Logo of other formats can be used like .docx, .xlsx, .pptx, .pdf, .jpg, .png etc.</w:t>
            </w:r>
          </w:p>
        </w:tc>
        <w:tc>
          <w:tcPr>
            <w:tcW w:w="638" w:type="pct"/>
            <w:tcBorders>
              <w:top w:val="nil"/>
              <w:left w:val="nil"/>
              <w:bottom w:val="single" w:sz="4" w:space="0" w:color="auto"/>
              <w:right w:val="single" w:sz="4" w:space="0" w:color="auto"/>
            </w:tcBorders>
            <w:shd w:val="clear" w:color="auto" w:fill="auto"/>
            <w:hideMark/>
          </w:tcPr>
          <w:p w14:paraId="7F80031D"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3" w:type="pct"/>
            <w:tcBorders>
              <w:top w:val="nil"/>
              <w:left w:val="nil"/>
              <w:bottom w:val="single" w:sz="4" w:space="0" w:color="auto"/>
              <w:right w:val="single" w:sz="4" w:space="0" w:color="auto"/>
            </w:tcBorders>
            <w:shd w:val="clear" w:color="auto" w:fill="auto"/>
            <w:hideMark/>
          </w:tcPr>
          <w:p w14:paraId="6D046AB7"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r w:rsidR="00985D46" w:rsidRPr="00985D46" w14:paraId="656F0EB9"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67641AAB"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19</w:t>
            </w:r>
          </w:p>
        </w:tc>
        <w:tc>
          <w:tcPr>
            <w:tcW w:w="3493" w:type="pct"/>
            <w:tcBorders>
              <w:top w:val="nil"/>
              <w:left w:val="nil"/>
              <w:bottom w:val="single" w:sz="4" w:space="0" w:color="auto"/>
              <w:right w:val="single" w:sz="4" w:space="0" w:color="auto"/>
            </w:tcBorders>
            <w:shd w:val="clear" w:color="auto" w:fill="auto"/>
            <w:hideMark/>
          </w:tcPr>
          <w:p w14:paraId="065FF495" w14:textId="24ED1250"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In case of .exe as attachment, upon download of infected file, it should show some known file format</w:t>
            </w:r>
            <w:r w:rsidR="00342ED2">
              <w:rPr>
                <w:rFonts w:ascii="Calibri" w:eastAsia="Times New Roman" w:hAnsi="Calibri" w:cs="Calibri"/>
                <w:sz w:val="20"/>
                <w:szCs w:val="20"/>
                <w:lang w:val="en-GB" w:eastAsia="en-GB"/>
              </w:rPr>
              <w:t xml:space="preserve"> </w:t>
            </w:r>
            <w:r w:rsidRPr="00985D46">
              <w:rPr>
                <w:rFonts w:ascii="Calibri" w:eastAsia="Times New Roman" w:hAnsi="Calibri" w:cs="Calibri"/>
                <w:sz w:val="20"/>
                <w:szCs w:val="20"/>
                <w:lang w:val="en-GB" w:eastAsia="en-GB"/>
              </w:rPr>
              <w:t>(Like MS word, ppt, excel, PDF, image file etc). thumbnail in user’ folder.</w:t>
            </w:r>
          </w:p>
        </w:tc>
        <w:tc>
          <w:tcPr>
            <w:tcW w:w="638" w:type="pct"/>
            <w:tcBorders>
              <w:top w:val="nil"/>
              <w:left w:val="nil"/>
              <w:bottom w:val="single" w:sz="4" w:space="0" w:color="auto"/>
              <w:right w:val="single" w:sz="4" w:space="0" w:color="auto"/>
            </w:tcBorders>
            <w:shd w:val="clear" w:color="auto" w:fill="auto"/>
            <w:hideMark/>
          </w:tcPr>
          <w:p w14:paraId="2A369F2B"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3" w:type="pct"/>
            <w:tcBorders>
              <w:top w:val="nil"/>
              <w:left w:val="nil"/>
              <w:bottom w:val="single" w:sz="4" w:space="0" w:color="auto"/>
              <w:right w:val="single" w:sz="4" w:space="0" w:color="auto"/>
            </w:tcBorders>
            <w:shd w:val="clear" w:color="auto" w:fill="auto"/>
            <w:hideMark/>
          </w:tcPr>
          <w:p w14:paraId="0C850074"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r w:rsidR="00985D46" w:rsidRPr="00985D46" w14:paraId="11FD5EC8"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7094ABF7"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20</w:t>
            </w:r>
          </w:p>
        </w:tc>
        <w:tc>
          <w:tcPr>
            <w:tcW w:w="3493" w:type="pct"/>
            <w:tcBorders>
              <w:top w:val="nil"/>
              <w:left w:val="nil"/>
              <w:bottom w:val="single" w:sz="4" w:space="0" w:color="auto"/>
              <w:right w:val="single" w:sz="4" w:space="0" w:color="auto"/>
            </w:tcBorders>
            <w:shd w:val="clear" w:color="auto" w:fill="auto"/>
            <w:hideMark/>
          </w:tcPr>
          <w:p w14:paraId="12961DFE"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Upon execution of infected file, users screens should freeze for a significant time with a customization message over the windows screen.</w:t>
            </w:r>
          </w:p>
        </w:tc>
        <w:tc>
          <w:tcPr>
            <w:tcW w:w="638" w:type="pct"/>
            <w:tcBorders>
              <w:top w:val="nil"/>
              <w:left w:val="nil"/>
              <w:bottom w:val="single" w:sz="4" w:space="0" w:color="auto"/>
              <w:right w:val="single" w:sz="4" w:space="0" w:color="auto"/>
            </w:tcBorders>
            <w:shd w:val="clear" w:color="auto" w:fill="auto"/>
            <w:hideMark/>
          </w:tcPr>
          <w:p w14:paraId="2409451C"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3" w:type="pct"/>
            <w:tcBorders>
              <w:top w:val="nil"/>
              <w:left w:val="nil"/>
              <w:bottom w:val="single" w:sz="4" w:space="0" w:color="auto"/>
              <w:right w:val="single" w:sz="4" w:space="0" w:color="auto"/>
            </w:tcBorders>
            <w:shd w:val="clear" w:color="auto" w:fill="auto"/>
            <w:hideMark/>
          </w:tcPr>
          <w:p w14:paraId="12AD009E"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r w:rsidR="00985D46" w:rsidRPr="00985D46" w14:paraId="6523D2FF"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4029C6AB"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21</w:t>
            </w:r>
          </w:p>
        </w:tc>
        <w:tc>
          <w:tcPr>
            <w:tcW w:w="3493" w:type="pct"/>
            <w:tcBorders>
              <w:top w:val="nil"/>
              <w:left w:val="nil"/>
              <w:bottom w:val="single" w:sz="4" w:space="0" w:color="auto"/>
              <w:right w:val="single" w:sz="4" w:space="0" w:color="auto"/>
            </w:tcBorders>
            <w:shd w:val="clear" w:color="auto" w:fill="auto"/>
            <w:hideMark/>
          </w:tcPr>
          <w:p w14:paraId="1DB767D0"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Following the screen freeze with customized message, infected user should receive a intimation about the Cyber awareness exercise either as a Pop-up over the screen or as email to the respective user.</w:t>
            </w:r>
          </w:p>
        </w:tc>
        <w:tc>
          <w:tcPr>
            <w:tcW w:w="638" w:type="pct"/>
            <w:tcBorders>
              <w:top w:val="nil"/>
              <w:left w:val="nil"/>
              <w:bottom w:val="single" w:sz="4" w:space="0" w:color="auto"/>
              <w:right w:val="single" w:sz="4" w:space="0" w:color="auto"/>
            </w:tcBorders>
            <w:shd w:val="clear" w:color="auto" w:fill="auto"/>
            <w:hideMark/>
          </w:tcPr>
          <w:p w14:paraId="20165A4D"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3" w:type="pct"/>
            <w:tcBorders>
              <w:top w:val="nil"/>
              <w:left w:val="nil"/>
              <w:bottom w:val="single" w:sz="4" w:space="0" w:color="auto"/>
              <w:right w:val="single" w:sz="4" w:space="0" w:color="auto"/>
            </w:tcBorders>
            <w:shd w:val="clear" w:color="auto" w:fill="auto"/>
            <w:hideMark/>
          </w:tcPr>
          <w:p w14:paraId="1492F73E"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r w:rsidR="00985D46" w:rsidRPr="00985D46" w14:paraId="1BE6EA8B" w14:textId="77777777" w:rsidTr="008E0319">
        <w:trPr>
          <w:trHeight w:val="315"/>
        </w:trPr>
        <w:tc>
          <w:tcPr>
            <w:tcW w:w="176" w:type="pct"/>
            <w:tcBorders>
              <w:top w:val="nil"/>
              <w:left w:val="single" w:sz="4" w:space="0" w:color="auto"/>
              <w:bottom w:val="single" w:sz="4" w:space="0" w:color="auto"/>
              <w:right w:val="single" w:sz="4" w:space="0" w:color="auto"/>
            </w:tcBorders>
            <w:shd w:val="clear" w:color="auto" w:fill="auto"/>
            <w:hideMark/>
          </w:tcPr>
          <w:p w14:paraId="2A6279CC"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22</w:t>
            </w:r>
          </w:p>
        </w:tc>
        <w:tc>
          <w:tcPr>
            <w:tcW w:w="3493" w:type="pct"/>
            <w:tcBorders>
              <w:top w:val="nil"/>
              <w:left w:val="nil"/>
              <w:bottom w:val="single" w:sz="4" w:space="0" w:color="auto"/>
              <w:right w:val="single" w:sz="4" w:space="0" w:color="auto"/>
            </w:tcBorders>
            <w:shd w:val="clear" w:color="auto" w:fill="auto"/>
            <w:hideMark/>
          </w:tcPr>
          <w:p w14:paraId="1EE755F0"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Ransomware simulation should work on all the currently supported Window Operating system and later versions.</w:t>
            </w:r>
          </w:p>
        </w:tc>
        <w:tc>
          <w:tcPr>
            <w:tcW w:w="638" w:type="pct"/>
            <w:tcBorders>
              <w:top w:val="nil"/>
              <w:left w:val="nil"/>
              <w:bottom w:val="single" w:sz="4" w:space="0" w:color="auto"/>
              <w:right w:val="single" w:sz="4" w:space="0" w:color="auto"/>
            </w:tcBorders>
            <w:shd w:val="clear" w:color="auto" w:fill="auto"/>
            <w:hideMark/>
          </w:tcPr>
          <w:p w14:paraId="2BD88EF6"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3" w:type="pct"/>
            <w:tcBorders>
              <w:top w:val="nil"/>
              <w:left w:val="nil"/>
              <w:bottom w:val="single" w:sz="4" w:space="0" w:color="auto"/>
              <w:right w:val="single" w:sz="4" w:space="0" w:color="auto"/>
            </w:tcBorders>
            <w:shd w:val="clear" w:color="auto" w:fill="auto"/>
            <w:hideMark/>
          </w:tcPr>
          <w:p w14:paraId="2DF144BE"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r w:rsidR="00985D46" w:rsidRPr="00985D46" w14:paraId="3B7ED0F8" w14:textId="77777777" w:rsidTr="008E0319">
        <w:trPr>
          <w:trHeight w:val="315"/>
        </w:trPr>
        <w:tc>
          <w:tcPr>
            <w:tcW w:w="176" w:type="pct"/>
            <w:tcBorders>
              <w:top w:val="nil"/>
              <w:left w:val="single" w:sz="4" w:space="0" w:color="auto"/>
              <w:bottom w:val="single" w:sz="4" w:space="0" w:color="auto"/>
              <w:right w:val="single" w:sz="4" w:space="0" w:color="auto"/>
            </w:tcBorders>
            <w:shd w:val="clear" w:color="auto" w:fill="auto"/>
            <w:hideMark/>
          </w:tcPr>
          <w:p w14:paraId="04C08ED9"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23</w:t>
            </w:r>
          </w:p>
        </w:tc>
        <w:tc>
          <w:tcPr>
            <w:tcW w:w="3493" w:type="pct"/>
            <w:tcBorders>
              <w:top w:val="nil"/>
              <w:left w:val="nil"/>
              <w:bottom w:val="single" w:sz="4" w:space="0" w:color="auto"/>
              <w:right w:val="single" w:sz="4" w:space="0" w:color="auto"/>
            </w:tcBorders>
            <w:shd w:val="clear" w:color="auto" w:fill="auto"/>
            <w:noWrap/>
            <w:hideMark/>
          </w:tcPr>
          <w:p w14:paraId="6A34BEB8"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In Attachment-based Phishing simulation, HTML file download should be supported.</w:t>
            </w:r>
          </w:p>
        </w:tc>
        <w:tc>
          <w:tcPr>
            <w:tcW w:w="638" w:type="pct"/>
            <w:tcBorders>
              <w:top w:val="nil"/>
              <w:left w:val="nil"/>
              <w:bottom w:val="single" w:sz="4" w:space="0" w:color="auto"/>
              <w:right w:val="single" w:sz="4" w:space="0" w:color="auto"/>
            </w:tcBorders>
            <w:shd w:val="clear" w:color="auto" w:fill="auto"/>
            <w:hideMark/>
          </w:tcPr>
          <w:p w14:paraId="04859946"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3" w:type="pct"/>
            <w:tcBorders>
              <w:top w:val="nil"/>
              <w:left w:val="nil"/>
              <w:bottom w:val="single" w:sz="4" w:space="0" w:color="auto"/>
              <w:right w:val="single" w:sz="4" w:space="0" w:color="auto"/>
            </w:tcBorders>
            <w:shd w:val="clear" w:color="auto" w:fill="auto"/>
            <w:hideMark/>
          </w:tcPr>
          <w:p w14:paraId="1455D2A5"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r w:rsidR="00985D46" w:rsidRPr="00985D46" w14:paraId="46525608" w14:textId="77777777" w:rsidTr="008E0319">
        <w:trPr>
          <w:trHeight w:val="315"/>
        </w:trPr>
        <w:tc>
          <w:tcPr>
            <w:tcW w:w="176" w:type="pct"/>
            <w:tcBorders>
              <w:top w:val="nil"/>
              <w:left w:val="single" w:sz="4" w:space="0" w:color="auto"/>
              <w:bottom w:val="single" w:sz="4" w:space="0" w:color="auto"/>
              <w:right w:val="single" w:sz="4" w:space="0" w:color="auto"/>
            </w:tcBorders>
            <w:shd w:val="clear" w:color="000000" w:fill="DDEBF7"/>
            <w:hideMark/>
          </w:tcPr>
          <w:p w14:paraId="0B238972" w14:textId="77777777" w:rsidR="00985D46" w:rsidRPr="00985D46" w:rsidRDefault="00985D46" w:rsidP="00985D46">
            <w:pPr>
              <w:spacing w:after="0" w:line="240" w:lineRule="auto"/>
              <w:jc w:val="center"/>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E</w:t>
            </w:r>
          </w:p>
        </w:tc>
        <w:tc>
          <w:tcPr>
            <w:tcW w:w="3493" w:type="pct"/>
            <w:tcBorders>
              <w:top w:val="nil"/>
              <w:left w:val="nil"/>
              <w:bottom w:val="single" w:sz="4" w:space="0" w:color="auto"/>
              <w:right w:val="single" w:sz="4" w:space="0" w:color="auto"/>
            </w:tcBorders>
            <w:shd w:val="clear" w:color="000000" w:fill="DDEBF7"/>
            <w:hideMark/>
          </w:tcPr>
          <w:p w14:paraId="6D5C9B99" w14:textId="77777777" w:rsidR="00985D46" w:rsidRPr="00985D46" w:rsidRDefault="00985D46" w:rsidP="00985D46">
            <w:pPr>
              <w:spacing w:after="0" w:line="240" w:lineRule="auto"/>
              <w:rPr>
                <w:rFonts w:ascii="Calibri" w:eastAsia="Times New Roman" w:hAnsi="Calibri" w:cs="Calibri"/>
                <w:b/>
                <w:bCs/>
                <w:sz w:val="24"/>
                <w:szCs w:val="24"/>
                <w:lang w:val="en-GB" w:eastAsia="en-GB"/>
              </w:rPr>
            </w:pPr>
            <w:r w:rsidRPr="00985D46">
              <w:rPr>
                <w:rFonts w:ascii="Calibri" w:eastAsia="Times New Roman" w:hAnsi="Calibri" w:cs="Calibri"/>
                <w:b/>
                <w:bCs/>
                <w:sz w:val="24"/>
                <w:szCs w:val="24"/>
                <w:lang w:val="en-GB" w:eastAsia="en-GB"/>
              </w:rPr>
              <w:t>Regarding Simulation of Smishing:</w:t>
            </w:r>
          </w:p>
        </w:tc>
        <w:tc>
          <w:tcPr>
            <w:tcW w:w="638" w:type="pct"/>
            <w:tcBorders>
              <w:top w:val="nil"/>
              <w:left w:val="nil"/>
              <w:bottom w:val="single" w:sz="4" w:space="0" w:color="auto"/>
              <w:right w:val="single" w:sz="4" w:space="0" w:color="auto"/>
            </w:tcBorders>
            <w:shd w:val="clear" w:color="000000" w:fill="DDEBF7"/>
            <w:hideMark/>
          </w:tcPr>
          <w:p w14:paraId="14CA3DD6" w14:textId="77777777" w:rsidR="00985D46" w:rsidRPr="00985D46" w:rsidRDefault="00985D46" w:rsidP="00985D46">
            <w:pPr>
              <w:spacing w:after="0" w:line="240" w:lineRule="auto"/>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 </w:t>
            </w:r>
          </w:p>
        </w:tc>
        <w:tc>
          <w:tcPr>
            <w:tcW w:w="693" w:type="pct"/>
            <w:tcBorders>
              <w:top w:val="nil"/>
              <w:left w:val="nil"/>
              <w:bottom w:val="single" w:sz="4" w:space="0" w:color="auto"/>
              <w:right w:val="single" w:sz="4" w:space="0" w:color="auto"/>
            </w:tcBorders>
            <w:shd w:val="clear" w:color="000000" w:fill="DDEBF7"/>
            <w:hideMark/>
          </w:tcPr>
          <w:p w14:paraId="2DB2FAF5" w14:textId="77777777" w:rsidR="00985D46" w:rsidRPr="00985D46" w:rsidRDefault="00985D46" w:rsidP="00985D46">
            <w:pPr>
              <w:spacing w:after="0" w:line="240" w:lineRule="auto"/>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 </w:t>
            </w:r>
          </w:p>
        </w:tc>
      </w:tr>
      <w:tr w:rsidR="00985D46" w:rsidRPr="00985D46" w14:paraId="22B965F9"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5FBB4041"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24</w:t>
            </w:r>
          </w:p>
        </w:tc>
        <w:tc>
          <w:tcPr>
            <w:tcW w:w="3493" w:type="pct"/>
            <w:tcBorders>
              <w:top w:val="nil"/>
              <w:left w:val="nil"/>
              <w:bottom w:val="single" w:sz="4" w:space="0" w:color="auto"/>
              <w:right w:val="single" w:sz="4" w:space="0" w:color="auto"/>
            </w:tcBorders>
            <w:shd w:val="clear" w:color="auto" w:fill="auto"/>
            <w:hideMark/>
          </w:tcPr>
          <w:p w14:paraId="2D9CE52A"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Over the same platform of Offered solution should have option to simulate Smishing where solution will initiate the SMS to the set of users (as per user list available) with customizable text and internet link corresponding to a webpage.</w:t>
            </w:r>
          </w:p>
        </w:tc>
        <w:tc>
          <w:tcPr>
            <w:tcW w:w="638" w:type="pct"/>
            <w:tcBorders>
              <w:top w:val="nil"/>
              <w:left w:val="nil"/>
              <w:bottom w:val="single" w:sz="4" w:space="0" w:color="auto"/>
              <w:right w:val="single" w:sz="4" w:space="0" w:color="auto"/>
            </w:tcBorders>
            <w:shd w:val="clear" w:color="auto" w:fill="auto"/>
            <w:hideMark/>
          </w:tcPr>
          <w:p w14:paraId="77105725"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48EC0CF1"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51346961" w14:textId="77777777" w:rsidTr="008E0319">
        <w:trPr>
          <w:trHeight w:val="300"/>
        </w:trPr>
        <w:tc>
          <w:tcPr>
            <w:tcW w:w="176" w:type="pct"/>
            <w:tcBorders>
              <w:top w:val="nil"/>
              <w:left w:val="single" w:sz="4" w:space="0" w:color="auto"/>
              <w:bottom w:val="single" w:sz="4" w:space="0" w:color="auto"/>
              <w:right w:val="single" w:sz="4" w:space="0" w:color="auto"/>
            </w:tcBorders>
            <w:shd w:val="clear" w:color="auto" w:fill="auto"/>
            <w:hideMark/>
          </w:tcPr>
          <w:p w14:paraId="3D89D4ED"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25</w:t>
            </w:r>
          </w:p>
        </w:tc>
        <w:tc>
          <w:tcPr>
            <w:tcW w:w="3493" w:type="pct"/>
            <w:tcBorders>
              <w:top w:val="nil"/>
              <w:left w:val="nil"/>
              <w:bottom w:val="single" w:sz="4" w:space="0" w:color="auto"/>
              <w:right w:val="single" w:sz="4" w:space="0" w:color="auto"/>
            </w:tcBorders>
            <w:shd w:val="clear" w:color="auto" w:fill="auto"/>
            <w:hideMark/>
          </w:tcPr>
          <w:p w14:paraId="6BBA6F46"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Embedded link in the SMS should be accessible over the internet.</w:t>
            </w:r>
          </w:p>
        </w:tc>
        <w:tc>
          <w:tcPr>
            <w:tcW w:w="638" w:type="pct"/>
            <w:tcBorders>
              <w:top w:val="nil"/>
              <w:left w:val="nil"/>
              <w:bottom w:val="single" w:sz="4" w:space="0" w:color="auto"/>
              <w:right w:val="single" w:sz="4" w:space="0" w:color="auto"/>
            </w:tcBorders>
            <w:shd w:val="clear" w:color="auto" w:fill="auto"/>
            <w:hideMark/>
          </w:tcPr>
          <w:p w14:paraId="6A4BAED6"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747F42D9"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0B2E531E" w14:textId="77777777" w:rsidTr="008E0319">
        <w:trPr>
          <w:trHeight w:val="300"/>
        </w:trPr>
        <w:tc>
          <w:tcPr>
            <w:tcW w:w="176" w:type="pct"/>
            <w:tcBorders>
              <w:top w:val="nil"/>
              <w:left w:val="single" w:sz="4" w:space="0" w:color="auto"/>
              <w:bottom w:val="single" w:sz="4" w:space="0" w:color="auto"/>
              <w:right w:val="single" w:sz="4" w:space="0" w:color="auto"/>
            </w:tcBorders>
            <w:shd w:val="clear" w:color="auto" w:fill="auto"/>
            <w:hideMark/>
          </w:tcPr>
          <w:p w14:paraId="62BB9377"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26</w:t>
            </w:r>
          </w:p>
        </w:tc>
        <w:tc>
          <w:tcPr>
            <w:tcW w:w="3493" w:type="pct"/>
            <w:tcBorders>
              <w:top w:val="nil"/>
              <w:left w:val="nil"/>
              <w:bottom w:val="single" w:sz="4" w:space="0" w:color="auto"/>
              <w:right w:val="single" w:sz="4" w:space="0" w:color="auto"/>
            </w:tcBorders>
            <w:shd w:val="clear" w:color="auto" w:fill="auto"/>
            <w:hideMark/>
          </w:tcPr>
          <w:p w14:paraId="51152547"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Approving the text of SMS from the competent bodies of telecom office is in scope of CBI.</w:t>
            </w:r>
          </w:p>
        </w:tc>
        <w:tc>
          <w:tcPr>
            <w:tcW w:w="638" w:type="pct"/>
            <w:tcBorders>
              <w:top w:val="nil"/>
              <w:left w:val="nil"/>
              <w:bottom w:val="single" w:sz="4" w:space="0" w:color="auto"/>
              <w:right w:val="single" w:sz="4" w:space="0" w:color="auto"/>
            </w:tcBorders>
            <w:shd w:val="clear" w:color="auto" w:fill="auto"/>
            <w:hideMark/>
          </w:tcPr>
          <w:p w14:paraId="334407F5"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53F222CF"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62D90EB4"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0B37594E"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27</w:t>
            </w:r>
          </w:p>
        </w:tc>
        <w:tc>
          <w:tcPr>
            <w:tcW w:w="3493" w:type="pct"/>
            <w:tcBorders>
              <w:top w:val="nil"/>
              <w:left w:val="nil"/>
              <w:bottom w:val="single" w:sz="4" w:space="0" w:color="auto"/>
              <w:right w:val="single" w:sz="4" w:space="0" w:color="auto"/>
            </w:tcBorders>
            <w:shd w:val="clear" w:color="auto" w:fill="auto"/>
            <w:hideMark/>
          </w:tcPr>
          <w:p w14:paraId="6569A9AD"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Offered solution should have option to customize the landing page or create a fresh landing page corresponding to the Smishing and as per CBI requirement. Landing page to be accessed from Internet Only.</w:t>
            </w:r>
          </w:p>
        </w:tc>
        <w:tc>
          <w:tcPr>
            <w:tcW w:w="638" w:type="pct"/>
            <w:tcBorders>
              <w:top w:val="nil"/>
              <w:left w:val="nil"/>
              <w:bottom w:val="single" w:sz="4" w:space="0" w:color="auto"/>
              <w:right w:val="single" w:sz="4" w:space="0" w:color="auto"/>
            </w:tcBorders>
            <w:shd w:val="clear" w:color="auto" w:fill="auto"/>
            <w:hideMark/>
          </w:tcPr>
          <w:p w14:paraId="219F2F5C"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72E8AA45"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2DBBDAD1" w14:textId="77777777" w:rsidTr="008E0319">
        <w:trPr>
          <w:trHeight w:val="315"/>
        </w:trPr>
        <w:tc>
          <w:tcPr>
            <w:tcW w:w="176" w:type="pct"/>
            <w:tcBorders>
              <w:top w:val="nil"/>
              <w:left w:val="single" w:sz="4" w:space="0" w:color="auto"/>
              <w:bottom w:val="single" w:sz="4" w:space="0" w:color="auto"/>
              <w:right w:val="single" w:sz="4" w:space="0" w:color="auto"/>
            </w:tcBorders>
            <w:shd w:val="clear" w:color="000000" w:fill="DDEBF7"/>
            <w:hideMark/>
          </w:tcPr>
          <w:p w14:paraId="3C15F020" w14:textId="77777777" w:rsidR="00985D46" w:rsidRPr="00985D46" w:rsidRDefault="00985D46" w:rsidP="00985D46">
            <w:pPr>
              <w:spacing w:after="0" w:line="240" w:lineRule="auto"/>
              <w:jc w:val="center"/>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F</w:t>
            </w:r>
          </w:p>
        </w:tc>
        <w:tc>
          <w:tcPr>
            <w:tcW w:w="3493" w:type="pct"/>
            <w:tcBorders>
              <w:top w:val="nil"/>
              <w:left w:val="nil"/>
              <w:bottom w:val="single" w:sz="4" w:space="0" w:color="auto"/>
              <w:right w:val="single" w:sz="4" w:space="0" w:color="auto"/>
            </w:tcBorders>
            <w:shd w:val="clear" w:color="000000" w:fill="DDEBF7"/>
            <w:hideMark/>
          </w:tcPr>
          <w:p w14:paraId="30A9C235" w14:textId="77777777" w:rsidR="00985D46" w:rsidRPr="00985D46" w:rsidRDefault="00985D46" w:rsidP="00985D46">
            <w:pPr>
              <w:spacing w:after="0" w:line="240" w:lineRule="auto"/>
              <w:rPr>
                <w:rFonts w:ascii="Calibri" w:eastAsia="Times New Roman" w:hAnsi="Calibri" w:cs="Calibri"/>
                <w:b/>
                <w:bCs/>
                <w:sz w:val="24"/>
                <w:szCs w:val="24"/>
                <w:lang w:val="en-GB" w:eastAsia="en-GB"/>
              </w:rPr>
            </w:pPr>
            <w:r w:rsidRPr="00985D46">
              <w:rPr>
                <w:rFonts w:ascii="Calibri" w:eastAsia="Times New Roman" w:hAnsi="Calibri" w:cs="Calibri"/>
                <w:b/>
                <w:bCs/>
                <w:sz w:val="24"/>
                <w:szCs w:val="24"/>
                <w:lang w:val="en-GB" w:eastAsia="en-GB"/>
              </w:rPr>
              <w:t>Regarding Simulation of Vishing:</w:t>
            </w:r>
          </w:p>
        </w:tc>
        <w:tc>
          <w:tcPr>
            <w:tcW w:w="638" w:type="pct"/>
            <w:tcBorders>
              <w:top w:val="nil"/>
              <w:left w:val="nil"/>
              <w:bottom w:val="single" w:sz="4" w:space="0" w:color="auto"/>
              <w:right w:val="single" w:sz="4" w:space="0" w:color="auto"/>
            </w:tcBorders>
            <w:shd w:val="clear" w:color="000000" w:fill="DDEBF7"/>
            <w:hideMark/>
          </w:tcPr>
          <w:p w14:paraId="7B8C4923" w14:textId="77777777" w:rsidR="00985D46" w:rsidRPr="00985D46" w:rsidRDefault="00985D46" w:rsidP="00985D46">
            <w:pPr>
              <w:spacing w:after="0" w:line="240" w:lineRule="auto"/>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 </w:t>
            </w:r>
          </w:p>
        </w:tc>
        <w:tc>
          <w:tcPr>
            <w:tcW w:w="693" w:type="pct"/>
            <w:tcBorders>
              <w:top w:val="nil"/>
              <w:left w:val="nil"/>
              <w:bottom w:val="single" w:sz="4" w:space="0" w:color="auto"/>
              <w:right w:val="single" w:sz="4" w:space="0" w:color="auto"/>
            </w:tcBorders>
            <w:shd w:val="clear" w:color="000000" w:fill="DDEBF7"/>
            <w:hideMark/>
          </w:tcPr>
          <w:p w14:paraId="4FDEB468" w14:textId="77777777" w:rsidR="00985D46" w:rsidRPr="00985D46" w:rsidRDefault="00985D46" w:rsidP="00985D46">
            <w:pPr>
              <w:spacing w:after="0" w:line="240" w:lineRule="auto"/>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 </w:t>
            </w:r>
          </w:p>
        </w:tc>
      </w:tr>
      <w:tr w:rsidR="00985D46" w:rsidRPr="00985D46" w14:paraId="7F12BA38"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1AC64005"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lastRenderedPageBreak/>
              <w:t>28</w:t>
            </w:r>
          </w:p>
        </w:tc>
        <w:tc>
          <w:tcPr>
            <w:tcW w:w="3493" w:type="pct"/>
            <w:tcBorders>
              <w:top w:val="nil"/>
              <w:left w:val="nil"/>
              <w:bottom w:val="single" w:sz="4" w:space="0" w:color="auto"/>
              <w:right w:val="single" w:sz="4" w:space="0" w:color="auto"/>
            </w:tcBorders>
            <w:shd w:val="clear" w:color="auto" w:fill="auto"/>
            <w:hideMark/>
          </w:tcPr>
          <w:p w14:paraId="4292CD38" w14:textId="114D1ECC"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Over the same platform of Offered solution should have option to simulate Vishing where solution will initiate the pre-recorded voice-calls to the set</w:t>
            </w:r>
            <w:r w:rsidR="00342ED2">
              <w:rPr>
                <w:rFonts w:ascii="Calibri" w:eastAsia="Times New Roman" w:hAnsi="Calibri" w:cs="Calibri"/>
                <w:sz w:val="20"/>
                <w:szCs w:val="20"/>
                <w:lang w:val="en-GB" w:eastAsia="en-GB"/>
              </w:rPr>
              <w:t xml:space="preserve"> </w:t>
            </w:r>
            <w:r w:rsidRPr="00985D46">
              <w:rPr>
                <w:rFonts w:ascii="Calibri" w:eastAsia="Times New Roman" w:hAnsi="Calibri" w:cs="Calibri"/>
                <w:sz w:val="20"/>
                <w:szCs w:val="20"/>
                <w:lang w:val="en-GB" w:eastAsia="en-GB"/>
              </w:rPr>
              <w:t>of users (as per user list available) and ask the corresponding users to</w:t>
            </w:r>
            <w:r w:rsidR="00342ED2">
              <w:rPr>
                <w:rFonts w:ascii="Calibri" w:eastAsia="Times New Roman" w:hAnsi="Calibri" w:cs="Calibri"/>
                <w:sz w:val="20"/>
                <w:szCs w:val="20"/>
                <w:lang w:val="en-GB" w:eastAsia="en-GB"/>
              </w:rPr>
              <w:t xml:space="preserve"> </w:t>
            </w:r>
            <w:r w:rsidRPr="00985D46">
              <w:rPr>
                <w:rFonts w:ascii="Calibri" w:eastAsia="Times New Roman" w:hAnsi="Calibri" w:cs="Calibri"/>
                <w:sz w:val="20"/>
                <w:szCs w:val="20"/>
                <w:lang w:val="en-GB" w:eastAsia="en-GB"/>
              </w:rPr>
              <w:t>submit the response through numeric input.</w:t>
            </w:r>
          </w:p>
        </w:tc>
        <w:tc>
          <w:tcPr>
            <w:tcW w:w="638" w:type="pct"/>
            <w:tcBorders>
              <w:top w:val="nil"/>
              <w:left w:val="nil"/>
              <w:bottom w:val="single" w:sz="4" w:space="0" w:color="auto"/>
              <w:right w:val="single" w:sz="4" w:space="0" w:color="auto"/>
            </w:tcBorders>
            <w:shd w:val="clear" w:color="auto" w:fill="auto"/>
            <w:hideMark/>
          </w:tcPr>
          <w:p w14:paraId="14D7A92D"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3081CFEE"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6E82B4D7" w14:textId="77777777" w:rsidTr="008E0319">
        <w:trPr>
          <w:trHeight w:val="315"/>
        </w:trPr>
        <w:tc>
          <w:tcPr>
            <w:tcW w:w="176" w:type="pct"/>
            <w:tcBorders>
              <w:top w:val="nil"/>
              <w:left w:val="single" w:sz="4" w:space="0" w:color="auto"/>
              <w:bottom w:val="single" w:sz="4" w:space="0" w:color="auto"/>
              <w:right w:val="single" w:sz="4" w:space="0" w:color="auto"/>
            </w:tcBorders>
            <w:shd w:val="clear" w:color="000000" w:fill="DDEBF7"/>
            <w:hideMark/>
          </w:tcPr>
          <w:p w14:paraId="0C7EF19B" w14:textId="77777777" w:rsidR="00985D46" w:rsidRPr="00985D46" w:rsidRDefault="00985D46" w:rsidP="00985D46">
            <w:pPr>
              <w:spacing w:after="0" w:line="240" w:lineRule="auto"/>
              <w:jc w:val="center"/>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G</w:t>
            </w:r>
          </w:p>
        </w:tc>
        <w:tc>
          <w:tcPr>
            <w:tcW w:w="3493" w:type="pct"/>
            <w:tcBorders>
              <w:top w:val="nil"/>
              <w:left w:val="nil"/>
              <w:bottom w:val="single" w:sz="4" w:space="0" w:color="auto"/>
              <w:right w:val="single" w:sz="4" w:space="0" w:color="auto"/>
            </w:tcBorders>
            <w:shd w:val="clear" w:color="000000" w:fill="DDEBF7"/>
            <w:hideMark/>
          </w:tcPr>
          <w:p w14:paraId="7D077323" w14:textId="77777777" w:rsidR="00985D46" w:rsidRPr="00985D46" w:rsidRDefault="00985D46" w:rsidP="00985D46">
            <w:pPr>
              <w:spacing w:after="0" w:line="240" w:lineRule="auto"/>
              <w:rPr>
                <w:rFonts w:ascii="Calibri" w:eastAsia="Times New Roman" w:hAnsi="Calibri" w:cs="Calibri"/>
                <w:b/>
                <w:bCs/>
                <w:sz w:val="24"/>
                <w:szCs w:val="24"/>
                <w:lang w:val="en-GB" w:eastAsia="en-GB"/>
              </w:rPr>
            </w:pPr>
            <w:r w:rsidRPr="00985D46">
              <w:rPr>
                <w:rFonts w:ascii="Calibri" w:eastAsia="Times New Roman" w:hAnsi="Calibri" w:cs="Calibri"/>
                <w:b/>
                <w:bCs/>
                <w:sz w:val="24"/>
                <w:szCs w:val="24"/>
                <w:lang w:val="en-GB" w:eastAsia="en-GB"/>
              </w:rPr>
              <w:t>Regarding Learning Awareness module for Users:</w:t>
            </w:r>
          </w:p>
        </w:tc>
        <w:tc>
          <w:tcPr>
            <w:tcW w:w="638" w:type="pct"/>
            <w:tcBorders>
              <w:top w:val="nil"/>
              <w:left w:val="nil"/>
              <w:bottom w:val="single" w:sz="4" w:space="0" w:color="auto"/>
              <w:right w:val="single" w:sz="4" w:space="0" w:color="auto"/>
            </w:tcBorders>
            <w:shd w:val="clear" w:color="000000" w:fill="DDEBF7"/>
            <w:hideMark/>
          </w:tcPr>
          <w:p w14:paraId="21D90FE3" w14:textId="77777777" w:rsidR="00985D46" w:rsidRPr="00985D46" w:rsidRDefault="00985D46" w:rsidP="00985D46">
            <w:pPr>
              <w:spacing w:after="0" w:line="240" w:lineRule="auto"/>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 </w:t>
            </w:r>
          </w:p>
        </w:tc>
        <w:tc>
          <w:tcPr>
            <w:tcW w:w="693" w:type="pct"/>
            <w:tcBorders>
              <w:top w:val="nil"/>
              <w:left w:val="nil"/>
              <w:bottom w:val="single" w:sz="4" w:space="0" w:color="auto"/>
              <w:right w:val="single" w:sz="4" w:space="0" w:color="auto"/>
            </w:tcBorders>
            <w:shd w:val="clear" w:color="000000" w:fill="DDEBF7"/>
            <w:hideMark/>
          </w:tcPr>
          <w:p w14:paraId="1F4328D8" w14:textId="77777777" w:rsidR="00985D46" w:rsidRPr="00985D46" w:rsidRDefault="00985D46" w:rsidP="00985D46">
            <w:pPr>
              <w:spacing w:after="0" w:line="240" w:lineRule="auto"/>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 </w:t>
            </w:r>
          </w:p>
        </w:tc>
      </w:tr>
      <w:tr w:rsidR="00985D46" w:rsidRPr="00985D46" w14:paraId="348255A9"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27609C29"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29</w:t>
            </w:r>
          </w:p>
        </w:tc>
        <w:tc>
          <w:tcPr>
            <w:tcW w:w="3493" w:type="pct"/>
            <w:tcBorders>
              <w:top w:val="nil"/>
              <w:left w:val="nil"/>
              <w:bottom w:val="single" w:sz="4" w:space="0" w:color="auto"/>
              <w:right w:val="single" w:sz="4" w:space="0" w:color="auto"/>
            </w:tcBorders>
            <w:shd w:val="clear" w:color="auto" w:fill="auto"/>
            <w:hideMark/>
          </w:tcPr>
          <w:p w14:paraId="405394B4"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Offered solution should have learning module for users, module shall consist of video tutorials, PDFs, Infographics tutorials and presentations followed by Quiz exercises.</w:t>
            </w:r>
          </w:p>
        </w:tc>
        <w:tc>
          <w:tcPr>
            <w:tcW w:w="638" w:type="pct"/>
            <w:tcBorders>
              <w:top w:val="nil"/>
              <w:left w:val="nil"/>
              <w:bottom w:val="single" w:sz="4" w:space="0" w:color="auto"/>
              <w:right w:val="single" w:sz="4" w:space="0" w:color="auto"/>
            </w:tcBorders>
            <w:shd w:val="clear" w:color="auto" w:fill="auto"/>
            <w:hideMark/>
          </w:tcPr>
          <w:p w14:paraId="617CA5FD"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05F8CAA2"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1F66BBF8"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071CFFB4"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30</w:t>
            </w:r>
          </w:p>
        </w:tc>
        <w:tc>
          <w:tcPr>
            <w:tcW w:w="3493" w:type="pct"/>
            <w:tcBorders>
              <w:top w:val="nil"/>
              <w:left w:val="nil"/>
              <w:bottom w:val="single" w:sz="4" w:space="0" w:color="auto"/>
              <w:right w:val="single" w:sz="4" w:space="0" w:color="auto"/>
            </w:tcBorders>
            <w:shd w:val="clear" w:color="auto" w:fill="auto"/>
            <w:hideMark/>
          </w:tcPr>
          <w:p w14:paraId="7E8A3E8E"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Consider specifying SCORM (Sharable Content Object Reference Model) version compatibility (e.g., SCORM 1.2, SCORM 2004) and/or support for xAPI (Tin Can API) for broader compatibility.</w:t>
            </w:r>
          </w:p>
        </w:tc>
        <w:tc>
          <w:tcPr>
            <w:tcW w:w="638" w:type="pct"/>
            <w:tcBorders>
              <w:top w:val="nil"/>
              <w:left w:val="nil"/>
              <w:bottom w:val="single" w:sz="4" w:space="0" w:color="auto"/>
              <w:right w:val="single" w:sz="4" w:space="0" w:color="auto"/>
            </w:tcBorders>
            <w:shd w:val="clear" w:color="auto" w:fill="auto"/>
            <w:hideMark/>
          </w:tcPr>
          <w:p w14:paraId="188EC733"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387C9B83"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5BDC93C4" w14:textId="77777777" w:rsidTr="008E0319">
        <w:trPr>
          <w:trHeight w:val="300"/>
        </w:trPr>
        <w:tc>
          <w:tcPr>
            <w:tcW w:w="176" w:type="pct"/>
            <w:tcBorders>
              <w:top w:val="nil"/>
              <w:left w:val="single" w:sz="4" w:space="0" w:color="auto"/>
              <w:bottom w:val="single" w:sz="4" w:space="0" w:color="auto"/>
              <w:right w:val="single" w:sz="4" w:space="0" w:color="auto"/>
            </w:tcBorders>
            <w:shd w:val="clear" w:color="auto" w:fill="auto"/>
            <w:hideMark/>
          </w:tcPr>
          <w:p w14:paraId="4345E898"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31</w:t>
            </w:r>
          </w:p>
        </w:tc>
        <w:tc>
          <w:tcPr>
            <w:tcW w:w="3493" w:type="pct"/>
            <w:tcBorders>
              <w:top w:val="nil"/>
              <w:left w:val="nil"/>
              <w:bottom w:val="single" w:sz="4" w:space="0" w:color="auto"/>
              <w:right w:val="single" w:sz="4" w:space="0" w:color="auto"/>
            </w:tcBorders>
            <w:shd w:val="clear" w:color="auto" w:fill="auto"/>
            <w:hideMark/>
          </w:tcPr>
          <w:p w14:paraId="6BF8DE57"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should have infographics available in multiple language.</w:t>
            </w:r>
          </w:p>
        </w:tc>
        <w:tc>
          <w:tcPr>
            <w:tcW w:w="638" w:type="pct"/>
            <w:tcBorders>
              <w:top w:val="nil"/>
              <w:left w:val="nil"/>
              <w:bottom w:val="single" w:sz="4" w:space="0" w:color="auto"/>
              <w:right w:val="single" w:sz="4" w:space="0" w:color="auto"/>
            </w:tcBorders>
            <w:shd w:val="clear" w:color="auto" w:fill="auto"/>
            <w:hideMark/>
          </w:tcPr>
          <w:p w14:paraId="4576A89D"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742F765C"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1DE310AA"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381DB938"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32</w:t>
            </w:r>
          </w:p>
        </w:tc>
        <w:tc>
          <w:tcPr>
            <w:tcW w:w="3493" w:type="pct"/>
            <w:tcBorders>
              <w:top w:val="nil"/>
              <w:left w:val="nil"/>
              <w:bottom w:val="single" w:sz="4" w:space="0" w:color="auto"/>
              <w:right w:val="single" w:sz="4" w:space="0" w:color="auto"/>
            </w:tcBorders>
            <w:shd w:val="clear" w:color="auto" w:fill="auto"/>
            <w:hideMark/>
          </w:tcPr>
          <w:p w14:paraId="67576C36"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should have 500+ content in total available in multiple categories such as Time saver, Posters, Wallpaper, Comic Stripes, Newsletter, Infographics etc.</w:t>
            </w:r>
          </w:p>
        </w:tc>
        <w:tc>
          <w:tcPr>
            <w:tcW w:w="638" w:type="pct"/>
            <w:tcBorders>
              <w:top w:val="nil"/>
              <w:left w:val="nil"/>
              <w:bottom w:val="single" w:sz="4" w:space="0" w:color="auto"/>
              <w:right w:val="single" w:sz="4" w:space="0" w:color="auto"/>
            </w:tcBorders>
            <w:shd w:val="clear" w:color="auto" w:fill="auto"/>
            <w:hideMark/>
          </w:tcPr>
          <w:p w14:paraId="1FDF4FC7"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550437F2"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17D161CA"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2B0303C1"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33</w:t>
            </w:r>
          </w:p>
        </w:tc>
        <w:tc>
          <w:tcPr>
            <w:tcW w:w="3493" w:type="pct"/>
            <w:tcBorders>
              <w:top w:val="nil"/>
              <w:left w:val="nil"/>
              <w:bottom w:val="single" w:sz="4" w:space="0" w:color="auto"/>
              <w:right w:val="single" w:sz="4" w:space="0" w:color="auto"/>
            </w:tcBorders>
            <w:shd w:val="clear" w:color="auto" w:fill="auto"/>
            <w:hideMark/>
          </w:tcPr>
          <w:p w14:paraId="2DB3CD38"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should ensure that screen savers and wallpapers adhere to CBI’s brand guidelines and are updated regularly with current security themes.</w:t>
            </w:r>
          </w:p>
        </w:tc>
        <w:tc>
          <w:tcPr>
            <w:tcW w:w="638" w:type="pct"/>
            <w:tcBorders>
              <w:top w:val="nil"/>
              <w:left w:val="nil"/>
              <w:bottom w:val="single" w:sz="4" w:space="0" w:color="auto"/>
              <w:right w:val="single" w:sz="4" w:space="0" w:color="auto"/>
            </w:tcBorders>
            <w:shd w:val="clear" w:color="auto" w:fill="auto"/>
            <w:hideMark/>
          </w:tcPr>
          <w:p w14:paraId="65D4A978"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2A764F6A"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4F3623D6" w14:textId="77777777" w:rsidTr="008E0319">
        <w:trPr>
          <w:trHeight w:val="300"/>
        </w:trPr>
        <w:tc>
          <w:tcPr>
            <w:tcW w:w="176" w:type="pct"/>
            <w:tcBorders>
              <w:top w:val="nil"/>
              <w:left w:val="single" w:sz="4" w:space="0" w:color="auto"/>
              <w:bottom w:val="single" w:sz="4" w:space="0" w:color="auto"/>
              <w:right w:val="single" w:sz="4" w:space="0" w:color="auto"/>
            </w:tcBorders>
            <w:shd w:val="clear" w:color="auto" w:fill="auto"/>
            <w:hideMark/>
          </w:tcPr>
          <w:p w14:paraId="56A13269"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34</w:t>
            </w:r>
          </w:p>
        </w:tc>
        <w:tc>
          <w:tcPr>
            <w:tcW w:w="3493" w:type="pct"/>
            <w:tcBorders>
              <w:top w:val="nil"/>
              <w:left w:val="nil"/>
              <w:bottom w:val="single" w:sz="4" w:space="0" w:color="auto"/>
              <w:right w:val="single" w:sz="4" w:space="0" w:color="auto"/>
            </w:tcBorders>
            <w:shd w:val="clear" w:color="auto" w:fill="auto"/>
            <w:hideMark/>
          </w:tcPr>
          <w:p w14:paraId="0117D08C"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should be capable of custom SMTP configuration for sending the training emails.</w:t>
            </w:r>
          </w:p>
        </w:tc>
        <w:tc>
          <w:tcPr>
            <w:tcW w:w="638" w:type="pct"/>
            <w:tcBorders>
              <w:top w:val="nil"/>
              <w:left w:val="nil"/>
              <w:bottom w:val="single" w:sz="4" w:space="0" w:color="auto"/>
              <w:right w:val="single" w:sz="4" w:space="0" w:color="auto"/>
            </w:tcBorders>
            <w:shd w:val="clear" w:color="auto" w:fill="auto"/>
            <w:hideMark/>
          </w:tcPr>
          <w:p w14:paraId="09A83BA4"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1604BF93"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1A707945" w14:textId="77777777" w:rsidTr="008E0319">
        <w:trPr>
          <w:trHeight w:val="300"/>
        </w:trPr>
        <w:tc>
          <w:tcPr>
            <w:tcW w:w="176" w:type="pct"/>
            <w:tcBorders>
              <w:top w:val="nil"/>
              <w:left w:val="single" w:sz="4" w:space="0" w:color="auto"/>
              <w:bottom w:val="single" w:sz="4" w:space="0" w:color="auto"/>
              <w:right w:val="single" w:sz="4" w:space="0" w:color="auto"/>
            </w:tcBorders>
            <w:shd w:val="clear" w:color="auto" w:fill="auto"/>
            <w:hideMark/>
          </w:tcPr>
          <w:p w14:paraId="6B099820"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35</w:t>
            </w:r>
          </w:p>
        </w:tc>
        <w:tc>
          <w:tcPr>
            <w:tcW w:w="3493" w:type="pct"/>
            <w:tcBorders>
              <w:top w:val="nil"/>
              <w:left w:val="nil"/>
              <w:bottom w:val="single" w:sz="4" w:space="0" w:color="auto"/>
              <w:right w:val="single" w:sz="4" w:space="0" w:color="auto"/>
            </w:tcBorders>
            <w:shd w:val="clear" w:color="auto" w:fill="auto"/>
            <w:hideMark/>
          </w:tcPr>
          <w:p w14:paraId="6A1E01CD"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should be capable of customizing the course completion certificate within the tool itself with logo and signature.</w:t>
            </w:r>
          </w:p>
        </w:tc>
        <w:tc>
          <w:tcPr>
            <w:tcW w:w="638" w:type="pct"/>
            <w:tcBorders>
              <w:top w:val="nil"/>
              <w:left w:val="nil"/>
              <w:bottom w:val="single" w:sz="4" w:space="0" w:color="auto"/>
              <w:right w:val="single" w:sz="4" w:space="0" w:color="auto"/>
            </w:tcBorders>
            <w:shd w:val="clear" w:color="auto" w:fill="auto"/>
            <w:hideMark/>
          </w:tcPr>
          <w:p w14:paraId="1C38112F"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2DF7E748"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6D138FF3"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67E903D0"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36</w:t>
            </w:r>
          </w:p>
        </w:tc>
        <w:tc>
          <w:tcPr>
            <w:tcW w:w="3493" w:type="pct"/>
            <w:tcBorders>
              <w:top w:val="nil"/>
              <w:left w:val="nil"/>
              <w:bottom w:val="single" w:sz="4" w:space="0" w:color="auto"/>
              <w:right w:val="single" w:sz="4" w:space="0" w:color="auto"/>
            </w:tcBorders>
            <w:shd w:val="clear" w:color="auto" w:fill="auto"/>
            <w:hideMark/>
          </w:tcPr>
          <w:p w14:paraId="714421CB"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should be capable to auto-generate completion certificate (soft-copy) preferably digital signature options to the users who successfully complete the training exercise/quizzes.</w:t>
            </w:r>
          </w:p>
        </w:tc>
        <w:tc>
          <w:tcPr>
            <w:tcW w:w="638" w:type="pct"/>
            <w:tcBorders>
              <w:top w:val="nil"/>
              <w:left w:val="nil"/>
              <w:bottom w:val="single" w:sz="4" w:space="0" w:color="auto"/>
              <w:right w:val="single" w:sz="4" w:space="0" w:color="auto"/>
            </w:tcBorders>
            <w:shd w:val="clear" w:color="auto" w:fill="auto"/>
            <w:hideMark/>
          </w:tcPr>
          <w:p w14:paraId="5DD163C7"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44EDAD06"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4E3CFB28" w14:textId="77777777" w:rsidTr="008E0319">
        <w:trPr>
          <w:trHeight w:val="300"/>
        </w:trPr>
        <w:tc>
          <w:tcPr>
            <w:tcW w:w="176" w:type="pct"/>
            <w:tcBorders>
              <w:top w:val="nil"/>
              <w:left w:val="single" w:sz="4" w:space="0" w:color="auto"/>
              <w:bottom w:val="single" w:sz="4" w:space="0" w:color="auto"/>
              <w:right w:val="single" w:sz="4" w:space="0" w:color="auto"/>
            </w:tcBorders>
            <w:shd w:val="clear" w:color="auto" w:fill="auto"/>
            <w:hideMark/>
          </w:tcPr>
          <w:p w14:paraId="22865624"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37</w:t>
            </w:r>
          </w:p>
        </w:tc>
        <w:tc>
          <w:tcPr>
            <w:tcW w:w="3493" w:type="pct"/>
            <w:tcBorders>
              <w:top w:val="nil"/>
              <w:left w:val="nil"/>
              <w:bottom w:val="single" w:sz="4" w:space="0" w:color="auto"/>
              <w:right w:val="single" w:sz="4" w:space="0" w:color="auto"/>
            </w:tcBorders>
            <w:shd w:val="clear" w:color="auto" w:fill="auto"/>
            <w:hideMark/>
          </w:tcPr>
          <w:p w14:paraId="16A3561B"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should have option for adding the organization’s own content and to conduct awareness sessions and quizzes.</w:t>
            </w:r>
          </w:p>
        </w:tc>
        <w:tc>
          <w:tcPr>
            <w:tcW w:w="638" w:type="pct"/>
            <w:tcBorders>
              <w:top w:val="nil"/>
              <w:left w:val="nil"/>
              <w:bottom w:val="single" w:sz="4" w:space="0" w:color="auto"/>
              <w:right w:val="single" w:sz="4" w:space="0" w:color="auto"/>
            </w:tcBorders>
            <w:shd w:val="clear" w:color="auto" w:fill="auto"/>
            <w:hideMark/>
          </w:tcPr>
          <w:p w14:paraId="132B1809"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7745DD05"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40412F8D" w14:textId="77777777" w:rsidTr="008E0319">
        <w:trPr>
          <w:trHeight w:val="300"/>
        </w:trPr>
        <w:tc>
          <w:tcPr>
            <w:tcW w:w="176" w:type="pct"/>
            <w:tcBorders>
              <w:top w:val="nil"/>
              <w:left w:val="single" w:sz="4" w:space="0" w:color="auto"/>
              <w:bottom w:val="single" w:sz="4" w:space="0" w:color="auto"/>
              <w:right w:val="single" w:sz="4" w:space="0" w:color="auto"/>
            </w:tcBorders>
            <w:shd w:val="clear" w:color="auto" w:fill="auto"/>
            <w:hideMark/>
          </w:tcPr>
          <w:p w14:paraId="147C0E91"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38</w:t>
            </w:r>
          </w:p>
        </w:tc>
        <w:tc>
          <w:tcPr>
            <w:tcW w:w="3493" w:type="pct"/>
            <w:tcBorders>
              <w:top w:val="nil"/>
              <w:left w:val="nil"/>
              <w:bottom w:val="single" w:sz="4" w:space="0" w:color="auto"/>
              <w:right w:val="single" w:sz="4" w:space="0" w:color="auto"/>
            </w:tcBorders>
            <w:shd w:val="clear" w:color="auto" w:fill="auto"/>
            <w:hideMark/>
          </w:tcPr>
          <w:p w14:paraId="76478CC4"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All the offered learning exercises should be playable over internet browser only (IE, Chrome, Mozilla etc)</w:t>
            </w:r>
          </w:p>
        </w:tc>
        <w:tc>
          <w:tcPr>
            <w:tcW w:w="638" w:type="pct"/>
            <w:tcBorders>
              <w:top w:val="nil"/>
              <w:left w:val="nil"/>
              <w:bottom w:val="single" w:sz="4" w:space="0" w:color="auto"/>
              <w:right w:val="single" w:sz="4" w:space="0" w:color="auto"/>
            </w:tcBorders>
            <w:shd w:val="clear" w:color="auto" w:fill="auto"/>
            <w:hideMark/>
          </w:tcPr>
          <w:p w14:paraId="31F02EF8"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6646ABFE"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3FE4C3DB"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1FCA0CDD"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39</w:t>
            </w:r>
          </w:p>
        </w:tc>
        <w:tc>
          <w:tcPr>
            <w:tcW w:w="3493" w:type="pct"/>
            <w:tcBorders>
              <w:top w:val="nil"/>
              <w:left w:val="nil"/>
              <w:bottom w:val="single" w:sz="4" w:space="0" w:color="auto"/>
              <w:right w:val="single" w:sz="4" w:space="0" w:color="auto"/>
            </w:tcBorders>
            <w:shd w:val="clear" w:color="auto" w:fill="auto"/>
            <w:hideMark/>
          </w:tcPr>
          <w:p w14:paraId="255C4F8E"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Offered solution should be capable to auto-generate completion certificate to the users who successfully completed the training exercise/quizzes</w:t>
            </w:r>
          </w:p>
        </w:tc>
        <w:tc>
          <w:tcPr>
            <w:tcW w:w="638" w:type="pct"/>
            <w:tcBorders>
              <w:top w:val="nil"/>
              <w:left w:val="nil"/>
              <w:bottom w:val="single" w:sz="4" w:space="0" w:color="auto"/>
              <w:right w:val="single" w:sz="4" w:space="0" w:color="auto"/>
            </w:tcBorders>
            <w:shd w:val="clear" w:color="auto" w:fill="auto"/>
            <w:hideMark/>
          </w:tcPr>
          <w:p w14:paraId="6164C92F"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7286FEAA"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2BB4C241" w14:textId="77777777" w:rsidTr="008E0319">
        <w:trPr>
          <w:trHeight w:val="300"/>
        </w:trPr>
        <w:tc>
          <w:tcPr>
            <w:tcW w:w="176" w:type="pct"/>
            <w:tcBorders>
              <w:top w:val="nil"/>
              <w:left w:val="single" w:sz="4" w:space="0" w:color="auto"/>
              <w:bottom w:val="single" w:sz="4" w:space="0" w:color="auto"/>
              <w:right w:val="single" w:sz="4" w:space="0" w:color="auto"/>
            </w:tcBorders>
            <w:shd w:val="clear" w:color="auto" w:fill="auto"/>
            <w:hideMark/>
          </w:tcPr>
          <w:p w14:paraId="463A8B64"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40</w:t>
            </w:r>
          </w:p>
        </w:tc>
        <w:tc>
          <w:tcPr>
            <w:tcW w:w="3493" w:type="pct"/>
            <w:tcBorders>
              <w:top w:val="nil"/>
              <w:left w:val="nil"/>
              <w:bottom w:val="single" w:sz="4" w:space="0" w:color="auto"/>
              <w:right w:val="single" w:sz="4" w:space="0" w:color="auto"/>
            </w:tcBorders>
            <w:shd w:val="clear" w:color="auto" w:fill="auto"/>
            <w:hideMark/>
          </w:tcPr>
          <w:p w14:paraId="4F024535"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Offered solution should be able send unlimited reminders and escalation to manager to the users for uncompleted trainings.</w:t>
            </w:r>
          </w:p>
        </w:tc>
        <w:tc>
          <w:tcPr>
            <w:tcW w:w="638" w:type="pct"/>
            <w:tcBorders>
              <w:top w:val="nil"/>
              <w:left w:val="nil"/>
              <w:bottom w:val="single" w:sz="4" w:space="0" w:color="auto"/>
              <w:right w:val="single" w:sz="4" w:space="0" w:color="auto"/>
            </w:tcBorders>
            <w:shd w:val="clear" w:color="auto" w:fill="auto"/>
            <w:hideMark/>
          </w:tcPr>
          <w:p w14:paraId="2525DFD7"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39090FED"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22066988" w14:textId="77777777" w:rsidTr="008E0319">
        <w:trPr>
          <w:trHeight w:val="300"/>
        </w:trPr>
        <w:tc>
          <w:tcPr>
            <w:tcW w:w="176" w:type="pct"/>
            <w:tcBorders>
              <w:top w:val="nil"/>
              <w:left w:val="single" w:sz="4" w:space="0" w:color="auto"/>
              <w:bottom w:val="single" w:sz="4" w:space="0" w:color="auto"/>
              <w:right w:val="single" w:sz="4" w:space="0" w:color="auto"/>
            </w:tcBorders>
            <w:shd w:val="clear" w:color="auto" w:fill="auto"/>
            <w:hideMark/>
          </w:tcPr>
          <w:p w14:paraId="508CF235"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41</w:t>
            </w:r>
          </w:p>
        </w:tc>
        <w:tc>
          <w:tcPr>
            <w:tcW w:w="3493" w:type="pct"/>
            <w:tcBorders>
              <w:top w:val="nil"/>
              <w:left w:val="nil"/>
              <w:bottom w:val="single" w:sz="4" w:space="0" w:color="auto"/>
              <w:right w:val="single" w:sz="4" w:space="0" w:color="auto"/>
            </w:tcBorders>
            <w:shd w:val="clear" w:color="auto" w:fill="auto"/>
            <w:hideMark/>
          </w:tcPr>
          <w:p w14:paraId="4A34B6BE"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Offered solution should have SSO authentication available for smooth on boarding of users.</w:t>
            </w:r>
          </w:p>
        </w:tc>
        <w:tc>
          <w:tcPr>
            <w:tcW w:w="638" w:type="pct"/>
            <w:tcBorders>
              <w:top w:val="nil"/>
              <w:left w:val="nil"/>
              <w:bottom w:val="single" w:sz="4" w:space="0" w:color="auto"/>
              <w:right w:val="single" w:sz="4" w:space="0" w:color="auto"/>
            </w:tcBorders>
            <w:shd w:val="clear" w:color="auto" w:fill="auto"/>
            <w:hideMark/>
          </w:tcPr>
          <w:p w14:paraId="6353688B"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11DE8E51"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0750A813" w14:textId="77777777" w:rsidTr="008E0319">
        <w:trPr>
          <w:trHeight w:val="300"/>
        </w:trPr>
        <w:tc>
          <w:tcPr>
            <w:tcW w:w="176" w:type="pct"/>
            <w:tcBorders>
              <w:top w:val="nil"/>
              <w:left w:val="single" w:sz="4" w:space="0" w:color="auto"/>
              <w:bottom w:val="single" w:sz="4" w:space="0" w:color="auto"/>
              <w:right w:val="single" w:sz="4" w:space="0" w:color="auto"/>
            </w:tcBorders>
            <w:shd w:val="clear" w:color="auto" w:fill="auto"/>
            <w:hideMark/>
          </w:tcPr>
          <w:p w14:paraId="6B0B5168"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42</w:t>
            </w:r>
          </w:p>
        </w:tc>
        <w:tc>
          <w:tcPr>
            <w:tcW w:w="3493" w:type="pct"/>
            <w:tcBorders>
              <w:top w:val="nil"/>
              <w:left w:val="nil"/>
              <w:bottom w:val="single" w:sz="4" w:space="0" w:color="auto"/>
              <w:right w:val="single" w:sz="4" w:space="0" w:color="auto"/>
            </w:tcBorders>
            <w:shd w:val="clear" w:color="auto" w:fill="auto"/>
            <w:hideMark/>
          </w:tcPr>
          <w:p w14:paraId="2C3EFC2B"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Offered solution should MFA available for Admin Log in.</w:t>
            </w:r>
          </w:p>
        </w:tc>
        <w:tc>
          <w:tcPr>
            <w:tcW w:w="638" w:type="pct"/>
            <w:tcBorders>
              <w:top w:val="nil"/>
              <w:left w:val="nil"/>
              <w:bottom w:val="single" w:sz="4" w:space="0" w:color="auto"/>
              <w:right w:val="single" w:sz="4" w:space="0" w:color="auto"/>
            </w:tcBorders>
            <w:shd w:val="clear" w:color="auto" w:fill="auto"/>
            <w:hideMark/>
          </w:tcPr>
          <w:p w14:paraId="075CBAFE"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0B7E4CB0"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50C6954E" w14:textId="77777777" w:rsidTr="008E0319">
        <w:trPr>
          <w:trHeight w:val="300"/>
        </w:trPr>
        <w:tc>
          <w:tcPr>
            <w:tcW w:w="176" w:type="pct"/>
            <w:tcBorders>
              <w:top w:val="nil"/>
              <w:left w:val="single" w:sz="4" w:space="0" w:color="auto"/>
              <w:bottom w:val="single" w:sz="4" w:space="0" w:color="auto"/>
              <w:right w:val="single" w:sz="4" w:space="0" w:color="auto"/>
            </w:tcBorders>
            <w:shd w:val="clear" w:color="auto" w:fill="auto"/>
            <w:hideMark/>
          </w:tcPr>
          <w:p w14:paraId="3C4C93DB"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43</w:t>
            </w:r>
          </w:p>
        </w:tc>
        <w:tc>
          <w:tcPr>
            <w:tcW w:w="3493" w:type="pct"/>
            <w:tcBorders>
              <w:top w:val="nil"/>
              <w:left w:val="nil"/>
              <w:bottom w:val="single" w:sz="4" w:space="0" w:color="auto"/>
              <w:right w:val="single" w:sz="4" w:space="0" w:color="auto"/>
            </w:tcBorders>
            <w:shd w:val="clear" w:color="auto" w:fill="auto"/>
            <w:hideMark/>
          </w:tcPr>
          <w:p w14:paraId="60D0FFD0"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Offered solution should have gamified assessment available such as word search for training purpose.</w:t>
            </w:r>
          </w:p>
        </w:tc>
        <w:tc>
          <w:tcPr>
            <w:tcW w:w="638" w:type="pct"/>
            <w:tcBorders>
              <w:top w:val="nil"/>
              <w:left w:val="nil"/>
              <w:bottom w:val="single" w:sz="4" w:space="0" w:color="auto"/>
              <w:right w:val="single" w:sz="4" w:space="0" w:color="auto"/>
            </w:tcBorders>
            <w:shd w:val="clear" w:color="auto" w:fill="auto"/>
            <w:hideMark/>
          </w:tcPr>
          <w:p w14:paraId="4CF2C4CD"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1874B814"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3B119C7E" w14:textId="77777777" w:rsidTr="008E0319">
        <w:trPr>
          <w:trHeight w:val="300"/>
        </w:trPr>
        <w:tc>
          <w:tcPr>
            <w:tcW w:w="176" w:type="pct"/>
            <w:tcBorders>
              <w:top w:val="nil"/>
              <w:left w:val="single" w:sz="4" w:space="0" w:color="auto"/>
              <w:bottom w:val="single" w:sz="4" w:space="0" w:color="auto"/>
              <w:right w:val="single" w:sz="4" w:space="0" w:color="auto"/>
            </w:tcBorders>
            <w:shd w:val="clear" w:color="auto" w:fill="auto"/>
            <w:hideMark/>
          </w:tcPr>
          <w:p w14:paraId="6D5ABA75"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44</w:t>
            </w:r>
          </w:p>
        </w:tc>
        <w:tc>
          <w:tcPr>
            <w:tcW w:w="3493" w:type="pct"/>
            <w:tcBorders>
              <w:top w:val="nil"/>
              <w:left w:val="nil"/>
              <w:bottom w:val="single" w:sz="4" w:space="0" w:color="auto"/>
              <w:right w:val="single" w:sz="4" w:space="0" w:color="auto"/>
            </w:tcBorders>
            <w:shd w:val="clear" w:color="auto" w:fill="auto"/>
            <w:hideMark/>
          </w:tcPr>
          <w:p w14:paraId="4CB014A3"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Offered solution should have leaderboard of users based on their performance in training and awareness.</w:t>
            </w:r>
          </w:p>
        </w:tc>
        <w:tc>
          <w:tcPr>
            <w:tcW w:w="638" w:type="pct"/>
            <w:tcBorders>
              <w:top w:val="nil"/>
              <w:left w:val="nil"/>
              <w:bottom w:val="single" w:sz="4" w:space="0" w:color="auto"/>
              <w:right w:val="single" w:sz="4" w:space="0" w:color="auto"/>
            </w:tcBorders>
            <w:shd w:val="clear" w:color="auto" w:fill="auto"/>
            <w:hideMark/>
          </w:tcPr>
          <w:p w14:paraId="1A148E0E"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219A6496"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5401AC4B" w14:textId="77777777" w:rsidTr="008E0319">
        <w:trPr>
          <w:trHeight w:val="300"/>
        </w:trPr>
        <w:tc>
          <w:tcPr>
            <w:tcW w:w="176" w:type="pct"/>
            <w:tcBorders>
              <w:top w:val="nil"/>
              <w:left w:val="single" w:sz="4" w:space="0" w:color="auto"/>
              <w:bottom w:val="single" w:sz="4" w:space="0" w:color="auto"/>
              <w:right w:val="single" w:sz="4" w:space="0" w:color="auto"/>
            </w:tcBorders>
            <w:shd w:val="clear" w:color="auto" w:fill="auto"/>
            <w:hideMark/>
          </w:tcPr>
          <w:p w14:paraId="2DAD6AFC"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45</w:t>
            </w:r>
          </w:p>
        </w:tc>
        <w:tc>
          <w:tcPr>
            <w:tcW w:w="3493" w:type="pct"/>
            <w:tcBorders>
              <w:top w:val="nil"/>
              <w:left w:val="nil"/>
              <w:bottom w:val="single" w:sz="4" w:space="0" w:color="auto"/>
              <w:right w:val="single" w:sz="4" w:space="0" w:color="auto"/>
            </w:tcBorders>
            <w:shd w:val="clear" w:color="auto" w:fill="auto"/>
            <w:hideMark/>
          </w:tcPr>
          <w:p w14:paraId="70EE1DE2"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Bidder/OEM to ensure that the content for User training/learning module should be deployed over internet.</w:t>
            </w:r>
          </w:p>
        </w:tc>
        <w:tc>
          <w:tcPr>
            <w:tcW w:w="638" w:type="pct"/>
            <w:tcBorders>
              <w:top w:val="nil"/>
              <w:left w:val="nil"/>
              <w:bottom w:val="single" w:sz="4" w:space="0" w:color="auto"/>
              <w:right w:val="single" w:sz="4" w:space="0" w:color="auto"/>
            </w:tcBorders>
            <w:shd w:val="clear" w:color="auto" w:fill="auto"/>
            <w:hideMark/>
          </w:tcPr>
          <w:p w14:paraId="79FD6D38"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0A5402F2"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1C00D8F3"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5F3BA3CB"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lastRenderedPageBreak/>
              <w:t>46</w:t>
            </w:r>
          </w:p>
        </w:tc>
        <w:tc>
          <w:tcPr>
            <w:tcW w:w="3493" w:type="pct"/>
            <w:tcBorders>
              <w:top w:val="nil"/>
              <w:left w:val="nil"/>
              <w:bottom w:val="single" w:sz="4" w:space="0" w:color="auto"/>
              <w:right w:val="single" w:sz="4" w:space="0" w:color="auto"/>
            </w:tcBorders>
            <w:shd w:val="clear" w:color="auto" w:fill="auto"/>
            <w:hideMark/>
          </w:tcPr>
          <w:p w14:paraId="0E0787D4"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bidder must provide customization option in simulation email templates and landing page. The bidder to provide all necessary support to CBI for creating templates during the contract period.</w:t>
            </w:r>
          </w:p>
        </w:tc>
        <w:tc>
          <w:tcPr>
            <w:tcW w:w="638" w:type="pct"/>
            <w:tcBorders>
              <w:top w:val="nil"/>
              <w:left w:val="nil"/>
              <w:bottom w:val="single" w:sz="4" w:space="0" w:color="auto"/>
              <w:right w:val="single" w:sz="4" w:space="0" w:color="auto"/>
            </w:tcBorders>
            <w:shd w:val="clear" w:color="auto" w:fill="auto"/>
            <w:hideMark/>
          </w:tcPr>
          <w:p w14:paraId="51F284C4"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5FDC283F"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52735495" w14:textId="77777777" w:rsidTr="008E0319">
        <w:trPr>
          <w:trHeight w:val="300"/>
        </w:trPr>
        <w:tc>
          <w:tcPr>
            <w:tcW w:w="176" w:type="pct"/>
            <w:tcBorders>
              <w:top w:val="nil"/>
              <w:left w:val="single" w:sz="4" w:space="0" w:color="auto"/>
              <w:bottom w:val="single" w:sz="4" w:space="0" w:color="auto"/>
              <w:right w:val="single" w:sz="4" w:space="0" w:color="auto"/>
            </w:tcBorders>
            <w:shd w:val="clear" w:color="auto" w:fill="auto"/>
            <w:hideMark/>
          </w:tcPr>
          <w:p w14:paraId="678F9082"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47</w:t>
            </w:r>
          </w:p>
        </w:tc>
        <w:tc>
          <w:tcPr>
            <w:tcW w:w="3493" w:type="pct"/>
            <w:tcBorders>
              <w:top w:val="nil"/>
              <w:left w:val="nil"/>
              <w:bottom w:val="single" w:sz="4" w:space="0" w:color="auto"/>
              <w:right w:val="single" w:sz="4" w:space="0" w:color="auto"/>
            </w:tcBorders>
            <w:shd w:val="clear" w:color="auto" w:fill="auto"/>
            <w:hideMark/>
          </w:tcPr>
          <w:p w14:paraId="09A7A7D7"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Bidder/OEM must provide customised infographics as per Banks theme.</w:t>
            </w:r>
          </w:p>
        </w:tc>
        <w:tc>
          <w:tcPr>
            <w:tcW w:w="638" w:type="pct"/>
            <w:tcBorders>
              <w:top w:val="nil"/>
              <w:left w:val="nil"/>
              <w:bottom w:val="single" w:sz="4" w:space="0" w:color="auto"/>
              <w:right w:val="single" w:sz="4" w:space="0" w:color="auto"/>
            </w:tcBorders>
            <w:shd w:val="clear" w:color="auto" w:fill="auto"/>
            <w:hideMark/>
          </w:tcPr>
          <w:p w14:paraId="7FDEAA0F"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1C2F022E"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7BE2A885" w14:textId="77777777" w:rsidTr="008E0319">
        <w:trPr>
          <w:trHeight w:val="300"/>
        </w:trPr>
        <w:tc>
          <w:tcPr>
            <w:tcW w:w="176" w:type="pct"/>
            <w:tcBorders>
              <w:top w:val="nil"/>
              <w:left w:val="single" w:sz="4" w:space="0" w:color="auto"/>
              <w:bottom w:val="single" w:sz="4" w:space="0" w:color="auto"/>
              <w:right w:val="single" w:sz="4" w:space="0" w:color="auto"/>
            </w:tcBorders>
            <w:shd w:val="clear" w:color="auto" w:fill="auto"/>
            <w:hideMark/>
          </w:tcPr>
          <w:p w14:paraId="2D80C8F9"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48</w:t>
            </w:r>
          </w:p>
        </w:tc>
        <w:tc>
          <w:tcPr>
            <w:tcW w:w="3493" w:type="pct"/>
            <w:tcBorders>
              <w:top w:val="nil"/>
              <w:left w:val="nil"/>
              <w:bottom w:val="single" w:sz="4" w:space="0" w:color="auto"/>
              <w:right w:val="single" w:sz="4" w:space="0" w:color="auto"/>
            </w:tcBorders>
            <w:shd w:val="clear" w:color="auto" w:fill="auto"/>
            <w:hideMark/>
          </w:tcPr>
          <w:p w14:paraId="40AAC110"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Bidder/OEM must conduct Quarterly Webinar Session for CBI employees for general security awareness.</w:t>
            </w:r>
          </w:p>
        </w:tc>
        <w:tc>
          <w:tcPr>
            <w:tcW w:w="638" w:type="pct"/>
            <w:tcBorders>
              <w:top w:val="nil"/>
              <w:left w:val="nil"/>
              <w:bottom w:val="single" w:sz="4" w:space="0" w:color="auto"/>
              <w:right w:val="single" w:sz="4" w:space="0" w:color="auto"/>
            </w:tcBorders>
            <w:shd w:val="clear" w:color="auto" w:fill="auto"/>
            <w:hideMark/>
          </w:tcPr>
          <w:p w14:paraId="71BD5D06"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08A6A3B2"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76DD9408" w14:textId="77777777" w:rsidTr="008E0319">
        <w:trPr>
          <w:trHeight w:val="300"/>
        </w:trPr>
        <w:tc>
          <w:tcPr>
            <w:tcW w:w="176" w:type="pct"/>
            <w:tcBorders>
              <w:top w:val="nil"/>
              <w:left w:val="single" w:sz="4" w:space="0" w:color="auto"/>
              <w:bottom w:val="single" w:sz="4" w:space="0" w:color="auto"/>
              <w:right w:val="single" w:sz="4" w:space="0" w:color="auto"/>
            </w:tcBorders>
            <w:shd w:val="clear" w:color="auto" w:fill="auto"/>
            <w:hideMark/>
          </w:tcPr>
          <w:p w14:paraId="4167F3BF"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49</w:t>
            </w:r>
          </w:p>
        </w:tc>
        <w:tc>
          <w:tcPr>
            <w:tcW w:w="3493" w:type="pct"/>
            <w:tcBorders>
              <w:top w:val="nil"/>
              <w:left w:val="nil"/>
              <w:bottom w:val="single" w:sz="4" w:space="0" w:color="auto"/>
              <w:right w:val="single" w:sz="4" w:space="0" w:color="auto"/>
            </w:tcBorders>
            <w:shd w:val="clear" w:color="auto" w:fill="auto"/>
            <w:hideMark/>
          </w:tcPr>
          <w:p w14:paraId="4BFEC2EC"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Bidder/OEM must provide detailed customised video of campaign/ simulation ran at CBI at the end of campaign.</w:t>
            </w:r>
          </w:p>
        </w:tc>
        <w:tc>
          <w:tcPr>
            <w:tcW w:w="638" w:type="pct"/>
            <w:tcBorders>
              <w:top w:val="nil"/>
              <w:left w:val="nil"/>
              <w:bottom w:val="single" w:sz="4" w:space="0" w:color="auto"/>
              <w:right w:val="single" w:sz="4" w:space="0" w:color="auto"/>
            </w:tcBorders>
            <w:shd w:val="clear" w:color="auto" w:fill="auto"/>
            <w:hideMark/>
          </w:tcPr>
          <w:p w14:paraId="0788BE17"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23F1307B"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75F939E6"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2D84DD56"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50</w:t>
            </w:r>
          </w:p>
        </w:tc>
        <w:tc>
          <w:tcPr>
            <w:tcW w:w="3493" w:type="pct"/>
            <w:tcBorders>
              <w:top w:val="nil"/>
              <w:left w:val="nil"/>
              <w:bottom w:val="single" w:sz="4" w:space="0" w:color="auto"/>
              <w:right w:val="single" w:sz="4" w:space="0" w:color="auto"/>
            </w:tcBorders>
            <w:shd w:val="clear" w:color="auto" w:fill="auto"/>
            <w:hideMark/>
          </w:tcPr>
          <w:p w14:paraId="5D2BEB68"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Bidder/OEM to provide all Public URLs, Domain, sender email IDs etc resembling to the CBI domains required for simulating Phishing, Ransomware, Vishing, etc at no extra cost.</w:t>
            </w:r>
          </w:p>
        </w:tc>
        <w:tc>
          <w:tcPr>
            <w:tcW w:w="638" w:type="pct"/>
            <w:tcBorders>
              <w:top w:val="nil"/>
              <w:left w:val="nil"/>
              <w:bottom w:val="single" w:sz="4" w:space="0" w:color="auto"/>
              <w:right w:val="single" w:sz="4" w:space="0" w:color="auto"/>
            </w:tcBorders>
            <w:shd w:val="clear" w:color="auto" w:fill="auto"/>
            <w:hideMark/>
          </w:tcPr>
          <w:p w14:paraId="78F2D356"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16A2934A"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29A66C67" w14:textId="77777777" w:rsidTr="008E0319">
        <w:trPr>
          <w:trHeight w:val="765"/>
        </w:trPr>
        <w:tc>
          <w:tcPr>
            <w:tcW w:w="176" w:type="pct"/>
            <w:tcBorders>
              <w:top w:val="nil"/>
              <w:left w:val="single" w:sz="4" w:space="0" w:color="auto"/>
              <w:bottom w:val="single" w:sz="4" w:space="0" w:color="auto"/>
              <w:right w:val="single" w:sz="4" w:space="0" w:color="auto"/>
            </w:tcBorders>
            <w:shd w:val="clear" w:color="auto" w:fill="auto"/>
            <w:hideMark/>
          </w:tcPr>
          <w:p w14:paraId="752F1959"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51</w:t>
            </w:r>
          </w:p>
        </w:tc>
        <w:tc>
          <w:tcPr>
            <w:tcW w:w="3493" w:type="pct"/>
            <w:tcBorders>
              <w:top w:val="nil"/>
              <w:left w:val="nil"/>
              <w:bottom w:val="single" w:sz="4" w:space="0" w:color="auto"/>
              <w:right w:val="single" w:sz="4" w:space="0" w:color="auto"/>
            </w:tcBorders>
            <w:shd w:val="clear" w:color="FFFFFF" w:fill="FFFFFF"/>
            <w:hideMark/>
          </w:tcPr>
          <w:p w14:paraId="2AEC61A5"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Bidder/OEM to provide SMTP email Service/application for the simulating emails for the entire cyber awareness campaign. All the emails to be generated and deliver through that gateway only. If any public IP whitelisting is required to achieve the above, shall be enabled by CBI. SMTP solution/Application of CBI shall not be used.</w:t>
            </w:r>
          </w:p>
        </w:tc>
        <w:tc>
          <w:tcPr>
            <w:tcW w:w="638" w:type="pct"/>
            <w:tcBorders>
              <w:top w:val="nil"/>
              <w:left w:val="nil"/>
              <w:bottom w:val="single" w:sz="4" w:space="0" w:color="auto"/>
              <w:right w:val="single" w:sz="4" w:space="0" w:color="auto"/>
            </w:tcBorders>
            <w:shd w:val="clear" w:color="auto" w:fill="auto"/>
            <w:hideMark/>
          </w:tcPr>
          <w:p w14:paraId="496AC996"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20C466BF"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0A869717" w14:textId="77777777" w:rsidTr="008E0319">
        <w:trPr>
          <w:trHeight w:val="300"/>
        </w:trPr>
        <w:tc>
          <w:tcPr>
            <w:tcW w:w="176" w:type="pct"/>
            <w:tcBorders>
              <w:top w:val="nil"/>
              <w:left w:val="single" w:sz="4" w:space="0" w:color="auto"/>
              <w:bottom w:val="single" w:sz="4" w:space="0" w:color="auto"/>
              <w:right w:val="single" w:sz="4" w:space="0" w:color="auto"/>
            </w:tcBorders>
            <w:shd w:val="clear" w:color="auto" w:fill="auto"/>
            <w:hideMark/>
          </w:tcPr>
          <w:p w14:paraId="70997C0A"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52</w:t>
            </w:r>
          </w:p>
        </w:tc>
        <w:tc>
          <w:tcPr>
            <w:tcW w:w="3493" w:type="pct"/>
            <w:tcBorders>
              <w:top w:val="nil"/>
              <w:left w:val="nil"/>
              <w:bottom w:val="single" w:sz="4" w:space="0" w:color="auto"/>
              <w:right w:val="single" w:sz="4" w:space="0" w:color="auto"/>
            </w:tcBorders>
            <w:shd w:val="clear" w:color="auto" w:fill="auto"/>
            <w:hideMark/>
          </w:tcPr>
          <w:p w14:paraId="4B38768E"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Bidder/OEM to ensure that the cloud services being used during the entire solution, should reside within India only.</w:t>
            </w:r>
          </w:p>
        </w:tc>
        <w:tc>
          <w:tcPr>
            <w:tcW w:w="638" w:type="pct"/>
            <w:tcBorders>
              <w:top w:val="nil"/>
              <w:left w:val="nil"/>
              <w:bottom w:val="single" w:sz="4" w:space="0" w:color="auto"/>
              <w:right w:val="single" w:sz="4" w:space="0" w:color="auto"/>
            </w:tcBorders>
            <w:shd w:val="clear" w:color="auto" w:fill="auto"/>
            <w:hideMark/>
          </w:tcPr>
          <w:p w14:paraId="50290738"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5106BCD2"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3DFE045A" w14:textId="77777777" w:rsidTr="008E0319">
        <w:trPr>
          <w:trHeight w:val="300"/>
        </w:trPr>
        <w:tc>
          <w:tcPr>
            <w:tcW w:w="176" w:type="pct"/>
            <w:tcBorders>
              <w:top w:val="nil"/>
              <w:left w:val="single" w:sz="4" w:space="0" w:color="auto"/>
              <w:bottom w:val="single" w:sz="4" w:space="0" w:color="auto"/>
              <w:right w:val="single" w:sz="4" w:space="0" w:color="auto"/>
            </w:tcBorders>
            <w:shd w:val="clear" w:color="auto" w:fill="auto"/>
            <w:hideMark/>
          </w:tcPr>
          <w:p w14:paraId="685EF5D1"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53</w:t>
            </w:r>
          </w:p>
        </w:tc>
        <w:tc>
          <w:tcPr>
            <w:tcW w:w="3493" w:type="pct"/>
            <w:tcBorders>
              <w:top w:val="nil"/>
              <w:left w:val="nil"/>
              <w:bottom w:val="single" w:sz="4" w:space="0" w:color="auto"/>
              <w:right w:val="single" w:sz="4" w:space="0" w:color="auto"/>
            </w:tcBorders>
            <w:shd w:val="clear" w:color="auto" w:fill="auto"/>
            <w:hideMark/>
          </w:tcPr>
          <w:p w14:paraId="1E093010"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Bidder/OEM has to conduct Quarterly Webinar Session for CBI employees for general security awareness</w:t>
            </w:r>
          </w:p>
        </w:tc>
        <w:tc>
          <w:tcPr>
            <w:tcW w:w="638" w:type="pct"/>
            <w:tcBorders>
              <w:top w:val="nil"/>
              <w:left w:val="nil"/>
              <w:bottom w:val="single" w:sz="4" w:space="0" w:color="auto"/>
              <w:right w:val="single" w:sz="4" w:space="0" w:color="auto"/>
            </w:tcBorders>
            <w:shd w:val="clear" w:color="auto" w:fill="auto"/>
            <w:hideMark/>
          </w:tcPr>
          <w:p w14:paraId="6185A72F"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5F6B99F4"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0BB0CACC"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54F9BAF3"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54</w:t>
            </w:r>
          </w:p>
        </w:tc>
        <w:tc>
          <w:tcPr>
            <w:tcW w:w="3493" w:type="pct"/>
            <w:tcBorders>
              <w:top w:val="nil"/>
              <w:left w:val="nil"/>
              <w:bottom w:val="single" w:sz="4" w:space="0" w:color="auto"/>
              <w:right w:val="single" w:sz="4" w:space="0" w:color="auto"/>
            </w:tcBorders>
            <w:shd w:val="clear" w:color="auto" w:fill="auto"/>
            <w:hideMark/>
          </w:tcPr>
          <w:p w14:paraId="0B85D658"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bidder/OEM must provide the reports generated during the cyber security simulation and awareness campaign (as per technical specifications).</w:t>
            </w:r>
          </w:p>
        </w:tc>
        <w:tc>
          <w:tcPr>
            <w:tcW w:w="638" w:type="pct"/>
            <w:tcBorders>
              <w:top w:val="nil"/>
              <w:left w:val="nil"/>
              <w:bottom w:val="single" w:sz="4" w:space="0" w:color="auto"/>
              <w:right w:val="single" w:sz="4" w:space="0" w:color="auto"/>
            </w:tcBorders>
            <w:shd w:val="clear" w:color="auto" w:fill="auto"/>
            <w:hideMark/>
          </w:tcPr>
          <w:p w14:paraId="287CAE2F"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52330E1A"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75646EAF" w14:textId="77777777" w:rsidTr="008E0319">
        <w:trPr>
          <w:trHeight w:val="300"/>
        </w:trPr>
        <w:tc>
          <w:tcPr>
            <w:tcW w:w="176" w:type="pct"/>
            <w:tcBorders>
              <w:top w:val="nil"/>
              <w:left w:val="single" w:sz="4" w:space="0" w:color="auto"/>
              <w:bottom w:val="single" w:sz="4" w:space="0" w:color="auto"/>
              <w:right w:val="single" w:sz="4" w:space="0" w:color="auto"/>
            </w:tcBorders>
            <w:shd w:val="clear" w:color="auto" w:fill="auto"/>
            <w:hideMark/>
          </w:tcPr>
          <w:p w14:paraId="1860B54D"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55</w:t>
            </w:r>
          </w:p>
        </w:tc>
        <w:tc>
          <w:tcPr>
            <w:tcW w:w="3493" w:type="pct"/>
            <w:tcBorders>
              <w:top w:val="nil"/>
              <w:left w:val="nil"/>
              <w:bottom w:val="single" w:sz="4" w:space="0" w:color="auto"/>
              <w:right w:val="single" w:sz="4" w:space="0" w:color="auto"/>
            </w:tcBorders>
            <w:shd w:val="clear" w:color="auto" w:fill="auto"/>
            <w:hideMark/>
          </w:tcPr>
          <w:p w14:paraId="5117FF7F"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bidder/OEM should provide Knowledge imparting sessions through User learning Portal.</w:t>
            </w:r>
          </w:p>
        </w:tc>
        <w:tc>
          <w:tcPr>
            <w:tcW w:w="638" w:type="pct"/>
            <w:tcBorders>
              <w:top w:val="nil"/>
              <w:left w:val="nil"/>
              <w:bottom w:val="single" w:sz="4" w:space="0" w:color="auto"/>
              <w:right w:val="single" w:sz="4" w:space="0" w:color="auto"/>
            </w:tcBorders>
            <w:shd w:val="clear" w:color="auto" w:fill="auto"/>
            <w:hideMark/>
          </w:tcPr>
          <w:p w14:paraId="20B191A4"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572D06A3"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682EB41E"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28F716C1"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56</w:t>
            </w:r>
          </w:p>
        </w:tc>
        <w:tc>
          <w:tcPr>
            <w:tcW w:w="3493" w:type="pct"/>
            <w:tcBorders>
              <w:top w:val="nil"/>
              <w:left w:val="nil"/>
              <w:bottom w:val="single" w:sz="4" w:space="0" w:color="auto"/>
              <w:right w:val="single" w:sz="4" w:space="0" w:color="auto"/>
            </w:tcBorders>
            <w:shd w:val="clear" w:color="auto" w:fill="auto"/>
            <w:hideMark/>
          </w:tcPr>
          <w:p w14:paraId="2A30A23C"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should provide the Assessments and Quizzes to analyse the awareness levels of the employees after each awareness session.</w:t>
            </w:r>
          </w:p>
        </w:tc>
        <w:tc>
          <w:tcPr>
            <w:tcW w:w="638" w:type="pct"/>
            <w:tcBorders>
              <w:top w:val="nil"/>
              <w:left w:val="nil"/>
              <w:bottom w:val="single" w:sz="4" w:space="0" w:color="auto"/>
              <w:right w:val="single" w:sz="4" w:space="0" w:color="auto"/>
            </w:tcBorders>
            <w:shd w:val="clear" w:color="auto" w:fill="auto"/>
            <w:hideMark/>
          </w:tcPr>
          <w:p w14:paraId="26CCB383"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160F68A8"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7493EFDA"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62C0E0DA"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57</w:t>
            </w:r>
          </w:p>
        </w:tc>
        <w:tc>
          <w:tcPr>
            <w:tcW w:w="3493" w:type="pct"/>
            <w:tcBorders>
              <w:top w:val="nil"/>
              <w:left w:val="nil"/>
              <w:bottom w:val="single" w:sz="4" w:space="0" w:color="auto"/>
              <w:right w:val="single" w:sz="4" w:space="0" w:color="auto"/>
            </w:tcBorders>
            <w:shd w:val="clear" w:color="auto" w:fill="auto"/>
            <w:hideMark/>
          </w:tcPr>
          <w:p w14:paraId="1C7EF200"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bidder should provide one day tool training to Bank Team to use the tool by themselves, these users will also be provided with a Certificate.</w:t>
            </w:r>
          </w:p>
        </w:tc>
        <w:tc>
          <w:tcPr>
            <w:tcW w:w="638" w:type="pct"/>
            <w:tcBorders>
              <w:top w:val="nil"/>
              <w:left w:val="nil"/>
              <w:bottom w:val="single" w:sz="4" w:space="0" w:color="auto"/>
              <w:right w:val="single" w:sz="4" w:space="0" w:color="auto"/>
            </w:tcBorders>
            <w:shd w:val="clear" w:color="auto" w:fill="auto"/>
            <w:hideMark/>
          </w:tcPr>
          <w:p w14:paraId="4D16A591"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78DA9506"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22EDD9AF" w14:textId="77777777" w:rsidTr="008E0319">
        <w:trPr>
          <w:trHeight w:val="765"/>
        </w:trPr>
        <w:tc>
          <w:tcPr>
            <w:tcW w:w="176" w:type="pct"/>
            <w:tcBorders>
              <w:top w:val="nil"/>
              <w:left w:val="single" w:sz="4" w:space="0" w:color="auto"/>
              <w:bottom w:val="single" w:sz="4" w:space="0" w:color="auto"/>
              <w:right w:val="single" w:sz="4" w:space="0" w:color="auto"/>
            </w:tcBorders>
            <w:shd w:val="clear" w:color="auto" w:fill="auto"/>
            <w:hideMark/>
          </w:tcPr>
          <w:p w14:paraId="6A6574F4"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58</w:t>
            </w:r>
          </w:p>
        </w:tc>
        <w:tc>
          <w:tcPr>
            <w:tcW w:w="3493" w:type="pct"/>
            <w:tcBorders>
              <w:top w:val="nil"/>
              <w:left w:val="nil"/>
              <w:bottom w:val="single" w:sz="4" w:space="0" w:color="auto"/>
              <w:right w:val="single" w:sz="4" w:space="0" w:color="auto"/>
            </w:tcBorders>
            <w:shd w:val="clear" w:color="auto" w:fill="auto"/>
            <w:hideMark/>
          </w:tcPr>
          <w:p w14:paraId="5144B119"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 xml:space="preserve">The bidder must sign Non-Disclosure Agreement (NDA) with CBI with a purpose of not sharing or using the data shared &amp; collected during/from cyber </w:t>
            </w:r>
            <w:r w:rsidRPr="00985D46">
              <w:rPr>
                <w:rFonts w:ascii="Calibri" w:eastAsia="Times New Roman" w:hAnsi="Calibri" w:cs="Calibri"/>
                <w:sz w:val="20"/>
                <w:szCs w:val="20"/>
                <w:lang w:val="en-GB" w:eastAsia="en-GB"/>
              </w:rPr>
              <w:br/>
              <w:t xml:space="preserve"> security simulation and awareness campaign with anyone or anywhere.</w:t>
            </w:r>
          </w:p>
        </w:tc>
        <w:tc>
          <w:tcPr>
            <w:tcW w:w="638" w:type="pct"/>
            <w:tcBorders>
              <w:top w:val="nil"/>
              <w:left w:val="nil"/>
              <w:bottom w:val="single" w:sz="4" w:space="0" w:color="auto"/>
              <w:right w:val="single" w:sz="4" w:space="0" w:color="auto"/>
            </w:tcBorders>
            <w:shd w:val="clear" w:color="auto" w:fill="auto"/>
            <w:hideMark/>
          </w:tcPr>
          <w:p w14:paraId="534ADA9B"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79B153EE"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550B8D1D" w14:textId="77777777" w:rsidTr="008E0319">
        <w:trPr>
          <w:trHeight w:val="300"/>
        </w:trPr>
        <w:tc>
          <w:tcPr>
            <w:tcW w:w="176" w:type="pct"/>
            <w:tcBorders>
              <w:top w:val="nil"/>
              <w:left w:val="single" w:sz="4" w:space="0" w:color="auto"/>
              <w:bottom w:val="single" w:sz="4" w:space="0" w:color="auto"/>
              <w:right w:val="single" w:sz="4" w:space="0" w:color="auto"/>
            </w:tcBorders>
            <w:shd w:val="clear" w:color="auto" w:fill="auto"/>
            <w:hideMark/>
          </w:tcPr>
          <w:p w14:paraId="19C4CABF"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59</w:t>
            </w:r>
          </w:p>
        </w:tc>
        <w:tc>
          <w:tcPr>
            <w:tcW w:w="3493" w:type="pct"/>
            <w:tcBorders>
              <w:top w:val="nil"/>
              <w:left w:val="nil"/>
              <w:bottom w:val="single" w:sz="4" w:space="0" w:color="auto"/>
              <w:right w:val="single" w:sz="4" w:space="0" w:color="auto"/>
            </w:tcBorders>
            <w:shd w:val="clear" w:color="auto" w:fill="auto"/>
            <w:hideMark/>
          </w:tcPr>
          <w:p w14:paraId="2DA2AF65"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Complete implementation and commissioning shall be done within 30 working days from placement of Work Order/ LOA</w:t>
            </w:r>
          </w:p>
        </w:tc>
        <w:tc>
          <w:tcPr>
            <w:tcW w:w="638" w:type="pct"/>
            <w:tcBorders>
              <w:top w:val="nil"/>
              <w:left w:val="nil"/>
              <w:bottom w:val="single" w:sz="4" w:space="0" w:color="auto"/>
              <w:right w:val="single" w:sz="4" w:space="0" w:color="auto"/>
            </w:tcBorders>
            <w:shd w:val="clear" w:color="auto" w:fill="auto"/>
            <w:hideMark/>
          </w:tcPr>
          <w:p w14:paraId="552F7D66"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19EA8561"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1B50742C" w14:textId="77777777" w:rsidTr="008E0319">
        <w:trPr>
          <w:trHeight w:val="315"/>
        </w:trPr>
        <w:tc>
          <w:tcPr>
            <w:tcW w:w="176" w:type="pct"/>
            <w:tcBorders>
              <w:top w:val="nil"/>
              <w:left w:val="single" w:sz="4" w:space="0" w:color="auto"/>
              <w:bottom w:val="single" w:sz="4" w:space="0" w:color="auto"/>
              <w:right w:val="single" w:sz="4" w:space="0" w:color="auto"/>
            </w:tcBorders>
            <w:shd w:val="clear" w:color="000000" w:fill="DDEBF7"/>
            <w:hideMark/>
          </w:tcPr>
          <w:p w14:paraId="37317830" w14:textId="77777777" w:rsidR="00985D46" w:rsidRPr="00985D46" w:rsidRDefault="00985D46" w:rsidP="00985D46">
            <w:pPr>
              <w:spacing w:after="0" w:line="240" w:lineRule="auto"/>
              <w:jc w:val="center"/>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H</w:t>
            </w:r>
          </w:p>
        </w:tc>
        <w:tc>
          <w:tcPr>
            <w:tcW w:w="3493" w:type="pct"/>
            <w:tcBorders>
              <w:top w:val="nil"/>
              <w:left w:val="nil"/>
              <w:bottom w:val="single" w:sz="4" w:space="0" w:color="auto"/>
              <w:right w:val="single" w:sz="4" w:space="0" w:color="auto"/>
            </w:tcBorders>
            <w:shd w:val="clear" w:color="000000" w:fill="DDEBF7"/>
            <w:hideMark/>
          </w:tcPr>
          <w:p w14:paraId="7FDC9D6E" w14:textId="77777777" w:rsidR="00985D46" w:rsidRPr="00985D46" w:rsidRDefault="00985D46" w:rsidP="00985D46">
            <w:pPr>
              <w:spacing w:after="0" w:line="240" w:lineRule="auto"/>
              <w:rPr>
                <w:rFonts w:ascii="Calibri" w:eastAsia="Times New Roman" w:hAnsi="Calibri" w:cs="Calibri"/>
                <w:b/>
                <w:bCs/>
                <w:sz w:val="24"/>
                <w:szCs w:val="24"/>
                <w:lang w:val="en-GB" w:eastAsia="en-GB"/>
              </w:rPr>
            </w:pPr>
            <w:r w:rsidRPr="00985D46">
              <w:rPr>
                <w:rFonts w:ascii="Calibri" w:eastAsia="Times New Roman" w:hAnsi="Calibri" w:cs="Calibri"/>
                <w:b/>
                <w:bCs/>
                <w:sz w:val="24"/>
                <w:szCs w:val="24"/>
                <w:lang w:val="en-GB" w:eastAsia="en-GB"/>
              </w:rPr>
              <w:t>Phishing Incident Response- Reporting Button</w:t>
            </w:r>
          </w:p>
        </w:tc>
        <w:tc>
          <w:tcPr>
            <w:tcW w:w="638" w:type="pct"/>
            <w:tcBorders>
              <w:top w:val="nil"/>
              <w:left w:val="nil"/>
              <w:bottom w:val="single" w:sz="4" w:space="0" w:color="auto"/>
              <w:right w:val="single" w:sz="4" w:space="0" w:color="auto"/>
            </w:tcBorders>
            <w:shd w:val="clear" w:color="000000" w:fill="DDEBF7"/>
            <w:hideMark/>
          </w:tcPr>
          <w:p w14:paraId="4D90768D" w14:textId="77777777" w:rsidR="00985D46" w:rsidRPr="00985D46" w:rsidRDefault="00985D46" w:rsidP="00985D46">
            <w:pPr>
              <w:spacing w:after="0" w:line="240" w:lineRule="auto"/>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 </w:t>
            </w:r>
          </w:p>
        </w:tc>
        <w:tc>
          <w:tcPr>
            <w:tcW w:w="693" w:type="pct"/>
            <w:tcBorders>
              <w:top w:val="nil"/>
              <w:left w:val="nil"/>
              <w:bottom w:val="single" w:sz="4" w:space="0" w:color="auto"/>
              <w:right w:val="single" w:sz="4" w:space="0" w:color="auto"/>
            </w:tcBorders>
            <w:shd w:val="clear" w:color="000000" w:fill="DDEBF7"/>
            <w:hideMark/>
          </w:tcPr>
          <w:p w14:paraId="3A20E726" w14:textId="77777777" w:rsidR="00985D46" w:rsidRPr="00985D46" w:rsidRDefault="00985D46" w:rsidP="00985D46">
            <w:pPr>
              <w:spacing w:after="0" w:line="240" w:lineRule="auto"/>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 </w:t>
            </w:r>
          </w:p>
        </w:tc>
      </w:tr>
      <w:tr w:rsidR="00985D46" w:rsidRPr="00985D46" w14:paraId="71F257D8" w14:textId="77777777" w:rsidTr="008E0319">
        <w:trPr>
          <w:trHeight w:val="300"/>
        </w:trPr>
        <w:tc>
          <w:tcPr>
            <w:tcW w:w="176" w:type="pct"/>
            <w:tcBorders>
              <w:top w:val="nil"/>
              <w:left w:val="single" w:sz="4" w:space="0" w:color="auto"/>
              <w:bottom w:val="single" w:sz="4" w:space="0" w:color="auto"/>
              <w:right w:val="single" w:sz="4" w:space="0" w:color="auto"/>
            </w:tcBorders>
            <w:shd w:val="clear" w:color="auto" w:fill="auto"/>
            <w:hideMark/>
          </w:tcPr>
          <w:p w14:paraId="78858DE1"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60</w:t>
            </w:r>
          </w:p>
        </w:tc>
        <w:tc>
          <w:tcPr>
            <w:tcW w:w="3493" w:type="pct"/>
            <w:tcBorders>
              <w:top w:val="nil"/>
              <w:left w:val="nil"/>
              <w:bottom w:val="single" w:sz="4" w:space="0" w:color="auto"/>
              <w:right w:val="single" w:sz="4" w:space="0" w:color="auto"/>
            </w:tcBorders>
            <w:shd w:val="clear" w:color="auto" w:fill="auto"/>
            <w:hideMark/>
          </w:tcPr>
          <w:p w14:paraId="36A0DF09"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An email alert must be sent to the SOC team for threat reports, with a configurable threshold.</w:t>
            </w:r>
          </w:p>
        </w:tc>
        <w:tc>
          <w:tcPr>
            <w:tcW w:w="638" w:type="pct"/>
            <w:tcBorders>
              <w:top w:val="nil"/>
              <w:left w:val="nil"/>
              <w:bottom w:val="single" w:sz="4" w:space="0" w:color="auto"/>
              <w:right w:val="single" w:sz="4" w:space="0" w:color="auto"/>
            </w:tcBorders>
            <w:shd w:val="clear" w:color="auto" w:fill="auto"/>
            <w:hideMark/>
          </w:tcPr>
          <w:p w14:paraId="54991E21"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1125CB3B"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36E56412"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7920E942"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61</w:t>
            </w:r>
          </w:p>
        </w:tc>
        <w:tc>
          <w:tcPr>
            <w:tcW w:w="3493" w:type="pct"/>
            <w:tcBorders>
              <w:top w:val="nil"/>
              <w:left w:val="nil"/>
              <w:bottom w:val="single" w:sz="4" w:space="0" w:color="auto"/>
              <w:right w:val="single" w:sz="4" w:space="0" w:color="auto"/>
            </w:tcBorders>
            <w:shd w:val="clear" w:color="auto" w:fill="auto"/>
            <w:hideMark/>
          </w:tcPr>
          <w:p w14:paraId="7EA1897A"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should assign a spam score to reported emails; preferably the solution should detail the criteria and methods used for assigning spam scores, including thresholds and algorithms, to ensure consistent and accurate threat assessment.</w:t>
            </w:r>
          </w:p>
        </w:tc>
        <w:tc>
          <w:tcPr>
            <w:tcW w:w="638" w:type="pct"/>
            <w:tcBorders>
              <w:top w:val="nil"/>
              <w:left w:val="nil"/>
              <w:bottom w:val="single" w:sz="4" w:space="0" w:color="auto"/>
              <w:right w:val="single" w:sz="4" w:space="0" w:color="auto"/>
            </w:tcBorders>
            <w:shd w:val="clear" w:color="auto" w:fill="auto"/>
            <w:hideMark/>
          </w:tcPr>
          <w:p w14:paraId="1623FAF1"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7D5EBF7F"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55388D5C" w14:textId="77777777" w:rsidTr="008E0319">
        <w:trPr>
          <w:trHeight w:val="300"/>
        </w:trPr>
        <w:tc>
          <w:tcPr>
            <w:tcW w:w="176" w:type="pct"/>
            <w:tcBorders>
              <w:top w:val="nil"/>
              <w:left w:val="single" w:sz="4" w:space="0" w:color="auto"/>
              <w:bottom w:val="single" w:sz="4" w:space="0" w:color="auto"/>
              <w:right w:val="single" w:sz="4" w:space="0" w:color="auto"/>
            </w:tcBorders>
            <w:shd w:val="clear" w:color="auto" w:fill="auto"/>
            <w:hideMark/>
          </w:tcPr>
          <w:p w14:paraId="193CE6F9"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62</w:t>
            </w:r>
          </w:p>
        </w:tc>
        <w:tc>
          <w:tcPr>
            <w:tcW w:w="3493" w:type="pct"/>
            <w:tcBorders>
              <w:top w:val="nil"/>
              <w:left w:val="nil"/>
              <w:bottom w:val="single" w:sz="4" w:space="0" w:color="auto"/>
              <w:right w:val="single" w:sz="4" w:space="0" w:color="auto"/>
            </w:tcBorders>
            <w:shd w:val="clear" w:color="auto" w:fill="auto"/>
            <w:hideMark/>
          </w:tcPr>
          <w:p w14:paraId="5075AF87"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must scan the content of emails for threats and should verify SPF, DKIM, and DMARC to ensure emails pass these checks.</w:t>
            </w:r>
          </w:p>
        </w:tc>
        <w:tc>
          <w:tcPr>
            <w:tcW w:w="638" w:type="pct"/>
            <w:tcBorders>
              <w:top w:val="nil"/>
              <w:left w:val="nil"/>
              <w:bottom w:val="single" w:sz="4" w:space="0" w:color="auto"/>
              <w:right w:val="single" w:sz="4" w:space="0" w:color="auto"/>
            </w:tcBorders>
            <w:shd w:val="clear" w:color="auto" w:fill="auto"/>
            <w:hideMark/>
          </w:tcPr>
          <w:p w14:paraId="4DDBBC69"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01D7F758"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740EF41F"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7593EA92"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lastRenderedPageBreak/>
              <w:t>63</w:t>
            </w:r>
          </w:p>
        </w:tc>
        <w:tc>
          <w:tcPr>
            <w:tcW w:w="3493" w:type="pct"/>
            <w:tcBorders>
              <w:top w:val="nil"/>
              <w:left w:val="nil"/>
              <w:bottom w:val="single" w:sz="4" w:space="0" w:color="auto"/>
              <w:right w:val="single" w:sz="4" w:space="0" w:color="auto"/>
            </w:tcBorders>
            <w:shd w:val="clear" w:color="auto" w:fill="auto"/>
            <w:hideMark/>
          </w:tcPr>
          <w:p w14:paraId="469AE650"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should verify SPF, DKIM, and DMARC email authentication methods to ensure emails pass these email authentication checks.</w:t>
            </w:r>
          </w:p>
        </w:tc>
        <w:tc>
          <w:tcPr>
            <w:tcW w:w="638" w:type="pct"/>
            <w:tcBorders>
              <w:top w:val="nil"/>
              <w:left w:val="nil"/>
              <w:bottom w:val="single" w:sz="4" w:space="0" w:color="auto"/>
              <w:right w:val="single" w:sz="4" w:space="0" w:color="auto"/>
            </w:tcBorders>
            <w:shd w:val="clear" w:color="auto" w:fill="auto"/>
            <w:hideMark/>
          </w:tcPr>
          <w:p w14:paraId="3F826DE5"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09BEB413"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5CE53604" w14:textId="77777777" w:rsidTr="008E0319">
        <w:trPr>
          <w:trHeight w:val="300"/>
        </w:trPr>
        <w:tc>
          <w:tcPr>
            <w:tcW w:w="176" w:type="pct"/>
            <w:tcBorders>
              <w:top w:val="nil"/>
              <w:left w:val="single" w:sz="4" w:space="0" w:color="auto"/>
              <w:bottom w:val="single" w:sz="4" w:space="0" w:color="auto"/>
              <w:right w:val="single" w:sz="4" w:space="0" w:color="auto"/>
            </w:tcBorders>
            <w:shd w:val="clear" w:color="auto" w:fill="auto"/>
            <w:hideMark/>
          </w:tcPr>
          <w:p w14:paraId="7CB84471"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64</w:t>
            </w:r>
          </w:p>
        </w:tc>
        <w:tc>
          <w:tcPr>
            <w:tcW w:w="3493" w:type="pct"/>
            <w:tcBorders>
              <w:top w:val="nil"/>
              <w:left w:val="nil"/>
              <w:bottom w:val="single" w:sz="4" w:space="0" w:color="auto"/>
              <w:right w:val="single" w:sz="4" w:space="0" w:color="auto"/>
            </w:tcBorders>
            <w:shd w:val="clear" w:color="auto" w:fill="auto"/>
            <w:hideMark/>
          </w:tcPr>
          <w:p w14:paraId="44269491"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Real-time database updates must be supported and Users should be able to see the threat percentage of the email.</w:t>
            </w:r>
          </w:p>
        </w:tc>
        <w:tc>
          <w:tcPr>
            <w:tcW w:w="638" w:type="pct"/>
            <w:tcBorders>
              <w:top w:val="nil"/>
              <w:left w:val="nil"/>
              <w:bottom w:val="single" w:sz="4" w:space="0" w:color="auto"/>
              <w:right w:val="single" w:sz="4" w:space="0" w:color="auto"/>
            </w:tcBorders>
            <w:shd w:val="clear" w:color="auto" w:fill="auto"/>
            <w:hideMark/>
          </w:tcPr>
          <w:p w14:paraId="171E5FB6"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034A8537"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1D23331B" w14:textId="77777777" w:rsidTr="008E0319">
        <w:trPr>
          <w:trHeight w:val="300"/>
        </w:trPr>
        <w:tc>
          <w:tcPr>
            <w:tcW w:w="176" w:type="pct"/>
            <w:tcBorders>
              <w:top w:val="nil"/>
              <w:left w:val="single" w:sz="4" w:space="0" w:color="auto"/>
              <w:bottom w:val="single" w:sz="4" w:space="0" w:color="auto"/>
              <w:right w:val="single" w:sz="4" w:space="0" w:color="auto"/>
            </w:tcBorders>
            <w:shd w:val="clear" w:color="auto" w:fill="auto"/>
            <w:hideMark/>
          </w:tcPr>
          <w:p w14:paraId="605629A5"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65</w:t>
            </w:r>
          </w:p>
        </w:tc>
        <w:tc>
          <w:tcPr>
            <w:tcW w:w="3493" w:type="pct"/>
            <w:tcBorders>
              <w:top w:val="nil"/>
              <w:left w:val="nil"/>
              <w:bottom w:val="single" w:sz="4" w:space="0" w:color="auto"/>
              <w:right w:val="single" w:sz="4" w:space="0" w:color="auto"/>
            </w:tcBorders>
            <w:shd w:val="clear" w:color="auto" w:fill="auto"/>
            <w:hideMark/>
          </w:tcPr>
          <w:p w14:paraId="648888E3"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must allow users to download raw headers of emails and IP reputation checks should be performed.</w:t>
            </w:r>
          </w:p>
        </w:tc>
        <w:tc>
          <w:tcPr>
            <w:tcW w:w="638" w:type="pct"/>
            <w:tcBorders>
              <w:top w:val="nil"/>
              <w:left w:val="nil"/>
              <w:bottom w:val="single" w:sz="4" w:space="0" w:color="auto"/>
              <w:right w:val="single" w:sz="4" w:space="0" w:color="auto"/>
            </w:tcBorders>
            <w:shd w:val="clear" w:color="auto" w:fill="auto"/>
            <w:hideMark/>
          </w:tcPr>
          <w:p w14:paraId="64F86685"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2881F866"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795478BC"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6A6C4250"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66</w:t>
            </w:r>
          </w:p>
        </w:tc>
        <w:tc>
          <w:tcPr>
            <w:tcW w:w="3493" w:type="pct"/>
            <w:tcBorders>
              <w:top w:val="nil"/>
              <w:left w:val="nil"/>
              <w:bottom w:val="single" w:sz="4" w:space="0" w:color="auto"/>
              <w:right w:val="single" w:sz="4" w:space="0" w:color="auto"/>
            </w:tcBorders>
            <w:shd w:val="clear" w:color="auto" w:fill="auto"/>
            <w:hideMark/>
          </w:tcPr>
          <w:p w14:paraId="5638D70B"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should reputation of the sender's domain must be checked and Advanced protection for attachments and URLs/links is required.</w:t>
            </w:r>
          </w:p>
        </w:tc>
        <w:tc>
          <w:tcPr>
            <w:tcW w:w="638" w:type="pct"/>
            <w:tcBorders>
              <w:top w:val="nil"/>
              <w:left w:val="nil"/>
              <w:bottom w:val="single" w:sz="4" w:space="0" w:color="auto"/>
              <w:right w:val="single" w:sz="4" w:space="0" w:color="auto"/>
            </w:tcBorders>
            <w:shd w:val="clear" w:color="auto" w:fill="auto"/>
            <w:hideMark/>
          </w:tcPr>
          <w:p w14:paraId="5D9EB4FC"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2C920848"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0265F955"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38A8C88C"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67</w:t>
            </w:r>
          </w:p>
        </w:tc>
        <w:tc>
          <w:tcPr>
            <w:tcW w:w="3493" w:type="pct"/>
            <w:tcBorders>
              <w:top w:val="nil"/>
              <w:left w:val="nil"/>
              <w:bottom w:val="single" w:sz="4" w:space="0" w:color="auto"/>
              <w:right w:val="single" w:sz="4" w:space="0" w:color="auto"/>
            </w:tcBorders>
            <w:shd w:val="clear" w:color="auto" w:fill="auto"/>
            <w:hideMark/>
          </w:tcPr>
          <w:p w14:paraId="3E226D43"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Include specific requirements for hash algorithm standards (e.g., SHA-256) and detail 2FA methods (e.g., OTP, TOTP) to ensure compatibility and robustness.</w:t>
            </w:r>
          </w:p>
        </w:tc>
        <w:tc>
          <w:tcPr>
            <w:tcW w:w="638" w:type="pct"/>
            <w:tcBorders>
              <w:top w:val="nil"/>
              <w:left w:val="nil"/>
              <w:bottom w:val="single" w:sz="4" w:space="0" w:color="auto"/>
              <w:right w:val="single" w:sz="4" w:space="0" w:color="auto"/>
            </w:tcBorders>
            <w:shd w:val="clear" w:color="auto" w:fill="auto"/>
            <w:hideMark/>
          </w:tcPr>
          <w:p w14:paraId="49C68B57"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60DC66F0"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45DD4B14"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1D1AD3D3"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68</w:t>
            </w:r>
          </w:p>
        </w:tc>
        <w:tc>
          <w:tcPr>
            <w:tcW w:w="3493" w:type="pct"/>
            <w:tcBorders>
              <w:top w:val="nil"/>
              <w:left w:val="nil"/>
              <w:bottom w:val="single" w:sz="4" w:space="0" w:color="auto"/>
              <w:right w:val="single" w:sz="4" w:space="0" w:color="auto"/>
            </w:tcBorders>
            <w:shd w:val="clear" w:color="auto" w:fill="auto"/>
            <w:hideMark/>
          </w:tcPr>
          <w:p w14:paraId="293D03FF"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should perform deceptive domain checks and Users should receive notifications for reported, approved, or declined emails.</w:t>
            </w:r>
          </w:p>
        </w:tc>
        <w:tc>
          <w:tcPr>
            <w:tcW w:w="638" w:type="pct"/>
            <w:tcBorders>
              <w:top w:val="nil"/>
              <w:left w:val="nil"/>
              <w:bottom w:val="single" w:sz="4" w:space="0" w:color="auto"/>
              <w:right w:val="single" w:sz="4" w:space="0" w:color="auto"/>
            </w:tcBorders>
            <w:shd w:val="clear" w:color="auto" w:fill="auto"/>
            <w:hideMark/>
          </w:tcPr>
          <w:p w14:paraId="24CF1CEA"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3894F73A"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3B7DB221"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55962464"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69</w:t>
            </w:r>
          </w:p>
        </w:tc>
        <w:tc>
          <w:tcPr>
            <w:tcW w:w="3493" w:type="pct"/>
            <w:tcBorders>
              <w:top w:val="nil"/>
              <w:left w:val="nil"/>
              <w:bottom w:val="single" w:sz="4" w:space="0" w:color="auto"/>
              <w:right w:val="single" w:sz="4" w:space="0" w:color="auto"/>
            </w:tcBorders>
            <w:shd w:val="clear" w:color="auto" w:fill="auto"/>
            <w:hideMark/>
          </w:tcPr>
          <w:p w14:paraId="7BFF0045" w14:textId="4DEE3E1A"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 xml:space="preserve">The </w:t>
            </w:r>
            <w:r w:rsidR="00342ED2" w:rsidRPr="00985D46">
              <w:rPr>
                <w:rFonts w:ascii="Calibri" w:eastAsia="Times New Roman" w:hAnsi="Calibri" w:cs="Calibri"/>
                <w:sz w:val="20"/>
                <w:szCs w:val="20"/>
                <w:lang w:val="en-GB" w:eastAsia="en-GB"/>
              </w:rPr>
              <w:t>Solution</w:t>
            </w:r>
            <w:r w:rsidRPr="00985D46">
              <w:rPr>
                <w:rFonts w:ascii="Calibri" w:eastAsia="Times New Roman" w:hAnsi="Calibri" w:cs="Calibri"/>
                <w:sz w:val="20"/>
                <w:szCs w:val="20"/>
                <w:lang w:val="en-GB" w:eastAsia="en-GB"/>
              </w:rPr>
              <w:t xml:space="preserve"> must support multiple anti-virus scanning engines and DNS blackhole lists should be used for additional threat intelligence.</w:t>
            </w:r>
          </w:p>
        </w:tc>
        <w:tc>
          <w:tcPr>
            <w:tcW w:w="638" w:type="pct"/>
            <w:tcBorders>
              <w:top w:val="nil"/>
              <w:left w:val="nil"/>
              <w:bottom w:val="single" w:sz="4" w:space="0" w:color="auto"/>
              <w:right w:val="single" w:sz="4" w:space="0" w:color="auto"/>
            </w:tcBorders>
            <w:shd w:val="clear" w:color="auto" w:fill="auto"/>
            <w:hideMark/>
          </w:tcPr>
          <w:p w14:paraId="00BA3F25"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04152D76"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7D13CEB9" w14:textId="77777777" w:rsidTr="008E0319">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60276C0B"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70</w:t>
            </w:r>
          </w:p>
        </w:tc>
        <w:tc>
          <w:tcPr>
            <w:tcW w:w="3493" w:type="pct"/>
            <w:tcBorders>
              <w:top w:val="nil"/>
              <w:left w:val="nil"/>
              <w:bottom w:val="single" w:sz="4" w:space="0" w:color="auto"/>
              <w:right w:val="single" w:sz="4" w:space="0" w:color="auto"/>
            </w:tcBorders>
            <w:shd w:val="clear" w:color="auto" w:fill="auto"/>
            <w:hideMark/>
          </w:tcPr>
          <w:p w14:paraId="6368CA98"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should perform deceptive domain checks and Users should receive notifications for reported, approved, or declined emails.</w:t>
            </w:r>
          </w:p>
        </w:tc>
        <w:tc>
          <w:tcPr>
            <w:tcW w:w="638" w:type="pct"/>
            <w:tcBorders>
              <w:top w:val="nil"/>
              <w:left w:val="nil"/>
              <w:bottom w:val="single" w:sz="4" w:space="0" w:color="auto"/>
              <w:right w:val="single" w:sz="4" w:space="0" w:color="auto"/>
            </w:tcBorders>
            <w:shd w:val="clear" w:color="auto" w:fill="auto"/>
            <w:hideMark/>
          </w:tcPr>
          <w:p w14:paraId="463118F0"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6496825B"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368EB613" w14:textId="77777777" w:rsidTr="008E0319">
        <w:trPr>
          <w:trHeight w:val="300"/>
        </w:trPr>
        <w:tc>
          <w:tcPr>
            <w:tcW w:w="176" w:type="pct"/>
            <w:tcBorders>
              <w:top w:val="nil"/>
              <w:left w:val="single" w:sz="4" w:space="0" w:color="auto"/>
              <w:bottom w:val="single" w:sz="4" w:space="0" w:color="auto"/>
              <w:right w:val="single" w:sz="4" w:space="0" w:color="auto"/>
            </w:tcBorders>
            <w:shd w:val="clear" w:color="auto" w:fill="auto"/>
            <w:hideMark/>
          </w:tcPr>
          <w:p w14:paraId="7BEE7E19"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71</w:t>
            </w:r>
          </w:p>
        </w:tc>
        <w:tc>
          <w:tcPr>
            <w:tcW w:w="3493" w:type="pct"/>
            <w:tcBorders>
              <w:top w:val="nil"/>
              <w:left w:val="nil"/>
              <w:bottom w:val="single" w:sz="4" w:space="0" w:color="auto"/>
              <w:right w:val="single" w:sz="4" w:space="0" w:color="auto"/>
            </w:tcBorders>
            <w:shd w:val="clear" w:color="auto" w:fill="auto"/>
            <w:hideMark/>
          </w:tcPr>
          <w:p w14:paraId="07687EB2"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should provide header analysis capabilities.</w:t>
            </w:r>
          </w:p>
        </w:tc>
        <w:tc>
          <w:tcPr>
            <w:tcW w:w="638" w:type="pct"/>
            <w:tcBorders>
              <w:top w:val="nil"/>
              <w:left w:val="nil"/>
              <w:bottom w:val="single" w:sz="4" w:space="0" w:color="auto"/>
              <w:right w:val="single" w:sz="4" w:space="0" w:color="auto"/>
            </w:tcBorders>
            <w:shd w:val="clear" w:color="auto" w:fill="auto"/>
            <w:hideMark/>
          </w:tcPr>
          <w:p w14:paraId="4ED11EA5"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479191AF"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bl>
    <w:p w14:paraId="3F18CD30" w14:textId="77777777" w:rsidR="00985D46" w:rsidRDefault="00985D46">
      <w:pPr>
        <w:rPr>
          <w:rFonts w:cstheme="minorHAnsi"/>
        </w:rPr>
      </w:pPr>
    </w:p>
    <w:p w14:paraId="39D5F251" w14:textId="77777777" w:rsidR="00985D46" w:rsidRDefault="00985D46">
      <w:pPr>
        <w:rPr>
          <w:rFonts w:cstheme="minorHAnsi"/>
        </w:rPr>
      </w:pPr>
      <w:r>
        <w:rPr>
          <w:rFonts w:cstheme="minorHAnsi"/>
        </w:rPr>
        <w:br w:type="page"/>
      </w:r>
    </w:p>
    <w:tbl>
      <w:tblPr>
        <w:tblW w:w="5000" w:type="pct"/>
        <w:tblLook w:val="04A0" w:firstRow="1" w:lastRow="0" w:firstColumn="1" w:lastColumn="0" w:noHBand="0" w:noVBand="1"/>
      </w:tblPr>
      <w:tblGrid>
        <w:gridCol w:w="504"/>
        <w:gridCol w:w="9746"/>
        <w:gridCol w:w="1777"/>
        <w:gridCol w:w="1931"/>
      </w:tblGrid>
      <w:tr w:rsidR="00985D46" w:rsidRPr="00985D46" w14:paraId="5CD8FEFE" w14:textId="77777777" w:rsidTr="008E0319">
        <w:trPr>
          <w:trHeight w:val="315"/>
        </w:trPr>
        <w:tc>
          <w:tcPr>
            <w:tcW w:w="5000" w:type="pct"/>
            <w:gridSpan w:val="4"/>
            <w:tcBorders>
              <w:top w:val="nil"/>
              <w:left w:val="nil"/>
              <w:bottom w:val="single" w:sz="4" w:space="0" w:color="auto"/>
              <w:right w:val="nil"/>
            </w:tcBorders>
            <w:shd w:val="clear" w:color="000000" w:fill="FFE699"/>
            <w:hideMark/>
          </w:tcPr>
          <w:p w14:paraId="35F6EC6E" w14:textId="77777777" w:rsidR="00985D46" w:rsidRPr="00985D46" w:rsidRDefault="00985D46" w:rsidP="00985D46">
            <w:pPr>
              <w:spacing w:after="0" w:line="240" w:lineRule="auto"/>
              <w:jc w:val="center"/>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lastRenderedPageBreak/>
              <w:t xml:space="preserve">Technical Specifications for </w:t>
            </w:r>
            <w:r w:rsidRPr="00985D46">
              <w:rPr>
                <w:rFonts w:ascii="Calibri" w:eastAsia="Times New Roman" w:hAnsi="Calibri" w:cs="Calibri"/>
                <w:b/>
                <w:bCs/>
                <w:color w:val="000000"/>
                <w:sz w:val="24"/>
                <w:szCs w:val="24"/>
                <w:lang w:val="en-GB" w:eastAsia="en-GB"/>
              </w:rPr>
              <w:t>Active Directory Security</w:t>
            </w:r>
          </w:p>
        </w:tc>
      </w:tr>
      <w:tr w:rsidR="00985D46" w:rsidRPr="00985D46" w14:paraId="65766245" w14:textId="77777777" w:rsidTr="008E0319">
        <w:trPr>
          <w:trHeight w:val="630"/>
        </w:trPr>
        <w:tc>
          <w:tcPr>
            <w:tcW w:w="176" w:type="pct"/>
            <w:tcBorders>
              <w:top w:val="nil"/>
              <w:left w:val="single" w:sz="4" w:space="0" w:color="auto"/>
              <w:bottom w:val="single" w:sz="4" w:space="0" w:color="auto"/>
              <w:right w:val="single" w:sz="4" w:space="0" w:color="auto"/>
            </w:tcBorders>
            <w:shd w:val="clear" w:color="000000" w:fill="1F4E78"/>
            <w:hideMark/>
          </w:tcPr>
          <w:p w14:paraId="0BBB379C" w14:textId="77777777" w:rsidR="00985D46" w:rsidRPr="00985D46" w:rsidRDefault="00985D46" w:rsidP="00985D46">
            <w:pPr>
              <w:spacing w:after="0" w:line="240" w:lineRule="auto"/>
              <w:jc w:val="center"/>
              <w:rPr>
                <w:rFonts w:ascii="Calibri" w:eastAsia="Times New Roman" w:hAnsi="Calibri" w:cs="Calibri"/>
                <w:b/>
                <w:bCs/>
                <w:color w:val="FFFFFF"/>
                <w:sz w:val="24"/>
                <w:szCs w:val="24"/>
                <w:lang w:val="en-GB" w:eastAsia="en-GB"/>
              </w:rPr>
            </w:pPr>
            <w:r w:rsidRPr="00985D46">
              <w:rPr>
                <w:rFonts w:ascii="Calibri" w:eastAsia="Times New Roman" w:hAnsi="Calibri" w:cs="Calibri"/>
                <w:b/>
                <w:bCs/>
                <w:color w:val="FFFFFF"/>
                <w:sz w:val="24"/>
                <w:szCs w:val="24"/>
                <w:lang w:val="en-GB" w:eastAsia="en-GB"/>
              </w:rPr>
              <w:t>S No</w:t>
            </w:r>
          </w:p>
        </w:tc>
        <w:tc>
          <w:tcPr>
            <w:tcW w:w="3493" w:type="pct"/>
            <w:tcBorders>
              <w:top w:val="nil"/>
              <w:left w:val="nil"/>
              <w:bottom w:val="single" w:sz="4" w:space="0" w:color="auto"/>
              <w:right w:val="single" w:sz="4" w:space="0" w:color="auto"/>
            </w:tcBorders>
            <w:shd w:val="clear" w:color="000000" w:fill="1F4E78"/>
            <w:hideMark/>
          </w:tcPr>
          <w:p w14:paraId="28510D47" w14:textId="77777777" w:rsidR="00985D46" w:rsidRPr="00985D46" w:rsidRDefault="00985D46" w:rsidP="00985D46">
            <w:pPr>
              <w:spacing w:after="0" w:line="240" w:lineRule="auto"/>
              <w:rPr>
                <w:rFonts w:ascii="Calibri" w:eastAsia="Times New Roman" w:hAnsi="Calibri" w:cs="Calibri"/>
                <w:b/>
                <w:bCs/>
                <w:color w:val="FFFFFF"/>
                <w:sz w:val="24"/>
                <w:szCs w:val="24"/>
                <w:lang w:val="en-GB" w:eastAsia="en-GB"/>
              </w:rPr>
            </w:pPr>
            <w:r w:rsidRPr="00985D46">
              <w:rPr>
                <w:rFonts w:ascii="Calibri" w:eastAsia="Times New Roman" w:hAnsi="Calibri" w:cs="Calibri"/>
                <w:b/>
                <w:bCs/>
                <w:color w:val="FFFFFF"/>
                <w:sz w:val="24"/>
                <w:szCs w:val="24"/>
                <w:lang w:val="en-GB" w:eastAsia="en-GB"/>
              </w:rPr>
              <w:t xml:space="preserve">Minimum Technical Specifications </w:t>
            </w:r>
          </w:p>
        </w:tc>
        <w:tc>
          <w:tcPr>
            <w:tcW w:w="638" w:type="pct"/>
            <w:tcBorders>
              <w:top w:val="nil"/>
              <w:left w:val="nil"/>
              <w:bottom w:val="single" w:sz="4" w:space="0" w:color="auto"/>
              <w:right w:val="single" w:sz="4" w:space="0" w:color="auto"/>
            </w:tcBorders>
            <w:shd w:val="clear" w:color="000000" w:fill="1F4E78"/>
            <w:hideMark/>
          </w:tcPr>
          <w:p w14:paraId="487719B6" w14:textId="77777777" w:rsidR="00985D46" w:rsidRPr="00985D46" w:rsidRDefault="00985D46" w:rsidP="00985D46">
            <w:pPr>
              <w:spacing w:after="0" w:line="240" w:lineRule="auto"/>
              <w:rPr>
                <w:rFonts w:ascii="Calibri" w:eastAsia="Times New Roman" w:hAnsi="Calibri" w:cs="Calibri"/>
                <w:b/>
                <w:bCs/>
                <w:color w:val="FFFFFF"/>
                <w:sz w:val="24"/>
                <w:szCs w:val="24"/>
                <w:lang w:val="en-GB" w:eastAsia="en-GB"/>
              </w:rPr>
            </w:pPr>
            <w:r w:rsidRPr="00985D46">
              <w:rPr>
                <w:rFonts w:ascii="Calibri" w:eastAsia="Times New Roman" w:hAnsi="Calibri" w:cs="Calibri"/>
                <w:b/>
                <w:bCs/>
                <w:color w:val="FFFFFF"/>
                <w:sz w:val="24"/>
                <w:szCs w:val="24"/>
                <w:lang w:val="en-GB" w:eastAsia="en-GB"/>
              </w:rPr>
              <w:t>Vendor's Compliance</w:t>
            </w:r>
          </w:p>
        </w:tc>
        <w:tc>
          <w:tcPr>
            <w:tcW w:w="693" w:type="pct"/>
            <w:tcBorders>
              <w:top w:val="nil"/>
              <w:left w:val="nil"/>
              <w:bottom w:val="single" w:sz="4" w:space="0" w:color="auto"/>
              <w:right w:val="single" w:sz="4" w:space="0" w:color="auto"/>
            </w:tcBorders>
            <w:shd w:val="clear" w:color="000000" w:fill="1F4E78"/>
            <w:hideMark/>
          </w:tcPr>
          <w:p w14:paraId="1C222872" w14:textId="77777777" w:rsidR="00985D46" w:rsidRPr="00985D46" w:rsidRDefault="00985D46" w:rsidP="00985D46">
            <w:pPr>
              <w:spacing w:after="0" w:line="240" w:lineRule="auto"/>
              <w:rPr>
                <w:rFonts w:ascii="Calibri" w:eastAsia="Times New Roman" w:hAnsi="Calibri" w:cs="Calibri"/>
                <w:b/>
                <w:bCs/>
                <w:color w:val="FFFFFF"/>
                <w:sz w:val="24"/>
                <w:szCs w:val="24"/>
                <w:lang w:val="en-GB" w:eastAsia="en-GB"/>
              </w:rPr>
            </w:pPr>
            <w:r w:rsidRPr="00985D46">
              <w:rPr>
                <w:rFonts w:ascii="Calibri" w:eastAsia="Times New Roman" w:hAnsi="Calibri" w:cs="Calibri"/>
                <w:b/>
                <w:bCs/>
                <w:color w:val="FFFFFF"/>
                <w:sz w:val="24"/>
                <w:szCs w:val="24"/>
                <w:lang w:val="en-GB" w:eastAsia="en-GB"/>
              </w:rPr>
              <w:t>Vendor's Remark</w:t>
            </w:r>
          </w:p>
        </w:tc>
      </w:tr>
      <w:tr w:rsidR="00985D46" w:rsidRPr="00985D46" w14:paraId="2AF0EA61" w14:textId="77777777" w:rsidTr="008E0319">
        <w:trPr>
          <w:trHeight w:val="315"/>
        </w:trPr>
        <w:tc>
          <w:tcPr>
            <w:tcW w:w="176" w:type="pct"/>
            <w:tcBorders>
              <w:top w:val="nil"/>
              <w:left w:val="single" w:sz="4" w:space="0" w:color="auto"/>
              <w:bottom w:val="single" w:sz="4" w:space="0" w:color="auto"/>
              <w:right w:val="single" w:sz="4" w:space="0" w:color="auto"/>
            </w:tcBorders>
            <w:shd w:val="clear" w:color="000000" w:fill="DDEBF7"/>
            <w:hideMark/>
          </w:tcPr>
          <w:p w14:paraId="09A4EE80" w14:textId="77777777" w:rsidR="00985D46" w:rsidRPr="00985D46" w:rsidRDefault="00985D46" w:rsidP="00985D46">
            <w:pPr>
              <w:spacing w:after="0" w:line="240" w:lineRule="auto"/>
              <w:jc w:val="center"/>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A</w:t>
            </w:r>
          </w:p>
        </w:tc>
        <w:tc>
          <w:tcPr>
            <w:tcW w:w="3493" w:type="pct"/>
            <w:tcBorders>
              <w:top w:val="nil"/>
              <w:left w:val="nil"/>
              <w:bottom w:val="single" w:sz="4" w:space="0" w:color="auto"/>
              <w:right w:val="single" w:sz="4" w:space="0" w:color="auto"/>
            </w:tcBorders>
            <w:shd w:val="clear" w:color="000000" w:fill="DDEBF7"/>
            <w:hideMark/>
          </w:tcPr>
          <w:p w14:paraId="175E5A87" w14:textId="77777777" w:rsidR="00985D46" w:rsidRPr="00985D46" w:rsidRDefault="00985D46" w:rsidP="00985D46">
            <w:pPr>
              <w:spacing w:after="0" w:line="240" w:lineRule="auto"/>
              <w:rPr>
                <w:rFonts w:ascii="Calibri" w:eastAsia="Times New Roman" w:hAnsi="Calibri" w:cs="Calibri"/>
                <w:b/>
                <w:bCs/>
                <w:sz w:val="24"/>
                <w:szCs w:val="24"/>
                <w:lang w:val="en-GB" w:eastAsia="en-GB"/>
              </w:rPr>
            </w:pPr>
            <w:r w:rsidRPr="00985D46">
              <w:rPr>
                <w:rFonts w:ascii="Calibri" w:eastAsia="Times New Roman" w:hAnsi="Calibri" w:cs="Calibri"/>
                <w:b/>
                <w:bCs/>
                <w:sz w:val="24"/>
                <w:szCs w:val="24"/>
                <w:lang w:val="en-GB" w:eastAsia="en-GB"/>
              </w:rPr>
              <w:t>User Behavior Analytics</w:t>
            </w:r>
          </w:p>
        </w:tc>
        <w:tc>
          <w:tcPr>
            <w:tcW w:w="638" w:type="pct"/>
            <w:tcBorders>
              <w:top w:val="nil"/>
              <w:left w:val="nil"/>
              <w:bottom w:val="single" w:sz="4" w:space="0" w:color="auto"/>
              <w:right w:val="single" w:sz="4" w:space="0" w:color="auto"/>
            </w:tcBorders>
            <w:shd w:val="clear" w:color="auto" w:fill="auto"/>
            <w:hideMark/>
          </w:tcPr>
          <w:p w14:paraId="19C39F19"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3" w:type="pct"/>
            <w:tcBorders>
              <w:top w:val="nil"/>
              <w:left w:val="nil"/>
              <w:bottom w:val="single" w:sz="4" w:space="0" w:color="auto"/>
              <w:right w:val="single" w:sz="4" w:space="0" w:color="auto"/>
            </w:tcBorders>
            <w:shd w:val="clear" w:color="auto" w:fill="auto"/>
            <w:hideMark/>
          </w:tcPr>
          <w:p w14:paraId="00BB4273"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r w:rsidR="00985D46" w:rsidRPr="00985D46" w14:paraId="4440D9D9"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775C5258"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w:t>
            </w:r>
          </w:p>
        </w:tc>
        <w:tc>
          <w:tcPr>
            <w:tcW w:w="3493" w:type="pct"/>
            <w:tcBorders>
              <w:top w:val="nil"/>
              <w:left w:val="nil"/>
              <w:bottom w:val="single" w:sz="4" w:space="0" w:color="auto"/>
              <w:right w:val="single" w:sz="4" w:space="0" w:color="auto"/>
            </w:tcBorders>
            <w:shd w:val="clear" w:color="auto" w:fill="auto"/>
            <w:hideMark/>
          </w:tcPr>
          <w:p w14:paraId="2BCFEDC6"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The solution must be capable of sending behavior alerts via email to ensure timely notification based on identified threat patterns.</w:t>
            </w:r>
          </w:p>
        </w:tc>
        <w:tc>
          <w:tcPr>
            <w:tcW w:w="638" w:type="pct"/>
            <w:tcBorders>
              <w:top w:val="nil"/>
              <w:left w:val="nil"/>
              <w:bottom w:val="single" w:sz="4" w:space="0" w:color="auto"/>
              <w:right w:val="single" w:sz="4" w:space="0" w:color="auto"/>
            </w:tcBorders>
            <w:shd w:val="clear" w:color="auto" w:fill="auto"/>
            <w:hideMark/>
          </w:tcPr>
          <w:p w14:paraId="62E18118"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3" w:type="pct"/>
            <w:tcBorders>
              <w:top w:val="nil"/>
              <w:left w:val="nil"/>
              <w:bottom w:val="single" w:sz="4" w:space="0" w:color="auto"/>
              <w:right w:val="single" w:sz="4" w:space="0" w:color="auto"/>
            </w:tcBorders>
            <w:shd w:val="clear" w:color="auto" w:fill="auto"/>
            <w:hideMark/>
          </w:tcPr>
          <w:p w14:paraId="00227075"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r w:rsidR="00985D46" w:rsidRPr="00985D46" w14:paraId="62EDA7F2"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06F22D28"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2</w:t>
            </w:r>
          </w:p>
        </w:tc>
        <w:tc>
          <w:tcPr>
            <w:tcW w:w="3493" w:type="pct"/>
            <w:tcBorders>
              <w:top w:val="nil"/>
              <w:left w:val="nil"/>
              <w:bottom w:val="single" w:sz="4" w:space="0" w:color="auto"/>
              <w:right w:val="single" w:sz="4" w:space="0" w:color="auto"/>
            </w:tcBorders>
            <w:shd w:val="clear" w:color="auto" w:fill="auto"/>
            <w:hideMark/>
          </w:tcPr>
          <w:p w14:paraId="13BB18CC"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The solution should support sending behavior alerts via syslog to enable integration with diverse logging and monitoring systems.</w:t>
            </w:r>
          </w:p>
        </w:tc>
        <w:tc>
          <w:tcPr>
            <w:tcW w:w="638" w:type="pct"/>
            <w:tcBorders>
              <w:top w:val="nil"/>
              <w:left w:val="nil"/>
              <w:bottom w:val="single" w:sz="4" w:space="0" w:color="auto"/>
              <w:right w:val="single" w:sz="4" w:space="0" w:color="auto"/>
            </w:tcBorders>
            <w:shd w:val="clear" w:color="auto" w:fill="auto"/>
            <w:hideMark/>
          </w:tcPr>
          <w:p w14:paraId="0BB3059B"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3" w:type="pct"/>
            <w:tcBorders>
              <w:top w:val="nil"/>
              <w:left w:val="nil"/>
              <w:bottom w:val="single" w:sz="4" w:space="0" w:color="auto"/>
              <w:right w:val="single" w:sz="4" w:space="0" w:color="auto"/>
            </w:tcBorders>
            <w:shd w:val="clear" w:color="auto" w:fill="auto"/>
            <w:hideMark/>
          </w:tcPr>
          <w:p w14:paraId="6DEAC753"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r w:rsidR="00985D46" w:rsidRPr="00985D46" w14:paraId="3C6D8B7C"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5250E53A"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3</w:t>
            </w:r>
          </w:p>
        </w:tc>
        <w:tc>
          <w:tcPr>
            <w:tcW w:w="3493" w:type="pct"/>
            <w:tcBorders>
              <w:top w:val="nil"/>
              <w:left w:val="nil"/>
              <w:bottom w:val="single" w:sz="4" w:space="0" w:color="auto"/>
              <w:right w:val="single" w:sz="4" w:space="0" w:color="auto"/>
            </w:tcBorders>
            <w:shd w:val="clear" w:color="auto" w:fill="auto"/>
            <w:hideMark/>
          </w:tcPr>
          <w:p w14:paraId="0476B4A5"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The solution must have the capability to send behavior alerts via SNMP or alternative methods for direct integration with existing network management and monitoring tools.</w:t>
            </w:r>
          </w:p>
        </w:tc>
        <w:tc>
          <w:tcPr>
            <w:tcW w:w="638" w:type="pct"/>
            <w:tcBorders>
              <w:top w:val="nil"/>
              <w:left w:val="nil"/>
              <w:bottom w:val="single" w:sz="4" w:space="0" w:color="auto"/>
              <w:right w:val="single" w:sz="4" w:space="0" w:color="auto"/>
            </w:tcBorders>
            <w:shd w:val="clear" w:color="auto" w:fill="auto"/>
            <w:hideMark/>
          </w:tcPr>
          <w:p w14:paraId="58FCD7DC"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3" w:type="pct"/>
            <w:tcBorders>
              <w:top w:val="nil"/>
              <w:left w:val="nil"/>
              <w:bottom w:val="single" w:sz="4" w:space="0" w:color="auto"/>
              <w:right w:val="single" w:sz="4" w:space="0" w:color="auto"/>
            </w:tcBorders>
            <w:shd w:val="clear" w:color="auto" w:fill="auto"/>
            <w:hideMark/>
          </w:tcPr>
          <w:p w14:paraId="76F1FC6B"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r w:rsidR="00985D46" w:rsidRPr="00985D46" w14:paraId="41B24EF0"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518CDC34"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4</w:t>
            </w:r>
          </w:p>
        </w:tc>
        <w:tc>
          <w:tcPr>
            <w:tcW w:w="3493" w:type="pct"/>
            <w:tcBorders>
              <w:top w:val="nil"/>
              <w:left w:val="nil"/>
              <w:bottom w:val="single" w:sz="4" w:space="0" w:color="auto"/>
              <w:right w:val="single" w:sz="4" w:space="0" w:color="auto"/>
            </w:tcBorders>
            <w:shd w:val="clear" w:color="auto" w:fill="auto"/>
            <w:hideMark/>
          </w:tcPr>
          <w:p w14:paraId="23E88DA9"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The solution should offer a mechanism to automatically trigger predefined actions in response to detected behavioral alerts, ensuring swift and proactive threat response.</w:t>
            </w:r>
          </w:p>
        </w:tc>
        <w:tc>
          <w:tcPr>
            <w:tcW w:w="638" w:type="pct"/>
            <w:tcBorders>
              <w:top w:val="nil"/>
              <w:left w:val="nil"/>
              <w:bottom w:val="single" w:sz="4" w:space="0" w:color="auto"/>
              <w:right w:val="single" w:sz="4" w:space="0" w:color="auto"/>
            </w:tcBorders>
            <w:shd w:val="clear" w:color="auto" w:fill="auto"/>
            <w:hideMark/>
          </w:tcPr>
          <w:p w14:paraId="2B8F4CE9"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3" w:type="pct"/>
            <w:tcBorders>
              <w:top w:val="nil"/>
              <w:left w:val="nil"/>
              <w:bottom w:val="single" w:sz="4" w:space="0" w:color="auto"/>
              <w:right w:val="single" w:sz="4" w:space="0" w:color="auto"/>
            </w:tcBorders>
            <w:shd w:val="clear" w:color="auto" w:fill="auto"/>
            <w:hideMark/>
          </w:tcPr>
          <w:p w14:paraId="3386492F"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r w:rsidR="00985D46" w:rsidRPr="00985D46" w14:paraId="3AD42E36"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708B363C"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5</w:t>
            </w:r>
          </w:p>
        </w:tc>
        <w:tc>
          <w:tcPr>
            <w:tcW w:w="3493" w:type="pct"/>
            <w:tcBorders>
              <w:top w:val="nil"/>
              <w:left w:val="nil"/>
              <w:bottom w:val="single" w:sz="4" w:space="0" w:color="auto"/>
              <w:right w:val="single" w:sz="4" w:space="0" w:color="auto"/>
            </w:tcBorders>
            <w:shd w:val="clear" w:color="auto" w:fill="auto"/>
            <w:hideMark/>
          </w:tcPr>
          <w:p w14:paraId="27AC8EF7"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It must automatically identify, categorize, and alert on abnormal behavior related to administrator accounts, including both a typical and high-risk patterns in their activities.</w:t>
            </w:r>
          </w:p>
        </w:tc>
        <w:tc>
          <w:tcPr>
            <w:tcW w:w="638" w:type="pct"/>
            <w:tcBorders>
              <w:top w:val="nil"/>
              <w:left w:val="nil"/>
              <w:bottom w:val="single" w:sz="4" w:space="0" w:color="auto"/>
              <w:right w:val="single" w:sz="4" w:space="0" w:color="auto"/>
            </w:tcBorders>
            <w:shd w:val="clear" w:color="auto" w:fill="auto"/>
            <w:hideMark/>
          </w:tcPr>
          <w:p w14:paraId="21F55440"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3" w:type="pct"/>
            <w:tcBorders>
              <w:top w:val="nil"/>
              <w:left w:val="nil"/>
              <w:bottom w:val="single" w:sz="4" w:space="0" w:color="auto"/>
              <w:right w:val="single" w:sz="4" w:space="0" w:color="auto"/>
            </w:tcBorders>
            <w:shd w:val="clear" w:color="auto" w:fill="auto"/>
            <w:hideMark/>
          </w:tcPr>
          <w:p w14:paraId="5BADEFC5"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r w:rsidR="00985D46" w:rsidRPr="00985D46" w14:paraId="6B6AC66A"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78FD98B1"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6</w:t>
            </w:r>
          </w:p>
        </w:tc>
        <w:tc>
          <w:tcPr>
            <w:tcW w:w="3493" w:type="pct"/>
            <w:tcBorders>
              <w:top w:val="nil"/>
              <w:left w:val="nil"/>
              <w:bottom w:val="single" w:sz="4" w:space="0" w:color="auto"/>
              <w:right w:val="single" w:sz="4" w:space="0" w:color="auto"/>
            </w:tcBorders>
            <w:shd w:val="clear" w:color="auto" w:fill="auto"/>
            <w:hideMark/>
          </w:tcPr>
          <w:p w14:paraId="33D7BEA7"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The solution needs to autonomously detect and flag behavioral anomalies associated with service accounts to provide early warnings of potential security risks.</w:t>
            </w:r>
          </w:p>
        </w:tc>
        <w:tc>
          <w:tcPr>
            <w:tcW w:w="638" w:type="pct"/>
            <w:tcBorders>
              <w:top w:val="nil"/>
              <w:left w:val="nil"/>
              <w:bottom w:val="single" w:sz="4" w:space="0" w:color="auto"/>
              <w:right w:val="single" w:sz="4" w:space="0" w:color="auto"/>
            </w:tcBorders>
            <w:shd w:val="clear" w:color="auto" w:fill="auto"/>
            <w:hideMark/>
          </w:tcPr>
          <w:p w14:paraId="76B9EC59"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3" w:type="pct"/>
            <w:tcBorders>
              <w:top w:val="nil"/>
              <w:left w:val="nil"/>
              <w:bottom w:val="single" w:sz="4" w:space="0" w:color="auto"/>
              <w:right w:val="single" w:sz="4" w:space="0" w:color="auto"/>
            </w:tcBorders>
            <w:shd w:val="clear" w:color="auto" w:fill="auto"/>
            <w:hideMark/>
          </w:tcPr>
          <w:p w14:paraId="55AD10CF"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r w:rsidR="00985D46" w:rsidRPr="00985D46" w14:paraId="5BF7EE5E"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7A4ABBF4"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7</w:t>
            </w:r>
          </w:p>
        </w:tc>
        <w:tc>
          <w:tcPr>
            <w:tcW w:w="3493" w:type="pct"/>
            <w:tcBorders>
              <w:top w:val="nil"/>
              <w:left w:val="nil"/>
              <w:bottom w:val="single" w:sz="4" w:space="0" w:color="auto"/>
              <w:right w:val="single" w:sz="4" w:space="0" w:color="auto"/>
            </w:tcBorders>
            <w:shd w:val="clear" w:color="auto" w:fill="auto"/>
            <w:hideMark/>
          </w:tcPr>
          <w:p w14:paraId="20196BC4"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It must automatically recognize and alert concerning any unusual behavior from executive-level user accounts, enabling proactive measures against security threats.</w:t>
            </w:r>
          </w:p>
        </w:tc>
        <w:tc>
          <w:tcPr>
            <w:tcW w:w="638" w:type="pct"/>
            <w:tcBorders>
              <w:top w:val="nil"/>
              <w:left w:val="nil"/>
              <w:bottom w:val="single" w:sz="4" w:space="0" w:color="auto"/>
              <w:right w:val="single" w:sz="4" w:space="0" w:color="auto"/>
            </w:tcBorders>
            <w:shd w:val="clear" w:color="auto" w:fill="auto"/>
            <w:hideMark/>
          </w:tcPr>
          <w:p w14:paraId="0A47F5E1"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3" w:type="pct"/>
            <w:tcBorders>
              <w:top w:val="nil"/>
              <w:left w:val="nil"/>
              <w:bottom w:val="single" w:sz="4" w:space="0" w:color="auto"/>
              <w:right w:val="single" w:sz="4" w:space="0" w:color="auto"/>
            </w:tcBorders>
            <w:shd w:val="clear" w:color="auto" w:fill="auto"/>
            <w:hideMark/>
          </w:tcPr>
          <w:p w14:paraId="05B06AA5"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r w:rsidR="00985D46" w:rsidRPr="00985D46" w14:paraId="05D98661"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51806F5A"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8</w:t>
            </w:r>
          </w:p>
        </w:tc>
        <w:tc>
          <w:tcPr>
            <w:tcW w:w="3493" w:type="pct"/>
            <w:tcBorders>
              <w:top w:val="nil"/>
              <w:left w:val="nil"/>
              <w:bottom w:val="single" w:sz="4" w:space="0" w:color="auto"/>
              <w:right w:val="single" w:sz="4" w:space="0" w:color="auto"/>
            </w:tcBorders>
            <w:shd w:val="clear" w:color="auto" w:fill="auto"/>
            <w:hideMark/>
          </w:tcPr>
          <w:p w14:paraId="473CBC6B"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The solution should automatically identify behavioral patterns associated with executive data, generating alerts when abnormal activities are detected.</w:t>
            </w:r>
          </w:p>
        </w:tc>
        <w:tc>
          <w:tcPr>
            <w:tcW w:w="638" w:type="pct"/>
            <w:tcBorders>
              <w:top w:val="nil"/>
              <w:left w:val="nil"/>
              <w:bottom w:val="single" w:sz="4" w:space="0" w:color="auto"/>
              <w:right w:val="single" w:sz="4" w:space="0" w:color="auto"/>
            </w:tcBorders>
            <w:shd w:val="clear" w:color="auto" w:fill="auto"/>
            <w:hideMark/>
          </w:tcPr>
          <w:p w14:paraId="00151DDB"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3" w:type="pct"/>
            <w:tcBorders>
              <w:top w:val="nil"/>
              <w:left w:val="nil"/>
              <w:bottom w:val="single" w:sz="4" w:space="0" w:color="auto"/>
              <w:right w:val="single" w:sz="4" w:space="0" w:color="auto"/>
            </w:tcBorders>
            <w:shd w:val="clear" w:color="auto" w:fill="auto"/>
            <w:hideMark/>
          </w:tcPr>
          <w:p w14:paraId="45270AE3"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r w:rsidR="00985D46" w:rsidRPr="00985D46" w14:paraId="23A94DCC"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0504E52C"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9</w:t>
            </w:r>
          </w:p>
        </w:tc>
        <w:tc>
          <w:tcPr>
            <w:tcW w:w="3493" w:type="pct"/>
            <w:tcBorders>
              <w:top w:val="nil"/>
              <w:left w:val="nil"/>
              <w:bottom w:val="single" w:sz="4" w:space="0" w:color="auto"/>
              <w:right w:val="single" w:sz="4" w:space="0" w:color="auto"/>
            </w:tcBorders>
            <w:shd w:val="clear" w:color="auto" w:fill="auto"/>
            <w:hideMark/>
          </w:tcPr>
          <w:p w14:paraId="27D889B9"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It must employ behavior analytics to recognize and indicate patterns that correspond to known cyber threats and attack methodologies, raising alerts accordingly.</w:t>
            </w:r>
          </w:p>
        </w:tc>
        <w:tc>
          <w:tcPr>
            <w:tcW w:w="638" w:type="pct"/>
            <w:tcBorders>
              <w:top w:val="nil"/>
              <w:left w:val="nil"/>
              <w:bottom w:val="single" w:sz="4" w:space="0" w:color="auto"/>
              <w:right w:val="single" w:sz="4" w:space="0" w:color="auto"/>
            </w:tcBorders>
            <w:shd w:val="clear" w:color="auto" w:fill="auto"/>
            <w:hideMark/>
          </w:tcPr>
          <w:p w14:paraId="392855A6"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3" w:type="pct"/>
            <w:tcBorders>
              <w:top w:val="nil"/>
              <w:left w:val="nil"/>
              <w:bottom w:val="single" w:sz="4" w:space="0" w:color="auto"/>
              <w:right w:val="single" w:sz="4" w:space="0" w:color="auto"/>
            </w:tcBorders>
            <w:shd w:val="clear" w:color="auto" w:fill="auto"/>
            <w:hideMark/>
          </w:tcPr>
          <w:p w14:paraId="5B6A9A2B"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r w:rsidR="00985D46" w:rsidRPr="00985D46" w14:paraId="0D757CDB"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311A4D59"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10</w:t>
            </w:r>
          </w:p>
        </w:tc>
        <w:tc>
          <w:tcPr>
            <w:tcW w:w="3493" w:type="pct"/>
            <w:tcBorders>
              <w:top w:val="nil"/>
              <w:left w:val="nil"/>
              <w:bottom w:val="single" w:sz="4" w:space="0" w:color="auto"/>
              <w:right w:val="single" w:sz="4" w:space="0" w:color="auto"/>
            </w:tcBorders>
            <w:shd w:val="clear" w:color="auto" w:fill="auto"/>
            <w:hideMark/>
          </w:tcPr>
          <w:p w14:paraId="591618B0"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The solution should use behavior analytics to detect abnormal user file access and issue alerts when suspicious patterns are identified.</w:t>
            </w:r>
          </w:p>
        </w:tc>
        <w:tc>
          <w:tcPr>
            <w:tcW w:w="638" w:type="pct"/>
            <w:tcBorders>
              <w:top w:val="nil"/>
              <w:left w:val="nil"/>
              <w:bottom w:val="single" w:sz="4" w:space="0" w:color="auto"/>
              <w:right w:val="single" w:sz="4" w:space="0" w:color="auto"/>
            </w:tcBorders>
            <w:shd w:val="clear" w:color="auto" w:fill="auto"/>
            <w:hideMark/>
          </w:tcPr>
          <w:p w14:paraId="3FBDEB1C"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3" w:type="pct"/>
            <w:tcBorders>
              <w:top w:val="nil"/>
              <w:left w:val="nil"/>
              <w:bottom w:val="single" w:sz="4" w:space="0" w:color="auto"/>
              <w:right w:val="single" w:sz="4" w:space="0" w:color="auto"/>
            </w:tcBorders>
            <w:shd w:val="clear" w:color="auto" w:fill="auto"/>
            <w:hideMark/>
          </w:tcPr>
          <w:p w14:paraId="73F15C79"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r w:rsidR="00985D46" w:rsidRPr="00985D46" w14:paraId="38BB215B"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6F438A70"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11</w:t>
            </w:r>
          </w:p>
        </w:tc>
        <w:tc>
          <w:tcPr>
            <w:tcW w:w="3493" w:type="pct"/>
            <w:tcBorders>
              <w:top w:val="nil"/>
              <w:left w:val="nil"/>
              <w:bottom w:val="single" w:sz="4" w:space="0" w:color="auto"/>
              <w:right w:val="single" w:sz="4" w:space="0" w:color="auto"/>
            </w:tcBorders>
            <w:shd w:val="clear" w:color="auto" w:fill="auto"/>
            <w:hideMark/>
          </w:tcPr>
          <w:p w14:paraId="0D22E353"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It must provide behavior analytics-based alerting for abnormal user folder access to indicate potential security breaches or unauthorized activities.</w:t>
            </w:r>
          </w:p>
        </w:tc>
        <w:tc>
          <w:tcPr>
            <w:tcW w:w="638" w:type="pct"/>
            <w:tcBorders>
              <w:top w:val="nil"/>
              <w:left w:val="nil"/>
              <w:bottom w:val="single" w:sz="4" w:space="0" w:color="auto"/>
              <w:right w:val="single" w:sz="4" w:space="0" w:color="auto"/>
            </w:tcBorders>
            <w:shd w:val="clear" w:color="auto" w:fill="auto"/>
            <w:hideMark/>
          </w:tcPr>
          <w:p w14:paraId="0E77ABB7"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3" w:type="pct"/>
            <w:tcBorders>
              <w:top w:val="nil"/>
              <w:left w:val="nil"/>
              <w:bottom w:val="single" w:sz="4" w:space="0" w:color="auto"/>
              <w:right w:val="single" w:sz="4" w:space="0" w:color="auto"/>
            </w:tcBorders>
            <w:shd w:val="clear" w:color="auto" w:fill="auto"/>
            <w:hideMark/>
          </w:tcPr>
          <w:p w14:paraId="200346AD"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r w:rsidR="00985D46" w:rsidRPr="00985D46" w14:paraId="5433F7F8"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7DFB76F9"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lastRenderedPageBreak/>
              <w:t>12</w:t>
            </w:r>
          </w:p>
        </w:tc>
        <w:tc>
          <w:tcPr>
            <w:tcW w:w="3493" w:type="pct"/>
            <w:tcBorders>
              <w:top w:val="nil"/>
              <w:left w:val="nil"/>
              <w:bottom w:val="single" w:sz="4" w:space="0" w:color="auto"/>
              <w:right w:val="single" w:sz="4" w:space="0" w:color="auto"/>
            </w:tcBorders>
            <w:shd w:val="clear" w:color="auto" w:fill="auto"/>
            <w:hideMark/>
          </w:tcPr>
          <w:p w14:paraId="33102345" w14:textId="6D49366D"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 xml:space="preserve">The solution should offer behavior analytics-based alerting on abnormal user mailbox access to </w:t>
            </w:r>
            <w:r w:rsidR="00342ED2" w:rsidRPr="00985D46">
              <w:rPr>
                <w:rFonts w:ascii="Calibri" w:eastAsia="Times New Roman" w:hAnsi="Calibri" w:cs="Calibri"/>
                <w:lang w:val="en-GB" w:eastAsia="en-GB"/>
              </w:rPr>
              <w:t>pre-emptively</w:t>
            </w:r>
            <w:r w:rsidRPr="00985D46">
              <w:rPr>
                <w:rFonts w:ascii="Calibri" w:eastAsia="Times New Roman" w:hAnsi="Calibri" w:cs="Calibri"/>
                <w:lang w:val="en-GB" w:eastAsia="en-GB"/>
              </w:rPr>
              <w:t xml:space="preserve"> notify about potential security threats.</w:t>
            </w:r>
          </w:p>
        </w:tc>
        <w:tc>
          <w:tcPr>
            <w:tcW w:w="638" w:type="pct"/>
            <w:tcBorders>
              <w:top w:val="nil"/>
              <w:left w:val="nil"/>
              <w:bottom w:val="single" w:sz="4" w:space="0" w:color="auto"/>
              <w:right w:val="single" w:sz="4" w:space="0" w:color="auto"/>
            </w:tcBorders>
            <w:shd w:val="clear" w:color="auto" w:fill="auto"/>
            <w:hideMark/>
          </w:tcPr>
          <w:p w14:paraId="0D25EECD"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3" w:type="pct"/>
            <w:tcBorders>
              <w:top w:val="nil"/>
              <w:left w:val="nil"/>
              <w:bottom w:val="single" w:sz="4" w:space="0" w:color="auto"/>
              <w:right w:val="single" w:sz="4" w:space="0" w:color="auto"/>
            </w:tcBorders>
            <w:shd w:val="clear" w:color="auto" w:fill="auto"/>
            <w:hideMark/>
          </w:tcPr>
          <w:p w14:paraId="0346F50F"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r w:rsidR="00985D46" w:rsidRPr="00985D46" w14:paraId="2AC31E9D"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68BCD5C9"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13</w:t>
            </w:r>
          </w:p>
        </w:tc>
        <w:tc>
          <w:tcPr>
            <w:tcW w:w="3493" w:type="pct"/>
            <w:tcBorders>
              <w:top w:val="nil"/>
              <w:left w:val="nil"/>
              <w:bottom w:val="single" w:sz="4" w:space="0" w:color="auto"/>
              <w:right w:val="single" w:sz="4" w:space="0" w:color="auto"/>
            </w:tcBorders>
            <w:shd w:val="clear" w:color="auto" w:fill="auto"/>
            <w:hideMark/>
          </w:tcPr>
          <w:p w14:paraId="2F62780E"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It should use behavior analytics to alert on abnormal user device logons, signaling potential security issues or compromised devices.</w:t>
            </w:r>
          </w:p>
        </w:tc>
        <w:tc>
          <w:tcPr>
            <w:tcW w:w="638" w:type="pct"/>
            <w:tcBorders>
              <w:top w:val="nil"/>
              <w:left w:val="nil"/>
              <w:bottom w:val="single" w:sz="4" w:space="0" w:color="auto"/>
              <w:right w:val="single" w:sz="4" w:space="0" w:color="auto"/>
            </w:tcBorders>
            <w:shd w:val="clear" w:color="auto" w:fill="auto"/>
            <w:hideMark/>
          </w:tcPr>
          <w:p w14:paraId="6FA48A79"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3" w:type="pct"/>
            <w:tcBorders>
              <w:top w:val="nil"/>
              <w:left w:val="nil"/>
              <w:bottom w:val="single" w:sz="4" w:space="0" w:color="auto"/>
              <w:right w:val="single" w:sz="4" w:space="0" w:color="auto"/>
            </w:tcBorders>
            <w:shd w:val="clear" w:color="auto" w:fill="auto"/>
            <w:hideMark/>
          </w:tcPr>
          <w:p w14:paraId="1661388C"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r w:rsidR="00985D46" w:rsidRPr="00985D46" w14:paraId="7270A861" w14:textId="77777777" w:rsidTr="008E0319">
        <w:trPr>
          <w:trHeight w:val="315"/>
        </w:trPr>
        <w:tc>
          <w:tcPr>
            <w:tcW w:w="176" w:type="pct"/>
            <w:tcBorders>
              <w:top w:val="nil"/>
              <w:left w:val="single" w:sz="4" w:space="0" w:color="auto"/>
              <w:bottom w:val="single" w:sz="4" w:space="0" w:color="auto"/>
              <w:right w:val="single" w:sz="4" w:space="0" w:color="auto"/>
            </w:tcBorders>
            <w:shd w:val="clear" w:color="auto" w:fill="auto"/>
            <w:hideMark/>
          </w:tcPr>
          <w:p w14:paraId="1A7A3904"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14</w:t>
            </w:r>
          </w:p>
        </w:tc>
        <w:tc>
          <w:tcPr>
            <w:tcW w:w="3493" w:type="pct"/>
            <w:tcBorders>
              <w:top w:val="nil"/>
              <w:left w:val="nil"/>
              <w:bottom w:val="single" w:sz="4" w:space="0" w:color="auto"/>
              <w:right w:val="single" w:sz="4" w:space="0" w:color="auto"/>
            </w:tcBorders>
            <w:shd w:val="clear" w:color="auto" w:fill="auto"/>
            <w:hideMark/>
          </w:tcPr>
          <w:p w14:paraId="5DEA08F8"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The solution should generate alerts when administrators exhibit behavior outside their standard activity patterns.</w:t>
            </w:r>
          </w:p>
        </w:tc>
        <w:tc>
          <w:tcPr>
            <w:tcW w:w="638" w:type="pct"/>
            <w:tcBorders>
              <w:top w:val="nil"/>
              <w:left w:val="nil"/>
              <w:bottom w:val="single" w:sz="4" w:space="0" w:color="auto"/>
              <w:right w:val="single" w:sz="4" w:space="0" w:color="auto"/>
            </w:tcBorders>
            <w:shd w:val="clear" w:color="auto" w:fill="auto"/>
            <w:hideMark/>
          </w:tcPr>
          <w:p w14:paraId="76670CF9"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3" w:type="pct"/>
            <w:tcBorders>
              <w:top w:val="nil"/>
              <w:left w:val="nil"/>
              <w:bottom w:val="single" w:sz="4" w:space="0" w:color="auto"/>
              <w:right w:val="single" w:sz="4" w:space="0" w:color="auto"/>
            </w:tcBorders>
            <w:shd w:val="clear" w:color="auto" w:fill="auto"/>
            <w:hideMark/>
          </w:tcPr>
          <w:p w14:paraId="6A69A876"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r w:rsidR="00985D46" w:rsidRPr="00985D46" w14:paraId="2EB00F6A"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66F8988F"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15</w:t>
            </w:r>
          </w:p>
        </w:tc>
        <w:tc>
          <w:tcPr>
            <w:tcW w:w="3493" w:type="pct"/>
            <w:tcBorders>
              <w:top w:val="nil"/>
              <w:left w:val="nil"/>
              <w:bottom w:val="single" w:sz="4" w:space="0" w:color="auto"/>
              <w:right w:val="single" w:sz="4" w:space="0" w:color="auto"/>
            </w:tcBorders>
            <w:shd w:val="clear" w:color="auto" w:fill="auto"/>
            <w:hideMark/>
          </w:tcPr>
          <w:p w14:paraId="6A018196"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It must generate alerts when abnormal behavior from service accounts is detected, indicating potential security vulnerabilities.</w:t>
            </w:r>
          </w:p>
        </w:tc>
        <w:tc>
          <w:tcPr>
            <w:tcW w:w="638" w:type="pct"/>
            <w:tcBorders>
              <w:top w:val="nil"/>
              <w:left w:val="nil"/>
              <w:bottom w:val="single" w:sz="4" w:space="0" w:color="auto"/>
              <w:right w:val="single" w:sz="4" w:space="0" w:color="auto"/>
            </w:tcBorders>
            <w:shd w:val="clear" w:color="auto" w:fill="auto"/>
            <w:hideMark/>
          </w:tcPr>
          <w:p w14:paraId="56D536F3"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3" w:type="pct"/>
            <w:tcBorders>
              <w:top w:val="nil"/>
              <w:left w:val="nil"/>
              <w:bottom w:val="single" w:sz="4" w:space="0" w:color="auto"/>
              <w:right w:val="single" w:sz="4" w:space="0" w:color="auto"/>
            </w:tcBorders>
            <w:shd w:val="clear" w:color="auto" w:fill="auto"/>
            <w:hideMark/>
          </w:tcPr>
          <w:p w14:paraId="4CA9F1DA"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r w:rsidR="00985D46" w:rsidRPr="00985D46" w14:paraId="08BE1D9D"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334C1978"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16</w:t>
            </w:r>
          </w:p>
        </w:tc>
        <w:tc>
          <w:tcPr>
            <w:tcW w:w="3493" w:type="pct"/>
            <w:tcBorders>
              <w:top w:val="nil"/>
              <w:left w:val="nil"/>
              <w:bottom w:val="single" w:sz="4" w:space="0" w:color="auto"/>
              <w:right w:val="single" w:sz="4" w:space="0" w:color="auto"/>
            </w:tcBorders>
            <w:shd w:val="clear" w:color="auto" w:fill="auto"/>
            <w:hideMark/>
          </w:tcPr>
          <w:p w14:paraId="0979E0C5"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The solution needs to alert when unusual or suspicious behavior is detected from executive-level accounts, enabling swift threat mitigation.</w:t>
            </w:r>
          </w:p>
        </w:tc>
        <w:tc>
          <w:tcPr>
            <w:tcW w:w="638" w:type="pct"/>
            <w:tcBorders>
              <w:top w:val="nil"/>
              <w:left w:val="nil"/>
              <w:bottom w:val="single" w:sz="4" w:space="0" w:color="auto"/>
              <w:right w:val="single" w:sz="4" w:space="0" w:color="auto"/>
            </w:tcBorders>
            <w:shd w:val="clear" w:color="auto" w:fill="auto"/>
            <w:hideMark/>
          </w:tcPr>
          <w:p w14:paraId="23B0A6AE"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3" w:type="pct"/>
            <w:tcBorders>
              <w:top w:val="nil"/>
              <w:left w:val="nil"/>
              <w:bottom w:val="single" w:sz="4" w:space="0" w:color="auto"/>
              <w:right w:val="single" w:sz="4" w:space="0" w:color="auto"/>
            </w:tcBorders>
            <w:shd w:val="clear" w:color="auto" w:fill="auto"/>
            <w:hideMark/>
          </w:tcPr>
          <w:p w14:paraId="4AF73521"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r w:rsidR="00985D46" w:rsidRPr="00985D46" w14:paraId="6E03DC86"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0082D5B9"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17</w:t>
            </w:r>
          </w:p>
        </w:tc>
        <w:tc>
          <w:tcPr>
            <w:tcW w:w="3493" w:type="pct"/>
            <w:tcBorders>
              <w:top w:val="nil"/>
              <w:left w:val="nil"/>
              <w:bottom w:val="single" w:sz="4" w:space="0" w:color="auto"/>
              <w:right w:val="single" w:sz="4" w:space="0" w:color="auto"/>
            </w:tcBorders>
            <w:shd w:val="clear" w:color="auto" w:fill="auto"/>
            <w:hideMark/>
          </w:tcPr>
          <w:p w14:paraId="364DCAD6"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It must provide alerts when abnormal access to executive data is detected, indicating potential breaches or unauthorized access.</w:t>
            </w:r>
          </w:p>
        </w:tc>
        <w:tc>
          <w:tcPr>
            <w:tcW w:w="638" w:type="pct"/>
            <w:tcBorders>
              <w:top w:val="nil"/>
              <w:left w:val="nil"/>
              <w:bottom w:val="single" w:sz="4" w:space="0" w:color="auto"/>
              <w:right w:val="single" w:sz="4" w:space="0" w:color="auto"/>
            </w:tcBorders>
            <w:shd w:val="clear" w:color="auto" w:fill="auto"/>
            <w:hideMark/>
          </w:tcPr>
          <w:p w14:paraId="616B4929"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3" w:type="pct"/>
            <w:tcBorders>
              <w:top w:val="nil"/>
              <w:left w:val="nil"/>
              <w:bottom w:val="single" w:sz="4" w:space="0" w:color="auto"/>
              <w:right w:val="single" w:sz="4" w:space="0" w:color="auto"/>
            </w:tcBorders>
            <w:shd w:val="clear" w:color="auto" w:fill="auto"/>
            <w:hideMark/>
          </w:tcPr>
          <w:p w14:paraId="6BE291E5"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r w:rsidR="00985D46" w:rsidRPr="00985D46" w14:paraId="68E5AA5E"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252FF4E5"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18</w:t>
            </w:r>
          </w:p>
        </w:tc>
        <w:tc>
          <w:tcPr>
            <w:tcW w:w="3493" w:type="pct"/>
            <w:tcBorders>
              <w:top w:val="nil"/>
              <w:left w:val="nil"/>
              <w:bottom w:val="single" w:sz="4" w:space="0" w:color="auto"/>
              <w:right w:val="single" w:sz="4" w:space="0" w:color="auto"/>
            </w:tcBorders>
            <w:shd w:val="clear" w:color="auto" w:fill="auto"/>
            <w:hideMark/>
          </w:tcPr>
          <w:p w14:paraId="3BD2C48B"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The solution should generate alerts for abnormal access to executive mailboxes to prevent data breaches or unauthorized access to sensitive information.</w:t>
            </w:r>
          </w:p>
        </w:tc>
        <w:tc>
          <w:tcPr>
            <w:tcW w:w="638" w:type="pct"/>
            <w:tcBorders>
              <w:top w:val="nil"/>
              <w:left w:val="nil"/>
              <w:bottom w:val="single" w:sz="4" w:space="0" w:color="auto"/>
              <w:right w:val="single" w:sz="4" w:space="0" w:color="auto"/>
            </w:tcBorders>
            <w:shd w:val="clear" w:color="auto" w:fill="auto"/>
            <w:hideMark/>
          </w:tcPr>
          <w:p w14:paraId="1FCAC9B0"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3" w:type="pct"/>
            <w:tcBorders>
              <w:top w:val="nil"/>
              <w:left w:val="nil"/>
              <w:bottom w:val="single" w:sz="4" w:space="0" w:color="auto"/>
              <w:right w:val="single" w:sz="4" w:space="0" w:color="auto"/>
            </w:tcBorders>
            <w:shd w:val="clear" w:color="auto" w:fill="auto"/>
            <w:hideMark/>
          </w:tcPr>
          <w:p w14:paraId="41A81976"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r w:rsidR="00985D46" w:rsidRPr="00985D46" w14:paraId="0B480CC3" w14:textId="77777777" w:rsidTr="008E0319">
        <w:trPr>
          <w:trHeight w:val="315"/>
        </w:trPr>
        <w:tc>
          <w:tcPr>
            <w:tcW w:w="176" w:type="pct"/>
            <w:tcBorders>
              <w:top w:val="nil"/>
              <w:left w:val="single" w:sz="4" w:space="0" w:color="auto"/>
              <w:bottom w:val="single" w:sz="4" w:space="0" w:color="auto"/>
              <w:right w:val="single" w:sz="4" w:space="0" w:color="auto"/>
            </w:tcBorders>
            <w:shd w:val="clear" w:color="auto" w:fill="auto"/>
            <w:hideMark/>
          </w:tcPr>
          <w:p w14:paraId="4DC5C492"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19</w:t>
            </w:r>
          </w:p>
        </w:tc>
        <w:tc>
          <w:tcPr>
            <w:tcW w:w="3493" w:type="pct"/>
            <w:tcBorders>
              <w:top w:val="nil"/>
              <w:left w:val="nil"/>
              <w:bottom w:val="single" w:sz="4" w:space="0" w:color="auto"/>
              <w:right w:val="single" w:sz="4" w:space="0" w:color="auto"/>
            </w:tcBorders>
            <w:shd w:val="clear" w:color="auto" w:fill="auto"/>
            <w:hideMark/>
          </w:tcPr>
          <w:p w14:paraId="3712E883"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It should generate alerts when it detects the presence of exploitation or reconnaissance tools in the system.</w:t>
            </w:r>
          </w:p>
        </w:tc>
        <w:tc>
          <w:tcPr>
            <w:tcW w:w="638" w:type="pct"/>
            <w:tcBorders>
              <w:top w:val="nil"/>
              <w:left w:val="nil"/>
              <w:bottom w:val="single" w:sz="4" w:space="0" w:color="auto"/>
              <w:right w:val="single" w:sz="4" w:space="0" w:color="auto"/>
            </w:tcBorders>
            <w:shd w:val="clear" w:color="auto" w:fill="auto"/>
            <w:hideMark/>
          </w:tcPr>
          <w:p w14:paraId="6B6EAA67"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3" w:type="pct"/>
            <w:tcBorders>
              <w:top w:val="nil"/>
              <w:left w:val="nil"/>
              <w:bottom w:val="single" w:sz="4" w:space="0" w:color="auto"/>
              <w:right w:val="single" w:sz="4" w:space="0" w:color="auto"/>
            </w:tcBorders>
            <w:shd w:val="clear" w:color="auto" w:fill="auto"/>
            <w:hideMark/>
          </w:tcPr>
          <w:p w14:paraId="0F8C0FD5"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r w:rsidR="00985D46" w:rsidRPr="00985D46" w14:paraId="3EE18B30"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661E5906"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20</w:t>
            </w:r>
          </w:p>
        </w:tc>
        <w:tc>
          <w:tcPr>
            <w:tcW w:w="3493" w:type="pct"/>
            <w:tcBorders>
              <w:top w:val="nil"/>
              <w:left w:val="nil"/>
              <w:bottom w:val="single" w:sz="4" w:space="0" w:color="auto"/>
              <w:right w:val="single" w:sz="4" w:space="0" w:color="auto"/>
            </w:tcBorders>
            <w:shd w:val="clear" w:color="auto" w:fill="auto"/>
            <w:hideMark/>
          </w:tcPr>
          <w:p w14:paraId="354A2042"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The solution must alert administrators when abnormal activities within Active Directory are detected, indicating potential security breaches or attacks.</w:t>
            </w:r>
          </w:p>
        </w:tc>
        <w:tc>
          <w:tcPr>
            <w:tcW w:w="638" w:type="pct"/>
            <w:tcBorders>
              <w:top w:val="nil"/>
              <w:left w:val="nil"/>
              <w:bottom w:val="single" w:sz="4" w:space="0" w:color="auto"/>
              <w:right w:val="single" w:sz="4" w:space="0" w:color="auto"/>
            </w:tcBorders>
            <w:shd w:val="clear" w:color="auto" w:fill="auto"/>
            <w:hideMark/>
          </w:tcPr>
          <w:p w14:paraId="77C45F16"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3" w:type="pct"/>
            <w:tcBorders>
              <w:top w:val="nil"/>
              <w:left w:val="nil"/>
              <w:bottom w:val="single" w:sz="4" w:space="0" w:color="auto"/>
              <w:right w:val="single" w:sz="4" w:space="0" w:color="auto"/>
            </w:tcBorders>
            <w:shd w:val="clear" w:color="auto" w:fill="auto"/>
            <w:hideMark/>
          </w:tcPr>
          <w:p w14:paraId="4380CA66"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r w:rsidR="00985D46" w:rsidRPr="00985D46" w14:paraId="5A369E0B" w14:textId="77777777" w:rsidTr="008E0319">
        <w:trPr>
          <w:trHeight w:val="315"/>
        </w:trPr>
        <w:tc>
          <w:tcPr>
            <w:tcW w:w="176" w:type="pct"/>
            <w:tcBorders>
              <w:top w:val="nil"/>
              <w:left w:val="single" w:sz="4" w:space="0" w:color="auto"/>
              <w:bottom w:val="single" w:sz="4" w:space="0" w:color="auto"/>
              <w:right w:val="single" w:sz="4" w:space="0" w:color="auto"/>
            </w:tcBorders>
            <w:shd w:val="clear" w:color="auto" w:fill="auto"/>
            <w:hideMark/>
          </w:tcPr>
          <w:p w14:paraId="6DA58BFF"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21</w:t>
            </w:r>
          </w:p>
        </w:tc>
        <w:tc>
          <w:tcPr>
            <w:tcW w:w="3493" w:type="pct"/>
            <w:tcBorders>
              <w:top w:val="nil"/>
              <w:left w:val="nil"/>
              <w:bottom w:val="single" w:sz="4" w:space="0" w:color="auto"/>
              <w:right w:val="single" w:sz="4" w:space="0" w:color="auto"/>
            </w:tcBorders>
            <w:shd w:val="clear" w:color="auto" w:fill="auto"/>
            <w:hideMark/>
          </w:tcPr>
          <w:p w14:paraId="02F8B47F"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It must alert when abnormal access to sensitive data is detected, preemptively indicating potential security threats.</w:t>
            </w:r>
          </w:p>
        </w:tc>
        <w:tc>
          <w:tcPr>
            <w:tcW w:w="638" w:type="pct"/>
            <w:tcBorders>
              <w:top w:val="nil"/>
              <w:left w:val="nil"/>
              <w:bottom w:val="single" w:sz="4" w:space="0" w:color="auto"/>
              <w:right w:val="single" w:sz="4" w:space="0" w:color="auto"/>
            </w:tcBorders>
            <w:shd w:val="clear" w:color="auto" w:fill="auto"/>
            <w:hideMark/>
          </w:tcPr>
          <w:p w14:paraId="1A310D2F"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3" w:type="pct"/>
            <w:tcBorders>
              <w:top w:val="nil"/>
              <w:left w:val="nil"/>
              <w:bottom w:val="single" w:sz="4" w:space="0" w:color="auto"/>
              <w:right w:val="single" w:sz="4" w:space="0" w:color="auto"/>
            </w:tcBorders>
            <w:shd w:val="clear" w:color="auto" w:fill="auto"/>
            <w:hideMark/>
          </w:tcPr>
          <w:p w14:paraId="66D37B85"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r w:rsidR="00985D46" w:rsidRPr="00985D46" w14:paraId="4DCB49A1" w14:textId="77777777" w:rsidTr="008E0319">
        <w:trPr>
          <w:trHeight w:val="315"/>
        </w:trPr>
        <w:tc>
          <w:tcPr>
            <w:tcW w:w="176" w:type="pct"/>
            <w:tcBorders>
              <w:top w:val="nil"/>
              <w:left w:val="single" w:sz="4" w:space="0" w:color="auto"/>
              <w:bottom w:val="single" w:sz="4" w:space="0" w:color="auto"/>
              <w:right w:val="single" w:sz="4" w:space="0" w:color="auto"/>
            </w:tcBorders>
            <w:shd w:val="clear" w:color="auto" w:fill="auto"/>
            <w:hideMark/>
          </w:tcPr>
          <w:p w14:paraId="7C59E814"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22</w:t>
            </w:r>
          </w:p>
        </w:tc>
        <w:tc>
          <w:tcPr>
            <w:tcW w:w="3493" w:type="pct"/>
            <w:tcBorders>
              <w:top w:val="nil"/>
              <w:left w:val="nil"/>
              <w:bottom w:val="single" w:sz="4" w:space="0" w:color="auto"/>
              <w:right w:val="single" w:sz="4" w:space="0" w:color="auto"/>
            </w:tcBorders>
            <w:shd w:val="clear" w:color="auto" w:fill="auto"/>
            <w:hideMark/>
          </w:tcPr>
          <w:p w14:paraId="20295089"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The solution should generate alerts for abnormal access to stale data, indicating potential security threats or breaches.</w:t>
            </w:r>
          </w:p>
        </w:tc>
        <w:tc>
          <w:tcPr>
            <w:tcW w:w="638" w:type="pct"/>
            <w:tcBorders>
              <w:top w:val="nil"/>
              <w:left w:val="nil"/>
              <w:bottom w:val="single" w:sz="4" w:space="0" w:color="auto"/>
              <w:right w:val="single" w:sz="4" w:space="0" w:color="auto"/>
            </w:tcBorders>
            <w:shd w:val="clear" w:color="auto" w:fill="auto"/>
            <w:hideMark/>
          </w:tcPr>
          <w:p w14:paraId="6C03689D"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3" w:type="pct"/>
            <w:tcBorders>
              <w:top w:val="nil"/>
              <w:left w:val="nil"/>
              <w:bottom w:val="single" w:sz="4" w:space="0" w:color="auto"/>
              <w:right w:val="single" w:sz="4" w:space="0" w:color="auto"/>
            </w:tcBorders>
            <w:shd w:val="clear" w:color="auto" w:fill="auto"/>
            <w:hideMark/>
          </w:tcPr>
          <w:p w14:paraId="59D14EDD"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r w:rsidR="00985D46" w:rsidRPr="00985D46" w14:paraId="71BB1A3E" w14:textId="77777777" w:rsidTr="008E0319">
        <w:trPr>
          <w:trHeight w:val="315"/>
        </w:trPr>
        <w:tc>
          <w:tcPr>
            <w:tcW w:w="176" w:type="pct"/>
            <w:tcBorders>
              <w:top w:val="nil"/>
              <w:left w:val="single" w:sz="4" w:space="0" w:color="auto"/>
              <w:bottom w:val="single" w:sz="4" w:space="0" w:color="auto"/>
              <w:right w:val="single" w:sz="4" w:space="0" w:color="auto"/>
            </w:tcBorders>
            <w:shd w:val="clear" w:color="auto" w:fill="auto"/>
            <w:hideMark/>
          </w:tcPr>
          <w:p w14:paraId="0AD47B0F"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23</w:t>
            </w:r>
          </w:p>
        </w:tc>
        <w:tc>
          <w:tcPr>
            <w:tcW w:w="3493" w:type="pct"/>
            <w:tcBorders>
              <w:top w:val="nil"/>
              <w:left w:val="nil"/>
              <w:bottom w:val="single" w:sz="4" w:space="0" w:color="auto"/>
              <w:right w:val="single" w:sz="4" w:space="0" w:color="auto"/>
            </w:tcBorders>
            <w:shd w:val="clear" w:color="auto" w:fill="auto"/>
            <w:hideMark/>
          </w:tcPr>
          <w:p w14:paraId="1481B290"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It must provide alerts for activity indicative of ransomware, signaling potential security risks.</w:t>
            </w:r>
          </w:p>
        </w:tc>
        <w:tc>
          <w:tcPr>
            <w:tcW w:w="638" w:type="pct"/>
            <w:tcBorders>
              <w:top w:val="nil"/>
              <w:left w:val="nil"/>
              <w:bottom w:val="single" w:sz="4" w:space="0" w:color="auto"/>
              <w:right w:val="single" w:sz="4" w:space="0" w:color="auto"/>
            </w:tcBorders>
            <w:shd w:val="clear" w:color="auto" w:fill="auto"/>
            <w:hideMark/>
          </w:tcPr>
          <w:p w14:paraId="4EABF60F"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3" w:type="pct"/>
            <w:tcBorders>
              <w:top w:val="nil"/>
              <w:left w:val="nil"/>
              <w:bottom w:val="single" w:sz="4" w:space="0" w:color="auto"/>
              <w:right w:val="single" w:sz="4" w:space="0" w:color="auto"/>
            </w:tcBorders>
            <w:shd w:val="clear" w:color="auto" w:fill="auto"/>
            <w:hideMark/>
          </w:tcPr>
          <w:p w14:paraId="360B7CAF"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r w:rsidR="00985D46" w:rsidRPr="00985D46" w14:paraId="567229CB"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31EAA01B"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24</w:t>
            </w:r>
          </w:p>
        </w:tc>
        <w:tc>
          <w:tcPr>
            <w:tcW w:w="3493" w:type="pct"/>
            <w:tcBorders>
              <w:top w:val="nil"/>
              <w:left w:val="nil"/>
              <w:bottom w:val="single" w:sz="4" w:space="0" w:color="auto"/>
              <w:right w:val="single" w:sz="4" w:space="0" w:color="auto"/>
            </w:tcBorders>
            <w:shd w:val="clear" w:color="auto" w:fill="auto"/>
            <w:hideMark/>
          </w:tcPr>
          <w:p w14:paraId="110CEEB9"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The solution should alert when account passwords are reset, possibly signaling security concerns or unauthorized access.</w:t>
            </w:r>
          </w:p>
        </w:tc>
        <w:tc>
          <w:tcPr>
            <w:tcW w:w="638" w:type="pct"/>
            <w:tcBorders>
              <w:top w:val="nil"/>
              <w:left w:val="nil"/>
              <w:bottom w:val="single" w:sz="4" w:space="0" w:color="auto"/>
              <w:right w:val="single" w:sz="4" w:space="0" w:color="auto"/>
            </w:tcBorders>
            <w:shd w:val="clear" w:color="auto" w:fill="auto"/>
            <w:hideMark/>
          </w:tcPr>
          <w:p w14:paraId="382EEA8D"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3" w:type="pct"/>
            <w:tcBorders>
              <w:top w:val="nil"/>
              <w:left w:val="nil"/>
              <w:bottom w:val="single" w:sz="4" w:space="0" w:color="auto"/>
              <w:right w:val="single" w:sz="4" w:space="0" w:color="auto"/>
            </w:tcBorders>
            <w:shd w:val="clear" w:color="auto" w:fill="auto"/>
            <w:hideMark/>
          </w:tcPr>
          <w:p w14:paraId="7AE8F7AA"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r w:rsidR="00985D46" w:rsidRPr="00985D46" w14:paraId="7F793634" w14:textId="77777777" w:rsidTr="008E0319">
        <w:trPr>
          <w:trHeight w:val="375"/>
        </w:trPr>
        <w:tc>
          <w:tcPr>
            <w:tcW w:w="176" w:type="pct"/>
            <w:tcBorders>
              <w:top w:val="nil"/>
              <w:left w:val="single" w:sz="4" w:space="0" w:color="auto"/>
              <w:bottom w:val="single" w:sz="4" w:space="0" w:color="auto"/>
              <w:right w:val="single" w:sz="4" w:space="0" w:color="auto"/>
            </w:tcBorders>
            <w:shd w:val="clear" w:color="000000" w:fill="DDEBF7"/>
            <w:hideMark/>
          </w:tcPr>
          <w:p w14:paraId="74BA4675" w14:textId="77777777" w:rsidR="00985D46" w:rsidRPr="00985D46" w:rsidRDefault="00985D46" w:rsidP="00985D46">
            <w:pPr>
              <w:spacing w:after="0" w:line="240" w:lineRule="auto"/>
              <w:jc w:val="center"/>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B</w:t>
            </w:r>
          </w:p>
        </w:tc>
        <w:tc>
          <w:tcPr>
            <w:tcW w:w="3493" w:type="pct"/>
            <w:tcBorders>
              <w:top w:val="nil"/>
              <w:left w:val="nil"/>
              <w:bottom w:val="single" w:sz="4" w:space="0" w:color="auto"/>
              <w:right w:val="single" w:sz="4" w:space="0" w:color="auto"/>
            </w:tcBorders>
            <w:shd w:val="clear" w:color="000000" w:fill="DDEBF7"/>
            <w:hideMark/>
          </w:tcPr>
          <w:p w14:paraId="292DDE0E" w14:textId="77777777" w:rsidR="00985D46" w:rsidRPr="00985D46" w:rsidRDefault="00985D46" w:rsidP="00985D46">
            <w:pPr>
              <w:spacing w:after="0" w:line="240" w:lineRule="auto"/>
              <w:rPr>
                <w:rFonts w:ascii="Calibri" w:eastAsia="Times New Roman" w:hAnsi="Calibri" w:cs="Calibri"/>
                <w:b/>
                <w:bCs/>
                <w:sz w:val="28"/>
                <w:szCs w:val="28"/>
                <w:lang w:val="en-GB" w:eastAsia="en-GB"/>
              </w:rPr>
            </w:pPr>
            <w:r w:rsidRPr="00985D46">
              <w:rPr>
                <w:rFonts w:ascii="Calibri" w:eastAsia="Times New Roman" w:hAnsi="Calibri" w:cs="Calibri"/>
                <w:b/>
                <w:bCs/>
                <w:sz w:val="28"/>
                <w:szCs w:val="28"/>
                <w:lang w:val="en-GB" w:eastAsia="en-GB"/>
              </w:rPr>
              <w:t>Alerting</w:t>
            </w:r>
          </w:p>
        </w:tc>
        <w:tc>
          <w:tcPr>
            <w:tcW w:w="638" w:type="pct"/>
            <w:tcBorders>
              <w:top w:val="nil"/>
              <w:left w:val="nil"/>
              <w:bottom w:val="single" w:sz="4" w:space="0" w:color="auto"/>
              <w:right w:val="single" w:sz="4" w:space="0" w:color="auto"/>
            </w:tcBorders>
            <w:shd w:val="clear" w:color="auto" w:fill="auto"/>
            <w:hideMark/>
          </w:tcPr>
          <w:p w14:paraId="5FAC9A1F"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7BA18BB2"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1CB1D231"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6821638C"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25</w:t>
            </w:r>
          </w:p>
        </w:tc>
        <w:tc>
          <w:tcPr>
            <w:tcW w:w="3493" w:type="pct"/>
            <w:tcBorders>
              <w:top w:val="nil"/>
              <w:left w:val="nil"/>
              <w:bottom w:val="single" w:sz="4" w:space="0" w:color="auto"/>
              <w:right w:val="single" w:sz="4" w:space="0" w:color="auto"/>
            </w:tcBorders>
            <w:shd w:val="clear" w:color="auto" w:fill="auto"/>
            <w:hideMark/>
          </w:tcPr>
          <w:p w14:paraId="63F4D909"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The solution should alert on permission change events with detailed context, including the nature of the change and affected resources, to provide comprehensive notifications.</w:t>
            </w:r>
          </w:p>
        </w:tc>
        <w:tc>
          <w:tcPr>
            <w:tcW w:w="638" w:type="pct"/>
            <w:tcBorders>
              <w:top w:val="nil"/>
              <w:left w:val="nil"/>
              <w:bottom w:val="single" w:sz="4" w:space="0" w:color="auto"/>
              <w:right w:val="single" w:sz="4" w:space="0" w:color="auto"/>
            </w:tcBorders>
            <w:shd w:val="clear" w:color="auto" w:fill="auto"/>
            <w:hideMark/>
          </w:tcPr>
          <w:p w14:paraId="43370CAE"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31EE43F5"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45B0B003"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6CD96083"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lastRenderedPageBreak/>
              <w:t>26</w:t>
            </w:r>
          </w:p>
        </w:tc>
        <w:tc>
          <w:tcPr>
            <w:tcW w:w="3493" w:type="pct"/>
            <w:tcBorders>
              <w:top w:val="nil"/>
              <w:left w:val="nil"/>
              <w:bottom w:val="single" w:sz="4" w:space="0" w:color="auto"/>
              <w:right w:val="single" w:sz="4" w:space="0" w:color="auto"/>
            </w:tcBorders>
            <w:shd w:val="clear" w:color="auto" w:fill="auto"/>
            <w:hideMark/>
          </w:tcPr>
          <w:p w14:paraId="6A588310"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The solution must be capable of setting thresholds to trigger alerts on permission change events, allowing for a nuanced response based on the frequency or scope of alterations.</w:t>
            </w:r>
          </w:p>
        </w:tc>
        <w:tc>
          <w:tcPr>
            <w:tcW w:w="638" w:type="pct"/>
            <w:tcBorders>
              <w:top w:val="nil"/>
              <w:left w:val="nil"/>
              <w:bottom w:val="single" w:sz="4" w:space="0" w:color="auto"/>
              <w:right w:val="single" w:sz="4" w:space="0" w:color="auto"/>
            </w:tcBorders>
            <w:shd w:val="clear" w:color="auto" w:fill="auto"/>
            <w:hideMark/>
          </w:tcPr>
          <w:p w14:paraId="60A8F838"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4D475C67"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4FF5EFA8"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265D3FB4"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27</w:t>
            </w:r>
          </w:p>
        </w:tc>
        <w:tc>
          <w:tcPr>
            <w:tcW w:w="3493" w:type="pct"/>
            <w:tcBorders>
              <w:top w:val="nil"/>
              <w:left w:val="nil"/>
              <w:bottom w:val="single" w:sz="4" w:space="0" w:color="auto"/>
              <w:right w:val="single" w:sz="4" w:space="0" w:color="auto"/>
            </w:tcBorders>
            <w:shd w:val="clear" w:color="auto" w:fill="auto"/>
            <w:hideMark/>
          </w:tcPr>
          <w:p w14:paraId="6261A359"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It should alert on directory service events, signaling when changes or activities occur within the directory service environment.</w:t>
            </w:r>
          </w:p>
        </w:tc>
        <w:tc>
          <w:tcPr>
            <w:tcW w:w="638" w:type="pct"/>
            <w:tcBorders>
              <w:top w:val="nil"/>
              <w:left w:val="nil"/>
              <w:bottom w:val="single" w:sz="4" w:space="0" w:color="auto"/>
              <w:right w:val="single" w:sz="4" w:space="0" w:color="auto"/>
            </w:tcBorders>
            <w:shd w:val="clear" w:color="auto" w:fill="auto"/>
            <w:hideMark/>
          </w:tcPr>
          <w:p w14:paraId="56C467B2"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47CAF3C0"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4350F27A"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28F7D0E1"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28</w:t>
            </w:r>
          </w:p>
        </w:tc>
        <w:tc>
          <w:tcPr>
            <w:tcW w:w="3493" w:type="pct"/>
            <w:tcBorders>
              <w:top w:val="nil"/>
              <w:left w:val="nil"/>
              <w:bottom w:val="single" w:sz="4" w:space="0" w:color="auto"/>
              <w:right w:val="single" w:sz="4" w:space="0" w:color="auto"/>
            </w:tcBorders>
            <w:shd w:val="clear" w:color="auto" w:fill="auto"/>
            <w:hideMark/>
          </w:tcPr>
          <w:p w14:paraId="46152134"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The solution must alert on group membership changes, providing notifications when alterations to user group memberships are detected.</w:t>
            </w:r>
          </w:p>
        </w:tc>
        <w:tc>
          <w:tcPr>
            <w:tcW w:w="638" w:type="pct"/>
            <w:tcBorders>
              <w:top w:val="nil"/>
              <w:left w:val="nil"/>
              <w:bottom w:val="single" w:sz="4" w:space="0" w:color="auto"/>
              <w:right w:val="single" w:sz="4" w:space="0" w:color="auto"/>
            </w:tcBorders>
            <w:shd w:val="clear" w:color="auto" w:fill="auto"/>
            <w:hideMark/>
          </w:tcPr>
          <w:p w14:paraId="33A79D16"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40421CA0"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744D4583"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13730FAF"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29</w:t>
            </w:r>
          </w:p>
        </w:tc>
        <w:tc>
          <w:tcPr>
            <w:tcW w:w="3493" w:type="pct"/>
            <w:tcBorders>
              <w:top w:val="nil"/>
              <w:left w:val="nil"/>
              <w:bottom w:val="single" w:sz="4" w:space="0" w:color="auto"/>
              <w:right w:val="single" w:sz="4" w:space="0" w:color="auto"/>
            </w:tcBorders>
            <w:shd w:val="clear" w:color="auto" w:fill="auto"/>
            <w:hideMark/>
          </w:tcPr>
          <w:p w14:paraId="402D6C7D"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It should alert on changes to global security groups, signaling modifications to high-level security group structures within the organization.</w:t>
            </w:r>
          </w:p>
        </w:tc>
        <w:tc>
          <w:tcPr>
            <w:tcW w:w="638" w:type="pct"/>
            <w:tcBorders>
              <w:top w:val="nil"/>
              <w:left w:val="nil"/>
              <w:bottom w:val="single" w:sz="4" w:space="0" w:color="auto"/>
              <w:right w:val="single" w:sz="4" w:space="0" w:color="auto"/>
            </w:tcBorders>
            <w:shd w:val="clear" w:color="auto" w:fill="auto"/>
            <w:hideMark/>
          </w:tcPr>
          <w:p w14:paraId="29A7CEEE"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25BA39EF"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5AAD773E"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53709B90"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30</w:t>
            </w:r>
          </w:p>
        </w:tc>
        <w:tc>
          <w:tcPr>
            <w:tcW w:w="3493" w:type="pct"/>
            <w:tcBorders>
              <w:top w:val="nil"/>
              <w:left w:val="nil"/>
              <w:bottom w:val="single" w:sz="4" w:space="0" w:color="auto"/>
              <w:right w:val="single" w:sz="4" w:space="0" w:color="auto"/>
            </w:tcBorders>
            <w:shd w:val="clear" w:color="auto" w:fill="auto"/>
            <w:hideMark/>
          </w:tcPr>
          <w:p w14:paraId="220CCF96"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The solution should alert on GPO (Group Policy Object) changes, providing notifications for any adjustments made to GPO settings.</w:t>
            </w:r>
          </w:p>
        </w:tc>
        <w:tc>
          <w:tcPr>
            <w:tcW w:w="638" w:type="pct"/>
            <w:tcBorders>
              <w:top w:val="nil"/>
              <w:left w:val="nil"/>
              <w:bottom w:val="single" w:sz="4" w:space="0" w:color="auto"/>
              <w:right w:val="single" w:sz="4" w:space="0" w:color="auto"/>
            </w:tcBorders>
            <w:shd w:val="clear" w:color="auto" w:fill="auto"/>
            <w:hideMark/>
          </w:tcPr>
          <w:p w14:paraId="60847306"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543D9C99"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7C7A745D" w14:textId="77777777" w:rsidTr="008E0319">
        <w:trPr>
          <w:trHeight w:val="300"/>
        </w:trPr>
        <w:tc>
          <w:tcPr>
            <w:tcW w:w="176" w:type="pct"/>
            <w:tcBorders>
              <w:top w:val="nil"/>
              <w:left w:val="single" w:sz="4" w:space="0" w:color="auto"/>
              <w:bottom w:val="single" w:sz="4" w:space="0" w:color="auto"/>
              <w:right w:val="single" w:sz="4" w:space="0" w:color="auto"/>
            </w:tcBorders>
            <w:shd w:val="clear" w:color="auto" w:fill="auto"/>
            <w:hideMark/>
          </w:tcPr>
          <w:p w14:paraId="4BC4614F"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31</w:t>
            </w:r>
          </w:p>
        </w:tc>
        <w:tc>
          <w:tcPr>
            <w:tcW w:w="3493" w:type="pct"/>
            <w:tcBorders>
              <w:top w:val="nil"/>
              <w:left w:val="nil"/>
              <w:bottom w:val="single" w:sz="4" w:space="0" w:color="auto"/>
              <w:right w:val="single" w:sz="4" w:space="0" w:color="auto"/>
            </w:tcBorders>
            <w:shd w:val="clear" w:color="auto" w:fill="auto"/>
            <w:hideMark/>
          </w:tcPr>
          <w:p w14:paraId="47D60118"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It must be capable of alerting on events by user, offering insights and notifications specific to individual user activities.</w:t>
            </w:r>
          </w:p>
        </w:tc>
        <w:tc>
          <w:tcPr>
            <w:tcW w:w="638" w:type="pct"/>
            <w:tcBorders>
              <w:top w:val="nil"/>
              <w:left w:val="nil"/>
              <w:bottom w:val="single" w:sz="4" w:space="0" w:color="auto"/>
              <w:right w:val="single" w:sz="4" w:space="0" w:color="auto"/>
            </w:tcBorders>
            <w:shd w:val="clear" w:color="auto" w:fill="auto"/>
            <w:hideMark/>
          </w:tcPr>
          <w:p w14:paraId="77F4D70C"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06EAE5B1"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56D043DA"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00CF156A"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32</w:t>
            </w:r>
          </w:p>
        </w:tc>
        <w:tc>
          <w:tcPr>
            <w:tcW w:w="3493" w:type="pct"/>
            <w:tcBorders>
              <w:top w:val="nil"/>
              <w:left w:val="nil"/>
              <w:bottom w:val="single" w:sz="4" w:space="0" w:color="auto"/>
              <w:right w:val="single" w:sz="4" w:space="0" w:color="auto"/>
            </w:tcBorders>
            <w:shd w:val="clear" w:color="auto" w:fill="auto"/>
            <w:hideMark/>
          </w:tcPr>
          <w:p w14:paraId="23754047"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The solution should alert on events by container, providing notifications regarding changes or activities within specific organizational containers or structures.</w:t>
            </w:r>
          </w:p>
        </w:tc>
        <w:tc>
          <w:tcPr>
            <w:tcW w:w="638" w:type="pct"/>
            <w:tcBorders>
              <w:top w:val="nil"/>
              <w:left w:val="nil"/>
              <w:bottom w:val="single" w:sz="4" w:space="0" w:color="auto"/>
              <w:right w:val="single" w:sz="4" w:space="0" w:color="auto"/>
            </w:tcBorders>
            <w:shd w:val="clear" w:color="auto" w:fill="auto"/>
            <w:hideMark/>
          </w:tcPr>
          <w:p w14:paraId="642FA32E"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12941AAE"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00E6A102"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0EC7D658"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33</w:t>
            </w:r>
          </w:p>
        </w:tc>
        <w:tc>
          <w:tcPr>
            <w:tcW w:w="3493" w:type="pct"/>
            <w:tcBorders>
              <w:top w:val="nil"/>
              <w:left w:val="nil"/>
              <w:bottom w:val="single" w:sz="4" w:space="0" w:color="auto"/>
              <w:right w:val="single" w:sz="4" w:space="0" w:color="auto"/>
            </w:tcBorders>
            <w:shd w:val="clear" w:color="auto" w:fill="auto"/>
            <w:hideMark/>
          </w:tcPr>
          <w:p w14:paraId="2376A0C6"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It must alert when critical Organizational Units (OUs) are modified, signaling potential structural or security changes within the organizational framework.</w:t>
            </w:r>
          </w:p>
        </w:tc>
        <w:tc>
          <w:tcPr>
            <w:tcW w:w="638" w:type="pct"/>
            <w:tcBorders>
              <w:top w:val="nil"/>
              <w:left w:val="nil"/>
              <w:bottom w:val="single" w:sz="4" w:space="0" w:color="auto"/>
              <w:right w:val="single" w:sz="4" w:space="0" w:color="auto"/>
            </w:tcBorders>
            <w:shd w:val="clear" w:color="auto" w:fill="auto"/>
            <w:hideMark/>
          </w:tcPr>
          <w:p w14:paraId="19028541"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10BEC05E"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06765718"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2ABB6873"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34</w:t>
            </w:r>
          </w:p>
        </w:tc>
        <w:tc>
          <w:tcPr>
            <w:tcW w:w="3493" w:type="pct"/>
            <w:tcBorders>
              <w:top w:val="nil"/>
              <w:left w:val="nil"/>
              <w:bottom w:val="single" w:sz="4" w:space="0" w:color="auto"/>
              <w:right w:val="single" w:sz="4" w:space="0" w:color="auto"/>
            </w:tcBorders>
            <w:shd w:val="clear" w:color="auto" w:fill="auto"/>
            <w:hideMark/>
          </w:tcPr>
          <w:p w14:paraId="72A2C962"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The solution should alert when group membership changes for security accounts occur, ensuring timely notifications for crucial security-related alterations.</w:t>
            </w:r>
          </w:p>
        </w:tc>
        <w:tc>
          <w:tcPr>
            <w:tcW w:w="638" w:type="pct"/>
            <w:tcBorders>
              <w:top w:val="nil"/>
              <w:left w:val="nil"/>
              <w:bottom w:val="single" w:sz="4" w:space="0" w:color="auto"/>
              <w:right w:val="single" w:sz="4" w:space="0" w:color="auto"/>
            </w:tcBorders>
            <w:shd w:val="clear" w:color="auto" w:fill="auto"/>
            <w:hideMark/>
          </w:tcPr>
          <w:p w14:paraId="6A14B67D"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37A9C1A3"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6CD9A726"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04F7F523"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35</w:t>
            </w:r>
          </w:p>
        </w:tc>
        <w:tc>
          <w:tcPr>
            <w:tcW w:w="3493" w:type="pct"/>
            <w:tcBorders>
              <w:top w:val="nil"/>
              <w:left w:val="nil"/>
              <w:bottom w:val="single" w:sz="4" w:space="0" w:color="auto"/>
              <w:right w:val="single" w:sz="4" w:space="0" w:color="auto"/>
            </w:tcBorders>
            <w:shd w:val="clear" w:color="auto" w:fill="auto"/>
            <w:hideMark/>
          </w:tcPr>
          <w:p w14:paraId="3783E2C8"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The solution should be capable of generating alerts for complex threat models, identifying and signaling a wide range of sophisticated potential cyber threats and attack patterns.</w:t>
            </w:r>
          </w:p>
        </w:tc>
        <w:tc>
          <w:tcPr>
            <w:tcW w:w="638" w:type="pct"/>
            <w:tcBorders>
              <w:top w:val="nil"/>
              <w:left w:val="nil"/>
              <w:bottom w:val="single" w:sz="4" w:space="0" w:color="auto"/>
              <w:right w:val="single" w:sz="4" w:space="0" w:color="auto"/>
            </w:tcBorders>
            <w:shd w:val="clear" w:color="auto" w:fill="auto"/>
            <w:hideMark/>
          </w:tcPr>
          <w:p w14:paraId="599FECCB"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674C154A"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3F11C247"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74EE52E4"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36</w:t>
            </w:r>
          </w:p>
        </w:tc>
        <w:tc>
          <w:tcPr>
            <w:tcW w:w="3493" w:type="pct"/>
            <w:tcBorders>
              <w:top w:val="nil"/>
              <w:left w:val="nil"/>
              <w:bottom w:val="single" w:sz="4" w:space="0" w:color="auto"/>
              <w:right w:val="single" w:sz="4" w:space="0" w:color="auto"/>
            </w:tcBorders>
            <w:shd w:val="clear" w:color="auto" w:fill="auto"/>
            <w:hideMark/>
          </w:tcPr>
          <w:p w14:paraId="75EED8DB"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The solution must alert upon the identification of potential cyber threats and common attack patterns, providing proactive warnings based on recognized threat models.</w:t>
            </w:r>
          </w:p>
        </w:tc>
        <w:tc>
          <w:tcPr>
            <w:tcW w:w="638" w:type="pct"/>
            <w:tcBorders>
              <w:top w:val="nil"/>
              <w:left w:val="nil"/>
              <w:bottom w:val="single" w:sz="4" w:space="0" w:color="auto"/>
              <w:right w:val="single" w:sz="4" w:space="0" w:color="auto"/>
            </w:tcBorders>
            <w:shd w:val="clear" w:color="auto" w:fill="auto"/>
            <w:hideMark/>
          </w:tcPr>
          <w:p w14:paraId="67023647"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5AE93136"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5D8C878C" w14:textId="77777777" w:rsidTr="008E0319">
        <w:trPr>
          <w:trHeight w:val="315"/>
        </w:trPr>
        <w:tc>
          <w:tcPr>
            <w:tcW w:w="176" w:type="pct"/>
            <w:tcBorders>
              <w:top w:val="nil"/>
              <w:left w:val="single" w:sz="4" w:space="0" w:color="auto"/>
              <w:bottom w:val="single" w:sz="4" w:space="0" w:color="auto"/>
              <w:right w:val="single" w:sz="4" w:space="0" w:color="auto"/>
            </w:tcBorders>
            <w:shd w:val="clear" w:color="000000" w:fill="DDEBF7"/>
            <w:hideMark/>
          </w:tcPr>
          <w:p w14:paraId="2756F995" w14:textId="77777777" w:rsidR="00985D46" w:rsidRPr="00985D46" w:rsidRDefault="00985D46" w:rsidP="00985D46">
            <w:pPr>
              <w:spacing w:after="0" w:line="240" w:lineRule="auto"/>
              <w:jc w:val="center"/>
              <w:rPr>
                <w:rFonts w:ascii="Calibri" w:eastAsia="Times New Roman" w:hAnsi="Calibri" w:cs="Calibri"/>
                <w:b/>
                <w:bCs/>
                <w:sz w:val="24"/>
                <w:szCs w:val="24"/>
                <w:lang w:val="en-GB" w:eastAsia="en-GB"/>
              </w:rPr>
            </w:pPr>
            <w:r w:rsidRPr="00985D46">
              <w:rPr>
                <w:rFonts w:ascii="Calibri" w:eastAsia="Times New Roman" w:hAnsi="Calibri" w:cs="Calibri"/>
                <w:b/>
                <w:bCs/>
                <w:sz w:val="24"/>
                <w:szCs w:val="24"/>
                <w:lang w:val="en-GB" w:eastAsia="en-GB"/>
              </w:rPr>
              <w:t>C</w:t>
            </w:r>
          </w:p>
        </w:tc>
        <w:tc>
          <w:tcPr>
            <w:tcW w:w="3493" w:type="pct"/>
            <w:tcBorders>
              <w:top w:val="nil"/>
              <w:left w:val="nil"/>
              <w:bottom w:val="single" w:sz="4" w:space="0" w:color="auto"/>
              <w:right w:val="single" w:sz="4" w:space="0" w:color="auto"/>
            </w:tcBorders>
            <w:shd w:val="clear" w:color="000000" w:fill="DDEBF7"/>
            <w:hideMark/>
          </w:tcPr>
          <w:p w14:paraId="4EB19029" w14:textId="77777777" w:rsidR="00985D46" w:rsidRPr="00985D46" w:rsidRDefault="00985D46" w:rsidP="00985D46">
            <w:pPr>
              <w:spacing w:after="0" w:line="240" w:lineRule="auto"/>
              <w:rPr>
                <w:rFonts w:ascii="Calibri" w:eastAsia="Times New Roman" w:hAnsi="Calibri" w:cs="Calibri"/>
                <w:b/>
                <w:bCs/>
                <w:sz w:val="24"/>
                <w:szCs w:val="24"/>
                <w:lang w:val="en-GB" w:eastAsia="en-GB"/>
              </w:rPr>
            </w:pPr>
            <w:r w:rsidRPr="00985D46">
              <w:rPr>
                <w:rFonts w:ascii="Calibri" w:eastAsia="Times New Roman" w:hAnsi="Calibri" w:cs="Calibri"/>
                <w:b/>
                <w:bCs/>
                <w:sz w:val="24"/>
                <w:szCs w:val="24"/>
                <w:lang w:val="en-GB" w:eastAsia="en-GB"/>
              </w:rPr>
              <w:t>Permissions, AD, and Data Cleanup</w:t>
            </w:r>
          </w:p>
        </w:tc>
        <w:tc>
          <w:tcPr>
            <w:tcW w:w="638" w:type="pct"/>
            <w:tcBorders>
              <w:top w:val="nil"/>
              <w:left w:val="nil"/>
              <w:bottom w:val="single" w:sz="4" w:space="0" w:color="auto"/>
              <w:right w:val="single" w:sz="4" w:space="0" w:color="auto"/>
            </w:tcBorders>
            <w:shd w:val="clear" w:color="auto" w:fill="auto"/>
            <w:hideMark/>
          </w:tcPr>
          <w:p w14:paraId="0CF4563B"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149CC70A"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08AF7CE7"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7338F98C"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37</w:t>
            </w:r>
          </w:p>
        </w:tc>
        <w:tc>
          <w:tcPr>
            <w:tcW w:w="3493" w:type="pct"/>
            <w:tcBorders>
              <w:top w:val="nil"/>
              <w:left w:val="nil"/>
              <w:bottom w:val="single" w:sz="4" w:space="0" w:color="auto"/>
              <w:right w:val="single" w:sz="4" w:space="0" w:color="auto"/>
            </w:tcBorders>
            <w:shd w:val="clear" w:color="auto" w:fill="auto"/>
            <w:hideMark/>
          </w:tcPr>
          <w:p w14:paraId="6BCA5B14"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The solution must be capable of generating actionable reports on unused or empty security groups, including recommendations for remediation.</w:t>
            </w:r>
          </w:p>
        </w:tc>
        <w:tc>
          <w:tcPr>
            <w:tcW w:w="638" w:type="pct"/>
            <w:tcBorders>
              <w:top w:val="nil"/>
              <w:left w:val="nil"/>
              <w:bottom w:val="single" w:sz="4" w:space="0" w:color="auto"/>
              <w:right w:val="single" w:sz="4" w:space="0" w:color="auto"/>
            </w:tcBorders>
            <w:shd w:val="clear" w:color="auto" w:fill="auto"/>
            <w:hideMark/>
          </w:tcPr>
          <w:p w14:paraId="4D150BC5"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3B7167FF"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0D01D42D"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4F576689"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38</w:t>
            </w:r>
          </w:p>
        </w:tc>
        <w:tc>
          <w:tcPr>
            <w:tcW w:w="3493" w:type="pct"/>
            <w:tcBorders>
              <w:top w:val="nil"/>
              <w:left w:val="nil"/>
              <w:bottom w:val="single" w:sz="4" w:space="0" w:color="auto"/>
              <w:right w:val="single" w:sz="4" w:space="0" w:color="auto"/>
            </w:tcBorders>
            <w:shd w:val="clear" w:color="auto" w:fill="auto"/>
            <w:hideMark/>
          </w:tcPr>
          <w:p w14:paraId="67056D95"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It should provide reports on unresolved SIDs on ACLs (Access Control Lists) and Individual User ACEs on ACLs, highlighting any security identifiers or access control entries that lack clear identification.</w:t>
            </w:r>
          </w:p>
        </w:tc>
        <w:tc>
          <w:tcPr>
            <w:tcW w:w="638" w:type="pct"/>
            <w:tcBorders>
              <w:top w:val="nil"/>
              <w:left w:val="nil"/>
              <w:bottom w:val="single" w:sz="4" w:space="0" w:color="auto"/>
              <w:right w:val="single" w:sz="4" w:space="0" w:color="auto"/>
            </w:tcBorders>
            <w:shd w:val="clear" w:color="auto" w:fill="auto"/>
            <w:hideMark/>
          </w:tcPr>
          <w:p w14:paraId="5649E8D6"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6C762F4F"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74B2305C"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1A357A2C"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lastRenderedPageBreak/>
              <w:t>39</w:t>
            </w:r>
          </w:p>
        </w:tc>
        <w:tc>
          <w:tcPr>
            <w:tcW w:w="3493" w:type="pct"/>
            <w:tcBorders>
              <w:top w:val="nil"/>
              <w:left w:val="nil"/>
              <w:bottom w:val="single" w:sz="4" w:space="0" w:color="auto"/>
              <w:right w:val="single" w:sz="4" w:space="0" w:color="auto"/>
            </w:tcBorders>
            <w:shd w:val="clear" w:color="auto" w:fill="auto"/>
            <w:hideMark/>
          </w:tcPr>
          <w:p w14:paraId="109CA9D4"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The solution should provide reports on inactive data and inactive users, identifying and reporting on data and users that exhibit prolonged periods of inactivity.</w:t>
            </w:r>
          </w:p>
        </w:tc>
        <w:tc>
          <w:tcPr>
            <w:tcW w:w="638" w:type="pct"/>
            <w:tcBorders>
              <w:top w:val="nil"/>
              <w:left w:val="nil"/>
              <w:bottom w:val="single" w:sz="4" w:space="0" w:color="auto"/>
              <w:right w:val="single" w:sz="4" w:space="0" w:color="auto"/>
            </w:tcBorders>
            <w:shd w:val="clear" w:color="auto" w:fill="auto"/>
            <w:hideMark/>
          </w:tcPr>
          <w:p w14:paraId="652BD433"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5D788C7B"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2F91E22B"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72F625EA"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40</w:t>
            </w:r>
          </w:p>
        </w:tc>
        <w:tc>
          <w:tcPr>
            <w:tcW w:w="3493" w:type="pct"/>
            <w:tcBorders>
              <w:top w:val="nil"/>
              <w:left w:val="nil"/>
              <w:bottom w:val="single" w:sz="4" w:space="0" w:color="auto"/>
              <w:right w:val="single" w:sz="4" w:space="0" w:color="auto"/>
            </w:tcBorders>
            <w:shd w:val="clear" w:color="auto" w:fill="auto"/>
            <w:hideMark/>
          </w:tcPr>
          <w:p w14:paraId="681982CF"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It must offer a report detailing disabled users who remain in security groups, highlighting instances where deactivated users are still part of security configurations.</w:t>
            </w:r>
          </w:p>
        </w:tc>
        <w:tc>
          <w:tcPr>
            <w:tcW w:w="638" w:type="pct"/>
            <w:tcBorders>
              <w:top w:val="nil"/>
              <w:left w:val="nil"/>
              <w:bottom w:val="single" w:sz="4" w:space="0" w:color="auto"/>
              <w:right w:val="single" w:sz="4" w:space="0" w:color="auto"/>
            </w:tcBorders>
            <w:shd w:val="clear" w:color="auto" w:fill="auto"/>
            <w:hideMark/>
          </w:tcPr>
          <w:p w14:paraId="35BC2255"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0D7DD646"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48B5D36F"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0A9E61F1"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41</w:t>
            </w:r>
          </w:p>
        </w:tc>
        <w:tc>
          <w:tcPr>
            <w:tcW w:w="3493" w:type="pct"/>
            <w:tcBorders>
              <w:top w:val="nil"/>
              <w:left w:val="nil"/>
              <w:bottom w:val="single" w:sz="4" w:space="0" w:color="auto"/>
              <w:right w:val="single" w:sz="4" w:space="0" w:color="auto"/>
            </w:tcBorders>
            <w:shd w:val="clear" w:color="auto" w:fill="auto"/>
            <w:hideMark/>
          </w:tcPr>
          <w:p w14:paraId="7920179D"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The solution should have the ability to move or migrate unused data to a lower tier repository, facilitating the relocation of data that has shown a lack of recent activity to a secondary storage location.</w:t>
            </w:r>
          </w:p>
        </w:tc>
        <w:tc>
          <w:tcPr>
            <w:tcW w:w="638" w:type="pct"/>
            <w:tcBorders>
              <w:top w:val="nil"/>
              <w:left w:val="nil"/>
              <w:bottom w:val="single" w:sz="4" w:space="0" w:color="auto"/>
              <w:right w:val="single" w:sz="4" w:space="0" w:color="auto"/>
            </w:tcBorders>
            <w:shd w:val="clear" w:color="auto" w:fill="auto"/>
            <w:hideMark/>
          </w:tcPr>
          <w:p w14:paraId="5F36E3A9"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57C8AD86"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08875D8F" w14:textId="77777777" w:rsidTr="008E0319">
        <w:trPr>
          <w:trHeight w:val="315"/>
        </w:trPr>
        <w:tc>
          <w:tcPr>
            <w:tcW w:w="176" w:type="pct"/>
            <w:tcBorders>
              <w:top w:val="nil"/>
              <w:left w:val="single" w:sz="4" w:space="0" w:color="auto"/>
              <w:bottom w:val="single" w:sz="4" w:space="0" w:color="auto"/>
              <w:right w:val="single" w:sz="4" w:space="0" w:color="auto"/>
            </w:tcBorders>
            <w:shd w:val="clear" w:color="000000" w:fill="DDEBF7"/>
            <w:hideMark/>
          </w:tcPr>
          <w:p w14:paraId="027D166E" w14:textId="77777777" w:rsidR="00985D46" w:rsidRPr="00985D46" w:rsidRDefault="00985D46" w:rsidP="00985D46">
            <w:pPr>
              <w:spacing w:after="0" w:line="240" w:lineRule="auto"/>
              <w:jc w:val="center"/>
              <w:rPr>
                <w:rFonts w:ascii="Calibri" w:eastAsia="Times New Roman" w:hAnsi="Calibri" w:cs="Calibri"/>
                <w:b/>
                <w:bCs/>
                <w:sz w:val="24"/>
                <w:szCs w:val="24"/>
                <w:lang w:val="en-GB" w:eastAsia="en-GB"/>
              </w:rPr>
            </w:pPr>
            <w:r w:rsidRPr="00985D46">
              <w:rPr>
                <w:rFonts w:ascii="Calibri" w:eastAsia="Times New Roman" w:hAnsi="Calibri" w:cs="Calibri"/>
                <w:b/>
                <w:bCs/>
                <w:sz w:val="24"/>
                <w:szCs w:val="24"/>
                <w:lang w:val="en-GB" w:eastAsia="en-GB"/>
              </w:rPr>
              <w:t>D</w:t>
            </w:r>
          </w:p>
        </w:tc>
        <w:tc>
          <w:tcPr>
            <w:tcW w:w="3493" w:type="pct"/>
            <w:tcBorders>
              <w:top w:val="nil"/>
              <w:left w:val="nil"/>
              <w:bottom w:val="single" w:sz="4" w:space="0" w:color="auto"/>
              <w:right w:val="single" w:sz="4" w:space="0" w:color="auto"/>
            </w:tcBorders>
            <w:shd w:val="clear" w:color="000000" w:fill="DDEBF7"/>
            <w:hideMark/>
          </w:tcPr>
          <w:p w14:paraId="13D229EB" w14:textId="77777777" w:rsidR="00985D46" w:rsidRPr="00985D46" w:rsidRDefault="00985D46" w:rsidP="00985D46">
            <w:pPr>
              <w:spacing w:after="0" w:line="240" w:lineRule="auto"/>
              <w:rPr>
                <w:rFonts w:ascii="Calibri" w:eastAsia="Times New Roman" w:hAnsi="Calibri" w:cs="Calibri"/>
                <w:b/>
                <w:bCs/>
                <w:sz w:val="24"/>
                <w:szCs w:val="24"/>
                <w:lang w:val="en-GB" w:eastAsia="en-GB"/>
              </w:rPr>
            </w:pPr>
            <w:r w:rsidRPr="00985D46">
              <w:rPr>
                <w:rFonts w:ascii="Calibri" w:eastAsia="Times New Roman" w:hAnsi="Calibri" w:cs="Calibri"/>
                <w:b/>
                <w:bCs/>
                <w:sz w:val="24"/>
                <w:szCs w:val="24"/>
                <w:lang w:val="en-GB" w:eastAsia="en-GB"/>
              </w:rPr>
              <w:t>Misconfiguration Management</w:t>
            </w:r>
          </w:p>
        </w:tc>
        <w:tc>
          <w:tcPr>
            <w:tcW w:w="638" w:type="pct"/>
            <w:tcBorders>
              <w:top w:val="nil"/>
              <w:left w:val="nil"/>
              <w:bottom w:val="single" w:sz="4" w:space="0" w:color="auto"/>
              <w:right w:val="single" w:sz="4" w:space="0" w:color="auto"/>
            </w:tcBorders>
            <w:shd w:val="clear" w:color="auto" w:fill="auto"/>
            <w:hideMark/>
          </w:tcPr>
          <w:p w14:paraId="009ED972"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69088FF3"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2E74CE51"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4C1CF4B1"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42</w:t>
            </w:r>
          </w:p>
        </w:tc>
        <w:tc>
          <w:tcPr>
            <w:tcW w:w="3493" w:type="pct"/>
            <w:tcBorders>
              <w:top w:val="nil"/>
              <w:left w:val="nil"/>
              <w:bottom w:val="single" w:sz="4" w:space="0" w:color="auto"/>
              <w:right w:val="single" w:sz="4" w:space="0" w:color="auto"/>
            </w:tcBorders>
            <w:shd w:val="clear" w:color="auto" w:fill="auto"/>
            <w:hideMark/>
          </w:tcPr>
          <w:p w14:paraId="0DE3F78E"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The solution should help discover, document, and rectify Active Directory (AD) misconfigurations, offering detailed insights and automated remediation solutions for configuration issues.</w:t>
            </w:r>
          </w:p>
        </w:tc>
        <w:tc>
          <w:tcPr>
            <w:tcW w:w="638" w:type="pct"/>
            <w:tcBorders>
              <w:top w:val="nil"/>
              <w:left w:val="nil"/>
              <w:bottom w:val="single" w:sz="4" w:space="0" w:color="auto"/>
              <w:right w:val="single" w:sz="4" w:space="0" w:color="auto"/>
            </w:tcBorders>
            <w:shd w:val="clear" w:color="auto" w:fill="auto"/>
            <w:vAlign w:val="center"/>
            <w:hideMark/>
          </w:tcPr>
          <w:p w14:paraId="7D9CC079" w14:textId="77777777" w:rsidR="00985D46" w:rsidRPr="00985D46" w:rsidRDefault="00985D46" w:rsidP="00985D46">
            <w:pPr>
              <w:spacing w:after="0" w:line="240" w:lineRule="auto"/>
              <w:rPr>
                <w:rFonts w:ascii="Calibri" w:eastAsia="Times New Roman" w:hAnsi="Calibri" w:cs="Calibri"/>
                <w:color w:val="FF0000"/>
                <w:lang w:val="en-GB" w:eastAsia="en-GB"/>
              </w:rPr>
            </w:pPr>
            <w:r w:rsidRPr="00985D46">
              <w:rPr>
                <w:rFonts w:ascii="Calibri" w:eastAsia="Times New Roman" w:hAnsi="Calibri" w:cs="Calibri"/>
                <w:color w:val="FF0000"/>
                <w:lang w:val="en-GB" w:eastAsia="en-GB"/>
              </w:rPr>
              <w:t> </w:t>
            </w:r>
          </w:p>
        </w:tc>
        <w:tc>
          <w:tcPr>
            <w:tcW w:w="693" w:type="pct"/>
            <w:tcBorders>
              <w:top w:val="nil"/>
              <w:left w:val="nil"/>
              <w:bottom w:val="single" w:sz="4" w:space="0" w:color="auto"/>
              <w:right w:val="single" w:sz="4" w:space="0" w:color="auto"/>
            </w:tcBorders>
            <w:shd w:val="clear" w:color="auto" w:fill="auto"/>
            <w:vAlign w:val="center"/>
            <w:hideMark/>
          </w:tcPr>
          <w:p w14:paraId="0190E383"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17488002"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521BB5F8"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43</w:t>
            </w:r>
          </w:p>
        </w:tc>
        <w:tc>
          <w:tcPr>
            <w:tcW w:w="3493" w:type="pct"/>
            <w:tcBorders>
              <w:top w:val="nil"/>
              <w:left w:val="nil"/>
              <w:bottom w:val="single" w:sz="4" w:space="0" w:color="auto"/>
              <w:right w:val="single" w:sz="4" w:space="0" w:color="auto"/>
            </w:tcBorders>
            <w:shd w:val="clear" w:color="auto" w:fill="auto"/>
            <w:hideMark/>
          </w:tcPr>
          <w:p w14:paraId="0C20C772"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The solution must showcase findings on expired passwords, users with blank passwords and users with no password expiry.</w:t>
            </w:r>
          </w:p>
        </w:tc>
        <w:tc>
          <w:tcPr>
            <w:tcW w:w="638" w:type="pct"/>
            <w:tcBorders>
              <w:top w:val="nil"/>
              <w:left w:val="nil"/>
              <w:bottom w:val="single" w:sz="4" w:space="0" w:color="auto"/>
              <w:right w:val="single" w:sz="4" w:space="0" w:color="auto"/>
            </w:tcBorders>
            <w:shd w:val="clear" w:color="auto" w:fill="auto"/>
            <w:hideMark/>
          </w:tcPr>
          <w:p w14:paraId="60902233"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147CEACD"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32972F6C" w14:textId="77777777" w:rsidTr="008E0319">
        <w:trPr>
          <w:trHeight w:val="315"/>
        </w:trPr>
        <w:tc>
          <w:tcPr>
            <w:tcW w:w="176" w:type="pct"/>
            <w:tcBorders>
              <w:top w:val="nil"/>
              <w:left w:val="single" w:sz="4" w:space="0" w:color="auto"/>
              <w:bottom w:val="single" w:sz="4" w:space="0" w:color="auto"/>
              <w:right w:val="single" w:sz="4" w:space="0" w:color="auto"/>
            </w:tcBorders>
            <w:shd w:val="clear" w:color="000000" w:fill="DDEBF7"/>
            <w:hideMark/>
          </w:tcPr>
          <w:p w14:paraId="536395C8" w14:textId="77777777" w:rsidR="00985D46" w:rsidRPr="00985D46" w:rsidRDefault="00985D46" w:rsidP="00985D46">
            <w:pPr>
              <w:spacing w:after="0" w:line="240" w:lineRule="auto"/>
              <w:jc w:val="center"/>
              <w:rPr>
                <w:rFonts w:ascii="Calibri" w:eastAsia="Times New Roman" w:hAnsi="Calibri" w:cs="Calibri"/>
                <w:b/>
                <w:bCs/>
                <w:sz w:val="24"/>
                <w:szCs w:val="24"/>
                <w:lang w:val="en-GB" w:eastAsia="en-GB"/>
              </w:rPr>
            </w:pPr>
            <w:r w:rsidRPr="00985D46">
              <w:rPr>
                <w:rFonts w:ascii="Calibri" w:eastAsia="Times New Roman" w:hAnsi="Calibri" w:cs="Calibri"/>
                <w:b/>
                <w:bCs/>
                <w:sz w:val="24"/>
                <w:szCs w:val="24"/>
                <w:lang w:val="en-GB" w:eastAsia="en-GB"/>
              </w:rPr>
              <w:t>E</w:t>
            </w:r>
          </w:p>
        </w:tc>
        <w:tc>
          <w:tcPr>
            <w:tcW w:w="3493" w:type="pct"/>
            <w:tcBorders>
              <w:top w:val="nil"/>
              <w:left w:val="nil"/>
              <w:bottom w:val="single" w:sz="4" w:space="0" w:color="auto"/>
              <w:right w:val="single" w:sz="4" w:space="0" w:color="auto"/>
            </w:tcBorders>
            <w:shd w:val="clear" w:color="000000" w:fill="DDEBF7"/>
            <w:hideMark/>
          </w:tcPr>
          <w:p w14:paraId="2E75F751" w14:textId="77777777" w:rsidR="00985D46" w:rsidRPr="00985D46" w:rsidRDefault="00985D46" w:rsidP="00985D46">
            <w:pPr>
              <w:spacing w:after="0" w:line="240" w:lineRule="auto"/>
              <w:rPr>
                <w:rFonts w:ascii="Calibri" w:eastAsia="Times New Roman" w:hAnsi="Calibri" w:cs="Calibri"/>
                <w:b/>
                <w:bCs/>
                <w:sz w:val="24"/>
                <w:szCs w:val="24"/>
                <w:lang w:val="en-GB" w:eastAsia="en-GB"/>
              </w:rPr>
            </w:pPr>
            <w:r w:rsidRPr="00985D46">
              <w:rPr>
                <w:rFonts w:ascii="Calibri" w:eastAsia="Times New Roman" w:hAnsi="Calibri" w:cs="Calibri"/>
                <w:b/>
                <w:bCs/>
                <w:sz w:val="24"/>
                <w:szCs w:val="24"/>
                <w:lang w:val="en-GB" w:eastAsia="en-GB"/>
              </w:rPr>
              <w:t>Activity monitoring and threat detection</w:t>
            </w:r>
          </w:p>
        </w:tc>
        <w:tc>
          <w:tcPr>
            <w:tcW w:w="638" w:type="pct"/>
            <w:tcBorders>
              <w:top w:val="nil"/>
              <w:left w:val="nil"/>
              <w:bottom w:val="single" w:sz="4" w:space="0" w:color="auto"/>
              <w:right w:val="single" w:sz="4" w:space="0" w:color="auto"/>
            </w:tcBorders>
            <w:shd w:val="clear" w:color="auto" w:fill="auto"/>
            <w:hideMark/>
          </w:tcPr>
          <w:p w14:paraId="7E9DBA36"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03FD9704"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7C9B40DF"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6D031A33"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44</w:t>
            </w:r>
          </w:p>
        </w:tc>
        <w:tc>
          <w:tcPr>
            <w:tcW w:w="3493" w:type="pct"/>
            <w:tcBorders>
              <w:top w:val="nil"/>
              <w:left w:val="nil"/>
              <w:bottom w:val="single" w:sz="4" w:space="0" w:color="auto"/>
              <w:right w:val="single" w:sz="4" w:space="0" w:color="auto"/>
            </w:tcBorders>
            <w:shd w:val="clear" w:color="auto" w:fill="auto"/>
            <w:hideMark/>
          </w:tcPr>
          <w:p w14:paraId="2B10F9CF"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It should have the capability to detect and promptly alert on any abnormal activities, signaling potential security threats within the system.</w:t>
            </w:r>
          </w:p>
        </w:tc>
        <w:tc>
          <w:tcPr>
            <w:tcW w:w="638" w:type="pct"/>
            <w:tcBorders>
              <w:top w:val="nil"/>
              <w:left w:val="nil"/>
              <w:bottom w:val="single" w:sz="4" w:space="0" w:color="auto"/>
              <w:right w:val="single" w:sz="4" w:space="0" w:color="auto"/>
            </w:tcBorders>
            <w:shd w:val="clear" w:color="auto" w:fill="auto"/>
            <w:hideMark/>
          </w:tcPr>
          <w:p w14:paraId="454C479A"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1A63AAC6"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7ED71149"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6B14AE22"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45</w:t>
            </w:r>
          </w:p>
        </w:tc>
        <w:tc>
          <w:tcPr>
            <w:tcW w:w="3493" w:type="pct"/>
            <w:tcBorders>
              <w:top w:val="nil"/>
              <w:left w:val="nil"/>
              <w:bottom w:val="single" w:sz="4" w:space="0" w:color="auto"/>
              <w:right w:val="single" w:sz="4" w:space="0" w:color="auto"/>
            </w:tcBorders>
            <w:shd w:val="clear" w:color="auto" w:fill="auto"/>
            <w:hideMark/>
          </w:tcPr>
          <w:p w14:paraId="136949C3"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The solution should detect identity-based risks and threats like privilege escalation, providing crucial insights into potential breaches and vulnerabilities.</w:t>
            </w:r>
          </w:p>
        </w:tc>
        <w:tc>
          <w:tcPr>
            <w:tcW w:w="638" w:type="pct"/>
            <w:tcBorders>
              <w:top w:val="nil"/>
              <w:left w:val="nil"/>
              <w:bottom w:val="single" w:sz="4" w:space="0" w:color="auto"/>
              <w:right w:val="single" w:sz="4" w:space="0" w:color="auto"/>
            </w:tcBorders>
            <w:shd w:val="clear" w:color="auto" w:fill="auto"/>
            <w:hideMark/>
          </w:tcPr>
          <w:p w14:paraId="493F779C"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22DC773D"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32C13598"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1BBF0B38"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46</w:t>
            </w:r>
          </w:p>
        </w:tc>
        <w:tc>
          <w:tcPr>
            <w:tcW w:w="3493" w:type="pct"/>
            <w:tcBorders>
              <w:top w:val="nil"/>
              <w:left w:val="nil"/>
              <w:bottom w:val="single" w:sz="4" w:space="0" w:color="auto"/>
              <w:right w:val="single" w:sz="4" w:space="0" w:color="auto"/>
            </w:tcBorders>
            <w:shd w:val="clear" w:color="auto" w:fill="auto"/>
            <w:hideMark/>
          </w:tcPr>
          <w:p w14:paraId="0B1E13D3"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It must effectively identify and alert about potential threats to the system, covering a spectrum of risks, including misconfigurations, external threats, and insider threats.</w:t>
            </w:r>
          </w:p>
        </w:tc>
        <w:tc>
          <w:tcPr>
            <w:tcW w:w="638" w:type="pct"/>
            <w:tcBorders>
              <w:top w:val="nil"/>
              <w:left w:val="nil"/>
              <w:bottom w:val="single" w:sz="4" w:space="0" w:color="auto"/>
              <w:right w:val="single" w:sz="4" w:space="0" w:color="auto"/>
            </w:tcBorders>
            <w:shd w:val="clear" w:color="auto" w:fill="auto"/>
            <w:hideMark/>
          </w:tcPr>
          <w:p w14:paraId="1BEB4D23"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2CFAF622"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5DB66694"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3931C762"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47</w:t>
            </w:r>
          </w:p>
        </w:tc>
        <w:tc>
          <w:tcPr>
            <w:tcW w:w="3493" w:type="pct"/>
            <w:tcBorders>
              <w:top w:val="nil"/>
              <w:left w:val="nil"/>
              <w:bottom w:val="single" w:sz="4" w:space="0" w:color="auto"/>
              <w:right w:val="single" w:sz="4" w:space="0" w:color="auto"/>
            </w:tcBorders>
            <w:shd w:val="clear" w:color="auto" w:fill="auto"/>
            <w:hideMark/>
          </w:tcPr>
          <w:p w14:paraId="45BAD929"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It should not only detect risks but also provide comprehensive recommendations to mitigate these identified risks, offering actionable strategies for security enhancement.</w:t>
            </w:r>
          </w:p>
        </w:tc>
        <w:tc>
          <w:tcPr>
            <w:tcW w:w="638" w:type="pct"/>
            <w:tcBorders>
              <w:top w:val="nil"/>
              <w:left w:val="nil"/>
              <w:bottom w:val="single" w:sz="4" w:space="0" w:color="auto"/>
              <w:right w:val="single" w:sz="4" w:space="0" w:color="auto"/>
            </w:tcBorders>
            <w:shd w:val="clear" w:color="auto" w:fill="auto"/>
            <w:hideMark/>
          </w:tcPr>
          <w:p w14:paraId="2C29DC94"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5CFFD5B5"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74EF44D3"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398A3633"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48</w:t>
            </w:r>
          </w:p>
        </w:tc>
        <w:tc>
          <w:tcPr>
            <w:tcW w:w="3493" w:type="pct"/>
            <w:tcBorders>
              <w:top w:val="nil"/>
              <w:left w:val="nil"/>
              <w:bottom w:val="single" w:sz="4" w:space="0" w:color="auto"/>
              <w:right w:val="single" w:sz="4" w:space="0" w:color="auto"/>
            </w:tcBorders>
            <w:shd w:val="clear" w:color="auto" w:fill="auto"/>
            <w:hideMark/>
          </w:tcPr>
          <w:p w14:paraId="064E14BA"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The solution must offer in-depth insight into various attack methods and provide actionable intelligence on tactics and procedures used by potential threats, including mitigation strategies.</w:t>
            </w:r>
          </w:p>
        </w:tc>
        <w:tc>
          <w:tcPr>
            <w:tcW w:w="638" w:type="pct"/>
            <w:tcBorders>
              <w:top w:val="nil"/>
              <w:left w:val="nil"/>
              <w:bottom w:val="single" w:sz="4" w:space="0" w:color="auto"/>
              <w:right w:val="single" w:sz="4" w:space="0" w:color="auto"/>
            </w:tcBorders>
            <w:shd w:val="clear" w:color="auto" w:fill="auto"/>
            <w:hideMark/>
          </w:tcPr>
          <w:p w14:paraId="7C7DE102"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042E07D6"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25C33F7A"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1A3059AD"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49</w:t>
            </w:r>
          </w:p>
        </w:tc>
        <w:tc>
          <w:tcPr>
            <w:tcW w:w="3493" w:type="pct"/>
            <w:tcBorders>
              <w:top w:val="nil"/>
              <w:left w:val="nil"/>
              <w:bottom w:val="single" w:sz="4" w:space="0" w:color="auto"/>
              <w:right w:val="single" w:sz="4" w:space="0" w:color="auto"/>
            </w:tcBorders>
            <w:shd w:val="clear" w:color="auto" w:fill="auto"/>
            <w:hideMark/>
          </w:tcPr>
          <w:p w14:paraId="4BED019C"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The solution should not only map alerts to MITRE ATT&amp;CK tactics and techniques but also provide a user-friendly interface for understanding and contextualizing threats and attack methodologies.</w:t>
            </w:r>
          </w:p>
        </w:tc>
        <w:tc>
          <w:tcPr>
            <w:tcW w:w="638" w:type="pct"/>
            <w:tcBorders>
              <w:top w:val="nil"/>
              <w:left w:val="nil"/>
              <w:bottom w:val="single" w:sz="4" w:space="0" w:color="auto"/>
              <w:right w:val="single" w:sz="4" w:space="0" w:color="auto"/>
            </w:tcBorders>
            <w:shd w:val="clear" w:color="auto" w:fill="auto"/>
            <w:hideMark/>
          </w:tcPr>
          <w:p w14:paraId="5E63AD9D"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3108481D"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0F6D4C78"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4E66F4F9"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50</w:t>
            </w:r>
          </w:p>
        </w:tc>
        <w:tc>
          <w:tcPr>
            <w:tcW w:w="3493" w:type="pct"/>
            <w:tcBorders>
              <w:top w:val="nil"/>
              <w:left w:val="nil"/>
              <w:bottom w:val="single" w:sz="4" w:space="0" w:color="auto"/>
              <w:right w:val="single" w:sz="4" w:space="0" w:color="auto"/>
            </w:tcBorders>
            <w:shd w:val="clear" w:color="auto" w:fill="auto"/>
            <w:hideMark/>
          </w:tcPr>
          <w:p w14:paraId="5ED0E380"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The solution should identify and analyze patterns of failed user authentication attempts from a single device or IP, including distinguishing between password guessing and other attack vectors.</w:t>
            </w:r>
          </w:p>
        </w:tc>
        <w:tc>
          <w:tcPr>
            <w:tcW w:w="638" w:type="pct"/>
            <w:tcBorders>
              <w:top w:val="nil"/>
              <w:left w:val="nil"/>
              <w:bottom w:val="single" w:sz="4" w:space="0" w:color="auto"/>
              <w:right w:val="single" w:sz="4" w:space="0" w:color="auto"/>
            </w:tcBorders>
            <w:shd w:val="clear" w:color="auto" w:fill="auto"/>
            <w:hideMark/>
          </w:tcPr>
          <w:p w14:paraId="0EB486AF"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3E9FB19B"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06D114E7"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6F1B642B"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lastRenderedPageBreak/>
              <w:t>51</w:t>
            </w:r>
          </w:p>
        </w:tc>
        <w:tc>
          <w:tcPr>
            <w:tcW w:w="3493" w:type="pct"/>
            <w:tcBorders>
              <w:top w:val="nil"/>
              <w:left w:val="nil"/>
              <w:bottom w:val="single" w:sz="4" w:space="0" w:color="auto"/>
              <w:right w:val="single" w:sz="4" w:space="0" w:color="auto"/>
            </w:tcBorders>
            <w:shd w:val="clear" w:color="auto" w:fill="auto"/>
            <w:hideMark/>
          </w:tcPr>
          <w:p w14:paraId="08DEB7E4"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The solution must detect and prevent attackers from utilizing elevated privileges to compromise computers in the domain, including domain controllers.</w:t>
            </w:r>
          </w:p>
        </w:tc>
        <w:tc>
          <w:tcPr>
            <w:tcW w:w="638" w:type="pct"/>
            <w:tcBorders>
              <w:top w:val="nil"/>
              <w:left w:val="nil"/>
              <w:bottom w:val="single" w:sz="4" w:space="0" w:color="auto"/>
              <w:right w:val="single" w:sz="4" w:space="0" w:color="auto"/>
            </w:tcBorders>
            <w:shd w:val="clear" w:color="auto" w:fill="auto"/>
            <w:hideMark/>
          </w:tcPr>
          <w:p w14:paraId="63415974"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5D1196BF"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63FAECA6"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1E1B8A88"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52</w:t>
            </w:r>
          </w:p>
        </w:tc>
        <w:tc>
          <w:tcPr>
            <w:tcW w:w="3493" w:type="pct"/>
            <w:tcBorders>
              <w:top w:val="nil"/>
              <w:left w:val="nil"/>
              <w:bottom w:val="single" w:sz="4" w:space="0" w:color="auto"/>
              <w:right w:val="single" w:sz="4" w:space="0" w:color="auto"/>
            </w:tcBorders>
            <w:shd w:val="clear" w:color="auto" w:fill="auto"/>
            <w:hideMark/>
          </w:tcPr>
          <w:p w14:paraId="219E481E"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The solution should identify potential Kerberoasting attacks, wherein attackers attempt to harvest tickets with low encryption to crack passwords.</w:t>
            </w:r>
          </w:p>
        </w:tc>
        <w:tc>
          <w:tcPr>
            <w:tcW w:w="638" w:type="pct"/>
            <w:tcBorders>
              <w:top w:val="nil"/>
              <w:left w:val="nil"/>
              <w:bottom w:val="single" w:sz="4" w:space="0" w:color="auto"/>
              <w:right w:val="single" w:sz="4" w:space="0" w:color="auto"/>
            </w:tcBorders>
            <w:shd w:val="clear" w:color="auto" w:fill="auto"/>
            <w:hideMark/>
          </w:tcPr>
          <w:p w14:paraId="50417007"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7973A12B"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74241CCB" w14:textId="77777777" w:rsidTr="008E0319">
        <w:trPr>
          <w:trHeight w:val="1500"/>
        </w:trPr>
        <w:tc>
          <w:tcPr>
            <w:tcW w:w="176" w:type="pct"/>
            <w:tcBorders>
              <w:top w:val="nil"/>
              <w:left w:val="single" w:sz="4" w:space="0" w:color="auto"/>
              <w:bottom w:val="single" w:sz="4" w:space="0" w:color="auto"/>
              <w:right w:val="single" w:sz="4" w:space="0" w:color="auto"/>
            </w:tcBorders>
            <w:shd w:val="clear" w:color="auto" w:fill="auto"/>
            <w:hideMark/>
          </w:tcPr>
          <w:p w14:paraId="2C558A3A"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53</w:t>
            </w:r>
          </w:p>
        </w:tc>
        <w:tc>
          <w:tcPr>
            <w:tcW w:w="3493" w:type="pct"/>
            <w:tcBorders>
              <w:top w:val="nil"/>
              <w:left w:val="nil"/>
              <w:bottom w:val="single" w:sz="4" w:space="0" w:color="auto"/>
              <w:right w:val="single" w:sz="4" w:space="0" w:color="auto"/>
            </w:tcBorders>
            <w:shd w:val="clear" w:color="auto" w:fill="auto"/>
            <w:hideMark/>
          </w:tcPr>
          <w:p w14:paraId="68A49874"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The solution should detect and respond to abnormal login attempt patterns indicative of potential attacks, such as repeated login attempts from multiple devices, indicative of username guessing or credential stuffing. It should also identify and differentiate between credential stuffing attacks, brute-force attacks, and their subsequent phases, alerting and potentially triggering countermeasures upon detecting suspicious activities, such as rapid and persistent username and password guessing attempts.</w:t>
            </w:r>
          </w:p>
        </w:tc>
        <w:tc>
          <w:tcPr>
            <w:tcW w:w="638" w:type="pct"/>
            <w:tcBorders>
              <w:top w:val="nil"/>
              <w:left w:val="nil"/>
              <w:bottom w:val="single" w:sz="4" w:space="0" w:color="auto"/>
              <w:right w:val="single" w:sz="4" w:space="0" w:color="auto"/>
            </w:tcBorders>
            <w:shd w:val="clear" w:color="auto" w:fill="auto"/>
            <w:hideMark/>
          </w:tcPr>
          <w:p w14:paraId="0D797BA0"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088868AB"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0F08ACA3" w14:textId="77777777" w:rsidTr="008E0319">
        <w:trPr>
          <w:trHeight w:val="900"/>
        </w:trPr>
        <w:tc>
          <w:tcPr>
            <w:tcW w:w="176" w:type="pct"/>
            <w:tcBorders>
              <w:top w:val="nil"/>
              <w:left w:val="single" w:sz="4" w:space="0" w:color="auto"/>
              <w:bottom w:val="single" w:sz="4" w:space="0" w:color="auto"/>
              <w:right w:val="single" w:sz="4" w:space="0" w:color="auto"/>
            </w:tcBorders>
            <w:shd w:val="clear" w:color="auto" w:fill="auto"/>
            <w:hideMark/>
          </w:tcPr>
          <w:p w14:paraId="28718C30"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54</w:t>
            </w:r>
          </w:p>
        </w:tc>
        <w:tc>
          <w:tcPr>
            <w:tcW w:w="3493" w:type="pct"/>
            <w:tcBorders>
              <w:top w:val="nil"/>
              <w:left w:val="nil"/>
              <w:bottom w:val="single" w:sz="4" w:space="0" w:color="auto"/>
              <w:right w:val="single" w:sz="4" w:space="0" w:color="auto"/>
            </w:tcBorders>
            <w:shd w:val="clear" w:color="auto" w:fill="auto"/>
            <w:hideMark/>
          </w:tcPr>
          <w:p w14:paraId="271BCB68"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 xml:space="preserve"> The solution must be capable of detecting gradual brute-force attacks, aiming to compromise multiple admin credentials or cause denial-of-service for multiple admins. The system should promptly alert and respond to such threats to ensure proactive security measures.</w:t>
            </w:r>
          </w:p>
        </w:tc>
        <w:tc>
          <w:tcPr>
            <w:tcW w:w="638" w:type="pct"/>
            <w:tcBorders>
              <w:top w:val="nil"/>
              <w:left w:val="nil"/>
              <w:bottom w:val="single" w:sz="4" w:space="0" w:color="auto"/>
              <w:right w:val="single" w:sz="4" w:space="0" w:color="auto"/>
            </w:tcBorders>
            <w:shd w:val="clear" w:color="auto" w:fill="auto"/>
            <w:hideMark/>
          </w:tcPr>
          <w:p w14:paraId="70571092"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5723AF4B"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73D28D31" w14:textId="77777777" w:rsidTr="008E0319">
        <w:trPr>
          <w:trHeight w:val="900"/>
        </w:trPr>
        <w:tc>
          <w:tcPr>
            <w:tcW w:w="176" w:type="pct"/>
            <w:tcBorders>
              <w:top w:val="nil"/>
              <w:left w:val="single" w:sz="4" w:space="0" w:color="auto"/>
              <w:bottom w:val="single" w:sz="4" w:space="0" w:color="auto"/>
              <w:right w:val="single" w:sz="4" w:space="0" w:color="auto"/>
            </w:tcBorders>
            <w:shd w:val="clear" w:color="auto" w:fill="auto"/>
            <w:hideMark/>
          </w:tcPr>
          <w:p w14:paraId="5AD39B44"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55</w:t>
            </w:r>
          </w:p>
        </w:tc>
        <w:tc>
          <w:tcPr>
            <w:tcW w:w="3493" w:type="pct"/>
            <w:tcBorders>
              <w:top w:val="nil"/>
              <w:left w:val="nil"/>
              <w:bottom w:val="single" w:sz="4" w:space="0" w:color="auto"/>
              <w:right w:val="single" w:sz="4" w:space="0" w:color="auto"/>
            </w:tcBorders>
            <w:shd w:val="clear" w:color="auto" w:fill="auto"/>
            <w:hideMark/>
          </w:tcPr>
          <w:p w14:paraId="02F8666F"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br/>
              <w:t>The solution should detect a potential brute-force attack intended to steal various admins' credentials or cause denial-of-service for multiple admins.</w:t>
            </w:r>
          </w:p>
        </w:tc>
        <w:tc>
          <w:tcPr>
            <w:tcW w:w="638" w:type="pct"/>
            <w:tcBorders>
              <w:top w:val="nil"/>
              <w:left w:val="nil"/>
              <w:bottom w:val="single" w:sz="4" w:space="0" w:color="auto"/>
              <w:right w:val="single" w:sz="4" w:space="0" w:color="auto"/>
            </w:tcBorders>
            <w:shd w:val="clear" w:color="auto" w:fill="auto"/>
            <w:hideMark/>
          </w:tcPr>
          <w:p w14:paraId="0E7E64ED"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21F29F36"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740708A4" w14:textId="77777777" w:rsidTr="008E0319">
        <w:trPr>
          <w:trHeight w:val="900"/>
        </w:trPr>
        <w:tc>
          <w:tcPr>
            <w:tcW w:w="176" w:type="pct"/>
            <w:tcBorders>
              <w:top w:val="nil"/>
              <w:left w:val="single" w:sz="4" w:space="0" w:color="auto"/>
              <w:bottom w:val="single" w:sz="4" w:space="0" w:color="auto"/>
              <w:right w:val="single" w:sz="4" w:space="0" w:color="auto"/>
            </w:tcBorders>
            <w:shd w:val="clear" w:color="auto" w:fill="auto"/>
            <w:hideMark/>
          </w:tcPr>
          <w:p w14:paraId="6F7F81F1"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56</w:t>
            </w:r>
          </w:p>
        </w:tc>
        <w:tc>
          <w:tcPr>
            <w:tcW w:w="3493" w:type="pct"/>
            <w:tcBorders>
              <w:top w:val="nil"/>
              <w:left w:val="nil"/>
              <w:bottom w:val="single" w:sz="4" w:space="0" w:color="auto"/>
              <w:right w:val="single" w:sz="4" w:space="0" w:color="auto"/>
            </w:tcBorders>
            <w:shd w:val="clear" w:color="auto" w:fill="auto"/>
            <w:hideMark/>
          </w:tcPr>
          <w:p w14:paraId="09A8DF2F"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The solution should detect and flag potential attempts by an attacker to install malicious services for persistency and as part of lateral movement. Unusual activities, especially those not previously observed for the user in question, should be identified and flagged promptly.</w:t>
            </w:r>
          </w:p>
        </w:tc>
        <w:tc>
          <w:tcPr>
            <w:tcW w:w="638" w:type="pct"/>
            <w:tcBorders>
              <w:top w:val="nil"/>
              <w:left w:val="nil"/>
              <w:bottom w:val="single" w:sz="4" w:space="0" w:color="auto"/>
              <w:right w:val="single" w:sz="4" w:space="0" w:color="auto"/>
            </w:tcBorders>
            <w:shd w:val="clear" w:color="auto" w:fill="auto"/>
            <w:hideMark/>
          </w:tcPr>
          <w:p w14:paraId="2E86BF74"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026B9385"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5E522593"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4CE365AE"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57</w:t>
            </w:r>
          </w:p>
        </w:tc>
        <w:tc>
          <w:tcPr>
            <w:tcW w:w="3493" w:type="pct"/>
            <w:tcBorders>
              <w:top w:val="nil"/>
              <w:left w:val="nil"/>
              <w:bottom w:val="single" w:sz="4" w:space="0" w:color="auto"/>
              <w:right w:val="single" w:sz="4" w:space="0" w:color="auto"/>
            </w:tcBorders>
            <w:shd w:val="clear" w:color="auto" w:fill="auto"/>
            <w:hideMark/>
          </w:tcPr>
          <w:p w14:paraId="4AC0968F"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The solution must detect a gradual brute-force attack aiming to steal various users' credentials or cause denial-of-service for multiple users.</w:t>
            </w:r>
          </w:p>
        </w:tc>
        <w:tc>
          <w:tcPr>
            <w:tcW w:w="638" w:type="pct"/>
            <w:tcBorders>
              <w:top w:val="nil"/>
              <w:left w:val="nil"/>
              <w:bottom w:val="single" w:sz="4" w:space="0" w:color="auto"/>
              <w:right w:val="single" w:sz="4" w:space="0" w:color="auto"/>
            </w:tcBorders>
            <w:shd w:val="clear" w:color="auto" w:fill="auto"/>
            <w:hideMark/>
          </w:tcPr>
          <w:p w14:paraId="595CB753"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54F1E103"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77C73EAF" w14:textId="77777777" w:rsidTr="008E0319">
        <w:trPr>
          <w:trHeight w:val="300"/>
        </w:trPr>
        <w:tc>
          <w:tcPr>
            <w:tcW w:w="176" w:type="pct"/>
            <w:tcBorders>
              <w:top w:val="nil"/>
              <w:left w:val="single" w:sz="4" w:space="0" w:color="auto"/>
              <w:bottom w:val="single" w:sz="4" w:space="0" w:color="auto"/>
              <w:right w:val="single" w:sz="4" w:space="0" w:color="auto"/>
            </w:tcBorders>
            <w:shd w:val="clear" w:color="auto" w:fill="auto"/>
            <w:hideMark/>
          </w:tcPr>
          <w:p w14:paraId="1078716A"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58</w:t>
            </w:r>
          </w:p>
        </w:tc>
        <w:tc>
          <w:tcPr>
            <w:tcW w:w="3493" w:type="pct"/>
            <w:tcBorders>
              <w:top w:val="nil"/>
              <w:left w:val="nil"/>
              <w:bottom w:val="single" w:sz="4" w:space="0" w:color="auto"/>
              <w:right w:val="single" w:sz="4" w:space="0" w:color="auto"/>
            </w:tcBorders>
            <w:shd w:val="clear" w:color="auto" w:fill="auto"/>
            <w:hideMark/>
          </w:tcPr>
          <w:p w14:paraId="77A3B065"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The solution should indicate a gradual brute-force attack targeting a user's credentials or denying user access.</w:t>
            </w:r>
          </w:p>
        </w:tc>
        <w:tc>
          <w:tcPr>
            <w:tcW w:w="638" w:type="pct"/>
            <w:tcBorders>
              <w:top w:val="nil"/>
              <w:left w:val="nil"/>
              <w:bottom w:val="single" w:sz="4" w:space="0" w:color="auto"/>
              <w:right w:val="single" w:sz="4" w:space="0" w:color="auto"/>
            </w:tcBorders>
            <w:shd w:val="clear" w:color="auto" w:fill="auto"/>
            <w:hideMark/>
          </w:tcPr>
          <w:p w14:paraId="5DB2F811"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35E39B3D"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726AA313"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31BCC360"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59</w:t>
            </w:r>
          </w:p>
        </w:tc>
        <w:tc>
          <w:tcPr>
            <w:tcW w:w="3493" w:type="pct"/>
            <w:tcBorders>
              <w:top w:val="nil"/>
              <w:left w:val="nil"/>
              <w:bottom w:val="single" w:sz="4" w:space="0" w:color="auto"/>
              <w:right w:val="single" w:sz="4" w:space="0" w:color="auto"/>
            </w:tcBorders>
            <w:shd w:val="clear" w:color="auto" w:fill="auto"/>
            <w:hideMark/>
          </w:tcPr>
          <w:p w14:paraId="31A000D5"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The solution must flag accounts without behavioral profiles, indicating an attacker's gradual search for their target data within the network.</w:t>
            </w:r>
          </w:p>
        </w:tc>
        <w:tc>
          <w:tcPr>
            <w:tcW w:w="638" w:type="pct"/>
            <w:tcBorders>
              <w:top w:val="nil"/>
              <w:left w:val="nil"/>
              <w:bottom w:val="single" w:sz="4" w:space="0" w:color="auto"/>
              <w:right w:val="single" w:sz="4" w:space="0" w:color="auto"/>
            </w:tcBorders>
            <w:shd w:val="clear" w:color="auto" w:fill="auto"/>
            <w:hideMark/>
          </w:tcPr>
          <w:p w14:paraId="624CC5BE"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364AE61C"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2E1BF780"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7FFF071C"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60</w:t>
            </w:r>
          </w:p>
        </w:tc>
        <w:tc>
          <w:tcPr>
            <w:tcW w:w="3493" w:type="pct"/>
            <w:tcBorders>
              <w:top w:val="nil"/>
              <w:left w:val="nil"/>
              <w:bottom w:val="single" w:sz="4" w:space="0" w:color="auto"/>
              <w:right w:val="single" w:sz="4" w:space="0" w:color="auto"/>
            </w:tcBorders>
            <w:shd w:val="clear" w:color="auto" w:fill="auto"/>
            <w:hideMark/>
          </w:tcPr>
          <w:p w14:paraId="75C0BD12"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The solution must be able to identify potential gradual brute-force attacks targeting the admin's credentials or attempting to deny admin access. The system should provide alerts and responses to mitigate such threats promptly.</w:t>
            </w:r>
          </w:p>
        </w:tc>
        <w:tc>
          <w:tcPr>
            <w:tcW w:w="638" w:type="pct"/>
            <w:tcBorders>
              <w:top w:val="nil"/>
              <w:left w:val="nil"/>
              <w:bottom w:val="single" w:sz="4" w:space="0" w:color="auto"/>
              <w:right w:val="single" w:sz="4" w:space="0" w:color="auto"/>
            </w:tcBorders>
            <w:shd w:val="clear" w:color="auto" w:fill="auto"/>
            <w:hideMark/>
          </w:tcPr>
          <w:p w14:paraId="7E225E23"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078255A3"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42F46EE4"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01F2C691"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lastRenderedPageBreak/>
              <w:t>61</w:t>
            </w:r>
          </w:p>
        </w:tc>
        <w:tc>
          <w:tcPr>
            <w:tcW w:w="3493" w:type="pct"/>
            <w:tcBorders>
              <w:top w:val="nil"/>
              <w:left w:val="nil"/>
              <w:bottom w:val="single" w:sz="4" w:space="0" w:color="auto"/>
              <w:right w:val="single" w:sz="4" w:space="0" w:color="auto"/>
            </w:tcBorders>
            <w:shd w:val="clear" w:color="auto" w:fill="auto"/>
            <w:hideMark/>
          </w:tcPr>
          <w:p w14:paraId="59B84CB7"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Custom alerts must be highly configurable, allowing users to set detailed criteria, thresholds, and escalation procedures based on their specific security requirements</w:t>
            </w:r>
          </w:p>
        </w:tc>
        <w:tc>
          <w:tcPr>
            <w:tcW w:w="638" w:type="pct"/>
            <w:tcBorders>
              <w:top w:val="nil"/>
              <w:left w:val="nil"/>
              <w:bottom w:val="single" w:sz="4" w:space="0" w:color="auto"/>
              <w:right w:val="single" w:sz="4" w:space="0" w:color="auto"/>
            </w:tcBorders>
            <w:shd w:val="clear" w:color="auto" w:fill="auto"/>
            <w:hideMark/>
          </w:tcPr>
          <w:p w14:paraId="0E63F07D"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2B0D9406"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2A6E2605"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364EE9F6"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62</w:t>
            </w:r>
          </w:p>
        </w:tc>
        <w:tc>
          <w:tcPr>
            <w:tcW w:w="3493" w:type="pct"/>
            <w:tcBorders>
              <w:top w:val="nil"/>
              <w:left w:val="nil"/>
              <w:bottom w:val="single" w:sz="4" w:space="0" w:color="auto"/>
              <w:right w:val="single" w:sz="4" w:space="0" w:color="auto"/>
            </w:tcBorders>
            <w:shd w:val="clear" w:color="auto" w:fill="auto"/>
            <w:hideMark/>
          </w:tcPr>
          <w:p w14:paraId="0C7240A3"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The solution's threat models must be regularly updated, ensuring that the system is fortified against the latest threats and vulnerabilities.</w:t>
            </w:r>
          </w:p>
        </w:tc>
        <w:tc>
          <w:tcPr>
            <w:tcW w:w="638" w:type="pct"/>
            <w:tcBorders>
              <w:top w:val="nil"/>
              <w:left w:val="nil"/>
              <w:bottom w:val="single" w:sz="4" w:space="0" w:color="auto"/>
              <w:right w:val="single" w:sz="4" w:space="0" w:color="auto"/>
            </w:tcBorders>
            <w:shd w:val="clear" w:color="auto" w:fill="auto"/>
            <w:hideMark/>
          </w:tcPr>
          <w:p w14:paraId="16265E85"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5904DBB9"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33A90407"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5EB5512D"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63</w:t>
            </w:r>
          </w:p>
        </w:tc>
        <w:tc>
          <w:tcPr>
            <w:tcW w:w="3493" w:type="pct"/>
            <w:tcBorders>
              <w:top w:val="nil"/>
              <w:left w:val="nil"/>
              <w:bottom w:val="single" w:sz="4" w:space="0" w:color="auto"/>
              <w:right w:val="single" w:sz="4" w:space="0" w:color="auto"/>
            </w:tcBorders>
            <w:shd w:val="clear" w:color="auto" w:fill="auto"/>
            <w:hideMark/>
          </w:tcPr>
          <w:p w14:paraId="6CF81080"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Alerts generated by the solution should be directly sent to the relevant personnel, ensuring swift response and action against any potential security threats.</w:t>
            </w:r>
          </w:p>
        </w:tc>
        <w:tc>
          <w:tcPr>
            <w:tcW w:w="638" w:type="pct"/>
            <w:tcBorders>
              <w:top w:val="nil"/>
              <w:left w:val="nil"/>
              <w:bottom w:val="single" w:sz="4" w:space="0" w:color="auto"/>
              <w:right w:val="single" w:sz="4" w:space="0" w:color="auto"/>
            </w:tcBorders>
            <w:shd w:val="clear" w:color="auto" w:fill="auto"/>
            <w:hideMark/>
          </w:tcPr>
          <w:p w14:paraId="039DE096"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5ABD8520"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0E83A706"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760C4D7E"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64</w:t>
            </w:r>
          </w:p>
        </w:tc>
        <w:tc>
          <w:tcPr>
            <w:tcW w:w="3493" w:type="pct"/>
            <w:tcBorders>
              <w:top w:val="nil"/>
              <w:left w:val="nil"/>
              <w:bottom w:val="single" w:sz="4" w:space="0" w:color="auto"/>
              <w:right w:val="single" w:sz="4" w:space="0" w:color="auto"/>
            </w:tcBorders>
            <w:shd w:val="clear" w:color="auto" w:fill="auto"/>
            <w:hideMark/>
          </w:tcPr>
          <w:p w14:paraId="5105C984"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The AD Security Solution should integrate seamlessly with a range of SIEM and other security solutions to provide comprehensive security monitoring and management.</w:t>
            </w:r>
          </w:p>
        </w:tc>
        <w:tc>
          <w:tcPr>
            <w:tcW w:w="638" w:type="pct"/>
            <w:tcBorders>
              <w:top w:val="nil"/>
              <w:left w:val="nil"/>
              <w:bottom w:val="single" w:sz="4" w:space="0" w:color="auto"/>
              <w:right w:val="single" w:sz="4" w:space="0" w:color="auto"/>
            </w:tcBorders>
            <w:shd w:val="clear" w:color="auto" w:fill="auto"/>
            <w:hideMark/>
          </w:tcPr>
          <w:p w14:paraId="6610B8C6"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2A8D6C62"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123F087F"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6BAB463A"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65</w:t>
            </w:r>
          </w:p>
        </w:tc>
        <w:tc>
          <w:tcPr>
            <w:tcW w:w="3493" w:type="pct"/>
            <w:tcBorders>
              <w:top w:val="nil"/>
              <w:left w:val="nil"/>
              <w:bottom w:val="single" w:sz="4" w:space="0" w:color="auto"/>
              <w:right w:val="single" w:sz="4" w:space="0" w:color="auto"/>
            </w:tcBorders>
            <w:shd w:val="clear" w:color="auto" w:fill="auto"/>
            <w:hideMark/>
          </w:tcPr>
          <w:p w14:paraId="24B20FFD"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It should use both Syslog and/or APIs to feed logs to SIEM solutions and other such security solutions, allowing for versatile and multi-platform log sharing.</w:t>
            </w:r>
          </w:p>
        </w:tc>
        <w:tc>
          <w:tcPr>
            <w:tcW w:w="638" w:type="pct"/>
            <w:tcBorders>
              <w:top w:val="nil"/>
              <w:left w:val="nil"/>
              <w:bottom w:val="single" w:sz="4" w:space="0" w:color="auto"/>
              <w:right w:val="single" w:sz="4" w:space="0" w:color="auto"/>
            </w:tcBorders>
            <w:shd w:val="clear" w:color="auto" w:fill="auto"/>
            <w:hideMark/>
          </w:tcPr>
          <w:p w14:paraId="5E1C2C8F"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79E64702"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0D72FBFD"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1735B1DA"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66</w:t>
            </w:r>
          </w:p>
        </w:tc>
        <w:tc>
          <w:tcPr>
            <w:tcW w:w="3493" w:type="pct"/>
            <w:tcBorders>
              <w:top w:val="nil"/>
              <w:left w:val="nil"/>
              <w:bottom w:val="single" w:sz="4" w:space="0" w:color="auto"/>
              <w:right w:val="single" w:sz="4" w:space="0" w:color="auto"/>
            </w:tcBorders>
            <w:shd w:val="clear" w:color="auto" w:fill="auto"/>
            <w:hideMark/>
          </w:tcPr>
          <w:p w14:paraId="01F4B724"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The process for exporting audit logs should be straightforward, allowing users to access and export logs efficiently and conveniently.</w:t>
            </w:r>
          </w:p>
        </w:tc>
        <w:tc>
          <w:tcPr>
            <w:tcW w:w="638" w:type="pct"/>
            <w:tcBorders>
              <w:top w:val="nil"/>
              <w:left w:val="nil"/>
              <w:bottom w:val="single" w:sz="4" w:space="0" w:color="auto"/>
              <w:right w:val="single" w:sz="4" w:space="0" w:color="auto"/>
            </w:tcBorders>
            <w:shd w:val="clear" w:color="auto" w:fill="auto"/>
            <w:hideMark/>
          </w:tcPr>
          <w:p w14:paraId="2422835F"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5B169C31"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7EB76EF0"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0F39D9E0"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67</w:t>
            </w:r>
          </w:p>
        </w:tc>
        <w:tc>
          <w:tcPr>
            <w:tcW w:w="3493" w:type="pct"/>
            <w:tcBorders>
              <w:top w:val="nil"/>
              <w:left w:val="nil"/>
              <w:bottom w:val="single" w:sz="4" w:space="0" w:color="auto"/>
              <w:right w:val="single" w:sz="4" w:space="0" w:color="auto"/>
            </w:tcBorders>
            <w:shd w:val="clear" w:color="auto" w:fill="auto"/>
            <w:hideMark/>
          </w:tcPr>
          <w:p w14:paraId="39682C5C"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The solution should offer either an incident response team or services, assisting users in effectively addressing security incidents.</w:t>
            </w:r>
          </w:p>
        </w:tc>
        <w:tc>
          <w:tcPr>
            <w:tcW w:w="638" w:type="pct"/>
            <w:tcBorders>
              <w:top w:val="nil"/>
              <w:left w:val="nil"/>
              <w:bottom w:val="single" w:sz="4" w:space="0" w:color="auto"/>
              <w:right w:val="single" w:sz="4" w:space="0" w:color="auto"/>
            </w:tcBorders>
            <w:shd w:val="clear" w:color="auto" w:fill="auto"/>
            <w:hideMark/>
          </w:tcPr>
          <w:p w14:paraId="6C7A91EC"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353CF608"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49574EFF"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5E27EBD1"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68</w:t>
            </w:r>
          </w:p>
        </w:tc>
        <w:tc>
          <w:tcPr>
            <w:tcW w:w="3493" w:type="pct"/>
            <w:tcBorders>
              <w:top w:val="nil"/>
              <w:left w:val="nil"/>
              <w:bottom w:val="single" w:sz="4" w:space="0" w:color="auto"/>
              <w:right w:val="single" w:sz="4" w:space="0" w:color="auto"/>
            </w:tcBorders>
            <w:shd w:val="clear" w:color="auto" w:fill="auto"/>
            <w:hideMark/>
          </w:tcPr>
          <w:p w14:paraId="3C8E89DE"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It should provide forensics services, enabling users to delve deeper into security incidents for thorough investigation and analysis.</w:t>
            </w:r>
          </w:p>
        </w:tc>
        <w:tc>
          <w:tcPr>
            <w:tcW w:w="638" w:type="pct"/>
            <w:tcBorders>
              <w:top w:val="nil"/>
              <w:left w:val="nil"/>
              <w:bottom w:val="single" w:sz="4" w:space="0" w:color="auto"/>
              <w:right w:val="single" w:sz="4" w:space="0" w:color="auto"/>
            </w:tcBorders>
            <w:shd w:val="clear" w:color="auto" w:fill="auto"/>
            <w:hideMark/>
          </w:tcPr>
          <w:p w14:paraId="434BD46D"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4F213E13"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1E8EA41E"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357E5C49"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69</w:t>
            </w:r>
          </w:p>
        </w:tc>
        <w:tc>
          <w:tcPr>
            <w:tcW w:w="3493" w:type="pct"/>
            <w:tcBorders>
              <w:top w:val="nil"/>
              <w:left w:val="nil"/>
              <w:bottom w:val="single" w:sz="4" w:space="0" w:color="auto"/>
              <w:right w:val="single" w:sz="4" w:space="0" w:color="auto"/>
            </w:tcBorders>
            <w:shd w:val="clear" w:color="auto" w:fill="auto"/>
            <w:hideMark/>
          </w:tcPr>
          <w:p w14:paraId="4BA73995"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The solution must integrate with SOAR (Security Orchestration, Automation, and Response) platforms and provide seamless interoperability with existing security tools to streamline incident response and security protocols.</w:t>
            </w:r>
          </w:p>
        </w:tc>
        <w:tc>
          <w:tcPr>
            <w:tcW w:w="638" w:type="pct"/>
            <w:tcBorders>
              <w:top w:val="nil"/>
              <w:left w:val="nil"/>
              <w:bottom w:val="single" w:sz="4" w:space="0" w:color="auto"/>
              <w:right w:val="single" w:sz="4" w:space="0" w:color="auto"/>
            </w:tcBorders>
            <w:shd w:val="clear" w:color="auto" w:fill="auto"/>
            <w:hideMark/>
          </w:tcPr>
          <w:p w14:paraId="6958D388"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0FB7F069"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39A82D97"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613AE0AC"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70</w:t>
            </w:r>
          </w:p>
        </w:tc>
        <w:tc>
          <w:tcPr>
            <w:tcW w:w="3493" w:type="pct"/>
            <w:tcBorders>
              <w:top w:val="nil"/>
              <w:left w:val="nil"/>
              <w:bottom w:val="single" w:sz="4" w:space="0" w:color="auto"/>
              <w:right w:val="single" w:sz="4" w:space="0" w:color="auto"/>
            </w:tcBorders>
            <w:shd w:val="clear" w:color="auto" w:fill="auto"/>
            <w:vAlign w:val="bottom"/>
            <w:hideMark/>
          </w:tcPr>
          <w:p w14:paraId="2ACA1528"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The solution must secure Microsoft Active Directory which is currently running on Windows 2016 Server and must support higher version of Microsoft Operating system e.g. 2019, 2022 and on later versions</w:t>
            </w:r>
          </w:p>
        </w:tc>
        <w:tc>
          <w:tcPr>
            <w:tcW w:w="638" w:type="pct"/>
            <w:tcBorders>
              <w:top w:val="nil"/>
              <w:left w:val="nil"/>
              <w:bottom w:val="single" w:sz="4" w:space="0" w:color="auto"/>
              <w:right w:val="single" w:sz="4" w:space="0" w:color="auto"/>
            </w:tcBorders>
            <w:shd w:val="clear" w:color="auto" w:fill="auto"/>
            <w:hideMark/>
          </w:tcPr>
          <w:p w14:paraId="259A5DE0"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2E1012A6"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66178C91" w14:textId="77777777" w:rsidTr="008E0319">
        <w:trPr>
          <w:trHeight w:val="300"/>
        </w:trPr>
        <w:tc>
          <w:tcPr>
            <w:tcW w:w="176" w:type="pct"/>
            <w:tcBorders>
              <w:top w:val="nil"/>
              <w:left w:val="single" w:sz="4" w:space="0" w:color="auto"/>
              <w:bottom w:val="single" w:sz="4" w:space="0" w:color="auto"/>
              <w:right w:val="single" w:sz="4" w:space="0" w:color="auto"/>
            </w:tcBorders>
            <w:shd w:val="clear" w:color="auto" w:fill="auto"/>
            <w:hideMark/>
          </w:tcPr>
          <w:p w14:paraId="03E9D80B"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71</w:t>
            </w:r>
          </w:p>
        </w:tc>
        <w:tc>
          <w:tcPr>
            <w:tcW w:w="3493" w:type="pct"/>
            <w:tcBorders>
              <w:top w:val="nil"/>
              <w:left w:val="nil"/>
              <w:bottom w:val="single" w:sz="4" w:space="0" w:color="auto"/>
              <w:right w:val="single" w:sz="4" w:space="0" w:color="auto"/>
            </w:tcBorders>
            <w:shd w:val="clear" w:color="auto" w:fill="auto"/>
            <w:noWrap/>
            <w:vAlign w:val="bottom"/>
            <w:hideMark/>
          </w:tcPr>
          <w:p w14:paraId="3D11DDD6"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The Bank Active directory consist of about 42000 Computer Systems etc.</w:t>
            </w:r>
          </w:p>
        </w:tc>
        <w:tc>
          <w:tcPr>
            <w:tcW w:w="638" w:type="pct"/>
            <w:tcBorders>
              <w:top w:val="nil"/>
              <w:left w:val="nil"/>
              <w:bottom w:val="single" w:sz="4" w:space="0" w:color="auto"/>
              <w:right w:val="single" w:sz="4" w:space="0" w:color="auto"/>
            </w:tcBorders>
            <w:shd w:val="clear" w:color="auto" w:fill="auto"/>
            <w:hideMark/>
          </w:tcPr>
          <w:p w14:paraId="71782B4A"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2A2199D7"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1DBB3BFB" w14:textId="77777777" w:rsidTr="008E0319">
        <w:trPr>
          <w:trHeight w:val="300"/>
        </w:trPr>
        <w:tc>
          <w:tcPr>
            <w:tcW w:w="176" w:type="pct"/>
            <w:tcBorders>
              <w:top w:val="nil"/>
              <w:left w:val="single" w:sz="4" w:space="0" w:color="auto"/>
              <w:bottom w:val="single" w:sz="4" w:space="0" w:color="auto"/>
              <w:right w:val="single" w:sz="4" w:space="0" w:color="auto"/>
            </w:tcBorders>
            <w:shd w:val="clear" w:color="auto" w:fill="auto"/>
            <w:hideMark/>
          </w:tcPr>
          <w:p w14:paraId="3078911C"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72</w:t>
            </w:r>
          </w:p>
        </w:tc>
        <w:tc>
          <w:tcPr>
            <w:tcW w:w="3493" w:type="pct"/>
            <w:tcBorders>
              <w:top w:val="nil"/>
              <w:left w:val="nil"/>
              <w:bottom w:val="single" w:sz="4" w:space="0" w:color="auto"/>
              <w:right w:val="single" w:sz="4" w:space="0" w:color="auto"/>
            </w:tcBorders>
            <w:shd w:val="clear" w:color="auto" w:fill="auto"/>
            <w:vAlign w:val="bottom"/>
            <w:hideMark/>
          </w:tcPr>
          <w:p w14:paraId="1C63B15F"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Solution should discover the AD structure and permissions, including user objects, groups, computers, OUs, etc.</w:t>
            </w:r>
          </w:p>
        </w:tc>
        <w:tc>
          <w:tcPr>
            <w:tcW w:w="638" w:type="pct"/>
            <w:tcBorders>
              <w:top w:val="nil"/>
              <w:left w:val="nil"/>
              <w:bottom w:val="single" w:sz="4" w:space="0" w:color="auto"/>
              <w:right w:val="single" w:sz="4" w:space="0" w:color="auto"/>
            </w:tcBorders>
            <w:shd w:val="clear" w:color="auto" w:fill="auto"/>
            <w:noWrap/>
            <w:vAlign w:val="bottom"/>
            <w:hideMark/>
          </w:tcPr>
          <w:p w14:paraId="379846F4"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noWrap/>
            <w:vAlign w:val="bottom"/>
            <w:hideMark/>
          </w:tcPr>
          <w:p w14:paraId="67E6D661"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66E41815" w14:textId="77777777" w:rsidTr="008E0319">
        <w:trPr>
          <w:trHeight w:val="900"/>
        </w:trPr>
        <w:tc>
          <w:tcPr>
            <w:tcW w:w="176" w:type="pct"/>
            <w:tcBorders>
              <w:top w:val="nil"/>
              <w:left w:val="single" w:sz="4" w:space="0" w:color="auto"/>
              <w:bottom w:val="single" w:sz="4" w:space="0" w:color="auto"/>
              <w:right w:val="single" w:sz="4" w:space="0" w:color="auto"/>
            </w:tcBorders>
            <w:shd w:val="clear" w:color="auto" w:fill="auto"/>
            <w:hideMark/>
          </w:tcPr>
          <w:p w14:paraId="32F8BF83"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73</w:t>
            </w:r>
          </w:p>
        </w:tc>
        <w:tc>
          <w:tcPr>
            <w:tcW w:w="3493" w:type="pct"/>
            <w:tcBorders>
              <w:top w:val="nil"/>
              <w:left w:val="nil"/>
              <w:bottom w:val="single" w:sz="4" w:space="0" w:color="auto"/>
              <w:right w:val="single" w:sz="4" w:space="0" w:color="auto"/>
            </w:tcBorders>
            <w:shd w:val="clear" w:color="auto" w:fill="auto"/>
            <w:vAlign w:val="bottom"/>
            <w:hideMark/>
          </w:tcPr>
          <w:p w14:paraId="0BD7C854"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The Solution should be able to streamline user and group administration through provisioning &amp; de provisioning, solve security issues – and meet those never-ending compliance requirements by managing and securing on-premise AD simply and efficiently with a single, intuitive solution.</w:t>
            </w:r>
          </w:p>
        </w:tc>
        <w:tc>
          <w:tcPr>
            <w:tcW w:w="638" w:type="pct"/>
            <w:tcBorders>
              <w:top w:val="nil"/>
              <w:left w:val="nil"/>
              <w:bottom w:val="single" w:sz="4" w:space="0" w:color="auto"/>
              <w:right w:val="single" w:sz="4" w:space="0" w:color="auto"/>
            </w:tcBorders>
            <w:shd w:val="clear" w:color="auto" w:fill="auto"/>
            <w:noWrap/>
            <w:vAlign w:val="bottom"/>
            <w:hideMark/>
          </w:tcPr>
          <w:p w14:paraId="702CF9C8"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noWrap/>
            <w:vAlign w:val="bottom"/>
            <w:hideMark/>
          </w:tcPr>
          <w:p w14:paraId="08776180"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28782F0F" w14:textId="77777777" w:rsidTr="008E0319">
        <w:trPr>
          <w:trHeight w:val="300"/>
        </w:trPr>
        <w:tc>
          <w:tcPr>
            <w:tcW w:w="176" w:type="pct"/>
            <w:tcBorders>
              <w:top w:val="nil"/>
              <w:left w:val="single" w:sz="4" w:space="0" w:color="auto"/>
              <w:bottom w:val="single" w:sz="4" w:space="0" w:color="auto"/>
              <w:right w:val="single" w:sz="4" w:space="0" w:color="auto"/>
            </w:tcBorders>
            <w:shd w:val="clear" w:color="auto" w:fill="auto"/>
            <w:hideMark/>
          </w:tcPr>
          <w:p w14:paraId="577CBA64"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74</w:t>
            </w:r>
          </w:p>
        </w:tc>
        <w:tc>
          <w:tcPr>
            <w:tcW w:w="3493" w:type="pct"/>
            <w:tcBorders>
              <w:top w:val="nil"/>
              <w:left w:val="nil"/>
              <w:bottom w:val="single" w:sz="4" w:space="0" w:color="auto"/>
              <w:right w:val="single" w:sz="4" w:space="0" w:color="auto"/>
            </w:tcBorders>
            <w:shd w:val="clear" w:color="auto" w:fill="auto"/>
            <w:vAlign w:val="center"/>
            <w:hideMark/>
          </w:tcPr>
          <w:p w14:paraId="67076338"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Solution can audit GPO changes and detect unauthorized activity in AD</w:t>
            </w:r>
          </w:p>
        </w:tc>
        <w:tc>
          <w:tcPr>
            <w:tcW w:w="638" w:type="pct"/>
            <w:tcBorders>
              <w:top w:val="nil"/>
              <w:left w:val="nil"/>
              <w:bottom w:val="single" w:sz="4" w:space="0" w:color="auto"/>
              <w:right w:val="single" w:sz="4" w:space="0" w:color="auto"/>
            </w:tcBorders>
            <w:shd w:val="clear" w:color="auto" w:fill="auto"/>
            <w:noWrap/>
            <w:vAlign w:val="bottom"/>
            <w:hideMark/>
          </w:tcPr>
          <w:p w14:paraId="217653D5"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noWrap/>
            <w:vAlign w:val="bottom"/>
            <w:hideMark/>
          </w:tcPr>
          <w:p w14:paraId="537AC8DA"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1D9750D0" w14:textId="77777777" w:rsidTr="008E0319">
        <w:trPr>
          <w:trHeight w:val="300"/>
        </w:trPr>
        <w:tc>
          <w:tcPr>
            <w:tcW w:w="176" w:type="pct"/>
            <w:tcBorders>
              <w:top w:val="nil"/>
              <w:left w:val="single" w:sz="4" w:space="0" w:color="auto"/>
              <w:bottom w:val="single" w:sz="4" w:space="0" w:color="auto"/>
              <w:right w:val="single" w:sz="4" w:space="0" w:color="auto"/>
            </w:tcBorders>
            <w:shd w:val="clear" w:color="auto" w:fill="auto"/>
            <w:hideMark/>
          </w:tcPr>
          <w:p w14:paraId="25B22074"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lastRenderedPageBreak/>
              <w:t>75</w:t>
            </w:r>
          </w:p>
        </w:tc>
        <w:tc>
          <w:tcPr>
            <w:tcW w:w="3493" w:type="pct"/>
            <w:tcBorders>
              <w:top w:val="nil"/>
              <w:left w:val="nil"/>
              <w:bottom w:val="single" w:sz="4" w:space="0" w:color="auto"/>
              <w:right w:val="single" w:sz="4" w:space="0" w:color="auto"/>
            </w:tcBorders>
            <w:shd w:val="clear" w:color="auto" w:fill="auto"/>
            <w:vAlign w:val="bottom"/>
            <w:hideMark/>
          </w:tcPr>
          <w:p w14:paraId="3D93B8FD"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The Solution must be able to audit GPO changes.</w:t>
            </w:r>
          </w:p>
        </w:tc>
        <w:tc>
          <w:tcPr>
            <w:tcW w:w="638" w:type="pct"/>
            <w:tcBorders>
              <w:top w:val="nil"/>
              <w:left w:val="nil"/>
              <w:bottom w:val="single" w:sz="4" w:space="0" w:color="auto"/>
              <w:right w:val="single" w:sz="4" w:space="0" w:color="auto"/>
            </w:tcBorders>
            <w:shd w:val="clear" w:color="auto" w:fill="auto"/>
            <w:noWrap/>
            <w:vAlign w:val="bottom"/>
            <w:hideMark/>
          </w:tcPr>
          <w:p w14:paraId="672C9A40"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noWrap/>
            <w:vAlign w:val="bottom"/>
            <w:hideMark/>
          </w:tcPr>
          <w:p w14:paraId="35266902"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576FB1B1" w14:textId="77777777" w:rsidTr="008E0319">
        <w:trPr>
          <w:trHeight w:val="900"/>
        </w:trPr>
        <w:tc>
          <w:tcPr>
            <w:tcW w:w="176" w:type="pct"/>
            <w:tcBorders>
              <w:top w:val="nil"/>
              <w:left w:val="single" w:sz="4" w:space="0" w:color="auto"/>
              <w:bottom w:val="single" w:sz="4" w:space="0" w:color="auto"/>
              <w:right w:val="single" w:sz="4" w:space="0" w:color="auto"/>
            </w:tcBorders>
            <w:shd w:val="clear" w:color="auto" w:fill="auto"/>
            <w:hideMark/>
          </w:tcPr>
          <w:p w14:paraId="5104024B"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76</w:t>
            </w:r>
          </w:p>
        </w:tc>
        <w:tc>
          <w:tcPr>
            <w:tcW w:w="3493" w:type="pct"/>
            <w:tcBorders>
              <w:top w:val="nil"/>
              <w:left w:val="nil"/>
              <w:bottom w:val="single" w:sz="4" w:space="0" w:color="auto"/>
              <w:right w:val="single" w:sz="4" w:space="0" w:color="auto"/>
            </w:tcBorders>
            <w:shd w:val="clear" w:color="auto" w:fill="auto"/>
            <w:vAlign w:val="bottom"/>
            <w:hideMark/>
          </w:tcPr>
          <w:p w14:paraId="21D8E312"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 xml:space="preserve">The Solution should be able to track changes in AD like User creation /deletion /modification, Groups, group policies, DNS. Provide alerting and reporting for the critical changes. Capability to provide all regulatory  compliance reports like PCI etc. </w:t>
            </w:r>
          </w:p>
        </w:tc>
        <w:tc>
          <w:tcPr>
            <w:tcW w:w="638" w:type="pct"/>
            <w:tcBorders>
              <w:top w:val="nil"/>
              <w:left w:val="nil"/>
              <w:bottom w:val="single" w:sz="4" w:space="0" w:color="auto"/>
              <w:right w:val="single" w:sz="4" w:space="0" w:color="auto"/>
            </w:tcBorders>
            <w:shd w:val="clear" w:color="auto" w:fill="auto"/>
            <w:noWrap/>
            <w:vAlign w:val="bottom"/>
            <w:hideMark/>
          </w:tcPr>
          <w:p w14:paraId="188BEBA1"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noWrap/>
            <w:vAlign w:val="bottom"/>
            <w:hideMark/>
          </w:tcPr>
          <w:p w14:paraId="4ADB3AE8"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361DF664" w14:textId="77777777" w:rsidTr="008E0319">
        <w:trPr>
          <w:trHeight w:val="900"/>
        </w:trPr>
        <w:tc>
          <w:tcPr>
            <w:tcW w:w="176" w:type="pct"/>
            <w:tcBorders>
              <w:top w:val="nil"/>
              <w:left w:val="single" w:sz="4" w:space="0" w:color="auto"/>
              <w:bottom w:val="single" w:sz="4" w:space="0" w:color="auto"/>
              <w:right w:val="single" w:sz="4" w:space="0" w:color="auto"/>
            </w:tcBorders>
            <w:shd w:val="clear" w:color="auto" w:fill="auto"/>
            <w:hideMark/>
          </w:tcPr>
          <w:p w14:paraId="7300C437"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77</w:t>
            </w:r>
          </w:p>
        </w:tc>
        <w:tc>
          <w:tcPr>
            <w:tcW w:w="3493" w:type="pct"/>
            <w:tcBorders>
              <w:top w:val="nil"/>
              <w:left w:val="nil"/>
              <w:bottom w:val="single" w:sz="4" w:space="0" w:color="auto"/>
              <w:right w:val="single" w:sz="4" w:space="0" w:color="auto"/>
            </w:tcBorders>
            <w:shd w:val="clear" w:color="auto" w:fill="auto"/>
            <w:vAlign w:val="bottom"/>
            <w:hideMark/>
          </w:tcPr>
          <w:p w14:paraId="7F7467EA"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 xml:space="preserve">The Solution should be able to provide deep visibility into Active Directory (AD) users, groups, roles, organizational units and permissions by providing detailed reports on various aspects of it. Apart from reports, it should also perform security assessments, configuration change history reviews etc. </w:t>
            </w:r>
          </w:p>
        </w:tc>
        <w:tc>
          <w:tcPr>
            <w:tcW w:w="638" w:type="pct"/>
            <w:tcBorders>
              <w:top w:val="nil"/>
              <w:left w:val="nil"/>
              <w:bottom w:val="single" w:sz="4" w:space="0" w:color="auto"/>
              <w:right w:val="single" w:sz="4" w:space="0" w:color="auto"/>
            </w:tcBorders>
            <w:shd w:val="clear" w:color="auto" w:fill="auto"/>
            <w:noWrap/>
            <w:vAlign w:val="bottom"/>
            <w:hideMark/>
          </w:tcPr>
          <w:p w14:paraId="2FC3789D"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noWrap/>
            <w:vAlign w:val="bottom"/>
            <w:hideMark/>
          </w:tcPr>
          <w:p w14:paraId="78F6FB92"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EB40A6B"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368238F7"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78</w:t>
            </w:r>
          </w:p>
        </w:tc>
        <w:tc>
          <w:tcPr>
            <w:tcW w:w="3493" w:type="pct"/>
            <w:tcBorders>
              <w:top w:val="nil"/>
              <w:left w:val="nil"/>
              <w:bottom w:val="single" w:sz="4" w:space="0" w:color="auto"/>
              <w:right w:val="single" w:sz="4" w:space="0" w:color="auto"/>
            </w:tcBorders>
            <w:shd w:val="clear" w:color="auto" w:fill="auto"/>
            <w:vAlign w:val="bottom"/>
            <w:hideMark/>
          </w:tcPr>
          <w:p w14:paraId="3CD01F04"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The solution should be able to provide a central report of implementation of a Group Policy success / failure Report of Systems/ Users .</w:t>
            </w:r>
          </w:p>
        </w:tc>
        <w:tc>
          <w:tcPr>
            <w:tcW w:w="638" w:type="pct"/>
            <w:tcBorders>
              <w:top w:val="nil"/>
              <w:left w:val="nil"/>
              <w:bottom w:val="single" w:sz="4" w:space="0" w:color="auto"/>
              <w:right w:val="single" w:sz="4" w:space="0" w:color="auto"/>
            </w:tcBorders>
            <w:shd w:val="clear" w:color="auto" w:fill="auto"/>
            <w:noWrap/>
            <w:vAlign w:val="bottom"/>
            <w:hideMark/>
          </w:tcPr>
          <w:p w14:paraId="1742BAA4"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noWrap/>
            <w:vAlign w:val="bottom"/>
            <w:hideMark/>
          </w:tcPr>
          <w:p w14:paraId="75FEE56A"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65E7FF1E" w14:textId="77777777" w:rsidTr="008E0319">
        <w:trPr>
          <w:trHeight w:val="300"/>
        </w:trPr>
        <w:tc>
          <w:tcPr>
            <w:tcW w:w="176" w:type="pct"/>
            <w:tcBorders>
              <w:top w:val="nil"/>
              <w:left w:val="single" w:sz="4" w:space="0" w:color="auto"/>
              <w:bottom w:val="single" w:sz="4" w:space="0" w:color="auto"/>
              <w:right w:val="single" w:sz="4" w:space="0" w:color="auto"/>
            </w:tcBorders>
            <w:shd w:val="clear" w:color="auto" w:fill="auto"/>
            <w:hideMark/>
          </w:tcPr>
          <w:p w14:paraId="6C008EE6"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79</w:t>
            </w:r>
          </w:p>
        </w:tc>
        <w:tc>
          <w:tcPr>
            <w:tcW w:w="3493" w:type="pct"/>
            <w:tcBorders>
              <w:top w:val="nil"/>
              <w:left w:val="nil"/>
              <w:bottom w:val="single" w:sz="4" w:space="0" w:color="auto"/>
              <w:right w:val="single" w:sz="4" w:space="0" w:color="auto"/>
            </w:tcBorders>
            <w:shd w:val="clear" w:color="auto" w:fill="auto"/>
            <w:vAlign w:val="bottom"/>
            <w:hideMark/>
          </w:tcPr>
          <w:p w14:paraId="6C76FA33"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The Solution should be able to provide DNS Security.</w:t>
            </w:r>
          </w:p>
        </w:tc>
        <w:tc>
          <w:tcPr>
            <w:tcW w:w="638" w:type="pct"/>
            <w:tcBorders>
              <w:top w:val="nil"/>
              <w:left w:val="nil"/>
              <w:bottom w:val="single" w:sz="4" w:space="0" w:color="auto"/>
              <w:right w:val="single" w:sz="4" w:space="0" w:color="auto"/>
            </w:tcBorders>
            <w:shd w:val="clear" w:color="auto" w:fill="auto"/>
            <w:noWrap/>
            <w:vAlign w:val="bottom"/>
            <w:hideMark/>
          </w:tcPr>
          <w:p w14:paraId="2B695F0E"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noWrap/>
            <w:vAlign w:val="bottom"/>
            <w:hideMark/>
          </w:tcPr>
          <w:p w14:paraId="04705E8D"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1975EC34"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10330F12"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80</w:t>
            </w:r>
          </w:p>
        </w:tc>
        <w:tc>
          <w:tcPr>
            <w:tcW w:w="3493" w:type="pct"/>
            <w:tcBorders>
              <w:top w:val="nil"/>
              <w:left w:val="nil"/>
              <w:bottom w:val="single" w:sz="4" w:space="0" w:color="auto"/>
              <w:right w:val="single" w:sz="4" w:space="0" w:color="auto"/>
            </w:tcBorders>
            <w:shd w:val="clear" w:color="auto" w:fill="auto"/>
            <w:vAlign w:val="bottom"/>
            <w:hideMark/>
          </w:tcPr>
          <w:p w14:paraId="11D5F1F8"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The Solution should be able to provide central report for logging activity of users and computers. If the solution requires agent then it should be provided.</w:t>
            </w:r>
          </w:p>
        </w:tc>
        <w:tc>
          <w:tcPr>
            <w:tcW w:w="638" w:type="pct"/>
            <w:tcBorders>
              <w:top w:val="nil"/>
              <w:left w:val="nil"/>
              <w:bottom w:val="single" w:sz="4" w:space="0" w:color="auto"/>
              <w:right w:val="single" w:sz="4" w:space="0" w:color="auto"/>
            </w:tcBorders>
            <w:shd w:val="clear" w:color="auto" w:fill="auto"/>
            <w:noWrap/>
            <w:vAlign w:val="bottom"/>
            <w:hideMark/>
          </w:tcPr>
          <w:p w14:paraId="57B0750F"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noWrap/>
            <w:vAlign w:val="bottom"/>
            <w:hideMark/>
          </w:tcPr>
          <w:p w14:paraId="2787A29B"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33DE8A9E" w14:textId="77777777" w:rsidTr="008E0319">
        <w:trPr>
          <w:trHeight w:val="300"/>
        </w:trPr>
        <w:tc>
          <w:tcPr>
            <w:tcW w:w="176" w:type="pct"/>
            <w:tcBorders>
              <w:top w:val="nil"/>
              <w:left w:val="single" w:sz="4" w:space="0" w:color="auto"/>
              <w:bottom w:val="single" w:sz="4" w:space="0" w:color="auto"/>
              <w:right w:val="single" w:sz="4" w:space="0" w:color="auto"/>
            </w:tcBorders>
            <w:shd w:val="clear" w:color="auto" w:fill="auto"/>
            <w:hideMark/>
          </w:tcPr>
          <w:p w14:paraId="5BF33CD6"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81</w:t>
            </w:r>
          </w:p>
        </w:tc>
        <w:tc>
          <w:tcPr>
            <w:tcW w:w="3493" w:type="pct"/>
            <w:tcBorders>
              <w:top w:val="nil"/>
              <w:left w:val="nil"/>
              <w:bottom w:val="single" w:sz="4" w:space="0" w:color="auto"/>
              <w:right w:val="single" w:sz="4" w:space="0" w:color="auto"/>
            </w:tcBorders>
            <w:shd w:val="clear" w:color="auto" w:fill="auto"/>
            <w:vAlign w:val="bottom"/>
            <w:hideMark/>
          </w:tcPr>
          <w:p w14:paraId="1D71D58E"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Solution should have the capability to alert if an unauthorized attempt is made for configuration changes in AD</w:t>
            </w:r>
          </w:p>
        </w:tc>
        <w:tc>
          <w:tcPr>
            <w:tcW w:w="638" w:type="pct"/>
            <w:tcBorders>
              <w:top w:val="nil"/>
              <w:left w:val="nil"/>
              <w:bottom w:val="single" w:sz="4" w:space="0" w:color="auto"/>
              <w:right w:val="single" w:sz="4" w:space="0" w:color="auto"/>
            </w:tcBorders>
            <w:shd w:val="clear" w:color="auto" w:fill="auto"/>
            <w:noWrap/>
            <w:vAlign w:val="bottom"/>
            <w:hideMark/>
          </w:tcPr>
          <w:p w14:paraId="331A6D12"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noWrap/>
            <w:vAlign w:val="bottom"/>
            <w:hideMark/>
          </w:tcPr>
          <w:p w14:paraId="17D72621"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30F5D40C" w14:textId="77777777" w:rsidTr="008E0319">
        <w:trPr>
          <w:trHeight w:val="300"/>
        </w:trPr>
        <w:tc>
          <w:tcPr>
            <w:tcW w:w="176" w:type="pct"/>
            <w:tcBorders>
              <w:top w:val="nil"/>
              <w:left w:val="single" w:sz="4" w:space="0" w:color="auto"/>
              <w:bottom w:val="single" w:sz="4" w:space="0" w:color="auto"/>
              <w:right w:val="single" w:sz="4" w:space="0" w:color="auto"/>
            </w:tcBorders>
            <w:shd w:val="clear" w:color="auto" w:fill="auto"/>
            <w:hideMark/>
          </w:tcPr>
          <w:p w14:paraId="7B78A5F0"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82</w:t>
            </w:r>
          </w:p>
        </w:tc>
        <w:tc>
          <w:tcPr>
            <w:tcW w:w="3493" w:type="pct"/>
            <w:tcBorders>
              <w:top w:val="nil"/>
              <w:left w:val="nil"/>
              <w:bottom w:val="single" w:sz="4" w:space="0" w:color="auto"/>
              <w:right w:val="single" w:sz="4" w:space="0" w:color="auto"/>
            </w:tcBorders>
            <w:shd w:val="clear" w:color="auto" w:fill="auto"/>
            <w:vAlign w:val="bottom"/>
            <w:hideMark/>
          </w:tcPr>
          <w:p w14:paraId="5E82E085"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Solution should have real-time tracking, analysis and reporting on all Microsoft Active Directory events.</w:t>
            </w:r>
          </w:p>
        </w:tc>
        <w:tc>
          <w:tcPr>
            <w:tcW w:w="638" w:type="pct"/>
            <w:tcBorders>
              <w:top w:val="nil"/>
              <w:left w:val="nil"/>
              <w:bottom w:val="single" w:sz="4" w:space="0" w:color="auto"/>
              <w:right w:val="single" w:sz="4" w:space="0" w:color="auto"/>
            </w:tcBorders>
            <w:shd w:val="clear" w:color="auto" w:fill="auto"/>
            <w:noWrap/>
            <w:vAlign w:val="bottom"/>
            <w:hideMark/>
          </w:tcPr>
          <w:p w14:paraId="5DEC43BA"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noWrap/>
            <w:vAlign w:val="bottom"/>
            <w:hideMark/>
          </w:tcPr>
          <w:p w14:paraId="4BEF289C"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513C6463"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61D48EFF"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83</w:t>
            </w:r>
          </w:p>
        </w:tc>
        <w:tc>
          <w:tcPr>
            <w:tcW w:w="3493" w:type="pct"/>
            <w:tcBorders>
              <w:top w:val="nil"/>
              <w:left w:val="nil"/>
              <w:bottom w:val="single" w:sz="4" w:space="0" w:color="auto"/>
              <w:right w:val="single" w:sz="4" w:space="0" w:color="auto"/>
            </w:tcBorders>
            <w:shd w:val="clear" w:color="auto" w:fill="auto"/>
            <w:vAlign w:val="bottom"/>
            <w:hideMark/>
          </w:tcPr>
          <w:p w14:paraId="327EC725"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Solution should have real-time tracking, analysis and reporting on all Microsoft Active Directory based and LDAP queries</w:t>
            </w:r>
          </w:p>
        </w:tc>
        <w:tc>
          <w:tcPr>
            <w:tcW w:w="638" w:type="pct"/>
            <w:tcBorders>
              <w:top w:val="nil"/>
              <w:left w:val="nil"/>
              <w:bottom w:val="single" w:sz="4" w:space="0" w:color="auto"/>
              <w:right w:val="single" w:sz="4" w:space="0" w:color="auto"/>
            </w:tcBorders>
            <w:shd w:val="clear" w:color="auto" w:fill="auto"/>
            <w:noWrap/>
            <w:vAlign w:val="bottom"/>
            <w:hideMark/>
          </w:tcPr>
          <w:p w14:paraId="44AAAF9B"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noWrap/>
            <w:vAlign w:val="bottom"/>
            <w:hideMark/>
          </w:tcPr>
          <w:p w14:paraId="631FACFD"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30C9C701" w14:textId="77777777" w:rsidTr="008E0319">
        <w:trPr>
          <w:trHeight w:val="300"/>
        </w:trPr>
        <w:tc>
          <w:tcPr>
            <w:tcW w:w="176" w:type="pct"/>
            <w:tcBorders>
              <w:top w:val="nil"/>
              <w:left w:val="single" w:sz="4" w:space="0" w:color="auto"/>
              <w:bottom w:val="single" w:sz="4" w:space="0" w:color="auto"/>
              <w:right w:val="single" w:sz="4" w:space="0" w:color="auto"/>
            </w:tcBorders>
            <w:shd w:val="clear" w:color="auto" w:fill="auto"/>
            <w:hideMark/>
          </w:tcPr>
          <w:p w14:paraId="14E41B2F"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84</w:t>
            </w:r>
          </w:p>
        </w:tc>
        <w:tc>
          <w:tcPr>
            <w:tcW w:w="3493" w:type="pct"/>
            <w:tcBorders>
              <w:top w:val="nil"/>
              <w:left w:val="nil"/>
              <w:bottom w:val="single" w:sz="4" w:space="0" w:color="auto"/>
              <w:right w:val="single" w:sz="4" w:space="0" w:color="auto"/>
            </w:tcBorders>
            <w:shd w:val="clear" w:color="auto" w:fill="auto"/>
            <w:noWrap/>
            <w:vAlign w:val="bottom"/>
            <w:hideMark/>
          </w:tcPr>
          <w:p w14:paraId="0DF39F29"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Web-based access with dashboard reporting.</w:t>
            </w:r>
          </w:p>
        </w:tc>
        <w:tc>
          <w:tcPr>
            <w:tcW w:w="638" w:type="pct"/>
            <w:tcBorders>
              <w:top w:val="nil"/>
              <w:left w:val="nil"/>
              <w:bottom w:val="single" w:sz="4" w:space="0" w:color="auto"/>
              <w:right w:val="single" w:sz="4" w:space="0" w:color="auto"/>
            </w:tcBorders>
            <w:shd w:val="clear" w:color="auto" w:fill="auto"/>
            <w:noWrap/>
            <w:vAlign w:val="bottom"/>
            <w:hideMark/>
          </w:tcPr>
          <w:p w14:paraId="562DAD80"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noWrap/>
            <w:vAlign w:val="bottom"/>
            <w:hideMark/>
          </w:tcPr>
          <w:p w14:paraId="3165FDE3"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59F1B497" w14:textId="77777777" w:rsidTr="008E0319">
        <w:trPr>
          <w:trHeight w:val="300"/>
        </w:trPr>
        <w:tc>
          <w:tcPr>
            <w:tcW w:w="176" w:type="pct"/>
            <w:tcBorders>
              <w:top w:val="nil"/>
              <w:left w:val="single" w:sz="4" w:space="0" w:color="auto"/>
              <w:bottom w:val="single" w:sz="4" w:space="0" w:color="auto"/>
              <w:right w:val="single" w:sz="4" w:space="0" w:color="auto"/>
            </w:tcBorders>
            <w:shd w:val="clear" w:color="auto" w:fill="auto"/>
            <w:hideMark/>
          </w:tcPr>
          <w:p w14:paraId="47E44D86"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85</w:t>
            </w:r>
          </w:p>
        </w:tc>
        <w:tc>
          <w:tcPr>
            <w:tcW w:w="3493" w:type="pct"/>
            <w:tcBorders>
              <w:top w:val="nil"/>
              <w:left w:val="nil"/>
              <w:bottom w:val="single" w:sz="4" w:space="0" w:color="auto"/>
              <w:right w:val="single" w:sz="4" w:space="0" w:color="auto"/>
            </w:tcBorders>
            <w:shd w:val="clear" w:color="auto" w:fill="auto"/>
            <w:vAlign w:val="bottom"/>
            <w:hideMark/>
          </w:tcPr>
          <w:p w14:paraId="1C7EF78E"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Solution should have capability to Identify queries against Active Directory (AD) that are not secure or signed.</w:t>
            </w:r>
          </w:p>
        </w:tc>
        <w:tc>
          <w:tcPr>
            <w:tcW w:w="638" w:type="pct"/>
            <w:tcBorders>
              <w:top w:val="nil"/>
              <w:left w:val="nil"/>
              <w:bottom w:val="single" w:sz="4" w:space="0" w:color="auto"/>
              <w:right w:val="single" w:sz="4" w:space="0" w:color="auto"/>
            </w:tcBorders>
            <w:shd w:val="clear" w:color="auto" w:fill="auto"/>
            <w:noWrap/>
            <w:vAlign w:val="bottom"/>
            <w:hideMark/>
          </w:tcPr>
          <w:p w14:paraId="4DEBCF50"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noWrap/>
            <w:vAlign w:val="bottom"/>
            <w:hideMark/>
          </w:tcPr>
          <w:p w14:paraId="6A7D09E6"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6317AFCD"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28A9DE3F"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86</w:t>
            </w:r>
          </w:p>
        </w:tc>
        <w:tc>
          <w:tcPr>
            <w:tcW w:w="3493" w:type="pct"/>
            <w:tcBorders>
              <w:top w:val="nil"/>
              <w:left w:val="nil"/>
              <w:bottom w:val="single" w:sz="4" w:space="0" w:color="auto"/>
              <w:right w:val="single" w:sz="4" w:space="0" w:color="auto"/>
            </w:tcBorders>
            <w:shd w:val="clear" w:color="auto" w:fill="auto"/>
            <w:vAlign w:val="bottom"/>
            <w:hideMark/>
          </w:tcPr>
          <w:p w14:paraId="17BFE51D"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The Solution should be able to effectively administer and control Group Policy Object (GPO) changes and verify, compare, update and roll back GPO versions. Ability to confirm the consistency of various GPO settings.</w:t>
            </w:r>
          </w:p>
        </w:tc>
        <w:tc>
          <w:tcPr>
            <w:tcW w:w="638" w:type="pct"/>
            <w:tcBorders>
              <w:top w:val="nil"/>
              <w:left w:val="nil"/>
              <w:bottom w:val="single" w:sz="4" w:space="0" w:color="auto"/>
              <w:right w:val="single" w:sz="4" w:space="0" w:color="auto"/>
            </w:tcBorders>
            <w:shd w:val="clear" w:color="auto" w:fill="auto"/>
            <w:noWrap/>
            <w:vAlign w:val="bottom"/>
            <w:hideMark/>
          </w:tcPr>
          <w:p w14:paraId="37C5554A"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noWrap/>
            <w:vAlign w:val="bottom"/>
            <w:hideMark/>
          </w:tcPr>
          <w:p w14:paraId="2865C3DD"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748F6BD" w14:textId="77777777" w:rsidTr="008E0319">
        <w:trPr>
          <w:trHeight w:val="900"/>
        </w:trPr>
        <w:tc>
          <w:tcPr>
            <w:tcW w:w="176" w:type="pct"/>
            <w:tcBorders>
              <w:top w:val="nil"/>
              <w:left w:val="single" w:sz="4" w:space="0" w:color="auto"/>
              <w:bottom w:val="single" w:sz="4" w:space="0" w:color="auto"/>
              <w:right w:val="single" w:sz="4" w:space="0" w:color="auto"/>
            </w:tcBorders>
            <w:shd w:val="clear" w:color="auto" w:fill="auto"/>
            <w:hideMark/>
          </w:tcPr>
          <w:p w14:paraId="1EC0465B"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87</w:t>
            </w:r>
          </w:p>
        </w:tc>
        <w:tc>
          <w:tcPr>
            <w:tcW w:w="3493" w:type="pct"/>
            <w:tcBorders>
              <w:top w:val="nil"/>
              <w:left w:val="nil"/>
              <w:bottom w:val="single" w:sz="4" w:space="0" w:color="auto"/>
              <w:right w:val="single" w:sz="4" w:space="0" w:color="auto"/>
            </w:tcBorders>
            <w:shd w:val="clear" w:color="auto" w:fill="auto"/>
            <w:hideMark/>
          </w:tcPr>
          <w:p w14:paraId="5157E6B3"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The Solution should be able to streamline user and group administration through provisioning &amp; deprovisioning, solve security issues – and meet those never-ending compliance requirements by managing and securing on-premise AD simply and efficiently with a single, intuitive solution.</w:t>
            </w:r>
          </w:p>
        </w:tc>
        <w:tc>
          <w:tcPr>
            <w:tcW w:w="638" w:type="pct"/>
            <w:tcBorders>
              <w:top w:val="nil"/>
              <w:left w:val="nil"/>
              <w:bottom w:val="single" w:sz="4" w:space="0" w:color="auto"/>
              <w:right w:val="single" w:sz="4" w:space="0" w:color="auto"/>
            </w:tcBorders>
            <w:shd w:val="clear" w:color="auto" w:fill="auto"/>
            <w:noWrap/>
            <w:vAlign w:val="bottom"/>
            <w:hideMark/>
          </w:tcPr>
          <w:p w14:paraId="343A5278"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noWrap/>
            <w:vAlign w:val="bottom"/>
            <w:hideMark/>
          </w:tcPr>
          <w:p w14:paraId="3C7A9F95"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742E2A56"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552E81CE"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88</w:t>
            </w:r>
          </w:p>
        </w:tc>
        <w:tc>
          <w:tcPr>
            <w:tcW w:w="3493" w:type="pct"/>
            <w:tcBorders>
              <w:top w:val="nil"/>
              <w:left w:val="nil"/>
              <w:bottom w:val="single" w:sz="4" w:space="0" w:color="auto"/>
              <w:right w:val="single" w:sz="4" w:space="0" w:color="auto"/>
            </w:tcBorders>
            <w:shd w:val="clear" w:color="auto" w:fill="auto"/>
            <w:hideMark/>
          </w:tcPr>
          <w:p w14:paraId="7436B12C"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The Solution should provide Reviewer-Approver facility for Role based access and Real time notifications for the administrative activities.</w:t>
            </w:r>
          </w:p>
        </w:tc>
        <w:tc>
          <w:tcPr>
            <w:tcW w:w="638" w:type="pct"/>
            <w:tcBorders>
              <w:top w:val="nil"/>
              <w:left w:val="nil"/>
              <w:bottom w:val="single" w:sz="4" w:space="0" w:color="auto"/>
              <w:right w:val="single" w:sz="4" w:space="0" w:color="auto"/>
            </w:tcBorders>
            <w:shd w:val="clear" w:color="auto" w:fill="auto"/>
            <w:noWrap/>
            <w:vAlign w:val="bottom"/>
            <w:hideMark/>
          </w:tcPr>
          <w:p w14:paraId="7137D00E"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noWrap/>
            <w:vAlign w:val="bottom"/>
            <w:hideMark/>
          </w:tcPr>
          <w:p w14:paraId="053598A8"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3F7C10E8" w14:textId="77777777" w:rsidTr="008E0319">
        <w:trPr>
          <w:trHeight w:val="900"/>
        </w:trPr>
        <w:tc>
          <w:tcPr>
            <w:tcW w:w="176" w:type="pct"/>
            <w:tcBorders>
              <w:top w:val="nil"/>
              <w:left w:val="single" w:sz="4" w:space="0" w:color="auto"/>
              <w:bottom w:val="single" w:sz="4" w:space="0" w:color="auto"/>
              <w:right w:val="single" w:sz="4" w:space="0" w:color="auto"/>
            </w:tcBorders>
            <w:shd w:val="clear" w:color="auto" w:fill="auto"/>
            <w:hideMark/>
          </w:tcPr>
          <w:p w14:paraId="2A1B261F"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lastRenderedPageBreak/>
              <w:t>89</w:t>
            </w:r>
          </w:p>
        </w:tc>
        <w:tc>
          <w:tcPr>
            <w:tcW w:w="3493" w:type="pct"/>
            <w:tcBorders>
              <w:top w:val="nil"/>
              <w:left w:val="nil"/>
              <w:bottom w:val="single" w:sz="4" w:space="0" w:color="auto"/>
              <w:right w:val="single" w:sz="4" w:space="0" w:color="auto"/>
            </w:tcBorders>
            <w:shd w:val="clear" w:color="auto" w:fill="auto"/>
            <w:hideMark/>
          </w:tcPr>
          <w:p w14:paraId="6E9236EB"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Times New Roman" w:eastAsia="Times New Roman" w:hAnsi="Times New Roman" w:cs="Times New Roman"/>
                <w:lang w:val="en-GB" w:eastAsia="en-GB"/>
              </w:rPr>
              <w:t xml:space="preserve"> </w:t>
            </w:r>
            <w:r w:rsidRPr="00985D46">
              <w:rPr>
                <w:rFonts w:ascii="Calibri" w:eastAsia="Times New Roman" w:hAnsi="Calibri" w:cs="Calibri"/>
                <w:lang w:val="en-GB" w:eastAsia="en-GB"/>
              </w:rPr>
              <w:t>The Solution should be able to streamline user and group administration through provisioning &amp; de- provisioning, solve security issues – and meet those never-ending compliance requirements by managing and securing on-premise AD simply and efficiently with a single, intuitive solution.</w:t>
            </w:r>
          </w:p>
        </w:tc>
        <w:tc>
          <w:tcPr>
            <w:tcW w:w="638" w:type="pct"/>
            <w:tcBorders>
              <w:top w:val="nil"/>
              <w:left w:val="nil"/>
              <w:bottom w:val="single" w:sz="4" w:space="0" w:color="auto"/>
              <w:right w:val="single" w:sz="4" w:space="0" w:color="auto"/>
            </w:tcBorders>
            <w:shd w:val="clear" w:color="auto" w:fill="auto"/>
            <w:noWrap/>
            <w:vAlign w:val="bottom"/>
            <w:hideMark/>
          </w:tcPr>
          <w:p w14:paraId="7A51D665"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noWrap/>
            <w:vAlign w:val="bottom"/>
            <w:hideMark/>
          </w:tcPr>
          <w:p w14:paraId="309AD8CD"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704B40D5" w14:textId="77777777" w:rsidTr="008E0319">
        <w:trPr>
          <w:trHeight w:val="300"/>
        </w:trPr>
        <w:tc>
          <w:tcPr>
            <w:tcW w:w="176" w:type="pct"/>
            <w:tcBorders>
              <w:top w:val="nil"/>
              <w:left w:val="single" w:sz="4" w:space="0" w:color="auto"/>
              <w:bottom w:val="single" w:sz="4" w:space="0" w:color="auto"/>
              <w:right w:val="single" w:sz="4" w:space="0" w:color="auto"/>
            </w:tcBorders>
            <w:shd w:val="clear" w:color="auto" w:fill="auto"/>
            <w:hideMark/>
          </w:tcPr>
          <w:p w14:paraId="15A1655B"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90</w:t>
            </w:r>
          </w:p>
        </w:tc>
        <w:tc>
          <w:tcPr>
            <w:tcW w:w="3493" w:type="pct"/>
            <w:tcBorders>
              <w:top w:val="nil"/>
              <w:left w:val="nil"/>
              <w:bottom w:val="single" w:sz="4" w:space="0" w:color="auto"/>
              <w:right w:val="single" w:sz="4" w:space="0" w:color="auto"/>
            </w:tcBorders>
            <w:shd w:val="clear" w:color="auto" w:fill="auto"/>
            <w:hideMark/>
          </w:tcPr>
          <w:p w14:paraId="6BBA1C10"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The solution should have a capability to generate comprehensive change reports from compliance purpose.</w:t>
            </w:r>
          </w:p>
        </w:tc>
        <w:tc>
          <w:tcPr>
            <w:tcW w:w="638" w:type="pct"/>
            <w:tcBorders>
              <w:top w:val="nil"/>
              <w:left w:val="nil"/>
              <w:bottom w:val="single" w:sz="4" w:space="0" w:color="auto"/>
              <w:right w:val="single" w:sz="4" w:space="0" w:color="auto"/>
            </w:tcBorders>
            <w:shd w:val="clear" w:color="auto" w:fill="auto"/>
            <w:noWrap/>
            <w:vAlign w:val="bottom"/>
            <w:hideMark/>
          </w:tcPr>
          <w:p w14:paraId="5DD38101"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noWrap/>
            <w:vAlign w:val="bottom"/>
            <w:hideMark/>
          </w:tcPr>
          <w:p w14:paraId="1608F27C"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70C05E64" w14:textId="77777777" w:rsidTr="008E0319">
        <w:trPr>
          <w:trHeight w:val="1500"/>
        </w:trPr>
        <w:tc>
          <w:tcPr>
            <w:tcW w:w="176" w:type="pct"/>
            <w:tcBorders>
              <w:top w:val="nil"/>
              <w:left w:val="single" w:sz="4" w:space="0" w:color="auto"/>
              <w:bottom w:val="single" w:sz="4" w:space="0" w:color="auto"/>
              <w:right w:val="single" w:sz="4" w:space="0" w:color="auto"/>
            </w:tcBorders>
            <w:shd w:val="clear" w:color="auto" w:fill="auto"/>
            <w:hideMark/>
          </w:tcPr>
          <w:p w14:paraId="120317A7"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91</w:t>
            </w:r>
          </w:p>
        </w:tc>
        <w:tc>
          <w:tcPr>
            <w:tcW w:w="3493" w:type="pct"/>
            <w:tcBorders>
              <w:top w:val="nil"/>
              <w:left w:val="nil"/>
              <w:bottom w:val="single" w:sz="4" w:space="0" w:color="auto"/>
              <w:right w:val="single" w:sz="4" w:space="0" w:color="auto"/>
            </w:tcBorders>
            <w:shd w:val="clear" w:color="auto" w:fill="auto"/>
            <w:hideMark/>
          </w:tcPr>
          <w:p w14:paraId="1BAF2747"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Proposed third party system should proactive, approach to AD Management. Complete GUI feature for user management, user life cycle, privilege allocation and revoke, various report for top management such as users under OU, transfer of users from OU to other, user revoke or disable, number of users logged in in real time basis, number of users successfully logged in for last day, last 7 days, last month etc. with complete details of user such as employee id, name, designation etc. Extraction of report in pdf, excel and machine printable format.</w:t>
            </w:r>
          </w:p>
        </w:tc>
        <w:tc>
          <w:tcPr>
            <w:tcW w:w="638" w:type="pct"/>
            <w:tcBorders>
              <w:top w:val="nil"/>
              <w:left w:val="nil"/>
              <w:bottom w:val="single" w:sz="4" w:space="0" w:color="auto"/>
              <w:right w:val="single" w:sz="4" w:space="0" w:color="auto"/>
            </w:tcBorders>
            <w:shd w:val="clear" w:color="auto" w:fill="auto"/>
            <w:noWrap/>
            <w:vAlign w:val="bottom"/>
            <w:hideMark/>
          </w:tcPr>
          <w:p w14:paraId="29829ED1"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noWrap/>
            <w:vAlign w:val="bottom"/>
            <w:hideMark/>
          </w:tcPr>
          <w:p w14:paraId="13139178"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70F8D40B"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1EF20C34"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92</w:t>
            </w:r>
          </w:p>
        </w:tc>
        <w:tc>
          <w:tcPr>
            <w:tcW w:w="3493" w:type="pct"/>
            <w:tcBorders>
              <w:top w:val="nil"/>
              <w:left w:val="nil"/>
              <w:bottom w:val="single" w:sz="4" w:space="0" w:color="auto"/>
              <w:right w:val="single" w:sz="4" w:space="0" w:color="auto"/>
            </w:tcBorders>
            <w:shd w:val="clear" w:color="auto" w:fill="auto"/>
            <w:hideMark/>
          </w:tcPr>
          <w:p w14:paraId="46CAF3B1"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Proposed solution should proactive, risk-based approach to AD security, users can all the associated vulnerabilities, predict which pathways attackers may target, and act to detect, shut down and prevent attacks.</w:t>
            </w:r>
          </w:p>
        </w:tc>
        <w:tc>
          <w:tcPr>
            <w:tcW w:w="638" w:type="pct"/>
            <w:tcBorders>
              <w:top w:val="nil"/>
              <w:left w:val="nil"/>
              <w:bottom w:val="single" w:sz="4" w:space="0" w:color="auto"/>
              <w:right w:val="single" w:sz="4" w:space="0" w:color="auto"/>
            </w:tcBorders>
            <w:shd w:val="clear" w:color="auto" w:fill="auto"/>
            <w:noWrap/>
            <w:vAlign w:val="bottom"/>
            <w:hideMark/>
          </w:tcPr>
          <w:p w14:paraId="72F3AE1B"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noWrap/>
            <w:vAlign w:val="bottom"/>
            <w:hideMark/>
          </w:tcPr>
          <w:p w14:paraId="096B35BA"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6231B485" w14:textId="77777777" w:rsidTr="008E0319">
        <w:trPr>
          <w:trHeight w:val="300"/>
        </w:trPr>
        <w:tc>
          <w:tcPr>
            <w:tcW w:w="176" w:type="pct"/>
            <w:tcBorders>
              <w:top w:val="nil"/>
              <w:left w:val="single" w:sz="4" w:space="0" w:color="auto"/>
              <w:bottom w:val="single" w:sz="4" w:space="0" w:color="auto"/>
              <w:right w:val="single" w:sz="4" w:space="0" w:color="auto"/>
            </w:tcBorders>
            <w:shd w:val="clear" w:color="auto" w:fill="auto"/>
            <w:hideMark/>
          </w:tcPr>
          <w:p w14:paraId="14EBA209"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93</w:t>
            </w:r>
          </w:p>
        </w:tc>
        <w:tc>
          <w:tcPr>
            <w:tcW w:w="3493" w:type="pct"/>
            <w:tcBorders>
              <w:top w:val="nil"/>
              <w:left w:val="nil"/>
              <w:bottom w:val="single" w:sz="4" w:space="0" w:color="auto"/>
              <w:right w:val="single" w:sz="4" w:space="0" w:color="auto"/>
            </w:tcBorders>
            <w:shd w:val="clear" w:color="auto" w:fill="auto"/>
            <w:hideMark/>
          </w:tcPr>
          <w:p w14:paraId="2EB3E672"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The solution should have Review-Approve facility for all admin activities. Privileged access for Users.</w:t>
            </w:r>
          </w:p>
        </w:tc>
        <w:tc>
          <w:tcPr>
            <w:tcW w:w="638" w:type="pct"/>
            <w:tcBorders>
              <w:top w:val="nil"/>
              <w:left w:val="nil"/>
              <w:bottom w:val="single" w:sz="4" w:space="0" w:color="auto"/>
              <w:right w:val="single" w:sz="4" w:space="0" w:color="auto"/>
            </w:tcBorders>
            <w:shd w:val="clear" w:color="auto" w:fill="auto"/>
            <w:noWrap/>
            <w:vAlign w:val="bottom"/>
            <w:hideMark/>
          </w:tcPr>
          <w:p w14:paraId="469C7F93"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noWrap/>
            <w:vAlign w:val="bottom"/>
            <w:hideMark/>
          </w:tcPr>
          <w:p w14:paraId="7CD71446"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FD3735B" w14:textId="77777777" w:rsidTr="008E0319">
        <w:trPr>
          <w:trHeight w:val="300"/>
        </w:trPr>
        <w:tc>
          <w:tcPr>
            <w:tcW w:w="176" w:type="pct"/>
            <w:tcBorders>
              <w:top w:val="nil"/>
              <w:left w:val="single" w:sz="4" w:space="0" w:color="auto"/>
              <w:bottom w:val="single" w:sz="4" w:space="0" w:color="auto"/>
              <w:right w:val="single" w:sz="4" w:space="0" w:color="auto"/>
            </w:tcBorders>
            <w:shd w:val="clear" w:color="auto" w:fill="auto"/>
            <w:hideMark/>
          </w:tcPr>
          <w:p w14:paraId="27E72C28"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94</w:t>
            </w:r>
          </w:p>
        </w:tc>
        <w:tc>
          <w:tcPr>
            <w:tcW w:w="3493" w:type="pct"/>
            <w:tcBorders>
              <w:top w:val="nil"/>
              <w:left w:val="nil"/>
              <w:bottom w:val="single" w:sz="4" w:space="0" w:color="auto"/>
              <w:right w:val="single" w:sz="4" w:space="0" w:color="auto"/>
            </w:tcBorders>
            <w:shd w:val="clear" w:color="auto" w:fill="auto"/>
            <w:hideMark/>
          </w:tcPr>
          <w:p w14:paraId="6A95CC33"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Solution should be able to Disable the accounts automatically on expiry of validity period.</w:t>
            </w:r>
          </w:p>
        </w:tc>
        <w:tc>
          <w:tcPr>
            <w:tcW w:w="638" w:type="pct"/>
            <w:tcBorders>
              <w:top w:val="nil"/>
              <w:left w:val="nil"/>
              <w:bottom w:val="single" w:sz="4" w:space="0" w:color="auto"/>
              <w:right w:val="single" w:sz="4" w:space="0" w:color="auto"/>
            </w:tcBorders>
            <w:shd w:val="clear" w:color="auto" w:fill="auto"/>
            <w:noWrap/>
            <w:vAlign w:val="bottom"/>
            <w:hideMark/>
          </w:tcPr>
          <w:p w14:paraId="0FC7C049"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noWrap/>
            <w:vAlign w:val="bottom"/>
            <w:hideMark/>
          </w:tcPr>
          <w:p w14:paraId="7D285861"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5E8F7B93" w14:textId="77777777" w:rsidTr="008E0319">
        <w:trPr>
          <w:trHeight w:val="300"/>
        </w:trPr>
        <w:tc>
          <w:tcPr>
            <w:tcW w:w="176" w:type="pct"/>
            <w:tcBorders>
              <w:top w:val="nil"/>
              <w:left w:val="single" w:sz="4" w:space="0" w:color="auto"/>
              <w:bottom w:val="single" w:sz="4" w:space="0" w:color="auto"/>
              <w:right w:val="single" w:sz="4" w:space="0" w:color="auto"/>
            </w:tcBorders>
            <w:shd w:val="clear" w:color="auto" w:fill="auto"/>
            <w:hideMark/>
          </w:tcPr>
          <w:p w14:paraId="3DFD361C"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95</w:t>
            </w:r>
          </w:p>
        </w:tc>
        <w:tc>
          <w:tcPr>
            <w:tcW w:w="3493" w:type="pct"/>
            <w:tcBorders>
              <w:top w:val="nil"/>
              <w:left w:val="nil"/>
              <w:bottom w:val="single" w:sz="4" w:space="0" w:color="auto"/>
              <w:right w:val="single" w:sz="4" w:space="0" w:color="auto"/>
            </w:tcBorders>
            <w:shd w:val="clear" w:color="auto" w:fill="auto"/>
            <w:hideMark/>
          </w:tcPr>
          <w:p w14:paraId="3611B806"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 xml:space="preserve"> Solution should be able to Facilitates notification to concerned users on completion of the execution of a task.</w:t>
            </w:r>
          </w:p>
        </w:tc>
        <w:tc>
          <w:tcPr>
            <w:tcW w:w="638" w:type="pct"/>
            <w:tcBorders>
              <w:top w:val="nil"/>
              <w:left w:val="nil"/>
              <w:bottom w:val="single" w:sz="4" w:space="0" w:color="auto"/>
              <w:right w:val="single" w:sz="4" w:space="0" w:color="auto"/>
            </w:tcBorders>
            <w:shd w:val="clear" w:color="auto" w:fill="auto"/>
            <w:noWrap/>
            <w:vAlign w:val="bottom"/>
            <w:hideMark/>
          </w:tcPr>
          <w:p w14:paraId="60CD8E93"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noWrap/>
            <w:vAlign w:val="bottom"/>
            <w:hideMark/>
          </w:tcPr>
          <w:p w14:paraId="48E399C8"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1A801495" w14:textId="77777777" w:rsidTr="008E0319">
        <w:trPr>
          <w:trHeight w:val="300"/>
        </w:trPr>
        <w:tc>
          <w:tcPr>
            <w:tcW w:w="176" w:type="pct"/>
            <w:tcBorders>
              <w:top w:val="nil"/>
              <w:left w:val="single" w:sz="4" w:space="0" w:color="auto"/>
              <w:bottom w:val="single" w:sz="4" w:space="0" w:color="auto"/>
              <w:right w:val="single" w:sz="4" w:space="0" w:color="auto"/>
            </w:tcBorders>
            <w:shd w:val="clear" w:color="auto" w:fill="auto"/>
            <w:hideMark/>
          </w:tcPr>
          <w:p w14:paraId="4184A226"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96</w:t>
            </w:r>
          </w:p>
        </w:tc>
        <w:tc>
          <w:tcPr>
            <w:tcW w:w="3493" w:type="pct"/>
            <w:tcBorders>
              <w:top w:val="nil"/>
              <w:left w:val="nil"/>
              <w:bottom w:val="single" w:sz="4" w:space="0" w:color="auto"/>
              <w:right w:val="single" w:sz="4" w:space="0" w:color="auto"/>
            </w:tcBorders>
            <w:shd w:val="clear" w:color="auto" w:fill="auto"/>
            <w:hideMark/>
          </w:tcPr>
          <w:p w14:paraId="184D6D4A"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Solution should be able to Automatically lockdown privileged accounts that are inactive for a period of time.</w:t>
            </w:r>
          </w:p>
        </w:tc>
        <w:tc>
          <w:tcPr>
            <w:tcW w:w="638" w:type="pct"/>
            <w:tcBorders>
              <w:top w:val="nil"/>
              <w:left w:val="nil"/>
              <w:bottom w:val="single" w:sz="4" w:space="0" w:color="auto"/>
              <w:right w:val="single" w:sz="4" w:space="0" w:color="auto"/>
            </w:tcBorders>
            <w:shd w:val="clear" w:color="auto" w:fill="auto"/>
            <w:noWrap/>
            <w:vAlign w:val="bottom"/>
            <w:hideMark/>
          </w:tcPr>
          <w:p w14:paraId="6D666F6B"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noWrap/>
            <w:vAlign w:val="bottom"/>
            <w:hideMark/>
          </w:tcPr>
          <w:p w14:paraId="0DCD5D47"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5341BB7A" w14:textId="77777777" w:rsidTr="008E0319">
        <w:trPr>
          <w:trHeight w:val="900"/>
        </w:trPr>
        <w:tc>
          <w:tcPr>
            <w:tcW w:w="176" w:type="pct"/>
            <w:tcBorders>
              <w:top w:val="nil"/>
              <w:left w:val="single" w:sz="4" w:space="0" w:color="auto"/>
              <w:bottom w:val="single" w:sz="4" w:space="0" w:color="auto"/>
              <w:right w:val="single" w:sz="4" w:space="0" w:color="auto"/>
            </w:tcBorders>
            <w:shd w:val="clear" w:color="auto" w:fill="auto"/>
            <w:hideMark/>
          </w:tcPr>
          <w:p w14:paraId="3EA25CEA"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97</w:t>
            </w:r>
          </w:p>
        </w:tc>
        <w:tc>
          <w:tcPr>
            <w:tcW w:w="3493" w:type="pct"/>
            <w:tcBorders>
              <w:top w:val="nil"/>
              <w:left w:val="nil"/>
              <w:bottom w:val="single" w:sz="4" w:space="0" w:color="auto"/>
              <w:right w:val="single" w:sz="4" w:space="0" w:color="auto"/>
            </w:tcBorders>
            <w:shd w:val="clear" w:color="auto" w:fill="auto"/>
            <w:hideMark/>
          </w:tcPr>
          <w:p w14:paraId="75D34D1A"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Proposed solution should throw warning message and reports for abnormal activities like password reset of around 50 users of one Region, password reset of one user twice a day, User creation with identical name, user movement from one OU to other twice a day, any activity done beyond normal working hours (i.e, other than 10:00 AM to 06:00 PM)</w:t>
            </w:r>
          </w:p>
        </w:tc>
        <w:tc>
          <w:tcPr>
            <w:tcW w:w="638" w:type="pct"/>
            <w:tcBorders>
              <w:top w:val="nil"/>
              <w:left w:val="nil"/>
              <w:bottom w:val="single" w:sz="4" w:space="0" w:color="auto"/>
              <w:right w:val="single" w:sz="4" w:space="0" w:color="auto"/>
            </w:tcBorders>
            <w:shd w:val="clear" w:color="auto" w:fill="auto"/>
            <w:noWrap/>
            <w:vAlign w:val="bottom"/>
            <w:hideMark/>
          </w:tcPr>
          <w:p w14:paraId="4641E551"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noWrap/>
            <w:vAlign w:val="bottom"/>
            <w:hideMark/>
          </w:tcPr>
          <w:p w14:paraId="69072C77"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727FE041" w14:textId="77777777" w:rsidTr="008E0319">
        <w:trPr>
          <w:trHeight w:val="600"/>
        </w:trPr>
        <w:tc>
          <w:tcPr>
            <w:tcW w:w="176" w:type="pct"/>
            <w:tcBorders>
              <w:top w:val="nil"/>
              <w:left w:val="single" w:sz="4" w:space="0" w:color="auto"/>
              <w:bottom w:val="single" w:sz="4" w:space="0" w:color="auto"/>
              <w:right w:val="single" w:sz="4" w:space="0" w:color="auto"/>
            </w:tcBorders>
            <w:shd w:val="clear" w:color="auto" w:fill="auto"/>
            <w:hideMark/>
          </w:tcPr>
          <w:p w14:paraId="1BC226E4"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98</w:t>
            </w:r>
          </w:p>
        </w:tc>
        <w:tc>
          <w:tcPr>
            <w:tcW w:w="3493" w:type="pct"/>
            <w:tcBorders>
              <w:top w:val="nil"/>
              <w:left w:val="nil"/>
              <w:bottom w:val="single" w:sz="4" w:space="0" w:color="auto"/>
              <w:right w:val="single" w:sz="4" w:space="0" w:color="auto"/>
            </w:tcBorders>
            <w:shd w:val="clear" w:color="auto" w:fill="auto"/>
            <w:hideMark/>
          </w:tcPr>
          <w:p w14:paraId="025ABE11" w14:textId="77777777" w:rsidR="00985D46" w:rsidRPr="00985D46" w:rsidRDefault="00985D46" w:rsidP="00985D46">
            <w:pPr>
              <w:spacing w:after="0" w:line="240" w:lineRule="auto"/>
              <w:rPr>
                <w:rFonts w:ascii="Calibri" w:eastAsia="Times New Roman" w:hAnsi="Calibri" w:cs="Calibri"/>
                <w:lang w:val="en-GB" w:eastAsia="en-GB"/>
              </w:rPr>
            </w:pPr>
            <w:r w:rsidRPr="00985D46">
              <w:rPr>
                <w:rFonts w:ascii="Calibri" w:eastAsia="Times New Roman" w:hAnsi="Calibri" w:cs="Calibri"/>
                <w:lang w:val="en-GB" w:eastAsia="en-GB"/>
              </w:rPr>
              <w:t>Proposed solution should capture IP address of the system while logging-in to the solution or while initiating any request through the solution, which may not require to log-in to the solution</w:t>
            </w:r>
          </w:p>
        </w:tc>
        <w:tc>
          <w:tcPr>
            <w:tcW w:w="638" w:type="pct"/>
            <w:tcBorders>
              <w:top w:val="nil"/>
              <w:left w:val="nil"/>
              <w:bottom w:val="single" w:sz="4" w:space="0" w:color="auto"/>
              <w:right w:val="single" w:sz="4" w:space="0" w:color="auto"/>
            </w:tcBorders>
            <w:shd w:val="clear" w:color="auto" w:fill="auto"/>
            <w:noWrap/>
            <w:vAlign w:val="bottom"/>
            <w:hideMark/>
          </w:tcPr>
          <w:p w14:paraId="6E3A3F5B"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3" w:type="pct"/>
            <w:tcBorders>
              <w:top w:val="nil"/>
              <w:left w:val="nil"/>
              <w:bottom w:val="single" w:sz="4" w:space="0" w:color="auto"/>
              <w:right w:val="single" w:sz="4" w:space="0" w:color="auto"/>
            </w:tcBorders>
            <w:shd w:val="clear" w:color="auto" w:fill="auto"/>
            <w:noWrap/>
            <w:vAlign w:val="bottom"/>
            <w:hideMark/>
          </w:tcPr>
          <w:p w14:paraId="4B9D7435"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bl>
    <w:p w14:paraId="403E185E" w14:textId="77777777" w:rsidR="00985D46" w:rsidRDefault="00985D46">
      <w:pPr>
        <w:rPr>
          <w:rFonts w:cstheme="minorHAnsi"/>
        </w:rPr>
      </w:pPr>
    </w:p>
    <w:p w14:paraId="2292963C" w14:textId="77777777" w:rsidR="00985D46" w:rsidRDefault="00985D46">
      <w:pPr>
        <w:rPr>
          <w:rFonts w:cstheme="minorHAnsi"/>
        </w:rPr>
      </w:pPr>
      <w:r>
        <w:rPr>
          <w:rFonts w:cstheme="minorHAnsi"/>
        </w:rPr>
        <w:br w:type="page"/>
      </w:r>
    </w:p>
    <w:tbl>
      <w:tblPr>
        <w:tblW w:w="5000" w:type="pct"/>
        <w:tblLook w:val="04A0" w:firstRow="1" w:lastRow="0" w:firstColumn="1" w:lastColumn="0" w:noHBand="0" w:noVBand="1"/>
      </w:tblPr>
      <w:tblGrid>
        <w:gridCol w:w="504"/>
        <w:gridCol w:w="9760"/>
        <w:gridCol w:w="1765"/>
        <w:gridCol w:w="1919"/>
      </w:tblGrid>
      <w:tr w:rsidR="00985D46" w:rsidRPr="00985D46" w14:paraId="382CE178" w14:textId="77777777" w:rsidTr="008E0319">
        <w:trPr>
          <w:trHeight w:val="315"/>
        </w:trPr>
        <w:tc>
          <w:tcPr>
            <w:tcW w:w="5000" w:type="pct"/>
            <w:gridSpan w:val="4"/>
            <w:tcBorders>
              <w:top w:val="single" w:sz="4" w:space="0" w:color="auto"/>
              <w:left w:val="single" w:sz="4" w:space="0" w:color="auto"/>
              <w:bottom w:val="single" w:sz="4" w:space="0" w:color="auto"/>
              <w:right w:val="single" w:sz="4" w:space="0" w:color="auto"/>
            </w:tcBorders>
            <w:shd w:val="clear" w:color="000000" w:fill="FFE699"/>
            <w:hideMark/>
          </w:tcPr>
          <w:p w14:paraId="0C79CFFD" w14:textId="77777777" w:rsidR="00985D46" w:rsidRPr="00985D46" w:rsidRDefault="00985D46" w:rsidP="00985D46">
            <w:pPr>
              <w:spacing w:after="0" w:line="240" w:lineRule="auto"/>
              <w:jc w:val="center"/>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lastRenderedPageBreak/>
              <w:t xml:space="preserve">Technical Specifications for </w:t>
            </w:r>
            <w:r w:rsidRPr="00985D46">
              <w:rPr>
                <w:rFonts w:ascii="Calibri" w:eastAsia="Times New Roman" w:hAnsi="Calibri" w:cs="Calibri"/>
                <w:b/>
                <w:bCs/>
                <w:color w:val="000000"/>
                <w:sz w:val="24"/>
                <w:szCs w:val="24"/>
                <w:lang w:val="en-GB" w:eastAsia="en-GB"/>
              </w:rPr>
              <w:t>Governance, Risk and Compliance</w:t>
            </w:r>
          </w:p>
        </w:tc>
      </w:tr>
      <w:tr w:rsidR="00985D46" w:rsidRPr="00985D46" w14:paraId="093F2B54" w14:textId="77777777" w:rsidTr="008E0319">
        <w:trPr>
          <w:trHeight w:val="630"/>
        </w:trPr>
        <w:tc>
          <w:tcPr>
            <w:tcW w:w="159" w:type="pct"/>
            <w:tcBorders>
              <w:top w:val="nil"/>
              <w:left w:val="single" w:sz="4" w:space="0" w:color="auto"/>
              <w:bottom w:val="single" w:sz="4" w:space="0" w:color="auto"/>
              <w:right w:val="single" w:sz="4" w:space="0" w:color="auto"/>
            </w:tcBorders>
            <w:shd w:val="clear" w:color="000000" w:fill="1F4E78"/>
            <w:hideMark/>
          </w:tcPr>
          <w:p w14:paraId="2CD29A27" w14:textId="77777777" w:rsidR="00985D46" w:rsidRPr="00985D46" w:rsidRDefault="00985D46" w:rsidP="00985D46">
            <w:pPr>
              <w:spacing w:after="0" w:line="240" w:lineRule="auto"/>
              <w:jc w:val="center"/>
              <w:rPr>
                <w:rFonts w:ascii="Calibri" w:eastAsia="Times New Roman" w:hAnsi="Calibri" w:cs="Calibri"/>
                <w:b/>
                <w:bCs/>
                <w:color w:val="FFFFFF"/>
                <w:sz w:val="24"/>
                <w:szCs w:val="24"/>
                <w:lang w:val="en-GB" w:eastAsia="en-GB"/>
              </w:rPr>
            </w:pPr>
            <w:r w:rsidRPr="00985D46">
              <w:rPr>
                <w:rFonts w:ascii="Calibri" w:eastAsia="Times New Roman" w:hAnsi="Calibri" w:cs="Calibri"/>
                <w:b/>
                <w:bCs/>
                <w:color w:val="FFFFFF"/>
                <w:sz w:val="24"/>
                <w:szCs w:val="24"/>
                <w:lang w:val="en-GB" w:eastAsia="en-GB"/>
              </w:rPr>
              <w:t>S No</w:t>
            </w:r>
          </w:p>
        </w:tc>
        <w:tc>
          <w:tcPr>
            <w:tcW w:w="3506" w:type="pct"/>
            <w:tcBorders>
              <w:top w:val="nil"/>
              <w:left w:val="nil"/>
              <w:bottom w:val="single" w:sz="4" w:space="0" w:color="auto"/>
              <w:right w:val="single" w:sz="4" w:space="0" w:color="auto"/>
            </w:tcBorders>
            <w:shd w:val="clear" w:color="000000" w:fill="1F4E78"/>
            <w:hideMark/>
          </w:tcPr>
          <w:p w14:paraId="267090AD" w14:textId="77777777" w:rsidR="00985D46" w:rsidRPr="00985D46" w:rsidRDefault="00985D46" w:rsidP="00985D46">
            <w:pPr>
              <w:spacing w:after="0" w:line="240" w:lineRule="auto"/>
              <w:rPr>
                <w:rFonts w:ascii="Calibri" w:eastAsia="Times New Roman" w:hAnsi="Calibri" w:cs="Calibri"/>
                <w:b/>
                <w:bCs/>
                <w:color w:val="FFFFFF"/>
                <w:sz w:val="24"/>
                <w:szCs w:val="24"/>
                <w:lang w:val="en-GB" w:eastAsia="en-GB"/>
              </w:rPr>
            </w:pPr>
            <w:r w:rsidRPr="00985D46">
              <w:rPr>
                <w:rFonts w:ascii="Calibri" w:eastAsia="Times New Roman" w:hAnsi="Calibri" w:cs="Calibri"/>
                <w:b/>
                <w:bCs/>
                <w:color w:val="FFFFFF"/>
                <w:sz w:val="24"/>
                <w:szCs w:val="24"/>
                <w:lang w:val="en-GB" w:eastAsia="en-GB"/>
              </w:rPr>
              <w:t xml:space="preserve">Minimum Technical Specifications </w:t>
            </w:r>
          </w:p>
        </w:tc>
        <w:tc>
          <w:tcPr>
            <w:tcW w:w="640" w:type="pct"/>
            <w:tcBorders>
              <w:top w:val="nil"/>
              <w:left w:val="nil"/>
              <w:bottom w:val="single" w:sz="4" w:space="0" w:color="auto"/>
              <w:right w:val="single" w:sz="4" w:space="0" w:color="auto"/>
            </w:tcBorders>
            <w:shd w:val="clear" w:color="000000" w:fill="1F4E78"/>
            <w:hideMark/>
          </w:tcPr>
          <w:p w14:paraId="476B13C4" w14:textId="77777777" w:rsidR="00985D46" w:rsidRPr="00985D46" w:rsidRDefault="00985D46" w:rsidP="00985D46">
            <w:pPr>
              <w:spacing w:after="0" w:line="240" w:lineRule="auto"/>
              <w:rPr>
                <w:rFonts w:ascii="Calibri" w:eastAsia="Times New Roman" w:hAnsi="Calibri" w:cs="Calibri"/>
                <w:b/>
                <w:bCs/>
                <w:color w:val="FFFFFF"/>
                <w:sz w:val="24"/>
                <w:szCs w:val="24"/>
                <w:lang w:val="en-GB" w:eastAsia="en-GB"/>
              </w:rPr>
            </w:pPr>
            <w:r w:rsidRPr="00985D46">
              <w:rPr>
                <w:rFonts w:ascii="Calibri" w:eastAsia="Times New Roman" w:hAnsi="Calibri" w:cs="Calibri"/>
                <w:b/>
                <w:bCs/>
                <w:color w:val="FFFFFF"/>
                <w:sz w:val="24"/>
                <w:szCs w:val="24"/>
                <w:lang w:val="en-GB" w:eastAsia="en-GB"/>
              </w:rPr>
              <w:t>Vendor's Compliance</w:t>
            </w:r>
          </w:p>
        </w:tc>
        <w:tc>
          <w:tcPr>
            <w:tcW w:w="695" w:type="pct"/>
            <w:tcBorders>
              <w:top w:val="nil"/>
              <w:left w:val="nil"/>
              <w:bottom w:val="single" w:sz="4" w:space="0" w:color="auto"/>
              <w:right w:val="single" w:sz="4" w:space="0" w:color="auto"/>
            </w:tcBorders>
            <w:shd w:val="clear" w:color="000000" w:fill="1F4E78"/>
            <w:hideMark/>
          </w:tcPr>
          <w:p w14:paraId="71E214A6" w14:textId="77777777" w:rsidR="00985D46" w:rsidRPr="00985D46" w:rsidRDefault="00985D46" w:rsidP="00985D46">
            <w:pPr>
              <w:spacing w:after="0" w:line="240" w:lineRule="auto"/>
              <w:rPr>
                <w:rFonts w:ascii="Calibri" w:eastAsia="Times New Roman" w:hAnsi="Calibri" w:cs="Calibri"/>
                <w:b/>
                <w:bCs/>
                <w:color w:val="FFFFFF"/>
                <w:sz w:val="24"/>
                <w:szCs w:val="24"/>
                <w:lang w:val="en-GB" w:eastAsia="en-GB"/>
              </w:rPr>
            </w:pPr>
            <w:r w:rsidRPr="00985D46">
              <w:rPr>
                <w:rFonts w:ascii="Calibri" w:eastAsia="Times New Roman" w:hAnsi="Calibri" w:cs="Calibri"/>
                <w:b/>
                <w:bCs/>
                <w:color w:val="FFFFFF"/>
                <w:sz w:val="24"/>
                <w:szCs w:val="24"/>
                <w:lang w:val="en-GB" w:eastAsia="en-GB"/>
              </w:rPr>
              <w:t>Vendor's Remark</w:t>
            </w:r>
          </w:p>
        </w:tc>
      </w:tr>
      <w:tr w:rsidR="00985D46" w:rsidRPr="00985D46" w14:paraId="6797B094" w14:textId="77777777" w:rsidTr="008E0319">
        <w:trPr>
          <w:trHeight w:val="312"/>
        </w:trPr>
        <w:tc>
          <w:tcPr>
            <w:tcW w:w="159" w:type="pct"/>
            <w:tcBorders>
              <w:top w:val="nil"/>
              <w:left w:val="single" w:sz="4" w:space="0" w:color="auto"/>
              <w:bottom w:val="single" w:sz="4" w:space="0" w:color="auto"/>
              <w:right w:val="single" w:sz="4" w:space="0" w:color="auto"/>
            </w:tcBorders>
            <w:shd w:val="clear" w:color="000000" w:fill="EFF4FF"/>
            <w:hideMark/>
          </w:tcPr>
          <w:p w14:paraId="576DF547" w14:textId="77777777" w:rsidR="00985D46" w:rsidRPr="00985D46" w:rsidRDefault="00985D46" w:rsidP="00985D46">
            <w:pPr>
              <w:spacing w:after="0" w:line="240" w:lineRule="auto"/>
              <w:jc w:val="center"/>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A</w:t>
            </w:r>
          </w:p>
        </w:tc>
        <w:tc>
          <w:tcPr>
            <w:tcW w:w="3506" w:type="pct"/>
            <w:tcBorders>
              <w:top w:val="nil"/>
              <w:left w:val="nil"/>
              <w:bottom w:val="single" w:sz="4" w:space="0" w:color="auto"/>
              <w:right w:val="single" w:sz="4" w:space="0" w:color="auto"/>
            </w:tcBorders>
            <w:shd w:val="clear" w:color="000000" w:fill="EFF4FF"/>
            <w:hideMark/>
          </w:tcPr>
          <w:p w14:paraId="306794BD" w14:textId="77777777" w:rsidR="00985D46" w:rsidRPr="00985D46" w:rsidRDefault="00985D46" w:rsidP="00985D46">
            <w:pPr>
              <w:spacing w:after="0" w:line="240" w:lineRule="auto"/>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Business Impact Analysis:</w:t>
            </w:r>
          </w:p>
        </w:tc>
        <w:tc>
          <w:tcPr>
            <w:tcW w:w="640" w:type="pct"/>
            <w:tcBorders>
              <w:top w:val="nil"/>
              <w:left w:val="nil"/>
              <w:bottom w:val="single" w:sz="4" w:space="0" w:color="auto"/>
              <w:right w:val="single" w:sz="4" w:space="0" w:color="auto"/>
            </w:tcBorders>
            <w:shd w:val="clear" w:color="000000" w:fill="EFF4FF"/>
            <w:hideMark/>
          </w:tcPr>
          <w:p w14:paraId="10C1D860" w14:textId="77777777" w:rsidR="00985D46" w:rsidRPr="00985D46" w:rsidRDefault="00985D46" w:rsidP="00985D46">
            <w:pPr>
              <w:spacing w:after="0" w:line="240" w:lineRule="auto"/>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779699D0"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r w:rsidR="00985D46" w:rsidRPr="00985D46" w14:paraId="6FF9BE08"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415E0CE2"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w:t>
            </w:r>
          </w:p>
        </w:tc>
        <w:tc>
          <w:tcPr>
            <w:tcW w:w="3506" w:type="pct"/>
            <w:tcBorders>
              <w:top w:val="nil"/>
              <w:left w:val="nil"/>
              <w:bottom w:val="single" w:sz="4" w:space="0" w:color="auto"/>
              <w:right w:val="single" w:sz="4" w:space="0" w:color="auto"/>
            </w:tcBorders>
            <w:shd w:val="clear" w:color="auto" w:fill="auto"/>
            <w:hideMark/>
          </w:tcPr>
          <w:p w14:paraId="50212240"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system must facilitate the comprehensive assessment of business processes to determine their criticality and the impact of disruptions.</w:t>
            </w:r>
          </w:p>
        </w:tc>
        <w:tc>
          <w:tcPr>
            <w:tcW w:w="640" w:type="pct"/>
            <w:tcBorders>
              <w:top w:val="nil"/>
              <w:left w:val="nil"/>
              <w:bottom w:val="single" w:sz="4" w:space="0" w:color="auto"/>
              <w:right w:val="single" w:sz="4" w:space="0" w:color="auto"/>
            </w:tcBorders>
            <w:shd w:val="clear" w:color="auto" w:fill="auto"/>
            <w:noWrap/>
            <w:hideMark/>
          </w:tcPr>
          <w:p w14:paraId="222BDD86"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07DE2338"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D5CBAC9"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5AFC3CEE"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2</w:t>
            </w:r>
          </w:p>
        </w:tc>
        <w:tc>
          <w:tcPr>
            <w:tcW w:w="3506" w:type="pct"/>
            <w:tcBorders>
              <w:top w:val="nil"/>
              <w:left w:val="nil"/>
              <w:bottom w:val="single" w:sz="4" w:space="0" w:color="auto"/>
              <w:right w:val="single" w:sz="4" w:space="0" w:color="auto"/>
            </w:tcBorders>
            <w:shd w:val="clear" w:color="auto" w:fill="auto"/>
            <w:hideMark/>
          </w:tcPr>
          <w:p w14:paraId="19BA5267"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Templates should be provided for conducting BIAs and customizable fields for different types of impact (financial, operational, legal, etc.).</w:t>
            </w:r>
          </w:p>
        </w:tc>
        <w:tc>
          <w:tcPr>
            <w:tcW w:w="640" w:type="pct"/>
            <w:tcBorders>
              <w:top w:val="nil"/>
              <w:left w:val="nil"/>
              <w:bottom w:val="single" w:sz="4" w:space="0" w:color="auto"/>
              <w:right w:val="single" w:sz="4" w:space="0" w:color="auto"/>
            </w:tcBorders>
            <w:shd w:val="clear" w:color="auto" w:fill="auto"/>
            <w:noWrap/>
            <w:hideMark/>
          </w:tcPr>
          <w:p w14:paraId="1BF7E807"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108D0746"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37E65F31"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397666E5"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3</w:t>
            </w:r>
          </w:p>
        </w:tc>
        <w:tc>
          <w:tcPr>
            <w:tcW w:w="3506" w:type="pct"/>
            <w:tcBorders>
              <w:top w:val="nil"/>
              <w:left w:val="nil"/>
              <w:bottom w:val="single" w:sz="4" w:space="0" w:color="auto"/>
              <w:right w:val="single" w:sz="4" w:space="0" w:color="auto"/>
            </w:tcBorders>
            <w:shd w:val="clear" w:color="auto" w:fill="auto"/>
            <w:hideMark/>
          </w:tcPr>
          <w:p w14:paraId="0E5629AC"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system must allow for the estimation of Maximum Tolerable Period of Disruption (MTPD), Recovery Time Objectives (RTO), and Recovery Point Objectives (RPO) for each business process.</w:t>
            </w:r>
          </w:p>
        </w:tc>
        <w:tc>
          <w:tcPr>
            <w:tcW w:w="640" w:type="pct"/>
            <w:tcBorders>
              <w:top w:val="nil"/>
              <w:left w:val="nil"/>
              <w:bottom w:val="single" w:sz="4" w:space="0" w:color="auto"/>
              <w:right w:val="single" w:sz="4" w:space="0" w:color="auto"/>
            </w:tcBorders>
            <w:shd w:val="clear" w:color="auto" w:fill="auto"/>
            <w:noWrap/>
            <w:hideMark/>
          </w:tcPr>
          <w:p w14:paraId="1A897418"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26377092"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7BC75DE6"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1BDE9F96"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4</w:t>
            </w:r>
          </w:p>
        </w:tc>
        <w:tc>
          <w:tcPr>
            <w:tcW w:w="3506" w:type="pct"/>
            <w:tcBorders>
              <w:top w:val="nil"/>
              <w:left w:val="nil"/>
              <w:bottom w:val="single" w:sz="4" w:space="0" w:color="auto"/>
              <w:right w:val="single" w:sz="4" w:space="0" w:color="auto"/>
            </w:tcBorders>
            <w:shd w:val="clear" w:color="auto" w:fill="auto"/>
            <w:hideMark/>
          </w:tcPr>
          <w:p w14:paraId="469D0D97"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It should enable the identification and documentation of interdependencies between business processes, applications, vendors, locations, employees and skills, and other related processes.</w:t>
            </w:r>
          </w:p>
        </w:tc>
        <w:tc>
          <w:tcPr>
            <w:tcW w:w="640" w:type="pct"/>
            <w:tcBorders>
              <w:top w:val="nil"/>
              <w:left w:val="nil"/>
              <w:bottom w:val="single" w:sz="4" w:space="0" w:color="auto"/>
              <w:right w:val="single" w:sz="4" w:space="0" w:color="auto"/>
            </w:tcBorders>
            <w:shd w:val="clear" w:color="auto" w:fill="auto"/>
            <w:noWrap/>
            <w:hideMark/>
          </w:tcPr>
          <w:p w14:paraId="121F3A5E"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530ED9D3"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6E32C75D"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2A6A3020"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5</w:t>
            </w:r>
          </w:p>
        </w:tc>
        <w:tc>
          <w:tcPr>
            <w:tcW w:w="3506" w:type="pct"/>
            <w:tcBorders>
              <w:top w:val="nil"/>
              <w:left w:val="nil"/>
              <w:bottom w:val="single" w:sz="4" w:space="0" w:color="auto"/>
              <w:right w:val="single" w:sz="4" w:space="0" w:color="auto"/>
            </w:tcBorders>
            <w:shd w:val="clear" w:color="auto" w:fill="auto"/>
            <w:hideMark/>
          </w:tcPr>
          <w:p w14:paraId="46C500EF"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solution must have the capability to store and update the Recovery Point Objectives (RPO) for data and system restoration.</w:t>
            </w:r>
          </w:p>
        </w:tc>
        <w:tc>
          <w:tcPr>
            <w:tcW w:w="640" w:type="pct"/>
            <w:tcBorders>
              <w:top w:val="nil"/>
              <w:left w:val="nil"/>
              <w:bottom w:val="single" w:sz="4" w:space="0" w:color="auto"/>
              <w:right w:val="single" w:sz="4" w:space="0" w:color="auto"/>
            </w:tcBorders>
            <w:shd w:val="clear" w:color="auto" w:fill="auto"/>
            <w:noWrap/>
            <w:hideMark/>
          </w:tcPr>
          <w:p w14:paraId="0EC1AB57"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36D6EC44"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95707F1"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2D1732BF"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6</w:t>
            </w:r>
          </w:p>
        </w:tc>
        <w:tc>
          <w:tcPr>
            <w:tcW w:w="3506" w:type="pct"/>
            <w:tcBorders>
              <w:top w:val="nil"/>
              <w:left w:val="nil"/>
              <w:bottom w:val="single" w:sz="4" w:space="0" w:color="auto"/>
              <w:right w:val="single" w:sz="4" w:space="0" w:color="auto"/>
            </w:tcBorders>
            <w:shd w:val="clear" w:color="auto" w:fill="auto"/>
            <w:hideMark/>
          </w:tcPr>
          <w:p w14:paraId="6E029BE1"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system must catalogue all resources required for recovery and continued operations, including human resources, technology, information, facilities, and financial considerations.</w:t>
            </w:r>
          </w:p>
        </w:tc>
        <w:tc>
          <w:tcPr>
            <w:tcW w:w="640" w:type="pct"/>
            <w:tcBorders>
              <w:top w:val="nil"/>
              <w:left w:val="nil"/>
              <w:bottom w:val="single" w:sz="4" w:space="0" w:color="auto"/>
              <w:right w:val="single" w:sz="4" w:space="0" w:color="auto"/>
            </w:tcBorders>
            <w:shd w:val="clear" w:color="auto" w:fill="auto"/>
            <w:noWrap/>
            <w:hideMark/>
          </w:tcPr>
          <w:p w14:paraId="7523066A"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5BB9FE20"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7FB31082"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6AD854C2"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7</w:t>
            </w:r>
          </w:p>
        </w:tc>
        <w:tc>
          <w:tcPr>
            <w:tcW w:w="3506" w:type="pct"/>
            <w:tcBorders>
              <w:top w:val="nil"/>
              <w:left w:val="nil"/>
              <w:bottom w:val="single" w:sz="4" w:space="0" w:color="auto"/>
              <w:right w:val="single" w:sz="4" w:space="0" w:color="auto"/>
            </w:tcBorders>
            <w:shd w:val="clear" w:color="auto" w:fill="auto"/>
            <w:hideMark/>
          </w:tcPr>
          <w:p w14:paraId="083876C3"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should enable users to specify alternate resources and workarounds for each critical process, should primary resources become unavailable.</w:t>
            </w:r>
          </w:p>
        </w:tc>
        <w:tc>
          <w:tcPr>
            <w:tcW w:w="640" w:type="pct"/>
            <w:tcBorders>
              <w:top w:val="nil"/>
              <w:left w:val="nil"/>
              <w:bottom w:val="single" w:sz="4" w:space="0" w:color="auto"/>
              <w:right w:val="single" w:sz="4" w:space="0" w:color="auto"/>
            </w:tcBorders>
            <w:shd w:val="clear" w:color="auto" w:fill="auto"/>
            <w:noWrap/>
            <w:hideMark/>
          </w:tcPr>
          <w:p w14:paraId="7930DA0C"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6229FBF0"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14543F50"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138D41C4"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8</w:t>
            </w:r>
          </w:p>
        </w:tc>
        <w:tc>
          <w:tcPr>
            <w:tcW w:w="3506" w:type="pct"/>
            <w:tcBorders>
              <w:top w:val="nil"/>
              <w:left w:val="nil"/>
              <w:bottom w:val="single" w:sz="4" w:space="0" w:color="auto"/>
              <w:right w:val="single" w:sz="4" w:space="0" w:color="auto"/>
            </w:tcBorders>
            <w:shd w:val="clear" w:color="auto" w:fill="auto"/>
            <w:hideMark/>
          </w:tcPr>
          <w:p w14:paraId="2D20BD78"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system must provide the capability to attach or store documentation related to the Business Impact Analysis.</w:t>
            </w:r>
          </w:p>
        </w:tc>
        <w:tc>
          <w:tcPr>
            <w:tcW w:w="640" w:type="pct"/>
            <w:tcBorders>
              <w:top w:val="nil"/>
              <w:left w:val="nil"/>
              <w:bottom w:val="single" w:sz="4" w:space="0" w:color="auto"/>
              <w:right w:val="single" w:sz="4" w:space="0" w:color="auto"/>
            </w:tcBorders>
            <w:shd w:val="clear" w:color="auto" w:fill="auto"/>
            <w:noWrap/>
            <w:hideMark/>
          </w:tcPr>
          <w:p w14:paraId="5C116016"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21A00E60"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68A40F6F"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7F0D89A5"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9</w:t>
            </w:r>
          </w:p>
        </w:tc>
        <w:tc>
          <w:tcPr>
            <w:tcW w:w="3506" w:type="pct"/>
            <w:tcBorders>
              <w:top w:val="nil"/>
              <w:left w:val="nil"/>
              <w:bottom w:val="single" w:sz="4" w:space="0" w:color="auto"/>
              <w:right w:val="single" w:sz="4" w:space="0" w:color="auto"/>
            </w:tcBorders>
            <w:shd w:val="clear" w:color="auto" w:fill="auto"/>
            <w:hideMark/>
          </w:tcPr>
          <w:p w14:paraId="456677E0"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should provide configurable approval/review process on BIAs. It should also allow reminders, escalation, overdue notification for the BIA's to be responded to in a timely manner.</w:t>
            </w:r>
          </w:p>
        </w:tc>
        <w:tc>
          <w:tcPr>
            <w:tcW w:w="640" w:type="pct"/>
            <w:tcBorders>
              <w:top w:val="nil"/>
              <w:left w:val="nil"/>
              <w:bottom w:val="single" w:sz="4" w:space="0" w:color="auto"/>
              <w:right w:val="single" w:sz="4" w:space="0" w:color="auto"/>
            </w:tcBorders>
            <w:shd w:val="clear" w:color="auto" w:fill="auto"/>
            <w:noWrap/>
            <w:hideMark/>
          </w:tcPr>
          <w:p w14:paraId="0711ACD0"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4C1F5245"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6D7A40C"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78F10484"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10</w:t>
            </w:r>
          </w:p>
        </w:tc>
        <w:tc>
          <w:tcPr>
            <w:tcW w:w="3506" w:type="pct"/>
            <w:tcBorders>
              <w:top w:val="nil"/>
              <w:left w:val="nil"/>
              <w:bottom w:val="single" w:sz="4" w:space="0" w:color="auto"/>
              <w:right w:val="single" w:sz="4" w:space="0" w:color="auto"/>
            </w:tcBorders>
            <w:shd w:val="clear" w:color="auto" w:fill="auto"/>
            <w:hideMark/>
          </w:tcPr>
          <w:p w14:paraId="51472B12"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should allow the storage of historical BIA's against any of the processes.</w:t>
            </w:r>
          </w:p>
        </w:tc>
        <w:tc>
          <w:tcPr>
            <w:tcW w:w="640" w:type="pct"/>
            <w:tcBorders>
              <w:top w:val="nil"/>
              <w:left w:val="nil"/>
              <w:bottom w:val="single" w:sz="4" w:space="0" w:color="auto"/>
              <w:right w:val="single" w:sz="4" w:space="0" w:color="auto"/>
            </w:tcBorders>
            <w:shd w:val="clear" w:color="auto" w:fill="auto"/>
            <w:noWrap/>
            <w:hideMark/>
          </w:tcPr>
          <w:p w14:paraId="324C39C4"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3150E115"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0D4739B" w14:textId="77777777" w:rsidTr="008E0319">
        <w:trPr>
          <w:trHeight w:val="289"/>
        </w:trPr>
        <w:tc>
          <w:tcPr>
            <w:tcW w:w="159" w:type="pct"/>
            <w:tcBorders>
              <w:top w:val="nil"/>
              <w:left w:val="single" w:sz="4" w:space="0" w:color="auto"/>
              <w:bottom w:val="single" w:sz="4" w:space="0" w:color="auto"/>
              <w:right w:val="single" w:sz="4" w:space="0" w:color="auto"/>
            </w:tcBorders>
            <w:shd w:val="clear" w:color="000000" w:fill="EFF4FF"/>
            <w:hideMark/>
          </w:tcPr>
          <w:p w14:paraId="19BD036E" w14:textId="77777777" w:rsidR="00985D46" w:rsidRPr="00985D46" w:rsidRDefault="00985D46" w:rsidP="00985D46">
            <w:pPr>
              <w:spacing w:after="0" w:line="240" w:lineRule="auto"/>
              <w:jc w:val="center"/>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 xml:space="preserve">B </w:t>
            </w:r>
          </w:p>
        </w:tc>
        <w:tc>
          <w:tcPr>
            <w:tcW w:w="3506" w:type="pct"/>
            <w:tcBorders>
              <w:top w:val="nil"/>
              <w:left w:val="nil"/>
              <w:bottom w:val="single" w:sz="4" w:space="0" w:color="auto"/>
              <w:right w:val="single" w:sz="4" w:space="0" w:color="auto"/>
            </w:tcBorders>
            <w:shd w:val="clear" w:color="000000" w:fill="EFF4FF"/>
            <w:hideMark/>
          </w:tcPr>
          <w:p w14:paraId="033946BE" w14:textId="77777777" w:rsidR="00985D46" w:rsidRPr="00985D46" w:rsidRDefault="00985D46" w:rsidP="00985D46">
            <w:pPr>
              <w:spacing w:after="0" w:line="240" w:lineRule="auto"/>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Business Continuity Plans:</w:t>
            </w:r>
          </w:p>
        </w:tc>
        <w:tc>
          <w:tcPr>
            <w:tcW w:w="640" w:type="pct"/>
            <w:tcBorders>
              <w:top w:val="nil"/>
              <w:left w:val="nil"/>
              <w:bottom w:val="single" w:sz="4" w:space="0" w:color="auto"/>
              <w:right w:val="single" w:sz="4" w:space="0" w:color="auto"/>
            </w:tcBorders>
            <w:shd w:val="clear" w:color="000000" w:fill="EFF4FF"/>
            <w:hideMark/>
          </w:tcPr>
          <w:p w14:paraId="475B87D8" w14:textId="77777777" w:rsidR="00985D46" w:rsidRPr="00985D46" w:rsidRDefault="00985D46" w:rsidP="00985D46">
            <w:pPr>
              <w:spacing w:after="0" w:line="240" w:lineRule="auto"/>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1D773261"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E268162"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7163B5E8"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11</w:t>
            </w:r>
          </w:p>
        </w:tc>
        <w:tc>
          <w:tcPr>
            <w:tcW w:w="3506" w:type="pct"/>
            <w:tcBorders>
              <w:top w:val="nil"/>
              <w:left w:val="nil"/>
              <w:bottom w:val="single" w:sz="4" w:space="0" w:color="auto"/>
              <w:right w:val="single" w:sz="4" w:space="0" w:color="auto"/>
            </w:tcBorders>
            <w:shd w:val="clear" w:color="auto" w:fill="auto"/>
            <w:hideMark/>
          </w:tcPr>
          <w:p w14:paraId="194672C1"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system must support the creation and maintenance of comprehensive business continuity plans for each critical business function.</w:t>
            </w:r>
          </w:p>
        </w:tc>
        <w:tc>
          <w:tcPr>
            <w:tcW w:w="640" w:type="pct"/>
            <w:tcBorders>
              <w:top w:val="nil"/>
              <w:left w:val="nil"/>
              <w:bottom w:val="single" w:sz="4" w:space="0" w:color="auto"/>
              <w:right w:val="single" w:sz="4" w:space="0" w:color="auto"/>
            </w:tcBorders>
            <w:shd w:val="clear" w:color="auto" w:fill="auto"/>
            <w:noWrap/>
            <w:hideMark/>
          </w:tcPr>
          <w:p w14:paraId="3EAD23AA"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133E0A86"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67E6A108"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363E6A1D"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12</w:t>
            </w:r>
          </w:p>
        </w:tc>
        <w:tc>
          <w:tcPr>
            <w:tcW w:w="3506" w:type="pct"/>
            <w:tcBorders>
              <w:top w:val="nil"/>
              <w:left w:val="nil"/>
              <w:bottom w:val="single" w:sz="4" w:space="0" w:color="auto"/>
              <w:right w:val="single" w:sz="4" w:space="0" w:color="auto"/>
            </w:tcBorders>
            <w:shd w:val="clear" w:color="auto" w:fill="auto"/>
            <w:hideMark/>
          </w:tcPr>
          <w:p w14:paraId="1379A864"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system must support the ability to create detailed Disaster Recovery Plans (DRP’s) which may be linked to IT services/applications.</w:t>
            </w:r>
          </w:p>
        </w:tc>
        <w:tc>
          <w:tcPr>
            <w:tcW w:w="640" w:type="pct"/>
            <w:tcBorders>
              <w:top w:val="nil"/>
              <w:left w:val="nil"/>
              <w:bottom w:val="single" w:sz="4" w:space="0" w:color="auto"/>
              <w:right w:val="single" w:sz="4" w:space="0" w:color="auto"/>
            </w:tcBorders>
            <w:shd w:val="clear" w:color="auto" w:fill="auto"/>
            <w:noWrap/>
            <w:hideMark/>
          </w:tcPr>
          <w:p w14:paraId="3D3DAD3D"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022BDDBF"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6D9AC365"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15BC960A"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13</w:t>
            </w:r>
          </w:p>
        </w:tc>
        <w:tc>
          <w:tcPr>
            <w:tcW w:w="3506" w:type="pct"/>
            <w:tcBorders>
              <w:top w:val="nil"/>
              <w:left w:val="nil"/>
              <w:bottom w:val="single" w:sz="4" w:space="0" w:color="auto"/>
              <w:right w:val="single" w:sz="4" w:space="0" w:color="auto"/>
            </w:tcBorders>
            <w:shd w:val="clear" w:color="auto" w:fill="auto"/>
            <w:hideMark/>
          </w:tcPr>
          <w:p w14:paraId="7ED4B7D9"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should offer step-by-step guidance for response and recovery activities, including predefined tasks, responsible parties, and communication strategies.</w:t>
            </w:r>
          </w:p>
        </w:tc>
        <w:tc>
          <w:tcPr>
            <w:tcW w:w="640" w:type="pct"/>
            <w:tcBorders>
              <w:top w:val="nil"/>
              <w:left w:val="nil"/>
              <w:bottom w:val="single" w:sz="4" w:space="0" w:color="auto"/>
              <w:right w:val="single" w:sz="4" w:space="0" w:color="auto"/>
            </w:tcBorders>
            <w:shd w:val="clear" w:color="auto" w:fill="auto"/>
            <w:noWrap/>
            <w:hideMark/>
          </w:tcPr>
          <w:p w14:paraId="419E0534"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663A8204"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31EEE11E"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6546E1C4"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14</w:t>
            </w:r>
          </w:p>
        </w:tc>
        <w:tc>
          <w:tcPr>
            <w:tcW w:w="3506" w:type="pct"/>
            <w:tcBorders>
              <w:top w:val="nil"/>
              <w:left w:val="nil"/>
              <w:bottom w:val="single" w:sz="4" w:space="0" w:color="auto"/>
              <w:right w:val="single" w:sz="4" w:space="0" w:color="auto"/>
            </w:tcBorders>
            <w:shd w:val="clear" w:color="auto" w:fill="auto"/>
            <w:hideMark/>
          </w:tcPr>
          <w:p w14:paraId="6B500194"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solution must allow for the attachment of relevant documents, such as site plans, contact lists, and resource requirements.</w:t>
            </w:r>
          </w:p>
        </w:tc>
        <w:tc>
          <w:tcPr>
            <w:tcW w:w="640" w:type="pct"/>
            <w:tcBorders>
              <w:top w:val="nil"/>
              <w:left w:val="nil"/>
              <w:bottom w:val="single" w:sz="4" w:space="0" w:color="auto"/>
              <w:right w:val="single" w:sz="4" w:space="0" w:color="auto"/>
            </w:tcBorders>
            <w:shd w:val="clear" w:color="auto" w:fill="auto"/>
            <w:noWrap/>
            <w:hideMark/>
          </w:tcPr>
          <w:p w14:paraId="775981C0"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3FD38DAC"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3209491E"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343F0960"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lastRenderedPageBreak/>
              <w:t>15</w:t>
            </w:r>
          </w:p>
        </w:tc>
        <w:tc>
          <w:tcPr>
            <w:tcW w:w="3506" w:type="pct"/>
            <w:tcBorders>
              <w:top w:val="nil"/>
              <w:left w:val="nil"/>
              <w:bottom w:val="single" w:sz="4" w:space="0" w:color="auto"/>
              <w:right w:val="single" w:sz="4" w:space="0" w:color="auto"/>
            </w:tcBorders>
            <w:shd w:val="clear" w:color="auto" w:fill="auto"/>
            <w:hideMark/>
          </w:tcPr>
          <w:p w14:paraId="71577AAB"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should enable the linking of BCPs to corresponding Business Processes and Org Hierarchy.</w:t>
            </w:r>
          </w:p>
        </w:tc>
        <w:tc>
          <w:tcPr>
            <w:tcW w:w="640" w:type="pct"/>
            <w:tcBorders>
              <w:top w:val="nil"/>
              <w:left w:val="nil"/>
              <w:bottom w:val="single" w:sz="4" w:space="0" w:color="auto"/>
              <w:right w:val="single" w:sz="4" w:space="0" w:color="auto"/>
            </w:tcBorders>
            <w:shd w:val="clear" w:color="auto" w:fill="auto"/>
            <w:noWrap/>
            <w:hideMark/>
          </w:tcPr>
          <w:p w14:paraId="4409E74F"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4AFB9ED6"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5B085F84"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2946C16B"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16</w:t>
            </w:r>
          </w:p>
        </w:tc>
        <w:tc>
          <w:tcPr>
            <w:tcW w:w="3506" w:type="pct"/>
            <w:tcBorders>
              <w:top w:val="nil"/>
              <w:left w:val="nil"/>
              <w:bottom w:val="single" w:sz="4" w:space="0" w:color="auto"/>
              <w:right w:val="single" w:sz="4" w:space="0" w:color="auto"/>
            </w:tcBorders>
            <w:shd w:val="clear" w:color="auto" w:fill="auto"/>
            <w:hideMark/>
          </w:tcPr>
          <w:p w14:paraId="1A76DE38"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must facilitate the definition and documentation of roles, responsibilities, and escalation protocols for all staff involved in business continuity, ensuring clarity and swift decision-making during a disruption.</w:t>
            </w:r>
          </w:p>
        </w:tc>
        <w:tc>
          <w:tcPr>
            <w:tcW w:w="640" w:type="pct"/>
            <w:tcBorders>
              <w:top w:val="nil"/>
              <w:left w:val="nil"/>
              <w:bottom w:val="single" w:sz="4" w:space="0" w:color="auto"/>
              <w:right w:val="single" w:sz="4" w:space="0" w:color="auto"/>
            </w:tcBorders>
            <w:shd w:val="clear" w:color="auto" w:fill="auto"/>
            <w:noWrap/>
            <w:hideMark/>
          </w:tcPr>
          <w:p w14:paraId="5D37D499"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41E3CBA5"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EFA5025"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6B453E57"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17</w:t>
            </w:r>
          </w:p>
        </w:tc>
        <w:tc>
          <w:tcPr>
            <w:tcW w:w="3506" w:type="pct"/>
            <w:tcBorders>
              <w:top w:val="nil"/>
              <w:left w:val="nil"/>
              <w:bottom w:val="single" w:sz="4" w:space="0" w:color="auto"/>
              <w:right w:val="single" w:sz="4" w:space="0" w:color="auto"/>
            </w:tcBorders>
            <w:shd w:val="clear" w:color="auto" w:fill="auto"/>
            <w:hideMark/>
          </w:tcPr>
          <w:p w14:paraId="5A758551"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should allow the user to define initial response activities.</w:t>
            </w:r>
          </w:p>
        </w:tc>
        <w:tc>
          <w:tcPr>
            <w:tcW w:w="640" w:type="pct"/>
            <w:tcBorders>
              <w:top w:val="nil"/>
              <w:left w:val="nil"/>
              <w:bottom w:val="single" w:sz="4" w:space="0" w:color="auto"/>
              <w:right w:val="single" w:sz="4" w:space="0" w:color="auto"/>
            </w:tcBorders>
            <w:shd w:val="clear" w:color="auto" w:fill="auto"/>
            <w:noWrap/>
            <w:hideMark/>
          </w:tcPr>
          <w:p w14:paraId="69885C0D"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2F404095"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79D048B9"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73E1883C"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18</w:t>
            </w:r>
          </w:p>
        </w:tc>
        <w:tc>
          <w:tcPr>
            <w:tcW w:w="3506" w:type="pct"/>
            <w:tcBorders>
              <w:top w:val="nil"/>
              <w:left w:val="nil"/>
              <w:bottom w:val="single" w:sz="4" w:space="0" w:color="auto"/>
              <w:right w:val="single" w:sz="4" w:space="0" w:color="auto"/>
            </w:tcBorders>
            <w:shd w:val="clear" w:color="auto" w:fill="auto"/>
            <w:hideMark/>
          </w:tcPr>
          <w:p w14:paraId="2E345C1C"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must allow users to specify which business processes, applications, and vendors are covered by each BCP.</w:t>
            </w:r>
          </w:p>
        </w:tc>
        <w:tc>
          <w:tcPr>
            <w:tcW w:w="640" w:type="pct"/>
            <w:tcBorders>
              <w:top w:val="nil"/>
              <w:left w:val="nil"/>
              <w:bottom w:val="single" w:sz="4" w:space="0" w:color="auto"/>
              <w:right w:val="single" w:sz="4" w:space="0" w:color="auto"/>
            </w:tcBorders>
            <w:shd w:val="clear" w:color="auto" w:fill="auto"/>
            <w:noWrap/>
            <w:hideMark/>
          </w:tcPr>
          <w:p w14:paraId="29BE70D2"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09FAE92E"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64381A08"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4682D831"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19</w:t>
            </w:r>
          </w:p>
        </w:tc>
        <w:tc>
          <w:tcPr>
            <w:tcW w:w="3506" w:type="pct"/>
            <w:tcBorders>
              <w:top w:val="nil"/>
              <w:left w:val="nil"/>
              <w:bottom w:val="single" w:sz="4" w:space="0" w:color="auto"/>
              <w:right w:val="single" w:sz="4" w:space="0" w:color="auto"/>
            </w:tcBorders>
            <w:shd w:val="clear" w:color="auto" w:fill="auto"/>
            <w:hideMark/>
          </w:tcPr>
          <w:p w14:paraId="24ACBABA"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should include templates and tools for developing comprehensive communication plans, addressing both internal and external communications.</w:t>
            </w:r>
          </w:p>
        </w:tc>
        <w:tc>
          <w:tcPr>
            <w:tcW w:w="640" w:type="pct"/>
            <w:tcBorders>
              <w:top w:val="nil"/>
              <w:left w:val="nil"/>
              <w:bottom w:val="single" w:sz="4" w:space="0" w:color="auto"/>
              <w:right w:val="single" w:sz="4" w:space="0" w:color="auto"/>
            </w:tcBorders>
            <w:shd w:val="clear" w:color="auto" w:fill="auto"/>
            <w:noWrap/>
            <w:hideMark/>
          </w:tcPr>
          <w:p w14:paraId="11842CC4"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16B621B7"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36847E79"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574B99B8"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20</w:t>
            </w:r>
          </w:p>
        </w:tc>
        <w:tc>
          <w:tcPr>
            <w:tcW w:w="3506" w:type="pct"/>
            <w:tcBorders>
              <w:top w:val="nil"/>
              <w:left w:val="nil"/>
              <w:bottom w:val="single" w:sz="4" w:space="0" w:color="auto"/>
              <w:right w:val="single" w:sz="4" w:space="0" w:color="auto"/>
            </w:tcBorders>
            <w:shd w:val="clear" w:color="auto" w:fill="auto"/>
            <w:hideMark/>
          </w:tcPr>
          <w:p w14:paraId="0A550881"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must provide features to document recovery sites and alternate work locations</w:t>
            </w:r>
          </w:p>
        </w:tc>
        <w:tc>
          <w:tcPr>
            <w:tcW w:w="640" w:type="pct"/>
            <w:tcBorders>
              <w:top w:val="nil"/>
              <w:left w:val="nil"/>
              <w:bottom w:val="single" w:sz="4" w:space="0" w:color="auto"/>
              <w:right w:val="single" w:sz="4" w:space="0" w:color="auto"/>
            </w:tcBorders>
            <w:shd w:val="clear" w:color="auto" w:fill="auto"/>
            <w:noWrap/>
            <w:hideMark/>
          </w:tcPr>
          <w:p w14:paraId="7B33FC79"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1469B654"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16C92B17"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13F4A627"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21</w:t>
            </w:r>
          </w:p>
        </w:tc>
        <w:tc>
          <w:tcPr>
            <w:tcW w:w="3506" w:type="pct"/>
            <w:tcBorders>
              <w:top w:val="nil"/>
              <w:left w:val="nil"/>
              <w:bottom w:val="single" w:sz="4" w:space="0" w:color="auto"/>
              <w:right w:val="single" w:sz="4" w:space="0" w:color="auto"/>
            </w:tcBorders>
            <w:shd w:val="clear" w:color="auto" w:fill="auto"/>
            <w:hideMark/>
          </w:tcPr>
          <w:p w14:paraId="2B96D081"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should outline detailed recovery steps for resuming business operations, including prioritized actions, timelines, responsibility and other details.</w:t>
            </w:r>
          </w:p>
        </w:tc>
        <w:tc>
          <w:tcPr>
            <w:tcW w:w="640" w:type="pct"/>
            <w:tcBorders>
              <w:top w:val="nil"/>
              <w:left w:val="nil"/>
              <w:bottom w:val="single" w:sz="4" w:space="0" w:color="auto"/>
              <w:right w:val="single" w:sz="4" w:space="0" w:color="auto"/>
            </w:tcBorders>
            <w:shd w:val="clear" w:color="auto" w:fill="auto"/>
            <w:noWrap/>
            <w:hideMark/>
          </w:tcPr>
          <w:p w14:paraId="53C9B064"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7B80C9C3"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35E60899"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3E86BE8A"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22</w:t>
            </w:r>
          </w:p>
        </w:tc>
        <w:tc>
          <w:tcPr>
            <w:tcW w:w="3506" w:type="pct"/>
            <w:tcBorders>
              <w:top w:val="nil"/>
              <w:left w:val="nil"/>
              <w:bottom w:val="single" w:sz="4" w:space="0" w:color="auto"/>
              <w:right w:val="single" w:sz="4" w:space="0" w:color="auto"/>
            </w:tcBorders>
            <w:shd w:val="clear" w:color="auto" w:fill="auto"/>
            <w:hideMark/>
          </w:tcPr>
          <w:p w14:paraId="52487BEA"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should have the capability to define multiple templates for various BCP categories.</w:t>
            </w:r>
          </w:p>
        </w:tc>
        <w:tc>
          <w:tcPr>
            <w:tcW w:w="640" w:type="pct"/>
            <w:tcBorders>
              <w:top w:val="nil"/>
              <w:left w:val="nil"/>
              <w:bottom w:val="single" w:sz="4" w:space="0" w:color="auto"/>
              <w:right w:val="single" w:sz="4" w:space="0" w:color="auto"/>
            </w:tcBorders>
            <w:shd w:val="clear" w:color="auto" w:fill="auto"/>
            <w:noWrap/>
            <w:hideMark/>
          </w:tcPr>
          <w:p w14:paraId="41C69A4C"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7B1A2ABA"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7F33A81C"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54E4A621"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23</w:t>
            </w:r>
          </w:p>
        </w:tc>
        <w:tc>
          <w:tcPr>
            <w:tcW w:w="3506" w:type="pct"/>
            <w:tcBorders>
              <w:top w:val="nil"/>
              <w:left w:val="nil"/>
              <w:bottom w:val="single" w:sz="4" w:space="0" w:color="auto"/>
              <w:right w:val="single" w:sz="4" w:space="0" w:color="auto"/>
            </w:tcBorders>
            <w:shd w:val="clear" w:color="auto" w:fill="auto"/>
            <w:hideMark/>
          </w:tcPr>
          <w:p w14:paraId="62C623F1"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must allow the configuration of a flexible workflow for BC Plan review and approval.</w:t>
            </w:r>
          </w:p>
        </w:tc>
        <w:tc>
          <w:tcPr>
            <w:tcW w:w="640" w:type="pct"/>
            <w:tcBorders>
              <w:top w:val="nil"/>
              <w:left w:val="nil"/>
              <w:bottom w:val="single" w:sz="4" w:space="0" w:color="auto"/>
              <w:right w:val="single" w:sz="4" w:space="0" w:color="auto"/>
            </w:tcBorders>
            <w:shd w:val="clear" w:color="auto" w:fill="auto"/>
            <w:noWrap/>
            <w:hideMark/>
          </w:tcPr>
          <w:p w14:paraId="665DBA3A"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34BE2F91"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26FC1BC2"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7BC54396"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24</w:t>
            </w:r>
          </w:p>
        </w:tc>
        <w:tc>
          <w:tcPr>
            <w:tcW w:w="3506" w:type="pct"/>
            <w:tcBorders>
              <w:top w:val="nil"/>
              <w:left w:val="nil"/>
              <w:bottom w:val="single" w:sz="4" w:space="0" w:color="auto"/>
              <w:right w:val="single" w:sz="4" w:space="0" w:color="auto"/>
            </w:tcBorders>
            <w:shd w:val="clear" w:color="auto" w:fill="auto"/>
            <w:hideMark/>
          </w:tcPr>
          <w:p w14:paraId="59BED6CA"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must have the capability to remind the review of all BC Plans based on the frequency set in the plan itself</w:t>
            </w:r>
          </w:p>
        </w:tc>
        <w:tc>
          <w:tcPr>
            <w:tcW w:w="640" w:type="pct"/>
            <w:tcBorders>
              <w:top w:val="nil"/>
              <w:left w:val="nil"/>
              <w:bottom w:val="single" w:sz="4" w:space="0" w:color="auto"/>
              <w:right w:val="single" w:sz="4" w:space="0" w:color="auto"/>
            </w:tcBorders>
            <w:shd w:val="clear" w:color="auto" w:fill="auto"/>
            <w:noWrap/>
            <w:hideMark/>
          </w:tcPr>
          <w:p w14:paraId="0942E29F"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65FC9C11"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18998C8C"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30C1A450"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25</w:t>
            </w:r>
          </w:p>
        </w:tc>
        <w:tc>
          <w:tcPr>
            <w:tcW w:w="3506" w:type="pct"/>
            <w:tcBorders>
              <w:top w:val="nil"/>
              <w:left w:val="nil"/>
              <w:bottom w:val="single" w:sz="4" w:space="0" w:color="auto"/>
              <w:right w:val="single" w:sz="4" w:space="0" w:color="auto"/>
            </w:tcBorders>
            <w:shd w:val="clear" w:color="auto" w:fill="auto"/>
            <w:hideMark/>
          </w:tcPr>
          <w:p w14:paraId="0FC96BCE"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should allow a capability to invoke a BC Plan in case of a Crisis. It should allow the capability to invoke a BC Plan and the workflow for an activated plan should be triggered and relevant notifications should be sent out.</w:t>
            </w:r>
          </w:p>
        </w:tc>
        <w:tc>
          <w:tcPr>
            <w:tcW w:w="640" w:type="pct"/>
            <w:tcBorders>
              <w:top w:val="nil"/>
              <w:left w:val="nil"/>
              <w:bottom w:val="single" w:sz="4" w:space="0" w:color="auto"/>
              <w:right w:val="single" w:sz="4" w:space="0" w:color="auto"/>
            </w:tcBorders>
            <w:shd w:val="clear" w:color="auto" w:fill="auto"/>
            <w:noWrap/>
            <w:hideMark/>
          </w:tcPr>
          <w:p w14:paraId="3D39700A"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5F8BFDEE"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1593AD47" w14:textId="77777777" w:rsidTr="008E0319">
        <w:trPr>
          <w:trHeight w:val="289"/>
        </w:trPr>
        <w:tc>
          <w:tcPr>
            <w:tcW w:w="159" w:type="pct"/>
            <w:tcBorders>
              <w:top w:val="nil"/>
              <w:left w:val="single" w:sz="4" w:space="0" w:color="auto"/>
              <w:bottom w:val="single" w:sz="4" w:space="0" w:color="auto"/>
              <w:right w:val="single" w:sz="4" w:space="0" w:color="auto"/>
            </w:tcBorders>
            <w:shd w:val="clear" w:color="000000" w:fill="EFF4FF"/>
            <w:hideMark/>
          </w:tcPr>
          <w:p w14:paraId="55B19EB7" w14:textId="77777777" w:rsidR="00985D46" w:rsidRPr="00985D46" w:rsidRDefault="00985D46" w:rsidP="00985D46">
            <w:pPr>
              <w:spacing w:after="0" w:line="240" w:lineRule="auto"/>
              <w:jc w:val="center"/>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 xml:space="preserve">C </w:t>
            </w:r>
          </w:p>
        </w:tc>
        <w:tc>
          <w:tcPr>
            <w:tcW w:w="3506" w:type="pct"/>
            <w:tcBorders>
              <w:top w:val="nil"/>
              <w:left w:val="nil"/>
              <w:bottom w:val="single" w:sz="4" w:space="0" w:color="auto"/>
              <w:right w:val="single" w:sz="4" w:space="0" w:color="auto"/>
            </w:tcBorders>
            <w:shd w:val="clear" w:color="000000" w:fill="EFF4FF"/>
            <w:hideMark/>
          </w:tcPr>
          <w:p w14:paraId="1A22B3BD" w14:textId="77777777" w:rsidR="00985D46" w:rsidRPr="00985D46" w:rsidRDefault="00985D46" w:rsidP="00985D46">
            <w:pPr>
              <w:spacing w:after="0" w:line="240" w:lineRule="auto"/>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Exercises:</w:t>
            </w:r>
          </w:p>
        </w:tc>
        <w:tc>
          <w:tcPr>
            <w:tcW w:w="640" w:type="pct"/>
            <w:tcBorders>
              <w:top w:val="nil"/>
              <w:left w:val="nil"/>
              <w:bottom w:val="single" w:sz="4" w:space="0" w:color="auto"/>
              <w:right w:val="single" w:sz="4" w:space="0" w:color="auto"/>
            </w:tcBorders>
            <w:shd w:val="clear" w:color="000000" w:fill="EFF4FF"/>
            <w:hideMark/>
          </w:tcPr>
          <w:p w14:paraId="40562AA8" w14:textId="77777777" w:rsidR="00985D46" w:rsidRPr="00985D46" w:rsidRDefault="00985D46" w:rsidP="00985D46">
            <w:pPr>
              <w:spacing w:after="0" w:line="240" w:lineRule="auto"/>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44AF566F"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61AD31FA"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5D6B452C"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26</w:t>
            </w:r>
          </w:p>
        </w:tc>
        <w:tc>
          <w:tcPr>
            <w:tcW w:w="3506" w:type="pct"/>
            <w:tcBorders>
              <w:top w:val="nil"/>
              <w:left w:val="nil"/>
              <w:bottom w:val="single" w:sz="4" w:space="0" w:color="auto"/>
              <w:right w:val="single" w:sz="4" w:space="0" w:color="auto"/>
            </w:tcBorders>
            <w:shd w:val="clear" w:color="auto" w:fill="auto"/>
            <w:hideMark/>
          </w:tcPr>
          <w:p w14:paraId="774994A7"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system should have functionality to plan, schedule, and document business continuity exercises.</w:t>
            </w:r>
          </w:p>
        </w:tc>
        <w:tc>
          <w:tcPr>
            <w:tcW w:w="640" w:type="pct"/>
            <w:tcBorders>
              <w:top w:val="nil"/>
              <w:left w:val="nil"/>
              <w:bottom w:val="single" w:sz="4" w:space="0" w:color="auto"/>
              <w:right w:val="single" w:sz="4" w:space="0" w:color="auto"/>
            </w:tcBorders>
            <w:shd w:val="clear" w:color="auto" w:fill="auto"/>
            <w:noWrap/>
            <w:hideMark/>
          </w:tcPr>
          <w:p w14:paraId="5CD8CB8B"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04057D86"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2860B702"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4C633BC8"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27</w:t>
            </w:r>
          </w:p>
        </w:tc>
        <w:tc>
          <w:tcPr>
            <w:tcW w:w="3506" w:type="pct"/>
            <w:tcBorders>
              <w:top w:val="nil"/>
              <w:left w:val="nil"/>
              <w:bottom w:val="single" w:sz="4" w:space="0" w:color="auto"/>
              <w:right w:val="single" w:sz="4" w:space="0" w:color="auto"/>
            </w:tcBorders>
            <w:shd w:val="clear" w:color="auto" w:fill="auto"/>
            <w:hideMark/>
          </w:tcPr>
          <w:p w14:paraId="15F93A15"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system should offer customizable templates for various types of exercises, including integration with external simulation tools, for tabletop exercises, walkthroughs, simulations, and full-scale drills.</w:t>
            </w:r>
          </w:p>
        </w:tc>
        <w:tc>
          <w:tcPr>
            <w:tcW w:w="640" w:type="pct"/>
            <w:tcBorders>
              <w:top w:val="nil"/>
              <w:left w:val="nil"/>
              <w:bottom w:val="single" w:sz="4" w:space="0" w:color="auto"/>
              <w:right w:val="single" w:sz="4" w:space="0" w:color="auto"/>
            </w:tcBorders>
            <w:shd w:val="clear" w:color="auto" w:fill="auto"/>
            <w:noWrap/>
            <w:hideMark/>
          </w:tcPr>
          <w:p w14:paraId="1535E39D"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4F69C96A"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94A3F63"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215996DA"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28</w:t>
            </w:r>
          </w:p>
        </w:tc>
        <w:tc>
          <w:tcPr>
            <w:tcW w:w="3506" w:type="pct"/>
            <w:tcBorders>
              <w:top w:val="nil"/>
              <w:left w:val="nil"/>
              <w:bottom w:val="single" w:sz="4" w:space="0" w:color="auto"/>
              <w:right w:val="single" w:sz="4" w:space="0" w:color="auto"/>
            </w:tcBorders>
            <w:shd w:val="clear" w:color="auto" w:fill="auto"/>
            <w:hideMark/>
          </w:tcPr>
          <w:p w14:paraId="04FCFBD8"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system must allow for the specification and documentation of roles and responsibilities for all participants in the exercise, ensuring clarity of action and accountability.</w:t>
            </w:r>
          </w:p>
        </w:tc>
        <w:tc>
          <w:tcPr>
            <w:tcW w:w="640" w:type="pct"/>
            <w:tcBorders>
              <w:top w:val="nil"/>
              <w:left w:val="nil"/>
              <w:bottom w:val="single" w:sz="4" w:space="0" w:color="auto"/>
              <w:right w:val="single" w:sz="4" w:space="0" w:color="auto"/>
            </w:tcBorders>
            <w:shd w:val="clear" w:color="auto" w:fill="auto"/>
            <w:noWrap/>
            <w:hideMark/>
          </w:tcPr>
          <w:p w14:paraId="78564E5B"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2208DE70"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56701B24"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406E847E"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29</w:t>
            </w:r>
          </w:p>
        </w:tc>
        <w:tc>
          <w:tcPr>
            <w:tcW w:w="3506" w:type="pct"/>
            <w:tcBorders>
              <w:top w:val="nil"/>
              <w:left w:val="nil"/>
              <w:bottom w:val="single" w:sz="4" w:space="0" w:color="auto"/>
              <w:right w:val="single" w:sz="4" w:space="0" w:color="auto"/>
            </w:tcBorders>
            <w:shd w:val="clear" w:color="auto" w:fill="auto"/>
            <w:hideMark/>
          </w:tcPr>
          <w:p w14:paraId="6ADDB335"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should provide the capability to associate each exercise with relevant Business Continuity Plans (BCPs).</w:t>
            </w:r>
          </w:p>
        </w:tc>
        <w:tc>
          <w:tcPr>
            <w:tcW w:w="640" w:type="pct"/>
            <w:tcBorders>
              <w:top w:val="nil"/>
              <w:left w:val="nil"/>
              <w:bottom w:val="single" w:sz="4" w:space="0" w:color="auto"/>
              <w:right w:val="single" w:sz="4" w:space="0" w:color="auto"/>
            </w:tcBorders>
            <w:shd w:val="clear" w:color="auto" w:fill="auto"/>
            <w:noWrap/>
            <w:hideMark/>
          </w:tcPr>
          <w:p w14:paraId="5630E580"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2CE1330C"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7CF24A3"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25CE0E5E"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30</w:t>
            </w:r>
          </w:p>
        </w:tc>
        <w:tc>
          <w:tcPr>
            <w:tcW w:w="3506" w:type="pct"/>
            <w:tcBorders>
              <w:top w:val="nil"/>
              <w:left w:val="nil"/>
              <w:bottom w:val="single" w:sz="4" w:space="0" w:color="auto"/>
              <w:right w:val="single" w:sz="4" w:space="0" w:color="auto"/>
            </w:tcBorders>
            <w:shd w:val="clear" w:color="auto" w:fill="auto"/>
            <w:hideMark/>
          </w:tcPr>
          <w:p w14:paraId="6D0A0144"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system must include features to manage and document vendor participation, including expected contributions to the exercise.</w:t>
            </w:r>
          </w:p>
        </w:tc>
        <w:tc>
          <w:tcPr>
            <w:tcW w:w="640" w:type="pct"/>
            <w:tcBorders>
              <w:top w:val="nil"/>
              <w:left w:val="nil"/>
              <w:bottom w:val="single" w:sz="4" w:space="0" w:color="auto"/>
              <w:right w:val="single" w:sz="4" w:space="0" w:color="auto"/>
            </w:tcBorders>
            <w:shd w:val="clear" w:color="auto" w:fill="auto"/>
            <w:noWrap/>
            <w:hideMark/>
          </w:tcPr>
          <w:p w14:paraId="33DF74BB"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1E8DFA7C"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2A933395"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70BD66E4"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31</w:t>
            </w:r>
          </w:p>
        </w:tc>
        <w:tc>
          <w:tcPr>
            <w:tcW w:w="3506" w:type="pct"/>
            <w:tcBorders>
              <w:top w:val="nil"/>
              <w:left w:val="nil"/>
              <w:bottom w:val="single" w:sz="4" w:space="0" w:color="auto"/>
              <w:right w:val="single" w:sz="4" w:space="0" w:color="auto"/>
            </w:tcBorders>
            <w:shd w:val="clear" w:color="auto" w:fill="auto"/>
            <w:hideMark/>
          </w:tcPr>
          <w:p w14:paraId="2D212553"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solution should allow for the creation and documentation of exercise scenarios, defining the objectives, scope, and expected outcomes.</w:t>
            </w:r>
          </w:p>
        </w:tc>
        <w:tc>
          <w:tcPr>
            <w:tcW w:w="640" w:type="pct"/>
            <w:tcBorders>
              <w:top w:val="nil"/>
              <w:left w:val="nil"/>
              <w:bottom w:val="single" w:sz="4" w:space="0" w:color="auto"/>
              <w:right w:val="single" w:sz="4" w:space="0" w:color="auto"/>
            </w:tcBorders>
            <w:shd w:val="clear" w:color="auto" w:fill="auto"/>
            <w:noWrap/>
            <w:hideMark/>
          </w:tcPr>
          <w:p w14:paraId="6BA1BB97"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36A672E9"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1B793D55"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6C2E93EC"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32</w:t>
            </w:r>
          </w:p>
        </w:tc>
        <w:tc>
          <w:tcPr>
            <w:tcW w:w="3506" w:type="pct"/>
            <w:tcBorders>
              <w:top w:val="nil"/>
              <w:left w:val="nil"/>
              <w:bottom w:val="single" w:sz="4" w:space="0" w:color="auto"/>
              <w:right w:val="single" w:sz="4" w:space="0" w:color="auto"/>
            </w:tcBorders>
            <w:shd w:val="clear" w:color="auto" w:fill="auto"/>
            <w:hideMark/>
          </w:tcPr>
          <w:p w14:paraId="51EDB8CC"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must provide tools for pre-exercise impact assessment to predict potential outcomes and prepare for real-life business disruptions.</w:t>
            </w:r>
          </w:p>
        </w:tc>
        <w:tc>
          <w:tcPr>
            <w:tcW w:w="640" w:type="pct"/>
            <w:tcBorders>
              <w:top w:val="nil"/>
              <w:left w:val="nil"/>
              <w:bottom w:val="single" w:sz="4" w:space="0" w:color="auto"/>
              <w:right w:val="single" w:sz="4" w:space="0" w:color="auto"/>
            </w:tcBorders>
            <w:shd w:val="clear" w:color="auto" w:fill="auto"/>
            <w:noWrap/>
            <w:hideMark/>
          </w:tcPr>
          <w:p w14:paraId="27D751E3"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0A6D3AE6"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7A746109"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1532AD10"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33</w:t>
            </w:r>
          </w:p>
        </w:tc>
        <w:tc>
          <w:tcPr>
            <w:tcW w:w="3506" w:type="pct"/>
            <w:tcBorders>
              <w:top w:val="nil"/>
              <w:left w:val="nil"/>
              <w:bottom w:val="single" w:sz="4" w:space="0" w:color="auto"/>
              <w:right w:val="single" w:sz="4" w:space="0" w:color="auto"/>
            </w:tcBorders>
            <w:shd w:val="clear" w:color="auto" w:fill="auto"/>
            <w:hideMark/>
          </w:tcPr>
          <w:p w14:paraId="542607B8"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system should include functionality to create a timeline for each scenario, outlining the sequence of events and anticipated decision points.</w:t>
            </w:r>
          </w:p>
        </w:tc>
        <w:tc>
          <w:tcPr>
            <w:tcW w:w="640" w:type="pct"/>
            <w:tcBorders>
              <w:top w:val="nil"/>
              <w:left w:val="nil"/>
              <w:bottom w:val="single" w:sz="4" w:space="0" w:color="auto"/>
              <w:right w:val="single" w:sz="4" w:space="0" w:color="auto"/>
            </w:tcBorders>
            <w:shd w:val="clear" w:color="auto" w:fill="auto"/>
            <w:noWrap/>
            <w:hideMark/>
          </w:tcPr>
          <w:p w14:paraId="5202ED91"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5560B7B4"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B259F58"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5DBB7EA5"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lastRenderedPageBreak/>
              <w:t>34</w:t>
            </w:r>
          </w:p>
        </w:tc>
        <w:tc>
          <w:tcPr>
            <w:tcW w:w="3506" w:type="pct"/>
            <w:tcBorders>
              <w:top w:val="nil"/>
              <w:left w:val="nil"/>
              <w:bottom w:val="single" w:sz="4" w:space="0" w:color="auto"/>
              <w:right w:val="single" w:sz="4" w:space="0" w:color="auto"/>
            </w:tcBorders>
            <w:shd w:val="clear" w:color="auto" w:fill="auto"/>
            <w:hideMark/>
          </w:tcPr>
          <w:p w14:paraId="7CF65AD3"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must track and record actions taken during the exercise, ensuring that each step is documented for later review.</w:t>
            </w:r>
          </w:p>
        </w:tc>
        <w:tc>
          <w:tcPr>
            <w:tcW w:w="640" w:type="pct"/>
            <w:tcBorders>
              <w:top w:val="nil"/>
              <w:left w:val="nil"/>
              <w:bottom w:val="single" w:sz="4" w:space="0" w:color="auto"/>
              <w:right w:val="single" w:sz="4" w:space="0" w:color="auto"/>
            </w:tcBorders>
            <w:shd w:val="clear" w:color="auto" w:fill="auto"/>
            <w:noWrap/>
            <w:hideMark/>
          </w:tcPr>
          <w:p w14:paraId="12075D85"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3F9B7D60"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24568C61"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7D5EDA24"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35</w:t>
            </w:r>
          </w:p>
        </w:tc>
        <w:tc>
          <w:tcPr>
            <w:tcW w:w="3506" w:type="pct"/>
            <w:tcBorders>
              <w:top w:val="nil"/>
              <w:left w:val="nil"/>
              <w:bottom w:val="single" w:sz="4" w:space="0" w:color="auto"/>
              <w:right w:val="single" w:sz="4" w:space="0" w:color="auto"/>
            </w:tcBorders>
            <w:shd w:val="clear" w:color="auto" w:fill="auto"/>
            <w:hideMark/>
          </w:tcPr>
          <w:p w14:paraId="3AE39BDA"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solution should facilitate the capture and management of feedback and evaluations post-exercise, highlighting areas for improvement.</w:t>
            </w:r>
          </w:p>
        </w:tc>
        <w:tc>
          <w:tcPr>
            <w:tcW w:w="640" w:type="pct"/>
            <w:tcBorders>
              <w:top w:val="nil"/>
              <w:left w:val="nil"/>
              <w:bottom w:val="single" w:sz="4" w:space="0" w:color="auto"/>
              <w:right w:val="single" w:sz="4" w:space="0" w:color="auto"/>
            </w:tcBorders>
            <w:shd w:val="clear" w:color="auto" w:fill="auto"/>
            <w:noWrap/>
            <w:hideMark/>
          </w:tcPr>
          <w:p w14:paraId="48DECEF0"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26B5B7BD"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1CFC6A60"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275419FD"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36</w:t>
            </w:r>
          </w:p>
        </w:tc>
        <w:tc>
          <w:tcPr>
            <w:tcW w:w="3506" w:type="pct"/>
            <w:tcBorders>
              <w:top w:val="nil"/>
              <w:left w:val="nil"/>
              <w:bottom w:val="single" w:sz="4" w:space="0" w:color="auto"/>
              <w:right w:val="single" w:sz="4" w:space="0" w:color="auto"/>
            </w:tcBorders>
            <w:shd w:val="clear" w:color="auto" w:fill="auto"/>
            <w:hideMark/>
          </w:tcPr>
          <w:p w14:paraId="6075D3F4"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system must allow for the setting and assessment of success criteria to evaluate the effectiveness of the exercise and the readiness of the BCPs.</w:t>
            </w:r>
          </w:p>
        </w:tc>
        <w:tc>
          <w:tcPr>
            <w:tcW w:w="640" w:type="pct"/>
            <w:tcBorders>
              <w:top w:val="nil"/>
              <w:left w:val="nil"/>
              <w:bottom w:val="single" w:sz="4" w:space="0" w:color="auto"/>
              <w:right w:val="single" w:sz="4" w:space="0" w:color="auto"/>
            </w:tcBorders>
            <w:shd w:val="clear" w:color="auto" w:fill="auto"/>
            <w:noWrap/>
            <w:hideMark/>
          </w:tcPr>
          <w:p w14:paraId="235117B3"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7907029E"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A90A21E"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1A89ABD6"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37</w:t>
            </w:r>
          </w:p>
        </w:tc>
        <w:tc>
          <w:tcPr>
            <w:tcW w:w="3506" w:type="pct"/>
            <w:tcBorders>
              <w:top w:val="nil"/>
              <w:left w:val="nil"/>
              <w:bottom w:val="single" w:sz="4" w:space="0" w:color="auto"/>
              <w:right w:val="single" w:sz="4" w:space="0" w:color="auto"/>
            </w:tcBorders>
            <w:shd w:val="clear" w:color="auto" w:fill="auto"/>
            <w:hideMark/>
          </w:tcPr>
          <w:p w14:paraId="2E91E4BE"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must allow for recording of exercise outcomes, identifying gaps in plans, recovery activities and tracking improvement actions.</w:t>
            </w:r>
          </w:p>
        </w:tc>
        <w:tc>
          <w:tcPr>
            <w:tcW w:w="640" w:type="pct"/>
            <w:tcBorders>
              <w:top w:val="nil"/>
              <w:left w:val="nil"/>
              <w:bottom w:val="single" w:sz="4" w:space="0" w:color="auto"/>
              <w:right w:val="single" w:sz="4" w:space="0" w:color="auto"/>
            </w:tcBorders>
            <w:shd w:val="clear" w:color="auto" w:fill="auto"/>
            <w:noWrap/>
            <w:hideMark/>
          </w:tcPr>
          <w:p w14:paraId="2E01291D"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7D92FA13"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21008B78"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69A80C12"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38</w:t>
            </w:r>
          </w:p>
        </w:tc>
        <w:tc>
          <w:tcPr>
            <w:tcW w:w="3506" w:type="pct"/>
            <w:tcBorders>
              <w:top w:val="nil"/>
              <w:left w:val="nil"/>
              <w:bottom w:val="single" w:sz="4" w:space="0" w:color="auto"/>
              <w:right w:val="single" w:sz="4" w:space="0" w:color="auto"/>
            </w:tcBorders>
            <w:shd w:val="clear" w:color="auto" w:fill="auto"/>
            <w:hideMark/>
          </w:tcPr>
          <w:p w14:paraId="6EE41110"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should the allow the ability to draft action plans to fix the gaps identified as a part of the exercise.</w:t>
            </w:r>
          </w:p>
        </w:tc>
        <w:tc>
          <w:tcPr>
            <w:tcW w:w="640" w:type="pct"/>
            <w:tcBorders>
              <w:top w:val="nil"/>
              <w:left w:val="nil"/>
              <w:bottom w:val="single" w:sz="4" w:space="0" w:color="auto"/>
              <w:right w:val="single" w:sz="4" w:space="0" w:color="auto"/>
            </w:tcBorders>
            <w:shd w:val="clear" w:color="auto" w:fill="auto"/>
            <w:noWrap/>
            <w:hideMark/>
          </w:tcPr>
          <w:p w14:paraId="3E6F7CB0"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560F38BD"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284AEDCE"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2CF34825"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39</w:t>
            </w:r>
          </w:p>
        </w:tc>
        <w:tc>
          <w:tcPr>
            <w:tcW w:w="3506" w:type="pct"/>
            <w:tcBorders>
              <w:top w:val="nil"/>
              <w:left w:val="nil"/>
              <w:bottom w:val="single" w:sz="4" w:space="0" w:color="auto"/>
              <w:right w:val="single" w:sz="4" w:space="0" w:color="auto"/>
            </w:tcBorders>
            <w:shd w:val="clear" w:color="auto" w:fill="auto"/>
            <w:hideMark/>
          </w:tcPr>
          <w:p w14:paraId="0C238D36"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must allow the configuration of a flexible workflow for the Exercise review and approval</w:t>
            </w:r>
          </w:p>
        </w:tc>
        <w:tc>
          <w:tcPr>
            <w:tcW w:w="640" w:type="pct"/>
            <w:tcBorders>
              <w:top w:val="nil"/>
              <w:left w:val="nil"/>
              <w:bottom w:val="single" w:sz="4" w:space="0" w:color="auto"/>
              <w:right w:val="single" w:sz="4" w:space="0" w:color="auto"/>
            </w:tcBorders>
            <w:shd w:val="clear" w:color="auto" w:fill="auto"/>
            <w:noWrap/>
            <w:hideMark/>
          </w:tcPr>
          <w:p w14:paraId="4AECF4F5"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7F7E3883"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53E75047"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5D91C72F"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40</w:t>
            </w:r>
          </w:p>
        </w:tc>
        <w:tc>
          <w:tcPr>
            <w:tcW w:w="3506" w:type="pct"/>
            <w:tcBorders>
              <w:top w:val="nil"/>
              <w:left w:val="nil"/>
              <w:bottom w:val="single" w:sz="4" w:space="0" w:color="auto"/>
              <w:right w:val="single" w:sz="4" w:space="0" w:color="auto"/>
            </w:tcBorders>
            <w:shd w:val="clear" w:color="auto" w:fill="auto"/>
            <w:hideMark/>
          </w:tcPr>
          <w:p w14:paraId="3C933DA0"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system should include features that enables comprehensive recording of all details related to crisis events, encompassing the description of the event, recovery steps taken, subsequent improvement actions, and lessons learned.</w:t>
            </w:r>
          </w:p>
        </w:tc>
        <w:tc>
          <w:tcPr>
            <w:tcW w:w="640" w:type="pct"/>
            <w:tcBorders>
              <w:top w:val="nil"/>
              <w:left w:val="nil"/>
              <w:bottom w:val="single" w:sz="4" w:space="0" w:color="auto"/>
              <w:right w:val="single" w:sz="4" w:space="0" w:color="auto"/>
            </w:tcBorders>
            <w:shd w:val="clear" w:color="auto" w:fill="auto"/>
            <w:noWrap/>
            <w:hideMark/>
          </w:tcPr>
          <w:p w14:paraId="77AFFE03"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35B09F98"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E12057C" w14:textId="77777777" w:rsidTr="008E0319">
        <w:trPr>
          <w:trHeight w:val="289"/>
        </w:trPr>
        <w:tc>
          <w:tcPr>
            <w:tcW w:w="159" w:type="pct"/>
            <w:tcBorders>
              <w:top w:val="nil"/>
              <w:left w:val="single" w:sz="4" w:space="0" w:color="auto"/>
              <w:bottom w:val="single" w:sz="4" w:space="0" w:color="auto"/>
              <w:right w:val="single" w:sz="4" w:space="0" w:color="auto"/>
            </w:tcBorders>
            <w:shd w:val="clear" w:color="000000" w:fill="EFF4FF"/>
            <w:hideMark/>
          </w:tcPr>
          <w:p w14:paraId="6BFF8743" w14:textId="77777777" w:rsidR="00985D46" w:rsidRPr="00985D46" w:rsidRDefault="00985D46" w:rsidP="00985D46">
            <w:pPr>
              <w:spacing w:after="0" w:line="240" w:lineRule="auto"/>
              <w:jc w:val="center"/>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D</w:t>
            </w:r>
          </w:p>
        </w:tc>
        <w:tc>
          <w:tcPr>
            <w:tcW w:w="3506" w:type="pct"/>
            <w:tcBorders>
              <w:top w:val="nil"/>
              <w:left w:val="nil"/>
              <w:bottom w:val="single" w:sz="4" w:space="0" w:color="auto"/>
              <w:right w:val="single" w:sz="4" w:space="0" w:color="auto"/>
            </w:tcBorders>
            <w:shd w:val="clear" w:color="000000" w:fill="EFF4FF"/>
            <w:hideMark/>
          </w:tcPr>
          <w:p w14:paraId="44F4FC84" w14:textId="77777777" w:rsidR="00985D46" w:rsidRPr="00985D46" w:rsidRDefault="00985D46" w:rsidP="00985D46">
            <w:pPr>
              <w:spacing w:after="0" w:line="240" w:lineRule="auto"/>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BCM Reporting:</w:t>
            </w:r>
          </w:p>
        </w:tc>
        <w:tc>
          <w:tcPr>
            <w:tcW w:w="640" w:type="pct"/>
            <w:tcBorders>
              <w:top w:val="nil"/>
              <w:left w:val="nil"/>
              <w:bottom w:val="single" w:sz="4" w:space="0" w:color="auto"/>
              <w:right w:val="single" w:sz="4" w:space="0" w:color="auto"/>
            </w:tcBorders>
            <w:shd w:val="clear" w:color="000000" w:fill="EFF4FF"/>
            <w:hideMark/>
          </w:tcPr>
          <w:p w14:paraId="05883271" w14:textId="77777777" w:rsidR="00985D46" w:rsidRPr="00985D46" w:rsidRDefault="00985D46" w:rsidP="00985D46">
            <w:pPr>
              <w:spacing w:after="0" w:line="240" w:lineRule="auto"/>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5503CE66"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6A89754A"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64692522"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41</w:t>
            </w:r>
          </w:p>
        </w:tc>
        <w:tc>
          <w:tcPr>
            <w:tcW w:w="3506" w:type="pct"/>
            <w:tcBorders>
              <w:top w:val="nil"/>
              <w:left w:val="nil"/>
              <w:bottom w:val="single" w:sz="4" w:space="0" w:color="auto"/>
              <w:right w:val="single" w:sz="4" w:space="0" w:color="auto"/>
            </w:tcBorders>
            <w:shd w:val="clear" w:color="000000" w:fill="FFFFFF"/>
            <w:hideMark/>
          </w:tcPr>
          <w:p w14:paraId="30C2874F"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In view if the regulatory expectations, as a mandatory requirement for bank, the system should generate BCM reporting in various formats including MS Word, PowerPoint, Excel, and PDF with necessary branding as per Bank's expectation.</w:t>
            </w:r>
          </w:p>
        </w:tc>
        <w:tc>
          <w:tcPr>
            <w:tcW w:w="640" w:type="pct"/>
            <w:tcBorders>
              <w:top w:val="nil"/>
              <w:left w:val="nil"/>
              <w:bottom w:val="single" w:sz="4" w:space="0" w:color="auto"/>
              <w:right w:val="single" w:sz="4" w:space="0" w:color="auto"/>
            </w:tcBorders>
            <w:shd w:val="clear" w:color="auto" w:fill="auto"/>
            <w:noWrap/>
            <w:hideMark/>
          </w:tcPr>
          <w:p w14:paraId="31CDA224"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38D1FAA6"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30ED527B" w14:textId="77777777" w:rsidTr="008E0319">
        <w:trPr>
          <w:trHeight w:val="300"/>
        </w:trPr>
        <w:tc>
          <w:tcPr>
            <w:tcW w:w="4305" w:type="pct"/>
            <w:gridSpan w:val="3"/>
            <w:tcBorders>
              <w:top w:val="single" w:sz="4" w:space="0" w:color="auto"/>
              <w:left w:val="single" w:sz="4" w:space="0" w:color="auto"/>
              <w:bottom w:val="single" w:sz="4" w:space="0" w:color="auto"/>
              <w:right w:val="single" w:sz="4" w:space="0" w:color="auto"/>
            </w:tcBorders>
            <w:shd w:val="clear" w:color="000000" w:fill="333F4F"/>
            <w:noWrap/>
            <w:hideMark/>
          </w:tcPr>
          <w:p w14:paraId="3665808F" w14:textId="77777777" w:rsidR="00985D46" w:rsidRPr="00985D46" w:rsidRDefault="00985D46" w:rsidP="00985D46">
            <w:pPr>
              <w:spacing w:after="0" w:line="240" w:lineRule="auto"/>
              <w:jc w:val="center"/>
              <w:rPr>
                <w:rFonts w:ascii="Calibri" w:eastAsia="Times New Roman" w:hAnsi="Calibri" w:cs="Calibri"/>
                <w:b/>
                <w:bCs/>
                <w:color w:val="FFFFFF"/>
                <w:sz w:val="20"/>
                <w:szCs w:val="20"/>
                <w:lang w:val="en-GB" w:eastAsia="en-GB"/>
              </w:rPr>
            </w:pPr>
            <w:r w:rsidRPr="00985D46">
              <w:rPr>
                <w:rFonts w:ascii="Calibri" w:eastAsia="Times New Roman" w:hAnsi="Calibri" w:cs="Calibri"/>
                <w:b/>
                <w:bCs/>
                <w:color w:val="FFFFFF"/>
                <w:sz w:val="20"/>
                <w:szCs w:val="20"/>
                <w:lang w:val="en-GB" w:eastAsia="en-GB"/>
              </w:rPr>
              <w:t>Incident Management</w:t>
            </w:r>
          </w:p>
        </w:tc>
        <w:tc>
          <w:tcPr>
            <w:tcW w:w="695" w:type="pct"/>
            <w:tcBorders>
              <w:top w:val="nil"/>
              <w:left w:val="nil"/>
              <w:bottom w:val="single" w:sz="4" w:space="0" w:color="auto"/>
              <w:right w:val="single" w:sz="4" w:space="0" w:color="auto"/>
            </w:tcBorders>
            <w:shd w:val="clear" w:color="auto" w:fill="auto"/>
            <w:hideMark/>
          </w:tcPr>
          <w:p w14:paraId="6F01BE45"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309B2EBA" w14:textId="77777777" w:rsidTr="008E0319">
        <w:trPr>
          <w:trHeight w:val="289"/>
        </w:trPr>
        <w:tc>
          <w:tcPr>
            <w:tcW w:w="159" w:type="pct"/>
            <w:tcBorders>
              <w:top w:val="nil"/>
              <w:left w:val="single" w:sz="4" w:space="0" w:color="auto"/>
              <w:bottom w:val="single" w:sz="4" w:space="0" w:color="auto"/>
              <w:right w:val="single" w:sz="4" w:space="0" w:color="auto"/>
            </w:tcBorders>
            <w:shd w:val="clear" w:color="000000" w:fill="EFF4FF"/>
            <w:hideMark/>
          </w:tcPr>
          <w:p w14:paraId="1B820470" w14:textId="77777777" w:rsidR="00985D46" w:rsidRPr="00985D46" w:rsidRDefault="00985D46" w:rsidP="00985D46">
            <w:pPr>
              <w:spacing w:after="0" w:line="240" w:lineRule="auto"/>
              <w:jc w:val="center"/>
              <w:rPr>
                <w:rFonts w:ascii="Calibri" w:eastAsia="Times New Roman" w:hAnsi="Calibri" w:cs="Calibri"/>
                <w:b/>
                <w:bCs/>
                <w:sz w:val="20"/>
                <w:szCs w:val="20"/>
                <w:lang w:val="en-GB" w:eastAsia="en-GB"/>
              </w:rPr>
            </w:pPr>
            <w:r w:rsidRPr="00985D46">
              <w:rPr>
                <w:rFonts w:ascii="Calibri" w:eastAsia="Times New Roman" w:hAnsi="Calibri" w:cs="Calibri"/>
                <w:b/>
                <w:bCs/>
                <w:sz w:val="20"/>
                <w:szCs w:val="20"/>
                <w:lang w:val="en-GB" w:eastAsia="en-GB"/>
              </w:rPr>
              <w:t>E</w:t>
            </w:r>
          </w:p>
        </w:tc>
        <w:tc>
          <w:tcPr>
            <w:tcW w:w="3506" w:type="pct"/>
            <w:tcBorders>
              <w:top w:val="nil"/>
              <w:left w:val="nil"/>
              <w:bottom w:val="single" w:sz="4" w:space="0" w:color="auto"/>
              <w:right w:val="single" w:sz="4" w:space="0" w:color="auto"/>
            </w:tcBorders>
            <w:shd w:val="clear" w:color="000000" w:fill="EFF4FF"/>
            <w:hideMark/>
          </w:tcPr>
          <w:p w14:paraId="65F108AA" w14:textId="77777777" w:rsidR="00985D46" w:rsidRPr="00985D46" w:rsidRDefault="00985D46" w:rsidP="00985D46">
            <w:pPr>
              <w:spacing w:after="0" w:line="240" w:lineRule="auto"/>
              <w:rPr>
                <w:rFonts w:ascii="Calibri" w:eastAsia="Times New Roman" w:hAnsi="Calibri" w:cs="Calibri"/>
                <w:b/>
                <w:bCs/>
                <w:sz w:val="20"/>
                <w:szCs w:val="20"/>
                <w:lang w:val="en-GB" w:eastAsia="en-GB"/>
              </w:rPr>
            </w:pPr>
            <w:r w:rsidRPr="00985D46">
              <w:rPr>
                <w:rFonts w:ascii="Calibri" w:eastAsia="Times New Roman" w:hAnsi="Calibri" w:cs="Calibri"/>
                <w:b/>
                <w:bCs/>
                <w:sz w:val="20"/>
                <w:szCs w:val="20"/>
                <w:lang w:val="en-GB" w:eastAsia="en-GB"/>
              </w:rPr>
              <w:t>Dynamic Incident Submission:</w:t>
            </w:r>
          </w:p>
        </w:tc>
        <w:tc>
          <w:tcPr>
            <w:tcW w:w="640" w:type="pct"/>
            <w:tcBorders>
              <w:top w:val="nil"/>
              <w:left w:val="nil"/>
              <w:bottom w:val="single" w:sz="4" w:space="0" w:color="auto"/>
              <w:right w:val="single" w:sz="4" w:space="0" w:color="auto"/>
            </w:tcBorders>
            <w:shd w:val="clear" w:color="000000" w:fill="EFF4FF"/>
            <w:hideMark/>
          </w:tcPr>
          <w:p w14:paraId="6AE642A3" w14:textId="77777777" w:rsidR="00985D46" w:rsidRPr="00985D46" w:rsidRDefault="00985D46" w:rsidP="00985D46">
            <w:pPr>
              <w:spacing w:after="0" w:line="240" w:lineRule="auto"/>
              <w:rPr>
                <w:rFonts w:ascii="Calibri" w:eastAsia="Times New Roman" w:hAnsi="Calibri" w:cs="Calibri"/>
                <w:b/>
                <w:bCs/>
                <w:sz w:val="20"/>
                <w:szCs w:val="20"/>
                <w:lang w:val="en-GB" w:eastAsia="en-GB"/>
              </w:rPr>
            </w:pPr>
            <w:r w:rsidRPr="00985D46">
              <w:rPr>
                <w:rFonts w:ascii="Calibri" w:eastAsia="Times New Roman" w:hAnsi="Calibri" w:cs="Calibri"/>
                <w:b/>
                <w:bCs/>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1E976219"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878C6BB"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4C5C60A6"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w:t>
            </w:r>
          </w:p>
        </w:tc>
        <w:tc>
          <w:tcPr>
            <w:tcW w:w="3506" w:type="pct"/>
            <w:tcBorders>
              <w:top w:val="nil"/>
              <w:left w:val="nil"/>
              <w:bottom w:val="single" w:sz="4" w:space="0" w:color="auto"/>
              <w:right w:val="single" w:sz="4" w:space="0" w:color="auto"/>
            </w:tcBorders>
            <w:shd w:val="clear" w:color="auto" w:fill="auto"/>
            <w:hideMark/>
          </w:tcPr>
          <w:p w14:paraId="0EF49A4C"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must offer a dynamic incident reporting form with a variety of configurable fields including text, numerical, date/time, dropdowns, checkboxes, radio buttons, lookup fields, and rich text for detailed descriptions.</w:t>
            </w:r>
          </w:p>
        </w:tc>
        <w:tc>
          <w:tcPr>
            <w:tcW w:w="640" w:type="pct"/>
            <w:tcBorders>
              <w:top w:val="nil"/>
              <w:left w:val="nil"/>
              <w:bottom w:val="single" w:sz="4" w:space="0" w:color="auto"/>
              <w:right w:val="single" w:sz="4" w:space="0" w:color="auto"/>
            </w:tcBorders>
            <w:shd w:val="clear" w:color="auto" w:fill="auto"/>
            <w:noWrap/>
            <w:hideMark/>
          </w:tcPr>
          <w:p w14:paraId="58D00EDA"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40D6B8B5"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7A85B949"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1C6CB8A5"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2</w:t>
            </w:r>
          </w:p>
        </w:tc>
        <w:tc>
          <w:tcPr>
            <w:tcW w:w="3506" w:type="pct"/>
            <w:tcBorders>
              <w:top w:val="nil"/>
              <w:left w:val="nil"/>
              <w:bottom w:val="single" w:sz="4" w:space="0" w:color="auto"/>
              <w:right w:val="single" w:sz="4" w:space="0" w:color="auto"/>
            </w:tcBorders>
            <w:shd w:val="clear" w:color="auto" w:fill="auto"/>
            <w:hideMark/>
          </w:tcPr>
          <w:p w14:paraId="11F45B13"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should adapt incident reporting forms based on user-selected categories to present only the relevant fields, streamlining the submission process.</w:t>
            </w:r>
          </w:p>
        </w:tc>
        <w:tc>
          <w:tcPr>
            <w:tcW w:w="640" w:type="pct"/>
            <w:tcBorders>
              <w:top w:val="nil"/>
              <w:left w:val="nil"/>
              <w:bottom w:val="single" w:sz="4" w:space="0" w:color="auto"/>
              <w:right w:val="single" w:sz="4" w:space="0" w:color="auto"/>
            </w:tcBorders>
            <w:shd w:val="clear" w:color="auto" w:fill="auto"/>
            <w:noWrap/>
            <w:hideMark/>
          </w:tcPr>
          <w:p w14:paraId="6656A62A"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2531974A"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59986A0D"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772229B1"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3</w:t>
            </w:r>
          </w:p>
        </w:tc>
        <w:tc>
          <w:tcPr>
            <w:tcW w:w="3506" w:type="pct"/>
            <w:tcBorders>
              <w:top w:val="nil"/>
              <w:left w:val="nil"/>
              <w:bottom w:val="single" w:sz="4" w:space="0" w:color="auto"/>
              <w:right w:val="single" w:sz="4" w:space="0" w:color="auto"/>
            </w:tcBorders>
            <w:shd w:val="clear" w:color="auto" w:fill="auto"/>
            <w:hideMark/>
          </w:tcPr>
          <w:p w14:paraId="74A65506"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must allow conditional visibility of form fields, tailored by input in preceding fields to ensure form relevance.</w:t>
            </w:r>
          </w:p>
        </w:tc>
        <w:tc>
          <w:tcPr>
            <w:tcW w:w="640" w:type="pct"/>
            <w:tcBorders>
              <w:top w:val="nil"/>
              <w:left w:val="nil"/>
              <w:bottom w:val="single" w:sz="4" w:space="0" w:color="auto"/>
              <w:right w:val="single" w:sz="4" w:space="0" w:color="auto"/>
            </w:tcBorders>
            <w:shd w:val="clear" w:color="auto" w:fill="auto"/>
            <w:noWrap/>
            <w:hideMark/>
          </w:tcPr>
          <w:p w14:paraId="2C18AC69"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499AFAE8"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6D895A48"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47295169"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4</w:t>
            </w:r>
          </w:p>
        </w:tc>
        <w:tc>
          <w:tcPr>
            <w:tcW w:w="3506" w:type="pct"/>
            <w:tcBorders>
              <w:top w:val="nil"/>
              <w:left w:val="nil"/>
              <w:bottom w:val="single" w:sz="4" w:space="0" w:color="auto"/>
              <w:right w:val="single" w:sz="4" w:space="0" w:color="auto"/>
            </w:tcBorders>
            <w:shd w:val="clear" w:color="auto" w:fill="auto"/>
            <w:hideMark/>
          </w:tcPr>
          <w:p w14:paraId="1724F713"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Each form field should provide descriptive tooltips, offering immediate, context-specific guidance.</w:t>
            </w:r>
          </w:p>
        </w:tc>
        <w:tc>
          <w:tcPr>
            <w:tcW w:w="640" w:type="pct"/>
            <w:tcBorders>
              <w:top w:val="nil"/>
              <w:left w:val="nil"/>
              <w:bottom w:val="single" w:sz="4" w:space="0" w:color="auto"/>
              <w:right w:val="single" w:sz="4" w:space="0" w:color="auto"/>
            </w:tcBorders>
            <w:shd w:val="clear" w:color="auto" w:fill="auto"/>
            <w:noWrap/>
            <w:hideMark/>
          </w:tcPr>
          <w:p w14:paraId="002743C9"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7D602C1D"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254E397A"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49596D39"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5</w:t>
            </w:r>
          </w:p>
        </w:tc>
        <w:tc>
          <w:tcPr>
            <w:tcW w:w="3506" w:type="pct"/>
            <w:tcBorders>
              <w:top w:val="nil"/>
              <w:left w:val="nil"/>
              <w:bottom w:val="single" w:sz="4" w:space="0" w:color="auto"/>
              <w:right w:val="single" w:sz="4" w:space="0" w:color="auto"/>
            </w:tcBorders>
            <w:shd w:val="clear" w:color="auto" w:fill="auto"/>
            <w:hideMark/>
          </w:tcPr>
          <w:p w14:paraId="06C0014C"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Users should be able to select from pre-defined incident reporting templates for consistency in data collection.</w:t>
            </w:r>
          </w:p>
        </w:tc>
        <w:tc>
          <w:tcPr>
            <w:tcW w:w="640" w:type="pct"/>
            <w:tcBorders>
              <w:top w:val="nil"/>
              <w:left w:val="nil"/>
              <w:bottom w:val="single" w:sz="4" w:space="0" w:color="auto"/>
              <w:right w:val="single" w:sz="4" w:space="0" w:color="auto"/>
            </w:tcBorders>
            <w:shd w:val="clear" w:color="auto" w:fill="auto"/>
            <w:noWrap/>
            <w:hideMark/>
          </w:tcPr>
          <w:p w14:paraId="0EFE6F11"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51F7AA54"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6883B5E" w14:textId="77777777" w:rsidTr="008E0319">
        <w:trPr>
          <w:trHeight w:val="289"/>
        </w:trPr>
        <w:tc>
          <w:tcPr>
            <w:tcW w:w="159" w:type="pct"/>
            <w:tcBorders>
              <w:top w:val="nil"/>
              <w:left w:val="single" w:sz="4" w:space="0" w:color="auto"/>
              <w:bottom w:val="single" w:sz="4" w:space="0" w:color="auto"/>
              <w:right w:val="single" w:sz="4" w:space="0" w:color="auto"/>
            </w:tcBorders>
            <w:shd w:val="clear" w:color="000000" w:fill="EFF4FF"/>
            <w:hideMark/>
          </w:tcPr>
          <w:p w14:paraId="44FFB272" w14:textId="77777777" w:rsidR="00985D46" w:rsidRPr="00985D46" w:rsidRDefault="00985D46" w:rsidP="00985D46">
            <w:pPr>
              <w:spacing w:after="0" w:line="240" w:lineRule="auto"/>
              <w:jc w:val="center"/>
              <w:rPr>
                <w:rFonts w:ascii="Calibri" w:eastAsia="Times New Roman" w:hAnsi="Calibri" w:cs="Calibri"/>
                <w:b/>
                <w:bCs/>
                <w:sz w:val="20"/>
                <w:szCs w:val="20"/>
                <w:lang w:val="en-GB" w:eastAsia="en-GB"/>
              </w:rPr>
            </w:pPr>
            <w:r w:rsidRPr="00985D46">
              <w:rPr>
                <w:rFonts w:ascii="Calibri" w:eastAsia="Times New Roman" w:hAnsi="Calibri" w:cs="Calibri"/>
                <w:b/>
                <w:bCs/>
                <w:sz w:val="20"/>
                <w:szCs w:val="20"/>
                <w:lang w:val="en-GB" w:eastAsia="en-GB"/>
              </w:rPr>
              <w:t>F</w:t>
            </w:r>
          </w:p>
        </w:tc>
        <w:tc>
          <w:tcPr>
            <w:tcW w:w="3506" w:type="pct"/>
            <w:tcBorders>
              <w:top w:val="nil"/>
              <w:left w:val="nil"/>
              <w:bottom w:val="single" w:sz="4" w:space="0" w:color="auto"/>
              <w:right w:val="single" w:sz="4" w:space="0" w:color="auto"/>
            </w:tcBorders>
            <w:shd w:val="clear" w:color="000000" w:fill="EFF4FF"/>
            <w:hideMark/>
          </w:tcPr>
          <w:p w14:paraId="206D90F0" w14:textId="77777777" w:rsidR="00985D46" w:rsidRPr="00985D46" w:rsidRDefault="00985D46" w:rsidP="00985D46">
            <w:pPr>
              <w:spacing w:after="0" w:line="240" w:lineRule="auto"/>
              <w:rPr>
                <w:rFonts w:ascii="Calibri" w:eastAsia="Times New Roman" w:hAnsi="Calibri" w:cs="Calibri"/>
                <w:b/>
                <w:bCs/>
                <w:sz w:val="20"/>
                <w:szCs w:val="20"/>
                <w:lang w:val="en-GB" w:eastAsia="en-GB"/>
              </w:rPr>
            </w:pPr>
            <w:r w:rsidRPr="00985D46">
              <w:rPr>
                <w:rFonts w:ascii="Calibri" w:eastAsia="Times New Roman" w:hAnsi="Calibri" w:cs="Calibri"/>
                <w:b/>
                <w:bCs/>
                <w:sz w:val="20"/>
                <w:szCs w:val="20"/>
                <w:lang w:val="en-GB" w:eastAsia="en-GB"/>
              </w:rPr>
              <w:t>Adaptive Workflows:</w:t>
            </w:r>
          </w:p>
        </w:tc>
        <w:tc>
          <w:tcPr>
            <w:tcW w:w="640" w:type="pct"/>
            <w:tcBorders>
              <w:top w:val="nil"/>
              <w:left w:val="nil"/>
              <w:bottom w:val="single" w:sz="4" w:space="0" w:color="auto"/>
              <w:right w:val="single" w:sz="4" w:space="0" w:color="auto"/>
            </w:tcBorders>
            <w:shd w:val="clear" w:color="000000" w:fill="EFF4FF"/>
            <w:hideMark/>
          </w:tcPr>
          <w:p w14:paraId="265E12A4" w14:textId="77777777" w:rsidR="00985D46" w:rsidRPr="00985D46" w:rsidRDefault="00985D46" w:rsidP="00985D46">
            <w:pPr>
              <w:spacing w:after="0" w:line="240" w:lineRule="auto"/>
              <w:rPr>
                <w:rFonts w:ascii="Calibri" w:eastAsia="Times New Roman" w:hAnsi="Calibri" w:cs="Calibri"/>
                <w:b/>
                <w:bCs/>
                <w:sz w:val="20"/>
                <w:szCs w:val="20"/>
                <w:lang w:val="en-GB" w:eastAsia="en-GB"/>
              </w:rPr>
            </w:pPr>
            <w:r w:rsidRPr="00985D46">
              <w:rPr>
                <w:rFonts w:ascii="Calibri" w:eastAsia="Times New Roman" w:hAnsi="Calibri" w:cs="Calibri"/>
                <w:b/>
                <w:bCs/>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01FDF40D"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147BCC52"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335A31CF"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6</w:t>
            </w:r>
          </w:p>
        </w:tc>
        <w:tc>
          <w:tcPr>
            <w:tcW w:w="3506" w:type="pct"/>
            <w:tcBorders>
              <w:top w:val="nil"/>
              <w:left w:val="nil"/>
              <w:bottom w:val="single" w:sz="4" w:space="0" w:color="auto"/>
              <w:right w:val="single" w:sz="4" w:space="0" w:color="auto"/>
            </w:tcBorders>
            <w:shd w:val="clear" w:color="auto" w:fill="auto"/>
            <w:hideMark/>
          </w:tcPr>
          <w:p w14:paraId="2635A690"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Incident categories must determine the management workflow, routing incidents to the correct resolution paths and teams.</w:t>
            </w:r>
          </w:p>
        </w:tc>
        <w:tc>
          <w:tcPr>
            <w:tcW w:w="640" w:type="pct"/>
            <w:tcBorders>
              <w:top w:val="nil"/>
              <w:left w:val="nil"/>
              <w:bottom w:val="single" w:sz="4" w:space="0" w:color="auto"/>
              <w:right w:val="single" w:sz="4" w:space="0" w:color="auto"/>
            </w:tcBorders>
            <w:shd w:val="clear" w:color="auto" w:fill="auto"/>
            <w:noWrap/>
            <w:hideMark/>
          </w:tcPr>
          <w:p w14:paraId="73439AC5"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03955F75"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327069E"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6C5A1DD5"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7</w:t>
            </w:r>
          </w:p>
        </w:tc>
        <w:tc>
          <w:tcPr>
            <w:tcW w:w="3506" w:type="pct"/>
            <w:tcBorders>
              <w:top w:val="nil"/>
              <w:left w:val="nil"/>
              <w:bottom w:val="single" w:sz="4" w:space="0" w:color="auto"/>
              <w:right w:val="single" w:sz="4" w:space="0" w:color="auto"/>
            </w:tcBorders>
            <w:shd w:val="clear" w:color="auto" w:fill="auto"/>
            <w:hideMark/>
          </w:tcPr>
          <w:p w14:paraId="58376F7C"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must adapt workflow management based on incident attributes such as criticality.</w:t>
            </w:r>
          </w:p>
        </w:tc>
        <w:tc>
          <w:tcPr>
            <w:tcW w:w="640" w:type="pct"/>
            <w:tcBorders>
              <w:top w:val="nil"/>
              <w:left w:val="nil"/>
              <w:bottom w:val="single" w:sz="4" w:space="0" w:color="auto"/>
              <w:right w:val="single" w:sz="4" w:space="0" w:color="auto"/>
            </w:tcBorders>
            <w:shd w:val="clear" w:color="auto" w:fill="auto"/>
            <w:noWrap/>
            <w:hideMark/>
          </w:tcPr>
          <w:p w14:paraId="61BCD2AB"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23EAD62B"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920FC05" w14:textId="77777777" w:rsidTr="008E0319">
        <w:trPr>
          <w:trHeight w:val="289"/>
        </w:trPr>
        <w:tc>
          <w:tcPr>
            <w:tcW w:w="159" w:type="pct"/>
            <w:tcBorders>
              <w:top w:val="nil"/>
              <w:left w:val="single" w:sz="4" w:space="0" w:color="auto"/>
              <w:bottom w:val="single" w:sz="4" w:space="0" w:color="auto"/>
              <w:right w:val="single" w:sz="4" w:space="0" w:color="auto"/>
            </w:tcBorders>
            <w:shd w:val="clear" w:color="000000" w:fill="EFF4FF"/>
            <w:hideMark/>
          </w:tcPr>
          <w:p w14:paraId="0B358A75" w14:textId="77777777" w:rsidR="00985D46" w:rsidRPr="00985D46" w:rsidRDefault="00985D46" w:rsidP="00985D46">
            <w:pPr>
              <w:spacing w:after="0" w:line="240" w:lineRule="auto"/>
              <w:jc w:val="center"/>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lastRenderedPageBreak/>
              <w:t xml:space="preserve">G </w:t>
            </w:r>
          </w:p>
        </w:tc>
        <w:tc>
          <w:tcPr>
            <w:tcW w:w="3506" w:type="pct"/>
            <w:tcBorders>
              <w:top w:val="nil"/>
              <w:left w:val="nil"/>
              <w:bottom w:val="single" w:sz="4" w:space="0" w:color="auto"/>
              <w:right w:val="single" w:sz="4" w:space="0" w:color="auto"/>
            </w:tcBorders>
            <w:shd w:val="clear" w:color="000000" w:fill="EFF4FF"/>
            <w:hideMark/>
          </w:tcPr>
          <w:p w14:paraId="200D60AF" w14:textId="77777777" w:rsidR="00985D46" w:rsidRPr="00985D46" w:rsidRDefault="00985D46" w:rsidP="00985D46">
            <w:pPr>
              <w:spacing w:after="0" w:line="240" w:lineRule="auto"/>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Incident Lifecycle Management:</w:t>
            </w:r>
          </w:p>
        </w:tc>
        <w:tc>
          <w:tcPr>
            <w:tcW w:w="640" w:type="pct"/>
            <w:tcBorders>
              <w:top w:val="nil"/>
              <w:left w:val="nil"/>
              <w:bottom w:val="single" w:sz="4" w:space="0" w:color="auto"/>
              <w:right w:val="single" w:sz="4" w:space="0" w:color="auto"/>
            </w:tcBorders>
            <w:shd w:val="clear" w:color="000000" w:fill="EFF4FF"/>
            <w:hideMark/>
          </w:tcPr>
          <w:p w14:paraId="3C42CA32" w14:textId="77777777" w:rsidR="00985D46" w:rsidRPr="00985D46" w:rsidRDefault="00985D46" w:rsidP="00985D46">
            <w:pPr>
              <w:spacing w:after="0" w:line="240" w:lineRule="auto"/>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6953A655"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5A121B40"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1171304C"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8</w:t>
            </w:r>
          </w:p>
        </w:tc>
        <w:tc>
          <w:tcPr>
            <w:tcW w:w="3506" w:type="pct"/>
            <w:tcBorders>
              <w:top w:val="nil"/>
              <w:left w:val="nil"/>
              <w:bottom w:val="single" w:sz="4" w:space="0" w:color="auto"/>
              <w:right w:val="single" w:sz="4" w:space="0" w:color="auto"/>
            </w:tcBorders>
            <w:shd w:val="clear" w:color="auto" w:fill="auto"/>
            <w:hideMark/>
          </w:tcPr>
          <w:p w14:paraId="3E569D57"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must capture extensive details for each incident, including category, main category, location, department, related assets, financial implications, and any other customizable fields deemed necessary.</w:t>
            </w:r>
          </w:p>
        </w:tc>
        <w:tc>
          <w:tcPr>
            <w:tcW w:w="640" w:type="pct"/>
            <w:tcBorders>
              <w:top w:val="nil"/>
              <w:left w:val="nil"/>
              <w:bottom w:val="single" w:sz="4" w:space="0" w:color="auto"/>
              <w:right w:val="single" w:sz="4" w:space="0" w:color="auto"/>
            </w:tcBorders>
            <w:shd w:val="clear" w:color="auto" w:fill="auto"/>
            <w:noWrap/>
            <w:hideMark/>
          </w:tcPr>
          <w:p w14:paraId="1BDEE242"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509AB4AC"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8DCE338"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03AC4E41"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9</w:t>
            </w:r>
          </w:p>
        </w:tc>
        <w:tc>
          <w:tcPr>
            <w:tcW w:w="3506" w:type="pct"/>
            <w:tcBorders>
              <w:top w:val="nil"/>
              <w:left w:val="nil"/>
              <w:bottom w:val="single" w:sz="4" w:space="0" w:color="auto"/>
              <w:right w:val="single" w:sz="4" w:space="0" w:color="auto"/>
            </w:tcBorders>
            <w:shd w:val="clear" w:color="auto" w:fill="auto"/>
            <w:hideMark/>
          </w:tcPr>
          <w:p w14:paraId="0442CB97"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Incident assignments should detail the reporting individual/team and method of reporting.</w:t>
            </w:r>
          </w:p>
        </w:tc>
        <w:tc>
          <w:tcPr>
            <w:tcW w:w="640" w:type="pct"/>
            <w:tcBorders>
              <w:top w:val="nil"/>
              <w:left w:val="nil"/>
              <w:bottom w:val="single" w:sz="4" w:space="0" w:color="auto"/>
              <w:right w:val="single" w:sz="4" w:space="0" w:color="auto"/>
            </w:tcBorders>
            <w:shd w:val="clear" w:color="auto" w:fill="auto"/>
            <w:noWrap/>
            <w:hideMark/>
          </w:tcPr>
          <w:p w14:paraId="11890745"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50E8AA5F"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29CD1DB5"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1D05939E"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10</w:t>
            </w:r>
          </w:p>
        </w:tc>
        <w:tc>
          <w:tcPr>
            <w:tcW w:w="3506" w:type="pct"/>
            <w:tcBorders>
              <w:top w:val="nil"/>
              <w:left w:val="nil"/>
              <w:bottom w:val="single" w:sz="4" w:space="0" w:color="auto"/>
              <w:right w:val="single" w:sz="4" w:space="0" w:color="auto"/>
            </w:tcBorders>
            <w:shd w:val="clear" w:color="auto" w:fill="auto"/>
            <w:hideMark/>
          </w:tcPr>
          <w:p w14:paraId="79FCD7AE"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Notification settings must enable specific individuals to be alerted about the incident.</w:t>
            </w:r>
          </w:p>
        </w:tc>
        <w:tc>
          <w:tcPr>
            <w:tcW w:w="640" w:type="pct"/>
            <w:tcBorders>
              <w:top w:val="nil"/>
              <w:left w:val="nil"/>
              <w:bottom w:val="single" w:sz="4" w:space="0" w:color="auto"/>
              <w:right w:val="single" w:sz="4" w:space="0" w:color="auto"/>
            </w:tcBorders>
            <w:shd w:val="clear" w:color="auto" w:fill="auto"/>
            <w:noWrap/>
            <w:hideMark/>
          </w:tcPr>
          <w:p w14:paraId="73EB32C2"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210722C2"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6395E2B3"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3CF96931"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11</w:t>
            </w:r>
          </w:p>
        </w:tc>
        <w:tc>
          <w:tcPr>
            <w:tcW w:w="3506" w:type="pct"/>
            <w:tcBorders>
              <w:top w:val="nil"/>
              <w:left w:val="nil"/>
              <w:bottom w:val="single" w:sz="4" w:space="0" w:color="auto"/>
              <w:right w:val="single" w:sz="4" w:space="0" w:color="auto"/>
            </w:tcBorders>
            <w:shd w:val="clear" w:color="auto" w:fill="auto"/>
            <w:hideMark/>
          </w:tcPr>
          <w:p w14:paraId="47455EBB"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must allow status and prioritization settings, including a color-coded priority level.</w:t>
            </w:r>
          </w:p>
        </w:tc>
        <w:tc>
          <w:tcPr>
            <w:tcW w:w="640" w:type="pct"/>
            <w:tcBorders>
              <w:top w:val="nil"/>
              <w:left w:val="nil"/>
              <w:bottom w:val="single" w:sz="4" w:space="0" w:color="auto"/>
              <w:right w:val="single" w:sz="4" w:space="0" w:color="auto"/>
            </w:tcBorders>
            <w:shd w:val="clear" w:color="auto" w:fill="auto"/>
            <w:noWrap/>
            <w:hideMark/>
          </w:tcPr>
          <w:p w14:paraId="4B501548"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5A4D53D4"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3F593BC"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0826E272"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12</w:t>
            </w:r>
          </w:p>
        </w:tc>
        <w:tc>
          <w:tcPr>
            <w:tcW w:w="3506" w:type="pct"/>
            <w:tcBorders>
              <w:top w:val="nil"/>
              <w:left w:val="nil"/>
              <w:bottom w:val="single" w:sz="4" w:space="0" w:color="auto"/>
              <w:right w:val="single" w:sz="4" w:space="0" w:color="auto"/>
            </w:tcBorders>
            <w:shd w:val="clear" w:color="auto" w:fill="auto"/>
            <w:hideMark/>
          </w:tcPr>
          <w:p w14:paraId="56C9D4BA"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A feature should exist to list affected assets and attach relevant documents.</w:t>
            </w:r>
          </w:p>
        </w:tc>
        <w:tc>
          <w:tcPr>
            <w:tcW w:w="640" w:type="pct"/>
            <w:tcBorders>
              <w:top w:val="nil"/>
              <w:left w:val="nil"/>
              <w:bottom w:val="single" w:sz="4" w:space="0" w:color="auto"/>
              <w:right w:val="single" w:sz="4" w:space="0" w:color="auto"/>
            </w:tcBorders>
            <w:shd w:val="clear" w:color="auto" w:fill="auto"/>
            <w:noWrap/>
            <w:hideMark/>
          </w:tcPr>
          <w:p w14:paraId="17F2CEF2"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58F9D88E"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96797EA"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7F314618"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13</w:t>
            </w:r>
          </w:p>
        </w:tc>
        <w:tc>
          <w:tcPr>
            <w:tcW w:w="3506" w:type="pct"/>
            <w:tcBorders>
              <w:top w:val="nil"/>
              <w:left w:val="nil"/>
              <w:bottom w:val="single" w:sz="4" w:space="0" w:color="auto"/>
              <w:right w:val="single" w:sz="4" w:space="0" w:color="auto"/>
            </w:tcBorders>
            <w:shd w:val="clear" w:color="auto" w:fill="auto"/>
            <w:hideMark/>
          </w:tcPr>
          <w:p w14:paraId="205B0CC5"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Users must be able to conduct thorough impact analyses and record multiple financial impacts.</w:t>
            </w:r>
          </w:p>
        </w:tc>
        <w:tc>
          <w:tcPr>
            <w:tcW w:w="640" w:type="pct"/>
            <w:tcBorders>
              <w:top w:val="nil"/>
              <w:left w:val="nil"/>
              <w:bottom w:val="single" w:sz="4" w:space="0" w:color="auto"/>
              <w:right w:val="single" w:sz="4" w:space="0" w:color="auto"/>
            </w:tcBorders>
            <w:shd w:val="clear" w:color="auto" w:fill="auto"/>
            <w:noWrap/>
            <w:hideMark/>
          </w:tcPr>
          <w:p w14:paraId="60059364"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50F45B83"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88AF000"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263BD85B"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14</w:t>
            </w:r>
          </w:p>
        </w:tc>
        <w:tc>
          <w:tcPr>
            <w:tcW w:w="3506" w:type="pct"/>
            <w:tcBorders>
              <w:top w:val="nil"/>
              <w:left w:val="nil"/>
              <w:bottom w:val="single" w:sz="4" w:space="0" w:color="auto"/>
              <w:right w:val="single" w:sz="4" w:space="0" w:color="auto"/>
            </w:tcBorders>
            <w:shd w:val="clear" w:color="auto" w:fill="auto"/>
            <w:hideMark/>
          </w:tcPr>
          <w:p w14:paraId="60E7E78F"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General comments related to the incident should be enabled.</w:t>
            </w:r>
          </w:p>
        </w:tc>
        <w:tc>
          <w:tcPr>
            <w:tcW w:w="640" w:type="pct"/>
            <w:tcBorders>
              <w:top w:val="nil"/>
              <w:left w:val="nil"/>
              <w:bottom w:val="single" w:sz="4" w:space="0" w:color="auto"/>
              <w:right w:val="single" w:sz="4" w:space="0" w:color="auto"/>
            </w:tcBorders>
            <w:shd w:val="clear" w:color="auto" w:fill="auto"/>
            <w:noWrap/>
            <w:hideMark/>
          </w:tcPr>
          <w:p w14:paraId="3BAB443F"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346602EC"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23EEF0EF"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152608CB"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15</w:t>
            </w:r>
          </w:p>
        </w:tc>
        <w:tc>
          <w:tcPr>
            <w:tcW w:w="3506" w:type="pct"/>
            <w:tcBorders>
              <w:top w:val="nil"/>
              <w:left w:val="nil"/>
              <w:bottom w:val="single" w:sz="4" w:space="0" w:color="auto"/>
              <w:right w:val="single" w:sz="4" w:space="0" w:color="auto"/>
            </w:tcBorders>
            <w:shd w:val="clear" w:color="auto" w:fill="auto"/>
            <w:hideMark/>
          </w:tcPr>
          <w:p w14:paraId="6F2C1096"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must provide a chronological tracking feature with real-time updates that visualizes the entire lifecycle of an incident from reporting to resolution and closure, including timestamps for key events.</w:t>
            </w:r>
          </w:p>
        </w:tc>
        <w:tc>
          <w:tcPr>
            <w:tcW w:w="640" w:type="pct"/>
            <w:tcBorders>
              <w:top w:val="nil"/>
              <w:left w:val="nil"/>
              <w:bottom w:val="single" w:sz="4" w:space="0" w:color="auto"/>
              <w:right w:val="single" w:sz="4" w:space="0" w:color="auto"/>
            </w:tcBorders>
            <w:shd w:val="clear" w:color="auto" w:fill="auto"/>
            <w:noWrap/>
            <w:hideMark/>
          </w:tcPr>
          <w:p w14:paraId="08853738"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79A40208"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56570AE4"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209DB666"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16</w:t>
            </w:r>
          </w:p>
        </w:tc>
        <w:tc>
          <w:tcPr>
            <w:tcW w:w="3506" w:type="pct"/>
            <w:tcBorders>
              <w:top w:val="nil"/>
              <w:left w:val="nil"/>
              <w:bottom w:val="single" w:sz="4" w:space="0" w:color="auto"/>
              <w:right w:val="single" w:sz="4" w:space="0" w:color="auto"/>
            </w:tcBorders>
            <w:shd w:val="clear" w:color="auto" w:fill="auto"/>
            <w:hideMark/>
          </w:tcPr>
          <w:p w14:paraId="5D6B3C06"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Assignment management within the system should include automated routing of incidents to appropriate individuals or teams based on predefined rules or manual selection.</w:t>
            </w:r>
          </w:p>
        </w:tc>
        <w:tc>
          <w:tcPr>
            <w:tcW w:w="640" w:type="pct"/>
            <w:tcBorders>
              <w:top w:val="nil"/>
              <w:left w:val="nil"/>
              <w:bottom w:val="single" w:sz="4" w:space="0" w:color="auto"/>
              <w:right w:val="single" w:sz="4" w:space="0" w:color="auto"/>
            </w:tcBorders>
            <w:shd w:val="clear" w:color="auto" w:fill="auto"/>
            <w:noWrap/>
            <w:hideMark/>
          </w:tcPr>
          <w:p w14:paraId="75EA8B44"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41EDAEC8"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8467396"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6449BDAB"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17</w:t>
            </w:r>
          </w:p>
        </w:tc>
        <w:tc>
          <w:tcPr>
            <w:tcW w:w="3506" w:type="pct"/>
            <w:tcBorders>
              <w:top w:val="nil"/>
              <w:left w:val="nil"/>
              <w:bottom w:val="single" w:sz="4" w:space="0" w:color="auto"/>
              <w:right w:val="single" w:sz="4" w:space="0" w:color="auto"/>
            </w:tcBorders>
            <w:shd w:val="clear" w:color="auto" w:fill="auto"/>
            <w:hideMark/>
          </w:tcPr>
          <w:p w14:paraId="7BFE3816"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Customizable notification mechanisms should be provided to inform designated stakeholders about new and updated incidents, with settings for different channels and urgency levels.</w:t>
            </w:r>
          </w:p>
        </w:tc>
        <w:tc>
          <w:tcPr>
            <w:tcW w:w="640" w:type="pct"/>
            <w:tcBorders>
              <w:top w:val="nil"/>
              <w:left w:val="nil"/>
              <w:bottom w:val="single" w:sz="4" w:space="0" w:color="auto"/>
              <w:right w:val="single" w:sz="4" w:space="0" w:color="auto"/>
            </w:tcBorders>
            <w:shd w:val="clear" w:color="auto" w:fill="auto"/>
            <w:noWrap/>
            <w:hideMark/>
          </w:tcPr>
          <w:p w14:paraId="62BAA491"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2D484331"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1E397420"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51CD1197"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18</w:t>
            </w:r>
          </w:p>
        </w:tc>
        <w:tc>
          <w:tcPr>
            <w:tcW w:w="3506" w:type="pct"/>
            <w:tcBorders>
              <w:top w:val="nil"/>
              <w:left w:val="nil"/>
              <w:bottom w:val="single" w:sz="4" w:space="0" w:color="auto"/>
              <w:right w:val="single" w:sz="4" w:space="0" w:color="auto"/>
            </w:tcBorders>
            <w:shd w:val="clear" w:color="auto" w:fill="auto"/>
            <w:hideMark/>
          </w:tcPr>
          <w:p w14:paraId="4328AE5D"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Integration with a knowledge base should be provided, allowing for quick reference to articles that can aid in the resolution of incidents, with automatic suggestions based on the incident's attributes.</w:t>
            </w:r>
          </w:p>
        </w:tc>
        <w:tc>
          <w:tcPr>
            <w:tcW w:w="640" w:type="pct"/>
            <w:tcBorders>
              <w:top w:val="nil"/>
              <w:left w:val="nil"/>
              <w:bottom w:val="single" w:sz="4" w:space="0" w:color="auto"/>
              <w:right w:val="single" w:sz="4" w:space="0" w:color="auto"/>
            </w:tcBorders>
            <w:shd w:val="clear" w:color="auto" w:fill="auto"/>
            <w:noWrap/>
            <w:hideMark/>
          </w:tcPr>
          <w:p w14:paraId="0AB5FDD4"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02D771E8"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3FCC7DA0"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1D28B4DD"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19</w:t>
            </w:r>
          </w:p>
        </w:tc>
        <w:tc>
          <w:tcPr>
            <w:tcW w:w="3506" w:type="pct"/>
            <w:tcBorders>
              <w:top w:val="nil"/>
              <w:left w:val="nil"/>
              <w:bottom w:val="single" w:sz="4" w:space="0" w:color="auto"/>
              <w:right w:val="single" w:sz="4" w:space="0" w:color="auto"/>
            </w:tcBorders>
            <w:shd w:val="clear" w:color="auto" w:fill="auto"/>
            <w:hideMark/>
          </w:tcPr>
          <w:p w14:paraId="3DAF4678"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Task management for incident resolution must be robust, allowing for the creation of tasks, assignment to team members, tracking of progress, and linking to specific workflow steps.</w:t>
            </w:r>
          </w:p>
        </w:tc>
        <w:tc>
          <w:tcPr>
            <w:tcW w:w="640" w:type="pct"/>
            <w:tcBorders>
              <w:top w:val="nil"/>
              <w:left w:val="nil"/>
              <w:bottom w:val="single" w:sz="4" w:space="0" w:color="auto"/>
              <w:right w:val="single" w:sz="4" w:space="0" w:color="auto"/>
            </w:tcBorders>
            <w:shd w:val="clear" w:color="auto" w:fill="auto"/>
            <w:noWrap/>
            <w:hideMark/>
          </w:tcPr>
          <w:p w14:paraId="082F4EAD"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19E9F79A"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154F48FB"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22FC432F"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20</w:t>
            </w:r>
          </w:p>
        </w:tc>
        <w:tc>
          <w:tcPr>
            <w:tcW w:w="3506" w:type="pct"/>
            <w:tcBorders>
              <w:top w:val="nil"/>
              <w:left w:val="nil"/>
              <w:bottom w:val="single" w:sz="4" w:space="0" w:color="auto"/>
              <w:right w:val="single" w:sz="4" w:space="0" w:color="auto"/>
            </w:tcBorders>
            <w:shd w:val="clear" w:color="auto" w:fill="auto"/>
            <w:hideMark/>
          </w:tcPr>
          <w:p w14:paraId="42AA36AB"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Documentation of lessons learned and improvement actions should be a feature of the system, with these learnings being accessible for future incident prevention and response planning.</w:t>
            </w:r>
          </w:p>
        </w:tc>
        <w:tc>
          <w:tcPr>
            <w:tcW w:w="640" w:type="pct"/>
            <w:tcBorders>
              <w:top w:val="nil"/>
              <w:left w:val="nil"/>
              <w:bottom w:val="single" w:sz="4" w:space="0" w:color="auto"/>
              <w:right w:val="single" w:sz="4" w:space="0" w:color="auto"/>
            </w:tcBorders>
            <w:shd w:val="clear" w:color="auto" w:fill="auto"/>
            <w:noWrap/>
            <w:hideMark/>
          </w:tcPr>
          <w:p w14:paraId="17001ABC"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7A0E6540"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BDF9B5A" w14:textId="77777777" w:rsidTr="008E0319">
        <w:trPr>
          <w:trHeight w:val="289"/>
        </w:trPr>
        <w:tc>
          <w:tcPr>
            <w:tcW w:w="159" w:type="pct"/>
            <w:tcBorders>
              <w:top w:val="nil"/>
              <w:left w:val="single" w:sz="4" w:space="0" w:color="auto"/>
              <w:bottom w:val="single" w:sz="4" w:space="0" w:color="auto"/>
              <w:right w:val="single" w:sz="4" w:space="0" w:color="auto"/>
            </w:tcBorders>
            <w:shd w:val="clear" w:color="000000" w:fill="EFF4FF"/>
            <w:hideMark/>
          </w:tcPr>
          <w:p w14:paraId="1DAF7B0F" w14:textId="77777777" w:rsidR="00985D46" w:rsidRPr="00985D46" w:rsidRDefault="00985D46" w:rsidP="00985D46">
            <w:pPr>
              <w:spacing w:after="0" w:line="240" w:lineRule="auto"/>
              <w:jc w:val="center"/>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H</w:t>
            </w:r>
          </w:p>
        </w:tc>
        <w:tc>
          <w:tcPr>
            <w:tcW w:w="3506" w:type="pct"/>
            <w:tcBorders>
              <w:top w:val="nil"/>
              <w:left w:val="nil"/>
              <w:bottom w:val="single" w:sz="4" w:space="0" w:color="auto"/>
              <w:right w:val="single" w:sz="4" w:space="0" w:color="auto"/>
            </w:tcBorders>
            <w:shd w:val="clear" w:color="000000" w:fill="EFF4FF"/>
            <w:hideMark/>
          </w:tcPr>
          <w:p w14:paraId="7010B8ED" w14:textId="77777777" w:rsidR="00985D46" w:rsidRPr="00985D46" w:rsidRDefault="00985D46" w:rsidP="00985D46">
            <w:pPr>
              <w:spacing w:after="0" w:line="240" w:lineRule="auto"/>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Knowledge Base:</w:t>
            </w:r>
          </w:p>
        </w:tc>
        <w:tc>
          <w:tcPr>
            <w:tcW w:w="640" w:type="pct"/>
            <w:tcBorders>
              <w:top w:val="nil"/>
              <w:left w:val="nil"/>
              <w:bottom w:val="single" w:sz="4" w:space="0" w:color="auto"/>
              <w:right w:val="single" w:sz="4" w:space="0" w:color="auto"/>
            </w:tcBorders>
            <w:shd w:val="clear" w:color="000000" w:fill="EFF4FF"/>
            <w:hideMark/>
          </w:tcPr>
          <w:p w14:paraId="4C934B11" w14:textId="77777777" w:rsidR="00985D46" w:rsidRPr="00985D46" w:rsidRDefault="00985D46" w:rsidP="00985D46">
            <w:pPr>
              <w:spacing w:after="0" w:line="240" w:lineRule="auto"/>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49B3A577"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2201E691"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1C578C5C"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21</w:t>
            </w:r>
          </w:p>
        </w:tc>
        <w:tc>
          <w:tcPr>
            <w:tcW w:w="3506" w:type="pct"/>
            <w:tcBorders>
              <w:top w:val="nil"/>
              <w:left w:val="nil"/>
              <w:bottom w:val="single" w:sz="4" w:space="0" w:color="auto"/>
              <w:right w:val="single" w:sz="4" w:space="0" w:color="auto"/>
            </w:tcBorders>
            <w:shd w:val="clear" w:color="auto" w:fill="auto"/>
            <w:hideMark/>
          </w:tcPr>
          <w:p w14:paraId="65B075E5"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must facilitate the management of knowledge base articles with advanced search and filter functions.</w:t>
            </w:r>
          </w:p>
        </w:tc>
        <w:tc>
          <w:tcPr>
            <w:tcW w:w="640" w:type="pct"/>
            <w:tcBorders>
              <w:top w:val="nil"/>
              <w:left w:val="nil"/>
              <w:bottom w:val="single" w:sz="4" w:space="0" w:color="auto"/>
              <w:right w:val="single" w:sz="4" w:space="0" w:color="auto"/>
            </w:tcBorders>
            <w:shd w:val="clear" w:color="auto" w:fill="auto"/>
            <w:noWrap/>
            <w:hideMark/>
          </w:tcPr>
          <w:p w14:paraId="3DA7AF2E"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64F83B25"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35A20D5"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3DF70046"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22</w:t>
            </w:r>
          </w:p>
        </w:tc>
        <w:tc>
          <w:tcPr>
            <w:tcW w:w="3506" w:type="pct"/>
            <w:tcBorders>
              <w:top w:val="nil"/>
              <w:left w:val="nil"/>
              <w:bottom w:val="single" w:sz="4" w:space="0" w:color="auto"/>
              <w:right w:val="single" w:sz="4" w:space="0" w:color="auto"/>
            </w:tcBorders>
            <w:shd w:val="clear" w:color="auto" w:fill="auto"/>
            <w:hideMark/>
          </w:tcPr>
          <w:p w14:paraId="47D24EBA"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Detailed article structure including authorship,  and attachments should be enabled.</w:t>
            </w:r>
          </w:p>
        </w:tc>
        <w:tc>
          <w:tcPr>
            <w:tcW w:w="640" w:type="pct"/>
            <w:tcBorders>
              <w:top w:val="nil"/>
              <w:left w:val="nil"/>
              <w:bottom w:val="single" w:sz="4" w:space="0" w:color="auto"/>
              <w:right w:val="single" w:sz="4" w:space="0" w:color="auto"/>
            </w:tcBorders>
            <w:shd w:val="clear" w:color="auto" w:fill="auto"/>
            <w:noWrap/>
            <w:hideMark/>
          </w:tcPr>
          <w:p w14:paraId="6A23127B"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5E88DB83"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6B9769BC"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73AA68F6"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23</w:t>
            </w:r>
          </w:p>
        </w:tc>
        <w:tc>
          <w:tcPr>
            <w:tcW w:w="3506" w:type="pct"/>
            <w:tcBorders>
              <w:top w:val="nil"/>
              <w:left w:val="nil"/>
              <w:bottom w:val="single" w:sz="4" w:space="0" w:color="auto"/>
              <w:right w:val="single" w:sz="4" w:space="0" w:color="auto"/>
            </w:tcBorders>
            <w:shd w:val="clear" w:color="auto" w:fill="auto"/>
            <w:hideMark/>
          </w:tcPr>
          <w:p w14:paraId="6B89A08C"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must feature a centralized repository for knowledge base articles that provides personalized article recommendations based on user queries and incident attributes.</w:t>
            </w:r>
          </w:p>
        </w:tc>
        <w:tc>
          <w:tcPr>
            <w:tcW w:w="640" w:type="pct"/>
            <w:tcBorders>
              <w:top w:val="nil"/>
              <w:left w:val="nil"/>
              <w:bottom w:val="single" w:sz="4" w:space="0" w:color="auto"/>
              <w:right w:val="single" w:sz="4" w:space="0" w:color="auto"/>
            </w:tcBorders>
            <w:shd w:val="clear" w:color="auto" w:fill="auto"/>
            <w:noWrap/>
            <w:hideMark/>
          </w:tcPr>
          <w:p w14:paraId="19E10C61"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69A49FE8"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F220127"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2AC04510"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24</w:t>
            </w:r>
          </w:p>
        </w:tc>
        <w:tc>
          <w:tcPr>
            <w:tcW w:w="3506" w:type="pct"/>
            <w:tcBorders>
              <w:top w:val="nil"/>
              <w:left w:val="nil"/>
              <w:bottom w:val="single" w:sz="4" w:space="0" w:color="auto"/>
              <w:right w:val="single" w:sz="4" w:space="0" w:color="auto"/>
            </w:tcBorders>
            <w:shd w:val="clear" w:color="auto" w:fill="auto"/>
            <w:hideMark/>
          </w:tcPr>
          <w:p w14:paraId="2D2642B7"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It should offer robust article management capabilities, including the ability to add, edit, archive, and delete articles through a user-friendly interface.</w:t>
            </w:r>
          </w:p>
        </w:tc>
        <w:tc>
          <w:tcPr>
            <w:tcW w:w="640" w:type="pct"/>
            <w:tcBorders>
              <w:top w:val="nil"/>
              <w:left w:val="nil"/>
              <w:bottom w:val="single" w:sz="4" w:space="0" w:color="auto"/>
              <w:right w:val="single" w:sz="4" w:space="0" w:color="auto"/>
            </w:tcBorders>
            <w:shd w:val="clear" w:color="auto" w:fill="auto"/>
            <w:noWrap/>
            <w:hideMark/>
          </w:tcPr>
          <w:p w14:paraId="2FDA4065"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62E53B54"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36C34EED"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2692DD68"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25</w:t>
            </w:r>
          </w:p>
        </w:tc>
        <w:tc>
          <w:tcPr>
            <w:tcW w:w="3506" w:type="pct"/>
            <w:tcBorders>
              <w:top w:val="nil"/>
              <w:left w:val="nil"/>
              <w:bottom w:val="single" w:sz="4" w:space="0" w:color="auto"/>
              <w:right w:val="single" w:sz="4" w:space="0" w:color="auto"/>
            </w:tcBorders>
            <w:shd w:val="clear" w:color="auto" w:fill="auto"/>
            <w:hideMark/>
          </w:tcPr>
          <w:p w14:paraId="6B44A703"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Advanced search capabilities are required, including full-text search, keyword matching, and filtering by category, author, or related incidents, to quickly locate relevant articles.</w:t>
            </w:r>
          </w:p>
        </w:tc>
        <w:tc>
          <w:tcPr>
            <w:tcW w:w="640" w:type="pct"/>
            <w:tcBorders>
              <w:top w:val="nil"/>
              <w:left w:val="nil"/>
              <w:bottom w:val="single" w:sz="4" w:space="0" w:color="auto"/>
              <w:right w:val="single" w:sz="4" w:space="0" w:color="auto"/>
            </w:tcBorders>
            <w:shd w:val="clear" w:color="auto" w:fill="auto"/>
            <w:noWrap/>
            <w:hideMark/>
          </w:tcPr>
          <w:p w14:paraId="43C7FBD3"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6A14B07B"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6E1DD615"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7DB7B7AE"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lastRenderedPageBreak/>
              <w:t>26</w:t>
            </w:r>
          </w:p>
        </w:tc>
        <w:tc>
          <w:tcPr>
            <w:tcW w:w="3506" w:type="pct"/>
            <w:tcBorders>
              <w:top w:val="nil"/>
              <w:left w:val="nil"/>
              <w:bottom w:val="single" w:sz="4" w:space="0" w:color="auto"/>
              <w:right w:val="single" w:sz="4" w:space="0" w:color="auto"/>
            </w:tcBorders>
            <w:shd w:val="clear" w:color="auto" w:fill="auto"/>
            <w:hideMark/>
          </w:tcPr>
          <w:p w14:paraId="0C0E8966"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must support detailed article structures, capturing information such as title, summary, detailed content, related articles or incidents, and other metadata.</w:t>
            </w:r>
          </w:p>
        </w:tc>
        <w:tc>
          <w:tcPr>
            <w:tcW w:w="640" w:type="pct"/>
            <w:tcBorders>
              <w:top w:val="nil"/>
              <w:left w:val="nil"/>
              <w:bottom w:val="single" w:sz="4" w:space="0" w:color="auto"/>
              <w:right w:val="single" w:sz="4" w:space="0" w:color="auto"/>
            </w:tcBorders>
            <w:shd w:val="clear" w:color="auto" w:fill="auto"/>
            <w:noWrap/>
            <w:hideMark/>
          </w:tcPr>
          <w:p w14:paraId="24B9B2D9"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030EE96E"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3BBBDEE7"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09AADB85"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27</w:t>
            </w:r>
          </w:p>
        </w:tc>
        <w:tc>
          <w:tcPr>
            <w:tcW w:w="3506" w:type="pct"/>
            <w:tcBorders>
              <w:top w:val="nil"/>
              <w:left w:val="nil"/>
              <w:bottom w:val="single" w:sz="4" w:space="0" w:color="auto"/>
              <w:right w:val="single" w:sz="4" w:space="0" w:color="auto"/>
            </w:tcBorders>
            <w:shd w:val="clear" w:color="auto" w:fill="auto"/>
            <w:hideMark/>
          </w:tcPr>
          <w:p w14:paraId="7AB4397B"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ability to attach supplementary files to articles, such as images, videos or documents, should be available, with support for common file formats.</w:t>
            </w:r>
          </w:p>
        </w:tc>
        <w:tc>
          <w:tcPr>
            <w:tcW w:w="640" w:type="pct"/>
            <w:tcBorders>
              <w:top w:val="nil"/>
              <w:left w:val="nil"/>
              <w:bottom w:val="single" w:sz="4" w:space="0" w:color="auto"/>
              <w:right w:val="single" w:sz="4" w:space="0" w:color="auto"/>
            </w:tcBorders>
            <w:shd w:val="clear" w:color="auto" w:fill="auto"/>
            <w:noWrap/>
            <w:hideMark/>
          </w:tcPr>
          <w:p w14:paraId="6F0E1E6A"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0BB1B6BB"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76C39FDB"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31631BE3"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28</w:t>
            </w:r>
          </w:p>
        </w:tc>
        <w:tc>
          <w:tcPr>
            <w:tcW w:w="3506" w:type="pct"/>
            <w:tcBorders>
              <w:top w:val="nil"/>
              <w:left w:val="nil"/>
              <w:bottom w:val="single" w:sz="4" w:space="0" w:color="auto"/>
              <w:right w:val="single" w:sz="4" w:space="0" w:color="auto"/>
            </w:tcBorders>
            <w:shd w:val="clear" w:color="auto" w:fill="auto"/>
            <w:hideMark/>
          </w:tcPr>
          <w:p w14:paraId="42319062"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User interaction features must be provided, such as the ability to comment on articles, and suggest edits to foster a collaborative and interactive knowledge base.</w:t>
            </w:r>
          </w:p>
        </w:tc>
        <w:tc>
          <w:tcPr>
            <w:tcW w:w="640" w:type="pct"/>
            <w:tcBorders>
              <w:top w:val="nil"/>
              <w:left w:val="nil"/>
              <w:bottom w:val="single" w:sz="4" w:space="0" w:color="auto"/>
              <w:right w:val="single" w:sz="4" w:space="0" w:color="auto"/>
            </w:tcBorders>
            <w:shd w:val="clear" w:color="auto" w:fill="auto"/>
            <w:noWrap/>
            <w:hideMark/>
          </w:tcPr>
          <w:p w14:paraId="027CCCEF"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08CE8B53"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16F84236"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49D887F0"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29</w:t>
            </w:r>
          </w:p>
        </w:tc>
        <w:tc>
          <w:tcPr>
            <w:tcW w:w="3506" w:type="pct"/>
            <w:tcBorders>
              <w:top w:val="nil"/>
              <w:left w:val="nil"/>
              <w:bottom w:val="single" w:sz="4" w:space="0" w:color="auto"/>
              <w:right w:val="single" w:sz="4" w:space="0" w:color="auto"/>
            </w:tcBorders>
            <w:shd w:val="clear" w:color="auto" w:fill="auto"/>
            <w:hideMark/>
          </w:tcPr>
          <w:p w14:paraId="12E3E8C4"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Integration with the incident submission process is required so that users can be prompted to consult the knowledge base before submitting an incident, potentially reducing unnecessary incident submissions.</w:t>
            </w:r>
          </w:p>
        </w:tc>
        <w:tc>
          <w:tcPr>
            <w:tcW w:w="640" w:type="pct"/>
            <w:tcBorders>
              <w:top w:val="nil"/>
              <w:left w:val="nil"/>
              <w:bottom w:val="single" w:sz="4" w:space="0" w:color="auto"/>
              <w:right w:val="single" w:sz="4" w:space="0" w:color="auto"/>
            </w:tcBorders>
            <w:shd w:val="clear" w:color="auto" w:fill="auto"/>
            <w:noWrap/>
            <w:hideMark/>
          </w:tcPr>
          <w:p w14:paraId="4C65743B"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6B28CAC8"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235F5533"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4D10C64B"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30</w:t>
            </w:r>
          </w:p>
        </w:tc>
        <w:tc>
          <w:tcPr>
            <w:tcW w:w="3506" w:type="pct"/>
            <w:tcBorders>
              <w:top w:val="nil"/>
              <w:left w:val="nil"/>
              <w:bottom w:val="single" w:sz="4" w:space="0" w:color="auto"/>
              <w:right w:val="single" w:sz="4" w:space="0" w:color="auto"/>
            </w:tcBorders>
            <w:shd w:val="clear" w:color="auto" w:fill="auto"/>
            <w:hideMark/>
          </w:tcPr>
          <w:p w14:paraId="1793F953"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should offer a streamlined article submission and approval workflow, enabling contributions from various teams and departments and ensuring content accuracy and relevancy through a formal review process.</w:t>
            </w:r>
          </w:p>
        </w:tc>
        <w:tc>
          <w:tcPr>
            <w:tcW w:w="640" w:type="pct"/>
            <w:tcBorders>
              <w:top w:val="nil"/>
              <w:left w:val="nil"/>
              <w:bottom w:val="single" w:sz="4" w:space="0" w:color="auto"/>
              <w:right w:val="single" w:sz="4" w:space="0" w:color="auto"/>
            </w:tcBorders>
            <w:shd w:val="clear" w:color="auto" w:fill="auto"/>
            <w:noWrap/>
            <w:hideMark/>
          </w:tcPr>
          <w:p w14:paraId="22D0A2F8"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3908D850"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24199914" w14:textId="77777777" w:rsidTr="008E0319">
        <w:trPr>
          <w:trHeight w:val="289"/>
        </w:trPr>
        <w:tc>
          <w:tcPr>
            <w:tcW w:w="159" w:type="pct"/>
            <w:tcBorders>
              <w:top w:val="nil"/>
              <w:left w:val="single" w:sz="4" w:space="0" w:color="auto"/>
              <w:bottom w:val="single" w:sz="4" w:space="0" w:color="auto"/>
              <w:right w:val="single" w:sz="4" w:space="0" w:color="auto"/>
            </w:tcBorders>
            <w:shd w:val="clear" w:color="000000" w:fill="EFF4FF"/>
            <w:hideMark/>
          </w:tcPr>
          <w:p w14:paraId="1B543ABB" w14:textId="77777777" w:rsidR="00985D46" w:rsidRPr="00985D46" w:rsidRDefault="00985D46" w:rsidP="00985D46">
            <w:pPr>
              <w:spacing w:after="0" w:line="240" w:lineRule="auto"/>
              <w:jc w:val="center"/>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 xml:space="preserve">I </w:t>
            </w:r>
          </w:p>
        </w:tc>
        <w:tc>
          <w:tcPr>
            <w:tcW w:w="3506" w:type="pct"/>
            <w:tcBorders>
              <w:top w:val="nil"/>
              <w:left w:val="nil"/>
              <w:bottom w:val="single" w:sz="4" w:space="0" w:color="auto"/>
              <w:right w:val="single" w:sz="4" w:space="0" w:color="auto"/>
            </w:tcBorders>
            <w:shd w:val="clear" w:color="000000" w:fill="EFF4FF"/>
            <w:hideMark/>
          </w:tcPr>
          <w:p w14:paraId="095DCA10" w14:textId="77777777" w:rsidR="00985D46" w:rsidRPr="00985D46" w:rsidRDefault="00985D46" w:rsidP="00985D46">
            <w:pPr>
              <w:spacing w:after="0" w:line="240" w:lineRule="auto"/>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Incidents Self-Service:</w:t>
            </w:r>
          </w:p>
        </w:tc>
        <w:tc>
          <w:tcPr>
            <w:tcW w:w="640" w:type="pct"/>
            <w:tcBorders>
              <w:top w:val="nil"/>
              <w:left w:val="nil"/>
              <w:bottom w:val="single" w:sz="4" w:space="0" w:color="auto"/>
              <w:right w:val="single" w:sz="4" w:space="0" w:color="auto"/>
            </w:tcBorders>
            <w:shd w:val="clear" w:color="000000" w:fill="EFF4FF"/>
            <w:hideMark/>
          </w:tcPr>
          <w:p w14:paraId="6E1D8F24" w14:textId="77777777" w:rsidR="00985D46" w:rsidRPr="00985D46" w:rsidRDefault="00985D46" w:rsidP="00985D46">
            <w:pPr>
              <w:spacing w:after="0" w:line="240" w:lineRule="auto"/>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7F095548"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7CA83B5F"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051259BA"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31</w:t>
            </w:r>
          </w:p>
        </w:tc>
        <w:tc>
          <w:tcPr>
            <w:tcW w:w="3506" w:type="pct"/>
            <w:tcBorders>
              <w:top w:val="nil"/>
              <w:left w:val="nil"/>
              <w:bottom w:val="single" w:sz="4" w:space="0" w:color="auto"/>
              <w:right w:val="single" w:sz="4" w:space="0" w:color="auto"/>
            </w:tcBorders>
            <w:shd w:val="clear" w:color="auto" w:fill="auto"/>
            <w:hideMark/>
          </w:tcPr>
          <w:p w14:paraId="2C08F6A9"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system must provide users with a self-service portal to track the status and details of incidents they have reported, with updates on progress and resolution.</w:t>
            </w:r>
          </w:p>
        </w:tc>
        <w:tc>
          <w:tcPr>
            <w:tcW w:w="640" w:type="pct"/>
            <w:tcBorders>
              <w:top w:val="nil"/>
              <w:left w:val="nil"/>
              <w:bottom w:val="single" w:sz="4" w:space="0" w:color="auto"/>
              <w:right w:val="single" w:sz="4" w:space="0" w:color="auto"/>
            </w:tcBorders>
            <w:shd w:val="clear" w:color="auto" w:fill="auto"/>
            <w:noWrap/>
            <w:hideMark/>
          </w:tcPr>
          <w:p w14:paraId="6EEB6CCF"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58BA42F9"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58F67EF4"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5CFAA173"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32</w:t>
            </w:r>
          </w:p>
        </w:tc>
        <w:tc>
          <w:tcPr>
            <w:tcW w:w="3506" w:type="pct"/>
            <w:tcBorders>
              <w:top w:val="nil"/>
              <w:left w:val="nil"/>
              <w:bottom w:val="single" w:sz="4" w:space="0" w:color="auto"/>
              <w:right w:val="single" w:sz="4" w:space="0" w:color="auto"/>
            </w:tcBorders>
            <w:shd w:val="clear" w:color="auto" w:fill="auto"/>
            <w:hideMark/>
          </w:tcPr>
          <w:p w14:paraId="16108F06"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It should offer a resolved incidents archive where users can review past incidents they have reported along with the resolutions provided, fostering transparency and learning.</w:t>
            </w:r>
          </w:p>
        </w:tc>
        <w:tc>
          <w:tcPr>
            <w:tcW w:w="640" w:type="pct"/>
            <w:tcBorders>
              <w:top w:val="nil"/>
              <w:left w:val="nil"/>
              <w:bottom w:val="single" w:sz="4" w:space="0" w:color="auto"/>
              <w:right w:val="single" w:sz="4" w:space="0" w:color="auto"/>
            </w:tcBorders>
            <w:shd w:val="clear" w:color="auto" w:fill="auto"/>
            <w:noWrap/>
            <w:hideMark/>
          </w:tcPr>
          <w:p w14:paraId="144B8F48"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31C4762E"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53AF337F"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037131FB"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33</w:t>
            </w:r>
          </w:p>
        </w:tc>
        <w:tc>
          <w:tcPr>
            <w:tcW w:w="3506" w:type="pct"/>
            <w:tcBorders>
              <w:top w:val="nil"/>
              <w:left w:val="nil"/>
              <w:bottom w:val="single" w:sz="4" w:space="0" w:color="auto"/>
              <w:right w:val="single" w:sz="4" w:space="0" w:color="auto"/>
            </w:tcBorders>
            <w:shd w:val="clear" w:color="auto" w:fill="auto"/>
            <w:hideMark/>
          </w:tcPr>
          <w:p w14:paraId="28972DC5"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Quick access to the knowledge base must be provided, enabling users to find solutions and information without needing to escalate to support teams.</w:t>
            </w:r>
          </w:p>
        </w:tc>
        <w:tc>
          <w:tcPr>
            <w:tcW w:w="640" w:type="pct"/>
            <w:tcBorders>
              <w:top w:val="nil"/>
              <w:left w:val="nil"/>
              <w:bottom w:val="single" w:sz="4" w:space="0" w:color="auto"/>
              <w:right w:val="single" w:sz="4" w:space="0" w:color="auto"/>
            </w:tcBorders>
            <w:shd w:val="clear" w:color="auto" w:fill="auto"/>
            <w:noWrap/>
            <w:hideMark/>
          </w:tcPr>
          <w:p w14:paraId="4AC3B243"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509A8A0F"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32E1023E" w14:textId="77777777" w:rsidTr="008E0319">
        <w:trPr>
          <w:trHeight w:val="289"/>
        </w:trPr>
        <w:tc>
          <w:tcPr>
            <w:tcW w:w="159" w:type="pct"/>
            <w:tcBorders>
              <w:top w:val="nil"/>
              <w:left w:val="single" w:sz="4" w:space="0" w:color="auto"/>
              <w:bottom w:val="single" w:sz="4" w:space="0" w:color="auto"/>
              <w:right w:val="single" w:sz="4" w:space="0" w:color="auto"/>
            </w:tcBorders>
            <w:shd w:val="clear" w:color="000000" w:fill="EFF4FF"/>
            <w:hideMark/>
          </w:tcPr>
          <w:p w14:paraId="03576502" w14:textId="77777777" w:rsidR="00985D46" w:rsidRPr="00985D46" w:rsidRDefault="00985D46" w:rsidP="00985D46">
            <w:pPr>
              <w:spacing w:after="0" w:line="240" w:lineRule="auto"/>
              <w:jc w:val="center"/>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J</w:t>
            </w:r>
          </w:p>
        </w:tc>
        <w:tc>
          <w:tcPr>
            <w:tcW w:w="3506" w:type="pct"/>
            <w:tcBorders>
              <w:top w:val="nil"/>
              <w:left w:val="nil"/>
              <w:bottom w:val="single" w:sz="4" w:space="0" w:color="auto"/>
              <w:right w:val="single" w:sz="4" w:space="0" w:color="auto"/>
            </w:tcBorders>
            <w:shd w:val="clear" w:color="000000" w:fill="EFF4FF"/>
            <w:hideMark/>
          </w:tcPr>
          <w:p w14:paraId="4ACAB759" w14:textId="77777777" w:rsidR="00985D46" w:rsidRPr="00985D46" w:rsidRDefault="00985D46" w:rsidP="00985D46">
            <w:pPr>
              <w:spacing w:after="0" w:line="240" w:lineRule="auto"/>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General Requirements:</w:t>
            </w:r>
          </w:p>
        </w:tc>
        <w:tc>
          <w:tcPr>
            <w:tcW w:w="640" w:type="pct"/>
            <w:tcBorders>
              <w:top w:val="nil"/>
              <w:left w:val="nil"/>
              <w:bottom w:val="single" w:sz="4" w:space="0" w:color="auto"/>
              <w:right w:val="single" w:sz="4" w:space="0" w:color="auto"/>
            </w:tcBorders>
            <w:shd w:val="clear" w:color="000000" w:fill="EFF4FF"/>
            <w:hideMark/>
          </w:tcPr>
          <w:p w14:paraId="5DE89EF5" w14:textId="77777777" w:rsidR="00985D46" w:rsidRPr="00985D46" w:rsidRDefault="00985D46" w:rsidP="00985D46">
            <w:pPr>
              <w:spacing w:after="0" w:line="240" w:lineRule="auto"/>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4026FDBD"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31DDB18D"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7D1FE268"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34</w:t>
            </w:r>
          </w:p>
        </w:tc>
        <w:tc>
          <w:tcPr>
            <w:tcW w:w="3506" w:type="pct"/>
            <w:tcBorders>
              <w:top w:val="nil"/>
              <w:left w:val="nil"/>
              <w:bottom w:val="single" w:sz="4" w:space="0" w:color="auto"/>
              <w:right w:val="single" w:sz="4" w:space="0" w:color="auto"/>
            </w:tcBorders>
            <w:shd w:val="clear" w:color="auto" w:fill="auto"/>
            <w:hideMark/>
          </w:tcPr>
          <w:p w14:paraId="4B3DA079"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system should support the creation of fully configurable and tailored incident management dashboards based on organizational needs.</w:t>
            </w:r>
          </w:p>
        </w:tc>
        <w:tc>
          <w:tcPr>
            <w:tcW w:w="640" w:type="pct"/>
            <w:tcBorders>
              <w:top w:val="nil"/>
              <w:left w:val="nil"/>
              <w:bottom w:val="single" w:sz="4" w:space="0" w:color="auto"/>
              <w:right w:val="single" w:sz="4" w:space="0" w:color="auto"/>
            </w:tcBorders>
            <w:shd w:val="clear" w:color="auto" w:fill="auto"/>
            <w:noWrap/>
            <w:hideMark/>
          </w:tcPr>
          <w:p w14:paraId="164222FE"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0245265F"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0557002"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20F13A0E"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35</w:t>
            </w:r>
          </w:p>
        </w:tc>
        <w:tc>
          <w:tcPr>
            <w:tcW w:w="3506" w:type="pct"/>
            <w:tcBorders>
              <w:top w:val="nil"/>
              <w:left w:val="nil"/>
              <w:bottom w:val="single" w:sz="4" w:space="0" w:color="auto"/>
              <w:right w:val="single" w:sz="4" w:space="0" w:color="auto"/>
            </w:tcBorders>
            <w:shd w:val="clear" w:color="auto" w:fill="auto"/>
            <w:hideMark/>
          </w:tcPr>
          <w:p w14:paraId="614CEEAB"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In view if the regulatory expectations, as a mandatory requirement for bank, the system should be able to support configurable report formats such as Word, PowerPoint, Excel, and PDF.</w:t>
            </w:r>
          </w:p>
        </w:tc>
        <w:tc>
          <w:tcPr>
            <w:tcW w:w="640" w:type="pct"/>
            <w:tcBorders>
              <w:top w:val="nil"/>
              <w:left w:val="nil"/>
              <w:bottom w:val="single" w:sz="4" w:space="0" w:color="auto"/>
              <w:right w:val="single" w:sz="4" w:space="0" w:color="auto"/>
            </w:tcBorders>
            <w:shd w:val="clear" w:color="auto" w:fill="auto"/>
            <w:noWrap/>
            <w:hideMark/>
          </w:tcPr>
          <w:p w14:paraId="5F6D102D"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76128A6D"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7E212E4"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28B6D2AC"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36</w:t>
            </w:r>
          </w:p>
        </w:tc>
        <w:tc>
          <w:tcPr>
            <w:tcW w:w="3506" w:type="pct"/>
            <w:tcBorders>
              <w:top w:val="nil"/>
              <w:left w:val="nil"/>
              <w:bottom w:val="single" w:sz="4" w:space="0" w:color="auto"/>
              <w:right w:val="single" w:sz="4" w:space="0" w:color="auto"/>
            </w:tcBorders>
            <w:shd w:val="clear" w:color="auto" w:fill="auto"/>
            <w:hideMark/>
          </w:tcPr>
          <w:p w14:paraId="08BCD114"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system should support an automated incident assignment based on predefined rules.</w:t>
            </w:r>
          </w:p>
        </w:tc>
        <w:tc>
          <w:tcPr>
            <w:tcW w:w="640" w:type="pct"/>
            <w:tcBorders>
              <w:top w:val="nil"/>
              <w:left w:val="nil"/>
              <w:bottom w:val="single" w:sz="4" w:space="0" w:color="auto"/>
              <w:right w:val="single" w:sz="4" w:space="0" w:color="auto"/>
            </w:tcBorders>
            <w:shd w:val="clear" w:color="auto" w:fill="auto"/>
            <w:noWrap/>
            <w:hideMark/>
          </w:tcPr>
          <w:p w14:paraId="4EAD8F68"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736369E3"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AC18020"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46FB7E2F"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37</w:t>
            </w:r>
          </w:p>
        </w:tc>
        <w:tc>
          <w:tcPr>
            <w:tcW w:w="3506" w:type="pct"/>
            <w:tcBorders>
              <w:top w:val="nil"/>
              <w:left w:val="nil"/>
              <w:bottom w:val="single" w:sz="4" w:space="0" w:color="auto"/>
              <w:right w:val="single" w:sz="4" w:space="0" w:color="auto"/>
            </w:tcBorders>
            <w:shd w:val="clear" w:color="auto" w:fill="auto"/>
            <w:hideMark/>
          </w:tcPr>
          <w:p w14:paraId="3924A43F"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Configurable incident escalation and notification settings should be available.</w:t>
            </w:r>
          </w:p>
        </w:tc>
        <w:tc>
          <w:tcPr>
            <w:tcW w:w="640" w:type="pct"/>
            <w:tcBorders>
              <w:top w:val="nil"/>
              <w:left w:val="nil"/>
              <w:bottom w:val="single" w:sz="4" w:space="0" w:color="auto"/>
              <w:right w:val="single" w:sz="4" w:space="0" w:color="auto"/>
            </w:tcBorders>
            <w:shd w:val="clear" w:color="auto" w:fill="auto"/>
            <w:noWrap/>
            <w:hideMark/>
          </w:tcPr>
          <w:p w14:paraId="4DBDD030"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05E8B056"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5A4377A"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7C5D1DE5"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38</w:t>
            </w:r>
          </w:p>
        </w:tc>
        <w:tc>
          <w:tcPr>
            <w:tcW w:w="3506" w:type="pct"/>
            <w:tcBorders>
              <w:top w:val="nil"/>
              <w:left w:val="nil"/>
              <w:bottom w:val="single" w:sz="4" w:space="0" w:color="auto"/>
              <w:right w:val="single" w:sz="4" w:space="0" w:color="auto"/>
            </w:tcBorders>
            <w:shd w:val="clear" w:color="auto" w:fill="auto"/>
            <w:hideMark/>
          </w:tcPr>
          <w:p w14:paraId="1B50C4F7"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Customizable incident workflows with defined stages and actions should be supported.</w:t>
            </w:r>
          </w:p>
        </w:tc>
        <w:tc>
          <w:tcPr>
            <w:tcW w:w="640" w:type="pct"/>
            <w:tcBorders>
              <w:top w:val="nil"/>
              <w:left w:val="nil"/>
              <w:bottom w:val="single" w:sz="4" w:space="0" w:color="auto"/>
              <w:right w:val="single" w:sz="4" w:space="0" w:color="auto"/>
            </w:tcBorders>
            <w:shd w:val="clear" w:color="auto" w:fill="auto"/>
            <w:noWrap/>
            <w:hideMark/>
          </w:tcPr>
          <w:p w14:paraId="04A10B6E"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31402A51"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F8D48B1"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07F0F2D4"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39</w:t>
            </w:r>
          </w:p>
        </w:tc>
        <w:tc>
          <w:tcPr>
            <w:tcW w:w="3506" w:type="pct"/>
            <w:tcBorders>
              <w:top w:val="nil"/>
              <w:left w:val="nil"/>
              <w:bottom w:val="single" w:sz="4" w:space="0" w:color="auto"/>
              <w:right w:val="single" w:sz="4" w:space="0" w:color="auto"/>
            </w:tcBorders>
            <w:shd w:val="clear" w:color="auto" w:fill="auto"/>
            <w:hideMark/>
          </w:tcPr>
          <w:p w14:paraId="41A068A3"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Configurable incident details pages must be offered to suit organizational requirements.</w:t>
            </w:r>
          </w:p>
        </w:tc>
        <w:tc>
          <w:tcPr>
            <w:tcW w:w="640" w:type="pct"/>
            <w:tcBorders>
              <w:top w:val="nil"/>
              <w:left w:val="nil"/>
              <w:bottom w:val="single" w:sz="4" w:space="0" w:color="auto"/>
              <w:right w:val="single" w:sz="4" w:space="0" w:color="auto"/>
            </w:tcBorders>
            <w:shd w:val="clear" w:color="auto" w:fill="auto"/>
            <w:noWrap/>
            <w:hideMark/>
          </w:tcPr>
          <w:p w14:paraId="41DB02D7"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0A08D2D7"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649E9337" w14:textId="77777777" w:rsidTr="008E0319">
        <w:trPr>
          <w:trHeight w:val="300"/>
        </w:trPr>
        <w:tc>
          <w:tcPr>
            <w:tcW w:w="4305" w:type="pct"/>
            <w:gridSpan w:val="3"/>
            <w:tcBorders>
              <w:top w:val="single" w:sz="4" w:space="0" w:color="auto"/>
              <w:left w:val="single" w:sz="4" w:space="0" w:color="auto"/>
              <w:bottom w:val="single" w:sz="4" w:space="0" w:color="auto"/>
              <w:right w:val="single" w:sz="4" w:space="0" w:color="auto"/>
            </w:tcBorders>
            <w:shd w:val="clear" w:color="000000" w:fill="333F4F"/>
            <w:noWrap/>
            <w:hideMark/>
          </w:tcPr>
          <w:p w14:paraId="3A2A65D3" w14:textId="77777777" w:rsidR="00985D46" w:rsidRPr="00985D46" w:rsidRDefault="00985D46" w:rsidP="00985D46">
            <w:pPr>
              <w:spacing w:after="0" w:line="240" w:lineRule="auto"/>
              <w:jc w:val="center"/>
              <w:rPr>
                <w:rFonts w:ascii="Calibri" w:eastAsia="Times New Roman" w:hAnsi="Calibri" w:cs="Calibri"/>
                <w:b/>
                <w:bCs/>
                <w:color w:val="FFFFFF"/>
                <w:sz w:val="20"/>
                <w:szCs w:val="20"/>
                <w:lang w:val="en-GB" w:eastAsia="en-GB"/>
              </w:rPr>
            </w:pPr>
            <w:r w:rsidRPr="00985D46">
              <w:rPr>
                <w:rFonts w:ascii="Calibri" w:eastAsia="Times New Roman" w:hAnsi="Calibri" w:cs="Calibri"/>
                <w:b/>
                <w:bCs/>
                <w:color w:val="FFFFFF"/>
                <w:sz w:val="20"/>
                <w:szCs w:val="20"/>
                <w:lang w:val="en-GB" w:eastAsia="en-GB"/>
              </w:rPr>
              <w:t>Information Security - ISMS - ISO27001:2022</w:t>
            </w:r>
          </w:p>
        </w:tc>
        <w:tc>
          <w:tcPr>
            <w:tcW w:w="695" w:type="pct"/>
            <w:tcBorders>
              <w:top w:val="nil"/>
              <w:left w:val="nil"/>
              <w:bottom w:val="single" w:sz="4" w:space="0" w:color="auto"/>
              <w:right w:val="single" w:sz="4" w:space="0" w:color="auto"/>
            </w:tcBorders>
            <w:shd w:val="clear" w:color="auto" w:fill="auto"/>
            <w:hideMark/>
          </w:tcPr>
          <w:p w14:paraId="079119FC"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B651594" w14:textId="77777777" w:rsidTr="008E0319">
        <w:trPr>
          <w:trHeight w:val="289"/>
        </w:trPr>
        <w:tc>
          <w:tcPr>
            <w:tcW w:w="159" w:type="pct"/>
            <w:tcBorders>
              <w:top w:val="nil"/>
              <w:left w:val="single" w:sz="4" w:space="0" w:color="auto"/>
              <w:bottom w:val="single" w:sz="4" w:space="0" w:color="auto"/>
              <w:right w:val="single" w:sz="4" w:space="0" w:color="auto"/>
            </w:tcBorders>
            <w:shd w:val="clear" w:color="000000" w:fill="EFF4FF"/>
            <w:hideMark/>
          </w:tcPr>
          <w:p w14:paraId="32828770" w14:textId="77777777" w:rsidR="00985D46" w:rsidRPr="00985D46" w:rsidRDefault="00985D46" w:rsidP="00985D46">
            <w:pPr>
              <w:spacing w:after="0" w:line="240" w:lineRule="auto"/>
              <w:jc w:val="center"/>
              <w:rPr>
                <w:rFonts w:ascii="Calibri" w:eastAsia="Times New Roman" w:hAnsi="Calibri" w:cs="Calibri"/>
                <w:b/>
                <w:bCs/>
                <w:sz w:val="20"/>
                <w:szCs w:val="20"/>
                <w:lang w:val="en-GB" w:eastAsia="en-GB"/>
              </w:rPr>
            </w:pPr>
            <w:r w:rsidRPr="00985D46">
              <w:rPr>
                <w:rFonts w:ascii="Calibri" w:eastAsia="Times New Roman" w:hAnsi="Calibri" w:cs="Calibri"/>
                <w:b/>
                <w:bCs/>
                <w:sz w:val="20"/>
                <w:szCs w:val="20"/>
                <w:lang w:val="en-GB" w:eastAsia="en-GB"/>
              </w:rPr>
              <w:t>K</w:t>
            </w:r>
          </w:p>
        </w:tc>
        <w:tc>
          <w:tcPr>
            <w:tcW w:w="3506" w:type="pct"/>
            <w:tcBorders>
              <w:top w:val="nil"/>
              <w:left w:val="nil"/>
              <w:bottom w:val="single" w:sz="4" w:space="0" w:color="auto"/>
              <w:right w:val="single" w:sz="4" w:space="0" w:color="auto"/>
            </w:tcBorders>
            <w:shd w:val="clear" w:color="000000" w:fill="EFF4FF"/>
            <w:hideMark/>
          </w:tcPr>
          <w:p w14:paraId="5492A116" w14:textId="77777777" w:rsidR="00985D46" w:rsidRPr="00985D46" w:rsidRDefault="00985D46" w:rsidP="00985D46">
            <w:pPr>
              <w:spacing w:after="0" w:line="240" w:lineRule="auto"/>
              <w:rPr>
                <w:rFonts w:ascii="Calibri" w:eastAsia="Times New Roman" w:hAnsi="Calibri" w:cs="Calibri"/>
                <w:b/>
                <w:bCs/>
                <w:sz w:val="20"/>
                <w:szCs w:val="20"/>
                <w:lang w:val="en-GB" w:eastAsia="en-GB"/>
              </w:rPr>
            </w:pPr>
            <w:r w:rsidRPr="00985D46">
              <w:rPr>
                <w:rFonts w:ascii="Calibri" w:eastAsia="Times New Roman" w:hAnsi="Calibri" w:cs="Calibri"/>
                <w:b/>
                <w:bCs/>
                <w:sz w:val="20"/>
                <w:szCs w:val="20"/>
                <w:lang w:val="en-GB" w:eastAsia="en-GB"/>
              </w:rPr>
              <w:t>Policy Management:</w:t>
            </w:r>
          </w:p>
        </w:tc>
        <w:tc>
          <w:tcPr>
            <w:tcW w:w="640" w:type="pct"/>
            <w:tcBorders>
              <w:top w:val="nil"/>
              <w:left w:val="nil"/>
              <w:bottom w:val="single" w:sz="4" w:space="0" w:color="auto"/>
              <w:right w:val="single" w:sz="4" w:space="0" w:color="auto"/>
            </w:tcBorders>
            <w:shd w:val="clear" w:color="000000" w:fill="EFF4FF"/>
            <w:hideMark/>
          </w:tcPr>
          <w:p w14:paraId="183ABB30" w14:textId="77777777" w:rsidR="00985D46" w:rsidRPr="00985D46" w:rsidRDefault="00985D46" w:rsidP="00985D46">
            <w:pPr>
              <w:spacing w:after="0" w:line="240" w:lineRule="auto"/>
              <w:rPr>
                <w:rFonts w:ascii="Calibri" w:eastAsia="Times New Roman" w:hAnsi="Calibri" w:cs="Calibri"/>
                <w:b/>
                <w:bCs/>
                <w:sz w:val="20"/>
                <w:szCs w:val="20"/>
                <w:lang w:val="en-GB" w:eastAsia="en-GB"/>
              </w:rPr>
            </w:pPr>
            <w:r w:rsidRPr="00985D46">
              <w:rPr>
                <w:rFonts w:ascii="Calibri" w:eastAsia="Times New Roman" w:hAnsi="Calibri" w:cs="Calibri"/>
                <w:b/>
                <w:bCs/>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202BCD06"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165CBE3"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7FF9A3A8"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w:t>
            </w:r>
          </w:p>
        </w:tc>
        <w:tc>
          <w:tcPr>
            <w:tcW w:w="3506" w:type="pct"/>
            <w:tcBorders>
              <w:top w:val="nil"/>
              <w:left w:val="nil"/>
              <w:bottom w:val="single" w:sz="4" w:space="0" w:color="auto"/>
              <w:right w:val="single" w:sz="4" w:space="0" w:color="auto"/>
            </w:tcBorders>
            <w:shd w:val="clear" w:color="auto" w:fill="auto"/>
            <w:hideMark/>
          </w:tcPr>
          <w:p w14:paraId="27085C85"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must enable the creation, review, and management of security policies with version control and audit trails.</w:t>
            </w:r>
          </w:p>
        </w:tc>
        <w:tc>
          <w:tcPr>
            <w:tcW w:w="640" w:type="pct"/>
            <w:tcBorders>
              <w:top w:val="nil"/>
              <w:left w:val="nil"/>
              <w:bottom w:val="single" w:sz="4" w:space="0" w:color="auto"/>
              <w:right w:val="single" w:sz="4" w:space="0" w:color="auto"/>
            </w:tcBorders>
            <w:shd w:val="clear" w:color="auto" w:fill="auto"/>
            <w:noWrap/>
            <w:hideMark/>
          </w:tcPr>
          <w:p w14:paraId="06D210CB"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43DAF13F"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CA662DF"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794BA0AC"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lastRenderedPageBreak/>
              <w:t>2</w:t>
            </w:r>
          </w:p>
        </w:tc>
        <w:tc>
          <w:tcPr>
            <w:tcW w:w="3506" w:type="pct"/>
            <w:tcBorders>
              <w:top w:val="nil"/>
              <w:left w:val="nil"/>
              <w:bottom w:val="single" w:sz="4" w:space="0" w:color="auto"/>
              <w:right w:val="single" w:sz="4" w:space="0" w:color="auto"/>
            </w:tcBorders>
            <w:shd w:val="clear" w:color="auto" w:fill="auto"/>
            <w:hideMark/>
          </w:tcPr>
          <w:p w14:paraId="655FE530"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should offer the capability to either create policies directly within the system using a comprehensive set of tools and a rich text editor, or upload existing policies as documents.</w:t>
            </w:r>
          </w:p>
        </w:tc>
        <w:tc>
          <w:tcPr>
            <w:tcW w:w="640" w:type="pct"/>
            <w:tcBorders>
              <w:top w:val="nil"/>
              <w:left w:val="nil"/>
              <w:bottom w:val="single" w:sz="4" w:space="0" w:color="auto"/>
              <w:right w:val="single" w:sz="4" w:space="0" w:color="auto"/>
            </w:tcBorders>
            <w:shd w:val="clear" w:color="auto" w:fill="auto"/>
            <w:noWrap/>
            <w:hideMark/>
          </w:tcPr>
          <w:p w14:paraId="2AE84246"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2B43371F"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102D1D3"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262BF136"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3</w:t>
            </w:r>
          </w:p>
        </w:tc>
        <w:tc>
          <w:tcPr>
            <w:tcW w:w="3506" w:type="pct"/>
            <w:tcBorders>
              <w:top w:val="nil"/>
              <w:left w:val="nil"/>
              <w:bottom w:val="single" w:sz="4" w:space="0" w:color="auto"/>
              <w:right w:val="single" w:sz="4" w:space="0" w:color="auto"/>
            </w:tcBorders>
            <w:shd w:val="clear" w:color="auto" w:fill="auto"/>
            <w:hideMark/>
          </w:tcPr>
          <w:p w14:paraId="7ED1632E"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should notify relevant stakeholders of upcoming policy reviews and policy approval during creation.</w:t>
            </w:r>
          </w:p>
        </w:tc>
        <w:tc>
          <w:tcPr>
            <w:tcW w:w="640" w:type="pct"/>
            <w:tcBorders>
              <w:top w:val="nil"/>
              <w:left w:val="nil"/>
              <w:bottom w:val="single" w:sz="4" w:space="0" w:color="auto"/>
              <w:right w:val="single" w:sz="4" w:space="0" w:color="auto"/>
            </w:tcBorders>
            <w:shd w:val="clear" w:color="auto" w:fill="auto"/>
            <w:noWrap/>
            <w:hideMark/>
          </w:tcPr>
          <w:p w14:paraId="41D6CF40"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68D9A7AF"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E530F2D"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643838AF"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4</w:t>
            </w:r>
          </w:p>
        </w:tc>
        <w:tc>
          <w:tcPr>
            <w:tcW w:w="3506" w:type="pct"/>
            <w:tcBorders>
              <w:top w:val="nil"/>
              <w:left w:val="nil"/>
              <w:bottom w:val="single" w:sz="4" w:space="0" w:color="auto"/>
              <w:right w:val="single" w:sz="4" w:space="0" w:color="auto"/>
            </w:tcBorders>
            <w:shd w:val="clear" w:color="auto" w:fill="auto"/>
            <w:hideMark/>
          </w:tcPr>
          <w:p w14:paraId="5BE371C8"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should have the capability to link policies directly to specific ISO 27001 Controls and Clauses and other relevant standards.</w:t>
            </w:r>
          </w:p>
        </w:tc>
        <w:tc>
          <w:tcPr>
            <w:tcW w:w="640" w:type="pct"/>
            <w:tcBorders>
              <w:top w:val="nil"/>
              <w:left w:val="nil"/>
              <w:bottom w:val="single" w:sz="4" w:space="0" w:color="auto"/>
              <w:right w:val="single" w:sz="4" w:space="0" w:color="auto"/>
            </w:tcBorders>
            <w:shd w:val="clear" w:color="auto" w:fill="auto"/>
            <w:noWrap/>
            <w:hideMark/>
          </w:tcPr>
          <w:p w14:paraId="3F90F3A7"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36E01A05"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3BC36824"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637A179F"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5</w:t>
            </w:r>
          </w:p>
        </w:tc>
        <w:tc>
          <w:tcPr>
            <w:tcW w:w="3506" w:type="pct"/>
            <w:tcBorders>
              <w:top w:val="nil"/>
              <w:left w:val="nil"/>
              <w:bottom w:val="single" w:sz="4" w:space="0" w:color="auto"/>
              <w:right w:val="single" w:sz="4" w:space="0" w:color="auto"/>
            </w:tcBorders>
            <w:shd w:val="clear" w:color="auto" w:fill="auto"/>
            <w:hideMark/>
          </w:tcPr>
          <w:p w14:paraId="5DE92CA4"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should enables linking of related policies.</w:t>
            </w:r>
          </w:p>
        </w:tc>
        <w:tc>
          <w:tcPr>
            <w:tcW w:w="640" w:type="pct"/>
            <w:tcBorders>
              <w:top w:val="nil"/>
              <w:left w:val="nil"/>
              <w:bottom w:val="single" w:sz="4" w:space="0" w:color="auto"/>
              <w:right w:val="single" w:sz="4" w:space="0" w:color="auto"/>
            </w:tcBorders>
            <w:shd w:val="clear" w:color="auto" w:fill="auto"/>
            <w:noWrap/>
            <w:hideMark/>
          </w:tcPr>
          <w:p w14:paraId="55626F69"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3C58F533"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6F6A1C7"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527EF2E9"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6</w:t>
            </w:r>
          </w:p>
        </w:tc>
        <w:tc>
          <w:tcPr>
            <w:tcW w:w="3506" w:type="pct"/>
            <w:tcBorders>
              <w:top w:val="nil"/>
              <w:left w:val="nil"/>
              <w:bottom w:val="single" w:sz="4" w:space="0" w:color="auto"/>
              <w:right w:val="single" w:sz="4" w:space="0" w:color="auto"/>
            </w:tcBorders>
            <w:shd w:val="clear" w:color="auto" w:fill="auto"/>
            <w:hideMark/>
          </w:tcPr>
          <w:p w14:paraId="6B39B992"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should have fully configurable fields management to capture comprehensive policy details including policy ID, title, related Annex A controls, version, owner, effective date, review dates, review frequency, and other adaptable fields as needed.</w:t>
            </w:r>
          </w:p>
        </w:tc>
        <w:tc>
          <w:tcPr>
            <w:tcW w:w="640" w:type="pct"/>
            <w:tcBorders>
              <w:top w:val="nil"/>
              <w:left w:val="nil"/>
              <w:bottom w:val="single" w:sz="4" w:space="0" w:color="auto"/>
              <w:right w:val="single" w:sz="4" w:space="0" w:color="auto"/>
            </w:tcBorders>
            <w:shd w:val="clear" w:color="auto" w:fill="auto"/>
            <w:noWrap/>
            <w:hideMark/>
          </w:tcPr>
          <w:p w14:paraId="20910995"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77295033"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EC90968"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3EA8FC7A"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7</w:t>
            </w:r>
          </w:p>
        </w:tc>
        <w:tc>
          <w:tcPr>
            <w:tcW w:w="3506" w:type="pct"/>
            <w:tcBorders>
              <w:top w:val="nil"/>
              <w:left w:val="nil"/>
              <w:bottom w:val="single" w:sz="4" w:space="0" w:color="auto"/>
              <w:right w:val="single" w:sz="4" w:space="0" w:color="auto"/>
            </w:tcBorders>
            <w:shd w:val="clear" w:color="auto" w:fill="auto"/>
            <w:hideMark/>
          </w:tcPr>
          <w:p w14:paraId="73EA9C19"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should allow attaching documents that are related to the policy for reference and compliance.</w:t>
            </w:r>
          </w:p>
        </w:tc>
        <w:tc>
          <w:tcPr>
            <w:tcW w:w="640" w:type="pct"/>
            <w:tcBorders>
              <w:top w:val="nil"/>
              <w:left w:val="nil"/>
              <w:bottom w:val="single" w:sz="4" w:space="0" w:color="auto"/>
              <w:right w:val="single" w:sz="4" w:space="0" w:color="auto"/>
            </w:tcBorders>
            <w:shd w:val="clear" w:color="auto" w:fill="auto"/>
            <w:noWrap/>
            <w:hideMark/>
          </w:tcPr>
          <w:p w14:paraId="0A736BBD"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08F8E07E"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66764F16"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117AA723"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8</w:t>
            </w:r>
          </w:p>
        </w:tc>
        <w:tc>
          <w:tcPr>
            <w:tcW w:w="3506" w:type="pct"/>
            <w:tcBorders>
              <w:top w:val="nil"/>
              <w:left w:val="nil"/>
              <w:bottom w:val="single" w:sz="4" w:space="0" w:color="auto"/>
              <w:right w:val="single" w:sz="4" w:space="0" w:color="auto"/>
            </w:tcBorders>
            <w:shd w:val="clear" w:color="auto" w:fill="auto"/>
            <w:hideMark/>
          </w:tcPr>
          <w:p w14:paraId="296AA0B7"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should enable the tracking and management of the approval workflow and notification for each policy.</w:t>
            </w:r>
          </w:p>
        </w:tc>
        <w:tc>
          <w:tcPr>
            <w:tcW w:w="640" w:type="pct"/>
            <w:tcBorders>
              <w:top w:val="nil"/>
              <w:left w:val="nil"/>
              <w:bottom w:val="single" w:sz="4" w:space="0" w:color="auto"/>
              <w:right w:val="single" w:sz="4" w:space="0" w:color="auto"/>
            </w:tcBorders>
            <w:shd w:val="clear" w:color="auto" w:fill="auto"/>
            <w:noWrap/>
            <w:hideMark/>
          </w:tcPr>
          <w:p w14:paraId="7AA44C64"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0C139636"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7CD028BC"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63C4E50B"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9</w:t>
            </w:r>
          </w:p>
        </w:tc>
        <w:tc>
          <w:tcPr>
            <w:tcW w:w="3506" w:type="pct"/>
            <w:tcBorders>
              <w:top w:val="nil"/>
              <w:left w:val="nil"/>
              <w:bottom w:val="single" w:sz="4" w:space="0" w:color="auto"/>
              <w:right w:val="single" w:sz="4" w:space="0" w:color="auto"/>
            </w:tcBorders>
            <w:shd w:val="clear" w:color="auto" w:fill="auto"/>
            <w:hideMark/>
          </w:tcPr>
          <w:p w14:paraId="1393BFF9"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must generate finalized policy documents, supporting both Word and PDF formats.</w:t>
            </w:r>
          </w:p>
        </w:tc>
        <w:tc>
          <w:tcPr>
            <w:tcW w:w="640" w:type="pct"/>
            <w:tcBorders>
              <w:top w:val="nil"/>
              <w:left w:val="nil"/>
              <w:bottom w:val="single" w:sz="4" w:space="0" w:color="auto"/>
              <w:right w:val="single" w:sz="4" w:space="0" w:color="auto"/>
            </w:tcBorders>
            <w:shd w:val="clear" w:color="auto" w:fill="auto"/>
            <w:noWrap/>
            <w:hideMark/>
          </w:tcPr>
          <w:p w14:paraId="2638794B"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5F91F0CF"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7C212E5F"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58B7B7F2"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10</w:t>
            </w:r>
          </w:p>
        </w:tc>
        <w:tc>
          <w:tcPr>
            <w:tcW w:w="3506" w:type="pct"/>
            <w:tcBorders>
              <w:top w:val="nil"/>
              <w:left w:val="nil"/>
              <w:bottom w:val="single" w:sz="4" w:space="0" w:color="auto"/>
              <w:right w:val="single" w:sz="4" w:space="0" w:color="auto"/>
            </w:tcBorders>
            <w:shd w:val="clear" w:color="auto" w:fill="auto"/>
            <w:hideMark/>
          </w:tcPr>
          <w:p w14:paraId="1B189E4D"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must include configurable lookup fields for various regulations and additional controls that can be easily linked to relevant policies, supporting dynamic updates to the regulatory landscape.</w:t>
            </w:r>
          </w:p>
        </w:tc>
        <w:tc>
          <w:tcPr>
            <w:tcW w:w="640" w:type="pct"/>
            <w:tcBorders>
              <w:top w:val="nil"/>
              <w:left w:val="nil"/>
              <w:bottom w:val="single" w:sz="4" w:space="0" w:color="auto"/>
              <w:right w:val="single" w:sz="4" w:space="0" w:color="auto"/>
            </w:tcBorders>
            <w:shd w:val="clear" w:color="auto" w:fill="auto"/>
            <w:noWrap/>
            <w:hideMark/>
          </w:tcPr>
          <w:p w14:paraId="1A7DAC38"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62449551"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1A56B0C"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1FFCEC92"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11</w:t>
            </w:r>
          </w:p>
        </w:tc>
        <w:tc>
          <w:tcPr>
            <w:tcW w:w="3506" w:type="pct"/>
            <w:tcBorders>
              <w:top w:val="nil"/>
              <w:left w:val="nil"/>
              <w:bottom w:val="single" w:sz="4" w:space="0" w:color="auto"/>
              <w:right w:val="single" w:sz="4" w:space="0" w:color="auto"/>
            </w:tcBorders>
            <w:shd w:val="clear" w:color="auto" w:fill="auto"/>
            <w:hideMark/>
          </w:tcPr>
          <w:p w14:paraId="450C72D5"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should offer the feature to link policies to a variety of standards beyond ISO 27001, allowing the organization to comply with multiple frameworks and enhance its compliance adaptability.</w:t>
            </w:r>
          </w:p>
        </w:tc>
        <w:tc>
          <w:tcPr>
            <w:tcW w:w="640" w:type="pct"/>
            <w:tcBorders>
              <w:top w:val="nil"/>
              <w:left w:val="nil"/>
              <w:bottom w:val="single" w:sz="4" w:space="0" w:color="auto"/>
              <w:right w:val="single" w:sz="4" w:space="0" w:color="auto"/>
            </w:tcBorders>
            <w:shd w:val="clear" w:color="auto" w:fill="auto"/>
            <w:noWrap/>
            <w:hideMark/>
          </w:tcPr>
          <w:p w14:paraId="099E2E66"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1466AA71"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52425F24" w14:textId="77777777" w:rsidTr="008E0319">
        <w:trPr>
          <w:trHeight w:val="289"/>
        </w:trPr>
        <w:tc>
          <w:tcPr>
            <w:tcW w:w="159" w:type="pct"/>
            <w:tcBorders>
              <w:top w:val="nil"/>
              <w:left w:val="single" w:sz="4" w:space="0" w:color="auto"/>
              <w:bottom w:val="single" w:sz="4" w:space="0" w:color="auto"/>
              <w:right w:val="single" w:sz="4" w:space="0" w:color="auto"/>
            </w:tcBorders>
            <w:shd w:val="clear" w:color="000000" w:fill="EFF4FF"/>
            <w:hideMark/>
          </w:tcPr>
          <w:p w14:paraId="02087578" w14:textId="77777777" w:rsidR="00985D46" w:rsidRPr="00985D46" w:rsidRDefault="00985D46" w:rsidP="00985D46">
            <w:pPr>
              <w:spacing w:after="0" w:line="240" w:lineRule="auto"/>
              <w:jc w:val="center"/>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L</w:t>
            </w:r>
          </w:p>
        </w:tc>
        <w:tc>
          <w:tcPr>
            <w:tcW w:w="3506" w:type="pct"/>
            <w:tcBorders>
              <w:top w:val="nil"/>
              <w:left w:val="nil"/>
              <w:bottom w:val="single" w:sz="4" w:space="0" w:color="auto"/>
              <w:right w:val="single" w:sz="4" w:space="0" w:color="auto"/>
            </w:tcBorders>
            <w:shd w:val="clear" w:color="000000" w:fill="EFF4FF"/>
            <w:hideMark/>
          </w:tcPr>
          <w:p w14:paraId="198F225C" w14:textId="77777777" w:rsidR="00985D46" w:rsidRPr="00985D46" w:rsidRDefault="00985D46" w:rsidP="00985D46">
            <w:pPr>
              <w:spacing w:after="0" w:line="240" w:lineRule="auto"/>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Risk Assessment:</w:t>
            </w:r>
          </w:p>
        </w:tc>
        <w:tc>
          <w:tcPr>
            <w:tcW w:w="640" w:type="pct"/>
            <w:tcBorders>
              <w:top w:val="nil"/>
              <w:left w:val="nil"/>
              <w:bottom w:val="single" w:sz="4" w:space="0" w:color="auto"/>
              <w:right w:val="single" w:sz="4" w:space="0" w:color="auto"/>
            </w:tcBorders>
            <w:shd w:val="clear" w:color="000000" w:fill="EFF4FF"/>
            <w:hideMark/>
          </w:tcPr>
          <w:p w14:paraId="2325EBE2" w14:textId="77777777" w:rsidR="00985D46" w:rsidRPr="00985D46" w:rsidRDefault="00985D46" w:rsidP="00985D46">
            <w:pPr>
              <w:spacing w:after="0" w:line="240" w:lineRule="auto"/>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00D6FA06"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5DFF492F"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5748D34D"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12</w:t>
            </w:r>
          </w:p>
        </w:tc>
        <w:tc>
          <w:tcPr>
            <w:tcW w:w="3506" w:type="pct"/>
            <w:tcBorders>
              <w:top w:val="nil"/>
              <w:left w:val="nil"/>
              <w:bottom w:val="single" w:sz="4" w:space="0" w:color="auto"/>
              <w:right w:val="single" w:sz="4" w:space="0" w:color="auto"/>
            </w:tcBorders>
            <w:shd w:val="clear" w:color="auto" w:fill="auto"/>
            <w:hideMark/>
          </w:tcPr>
          <w:p w14:paraId="1FDF1381"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must include a risk register with key details for each risk. The risk register table should allow for adding risk, filtering, searching, and inline editing of risk entries.</w:t>
            </w:r>
          </w:p>
        </w:tc>
        <w:tc>
          <w:tcPr>
            <w:tcW w:w="640" w:type="pct"/>
            <w:tcBorders>
              <w:top w:val="nil"/>
              <w:left w:val="nil"/>
              <w:bottom w:val="single" w:sz="4" w:space="0" w:color="auto"/>
              <w:right w:val="single" w:sz="4" w:space="0" w:color="auto"/>
            </w:tcBorders>
            <w:shd w:val="clear" w:color="auto" w:fill="auto"/>
            <w:noWrap/>
            <w:hideMark/>
          </w:tcPr>
          <w:p w14:paraId="4BFC103B"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20079581"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26D831C9"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25A76951"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13</w:t>
            </w:r>
          </w:p>
        </w:tc>
        <w:tc>
          <w:tcPr>
            <w:tcW w:w="3506" w:type="pct"/>
            <w:tcBorders>
              <w:top w:val="nil"/>
              <w:left w:val="nil"/>
              <w:bottom w:val="single" w:sz="4" w:space="0" w:color="auto"/>
              <w:right w:val="single" w:sz="4" w:space="0" w:color="auto"/>
            </w:tcBorders>
            <w:shd w:val="clear" w:color="auto" w:fill="auto"/>
            <w:hideMark/>
          </w:tcPr>
          <w:p w14:paraId="228008B7"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must accommodate both asset-based and scenario-based risk assessments.</w:t>
            </w:r>
          </w:p>
        </w:tc>
        <w:tc>
          <w:tcPr>
            <w:tcW w:w="640" w:type="pct"/>
            <w:tcBorders>
              <w:top w:val="nil"/>
              <w:left w:val="nil"/>
              <w:bottom w:val="single" w:sz="4" w:space="0" w:color="auto"/>
              <w:right w:val="single" w:sz="4" w:space="0" w:color="auto"/>
            </w:tcBorders>
            <w:shd w:val="clear" w:color="auto" w:fill="auto"/>
            <w:noWrap/>
            <w:hideMark/>
          </w:tcPr>
          <w:p w14:paraId="24DB287A"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06AC9B8D"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6F6F9821"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4EFAC363"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14</w:t>
            </w:r>
          </w:p>
        </w:tc>
        <w:tc>
          <w:tcPr>
            <w:tcW w:w="3506" w:type="pct"/>
            <w:tcBorders>
              <w:top w:val="nil"/>
              <w:left w:val="nil"/>
              <w:bottom w:val="single" w:sz="4" w:space="0" w:color="auto"/>
              <w:right w:val="single" w:sz="4" w:space="0" w:color="auto"/>
            </w:tcBorders>
            <w:shd w:val="clear" w:color="auto" w:fill="auto"/>
            <w:hideMark/>
          </w:tcPr>
          <w:p w14:paraId="05267EDE"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should have the flexibility to add fields as required with support for dropdowns, checkboxes, and other form elements.</w:t>
            </w:r>
          </w:p>
        </w:tc>
        <w:tc>
          <w:tcPr>
            <w:tcW w:w="640" w:type="pct"/>
            <w:tcBorders>
              <w:top w:val="nil"/>
              <w:left w:val="nil"/>
              <w:bottom w:val="single" w:sz="4" w:space="0" w:color="auto"/>
              <w:right w:val="single" w:sz="4" w:space="0" w:color="auto"/>
            </w:tcBorders>
            <w:shd w:val="clear" w:color="auto" w:fill="auto"/>
            <w:noWrap/>
            <w:hideMark/>
          </w:tcPr>
          <w:p w14:paraId="30DDAC38"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4324A235"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6976859C"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272C11C4"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15</w:t>
            </w:r>
          </w:p>
        </w:tc>
        <w:tc>
          <w:tcPr>
            <w:tcW w:w="3506" w:type="pct"/>
            <w:tcBorders>
              <w:top w:val="nil"/>
              <w:left w:val="nil"/>
              <w:bottom w:val="single" w:sz="4" w:space="0" w:color="auto"/>
              <w:right w:val="single" w:sz="4" w:space="0" w:color="auto"/>
            </w:tcBorders>
            <w:shd w:val="clear" w:color="auto" w:fill="auto"/>
            <w:hideMark/>
          </w:tcPr>
          <w:p w14:paraId="60B255B5"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should feature customizable risk forms with the option to create and utilize multiple form templates. Users can select from these templates, each offering different levels of detailed risk assessment features and processes.</w:t>
            </w:r>
          </w:p>
        </w:tc>
        <w:tc>
          <w:tcPr>
            <w:tcW w:w="640" w:type="pct"/>
            <w:tcBorders>
              <w:top w:val="nil"/>
              <w:left w:val="nil"/>
              <w:bottom w:val="single" w:sz="4" w:space="0" w:color="auto"/>
              <w:right w:val="single" w:sz="4" w:space="0" w:color="auto"/>
            </w:tcBorders>
            <w:shd w:val="clear" w:color="auto" w:fill="auto"/>
            <w:noWrap/>
            <w:hideMark/>
          </w:tcPr>
          <w:p w14:paraId="348EE1DD"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687B9E58"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578001B6" w14:textId="77777777" w:rsidTr="008E0319">
        <w:trPr>
          <w:trHeight w:val="765"/>
        </w:trPr>
        <w:tc>
          <w:tcPr>
            <w:tcW w:w="159" w:type="pct"/>
            <w:tcBorders>
              <w:top w:val="nil"/>
              <w:left w:val="single" w:sz="4" w:space="0" w:color="auto"/>
              <w:bottom w:val="single" w:sz="4" w:space="0" w:color="auto"/>
              <w:right w:val="single" w:sz="4" w:space="0" w:color="auto"/>
            </w:tcBorders>
            <w:shd w:val="clear" w:color="auto" w:fill="auto"/>
            <w:noWrap/>
            <w:hideMark/>
          </w:tcPr>
          <w:p w14:paraId="02F0A43E"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16</w:t>
            </w:r>
          </w:p>
        </w:tc>
        <w:tc>
          <w:tcPr>
            <w:tcW w:w="3506" w:type="pct"/>
            <w:tcBorders>
              <w:top w:val="nil"/>
              <w:left w:val="nil"/>
              <w:bottom w:val="single" w:sz="4" w:space="0" w:color="auto"/>
              <w:right w:val="single" w:sz="4" w:space="0" w:color="auto"/>
            </w:tcBorders>
            <w:shd w:val="clear" w:color="auto" w:fill="auto"/>
            <w:hideMark/>
          </w:tcPr>
          <w:p w14:paraId="64D98795"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should have capabilities for documenting existing controls per risk, offering options to add controls, and defining their owners and types. Additionally, the system should facilitate linking these documented controls to the 93 controls specified in ISO 27001 Annex A.</w:t>
            </w:r>
          </w:p>
        </w:tc>
        <w:tc>
          <w:tcPr>
            <w:tcW w:w="640" w:type="pct"/>
            <w:tcBorders>
              <w:top w:val="nil"/>
              <w:left w:val="nil"/>
              <w:bottom w:val="single" w:sz="4" w:space="0" w:color="auto"/>
              <w:right w:val="single" w:sz="4" w:space="0" w:color="auto"/>
            </w:tcBorders>
            <w:shd w:val="clear" w:color="auto" w:fill="auto"/>
            <w:noWrap/>
            <w:hideMark/>
          </w:tcPr>
          <w:p w14:paraId="08334DA7"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3336C713"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F813FF3"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64CE8CD7"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17</w:t>
            </w:r>
          </w:p>
        </w:tc>
        <w:tc>
          <w:tcPr>
            <w:tcW w:w="3506" w:type="pct"/>
            <w:tcBorders>
              <w:top w:val="nil"/>
              <w:left w:val="nil"/>
              <w:bottom w:val="single" w:sz="4" w:space="0" w:color="auto"/>
              <w:right w:val="single" w:sz="4" w:space="0" w:color="auto"/>
            </w:tcBorders>
            <w:shd w:val="clear" w:color="auto" w:fill="auto"/>
            <w:hideMark/>
          </w:tcPr>
          <w:p w14:paraId="62FDF942"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should have options for risk treatment including mitigate, transfer, avoid, and accept, with the ability to add justification for chosen treatment option.</w:t>
            </w:r>
          </w:p>
        </w:tc>
        <w:tc>
          <w:tcPr>
            <w:tcW w:w="640" w:type="pct"/>
            <w:tcBorders>
              <w:top w:val="nil"/>
              <w:left w:val="nil"/>
              <w:bottom w:val="single" w:sz="4" w:space="0" w:color="auto"/>
              <w:right w:val="single" w:sz="4" w:space="0" w:color="auto"/>
            </w:tcBorders>
            <w:shd w:val="clear" w:color="auto" w:fill="auto"/>
            <w:noWrap/>
            <w:hideMark/>
          </w:tcPr>
          <w:p w14:paraId="44503B0F"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54F67F5F"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4B58EFC"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6C7EF7FC"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18</w:t>
            </w:r>
          </w:p>
        </w:tc>
        <w:tc>
          <w:tcPr>
            <w:tcW w:w="3506" w:type="pct"/>
            <w:tcBorders>
              <w:top w:val="nil"/>
              <w:left w:val="nil"/>
              <w:bottom w:val="single" w:sz="4" w:space="0" w:color="auto"/>
              <w:right w:val="single" w:sz="4" w:space="0" w:color="auto"/>
            </w:tcBorders>
            <w:shd w:val="clear" w:color="auto" w:fill="auto"/>
            <w:hideMark/>
          </w:tcPr>
          <w:p w14:paraId="5DFC6CEA"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should enable documenting risk consequences and causes, providing a comprehensive understanding of each risk.</w:t>
            </w:r>
          </w:p>
        </w:tc>
        <w:tc>
          <w:tcPr>
            <w:tcW w:w="640" w:type="pct"/>
            <w:tcBorders>
              <w:top w:val="nil"/>
              <w:left w:val="nil"/>
              <w:bottom w:val="single" w:sz="4" w:space="0" w:color="auto"/>
              <w:right w:val="single" w:sz="4" w:space="0" w:color="auto"/>
            </w:tcBorders>
            <w:shd w:val="clear" w:color="auto" w:fill="auto"/>
            <w:noWrap/>
            <w:hideMark/>
          </w:tcPr>
          <w:p w14:paraId="37EB3C47"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56743F84"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A3A8438"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043B1FD5"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19</w:t>
            </w:r>
          </w:p>
        </w:tc>
        <w:tc>
          <w:tcPr>
            <w:tcW w:w="3506" w:type="pct"/>
            <w:tcBorders>
              <w:top w:val="nil"/>
              <w:left w:val="nil"/>
              <w:bottom w:val="single" w:sz="4" w:space="0" w:color="auto"/>
              <w:right w:val="single" w:sz="4" w:space="0" w:color="auto"/>
            </w:tcBorders>
            <w:shd w:val="clear" w:color="auto" w:fill="auto"/>
            <w:hideMark/>
          </w:tcPr>
          <w:p w14:paraId="6B40F063"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should feature heat maps for both aggregated and risk level that visually represents both inherent and residual risk levels.</w:t>
            </w:r>
          </w:p>
        </w:tc>
        <w:tc>
          <w:tcPr>
            <w:tcW w:w="640" w:type="pct"/>
            <w:tcBorders>
              <w:top w:val="nil"/>
              <w:left w:val="nil"/>
              <w:bottom w:val="single" w:sz="4" w:space="0" w:color="auto"/>
              <w:right w:val="single" w:sz="4" w:space="0" w:color="auto"/>
            </w:tcBorders>
            <w:shd w:val="clear" w:color="auto" w:fill="auto"/>
            <w:noWrap/>
            <w:hideMark/>
          </w:tcPr>
          <w:p w14:paraId="35530724"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4D45CF9C"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2465344F"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01EF0514"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20</w:t>
            </w:r>
          </w:p>
        </w:tc>
        <w:tc>
          <w:tcPr>
            <w:tcW w:w="3506" w:type="pct"/>
            <w:tcBorders>
              <w:top w:val="nil"/>
              <w:left w:val="nil"/>
              <w:bottom w:val="single" w:sz="4" w:space="0" w:color="auto"/>
              <w:right w:val="single" w:sz="4" w:space="0" w:color="auto"/>
            </w:tcBorders>
            <w:shd w:val="clear" w:color="auto" w:fill="auto"/>
            <w:hideMark/>
          </w:tcPr>
          <w:p w14:paraId="49A2949A"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should have tools to list and add risk treatment plans, detailing treatment activities, linkage to ISO 27001 Annex A controls, assigned owner, start/end dates, and tracking of progress and budget.</w:t>
            </w:r>
          </w:p>
        </w:tc>
        <w:tc>
          <w:tcPr>
            <w:tcW w:w="640" w:type="pct"/>
            <w:tcBorders>
              <w:top w:val="nil"/>
              <w:left w:val="nil"/>
              <w:bottom w:val="single" w:sz="4" w:space="0" w:color="auto"/>
              <w:right w:val="single" w:sz="4" w:space="0" w:color="auto"/>
            </w:tcBorders>
            <w:shd w:val="clear" w:color="auto" w:fill="auto"/>
            <w:noWrap/>
            <w:hideMark/>
          </w:tcPr>
          <w:p w14:paraId="7D2BA499"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0E566B76"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776499C0"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59947524"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21</w:t>
            </w:r>
          </w:p>
        </w:tc>
        <w:tc>
          <w:tcPr>
            <w:tcW w:w="3506" w:type="pct"/>
            <w:tcBorders>
              <w:top w:val="nil"/>
              <w:left w:val="nil"/>
              <w:bottom w:val="single" w:sz="4" w:space="0" w:color="auto"/>
              <w:right w:val="single" w:sz="4" w:space="0" w:color="auto"/>
            </w:tcBorders>
            <w:shd w:val="clear" w:color="auto" w:fill="auto"/>
            <w:hideMark/>
          </w:tcPr>
          <w:p w14:paraId="2F5ED9FE"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should enable the evaluation of residual risk likelihood and impact, with options to record justifications for each assessment.</w:t>
            </w:r>
          </w:p>
        </w:tc>
        <w:tc>
          <w:tcPr>
            <w:tcW w:w="640" w:type="pct"/>
            <w:tcBorders>
              <w:top w:val="nil"/>
              <w:left w:val="nil"/>
              <w:bottom w:val="single" w:sz="4" w:space="0" w:color="auto"/>
              <w:right w:val="single" w:sz="4" w:space="0" w:color="auto"/>
            </w:tcBorders>
            <w:shd w:val="clear" w:color="auto" w:fill="auto"/>
            <w:noWrap/>
            <w:hideMark/>
          </w:tcPr>
          <w:p w14:paraId="64DDBF09"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29F6AD57"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79D77110"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696B4EF6"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22</w:t>
            </w:r>
          </w:p>
        </w:tc>
        <w:tc>
          <w:tcPr>
            <w:tcW w:w="3506" w:type="pct"/>
            <w:tcBorders>
              <w:top w:val="nil"/>
              <w:left w:val="nil"/>
              <w:bottom w:val="single" w:sz="4" w:space="0" w:color="auto"/>
              <w:right w:val="single" w:sz="4" w:space="0" w:color="auto"/>
            </w:tcBorders>
            <w:shd w:val="clear" w:color="auto" w:fill="auto"/>
            <w:hideMark/>
          </w:tcPr>
          <w:p w14:paraId="54C12914"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Ability to generate comprehensive risk level report capturing all risk details, including an overview, inherent and residual information, heat map, existing controls, treatment details, and risk analysis.</w:t>
            </w:r>
          </w:p>
        </w:tc>
        <w:tc>
          <w:tcPr>
            <w:tcW w:w="640" w:type="pct"/>
            <w:tcBorders>
              <w:top w:val="nil"/>
              <w:left w:val="nil"/>
              <w:bottom w:val="single" w:sz="4" w:space="0" w:color="auto"/>
              <w:right w:val="single" w:sz="4" w:space="0" w:color="auto"/>
            </w:tcBorders>
            <w:shd w:val="clear" w:color="auto" w:fill="auto"/>
            <w:noWrap/>
            <w:hideMark/>
          </w:tcPr>
          <w:p w14:paraId="1151CBD2"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0A04EBD1"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B5007C1"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59195F3C"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23</w:t>
            </w:r>
          </w:p>
        </w:tc>
        <w:tc>
          <w:tcPr>
            <w:tcW w:w="3506" w:type="pct"/>
            <w:tcBorders>
              <w:top w:val="nil"/>
              <w:left w:val="nil"/>
              <w:bottom w:val="single" w:sz="4" w:space="0" w:color="auto"/>
              <w:right w:val="single" w:sz="4" w:space="0" w:color="auto"/>
            </w:tcBorders>
            <w:shd w:val="clear" w:color="auto" w:fill="auto"/>
            <w:hideMark/>
          </w:tcPr>
          <w:p w14:paraId="3D675458"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Ability to generate Risk register reports in PDF, Word and Excel.</w:t>
            </w:r>
          </w:p>
        </w:tc>
        <w:tc>
          <w:tcPr>
            <w:tcW w:w="640" w:type="pct"/>
            <w:tcBorders>
              <w:top w:val="nil"/>
              <w:left w:val="nil"/>
              <w:bottom w:val="single" w:sz="4" w:space="0" w:color="auto"/>
              <w:right w:val="single" w:sz="4" w:space="0" w:color="auto"/>
            </w:tcBorders>
            <w:shd w:val="clear" w:color="auto" w:fill="auto"/>
            <w:noWrap/>
            <w:hideMark/>
          </w:tcPr>
          <w:p w14:paraId="401B7BC0"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79674F09"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1B3E5EC"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184637C7"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24</w:t>
            </w:r>
          </w:p>
        </w:tc>
        <w:tc>
          <w:tcPr>
            <w:tcW w:w="3506" w:type="pct"/>
            <w:tcBorders>
              <w:top w:val="nil"/>
              <w:left w:val="nil"/>
              <w:bottom w:val="single" w:sz="4" w:space="0" w:color="auto"/>
              <w:right w:val="single" w:sz="4" w:space="0" w:color="auto"/>
            </w:tcBorders>
            <w:shd w:val="clear" w:color="auto" w:fill="auto"/>
            <w:hideMark/>
          </w:tcPr>
          <w:p w14:paraId="58D69DC4"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should be configurable to support a risk workflow and approval process.</w:t>
            </w:r>
          </w:p>
        </w:tc>
        <w:tc>
          <w:tcPr>
            <w:tcW w:w="640" w:type="pct"/>
            <w:tcBorders>
              <w:top w:val="nil"/>
              <w:left w:val="nil"/>
              <w:bottom w:val="single" w:sz="4" w:space="0" w:color="auto"/>
              <w:right w:val="single" w:sz="4" w:space="0" w:color="auto"/>
            </w:tcBorders>
            <w:shd w:val="clear" w:color="auto" w:fill="auto"/>
            <w:noWrap/>
            <w:hideMark/>
          </w:tcPr>
          <w:p w14:paraId="3C6F4531"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13BE2C3D"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7BF55882" w14:textId="77777777" w:rsidTr="008E0319">
        <w:trPr>
          <w:trHeight w:val="289"/>
        </w:trPr>
        <w:tc>
          <w:tcPr>
            <w:tcW w:w="159" w:type="pct"/>
            <w:tcBorders>
              <w:top w:val="nil"/>
              <w:left w:val="single" w:sz="4" w:space="0" w:color="auto"/>
              <w:bottom w:val="single" w:sz="4" w:space="0" w:color="auto"/>
              <w:right w:val="single" w:sz="4" w:space="0" w:color="auto"/>
            </w:tcBorders>
            <w:shd w:val="clear" w:color="000000" w:fill="EFF4FF"/>
            <w:hideMark/>
          </w:tcPr>
          <w:p w14:paraId="6D884654" w14:textId="77777777" w:rsidR="00985D46" w:rsidRPr="00985D46" w:rsidRDefault="00985D46" w:rsidP="00985D46">
            <w:pPr>
              <w:spacing w:after="0" w:line="240" w:lineRule="auto"/>
              <w:jc w:val="center"/>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M</w:t>
            </w:r>
          </w:p>
        </w:tc>
        <w:tc>
          <w:tcPr>
            <w:tcW w:w="3506" w:type="pct"/>
            <w:tcBorders>
              <w:top w:val="nil"/>
              <w:left w:val="nil"/>
              <w:bottom w:val="single" w:sz="4" w:space="0" w:color="auto"/>
              <w:right w:val="single" w:sz="4" w:space="0" w:color="auto"/>
            </w:tcBorders>
            <w:shd w:val="clear" w:color="000000" w:fill="EFF4FF"/>
            <w:hideMark/>
          </w:tcPr>
          <w:p w14:paraId="1FFEFC2E" w14:textId="77777777" w:rsidR="00985D46" w:rsidRPr="00985D46" w:rsidRDefault="00985D46" w:rsidP="00985D46">
            <w:pPr>
              <w:spacing w:after="0" w:line="240" w:lineRule="auto"/>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Statement of Applicability:</w:t>
            </w:r>
          </w:p>
        </w:tc>
        <w:tc>
          <w:tcPr>
            <w:tcW w:w="640" w:type="pct"/>
            <w:tcBorders>
              <w:top w:val="nil"/>
              <w:left w:val="nil"/>
              <w:bottom w:val="single" w:sz="4" w:space="0" w:color="auto"/>
              <w:right w:val="single" w:sz="4" w:space="0" w:color="auto"/>
            </w:tcBorders>
            <w:shd w:val="clear" w:color="000000" w:fill="EFF4FF"/>
            <w:hideMark/>
          </w:tcPr>
          <w:p w14:paraId="141D3E44" w14:textId="77777777" w:rsidR="00985D46" w:rsidRPr="00985D46" w:rsidRDefault="00985D46" w:rsidP="00985D46">
            <w:pPr>
              <w:spacing w:after="0" w:line="240" w:lineRule="auto"/>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40EA6A1B"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FCE0695"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0E51771B"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25</w:t>
            </w:r>
          </w:p>
        </w:tc>
        <w:tc>
          <w:tcPr>
            <w:tcW w:w="3506" w:type="pct"/>
            <w:tcBorders>
              <w:top w:val="nil"/>
              <w:left w:val="nil"/>
              <w:bottom w:val="single" w:sz="4" w:space="0" w:color="auto"/>
              <w:right w:val="single" w:sz="4" w:space="0" w:color="auto"/>
            </w:tcBorders>
            <w:shd w:val="clear" w:color="auto" w:fill="auto"/>
            <w:hideMark/>
          </w:tcPr>
          <w:p w14:paraId="6652EE4B"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must assist in creating and maintaining the Statement of Applicability (SoA).</w:t>
            </w:r>
          </w:p>
        </w:tc>
        <w:tc>
          <w:tcPr>
            <w:tcW w:w="640" w:type="pct"/>
            <w:tcBorders>
              <w:top w:val="nil"/>
              <w:left w:val="nil"/>
              <w:bottom w:val="single" w:sz="4" w:space="0" w:color="auto"/>
              <w:right w:val="single" w:sz="4" w:space="0" w:color="auto"/>
            </w:tcBorders>
            <w:shd w:val="clear" w:color="auto" w:fill="auto"/>
            <w:noWrap/>
            <w:hideMark/>
          </w:tcPr>
          <w:p w14:paraId="168CA8E3"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2D37C6B0"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6BBC048D"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2DDF6842"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26</w:t>
            </w:r>
          </w:p>
        </w:tc>
        <w:tc>
          <w:tcPr>
            <w:tcW w:w="3506" w:type="pct"/>
            <w:tcBorders>
              <w:top w:val="nil"/>
              <w:left w:val="nil"/>
              <w:bottom w:val="single" w:sz="4" w:space="0" w:color="auto"/>
              <w:right w:val="single" w:sz="4" w:space="0" w:color="auto"/>
            </w:tcBorders>
            <w:shd w:val="clear" w:color="auto" w:fill="auto"/>
            <w:hideMark/>
          </w:tcPr>
          <w:p w14:paraId="6EAF758E"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should reflect updates to controls or risk status automatically in the SoA.</w:t>
            </w:r>
          </w:p>
        </w:tc>
        <w:tc>
          <w:tcPr>
            <w:tcW w:w="640" w:type="pct"/>
            <w:tcBorders>
              <w:top w:val="nil"/>
              <w:left w:val="nil"/>
              <w:bottom w:val="single" w:sz="4" w:space="0" w:color="auto"/>
              <w:right w:val="single" w:sz="4" w:space="0" w:color="auto"/>
            </w:tcBorders>
            <w:shd w:val="clear" w:color="auto" w:fill="auto"/>
            <w:noWrap/>
            <w:hideMark/>
          </w:tcPr>
          <w:p w14:paraId="5C3DB0A9"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45AF28C6"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FA18B18"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27078026"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27</w:t>
            </w:r>
          </w:p>
        </w:tc>
        <w:tc>
          <w:tcPr>
            <w:tcW w:w="3506" w:type="pct"/>
            <w:tcBorders>
              <w:top w:val="nil"/>
              <w:left w:val="nil"/>
              <w:bottom w:val="single" w:sz="4" w:space="0" w:color="auto"/>
              <w:right w:val="single" w:sz="4" w:space="0" w:color="auto"/>
            </w:tcBorders>
            <w:shd w:val="clear" w:color="auto" w:fill="auto"/>
            <w:hideMark/>
          </w:tcPr>
          <w:p w14:paraId="65CBED12"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should track and report on the implementation status of each control.</w:t>
            </w:r>
          </w:p>
        </w:tc>
        <w:tc>
          <w:tcPr>
            <w:tcW w:w="640" w:type="pct"/>
            <w:tcBorders>
              <w:top w:val="nil"/>
              <w:left w:val="nil"/>
              <w:bottom w:val="single" w:sz="4" w:space="0" w:color="auto"/>
              <w:right w:val="single" w:sz="4" w:space="0" w:color="auto"/>
            </w:tcBorders>
            <w:shd w:val="clear" w:color="auto" w:fill="auto"/>
            <w:noWrap/>
            <w:hideMark/>
          </w:tcPr>
          <w:p w14:paraId="5B52BF60"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1084BF0A"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508011AE" w14:textId="77777777" w:rsidTr="008E0319">
        <w:trPr>
          <w:trHeight w:val="1020"/>
        </w:trPr>
        <w:tc>
          <w:tcPr>
            <w:tcW w:w="159" w:type="pct"/>
            <w:tcBorders>
              <w:top w:val="nil"/>
              <w:left w:val="single" w:sz="4" w:space="0" w:color="auto"/>
              <w:bottom w:val="single" w:sz="4" w:space="0" w:color="auto"/>
              <w:right w:val="single" w:sz="4" w:space="0" w:color="auto"/>
            </w:tcBorders>
            <w:shd w:val="clear" w:color="auto" w:fill="auto"/>
            <w:noWrap/>
            <w:hideMark/>
          </w:tcPr>
          <w:p w14:paraId="0361F4DC"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28</w:t>
            </w:r>
          </w:p>
        </w:tc>
        <w:tc>
          <w:tcPr>
            <w:tcW w:w="3506" w:type="pct"/>
            <w:tcBorders>
              <w:top w:val="nil"/>
              <w:left w:val="nil"/>
              <w:bottom w:val="single" w:sz="4" w:space="0" w:color="auto"/>
              <w:right w:val="single" w:sz="4" w:space="0" w:color="auto"/>
            </w:tcBorders>
            <w:shd w:val="clear" w:color="auto" w:fill="auto"/>
            <w:hideMark/>
          </w:tcPr>
          <w:p w14:paraId="5FFB46EE"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should provide detailed controls pages that include information such as a Control Card (featuring Control Name, Applicability, Control Category, Description, Justification for Inclusion/Exclusion, and Status), Control Treatments (detailing Treatment, Owner, Start and End Dates, Progress, Status, Associated Risk, and Budget), as well as lists of Related Policies, Existing Controls, Control Documents, Findings, Related Audits, and an area for Control Comments.</w:t>
            </w:r>
          </w:p>
        </w:tc>
        <w:tc>
          <w:tcPr>
            <w:tcW w:w="640" w:type="pct"/>
            <w:tcBorders>
              <w:top w:val="nil"/>
              <w:left w:val="nil"/>
              <w:bottom w:val="single" w:sz="4" w:space="0" w:color="auto"/>
              <w:right w:val="single" w:sz="4" w:space="0" w:color="auto"/>
            </w:tcBorders>
            <w:shd w:val="clear" w:color="auto" w:fill="auto"/>
            <w:noWrap/>
            <w:hideMark/>
          </w:tcPr>
          <w:p w14:paraId="45DCFC57"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49C97451"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98A547F"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5C331A46"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29</w:t>
            </w:r>
          </w:p>
        </w:tc>
        <w:tc>
          <w:tcPr>
            <w:tcW w:w="3506" w:type="pct"/>
            <w:tcBorders>
              <w:top w:val="nil"/>
              <w:left w:val="nil"/>
              <w:bottom w:val="single" w:sz="4" w:space="0" w:color="auto"/>
              <w:right w:val="single" w:sz="4" w:space="0" w:color="auto"/>
            </w:tcBorders>
            <w:shd w:val="clear" w:color="auto" w:fill="auto"/>
            <w:hideMark/>
          </w:tcPr>
          <w:p w14:paraId="2F83D602"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must have the capability to generate a Statement of Applicability (SoA) report in both PDF and Word formats, detailing all controls along with their applicability, justification, and status.</w:t>
            </w:r>
          </w:p>
        </w:tc>
        <w:tc>
          <w:tcPr>
            <w:tcW w:w="640" w:type="pct"/>
            <w:tcBorders>
              <w:top w:val="nil"/>
              <w:left w:val="nil"/>
              <w:bottom w:val="single" w:sz="4" w:space="0" w:color="auto"/>
              <w:right w:val="single" w:sz="4" w:space="0" w:color="auto"/>
            </w:tcBorders>
            <w:shd w:val="clear" w:color="auto" w:fill="auto"/>
            <w:noWrap/>
            <w:hideMark/>
          </w:tcPr>
          <w:p w14:paraId="6FB5D7C0"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2E22D677"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BD26D5B" w14:textId="77777777" w:rsidTr="008E0319">
        <w:trPr>
          <w:trHeight w:val="289"/>
        </w:trPr>
        <w:tc>
          <w:tcPr>
            <w:tcW w:w="159" w:type="pct"/>
            <w:tcBorders>
              <w:top w:val="nil"/>
              <w:left w:val="single" w:sz="4" w:space="0" w:color="auto"/>
              <w:bottom w:val="single" w:sz="4" w:space="0" w:color="auto"/>
              <w:right w:val="single" w:sz="4" w:space="0" w:color="auto"/>
            </w:tcBorders>
            <w:shd w:val="clear" w:color="000000" w:fill="EFF4FF"/>
            <w:hideMark/>
          </w:tcPr>
          <w:p w14:paraId="1AD847A2" w14:textId="77777777" w:rsidR="00985D46" w:rsidRPr="00985D46" w:rsidRDefault="00985D46" w:rsidP="00985D46">
            <w:pPr>
              <w:spacing w:after="0" w:line="240" w:lineRule="auto"/>
              <w:jc w:val="center"/>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N</w:t>
            </w:r>
          </w:p>
        </w:tc>
        <w:tc>
          <w:tcPr>
            <w:tcW w:w="3506" w:type="pct"/>
            <w:tcBorders>
              <w:top w:val="nil"/>
              <w:left w:val="nil"/>
              <w:bottom w:val="single" w:sz="4" w:space="0" w:color="auto"/>
              <w:right w:val="single" w:sz="4" w:space="0" w:color="auto"/>
            </w:tcBorders>
            <w:shd w:val="clear" w:color="000000" w:fill="EFF4FF"/>
            <w:hideMark/>
          </w:tcPr>
          <w:p w14:paraId="7640CDDE" w14:textId="77777777" w:rsidR="00985D46" w:rsidRPr="00985D46" w:rsidRDefault="00985D46" w:rsidP="00985D46">
            <w:pPr>
              <w:spacing w:after="0" w:line="240" w:lineRule="auto"/>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Information Security Objectives:</w:t>
            </w:r>
          </w:p>
        </w:tc>
        <w:tc>
          <w:tcPr>
            <w:tcW w:w="640" w:type="pct"/>
            <w:tcBorders>
              <w:top w:val="nil"/>
              <w:left w:val="nil"/>
              <w:bottom w:val="single" w:sz="4" w:space="0" w:color="auto"/>
              <w:right w:val="single" w:sz="4" w:space="0" w:color="auto"/>
            </w:tcBorders>
            <w:shd w:val="clear" w:color="000000" w:fill="EFF4FF"/>
            <w:hideMark/>
          </w:tcPr>
          <w:p w14:paraId="2F26AA72" w14:textId="77777777" w:rsidR="00985D46" w:rsidRPr="00985D46" w:rsidRDefault="00985D46" w:rsidP="00985D46">
            <w:pPr>
              <w:spacing w:after="0" w:line="240" w:lineRule="auto"/>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7965A75C"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2019C1F2"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62BA1C7D"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30</w:t>
            </w:r>
          </w:p>
        </w:tc>
        <w:tc>
          <w:tcPr>
            <w:tcW w:w="3506" w:type="pct"/>
            <w:tcBorders>
              <w:top w:val="nil"/>
              <w:left w:val="nil"/>
              <w:bottom w:val="single" w:sz="4" w:space="0" w:color="auto"/>
              <w:right w:val="single" w:sz="4" w:space="0" w:color="auto"/>
            </w:tcBorders>
            <w:shd w:val="clear" w:color="auto" w:fill="auto"/>
            <w:hideMark/>
          </w:tcPr>
          <w:p w14:paraId="18E3DED9"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system must help in setting, monitoring, and reviewing security objectives.</w:t>
            </w:r>
          </w:p>
        </w:tc>
        <w:tc>
          <w:tcPr>
            <w:tcW w:w="640" w:type="pct"/>
            <w:tcBorders>
              <w:top w:val="nil"/>
              <w:left w:val="nil"/>
              <w:bottom w:val="single" w:sz="4" w:space="0" w:color="auto"/>
              <w:right w:val="single" w:sz="4" w:space="0" w:color="auto"/>
            </w:tcBorders>
            <w:shd w:val="clear" w:color="auto" w:fill="auto"/>
            <w:noWrap/>
            <w:hideMark/>
          </w:tcPr>
          <w:p w14:paraId="78E8F2D6"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1BB8EAF0"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6EBDFE4"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173222B4"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31</w:t>
            </w:r>
          </w:p>
        </w:tc>
        <w:tc>
          <w:tcPr>
            <w:tcW w:w="3506" w:type="pct"/>
            <w:tcBorders>
              <w:top w:val="nil"/>
              <w:left w:val="nil"/>
              <w:bottom w:val="single" w:sz="4" w:space="0" w:color="auto"/>
              <w:right w:val="single" w:sz="4" w:space="0" w:color="auto"/>
            </w:tcBorders>
            <w:shd w:val="clear" w:color="auto" w:fill="auto"/>
            <w:hideMark/>
          </w:tcPr>
          <w:p w14:paraId="796A194C"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system should provide tools for measuring and reporting performance against objectives.</w:t>
            </w:r>
          </w:p>
        </w:tc>
        <w:tc>
          <w:tcPr>
            <w:tcW w:w="640" w:type="pct"/>
            <w:tcBorders>
              <w:top w:val="nil"/>
              <w:left w:val="nil"/>
              <w:bottom w:val="single" w:sz="4" w:space="0" w:color="auto"/>
              <w:right w:val="single" w:sz="4" w:space="0" w:color="auto"/>
            </w:tcBorders>
            <w:shd w:val="clear" w:color="auto" w:fill="auto"/>
            <w:noWrap/>
            <w:hideMark/>
          </w:tcPr>
          <w:p w14:paraId="76596481"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5E719848"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365D7B4A"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61F91095"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32</w:t>
            </w:r>
          </w:p>
        </w:tc>
        <w:tc>
          <w:tcPr>
            <w:tcW w:w="3506" w:type="pct"/>
            <w:tcBorders>
              <w:top w:val="nil"/>
              <w:left w:val="nil"/>
              <w:bottom w:val="single" w:sz="4" w:space="0" w:color="auto"/>
              <w:right w:val="single" w:sz="4" w:space="0" w:color="auto"/>
            </w:tcBorders>
            <w:shd w:val="clear" w:color="auto" w:fill="auto"/>
            <w:hideMark/>
          </w:tcPr>
          <w:p w14:paraId="2AFE0D68"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system must ensure that security objectives are aligned with overall business goals and can be reviewed periodically.</w:t>
            </w:r>
          </w:p>
        </w:tc>
        <w:tc>
          <w:tcPr>
            <w:tcW w:w="640" w:type="pct"/>
            <w:tcBorders>
              <w:top w:val="nil"/>
              <w:left w:val="nil"/>
              <w:bottom w:val="single" w:sz="4" w:space="0" w:color="auto"/>
              <w:right w:val="single" w:sz="4" w:space="0" w:color="auto"/>
            </w:tcBorders>
            <w:shd w:val="clear" w:color="auto" w:fill="auto"/>
            <w:noWrap/>
            <w:hideMark/>
          </w:tcPr>
          <w:p w14:paraId="6F550A1F"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2C724212"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7C6FEAA6"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3B4F9C0D"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33</w:t>
            </w:r>
          </w:p>
        </w:tc>
        <w:tc>
          <w:tcPr>
            <w:tcW w:w="3506" w:type="pct"/>
            <w:tcBorders>
              <w:top w:val="nil"/>
              <w:left w:val="nil"/>
              <w:bottom w:val="single" w:sz="4" w:space="0" w:color="auto"/>
              <w:right w:val="single" w:sz="4" w:space="0" w:color="auto"/>
            </w:tcBorders>
            <w:shd w:val="clear" w:color="auto" w:fill="auto"/>
            <w:hideMark/>
          </w:tcPr>
          <w:p w14:paraId="78227436"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system should list the objective associated risks and treatment activities.</w:t>
            </w:r>
          </w:p>
        </w:tc>
        <w:tc>
          <w:tcPr>
            <w:tcW w:w="640" w:type="pct"/>
            <w:tcBorders>
              <w:top w:val="nil"/>
              <w:left w:val="nil"/>
              <w:bottom w:val="single" w:sz="4" w:space="0" w:color="auto"/>
              <w:right w:val="single" w:sz="4" w:space="0" w:color="auto"/>
            </w:tcBorders>
            <w:shd w:val="clear" w:color="auto" w:fill="auto"/>
            <w:noWrap/>
            <w:hideMark/>
          </w:tcPr>
          <w:p w14:paraId="5CD1457C"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63638847"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5808CC45"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6C89E0DB"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34</w:t>
            </w:r>
          </w:p>
        </w:tc>
        <w:tc>
          <w:tcPr>
            <w:tcW w:w="3506" w:type="pct"/>
            <w:tcBorders>
              <w:top w:val="nil"/>
              <w:left w:val="nil"/>
              <w:bottom w:val="single" w:sz="4" w:space="0" w:color="auto"/>
              <w:right w:val="single" w:sz="4" w:space="0" w:color="auto"/>
            </w:tcBorders>
            <w:shd w:val="clear" w:color="auto" w:fill="auto"/>
            <w:hideMark/>
          </w:tcPr>
          <w:p w14:paraId="008429D3"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Each objective must feature a risk heat map plotting all associated risks.</w:t>
            </w:r>
          </w:p>
        </w:tc>
        <w:tc>
          <w:tcPr>
            <w:tcW w:w="640" w:type="pct"/>
            <w:tcBorders>
              <w:top w:val="nil"/>
              <w:left w:val="nil"/>
              <w:bottom w:val="single" w:sz="4" w:space="0" w:color="auto"/>
              <w:right w:val="single" w:sz="4" w:space="0" w:color="auto"/>
            </w:tcBorders>
            <w:shd w:val="clear" w:color="auto" w:fill="auto"/>
            <w:noWrap/>
            <w:hideMark/>
          </w:tcPr>
          <w:p w14:paraId="6945254B"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1CB49D71"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2EAC1B1A"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64915333"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35</w:t>
            </w:r>
          </w:p>
        </w:tc>
        <w:tc>
          <w:tcPr>
            <w:tcW w:w="3506" w:type="pct"/>
            <w:tcBorders>
              <w:top w:val="nil"/>
              <w:left w:val="nil"/>
              <w:bottom w:val="single" w:sz="4" w:space="0" w:color="auto"/>
              <w:right w:val="single" w:sz="4" w:space="0" w:color="auto"/>
            </w:tcBorders>
            <w:shd w:val="clear" w:color="auto" w:fill="auto"/>
            <w:hideMark/>
          </w:tcPr>
          <w:p w14:paraId="3631A717"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objectives should be linked to specific KPIs for measurement and associated initiatives to achieve them.</w:t>
            </w:r>
          </w:p>
        </w:tc>
        <w:tc>
          <w:tcPr>
            <w:tcW w:w="640" w:type="pct"/>
            <w:tcBorders>
              <w:top w:val="nil"/>
              <w:left w:val="nil"/>
              <w:bottom w:val="single" w:sz="4" w:space="0" w:color="auto"/>
              <w:right w:val="single" w:sz="4" w:space="0" w:color="auto"/>
            </w:tcBorders>
            <w:shd w:val="clear" w:color="auto" w:fill="auto"/>
            <w:noWrap/>
            <w:hideMark/>
          </w:tcPr>
          <w:p w14:paraId="29E3F5D9"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295B4D2A"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76D1B9E3" w14:textId="77777777" w:rsidTr="008E0319">
        <w:trPr>
          <w:trHeight w:val="289"/>
        </w:trPr>
        <w:tc>
          <w:tcPr>
            <w:tcW w:w="159" w:type="pct"/>
            <w:tcBorders>
              <w:top w:val="nil"/>
              <w:left w:val="single" w:sz="4" w:space="0" w:color="auto"/>
              <w:bottom w:val="single" w:sz="4" w:space="0" w:color="auto"/>
              <w:right w:val="single" w:sz="4" w:space="0" w:color="auto"/>
            </w:tcBorders>
            <w:shd w:val="clear" w:color="000000" w:fill="EFF4FF"/>
            <w:hideMark/>
          </w:tcPr>
          <w:p w14:paraId="1B987BEE" w14:textId="77777777" w:rsidR="00985D46" w:rsidRPr="00985D46" w:rsidRDefault="00985D46" w:rsidP="00985D46">
            <w:pPr>
              <w:spacing w:after="0" w:line="240" w:lineRule="auto"/>
              <w:jc w:val="center"/>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O</w:t>
            </w:r>
          </w:p>
        </w:tc>
        <w:tc>
          <w:tcPr>
            <w:tcW w:w="3506" w:type="pct"/>
            <w:tcBorders>
              <w:top w:val="nil"/>
              <w:left w:val="nil"/>
              <w:bottom w:val="single" w:sz="4" w:space="0" w:color="auto"/>
              <w:right w:val="single" w:sz="4" w:space="0" w:color="auto"/>
            </w:tcBorders>
            <w:shd w:val="clear" w:color="000000" w:fill="EFF4FF"/>
            <w:hideMark/>
          </w:tcPr>
          <w:p w14:paraId="43D717E0" w14:textId="77777777" w:rsidR="00985D46" w:rsidRPr="00985D46" w:rsidRDefault="00985D46" w:rsidP="00985D46">
            <w:pPr>
              <w:spacing w:after="0" w:line="240" w:lineRule="auto"/>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Internal Audit:</w:t>
            </w:r>
          </w:p>
        </w:tc>
        <w:tc>
          <w:tcPr>
            <w:tcW w:w="640" w:type="pct"/>
            <w:tcBorders>
              <w:top w:val="nil"/>
              <w:left w:val="nil"/>
              <w:bottom w:val="single" w:sz="4" w:space="0" w:color="auto"/>
              <w:right w:val="single" w:sz="4" w:space="0" w:color="auto"/>
            </w:tcBorders>
            <w:shd w:val="clear" w:color="000000" w:fill="EFF4FF"/>
            <w:hideMark/>
          </w:tcPr>
          <w:p w14:paraId="2DBBD1FB" w14:textId="77777777" w:rsidR="00985D46" w:rsidRPr="00985D46" w:rsidRDefault="00985D46" w:rsidP="00985D46">
            <w:pPr>
              <w:spacing w:after="0" w:line="240" w:lineRule="auto"/>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1973495A"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2EBC60D"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66D54282"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36</w:t>
            </w:r>
          </w:p>
        </w:tc>
        <w:tc>
          <w:tcPr>
            <w:tcW w:w="3506" w:type="pct"/>
            <w:tcBorders>
              <w:top w:val="nil"/>
              <w:left w:val="nil"/>
              <w:bottom w:val="single" w:sz="4" w:space="0" w:color="auto"/>
              <w:right w:val="single" w:sz="4" w:space="0" w:color="auto"/>
            </w:tcBorders>
            <w:shd w:val="clear" w:color="auto" w:fill="auto"/>
            <w:hideMark/>
          </w:tcPr>
          <w:p w14:paraId="1E65579C"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system must have functionalities for planning and conducting information security audit programs where each program can include multiple audits.</w:t>
            </w:r>
          </w:p>
        </w:tc>
        <w:tc>
          <w:tcPr>
            <w:tcW w:w="640" w:type="pct"/>
            <w:tcBorders>
              <w:top w:val="nil"/>
              <w:left w:val="nil"/>
              <w:bottom w:val="single" w:sz="4" w:space="0" w:color="auto"/>
              <w:right w:val="single" w:sz="4" w:space="0" w:color="auto"/>
            </w:tcBorders>
            <w:shd w:val="clear" w:color="auto" w:fill="auto"/>
            <w:noWrap/>
            <w:hideMark/>
          </w:tcPr>
          <w:p w14:paraId="30DEC21B"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6CC955C1"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3771D63E"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2A199ACB"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37</w:t>
            </w:r>
          </w:p>
        </w:tc>
        <w:tc>
          <w:tcPr>
            <w:tcW w:w="3506" w:type="pct"/>
            <w:tcBorders>
              <w:top w:val="nil"/>
              <w:left w:val="nil"/>
              <w:bottom w:val="single" w:sz="4" w:space="0" w:color="auto"/>
              <w:right w:val="single" w:sz="4" w:space="0" w:color="auto"/>
            </w:tcBorders>
            <w:shd w:val="clear" w:color="auto" w:fill="auto"/>
            <w:hideMark/>
          </w:tcPr>
          <w:p w14:paraId="33542ED2"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system must have functionalities for planning and conducting information security internal audits.</w:t>
            </w:r>
          </w:p>
        </w:tc>
        <w:tc>
          <w:tcPr>
            <w:tcW w:w="640" w:type="pct"/>
            <w:tcBorders>
              <w:top w:val="nil"/>
              <w:left w:val="nil"/>
              <w:bottom w:val="single" w:sz="4" w:space="0" w:color="auto"/>
              <w:right w:val="single" w:sz="4" w:space="0" w:color="auto"/>
            </w:tcBorders>
            <w:shd w:val="clear" w:color="auto" w:fill="auto"/>
            <w:noWrap/>
            <w:hideMark/>
          </w:tcPr>
          <w:p w14:paraId="3F950D4C"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542C02BC"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236882AE"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2534CA3D"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38</w:t>
            </w:r>
          </w:p>
        </w:tc>
        <w:tc>
          <w:tcPr>
            <w:tcW w:w="3506" w:type="pct"/>
            <w:tcBorders>
              <w:top w:val="nil"/>
              <w:left w:val="nil"/>
              <w:bottom w:val="single" w:sz="4" w:space="0" w:color="auto"/>
              <w:right w:val="single" w:sz="4" w:space="0" w:color="auto"/>
            </w:tcBorders>
            <w:shd w:val="clear" w:color="auto" w:fill="auto"/>
            <w:hideMark/>
          </w:tcPr>
          <w:p w14:paraId="753F4519"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system must integrate internal audit with ISO 27001 Clauses and Annex A controls.</w:t>
            </w:r>
          </w:p>
        </w:tc>
        <w:tc>
          <w:tcPr>
            <w:tcW w:w="640" w:type="pct"/>
            <w:tcBorders>
              <w:top w:val="nil"/>
              <w:left w:val="nil"/>
              <w:bottom w:val="single" w:sz="4" w:space="0" w:color="auto"/>
              <w:right w:val="single" w:sz="4" w:space="0" w:color="auto"/>
            </w:tcBorders>
            <w:shd w:val="clear" w:color="auto" w:fill="auto"/>
            <w:noWrap/>
            <w:hideMark/>
          </w:tcPr>
          <w:p w14:paraId="174AC01A"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29B86E34"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54B4A328"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7B6A131E"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39</w:t>
            </w:r>
          </w:p>
        </w:tc>
        <w:tc>
          <w:tcPr>
            <w:tcW w:w="3506" w:type="pct"/>
            <w:tcBorders>
              <w:top w:val="nil"/>
              <w:left w:val="nil"/>
              <w:bottom w:val="single" w:sz="4" w:space="0" w:color="auto"/>
              <w:right w:val="single" w:sz="4" w:space="0" w:color="auto"/>
            </w:tcBorders>
            <w:shd w:val="clear" w:color="auto" w:fill="auto"/>
            <w:hideMark/>
          </w:tcPr>
          <w:p w14:paraId="2F6C51CC"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system should manage and track audit findings and related corrective activities. The system should provide functionality to attach relevant working papers.</w:t>
            </w:r>
          </w:p>
        </w:tc>
        <w:tc>
          <w:tcPr>
            <w:tcW w:w="640" w:type="pct"/>
            <w:tcBorders>
              <w:top w:val="nil"/>
              <w:left w:val="nil"/>
              <w:bottom w:val="single" w:sz="4" w:space="0" w:color="auto"/>
              <w:right w:val="single" w:sz="4" w:space="0" w:color="auto"/>
            </w:tcBorders>
            <w:shd w:val="clear" w:color="auto" w:fill="auto"/>
            <w:noWrap/>
            <w:hideMark/>
          </w:tcPr>
          <w:p w14:paraId="698AC82A"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0C2DD0EC"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120FA791"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30E422EE"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40</w:t>
            </w:r>
          </w:p>
        </w:tc>
        <w:tc>
          <w:tcPr>
            <w:tcW w:w="3506" w:type="pct"/>
            <w:tcBorders>
              <w:top w:val="nil"/>
              <w:left w:val="nil"/>
              <w:bottom w:val="single" w:sz="4" w:space="0" w:color="auto"/>
              <w:right w:val="single" w:sz="4" w:space="0" w:color="auto"/>
            </w:tcBorders>
            <w:shd w:val="clear" w:color="auto" w:fill="auto"/>
            <w:hideMark/>
          </w:tcPr>
          <w:p w14:paraId="3B1CBF6E"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system should facilitate the definition of Audit Criteria for information security, including ISO 27001 Clauses, Annex A Controls, Standards, Policies, Compliance &amp; Regulations, and allow for the inclusion of Other Criteria through a free text option.</w:t>
            </w:r>
          </w:p>
        </w:tc>
        <w:tc>
          <w:tcPr>
            <w:tcW w:w="640" w:type="pct"/>
            <w:tcBorders>
              <w:top w:val="nil"/>
              <w:left w:val="nil"/>
              <w:bottom w:val="single" w:sz="4" w:space="0" w:color="auto"/>
              <w:right w:val="single" w:sz="4" w:space="0" w:color="auto"/>
            </w:tcBorders>
            <w:shd w:val="clear" w:color="auto" w:fill="auto"/>
            <w:noWrap/>
            <w:hideMark/>
          </w:tcPr>
          <w:p w14:paraId="58E8B6ED"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72BE8560"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399669CC"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7D9C2A88"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41</w:t>
            </w:r>
          </w:p>
        </w:tc>
        <w:tc>
          <w:tcPr>
            <w:tcW w:w="3506" w:type="pct"/>
            <w:tcBorders>
              <w:top w:val="nil"/>
              <w:left w:val="nil"/>
              <w:bottom w:val="single" w:sz="4" w:space="0" w:color="auto"/>
              <w:right w:val="single" w:sz="4" w:space="0" w:color="auto"/>
            </w:tcBorders>
            <w:shd w:val="clear" w:color="auto" w:fill="auto"/>
            <w:hideMark/>
          </w:tcPr>
          <w:p w14:paraId="6B18A0D5"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system should feature detailed pages for each audit finding with interactive dashboards for tracking findings, criteria, and evidence.</w:t>
            </w:r>
          </w:p>
        </w:tc>
        <w:tc>
          <w:tcPr>
            <w:tcW w:w="640" w:type="pct"/>
            <w:tcBorders>
              <w:top w:val="nil"/>
              <w:left w:val="nil"/>
              <w:bottom w:val="single" w:sz="4" w:space="0" w:color="auto"/>
              <w:right w:val="single" w:sz="4" w:space="0" w:color="auto"/>
            </w:tcBorders>
            <w:shd w:val="clear" w:color="auto" w:fill="auto"/>
            <w:noWrap/>
            <w:hideMark/>
          </w:tcPr>
          <w:p w14:paraId="2ADF0E48"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4A33A038"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63982D03"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5A658EB3"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42</w:t>
            </w:r>
          </w:p>
        </w:tc>
        <w:tc>
          <w:tcPr>
            <w:tcW w:w="3506" w:type="pct"/>
            <w:tcBorders>
              <w:top w:val="nil"/>
              <w:left w:val="nil"/>
              <w:bottom w:val="single" w:sz="4" w:space="0" w:color="auto"/>
              <w:right w:val="single" w:sz="4" w:space="0" w:color="auto"/>
            </w:tcBorders>
            <w:shd w:val="clear" w:color="auto" w:fill="auto"/>
            <w:hideMark/>
          </w:tcPr>
          <w:p w14:paraId="05204FD5"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system should provide aggregated dashboard and listing for managing and viewing non-conformities and corrective actions.</w:t>
            </w:r>
          </w:p>
        </w:tc>
        <w:tc>
          <w:tcPr>
            <w:tcW w:w="640" w:type="pct"/>
            <w:tcBorders>
              <w:top w:val="nil"/>
              <w:left w:val="nil"/>
              <w:bottom w:val="single" w:sz="4" w:space="0" w:color="auto"/>
              <w:right w:val="single" w:sz="4" w:space="0" w:color="auto"/>
            </w:tcBorders>
            <w:shd w:val="clear" w:color="auto" w:fill="auto"/>
            <w:noWrap/>
            <w:hideMark/>
          </w:tcPr>
          <w:p w14:paraId="43A359F2"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6CBE8243"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7E56446E" w14:textId="77777777" w:rsidTr="008E0319">
        <w:trPr>
          <w:trHeight w:val="289"/>
        </w:trPr>
        <w:tc>
          <w:tcPr>
            <w:tcW w:w="159" w:type="pct"/>
            <w:tcBorders>
              <w:top w:val="nil"/>
              <w:left w:val="single" w:sz="4" w:space="0" w:color="auto"/>
              <w:bottom w:val="single" w:sz="4" w:space="0" w:color="auto"/>
              <w:right w:val="single" w:sz="4" w:space="0" w:color="auto"/>
            </w:tcBorders>
            <w:shd w:val="clear" w:color="000000" w:fill="EFF4FF"/>
            <w:hideMark/>
          </w:tcPr>
          <w:p w14:paraId="6003C2D9" w14:textId="77777777" w:rsidR="00985D46" w:rsidRPr="00985D46" w:rsidRDefault="00985D46" w:rsidP="00985D46">
            <w:pPr>
              <w:spacing w:after="0" w:line="240" w:lineRule="auto"/>
              <w:jc w:val="center"/>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P</w:t>
            </w:r>
          </w:p>
        </w:tc>
        <w:tc>
          <w:tcPr>
            <w:tcW w:w="3506" w:type="pct"/>
            <w:tcBorders>
              <w:top w:val="nil"/>
              <w:left w:val="nil"/>
              <w:bottom w:val="single" w:sz="4" w:space="0" w:color="auto"/>
              <w:right w:val="single" w:sz="4" w:space="0" w:color="auto"/>
            </w:tcBorders>
            <w:shd w:val="clear" w:color="000000" w:fill="EFF4FF"/>
            <w:hideMark/>
          </w:tcPr>
          <w:p w14:paraId="0B56FB37" w14:textId="77777777" w:rsidR="00985D46" w:rsidRPr="00985D46" w:rsidRDefault="00985D46" w:rsidP="00985D46">
            <w:pPr>
              <w:spacing w:after="0" w:line="240" w:lineRule="auto"/>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Management Reviews:</w:t>
            </w:r>
          </w:p>
        </w:tc>
        <w:tc>
          <w:tcPr>
            <w:tcW w:w="640" w:type="pct"/>
            <w:tcBorders>
              <w:top w:val="nil"/>
              <w:left w:val="nil"/>
              <w:bottom w:val="single" w:sz="4" w:space="0" w:color="auto"/>
              <w:right w:val="single" w:sz="4" w:space="0" w:color="auto"/>
            </w:tcBorders>
            <w:shd w:val="clear" w:color="000000" w:fill="EFF4FF"/>
            <w:hideMark/>
          </w:tcPr>
          <w:p w14:paraId="22F0348A" w14:textId="77777777" w:rsidR="00985D46" w:rsidRPr="00985D46" w:rsidRDefault="00985D46" w:rsidP="00985D46">
            <w:pPr>
              <w:spacing w:after="0" w:line="240" w:lineRule="auto"/>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741C5783"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677D20F7"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4E8C3C4D"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43</w:t>
            </w:r>
          </w:p>
        </w:tc>
        <w:tc>
          <w:tcPr>
            <w:tcW w:w="3506" w:type="pct"/>
            <w:tcBorders>
              <w:top w:val="nil"/>
              <w:left w:val="nil"/>
              <w:bottom w:val="single" w:sz="4" w:space="0" w:color="auto"/>
              <w:right w:val="single" w:sz="4" w:space="0" w:color="auto"/>
            </w:tcBorders>
            <w:shd w:val="clear" w:color="auto" w:fill="auto"/>
            <w:hideMark/>
          </w:tcPr>
          <w:p w14:paraId="74F2380D"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system must support the scheduling and conducting of management reviews.</w:t>
            </w:r>
          </w:p>
        </w:tc>
        <w:tc>
          <w:tcPr>
            <w:tcW w:w="640" w:type="pct"/>
            <w:tcBorders>
              <w:top w:val="nil"/>
              <w:left w:val="nil"/>
              <w:bottom w:val="single" w:sz="4" w:space="0" w:color="auto"/>
              <w:right w:val="single" w:sz="4" w:space="0" w:color="auto"/>
            </w:tcBorders>
            <w:shd w:val="clear" w:color="auto" w:fill="auto"/>
            <w:noWrap/>
            <w:hideMark/>
          </w:tcPr>
          <w:p w14:paraId="0B5D4203"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13BA272A"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19ED1400"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4666921A"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44</w:t>
            </w:r>
          </w:p>
        </w:tc>
        <w:tc>
          <w:tcPr>
            <w:tcW w:w="3506" w:type="pct"/>
            <w:tcBorders>
              <w:top w:val="nil"/>
              <w:left w:val="nil"/>
              <w:bottom w:val="single" w:sz="4" w:space="0" w:color="auto"/>
              <w:right w:val="single" w:sz="4" w:space="0" w:color="auto"/>
            </w:tcBorders>
            <w:shd w:val="clear" w:color="auto" w:fill="auto"/>
            <w:hideMark/>
          </w:tcPr>
          <w:p w14:paraId="67FFB846"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system should facilitate tracking of review action items.</w:t>
            </w:r>
          </w:p>
        </w:tc>
        <w:tc>
          <w:tcPr>
            <w:tcW w:w="640" w:type="pct"/>
            <w:tcBorders>
              <w:top w:val="nil"/>
              <w:left w:val="nil"/>
              <w:bottom w:val="single" w:sz="4" w:space="0" w:color="auto"/>
              <w:right w:val="single" w:sz="4" w:space="0" w:color="auto"/>
            </w:tcBorders>
            <w:shd w:val="clear" w:color="auto" w:fill="auto"/>
            <w:noWrap/>
            <w:hideMark/>
          </w:tcPr>
          <w:p w14:paraId="584D448C"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274B9703"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5EBF2F3A"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37250989"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45</w:t>
            </w:r>
          </w:p>
        </w:tc>
        <w:tc>
          <w:tcPr>
            <w:tcW w:w="3506" w:type="pct"/>
            <w:tcBorders>
              <w:top w:val="nil"/>
              <w:left w:val="nil"/>
              <w:bottom w:val="single" w:sz="4" w:space="0" w:color="auto"/>
              <w:right w:val="single" w:sz="4" w:space="0" w:color="auto"/>
            </w:tcBorders>
            <w:shd w:val="clear" w:color="auto" w:fill="auto"/>
            <w:hideMark/>
          </w:tcPr>
          <w:p w14:paraId="22EB95D4"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system integrates inputs from various sources (like audits, incidents, and performance metrics) for comprehensive review.</w:t>
            </w:r>
          </w:p>
        </w:tc>
        <w:tc>
          <w:tcPr>
            <w:tcW w:w="640" w:type="pct"/>
            <w:tcBorders>
              <w:top w:val="nil"/>
              <w:left w:val="nil"/>
              <w:bottom w:val="single" w:sz="4" w:space="0" w:color="auto"/>
              <w:right w:val="single" w:sz="4" w:space="0" w:color="auto"/>
            </w:tcBorders>
            <w:shd w:val="clear" w:color="auto" w:fill="auto"/>
            <w:noWrap/>
            <w:hideMark/>
          </w:tcPr>
          <w:p w14:paraId="42DF9D50"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17A2E1DA"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37C519D2"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6783A566"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46</w:t>
            </w:r>
          </w:p>
        </w:tc>
        <w:tc>
          <w:tcPr>
            <w:tcW w:w="3506" w:type="pct"/>
            <w:tcBorders>
              <w:top w:val="nil"/>
              <w:left w:val="nil"/>
              <w:bottom w:val="single" w:sz="4" w:space="0" w:color="auto"/>
              <w:right w:val="single" w:sz="4" w:space="0" w:color="auto"/>
            </w:tcBorders>
            <w:shd w:val="clear" w:color="auto" w:fill="auto"/>
            <w:hideMark/>
          </w:tcPr>
          <w:p w14:paraId="406D3862"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system allows for the customization of review templates and processes to fit organizational needs.</w:t>
            </w:r>
          </w:p>
        </w:tc>
        <w:tc>
          <w:tcPr>
            <w:tcW w:w="640" w:type="pct"/>
            <w:tcBorders>
              <w:top w:val="nil"/>
              <w:left w:val="nil"/>
              <w:bottom w:val="single" w:sz="4" w:space="0" w:color="auto"/>
              <w:right w:val="single" w:sz="4" w:space="0" w:color="auto"/>
            </w:tcBorders>
            <w:shd w:val="clear" w:color="auto" w:fill="auto"/>
            <w:noWrap/>
            <w:hideMark/>
          </w:tcPr>
          <w:p w14:paraId="3918EAE2"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0BF7AD6E"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79C3BDFA"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1F7C645C"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47</w:t>
            </w:r>
          </w:p>
        </w:tc>
        <w:tc>
          <w:tcPr>
            <w:tcW w:w="3506" w:type="pct"/>
            <w:tcBorders>
              <w:top w:val="nil"/>
              <w:left w:val="nil"/>
              <w:bottom w:val="single" w:sz="4" w:space="0" w:color="auto"/>
              <w:right w:val="single" w:sz="4" w:space="0" w:color="auto"/>
            </w:tcBorders>
            <w:shd w:val="clear" w:color="auto" w:fill="auto"/>
            <w:hideMark/>
          </w:tcPr>
          <w:p w14:paraId="0222D373"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For each management review, the system must capture comprehensive details including feedback, action items, and progress tracking.</w:t>
            </w:r>
          </w:p>
        </w:tc>
        <w:tc>
          <w:tcPr>
            <w:tcW w:w="640" w:type="pct"/>
            <w:tcBorders>
              <w:top w:val="nil"/>
              <w:left w:val="nil"/>
              <w:bottom w:val="single" w:sz="4" w:space="0" w:color="auto"/>
              <w:right w:val="single" w:sz="4" w:space="0" w:color="auto"/>
            </w:tcBorders>
            <w:shd w:val="clear" w:color="auto" w:fill="auto"/>
            <w:noWrap/>
            <w:hideMark/>
          </w:tcPr>
          <w:p w14:paraId="0D1694D5"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36586FBF"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DF41079" w14:textId="77777777" w:rsidTr="008E0319">
        <w:trPr>
          <w:trHeight w:val="300"/>
        </w:trPr>
        <w:tc>
          <w:tcPr>
            <w:tcW w:w="4305" w:type="pct"/>
            <w:gridSpan w:val="3"/>
            <w:tcBorders>
              <w:top w:val="single" w:sz="4" w:space="0" w:color="auto"/>
              <w:left w:val="single" w:sz="4" w:space="0" w:color="auto"/>
              <w:bottom w:val="single" w:sz="4" w:space="0" w:color="auto"/>
              <w:right w:val="single" w:sz="4" w:space="0" w:color="auto"/>
            </w:tcBorders>
            <w:shd w:val="clear" w:color="000000" w:fill="333F4F"/>
            <w:noWrap/>
            <w:hideMark/>
          </w:tcPr>
          <w:p w14:paraId="655C1B4D" w14:textId="77777777" w:rsidR="00985D46" w:rsidRPr="00985D46" w:rsidRDefault="00985D46" w:rsidP="00985D46">
            <w:pPr>
              <w:spacing w:after="0" w:line="240" w:lineRule="auto"/>
              <w:jc w:val="center"/>
              <w:rPr>
                <w:rFonts w:ascii="Calibri" w:eastAsia="Times New Roman" w:hAnsi="Calibri" w:cs="Calibri"/>
                <w:b/>
                <w:bCs/>
                <w:color w:val="FFFFFF"/>
                <w:sz w:val="20"/>
                <w:szCs w:val="20"/>
                <w:lang w:val="en-GB" w:eastAsia="en-GB"/>
              </w:rPr>
            </w:pPr>
            <w:r w:rsidRPr="00985D46">
              <w:rPr>
                <w:rFonts w:ascii="Calibri" w:eastAsia="Times New Roman" w:hAnsi="Calibri" w:cs="Calibri"/>
                <w:b/>
                <w:bCs/>
                <w:color w:val="FFFFFF"/>
                <w:sz w:val="20"/>
                <w:szCs w:val="20"/>
                <w:lang w:val="en-GB" w:eastAsia="en-GB"/>
              </w:rPr>
              <w:t>Compliance Management</w:t>
            </w:r>
          </w:p>
        </w:tc>
        <w:tc>
          <w:tcPr>
            <w:tcW w:w="695" w:type="pct"/>
            <w:tcBorders>
              <w:top w:val="nil"/>
              <w:left w:val="nil"/>
              <w:bottom w:val="single" w:sz="4" w:space="0" w:color="auto"/>
              <w:right w:val="single" w:sz="4" w:space="0" w:color="auto"/>
            </w:tcBorders>
            <w:shd w:val="clear" w:color="auto" w:fill="auto"/>
            <w:hideMark/>
          </w:tcPr>
          <w:p w14:paraId="19904000"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188519BF"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2728CEF2"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w:t>
            </w:r>
          </w:p>
        </w:tc>
        <w:tc>
          <w:tcPr>
            <w:tcW w:w="3506" w:type="pct"/>
            <w:tcBorders>
              <w:top w:val="nil"/>
              <w:left w:val="nil"/>
              <w:bottom w:val="single" w:sz="4" w:space="0" w:color="auto"/>
              <w:right w:val="single" w:sz="4" w:space="0" w:color="auto"/>
            </w:tcBorders>
            <w:shd w:val="clear" w:color="auto" w:fill="auto"/>
            <w:hideMark/>
          </w:tcPr>
          <w:p w14:paraId="6397DD59"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must allow the capability to maintain a Compliance Library with multi-level categorization and tagging of regulations.</w:t>
            </w:r>
          </w:p>
        </w:tc>
        <w:tc>
          <w:tcPr>
            <w:tcW w:w="640" w:type="pct"/>
            <w:tcBorders>
              <w:top w:val="nil"/>
              <w:left w:val="nil"/>
              <w:bottom w:val="single" w:sz="4" w:space="0" w:color="auto"/>
              <w:right w:val="single" w:sz="4" w:space="0" w:color="auto"/>
            </w:tcBorders>
            <w:shd w:val="clear" w:color="auto" w:fill="auto"/>
            <w:noWrap/>
            <w:hideMark/>
          </w:tcPr>
          <w:p w14:paraId="54138B74"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0CD9BF1B"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6EDE8340"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45396AEF"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2</w:t>
            </w:r>
          </w:p>
        </w:tc>
        <w:tc>
          <w:tcPr>
            <w:tcW w:w="3506" w:type="pct"/>
            <w:tcBorders>
              <w:top w:val="nil"/>
              <w:left w:val="nil"/>
              <w:bottom w:val="single" w:sz="4" w:space="0" w:color="auto"/>
              <w:right w:val="single" w:sz="4" w:space="0" w:color="auto"/>
            </w:tcBorders>
            <w:shd w:val="clear" w:color="auto" w:fill="auto"/>
            <w:hideMark/>
          </w:tcPr>
          <w:p w14:paraId="46C835A8"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must allow the mapping between the regulation and the controls (to be stored in a control library).</w:t>
            </w:r>
          </w:p>
        </w:tc>
        <w:tc>
          <w:tcPr>
            <w:tcW w:w="640" w:type="pct"/>
            <w:tcBorders>
              <w:top w:val="nil"/>
              <w:left w:val="nil"/>
              <w:bottom w:val="single" w:sz="4" w:space="0" w:color="auto"/>
              <w:right w:val="single" w:sz="4" w:space="0" w:color="auto"/>
            </w:tcBorders>
            <w:shd w:val="clear" w:color="auto" w:fill="auto"/>
            <w:noWrap/>
            <w:hideMark/>
          </w:tcPr>
          <w:p w14:paraId="09BF37EA"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07D0C33C"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63905347"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695E1FC4"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3</w:t>
            </w:r>
          </w:p>
        </w:tc>
        <w:tc>
          <w:tcPr>
            <w:tcW w:w="3506" w:type="pct"/>
            <w:tcBorders>
              <w:top w:val="nil"/>
              <w:left w:val="nil"/>
              <w:bottom w:val="single" w:sz="4" w:space="0" w:color="auto"/>
              <w:right w:val="single" w:sz="4" w:space="0" w:color="auto"/>
            </w:tcBorders>
            <w:shd w:val="clear" w:color="auto" w:fill="auto"/>
            <w:hideMark/>
          </w:tcPr>
          <w:p w14:paraId="5AF5833C"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should have the ability to define control characteristics, such as type, significance, and frequency of testing etc</w:t>
            </w:r>
          </w:p>
        </w:tc>
        <w:tc>
          <w:tcPr>
            <w:tcW w:w="640" w:type="pct"/>
            <w:tcBorders>
              <w:top w:val="nil"/>
              <w:left w:val="nil"/>
              <w:bottom w:val="single" w:sz="4" w:space="0" w:color="auto"/>
              <w:right w:val="single" w:sz="4" w:space="0" w:color="auto"/>
            </w:tcBorders>
            <w:shd w:val="clear" w:color="auto" w:fill="auto"/>
            <w:noWrap/>
            <w:hideMark/>
          </w:tcPr>
          <w:p w14:paraId="17B87741"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1AC3C604"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5AC03BEF"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32D7C41A"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4</w:t>
            </w:r>
          </w:p>
        </w:tc>
        <w:tc>
          <w:tcPr>
            <w:tcW w:w="3506" w:type="pct"/>
            <w:tcBorders>
              <w:top w:val="nil"/>
              <w:left w:val="nil"/>
              <w:bottom w:val="single" w:sz="4" w:space="0" w:color="auto"/>
              <w:right w:val="single" w:sz="4" w:space="0" w:color="auto"/>
            </w:tcBorders>
            <w:shd w:val="clear" w:color="auto" w:fill="auto"/>
            <w:hideMark/>
          </w:tcPr>
          <w:p w14:paraId="1A8AF636"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should have a comprehensive search capability across the Compliance Library.</w:t>
            </w:r>
          </w:p>
        </w:tc>
        <w:tc>
          <w:tcPr>
            <w:tcW w:w="640" w:type="pct"/>
            <w:tcBorders>
              <w:top w:val="nil"/>
              <w:left w:val="nil"/>
              <w:bottom w:val="single" w:sz="4" w:space="0" w:color="auto"/>
              <w:right w:val="single" w:sz="4" w:space="0" w:color="auto"/>
            </w:tcBorders>
            <w:shd w:val="clear" w:color="auto" w:fill="auto"/>
            <w:noWrap/>
            <w:hideMark/>
          </w:tcPr>
          <w:p w14:paraId="60142425"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7FBB97EC"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4DC36D3"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1BC81BC4"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5</w:t>
            </w:r>
          </w:p>
        </w:tc>
        <w:tc>
          <w:tcPr>
            <w:tcW w:w="3506" w:type="pct"/>
            <w:tcBorders>
              <w:top w:val="nil"/>
              <w:left w:val="nil"/>
              <w:bottom w:val="single" w:sz="4" w:space="0" w:color="auto"/>
              <w:right w:val="single" w:sz="4" w:space="0" w:color="auto"/>
            </w:tcBorders>
            <w:shd w:val="clear" w:color="auto" w:fill="auto"/>
            <w:hideMark/>
          </w:tcPr>
          <w:p w14:paraId="66DDDCCE"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should support the ability to define, document, map, monitor, test, assess, and report on controls within the control library.</w:t>
            </w:r>
          </w:p>
        </w:tc>
        <w:tc>
          <w:tcPr>
            <w:tcW w:w="640" w:type="pct"/>
            <w:tcBorders>
              <w:top w:val="nil"/>
              <w:left w:val="nil"/>
              <w:bottom w:val="single" w:sz="4" w:space="0" w:color="auto"/>
              <w:right w:val="single" w:sz="4" w:space="0" w:color="auto"/>
            </w:tcBorders>
            <w:shd w:val="clear" w:color="auto" w:fill="auto"/>
            <w:noWrap/>
            <w:hideMark/>
          </w:tcPr>
          <w:p w14:paraId="686CCA49"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30995199"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2DE829FF"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0F2FE0C5"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6</w:t>
            </w:r>
          </w:p>
        </w:tc>
        <w:tc>
          <w:tcPr>
            <w:tcW w:w="3506" w:type="pct"/>
            <w:tcBorders>
              <w:top w:val="nil"/>
              <w:left w:val="nil"/>
              <w:bottom w:val="single" w:sz="4" w:space="0" w:color="auto"/>
              <w:right w:val="single" w:sz="4" w:space="0" w:color="auto"/>
            </w:tcBorders>
            <w:shd w:val="clear" w:color="auto" w:fill="auto"/>
            <w:hideMark/>
          </w:tcPr>
          <w:p w14:paraId="3ACEAE2C"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must have the ability to scope and schedule the control testing. Allow different types of testing such as design testing, operating effectiveness testing and control self-assessments.</w:t>
            </w:r>
          </w:p>
        </w:tc>
        <w:tc>
          <w:tcPr>
            <w:tcW w:w="640" w:type="pct"/>
            <w:tcBorders>
              <w:top w:val="nil"/>
              <w:left w:val="nil"/>
              <w:bottom w:val="single" w:sz="4" w:space="0" w:color="auto"/>
              <w:right w:val="single" w:sz="4" w:space="0" w:color="auto"/>
            </w:tcBorders>
            <w:shd w:val="clear" w:color="auto" w:fill="auto"/>
            <w:noWrap/>
            <w:hideMark/>
          </w:tcPr>
          <w:p w14:paraId="25FCA833"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68CD7AAD"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1B426F55"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3E9FEBBC"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7</w:t>
            </w:r>
          </w:p>
        </w:tc>
        <w:tc>
          <w:tcPr>
            <w:tcW w:w="3506" w:type="pct"/>
            <w:tcBorders>
              <w:top w:val="nil"/>
              <w:left w:val="nil"/>
              <w:bottom w:val="single" w:sz="4" w:space="0" w:color="auto"/>
              <w:right w:val="single" w:sz="4" w:space="0" w:color="auto"/>
            </w:tcBorders>
            <w:shd w:val="clear" w:color="auto" w:fill="auto"/>
            <w:hideMark/>
          </w:tcPr>
          <w:p w14:paraId="18236BCF"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must allow the mapping of controls in the library to various different entities within the system such as regulations, policies, assets etc.</w:t>
            </w:r>
          </w:p>
        </w:tc>
        <w:tc>
          <w:tcPr>
            <w:tcW w:w="640" w:type="pct"/>
            <w:tcBorders>
              <w:top w:val="nil"/>
              <w:left w:val="nil"/>
              <w:bottom w:val="single" w:sz="4" w:space="0" w:color="auto"/>
              <w:right w:val="single" w:sz="4" w:space="0" w:color="auto"/>
            </w:tcBorders>
            <w:shd w:val="clear" w:color="auto" w:fill="auto"/>
            <w:noWrap/>
            <w:hideMark/>
          </w:tcPr>
          <w:p w14:paraId="21EB95E1"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65E19C9F"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5819D6F1"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5EB5D51C"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8</w:t>
            </w:r>
          </w:p>
        </w:tc>
        <w:tc>
          <w:tcPr>
            <w:tcW w:w="3506" w:type="pct"/>
            <w:tcBorders>
              <w:top w:val="nil"/>
              <w:left w:val="nil"/>
              <w:bottom w:val="single" w:sz="4" w:space="0" w:color="auto"/>
              <w:right w:val="single" w:sz="4" w:space="0" w:color="auto"/>
            </w:tcBorders>
            <w:shd w:val="clear" w:color="auto" w:fill="auto"/>
            <w:hideMark/>
          </w:tcPr>
          <w:p w14:paraId="00BD8D16"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should provide a complete overview of your company's compliance in a single view.</w:t>
            </w:r>
          </w:p>
        </w:tc>
        <w:tc>
          <w:tcPr>
            <w:tcW w:w="640" w:type="pct"/>
            <w:tcBorders>
              <w:top w:val="nil"/>
              <w:left w:val="nil"/>
              <w:bottom w:val="single" w:sz="4" w:space="0" w:color="auto"/>
              <w:right w:val="single" w:sz="4" w:space="0" w:color="auto"/>
            </w:tcBorders>
            <w:shd w:val="clear" w:color="auto" w:fill="auto"/>
            <w:noWrap/>
            <w:hideMark/>
          </w:tcPr>
          <w:p w14:paraId="02DA266A"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06006470"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3E5B75AF"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7257BA3B"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9</w:t>
            </w:r>
          </w:p>
        </w:tc>
        <w:tc>
          <w:tcPr>
            <w:tcW w:w="3506" w:type="pct"/>
            <w:tcBorders>
              <w:top w:val="nil"/>
              <w:left w:val="nil"/>
              <w:bottom w:val="single" w:sz="4" w:space="0" w:color="auto"/>
              <w:right w:val="single" w:sz="4" w:space="0" w:color="auto"/>
            </w:tcBorders>
            <w:shd w:val="clear" w:color="auto" w:fill="auto"/>
            <w:hideMark/>
          </w:tcPr>
          <w:p w14:paraId="2A9052A2"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must allow the configuration of a flexible workflow for the control scoping, scheduling, testing, reviewing, reminders, escalation and action plan tracking</w:t>
            </w:r>
          </w:p>
        </w:tc>
        <w:tc>
          <w:tcPr>
            <w:tcW w:w="640" w:type="pct"/>
            <w:tcBorders>
              <w:top w:val="nil"/>
              <w:left w:val="nil"/>
              <w:bottom w:val="single" w:sz="4" w:space="0" w:color="auto"/>
              <w:right w:val="single" w:sz="4" w:space="0" w:color="auto"/>
            </w:tcBorders>
            <w:shd w:val="clear" w:color="auto" w:fill="auto"/>
            <w:noWrap/>
            <w:hideMark/>
          </w:tcPr>
          <w:p w14:paraId="7DBEEB96"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2060D86C"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5C0EADD0"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55BE9B3B"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10</w:t>
            </w:r>
          </w:p>
        </w:tc>
        <w:tc>
          <w:tcPr>
            <w:tcW w:w="3506" w:type="pct"/>
            <w:tcBorders>
              <w:top w:val="nil"/>
              <w:left w:val="nil"/>
              <w:bottom w:val="single" w:sz="4" w:space="0" w:color="auto"/>
              <w:right w:val="single" w:sz="4" w:space="0" w:color="auto"/>
            </w:tcBorders>
            <w:shd w:val="clear" w:color="auto" w:fill="auto"/>
            <w:hideMark/>
          </w:tcPr>
          <w:p w14:paraId="0C560C6A"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should highlight and track open issues against weak control effectiveness ratings, enabling action plan creation and prioritization.</w:t>
            </w:r>
          </w:p>
        </w:tc>
        <w:tc>
          <w:tcPr>
            <w:tcW w:w="640" w:type="pct"/>
            <w:tcBorders>
              <w:top w:val="nil"/>
              <w:left w:val="nil"/>
              <w:bottom w:val="single" w:sz="4" w:space="0" w:color="auto"/>
              <w:right w:val="single" w:sz="4" w:space="0" w:color="auto"/>
            </w:tcBorders>
            <w:shd w:val="clear" w:color="auto" w:fill="auto"/>
            <w:noWrap/>
            <w:hideMark/>
          </w:tcPr>
          <w:p w14:paraId="5C26FA26"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5E57741F"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3D7B6BB2"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3A2EFBA0"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11</w:t>
            </w:r>
          </w:p>
        </w:tc>
        <w:tc>
          <w:tcPr>
            <w:tcW w:w="3506" w:type="pct"/>
            <w:tcBorders>
              <w:top w:val="nil"/>
              <w:left w:val="nil"/>
              <w:bottom w:val="single" w:sz="4" w:space="0" w:color="auto"/>
              <w:right w:val="single" w:sz="4" w:space="0" w:color="auto"/>
            </w:tcBorders>
            <w:shd w:val="clear" w:color="auto" w:fill="auto"/>
            <w:hideMark/>
          </w:tcPr>
          <w:p w14:paraId="3777F4A7"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must be able to track the progress update of the action plans and send reminders/escalations if required.</w:t>
            </w:r>
          </w:p>
        </w:tc>
        <w:tc>
          <w:tcPr>
            <w:tcW w:w="640" w:type="pct"/>
            <w:tcBorders>
              <w:top w:val="nil"/>
              <w:left w:val="nil"/>
              <w:bottom w:val="single" w:sz="4" w:space="0" w:color="auto"/>
              <w:right w:val="single" w:sz="4" w:space="0" w:color="auto"/>
            </w:tcBorders>
            <w:shd w:val="clear" w:color="auto" w:fill="auto"/>
            <w:noWrap/>
            <w:hideMark/>
          </w:tcPr>
          <w:p w14:paraId="0FF1881B"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3FFF3AB1"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56949661"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42DF6BDF"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12</w:t>
            </w:r>
          </w:p>
        </w:tc>
        <w:tc>
          <w:tcPr>
            <w:tcW w:w="3506" w:type="pct"/>
            <w:tcBorders>
              <w:top w:val="nil"/>
              <w:left w:val="nil"/>
              <w:bottom w:val="single" w:sz="4" w:space="0" w:color="auto"/>
              <w:right w:val="single" w:sz="4" w:space="0" w:color="auto"/>
            </w:tcBorders>
            <w:shd w:val="clear" w:color="auto" w:fill="auto"/>
            <w:hideMark/>
          </w:tcPr>
          <w:p w14:paraId="103A2C8C"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must allow the reassignment of Action Plans.</w:t>
            </w:r>
          </w:p>
        </w:tc>
        <w:tc>
          <w:tcPr>
            <w:tcW w:w="640" w:type="pct"/>
            <w:tcBorders>
              <w:top w:val="nil"/>
              <w:left w:val="nil"/>
              <w:bottom w:val="single" w:sz="4" w:space="0" w:color="auto"/>
              <w:right w:val="single" w:sz="4" w:space="0" w:color="auto"/>
            </w:tcBorders>
            <w:shd w:val="clear" w:color="auto" w:fill="auto"/>
            <w:noWrap/>
            <w:hideMark/>
          </w:tcPr>
          <w:p w14:paraId="22CBA4DE"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7980A05A"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17BD6114"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1D59E07B"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13</w:t>
            </w:r>
          </w:p>
        </w:tc>
        <w:tc>
          <w:tcPr>
            <w:tcW w:w="3506" w:type="pct"/>
            <w:tcBorders>
              <w:top w:val="nil"/>
              <w:left w:val="nil"/>
              <w:bottom w:val="single" w:sz="4" w:space="0" w:color="auto"/>
              <w:right w:val="single" w:sz="4" w:space="0" w:color="auto"/>
            </w:tcBorders>
            <w:shd w:val="clear" w:color="auto" w:fill="auto"/>
            <w:hideMark/>
          </w:tcPr>
          <w:p w14:paraId="1C058EF9"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must allow the prioritization of the action plans based on importance.</w:t>
            </w:r>
          </w:p>
        </w:tc>
        <w:tc>
          <w:tcPr>
            <w:tcW w:w="640" w:type="pct"/>
            <w:tcBorders>
              <w:top w:val="nil"/>
              <w:left w:val="nil"/>
              <w:bottom w:val="single" w:sz="4" w:space="0" w:color="auto"/>
              <w:right w:val="single" w:sz="4" w:space="0" w:color="auto"/>
            </w:tcBorders>
            <w:shd w:val="clear" w:color="auto" w:fill="auto"/>
            <w:noWrap/>
            <w:hideMark/>
          </w:tcPr>
          <w:p w14:paraId="1C4ABA74"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79DFBF5E"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37438F02"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5741ED58"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14</w:t>
            </w:r>
          </w:p>
        </w:tc>
        <w:tc>
          <w:tcPr>
            <w:tcW w:w="3506" w:type="pct"/>
            <w:tcBorders>
              <w:top w:val="nil"/>
              <w:left w:val="nil"/>
              <w:bottom w:val="single" w:sz="4" w:space="0" w:color="auto"/>
              <w:right w:val="single" w:sz="4" w:space="0" w:color="auto"/>
            </w:tcBorders>
            <w:shd w:val="clear" w:color="auto" w:fill="auto"/>
            <w:hideMark/>
          </w:tcPr>
          <w:p w14:paraId="173B21D6"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must provide the capability to enable a workflow on action plans for timely monitoring and validation.</w:t>
            </w:r>
          </w:p>
        </w:tc>
        <w:tc>
          <w:tcPr>
            <w:tcW w:w="640" w:type="pct"/>
            <w:tcBorders>
              <w:top w:val="nil"/>
              <w:left w:val="nil"/>
              <w:bottom w:val="single" w:sz="4" w:space="0" w:color="auto"/>
              <w:right w:val="single" w:sz="4" w:space="0" w:color="auto"/>
            </w:tcBorders>
            <w:shd w:val="clear" w:color="auto" w:fill="auto"/>
            <w:noWrap/>
            <w:hideMark/>
          </w:tcPr>
          <w:p w14:paraId="528DD28D"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25D353D3"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5DD9A53C"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35D212E6"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15</w:t>
            </w:r>
          </w:p>
        </w:tc>
        <w:tc>
          <w:tcPr>
            <w:tcW w:w="3506" w:type="pct"/>
            <w:tcBorders>
              <w:top w:val="nil"/>
              <w:left w:val="nil"/>
              <w:bottom w:val="single" w:sz="4" w:space="0" w:color="auto"/>
              <w:right w:val="single" w:sz="4" w:space="0" w:color="auto"/>
            </w:tcBorders>
            <w:shd w:val="clear" w:color="auto" w:fill="auto"/>
            <w:hideMark/>
          </w:tcPr>
          <w:p w14:paraId="572BCCDB"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must have the ability to distribute assessments to multiple groups or individuals.</w:t>
            </w:r>
          </w:p>
        </w:tc>
        <w:tc>
          <w:tcPr>
            <w:tcW w:w="640" w:type="pct"/>
            <w:tcBorders>
              <w:top w:val="nil"/>
              <w:left w:val="nil"/>
              <w:bottom w:val="single" w:sz="4" w:space="0" w:color="auto"/>
              <w:right w:val="single" w:sz="4" w:space="0" w:color="auto"/>
            </w:tcBorders>
            <w:shd w:val="clear" w:color="auto" w:fill="auto"/>
            <w:noWrap/>
            <w:hideMark/>
          </w:tcPr>
          <w:p w14:paraId="465EDC74"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403C2163"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E2D0E51"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01A4D993"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16</w:t>
            </w:r>
          </w:p>
        </w:tc>
        <w:tc>
          <w:tcPr>
            <w:tcW w:w="3506" w:type="pct"/>
            <w:tcBorders>
              <w:top w:val="nil"/>
              <w:left w:val="nil"/>
              <w:bottom w:val="single" w:sz="4" w:space="0" w:color="auto"/>
              <w:right w:val="single" w:sz="4" w:space="0" w:color="auto"/>
            </w:tcBorders>
            <w:shd w:val="clear" w:color="auto" w:fill="auto"/>
            <w:hideMark/>
          </w:tcPr>
          <w:p w14:paraId="2C3B89A9"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should support a risk-based approach to compliance and the sharing/reuse of control measures between compliance and risk.</w:t>
            </w:r>
          </w:p>
        </w:tc>
        <w:tc>
          <w:tcPr>
            <w:tcW w:w="640" w:type="pct"/>
            <w:tcBorders>
              <w:top w:val="nil"/>
              <w:left w:val="nil"/>
              <w:bottom w:val="single" w:sz="4" w:space="0" w:color="auto"/>
              <w:right w:val="single" w:sz="4" w:space="0" w:color="auto"/>
            </w:tcBorders>
            <w:shd w:val="clear" w:color="auto" w:fill="auto"/>
            <w:noWrap/>
            <w:hideMark/>
          </w:tcPr>
          <w:p w14:paraId="031CE726"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06DC581D"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E6984CF"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318B0DF9"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17</w:t>
            </w:r>
          </w:p>
        </w:tc>
        <w:tc>
          <w:tcPr>
            <w:tcW w:w="3506" w:type="pct"/>
            <w:tcBorders>
              <w:top w:val="nil"/>
              <w:left w:val="nil"/>
              <w:bottom w:val="single" w:sz="4" w:space="0" w:color="auto"/>
              <w:right w:val="single" w:sz="4" w:space="0" w:color="auto"/>
            </w:tcBorders>
            <w:shd w:val="clear" w:color="auto" w:fill="auto"/>
            <w:hideMark/>
          </w:tcPr>
          <w:p w14:paraId="3EA3E685"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must support the ability to monitor, document, and manage changes to the regulatory environment with historical tracking.</w:t>
            </w:r>
          </w:p>
        </w:tc>
        <w:tc>
          <w:tcPr>
            <w:tcW w:w="640" w:type="pct"/>
            <w:tcBorders>
              <w:top w:val="nil"/>
              <w:left w:val="nil"/>
              <w:bottom w:val="single" w:sz="4" w:space="0" w:color="auto"/>
              <w:right w:val="single" w:sz="4" w:space="0" w:color="auto"/>
            </w:tcBorders>
            <w:shd w:val="clear" w:color="auto" w:fill="auto"/>
            <w:noWrap/>
            <w:hideMark/>
          </w:tcPr>
          <w:p w14:paraId="30CF46B9"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1AD8E8D9"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6DA4ACB6"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0118A09E"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18</w:t>
            </w:r>
          </w:p>
        </w:tc>
        <w:tc>
          <w:tcPr>
            <w:tcW w:w="3506" w:type="pct"/>
            <w:tcBorders>
              <w:top w:val="nil"/>
              <w:left w:val="nil"/>
              <w:bottom w:val="single" w:sz="4" w:space="0" w:color="auto"/>
              <w:right w:val="single" w:sz="4" w:space="0" w:color="auto"/>
            </w:tcBorders>
            <w:shd w:val="clear" w:color="auto" w:fill="auto"/>
            <w:hideMark/>
          </w:tcPr>
          <w:p w14:paraId="28D66F58"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shall have the ability for management to identify and document key controls in relation to compliance obligations/risks.</w:t>
            </w:r>
          </w:p>
        </w:tc>
        <w:tc>
          <w:tcPr>
            <w:tcW w:w="640" w:type="pct"/>
            <w:tcBorders>
              <w:top w:val="nil"/>
              <w:left w:val="nil"/>
              <w:bottom w:val="single" w:sz="4" w:space="0" w:color="auto"/>
              <w:right w:val="single" w:sz="4" w:space="0" w:color="auto"/>
            </w:tcBorders>
            <w:shd w:val="clear" w:color="auto" w:fill="auto"/>
            <w:noWrap/>
            <w:hideMark/>
          </w:tcPr>
          <w:p w14:paraId="457A414F"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7E285DD5"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45CDC87"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6182B787"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19</w:t>
            </w:r>
          </w:p>
        </w:tc>
        <w:tc>
          <w:tcPr>
            <w:tcW w:w="3506" w:type="pct"/>
            <w:tcBorders>
              <w:top w:val="nil"/>
              <w:left w:val="nil"/>
              <w:bottom w:val="single" w:sz="4" w:space="0" w:color="auto"/>
              <w:right w:val="single" w:sz="4" w:space="0" w:color="auto"/>
            </w:tcBorders>
            <w:shd w:val="clear" w:color="auto" w:fill="auto"/>
            <w:hideMark/>
          </w:tcPr>
          <w:p w14:paraId="6EC7A828"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should be configured to have a compliance register with definable fields.</w:t>
            </w:r>
          </w:p>
        </w:tc>
        <w:tc>
          <w:tcPr>
            <w:tcW w:w="640" w:type="pct"/>
            <w:tcBorders>
              <w:top w:val="nil"/>
              <w:left w:val="nil"/>
              <w:bottom w:val="single" w:sz="4" w:space="0" w:color="auto"/>
              <w:right w:val="single" w:sz="4" w:space="0" w:color="auto"/>
            </w:tcBorders>
            <w:shd w:val="clear" w:color="auto" w:fill="auto"/>
            <w:noWrap/>
            <w:hideMark/>
          </w:tcPr>
          <w:p w14:paraId="7C8AF8DE"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7A7A640A"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794862A3"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3984FB7D"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20</w:t>
            </w:r>
          </w:p>
        </w:tc>
        <w:tc>
          <w:tcPr>
            <w:tcW w:w="3506" w:type="pct"/>
            <w:tcBorders>
              <w:top w:val="nil"/>
              <w:left w:val="nil"/>
              <w:bottom w:val="single" w:sz="4" w:space="0" w:color="auto"/>
              <w:right w:val="single" w:sz="4" w:space="0" w:color="auto"/>
            </w:tcBorders>
            <w:shd w:val="clear" w:color="auto" w:fill="auto"/>
            <w:hideMark/>
          </w:tcPr>
          <w:p w14:paraId="3DB0B916"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can manage non-compliance incident impacts, ratings, and metrics.</w:t>
            </w:r>
          </w:p>
        </w:tc>
        <w:tc>
          <w:tcPr>
            <w:tcW w:w="640" w:type="pct"/>
            <w:tcBorders>
              <w:top w:val="nil"/>
              <w:left w:val="nil"/>
              <w:bottom w:val="single" w:sz="4" w:space="0" w:color="auto"/>
              <w:right w:val="single" w:sz="4" w:space="0" w:color="auto"/>
            </w:tcBorders>
            <w:shd w:val="clear" w:color="auto" w:fill="auto"/>
            <w:noWrap/>
            <w:hideMark/>
          </w:tcPr>
          <w:p w14:paraId="3FB95031"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4346416A"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32931134"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68FCECF7"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21</w:t>
            </w:r>
          </w:p>
        </w:tc>
        <w:tc>
          <w:tcPr>
            <w:tcW w:w="3506" w:type="pct"/>
            <w:tcBorders>
              <w:top w:val="nil"/>
              <w:left w:val="nil"/>
              <w:bottom w:val="single" w:sz="4" w:space="0" w:color="auto"/>
              <w:right w:val="single" w:sz="4" w:space="0" w:color="auto"/>
            </w:tcBorders>
            <w:shd w:val="clear" w:color="auto" w:fill="auto"/>
            <w:hideMark/>
          </w:tcPr>
          <w:p w14:paraId="4A1BB358"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should provide proactive monitoring, including status tracking, automated reminders, and progress updates.</w:t>
            </w:r>
          </w:p>
        </w:tc>
        <w:tc>
          <w:tcPr>
            <w:tcW w:w="640" w:type="pct"/>
            <w:tcBorders>
              <w:top w:val="nil"/>
              <w:left w:val="nil"/>
              <w:bottom w:val="single" w:sz="4" w:space="0" w:color="auto"/>
              <w:right w:val="single" w:sz="4" w:space="0" w:color="auto"/>
            </w:tcBorders>
            <w:shd w:val="clear" w:color="auto" w:fill="auto"/>
            <w:noWrap/>
            <w:hideMark/>
          </w:tcPr>
          <w:p w14:paraId="23BC1B3A"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026D34E6"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161481F3"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4F07D3D4"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22</w:t>
            </w:r>
          </w:p>
        </w:tc>
        <w:tc>
          <w:tcPr>
            <w:tcW w:w="3506" w:type="pct"/>
            <w:tcBorders>
              <w:top w:val="nil"/>
              <w:left w:val="nil"/>
              <w:bottom w:val="single" w:sz="4" w:space="0" w:color="auto"/>
              <w:right w:val="single" w:sz="4" w:space="0" w:color="auto"/>
            </w:tcBorders>
            <w:shd w:val="clear" w:color="auto" w:fill="auto"/>
            <w:hideMark/>
          </w:tcPr>
          <w:p w14:paraId="7A5657FC"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should notify users when tasks need to be performed.</w:t>
            </w:r>
          </w:p>
        </w:tc>
        <w:tc>
          <w:tcPr>
            <w:tcW w:w="640" w:type="pct"/>
            <w:tcBorders>
              <w:top w:val="nil"/>
              <w:left w:val="nil"/>
              <w:bottom w:val="single" w:sz="4" w:space="0" w:color="auto"/>
              <w:right w:val="single" w:sz="4" w:space="0" w:color="auto"/>
            </w:tcBorders>
            <w:shd w:val="clear" w:color="auto" w:fill="auto"/>
            <w:noWrap/>
            <w:hideMark/>
          </w:tcPr>
          <w:p w14:paraId="5D7A54EF"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39192E5D"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7F31C1B1"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2BCA0ACA"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23</w:t>
            </w:r>
          </w:p>
        </w:tc>
        <w:tc>
          <w:tcPr>
            <w:tcW w:w="3506" w:type="pct"/>
            <w:tcBorders>
              <w:top w:val="nil"/>
              <w:left w:val="nil"/>
              <w:bottom w:val="single" w:sz="4" w:space="0" w:color="auto"/>
              <w:right w:val="single" w:sz="4" w:space="0" w:color="auto"/>
            </w:tcBorders>
            <w:shd w:val="clear" w:color="auto" w:fill="auto"/>
            <w:hideMark/>
          </w:tcPr>
          <w:p w14:paraId="010CB41D"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has ability to document, update and track corporate compliance obligations landscape.</w:t>
            </w:r>
          </w:p>
        </w:tc>
        <w:tc>
          <w:tcPr>
            <w:tcW w:w="640" w:type="pct"/>
            <w:tcBorders>
              <w:top w:val="nil"/>
              <w:left w:val="nil"/>
              <w:bottom w:val="single" w:sz="4" w:space="0" w:color="auto"/>
              <w:right w:val="single" w:sz="4" w:space="0" w:color="auto"/>
            </w:tcBorders>
            <w:shd w:val="clear" w:color="auto" w:fill="auto"/>
            <w:noWrap/>
            <w:hideMark/>
          </w:tcPr>
          <w:p w14:paraId="5F667002"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77E3F4C2"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1C1A0606"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32E09006"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24</w:t>
            </w:r>
          </w:p>
        </w:tc>
        <w:tc>
          <w:tcPr>
            <w:tcW w:w="3506" w:type="pct"/>
            <w:tcBorders>
              <w:top w:val="nil"/>
              <w:left w:val="nil"/>
              <w:bottom w:val="single" w:sz="4" w:space="0" w:color="auto"/>
              <w:right w:val="single" w:sz="4" w:space="0" w:color="auto"/>
            </w:tcBorders>
            <w:shd w:val="clear" w:color="auto" w:fill="auto"/>
            <w:hideMark/>
          </w:tcPr>
          <w:p w14:paraId="6C01FF3B"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should be able to generate compliance reports and dashboards in a variety of formats including PDF, Word, and PPT.</w:t>
            </w:r>
          </w:p>
        </w:tc>
        <w:tc>
          <w:tcPr>
            <w:tcW w:w="640" w:type="pct"/>
            <w:tcBorders>
              <w:top w:val="nil"/>
              <w:left w:val="nil"/>
              <w:bottom w:val="single" w:sz="4" w:space="0" w:color="auto"/>
              <w:right w:val="single" w:sz="4" w:space="0" w:color="auto"/>
            </w:tcBorders>
            <w:shd w:val="clear" w:color="auto" w:fill="auto"/>
            <w:noWrap/>
            <w:hideMark/>
          </w:tcPr>
          <w:p w14:paraId="23A97E76"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38652A71"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6A787D29"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2D65C6E8"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25</w:t>
            </w:r>
          </w:p>
        </w:tc>
        <w:tc>
          <w:tcPr>
            <w:tcW w:w="3506" w:type="pct"/>
            <w:tcBorders>
              <w:top w:val="nil"/>
              <w:left w:val="nil"/>
              <w:bottom w:val="single" w:sz="4" w:space="0" w:color="auto"/>
              <w:right w:val="single" w:sz="4" w:space="0" w:color="auto"/>
            </w:tcBorders>
            <w:shd w:val="clear" w:color="auto" w:fill="auto"/>
            <w:hideMark/>
          </w:tcPr>
          <w:p w14:paraId="348C8AFF"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should provide an organisation-wide view of the compliance universe.</w:t>
            </w:r>
          </w:p>
        </w:tc>
        <w:tc>
          <w:tcPr>
            <w:tcW w:w="640" w:type="pct"/>
            <w:tcBorders>
              <w:top w:val="nil"/>
              <w:left w:val="nil"/>
              <w:bottom w:val="single" w:sz="4" w:space="0" w:color="auto"/>
              <w:right w:val="single" w:sz="4" w:space="0" w:color="auto"/>
            </w:tcBorders>
            <w:shd w:val="clear" w:color="auto" w:fill="auto"/>
            <w:noWrap/>
            <w:hideMark/>
          </w:tcPr>
          <w:p w14:paraId="0EBD34E0"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0BA23FDB"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1AFE94F5"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2B668E79"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26</w:t>
            </w:r>
          </w:p>
        </w:tc>
        <w:tc>
          <w:tcPr>
            <w:tcW w:w="3506" w:type="pct"/>
            <w:tcBorders>
              <w:top w:val="nil"/>
              <w:left w:val="nil"/>
              <w:bottom w:val="single" w:sz="4" w:space="0" w:color="auto"/>
              <w:right w:val="single" w:sz="4" w:space="0" w:color="auto"/>
            </w:tcBorders>
            <w:shd w:val="clear" w:color="auto" w:fill="auto"/>
            <w:hideMark/>
          </w:tcPr>
          <w:p w14:paraId="1874861C"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should support compliance for regulatory and organizational compliance frameworks.</w:t>
            </w:r>
          </w:p>
        </w:tc>
        <w:tc>
          <w:tcPr>
            <w:tcW w:w="640" w:type="pct"/>
            <w:tcBorders>
              <w:top w:val="nil"/>
              <w:left w:val="nil"/>
              <w:bottom w:val="single" w:sz="4" w:space="0" w:color="auto"/>
              <w:right w:val="single" w:sz="4" w:space="0" w:color="auto"/>
            </w:tcBorders>
            <w:shd w:val="clear" w:color="auto" w:fill="auto"/>
            <w:noWrap/>
            <w:hideMark/>
          </w:tcPr>
          <w:p w14:paraId="4949A4F5"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294A1B1B"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35AE8D43"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33A52CAF"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27</w:t>
            </w:r>
          </w:p>
        </w:tc>
        <w:tc>
          <w:tcPr>
            <w:tcW w:w="3506" w:type="pct"/>
            <w:tcBorders>
              <w:top w:val="nil"/>
              <w:left w:val="nil"/>
              <w:bottom w:val="single" w:sz="4" w:space="0" w:color="auto"/>
              <w:right w:val="single" w:sz="4" w:space="0" w:color="auto"/>
            </w:tcBorders>
            <w:shd w:val="clear" w:color="auto" w:fill="auto"/>
            <w:hideMark/>
          </w:tcPr>
          <w:p w14:paraId="62AFF975"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should support standard and custom processes related to the different laws/regulations/best-practices.</w:t>
            </w:r>
          </w:p>
        </w:tc>
        <w:tc>
          <w:tcPr>
            <w:tcW w:w="640" w:type="pct"/>
            <w:tcBorders>
              <w:top w:val="nil"/>
              <w:left w:val="nil"/>
              <w:bottom w:val="single" w:sz="4" w:space="0" w:color="auto"/>
              <w:right w:val="single" w:sz="4" w:space="0" w:color="auto"/>
            </w:tcBorders>
            <w:shd w:val="clear" w:color="auto" w:fill="auto"/>
            <w:noWrap/>
            <w:hideMark/>
          </w:tcPr>
          <w:p w14:paraId="1401ED13"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28F0B723"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5B4CE366"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046E0B20"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28</w:t>
            </w:r>
          </w:p>
        </w:tc>
        <w:tc>
          <w:tcPr>
            <w:tcW w:w="3506" w:type="pct"/>
            <w:tcBorders>
              <w:top w:val="nil"/>
              <w:left w:val="nil"/>
              <w:bottom w:val="single" w:sz="4" w:space="0" w:color="auto"/>
              <w:right w:val="single" w:sz="4" w:space="0" w:color="auto"/>
            </w:tcBorders>
            <w:shd w:val="clear" w:color="auto" w:fill="auto"/>
            <w:hideMark/>
          </w:tcPr>
          <w:p w14:paraId="0CAD7E8E"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must have the capability to add comments and attachments to any page, with version control for attachments.</w:t>
            </w:r>
          </w:p>
        </w:tc>
        <w:tc>
          <w:tcPr>
            <w:tcW w:w="640" w:type="pct"/>
            <w:tcBorders>
              <w:top w:val="nil"/>
              <w:left w:val="nil"/>
              <w:bottom w:val="single" w:sz="4" w:space="0" w:color="auto"/>
              <w:right w:val="single" w:sz="4" w:space="0" w:color="auto"/>
            </w:tcBorders>
            <w:shd w:val="clear" w:color="auto" w:fill="auto"/>
            <w:noWrap/>
            <w:hideMark/>
          </w:tcPr>
          <w:p w14:paraId="76DCBC57"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0D323CA3"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212AA879"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2FBCA403"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29</w:t>
            </w:r>
          </w:p>
        </w:tc>
        <w:tc>
          <w:tcPr>
            <w:tcW w:w="3506" w:type="pct"/>
            <w:tcBorders>
              <w:top w:val="nil"/>
              <w:left w:val="nil"/>
              <w:bottom w:val="single" w:sz="4" w:space="0" w:color="auto"/>
              <w:right w:val="single" w:sz="4" w:space="0" w:color="auto"/>
            </w:tcBorders>
            <w:shd w:val="clear" w:color="auto" w:fill="auto"/>
            <w:hideMark/>
          </w:tcPr>
          <w:p w14:paraId="72ECC667"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should be equipped to send notifications based on predefined business rules.</w:t>
            </w:r>
          </w:p>
        </w:tc>
        <w:tc>
          <w:tcPr>
            <w:tcW w:w="640" w:type="pct"/>
            <w:tcBorders>
              <w:top w:val="nil"/>
              <w:left w:val="nil"/>
              <w:bottom w:val="single" w:sz="4" w:space="0" w:color="auto"/>
              <w:right w:val="single" w:sz="4" w:space="0" w:color="auto"/>
            </w:tcBorders>
            <w:shd w:val="clear" w:color="auto" w:fill="auto"/>
            <w:noWrap/>
            <w:hideMark/>
          </w:tcPr>
          <w:p w14:paraId="008449EB"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6E147072"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0668827"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7C8DEDEA"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30</w:t>
            </w:r>
          </w:p>
        </w:tc>
        <w:tc>
          <w:tcPr>
            <w:tcW w:w="3506" w:type="pct"/>
            <w:tcBorders>
              <w:top w:val="nil"/>
              <w:left w:val="nil"/>
              <w:bottom w:val="single" w:sz="4" w:space="0" w:color="auto"/>
              <w:right w:val="single" w:sz="4" w:space="0" w:color="auto"/>
            </w:tcBorders>
            <w:shd w:val="clear" w:color="auto" w:fill="auto"/>
            <w:hideMark/>
          </w:tcPr>
          <w:p w14:paraId="6BED208B"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must include sophisticated filtering options for data within tables, enabling users to sort and access specific information based on column content.</w:t>
            </w:r>
          </w:p>
        </w:tc>
        <w:tc>
          <w:tcPr>
            <w:tcW w:w="640" w:type="pct"/>
            <w:tcBorders>
              <w:top w:val="nil"/>
              <w:left w:val="nil"/>
              <w:bottom w:val="single" w:sz="4" w:space="0" w:color="auto"/>
              <w:right w:val="single" w:sz="4" w:space="0" w:color="auto"/>
            </w:tcBorders>
            <w:shd w:val="clear" w:color="auto" w:fill="auto"/>
            <w:noWrap/>
            <w:hideMark/>
          </w:tcPr>
          <w:p w14:paraId="03065C20"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2608F332"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5DE2347D"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3882197C"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31</w:t>
            </w:r>
          </w:p>
        </w:tc>
        <w:tc>
          <w:tcPr>
            <w:tcW w:w="3506" w:type="pct"/>
            <w:tcBorders>
              <w:top w:val="nil"/>
              <w:left w:val="nil"/>
              <w:bottom w:val="single" w:sz="4" w:space="0" w:color="auto"/>
              <w:right w:val="single" w:sz="4" w:space="0" w:color="auto"/>
            </w:tcBorders>
            <w:shd w:val="clear" w:color="000000" w:fill="FFFFFF"/>
            <w:hideMark/>
          </w:tcPr>
          <w:p w14:paraId="7218714D"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In view of regulatory expectations, the system should support the generation of risk and compliance reports in various formats.</w:t>
            </w:r>
          </w:p>
        </w:tc>
        <w:tc>
          <w:tcPr>
            <w:tcW w:w="640" w:type="pct"/>
            <w:tcBorders>
              <w:top w:val="nil"/>
              <w:left w:val="nil"/>
              <w:bottom w:val="single" w:sz="4" w:space="0" w:color="auto"/>
              <w:right w:val="single" w:sz="4" w:space="0" w:color="auto"/>
            </w:tcBorders>
            <w:shd w:val="clear" w:color="auto" w:fill="auto"/>
            <w:noWrap/>
            <w:hideMark/>
          </w:tcPr>
          <w:p w14:paraId="2EBF8D36"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05991C60"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7576E1D8" w14:textId="77777777" w:rsidTr="008E0319">
        <w:trPr>
          <w:trHeight w:val="300"/>
        </w:trPr>
        <w:tc>
          <w:tcPr>
            <w:tcW w:w="4305" w:type="pct"/>
            <w:gridSpan w:val="3"/>
            <w:tcBorders>
              <w:top w:val="single" w:sz="4" w:space="0" w:color="auto"/>
              <w:left w:val="single" w:sz="4" w:space="0" w:color="auto"/>
              <w:bottom w:val="single" w:sz="4" w:space="0" w:color="auto"/>
              <w:right w:val="single" w:sz="4" w:space="0" w:color="auto"/>
            </w:tcBorders>
            <w:shd w:val="clear" w:color="000000" w:fill="333F4F"/>
            <w:noWrap/>
            <w:hideMark/>
          </w:tcPr>
          <w:p w14:paraId="4A04804B" w14:textId="77777777" w:rsidR="00985D46" w:rsidRPr="00985D46" w:rsidRDefault="00985D46" w:rsidP="00985D46">
            <w:pPr>
              <w:spacing w:after="0" w:line="240" w:lineRule="auto"/>
              <w:jc w:val="center"/>
              <w:rPr>
                <w:rFonts w:ascii="Calibri" w:eastAsia="Times New Roman" w:hAnsi="Calibri" w:cs="Calibri"/>
                <w:b/>
                <w:bCs/>
                <w:color w:val="FFFFFF"/>
                <w:sz w:val="20"/>
                <w:szCs w:val="20"/>
                <w:lang w:val="en-GB" w:eastAsia="en-GB"/>
              </w:rPr>
            </w:pPr>
            <w:r w:rsidRPr="00985D46">
              <w:rPr>
                <w:rFonts w:ascii="Calibri" w:eastAsia="Times New Roman" w:hAnsi="Calibri" w:cs="Calibri"/>
                <w:b/>
                <w:bCs/>
                <w:color w:val="FFFFFF"/>
                <w:sz w:val="20"/>
                <w:szCs w:val="20"/>
                <w:lang w:val="en-GB" w:eastAsia="en-GB"/>
              </w:rPr>
              <w:t>IT Audit</w:t>
            </w:r>
          </w:p>
        </w:tc>
        <w:tc>
          <w:tcPr>
            <w:tcW w:w="695" w:type="pct"/>
            <w:tcBorders>
              <w:top w:val="nil"/>
              <w:left w:val="nil"/>
              <w:bottom w:val="single" w:sz="4" w:space="0" w:color="auto"/>
              <w:right w:val="single" w:sz="4" w:space="0" w:color="auto"/>
            </w:tcBorders>
            <w:shd w:val="clear" w:color="auto" w:fill="auto"/>
            <w:hideMark/>
          </w:tcPr>
          <w:p w14:paraId="29BA91C4"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325968E0" w14:textId="77777777" w:rsidTr="008E0319">
        <w:trPr>
          <w:trHeight w:val="289"/>
        </w:trPr>
        <w:tc>
          <w:tcPr>
            <w:tcW w:w="159" w:type="pct"/>
            <w:tcBorders>
              <w:top w:val="nil"/>
              <w:left w:val="single" w:sz="4" w:space="0" w:color="auto"/>
              <w:bottom w:val="single" w:sz="4" w:space="0" w:color="auto"/>
              <w:right w:val="single" w:sz="4" w:space="0" w:color="auto"/>
            </w:tcBorders>
            <w:shd w:val="clear" w:color="000000" w:fill="EFF4FF"/>
            <w:hideMark/>
          </w:tcPr>
          <w:p w14:paraId="6CC30CE8" w14:textId="77777777" w:rsidR="00985D46" w:rsidRPr="00985D46" w:rsidRDefault="00985D46" w:rsidP="00985D46">
            <w:pPr>
              <w:spacing w:after="0" w:line="240" w:lineRule="auto"/>
              <w:jc w:val="center"/>
              <w:rPr>
                <w:rFonts w:ascii="Calibri" w:eastAsia="Times New Roman" w:hAnsi="Calibri" w:cs="Calibri"/>
                <w:b/>
                <w:bCs/>
                <w:sz w:val="20"/>
                <w:szCs w:val="20"/>
                <w:lang w:val="en-GB" w:eastAsia="en-GB"/>
              </w:rPr>
            </w:pPr>
            <w:r w:rsidRPr="00985D46">
              <w:rPr>
                <w:rFonts w:ascii="Calibri" w:eastAsia="Times New Roman" w:hAnsi="Calibri" w:cs="Calibri"/>
                <w:b/>
                <w:bCs/>
                <w:sz w:val="20"/>
                <w:szCs w:val="20"/>
                <w:lang w:val="en-GB" w:eastAsia="en-GB"/>
              </w:rPr>
              <w:t>Q</w:t>
            </w:r>
          </w:p>
        </w:tc>
        <w:tc>
          <w:tcPr>
            <w:tcW w:w="3506" w:type="pct"/>
            <w:tcBorders>
              <w:top w:val="nil"/>
              <w:left w:val="nil"/>
              <w:bottom w:val="single" w:sz="4" w:space="0" w:color="auto"/>
              <w:right w:val="single" w:sz="4" w:space="0" w:color="auto"/>
            </w:tcBorders>
            <w:shd w:val="clear" w:color="000000" w:fill="EFF4FF"/>
            <w:hideMark/>
          </w:tcPr>
          <w:p w14:paraId="11D320C9" w14:textId="77777777" w:rsidR="00985D46" w:rsidRPr="00985D46" w:rsidRDefault="00985D46" w:rsidP="00985D46">
            <w:pPr>
              <w:spacing w:after="0" w:line="240" w:lineRule="auto"/>
              <w:rPr>
                <w:rFonts w:ascii="Calibri" w:eastAsia="Times New Roman" w:hAnsi="Calibri" w:cs="Calibri"/>
                <w:b/>
                <w:bCs/>
                <w:sz w:val="20"/>
                <w:szCs w:val="20"/>
                <w:lang w:val="en-GB" w:eastAsia="en-GB"/>
              </w:rPr>
            </w:pPr>
            <w:r w:rsidRPr="00985D46">
              <w:rPr>
                <w:rFonts w:ascii="Calibri" w:eastAsia="Times New Roman" w:hAnsi="Calibri" w:cs="Calibri"/>
                <w:b/>
                <w:bCs/>
                <w:sz w:val="20"/>
                <w:szCs w:val="20"/>
                <w:lang w:val="en-GB" w:eastAsia="en-GB"/>
              </w:rPr>
              <w:t>Planning &amp; Universe:</w:t>
            </w:r>
          </w:p>
        </w:tc>
        <w:tc>
          <w:tcPr>
            <w:tcW w:w="640" w:type="pct"/>
            <w:tcBorders>
              <w:top w:val="nil"/>
              <w:left w:val="nil"/>
              <w:bottom w:val="single" w:sz="4" w:space="0" w:color="auto"/>
              <w:right w:val="single" w:sz="4" w:space="0" w:color="auto"/>
            </w:tcBorders>
            <w:shd w:val="clear" w:color="000000" w:fill="EFF4FF"/>
            <w:hideMark/>
          </w:tcPr>
          <w:p w14:paraId="6B9D8646" w14:textId="77777777" w:rsidR="00985D46" w:rsidRPr="00985D46" w:rsidRDefault="00985D46" w:rsidP="00985D46">
            <w:pPr>
              <w:spacing w:after="0" w:line="240" w:lineRule="auto"/>
              <w:rPr>
                <w:rFonts w:ascii="Calibri" w:eastAsia="Times New Roman" w:hAnsi="Calibri" w:cs="Calibri"/>
                <w:b/>
                <w:bCs/>
                <w:sz w:val="20"/>
                <w:szCs w:val="20"/>
                <w:lang w:val="en-GB" w:eastAsia="en-GB"/>
              </w:rPr>
            </w:pPr>
            <w:r w:rsidRPr="00985D46">
              <w:rPr>
                <w:rFonts w:ascii="Calibri" w:eastAsia="Times New Roman" w:hAnsi="Calibri" w:cs="Calibri"/>
                <w:b/>
                <w:bCs/>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153521AB"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53A69C56"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2B19255B"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1</w:t>
            </w:r>
          </w:p>
        </w:tc>
        <w:tc>
          <w:tcPr>
            <w:tcW w:w="3506" w:type="pct"/>
            <w:tcBorders>
              <w:top w:val="nil"/>
              <w:left w:val="nil"/>
              <w:bottom w:val="single" w:sz="4" w:space="0" w:color="auto"/>
              <w:right w:val="single" w:sz="4" w:space="0" w:color="auto"/>
            </w:tcBorders>
            <w:shd w:val="clear" w:color="auto" w:fill="auto"/>
            <w:hideMark/>
          </w:tcPr>
          <w:p w14:paraId="7EBACE93"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must have the capability to prepare Audit Plans over any time horizon, be it 3 months, 6 months, 12 months or 3 years.</w:t>
            </w:r>
          </w:p>
        </w:tc>
        <w:tc>
          <w:tcPr>
            <w:tcW w:w="640" w:type="pct"/>
            <w:tcBorders>
              <w:top w:val="nil"/>
              <w:left w:val="nil"/>
              <w:bottom w:val="single" w:sz="4" w:space="0" w:color="auto"/>
              <w:right w:val="single" w:sz="4" w:space="0" w:color="auto"/>
            </w:tcBorders>
            <w:shd w:val="clear" w:color="auto" w:fill="auto"/>
            <w:noWrap/>
            <w:hideMark/>
          </w:tcPr>
          <w:p w14:paraId="5F93D848"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45DD3E2A"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219B3A95"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39C8693B"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2</w:t>
            </w:r>
          </w:p>
        </w:tc>
        <w:tc>
          <w:tcPr>
            <w:tcW w:w="3506" w:type="pct"/>
            <w:tcBorders>
              <w:top w:val="nil"/>
              <w:left w:val="nil"/>
              <w:bottom w:val="single" w:sz="4" w:space="0" w:color="auto"/>
              <w:right w:val="single" w:sz="4" w:space="0" w:color="auto"/>
            </w:tcBorders>
            <w:shd w:val="clear" w:color="auto" w:fill="auto"/>
            <w:hideMark/>
          </w:tcPr>
          <w:p w14:paraId="5879DC0A"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must manage Audit cycles including (audit planning, resource scheduling/calendaring, work paper management, and audit Issues. Follow up management).</w:t>
            </w:r>
          </w:p>
        </w:tc>
        <w:tc>
          <w:tcPr>
            <w:tcW w:w="640" w:type="pct"/>
            <w:tcBorders>
              <w:top w:val="nil"/>
              <w:left w:val="nil"/>
              <w:bottom w:val="single" w:sz="4" w:space="0" w:color="auto"/>
              <w:right w:val="single" w:sz="4" w:space="0" w:color="auto"/>
            </w:tcBorders>
            <w:shd w:val="clear" w:color="auto" w:fill="auto"/>
            <w:noWrap/>
            <w:hideMark/>
          </w:tcPr>
          <w:p w14:paraId="55FB6324"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2817516B"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2BC274B3"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5B232F42"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3</w:t>
            </w:r>
          </w:p>
        </w:tc>
        <w:tc>
          <w:tcPr>
            <w:tcW w:w="3506" w:type="pct"/>
            <w:tcBorders>
              <w:top w:val="nil"/>
              <w:left w:val="nil"/>
              <w:bottom w:val="single" w:sz="4" w:space="0" w:color="auto"/>
              <w:right w:val="single" w:sz="4" w:space="0" w:color="auto"/>
            </w:tcBorders>
            <w:shd w:val="clear" w:color="auto" w:fill="auto"/>
            <w:hideMark/>
          </w:tcPr>
          <w:p w14:paraId="6FD8DB9A"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has the ability to maintain a comprehensive Audit universe encompass all business units, processes, systems, associated risks of the organization etc.</w:t>
            </w:r>
          </w:p>
        </w:tc>
        <w:tc>
          <w:tcPr>
            <w:tcW w:w="640" w:type="pct"/>
            <w:tcBorders>
              <w:top w:val="nil"/>
              <w:left w:val="nil"/>
              <w:bottom w:val="single" w:sz="4" w:space="0" w:color="auto"/>
              <w:right w:val="single" w:sz="4" w:space="0" w:color="auto"/>
            </w:tcBorders>
            <w:shd w:val="clear" w:color="auto" w:fill="auto"/>
            <w:noWrap/>
            <w:hideMark/>
          </w:tcPr>
          <w:p w14:paraId="6D6DA0F9"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21C55E61"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101075F9"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5E03B91D"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4</w:t>
            </w:r>
          </w:p>
        </w:tc>
        <w:tc>
          <w:tcPr>
            <w:tcW w:w="3506" w:type="pct"/>
            <w:tcBorders>
              <w:top w:val="nil"/>
              <w:left w:val="nil"/>
              <w:bottom w:val="single" w:sz="4" w:space="0" w:color="auto"/>
              <w:right w:val="single" w:sz="4" w:space="0" w:color="auto"/>
            </w:tcBorders>
            <w:shd w:val="clear" w:color="auto" w:fill="auto"/>
            <w:hideMark/>
          </w:tcPr>
          <w:p w14:paraId="4FE16F51"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must include advanced analytics to assess and prioritize audit areas based on evolving risk metrics and historical data trends.</w:t>
            </w:r>
          </w:p>
        </w:tc>
        <w:tc>
          <w:tcPr>
            <w:tcW w:w="640" w:type="pct"/>
            <w:tcBorders>
              <w:top w:val="nil"/>
              <w:left w:val="nil"/>
              <w:bottom w:val="single" w:sz="4" w:space="0" w:color="auto"/>
              <w:right w:val="single" w:sz="4" w:space="0" w:color="auto"/>
            </w:tcBorders>
            <w:shd w:val="clear" w:color="auto" w:fill="auto"/>
            <w:noWrap/>
            <w:hideMark/>
          </w:tcPr>
          <w:p w14:paraId="167851D7"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20E86FA9"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0DFCE3E" w14:textId="77777777" w:rsidTr="008E0319">
        <w:trPr>
          <w:trHeight w:val="1020"/>
        </w:trPr>
        <w:tc>
          <w:tcPr>
            <w:tcW w:w="159" w:type="pct"/>
            <w:tcBorders>
              <w:top w:val="nil"/>
              <w:left w:val="single" w:sz="4" w:space="0" w:color="auto"/>
              <w:bottom w:val="single" w:sz="4" w:space="0" w:color="auto"/>
              <w:right w:val="single" w:sz="4" w:space="0" w:color="auto"/>
            </w:tcBorders>
            <w:shd w:val="clear" w:color="auto" w:fill="auto"/>
            <w:noWrap/>
            <w:hideMark/>
          </w:tcPr>
          <w:p w14:paraId="628A812F"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5</w:t>
            </w:r>
          </w:p>
        </w:tc>
        <w:tc>
          <w:tcPr>
            <w:tcW w:w="3506" w:type="pct"/>
            <w:tcBorders>
              <w:top w:val="nil"/>
              <w:left w:val="nil"/>
              <w:bottom w:val="single" w:sz="4" w:space="0" w:color="auto"/>
              <w:right w:val="single" w:sz="4" w:space="0" w:color="auto"/>
            </w:tcBorders>
            <w:shd w:val="clear" w:color="auto" w:fill="auto"/>
            <w:hideMark/>
          </w:tcPr>
          <w:p w14:paraId="768ADCF6"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must have the capability to capture budget/plan time for each audit  engagement  at  the  time  of planning.</w:t>
            </w:r>
            <w:r w:rsidRPr="00985D46">
              <w:rPr>
                <w:rFonts w:ascii="Calibri" w:eastAsia="Times New Roman" w:hAnsi="Calibri" w:cs="Calibri"/>
                <w:sz w:val="20"/>
                <w:szCs w:val="20"/>
                <w:lang w:val="en-GB" w:eastAsia="en-GB"/>
              </w:rPr>
              <w:br/>
            </w:r>
            <w:r w:rsidRPr="00985D46">
              <w:rPr>
                <w:rFonts w:ascii="Calibri" w:eastAsia="Times New Roman" w:hAnsi="Calibri" w:cs="Calibri"/>
                <w:sz w:val="20"/>
                <w:szCs w:val="20"/>
                <w:lang w:val="en-GB" w:eastAsia="en-GB"/>
              </w:rPr>
              <w:br/>
              <w:t>The system allows for start and stop dates and other milestones of an audit to be planned and tracked for all metrics, including Planned, revised planned and actual dates, kick-off date, draft report date, closing meeting date, audit close date, etc.</w:t>
            </w:r>
          </w:p>
        </w:tc>
        <w:tc>
          <w:tcPr>
            <w:tcW w:w="640" w:type="pct"/>
            <w:tcBorders>
              <w:top w:val="nil"/>
              <w:left w:val="nil"/>
              <w:bottom w:val="single" w:sz="4" w:space="0" w:color="auto"/>
              <w:right w:val="single" w:sz="4" w:space="0" w:color="auto"/>
            </w:tcBorders>
            <w:shd w:val="clear" w:color="auto" w:fill="auto"/>
            <w:noWrap/>
            <w:hideMark/>
          </w:tcPr>
          <w:p w14:paraId="484BB0FE"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1AD1E235"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494E3E9"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24F7E2D6"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6</w:t>
            </w:r>
          </w:p>
        </w:tc>
        <w:tc>
          <w:tcPr>
            <w:tcW w:w="3506" w:type="pct"/>
            <w:tcBorders>
              <w:top w:val="nil"/>
              <w:left w:val="nil"/>
              <w:bottom w:val="single" w:sz="4" w:space="0" w:color="auto"/>
              <w:right w:val="single" w:sz="4" w:space="0" w:color="auto"/>
            </w:tcBorders>
            <w:shd w:val="clear" w:color="auto" w:fill="auto"/>
            <w:hideMark/>
          </w:tcPr>
          <w:p w14:paraId="54C5FC11"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must be able to automatically calculate the next date an audit assignment for when it should next be performed based upon designated criteria</w:t>
            </w:r>
          </w:p>
        </w:tc>
        <w:tc>
          <w:tcPr>
            <w:tcW w:w="640" w:type="pct"/>
            <w:tcBorders>
              <w:top w:val="nil"/>
              <w:left w:val="nil"/>
              <w:bottom w:val="single" w:sz="4" w:space="0" w:color="auto"/>
              <w:right w:val="single" w:sz="4" w:space="0" w:color="auto"/>
            </w:tcBorders>
            <w:shd w:val="clear" w:color="auto" w:fill="auto"/>
            <w:noWrap/>
            <w:hideMark/>
          </w:tcPr>
          <w:p w14:paraId="4A63F2BA"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7763A3EE"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3F1265F3"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1EF844A1"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7</w:t>
            </w:r>
          </w:p>
        </w:tc>
        <w:tc>
          <w:tcPr>
            <w:tcW w:w="3506" w:type="pct"/>
            <w:tcBorders>
              <w:top w:val="nil"/>
              <w:left w:val="nil"/>
              <w:bottom w:val="single" w:sz="4" w:space="0" w:color="auto"/>
              <w:right w:val="single" w:sz="4" w:space="0" w:color="auto"/>
            </w:tcBorders>
            <w:shd w:val="clear" w:color="auto" w:fill="auto"/>
            <w:hideMark/>
          </w:tcPr>
          <w:p w14:paraId="356D85F1"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must have the capability to automatically create individual audit  plan  directly  from  the Annual Audit plan on a web-based mode.</w:t>
            </w:r>
          </w:p>
        </w:tc>
        <w:tc>
          <w:tcPr>
            <w:tcW w:w="640" w:type="pct"/>
            <w:tcBorders>
              <w:top w:val="nil"/>
              <w:left w:val="nil"/>
              <w:bottom w:val="single" w:sz="4" w:space="0" w:color="auto"/>
              <w:right w:val="single" w:sz="4" w:space="0" w:color="auto"/>
            </w:tcBorders>
            <w:shd w:val="clear" w:color="auto" w:fill="auto"/>
            <w:noWrap/>
            <w:hideMark/>
          </w:tcPr>
          <w:p w14:paraId="45B843E5"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49117DC2"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EB8723A"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3FDDF963"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8</w:t>
            </w:r>
          </w:p>
        </w:tc>
        <w:tc>
          <w:tcPr>
            <w:tcW w:w="3506" w:type="pct"/>
            <w:tcBorders>
              <w:top w:val="nil"/>
              <w:left w:val="nil"/>
              <w:bottom w:val="single" w:sz="4" w:space="0" w:color="auto"/>
              <w:right w:val="single" w:sz="4" w:space="0" w:color="auto"/>
            </w:tcBorders>
            <w:shd w:val="clear" w:color="auto" w:fill="auto"/>
            <w:hideMark/>
          </w:tcPr>
          <w:p w14:paraId="41B52A33"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Need to have a robust process for approval of the annual internal audit plan with segregation of duties in effect.</w:t>
            </w:r>
          </w:p>
        </w:tc>
        <w:tc>
          <w:tcPr>
            <w:tcW w:w="640" w:type="pct"/>
            <w:tcBorders>
              <w:top w:val="nil"/>
              <w:left w:val="nil"/>
              <w:bottom w:val="single" w:sz="4" w:space="0" w:color="auto"/>
              <w:right w:val="single" w:sz="4" w:space="0" w:color="auto"/>
            </w:tcBorders>
            <w:shd w:val="clear" w:color="auto" w:fill="auto"/>
            <w:noWrap/>
            <w:hideMark/>
          </w:tcPr>
          <w:p w14:paraId="5E20BB32"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28BA50BF"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2FC35B6D"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5502CF72"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10</w:t>
            </w:r>
          </w:p>
        </w:tc>
        <w:tc>
          <w:tcPr>
            <w:tcW w:w="3506" w:type="pct"/>
            <w:tcBorders>
              <w:top w:val="nil"/>
              <w:left w:val="nil"/>
              <w:bottom w:val="single" w:sz="4" w:space="0" w:color="auto"/>
              <w:right w:val="single" w:sz="4" w:space="0" w:color="auto"/>
            </w:tcBorders>
            <w:shd w:val="clear" w:color="auto" w:fill="auto"/>
            <w:hideMark/>
          </w:tcPr>
          <w:p w14:paraId="67DD20FA"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allows for confidential audits for fraud, or other related internal reviews, to be scheduled but hidden from views and auditors without access to them.</w:t>
            </w:r>
          </w:p>
        </w:tc>
        <w:tc>
          <w:tcPr>
            <w:tcW w:w="640" w:type="pct"/>
            <w:tcBorders>
              <w:top w:val="nil"/>
              <w:left w:val="nil"/>
              <w:bottom w:val="single" w:sz="4" w:space="0" w:color="auto"/>
              <w:right w:val="single" w:sz="4" w:space="0" w:color="auto"/>
            </w:tcBorders>
            <w:shd w:val="clear" w:color="auto" w:fill="auto"/>
            <w:noWrap/>
            <w:hideMark/>
          </w:tcPr>
          <w:p w14:paraId="29470B7C"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259066C5"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6CB84EA1" w14:textId="77777777" w:rsidTr="008E0319">
        <w:trPr>
          <w:trHeight w:val="289"/>
        </w:trPr>
        <w:tc>
          <w:tcPr>
            <w:tcW w:w="159" w:type="pct"/>
            <w:tcBorders>
              <w:top w:val="nil"/>
              <w:left w:val="single" w:sz="4" w:space="0" w:color="auto"/>
              <w:bottom w:val="single" w:sz="4" w:space="0" w:color="auto"/>
              <w:right w:val="single" w:sz="4" w:space="0" w:color="auto"/>
            </w:tcBorders>
            <w:shd w:val="clear" w:color="000000" w:fill="EFF4FF"/>
            <w:hideMark/>
          </w:tcPr>
          <w:p w14:paraId="74971F7D" w14:textId="77777777" w:rsidR="00985D46" w:rsidRPr="00985D46" w:rsidRDefault="00985D46" w:rsidP="00985D46">
            <w:pPr>
              <w:spacing w:after="0" w:line="240" w:lineRule="auto"/>
              <w:jc w:val="center"/>
              <w:rPr>
                <w:rFonts w:ascii="Calibri" w:eastAsia="Times New Roman" w:hAnsi="Calibri" w:cs="Calibri"/>
                <w:b/>
                <w:bCs/>
                <w:sz w:val="20"/>
                <w:szCs w:val="20"/>
                <w:lang w:val="en-GB" w:eastAsia="en-GB"/>
              </w:rPr>
            </w:pPr>
            <w:r w:rsidRPr="00985D46">
              <w:rPr>
                <w:rFonts w:ascii="Calibri" w:eastAsia="Times New Roman" w:hAnsi="Calibri" w:cs="Calibri"/>
                <w:b/>
                <w:bCs/>
                <w:sz w:val="20"/>
                <w:szCs w:val="20"/>
                <w:lang w:val="en-GB" w:eastAsia="en-GB"/>
              </w:rPr>
              <w:t>R</w:t>
            </w:r>
          </w:p>
        </w:tc>
        <w:tc>
          <w:tcPr>
            <w:tcW w:w="3506" w:type="pct"/>
            <w:tcBorders>
              <w:top w:val="nil"/>
              <w:left w:val="nil"/>
              <w:bottom w:val="single" w:sz="4" w:space="0" w:color="auto"/>
              <w:right w:val="single" w:sz="4" w:space="0" w:color="auto"/>
            </w:tcBorders>
            <w:shd w:val="clear" w:color="000000" w:fill="EFF4FF"/>
            <w:hideMark/>
          </w:tcPr>
          <w:p w14:paraId="649FF5C5" w14:textId="77777777" w:rsidR="00985D46" w:rsidRPr="00985D46" w:rsidRDefault="00985D46" w:rsidP="00985D46">
            <w:pPr>
              <w:spacing w:after="0" w:line="240" w:lineRule="auto"/>
              <w:rPr>
                <w:rFonts w:ascii="Calibri" w:eastAsia="Times New Roman" w:hAnsi="Calibri" w:cs="Calibri"/>
                <w:b/>
                <w:bCs/>
                <w:sz w:val="20"/>
                <w:szCs w:val="20"/>
                <w:lang w:val="en-GB" w:eastAsia="en-GB"/>
              </w:rPr>
            </w:pPr>
            <w:r w:rsidRPr="00985D46">
              <w:rPr>
                <w:rFonts w:ascii="Calibri" w:eastAsia="Times New Roman" w:hAnsi="Calibri" w:cs="Calibri"/>
                <w:b/>
                <w:bCs/>
                <w:sz w:val="20"/>
                <w:szCs w:val="20"/>
                <w:lang w:val="en-GB" w:eastAsia="en-GB"/>
              </w:rPr>
              <w:t>Resource Allocation and Audit Program:</w:t>
            </w:r>
          </w:p>
        </w:tc>
        <w:tc>
          <w:tcPr>
            <w:tcW w:w="640" w:type="pct"/>
            <w:tcBorders>
              <w:top w:val="nil"/>
              <w:left w:val="nil"/>
              <w:bottom w:val="single" w:sz="4" w:space="0" w:color="auto"/>
              <w:right w:val="single" w:sz="4" w:space="0" w:color="auto"/>
            </w:tcBorders>
            <w:shd w:val="clear" w:color="000000" w:fill="EFF4FF"/>
            <w:hideMark/>
          </w:tcPr>
          <w:p w14:paraId="67A46E0A" w14:textId="77777777" w:rsidR="00985D46" w:rsidRPr="00985D46" w:rsidRDefault="00985D46" w:rsidP="00985D46">
            <w:pPr>
              <w:spacing w:after="0" w:line="240" w:lineRule="auto"/>
              <w:rPr>
                <w:rFonts w:ascii="Calibri" w:eastAsia="Times New Roman" w:hAnsi="Calibri" w:cs="Calibri"/>
                <w:b/>
                <w:bCs/>
                <w:sz w:val="20"/>
                <w:szCs w:val="20"/>
                <w:lang w:val="en-GB" w:eastAsia="en-GB"/>
              </w:rPr>
            </w:pPr>
            <w:r w:rsidRPr="00985D46">
              <w:rPr>
                <w:rFonts w:ascii="Calibri" w:eastAsia="Times New Roman" w:hAnsi="Calibri" w:cs="Calibri"/>
                <w:b/>
                <w:bCs/>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2A1E6FEB"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2302863" w14:textId="77777777" w:rsidTr="008E0319">
        <w:trPr>
          <w:trHeight w:val="1275"/>
        </w:trPr>
        <w:tc>
          <w:tcPr>
            <w:tcW w:w="159" w:type="pct"/>
            <w:tcBorders>
              <w:top w:val="nil"/>
              <w:left w:val="single" w:sz="4" w:space="0" w:color="auto"/>
              <w:bottom w:val="single" w:sz="4" w:space="0" w:color="auto"/>
              <w:right w:val="single" w:sz="4" w:space="0" w:color="auto"/>
            </w:tcBorders>
            <w:shd w:val="clear" w:color="auto" w:fill="auto"/>
            <w:noWrap/>
            <w:hideMark/>
          </w:tcPr>
          <w:p w14:paraId="75AD6288"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11</w:t>
            </w:r>
          </w:p>
        </w:tc>
        <w:tc>
          <w:tcPr>
            <w:tcW w:w="3506" w:type="pct"/>
            <w:tcBorders>
              <w:top w:val="nil"/>
              <w:left w:val="nil"/>
              <w:bottom w:val="single" w:sz="4" w:space="0" w:color="auto"/>
              <w:right w:val="single" w:sz="4" w:space="0" w:color="auto"/>
            </w:tcBorders>
            <w:shd w:val="clear" w:color="auto" w:fill="auto"/>
            <w:hideMark/>
          </w:tcPr>
          <w:p w14:paraId="17A9F8EA"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allows for creating a key team to do necessary planning checklists to ensure audit steps comply with internal procedures and ensure work papers and documentation for each step to be easily assessable from the checklist.</w:t>
            </w:r>
            <w:r w:rsidRPr="00985D46">
              <w:rPr>
                <w:rFonts w:ascii="Calibri" w:eastAsia="Times New Roman" w:hAnsi="Calibri" w:cs="Calibri"/>
                <w:sz w:val="20"/>
                <w:szCs w:val="20"/>
                <w:lang w:val="en-GB" w:eastAsia="en-GB"/>
              </w:rPr>
              <w:br/>
            </w:r>
            <w:r w:rsidRPr="00985D46">
              <w:rPr>
                <w:rFonts w:ascii="Calibri" w:eastAsia="Times New Roman" w:hAnsi="Calibri" w:cs="Calibri"/>
                <w:sz w:val="20"/>
                <w:szCs w:val="20"/>
                <w:lang w:val="en-GB" w:eastAsia="en-GB"/>
              </w:rPr>
              <w:br/>
              <w:t>The solution must have the capability to alert  the supervisor  while planning the resources, if the auditor is already assigned to another project.</w:t>
            </w:r>
          </w:p>
        </w:tc>
        <w:tc>
          <w:tcPr>
            <w:tcW w:w="640" w:type="pct"/>
            <w:tcBorders>
              <w:top w:val="nil"/>
              <w:left w:val="nil"/>
              <w:bottom w:val="single" w:sz="4" w:space="0" w:color="auto"/>
              <w:right w:val="single" w:sz="4" w:space="0" w:color="auto"/>
            </w:tcBorders>
            <w:shd w:val="clear" w:color="auto" w:fill="auto"/>
            <w:noWrap/>
            <w:hideMark/>
          </w:tcPr>
          <w:p w14:paraId="6EBEE612"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2C8D422B"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845838D" w14:textId="77777777" w:rsidTr="008E0319">
        <w:trPr>
          <w:trHeight w:val="2550"/>
        </w:trPr>
        <w:tc>
          <w:tcPr>
            <w:tcW w:w="159" w:type="pct"/>
            <w:tcBorders>
              <w:top w:val="nil"/>
              <w:left w:val="single" w:sz="4" w:space="0" w:color="auto"/>
              <w:bottom w:val="single" w:sz="4" w:space="0" w:color="auto"/>
              <w:right w:val="single" w:sz="4" w:space="0" w:color="auto"/>
            </w:tcBorders>
            <w:shd w:val="clear" w:color="auto" w:fill="auto"/>
            <w:noWrap/>
            <w:hideMark/>
          </w:tcPr>
          <w:p w14:paraId="4C8A43B8"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12</w:t>
            </w:r>
          </w:p>
        </w:tc>
        <w:tc>
          <w:tcPr>
            <w:tcW w:w="3506" w:type="pct"/>
            <w:tcBorders>
              <w:top w:val="nil"/>
              <w:left w:val="nil"/>
              <w:bottom w:val="single" w:sz="4" w:space="0" w:color="auto"/>
              <w:right w:val="single" w:sz="4" w:space="0" w:color="auto"/>
            </w:tcBorders>
            <w:shd w:val="clear" w:color="auto" w:fill="auto"/>
            <w:hideMark/>
          </w:tcPr>
          <w:p w14:paraId="6F54B6F1"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must have the capability to Track Actual Time spent in each phase of the audit that allows for reporting of specific audits performed by individual auditors, teams etc</w:t>
            </w:r>
            <w:r w:rsidRPr="00985D46">
              <w:rPr>
                <w:rFonts w:ascii="Calibri" w:eastAsia="Times New Roman" w:hAnsi="Calibri" w:cs="Calibri"/>
                <w:sz w:val="20"/>
                <w:szCs w:val="20"/>
                <w:lang w:val="en-GB" w:eastAsia="en-GB"/>
              </w:rPr>
              <w:br/>
            </w:r>
            <w:r w:rsidRPr="00985D46">
              <w:rPr>
                <w:rFonts w:ascii="Calibri" w:eastAsia="Times New Roman" w:hAnsi="Calibri" w:cs="Calibri"/>
                <w:sz w:val="20"/>
                <w:szCs w:val="20"/>
                <w:lang w:val="en-GB" w:eastAsia="en-GB"/>
              </w:rPr>
              <w:br/>
              <w:t>The system allows for time budgets to be created for each audit and audit section, Time sheets to be filled out where it compares actual time vs. budget time by audit, by year, etc., and allows for time sheets to be reviewed and approved.</w:t>
            </w:r>
            <w:r w:rsidRPr="00985D46">
              <w:rPr>
                <w:rFonts w:ascii="Calibri" w:eastAsia="Times New Roman" w:hAnsi="Calibri" w:cs="Calibri"/>
                <w:sz w:val="20"/>
                <w:szCs w:val="20"/>
                <w:lang w:val="en-GB" w:eastAsia="en-GB"/>
              </w:rPr>
              <w:br/>
            </w:r>
            <w:r w:rsidRPr="00985D46">
              <w:rPr>
                <w:rFonts w:ascii="Calibri" w:eastAsia="Times New Roman" w:hAnsi="Calibri" w:cs="Calibri"/>
                <w:sz w:val="20"/>
                <w:szCs w:val="20"/>
                <w:lang w:val="en-GB" w:eastAsia="en-GB"/>
              </w:rPr>
              <w:br/>
              <w:t>The solution must have the capability to approve auditors’ hours online.</w:t>
            </w:r>
            <w:r w:rsidRPr="00985D46">
              <w:rPr>
                <w:rFonts w:ascii="Calibri" w:eastAsia="Times New Roman" w:hAnsi="Calibri" w:cs="Calibri"/>
                <w:sz w:val="20"/>
                <w:szCs w:val="20"/>
                <w:lang w:val="en-GB" w:eastAsia="en-GB"/>
              </w:rPr>
              <w:br/>
            </w:r>
            <w:r w:rsidRPr="00985D46">
              <w:rPr>
                <w:rFonts w:ascii="Calibri" w:eastAsia="Times New Roman" w:hAnsi="Calibri" w:cs="Calibri"/>
                <w:sz w:val="20"/>
                <w:szCs w:val="20"/>
                <w:lang w:val="en-GB" w:eastAsia="en-GB"/>
              </w:rPr>
              <w:br/>
              <w:t>The system allows for start and stop dates and other milestones of an audit to be planned and tracked for all metrics, including Planned, revised planned and actual dates, kick-off date, draft report date, closing meeting date, audit close date, etc.</w:t>
            </w:r>
          </w:p>
        </w:tc>
        <w:tc>
          <w:tcPr>
            <w:tcW w:w="640" w:type="pct"/>
            <w:tcBorders>
              <w:top w:val="nil"/>
              <w:left w:val="nil"/>
              <w:bottom w:val="single" w:sz="4" w:space="0" w:color="auto"/>
              <w:right w:val="single" w:sz="4" w:space="0" w:color="auto"/>
            </w:tcBorders>
            <w:shd w:val="clear" w:color="auto" w:fill="auto"/>
            <w:noWrap/>
            <w:hideMark/>
          </w:tcPr>
          <w:p w14:paraId="1FFB383C"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03A912DE"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29BE3DB"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6DD474D6"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13</w:t>
            </w:r>
          </w:p>
        </w:tc>
        <w:tc>
          <w:tcPr>
            <w:tcW w:w="3506" w:type="pct"/>
            <w:tcBorders>
              <w:top w:val="nil"/>
              <w:left w:val="nil"/>
              <w:bottom w:val="single" w:sz="4" w:space="0" w:color="auto"/>
              <w:right w:val="single" w:sz="4" w:space="0" w:color="auto"/>
            </w:tcBorders>
            <w:shd w:val="clear" w:color="auto" w:fill="auto"/>
            <w:hideMark/>
          </w:tcPr>
          <w:p w14:paraId="0A9333ED"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must have the capability to capture planned time for each audit staff.</w:t>
            </w:r>
          </w:p>
        </w:tc>
        <w:tc>
          <w:tcPr>
            <w:tcW w:w="640" w:type="pct"/>
            <w:tcBorders>
              <w:top w:val="nil"/>
              <w:left w:val="nil"/>
              <w:bottom w:val="single" w:sz="4" w:space="0" w:color="auto"/>
              <w:right w:val="single" w:sz="4" w:space="0" w:color="auto"/>
            </w:tcBorders>
            <w:shd w:val="clear" w:color="auto" w:fill="auto"/>
            <w:noWrap/>
            <w:hideMark/>
          </w:tcPr>
          <w:p w14:paraId="4C3BBA14"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2A5E66D6"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5EAA184"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3181004E"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14</w:t>
            </w:r>
          </w:p>
        </w:tc>
        <w:tc>
          <w:tcPr>
            <w:tcW w:w="3506" w:type="pct"/>
            <w:tcBorders>
              <w:top w:val="nil"/>
              <w:left w:val="nil"/>
              <w:bottom w:val="single" w:sz="4" w:space="0" w:color="auto"/>
              <w:right w:val="single" w:sz="4" w:space="0" w:color="auto"/>
            </w:tcBorders>
            <w:shd w:val="clear" w:color="auto" w:fill="auto"/>
            <w:hideMark/>
          </w:tcPr>
          <w:p w14:paraId="3CF58F93"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must have the capability to report audit vs. non-audit time, and comparison to budgeted time.</w:t>
            </w:r>
          </w:p>
        </w:tc>
        <w:tc>
          <w:tcPr>
            <w:tcW w:w="640" w:type="pct"/>
            <w:tcBorders>
              <w:top w:val="nil"/>
              <w:left w:val="nil"/>
              <w:bottom w:val="single" w:sz="4" w:space="0" w:color="auto"/>
              <w:right w:val="single" w:sz="4" w:space="0" w:color="auto"/>
            </w:tcBorders>
            <w:shd w:val="clear" w:color="auto" w:fill="auto"/>
            <w:noWrap/>
            <w:hideMark/>
          </w:tcPr>
          <w:p w14:paraId="3391BFB6"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797483A1"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523F7AEE"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1542F955"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15</w:t>
            </w:r>
          </w:p>
        </w:tc>
        <w:tc>
          <w:tcPr>
            <w:tcW w:w="3506" w:type="pct"/>
            <w:tcBorders>
              <w:top w:val="nil"/>
              <w:left w:val="nil"/>
              <w:bottom w:val="single" w:sz="4" w:space="0" w:color="auto"/>
              <w:right w:val="single" w:sz="4" w:space="0" w:color="auto"/>
            </w:tcBorders>
            <w:shd w:val="clear" w:color="auto" w:fill="auto"/>
            <w:hideMark/>
          </w:tcPr>
          <w:p w14:paraId="4563E415"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must have the capability to generate   administrative reports by auditor and audit assignment.</w:t>
            </w:r>
          </w:p>
        </w:tc>
        <w:tc>
          <w:tcPr>
            <w:tcW w:w="640" w:type="pct"/>
            <w:tcBorders>
              <w:top w:val="nil"/>
              <w:left w:val="nil"/>
              <w:bottom w:val="single" w:sz="4" w:space="0" w:color="auto"/>
              <w:right w:val="single" w:sz="4" w:space="0" w:color="auto"/>
            </w:tcBorders>
            <w:shd w:val="clear" w:color="auto" w:fill="auto"/>
            <w:noWrap/>
            <w:hideMark/>
          </w:tcPr>
          <w:p w14:paraId="2431C7EE"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24CFC82F"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7EDA8817"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685BDDB7"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16</w:t>
            </w:r>
          </w:p>
        </w:tc>
        <w:tc>
          <w:tcPr>
            <w:tcW w:w="3506" w:type="pct"/>
            <w:tcBorders>
              <w:top w:val="nil"/>
              <w:left w:val="nil"/>
              <w:bottom w:val="single" w:sz="4" w:space="0" w:color="auto"/>
              <w:right w:val="single" w:sz="4" w:space="0" w:color="auto"/>
            </w:tcBorders>
            <w:shd w:val="clear" w:color="auto" w:fill="auto"/>
            <w:hideMark/>
          </w:tcPr>
          <w:p w14:paraId="2755ACD8"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must have the capability to prohibit/ restrict time entries after specific audit project closeout.</w:t>
            </w:r>
          </w:p>
        </w:tc>
        <w:tc>
          <w:tcPr>
            <w:tcW w:w="640" w:type="pct"/>
            <w:tcBorders>
              <w:top w:val="nil"/>
              <w:left w:val="nil"/>
              <w:bottom w:val="single" w:sz="4" w:space="0" w:color="auto"/>
              <w:right w:val="single" w:sz="4" w:space="0" w:color="auto"/>
            </w:tcBorders>
            <w:shd w:val="clear" w:color="auto" w:fill="auto"/>
            <w:noWrap/>
            <w:hideMark/>
          </w:tcPr>
          <w:p w14:paraId="1CD49B82"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235E972E"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1F8F138B"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20A3C608"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17</w:t>
            </w:r>
          </w:p>
        </w:tc>
        <w:tc>
          <w:tcPr>
            <w:tcW w:w="3506" w:type="pct"/>
            <w:tcBorders>
              <w:top w:val="nil"/>
              <w:left w:val="nil"/>
              <w:bottom w:val="single" w:sz="4" w:space="0" w:color="auto"/>
              <w:right w:val="single" w:sz="4" w:space="0" w:color="auto"/>
            </w:tcBorders>
            <w:shd w:val="clear" w:color="auto" w:fill="auto"/>
            <w:hideMark/>
          </w:tcPr>
          <w:p w14:paraId="45F0D522"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must allow the ability to scope the entities from the audit universe which are in scope for the current audit</w:t>
            </w:r>
          </w:p>
        </w:tc>
        <w:tc>
          <w:tcPr>
            <w:tcW w:w="640" w:type="pct"/>
            <w:tcBorders>
              <w:top w:val="nil"/>
              <w:left w:val="nil"/>
              <w:bottom w:val="single" w:sz="4" w:space="0" w:color="auto"/>
              <w:right w:val="single" w:sz="4" w:space="0" w:color="auto"/>
            </w:tcBorders>
            <w:shd w:val="clear" w:color="auto" w:fill="auto"/>
            <w:noWrap/>
            <w:hideMark/>
          </w:tcPr>
          <w:p w14:paraId="432D43FB"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3A95CABA"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5660009" w14:textId="77777777" w:rsidTr="008E0319">
        <w:trPr>
          <w:trHeight w:val="1020"/>
        </w:trPr>
        <w:tc>
          <w:tcPr>
            <w:tcW w:w="159" w:type="pct"/>
            <w:tcBorders>
              <w:top w:val="nil"/>
              <w:left w:val="single" w:sz="4" w:space="0" w:color="auto"/>
              <w:bottom w:val="single" w:sz="4" w:space="0" w:color="auto"/>
              <w:right w:val="single" w:sz="4" w:space="0" w:color="auto"/>
            </w:tcBorders>
            <w:shd w:val="clear" w:color="auto" w:fill="auto"/>
            <w:noWrap/>
            <w:hideMark/>
          </w:tcPr>
          <w:p w14:paraId="4EED8A65"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18</w:t>
            </w:r>
          </w:p>
        </w:tc>
        <w:tc>
          <w:tcPr>
            <w:tcW w:w="3506" w:type="pct"/>
            <w:tcBorders>
              <w:top w:val="nil"/>
              <w:left w:val="nil"/>
              <w:bottom w:val="single" w:sz="4" w:space="0" w:color="auto"/>
              <w:right w:val="single" w:sz="4" w:space="0" w:color="auto"/>
            </w:tcBorders>
            <w:shd w:val="clear" w:color="auto" w:fill="auto"/>
            <w:hideMark/>
          </w:tcPr>
          <w:p w14:paraId="09E328CD"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must have the capability to access the audit procedures captured in the audit program to conduct the audit.</w:t>
            </w:r>
            <w:r w:rsidRPr="00985D46">
              <w:rPr>
                <w:rFonts w:ascii="Calibri" w:eastAsia="Times New Roman" w:hAnsi="Calibri" w:cs="Calibri"/>
                <w:sz w:val="20"/>
                <w:szCs w:val="20"/>
                <w:lang w:val="en-GB" w:eastAsia="en-GB"/>
              </w:rPr>
              <w:br/>
            </w:r>
            <w:r w:rsidRPr="00985D46">
              <w:rPr>
                <w:rFonts w:ascii="Calibri" w:eastAsia="Times New Roman" w:hAnsi="Calibri" w:cs="Calibri"/>
                <w:sz w:val="20"/>
                <w:szCs w:val="20"/>
                <w:lang w:val="en-GB" w:eastAsia="en-GB"/>
              </w:rPr>
              <w:br/>
              <w:t>The solution must have the capability to add additional audit steps (procedures) to the audit program at any time during the course of the audit.</w:t>
            </w:r>
          </w:p>
        </w:tc>
        <w:tc>
          <w:tcPr>
            <w:tcW w:w="640" w:type="pct"/>
            <w:tcBorders>
              <w:top w:val="nil"/>
              <w:left w:val="nil"/>
              <w:bottom w:val="single" w:sz="4" w:space="0" w:color="auto"/>
              <w:right w:val="single" w:sz="4" w:space="0" w:color="auto"/>
            </w:tcBorders>
            <w:shd w:val="clear" w:color="auto" w:fill="auto"/>
            <w:noWrap/>
            <w:hideMark/>
          </w:tcPr>
          <w:p w14:paraId="6AA0E75C"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39D898AD"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54E91C26"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751C3547"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19</w:t>
            </w:r>
          </w:p>
        </w:tc>
        <w:tc>
          <w:tcPr>
            <w:tcW w:w="3506" w:type="pct"/>
            <w:tcBorders>
              <w:top w:val="nil"/>
              <w:left w:val="nil"/>
              <w:bottom w:val="single" w:sz="4" w:space="0" w:color="auto"/>
              <w:right w:val="single" w:sz="4" w:space="0" w:color="auto"/>
            </w:tcBorders>
            <w:shd w:val="clear" w:color="auto" w:fill="auto"/>
            <w:hideMark/>
          </w:tcPr>
          <w:p w14:paraId="5634E718"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must have the capability to enable the audit supervisors to approve the audit program and any subsequent changes.</w:t>
            </w:r>
          </w:p>
        </w:tc>
        <w:tc>
          <w:tcPr>
            <w:tcW w:w="640" w:type="pct"/>
            <w:tcBorders>
              <w:top w:val="nil"/>
              <w:left w:val="nil"/>
              <w:bottom w:val="single" w:sz="4" w:space="0" w:color="auto"/>
              <w:right w:val="single" w:sz="4" w:space="0" w:color="auto"/>
            </w:tcBorders>
            <w:shd w:val="clear" w:color="auto" w:fill="auto"/>
            <w:noWrap/>
            <w:hideMark/>
          </w:tcPr>
          <w:p w14:paraId="469258C3"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776410E5"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006976D"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0DE9BA7F"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20</w:t>
            </w:r>
          </w:p>
        </w:tc>
        <w:tc>
          <w:tcPr>
            <w:tcW w:w="3506" w:type="pct"/>
            <w:tcBorders>
              <w:top w:val="nil"/>
              <w:left w:val="nil"/>
              <w:bottom w:val="single" w:sz="4" w:space="0" w:color="auto"/>
              <w:right w:val="single" w:sz="4" w:space="0" w:color="auto"/>
            </w:tcBorders>
            <w:shd w:val="clear" w:color="auto" w:fill="auto"/>
            <w:hideMark/>
          </w:tcPr>
          <w:p w14:paraId="5AA441B3"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must have the capability to send and file the letter of introduction/notification to auditees for audit commencement.</w:t>
            </w:r>
          </w:p>
        </w:tc>
        <w:tc>
          <w:tcPr>
            <w:tcW w:w="640" w:type="pct"/>
            <w:tcBorders>
              <w:top w:val="nil"/>
              <w:left w:val="nil"/>
              <w:bottom w:val="single" w:sz="4" w:space="0" w:color="auto"/>
              <w:right w:val="single" w:sz="4" w:space="0" w:color="auto"/>
            </w:tcBorders>
            <w:shd w:val="clear" w:color="auto" w:fill="auto"/>
            <w:noWrap/>
            <w:hideMark/>
          </w:tcPr>
          <w:p w14:paraId="6A794644"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4989A187"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6DBE524E"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57EC1334"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21</w:t>
            </w:r>
          </w:p>
        </w:tc>
        <w:tc>
          <w:tcPr>
            <w:tcW w:w="3506" w:type="pct"/>
            <w:tcBorders>
              <w:top w:val="nil"/>
              <w:left w:val="nil"/>
              <w:bottom w:val="single" w:sz="4" w:space="0" w:color="auto"/>
              <w:right w:val="single" w:sz="4" w:space="0" w:color="auto"/>
            </w:tcBorders>
            <w:shd w:val="clear" w:color="auto" w:fill="auto"/>
            <w:hideMark/>
          </w:tcPr>
          <w:p w14:paraId="16A98D3B"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must have the capability to store and retrieve audit programs, templates and repetitive issues in a repository</w:t>
            </w:r>
          </w:p>
        </w:tc>
        <w:tc>
          <w:tcPr>
            <w:tcW w:w="640" w:type="pct"/>
            <w:tcBorders>
              <w:top w:val="nil"/>
              <w:left w:val="nil"/>
              <w:bottom w:val="single" w:sz="4" w:space="0" w:color="auto"/>
              <w:right w:val="single" w:sz="4" w:space="0" w:color="auto"/>
            </w:tcBorders>
            <w:shd w:val="clear" w:color="auto" w:fill="auto"/>
            <w:noWrap/>
            <w:hideMark/>
          </w:tcPr>
          <w:p w14:paraId="019BD406"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52219783"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52FCD82F" w14:textId="77777777" w:rsidTr="008E0319">
        <w:trPr>
          <w:trHeight w:val="289"/>
        </w:trPr>
        <w:tc>
          <w:tcPr>
            <w:tcW w:w="159" w:type="pct"/>
            <w:tcBorders>
              <w:top w:val="nil"/>
              <w:left w:val="single" w:sz="4" w:space="0" w:color="auto"/>
              <w:bottom w:val="single" w:sz="4" w:space="0" w:color="auto"/>
              <w:right w:val="single" w:sz="4" w:space="0" w:color="auto"/>
            </w:tcBorders>
            <w:shd w:val="clear" w:color="000000" w:fill="EFF4FF"/>
            <w:hideMark/>
          </w:tcPr>
          <w:p w14:paraId="39687E36" w14:textId="77777777" w:rsidR="00985D46" w:rsidRPr="00985D46" w:rsidRDefault="00985D46" w:rsidP="00985D46">
            <w:pPr>
              <w:spacing w:after="0" w:line="240" w:lineRule="auto"/>
              <w:jc w:val="center"/>
              <w:rPr>
                <w:rFonts w:ascii="Calibri" w:eastAsia="Times New Roman" w:hAnsi="Calibri" w:cs="Calibri"/>
                <w:b/>
                <w:bCs/>
                <w:sz w:val="20"/>
                <w:szCs w:val="20"/>
                <w:lang w:val="en-GB" w:eastAsia="en-GB"/>
              </w:rPr>
            </w:pPr>
            <w:r w:rsidRPr="00985D46">
              <w:rPr>
                <w:rFonts w:ascii="Calibri" w:eastAsia="Times New Roman" w:hAnsi="Calibri" w:cs="Calibri"/>
                <w:b/>
                <w:bCs/>
                <w:sz w:val="20"/>
                <w:szCs w:val="20"/>
                <w:lang w:val="en-GB" w:eastAsia="en-GB"/>
              </w:rPr>
              <w:t>S</w:t>
            </w:r>
          </w:p>
        </w:tc>
        <w:tc>
          <w:tcPr>
            <w:tcW w:w="3506" w:type="pct"/>
            <w:tcBorders>
              <w:top w:val="nil"/>
              <w:left w:val="nil"/>
              <w:bottom w:val="single" w:sz="4" w:space="0" w:color="auto"/>
              <w:right w:val="single" w:sz="4" w:space="0" w:color="auto"/>
            </w:tcBorders>
            <w:shd w:val="clear" w:color="000000" w:fill="EFF4FF"/>
            <w:hideMark/>
          </w:tcPr>
          <w:p w14:paraId="78BEAB77" w14:textId="77777777" w:rsidR="00985D46" w:rsidRPr="00985D46" w:rsidRDefault="00985D46" w:rsidP="00985D46">
            <w:pPr>
              <w:spacing w:after="0" w:line="240" w:lineRule="auto"/>
              <w:rPr>
                <w:rFonts w:ascii="Calibri" w:eastAsia="Times New Roman" w:hAnsi="Calibri" w:cs="Calibri"/>
                <w:b/>
                <w:bCs/>
                <w:sz w:val="20"/>
                <w:szCs w:val="20"/>
                <w:lang w:val="en-GB" w:eastAsia="en-GB"/>
              </w:rPr>
            </w:pPr>
            <w:r w:rsidRPr="00985D46">
              <w:rPr>
                <w:rFonts w:ascii="Calibri" w:eastAsia="Times New Roman" w:hAnsi="Calibri" w:cs="Calibri"/>
                <w:b/>
                <w:bCs/>
                <w:sz w:val="20"/>
                <w:szCs w:val="20"/>
                <w:lang w:val="en-GB" w:eastAsia="en-GB"/>
              </w:rPr>
              <w:t>Workpapers:</w:t>
            </w:r>
          </w:p>
        </w:tc>
        <w:tc>
          <w:tcPr>
            <w:tcW w:w="640" w:type="pct"/>
            <w:tcBorders>
              <w:top w:val="nil"/>
              <w:left w:val="nil"/>
              <w:bottom w:val="single" w:sz="4" w:space="0" w:color="auto"/>
              <w:right w:val="single" w:sz="4" w:space="0" w:color="auto"/>
            </w:tcBorders>
            <w:shd w:val="clear" w:color="000000" w:fill="EFF4FF"/>
            <w:hideMark/>
          </w:tcPr>
          <w:p w14:paraId="45C4E9DE" w14:textId="77777777" w:rsidR="00985D46" w:rsidRPr="00985D46" w:rsidRDefault="00985D46" w:rsidP="00985D46">
            <w:pPr>
              <w:spacing w:after="0" w:line="240" w:lineRule="auto"/>
              <w:rPr>
                <w:rFonts w:ascii="Calibri" w:eastAsia="Times New Roman" w:hAnsi="Calibri" w:cs="Calibri"/>
                <w:b/>
                <w:bCs/>
                <w:sz w:val="20"/>
                <w:szCs w:val="20"/>
                <w:lang w:val="en-GB" w:eastAsia="en-GB"/>
              </w:rPr>
            </w:pPr>
            <w:r w:rsidRPr="00985D46">
              <w:rPr>
                <w:rFonts w:ascii="Calibri" w:eastAsia="Times New Roman" w:hAnsi="Calibri" w:cs="Calibri"/>
                <w:b/>
                <w:bCs/>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2E4CCA62"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778DBDA9"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48FE60F6"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22</w:t>
            </w:r>
          </w:p>
        </w:tc>
        <w:tc>
          <w:tcPr>
            <w:tcW w:w="3506" w:type="pct"/>
            <w:tcBorders>
              <w:top w:val="nil"/>
              <w:left w:val="nil"/>
              <w:bottom w:val="single" w:sz="4" w:space="0" w:color="auto"/>
              <w:right w:val="single" w:sz="4" w:space="0" w:color="auto"/>
            </w:tcBorders>
            <w:shd w:val="clear" w:color="auto" w:fill="auto"/>
            <w:hideMark/>
          </w:tcPr>
          <w:p w14:paraId="61DA87B2"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allows for audit work papers to be created directly from an audit program and automatically referenced back and allows for multiple types of work papers to be created, including templates for interviews, meetings, or control tests.</w:t>
            </w:r>
          </w:p>
        </w:tc>
        <w:tc>
          <w:tcPr>
            <w:tcW w:w="640" w:type="pct"/>
            <w:tcBorders>
              <w:top w:val="nil"/>
              <w:left w:val="nil"/>
              <w:bottom w:val="single" w:sz="4" w:space="0" w:color="auto"/>
              <w:right w:val="single" w:sz="4" w:space="0" w:color="auto"/>
            </w:tcBorders>
            <w:shd w:val="clear" w:color="auto" w:fill="auto"/>
            <w:noWrap/>
            <w:hideMark/>
          </w:tcPr>
          <w:p w14:paraId="179498B3"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3AB2C71F"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3167C49B" w14:textId="77777777" w:rsidTr="008E0319">
        <w:trPr>
          <w:trHeight w:val="765"/>
        </w:trPr>
        <w:tc>
          <w:tcPr>
            <w:tcW w:w="159" w:type="pct"/>
            <w:tcBorders>
              <w:top w:val="nil"/>
              <w:left w:val="single" w:sz="4" w:space="0" w:color="auto"/>
              <w:bottom w:val="single" w:sz="4" w:space="0" w:color="auto"/>
              <w:right w:val="single" w:sz="4" w:space="0" w:color="auto"/>
            </w:tcBorders>
            <w:shd w:val="clear" w:color="auto" w:fill="auto"/>
            <w:noWrap/>
            <w:hideMark/>
          </w:tcPr>
          <w:p w14:paraId="13B1EE97"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23</w:t>
            </w:r>
          </w:p>
        </w:tc>
        <w:tc>
          <w:tcPr>
            <w:tcW w:w="3506" w:type="pct"/>
            <w:tcBorders>
              <w:top w:val="nil"/>
              <w:left w:val="nil"/>
              <w:bottom w:val="single" w:sz="4" w:space="0" w:color="auto"/>
              <w:right w:val="single" w:sz="4" w:space="0" w:color="auto"/>
            </w:tcBorders>
            <w:shd w:val="clear" w:color="auto" w:fill="auto"/>
            <w:hideMark/>
          </w:tcPr>
          <w:p w14:paraId="2C1AC370"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must allow for more than one audit issue to be generated per work paper, and can be attached directly to work papers, automatically referenced, assigned expected completion dates, issue coordinators, priorities, and assigned dispositions such as audit report or verbal discussion.</w:t>
            </w:r>
          </w:p>
        </w:tc>
        <w:tc>
          <w:tcPr>
            <w:tcW w:w="640" w:type="pct"/>
            <w:tcBorders>
              <w:top w:val="nil"/>
              <w:left w:val="nil"/>
              <w:bottom w:val="single" w:sz="4" w:space="0" w:color="auto"/>
              <w:right w:val="single" w:sz="4" w:space="0" w:color="auto"/>
            </w:tcBorders>
            <w:shd w:val="clear" w:color="auto" w:fill="auto"/>
            <w:noWrap/>
            <w:hideMark/>
          </w:tcPr>
          <w:p w14:paraId="19C87C74"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3B5B1CAC"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355DA23"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74EE4B24"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24</w:t>
            </w:r>
          </w:p>
        </w:tc>
        <w:tc>
          <w:tcPr>
            <w:tcW w:w="3506" w:type="pct"/>
            <w:tcBorders>
              <w:top w:val="nil"/>
              <w:left w:val="nil"/>
              <w:bottom w:val="single" w:sz="4" w:space="0" w:color="auto"/>
              <w:right w:val="single" w:sz="4" w:space="0" w:color="auto"/>
            </w:tcBorders>
            <w:shd w:val="clear" w:color="auto" w:fill="auto"/>
            <w:hideMark/>
          </w:tcPr>
          <w:p w14:paraId="74C5A64D"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must have the capability to assign risk severity levels to each Audit Issue</w:t>
            </w:r>
          </w:p>
        </w:tc>
        <w:tc>
          <w:tcPr>
            <w:tcW w:w="640" w:type="pct"/>
            <w:tcBorders>
              <w:top w:val="nil"/>
              <w:left w:val="nil"/>
              <w:bottom w:val="single" w:sz="4" w:space="0" w:color="auto"/>
              <w:right w:val="single" w:sz="4" w:space="0" w:color="auto"/>
            </w:tcBorders>
            <w:shd w:val="clear" w:color="auto" w:fill="auto"/>
            <w:noWrap/>
            <w:hideMark/>
          </w:tcPr>
          <w:p w14:paraId="5D89CC7C"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0A769C46"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18FC2C66"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0F9E26BE"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25</w:t>
            </w:r>
          </w:p>
        </w:tc>
        <w:tc>
          <w:tcPr>
            <w:tcW w:w="3506" w:type="pct"/>
            <w:tcBorders>
              <w:top w:val="nil"/>
              <w:left w:val="nil"/>
              <w:bottom w:val="single" w:sz="4" w:space="0" w:color="auto"/>
              <w:right w:val="single" w:sz="4" w:space="0" w:color="auto"/>
            </w:tcBorders>
            <w:shd w:val="clear" w:color="auto" w:fill="auto"/>
            <w:hideMark/>
          </w:tcPr>
          <w:p w14:paraId="4140F913"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 xml:space="preserve">The solution must have the capability to  capture  audit  conclusions and recommendations. </w:t>
            </w:r>
          </w:p>
        </w:tc>
        <w:tc>
          <w:tcPr>
            <w:tcW w:w="640" w:type="pct"/>
            <w:tcBorders>
              <w:top w:val="nil"/>
              <w:left w:val="nil"/>
              <w:bottom w:val="single" w:sz="4" w:space="0" w:color="auto"/>
              <w:right w:val="single" w:sz="4" w:space="0" w:color="auto"/>
            </w:tcBorders>
            <w:shd w:val="clear" w:color="auto" w:fill="auto"/>
            <w:noWrap/>
            <w:hideMark/>
          </w:tcPr>
          <w:p w14:paraId="74A034A0"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410FDF74"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23ABC695"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1D4014EE"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26</w:t>
            </w:r>
          </w:p>
        </w:tc>
        <w:tc>
          <w:tcPr>
            <w:tcW w:w="3506" w:type="pct"/>
            <w:tcBorders>
              <w:top w:val="nil"/>
              <w:left w:val="nil"/>
              <w:bottom w:val="single" w:sz="4" w:space="0" w:color="auto"/>
              <w:right w:val="single" w:sz="4" w:space="0" w:color="auto"/>
            </w:tcBorders>
            <w:shd w:val="clear" w:color="auto" w:fill="auto"/>
            <w:hideMark/>
          </w:tcPr>
          <w:p w14:paraId="3E6FBA10"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must have the capability to record multiple recommendations for each audit and issue</w:t>
            </w:r>
          </w:p>
        </w:tc>
        <w:tc>
          <w:tcPr>
            <w:tcW w:w="640" w:type="pct"/>
            <w:tcBorders>
              <w:top w:val="nil"/>
              <w:left w:val="nil"/>
              <w:bottom w:val="single" w:sz="4" w:space="0" w:color="auto"/>
              <w:right w:val="single" w:sz="4" w:space="0" w:color="auto"/>
            </w:tcBorders>
            <w:shd w:val="clear" w:color="auto" w:fill="auto"/>
            <w:noWrap/>
            <w:hideMark/>
          </w:tcPr>
          <w:p w14:paraId="5F41DC37"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7CAA131A"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716CD5FF"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0FEDF89B"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27</w:t>
            </w:r>
          </w:p>
        </w:tc>
        <w:tc>
          <w:tcPr>
            <w:tcW w:w="3506" w:type="pct"/>
            <w:tcBorders>
              <w:top w:val="nil"/>
              <w:left w:val="nil"/>
              <w:bottom w:val="single" w:sz="4" w:space="0" w:color="auto"/>
              <w:right w:val="single" w:sz="4" w:space="0" w:color="auto"/>
            </w:tcBorders>
            <w:shd w:val="clear" w:color="auto" w:fill="auto"/>
            <w:hideMark/>
          </w:tcPr>
          <w:p w14:paraId="376707CF"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status of audit issues as per published internal audit reports should be able to be seen through the use of dashboards (i.e. open/closed/late/agree/disagree) etc.</w:t>
            </w:r>
          </w:p>
        </w:tc>
        <w:tc>
          <w:tcPr>
            <w:tcW w:w="640" w:type="pct"/>
            <w:tcBorders>
              <w:top w:val="nil"/>
              <w:left w:val="nil"/>
              <w:bottom w:val="single" w:sz="4" w:space="0" w:color="auto"/>
              <w:right w:val="single" w:sz="4" w:space="0" w:color="auto"/>
            </w:tcBorders>
            <w:shd w:val="clear" w:color="auto" w:fill="auto"/>
            <w:noWrap/>
            <w:hideMark/>
          </w:tcPr>
          <w:p w14:paraId="06A35E34"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4461A7BD"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134346D3"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775A9DC1"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28</w:t>
            </w:r>
          </w:p>
        </w:tc>
        <w:tc>
          <w:tcPr>
            <w:tcW w:w="3506" w:type="pct"/>
            <w:tcBorders>
              <w:top w:val="nil"/>
              <w:left w:val="nil"/>
              <w:bottom w:val="single" w:sz="4" w:space="0" w:color="auto"/>
              <w:right w:val="single" w:sz="4" w:space="0" w:color="auto"/>
            </w:tcBorders>
            <w:shd w:val="clear" w:color="auto" w:fill="auto"/>
            <w:hideMark/>
          </w:tcPr>
          <w:p w14:paraId="6A62FAB5"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Generate audit reports based on user requirements (e.g. task status/audit notes etc.)</w:t>
            </w:r>
          </w:p>
        </w:tc>
        <w:tc>
          <w:tcPr>
            <w:tcW w:w="640" w:type="pct"/>
            <w:tcBorders>
              <w:top w:val="nil"/>
              <w:left w:val="nil"/>
              <w:bottom w:val="single" w:sz="4" w:space="0" w:color="auto"/>
              <w:right w:val="single" w:sz="4" w:space="0" w:color="auto"/>
            </w:tcBorders>
            <w:shd w:val="clear" w:color="auto" w:fill="auto"/>
            <w:noWrap/>
            <w:hideMark/>
          </w:tcPr>
          <w:p w14:paraId="7238ECDC"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0CE39E79"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2369388C"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1700CF57"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29</w:t>
            </w:r>
          </w:p>
        </w:tc>
        <w:tc>
          <w:tcPr>
            <w:tcW w:w="3506" w:type="pct"/>
            <w:tcBorders>
              <w:top w:val="nil"/>
              <w:left w:val="nil"/>
              <w:bottom w:val="single" w:sz="4" w:space="0" w:color="auto"/>
              <w:right w:val="single" w:sz="4" w:space="0" w:color="auto"/>
            </w:tcBorders>
            <w:shd w:val="clear" w:color="auto" w:fill="auto"/>
            <w:hideMark/>
          </w:tcPr>
          <w:p w14:paraId="151F0969"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Ability to perform quality assurance on audit tasks and or the audit file prior to closure.</w:t>
            </w:r>
          </w:p>
        </w:tc>
        <w:tc>
          <w:tcPr>
            <w:tcW w:w="640" w:type="pct"/>
            <w:tcBorders>
              <w:top w:val="nil"/>
              <w:left w:val="nil"/>
              <w:bottom w:val="single" w:sz="4" w:space="0" w:color="auto"/>
              <w:right w:val="single" w:sz="4" w:space="0" w:color="auto"/>
            </w:tcBorders>
            <w:shd w:val="clear" w:color="auto" w:fill="auto"/>
            <w:noWrap/>
            <w:hideMark/>
          </w:tcPr>
          <w:p w14:paraId="62B8BB96"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64015D68"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7E05E14B"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16AB1D91"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30</w:t>
            </w:r>
          </w:p>
        </w:tc>
        <w:tc>
          <w:tcPr>
            <w:tcW w:w="3506" w:type="pct"/>
            <w:tcBorders>
              <w:top w:val="nil"/>
              <w:left w:val="nil"/>
              <w:bottom w:val="single" w:sz="4" w:space="0" w:color="auto"/>
              <w:right w:val="single" w:sz="4" w:space="0" w:color="auto"/>
            </w:tcBorders>
            <w:shd w:val="clear" w:color="auto" w:fill="auto"/>
            <w:hideMark/>
          </w:tcPr>
          <w:p w14:paraId="3D99FAD3"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must have the capability to link or embed into the software any externally generated documents.</w:t>
            </w:r>
          </w:p>
        </w:tc>
        <w:tc>
          <w:tcPr>
            <w:tcW w:w="640" w:type="pct"/>
            <w:tcBorders>
              <w:top w:val="nil"/>
              <w:left w:val="nil"/>
              <w:bottom w:val="single" w:sz="4" w:space="0" w:color="auto"/>
              <w:right w:val="single" w:sz="4" w:space="0" w:color="auto"/>
            </w:tcBorders>
            <w:shd w:val="clear" w:color="auto" w:fill="auto"/>
            <w:noWrap/>
            <w:hideMark/>
          </w:tcPr>
          <w:p w14:paraId="57383E80"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23C2AA24"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63BF180B"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42A0FF9E"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31</w:t>
            </w:r>
          </w:p>
        </w:tc>
        <w:tc>
          <w:tcPr>
            <w:tcW w:w="3506" w:type="pct"/>
            <w:tcBorders>
              <w:top w:val="nil"/>
              <w:left w:val="nil"/>
              <w:bottom w:val="single" w:sz="4" w:space="0" w:color="auto"/>
              <w:right w:val="single" w:sz="4" w:space="0" w:color="auto"/>
            </w:tcBorders>
            <w:shd w:val="clear" w:color="auto" w:fill="auto"/>
            <w:hideMark/>
          </w:tcPr>
          <w:p w14:paraId="357B3687"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 xml:space="preserve">The solution must have the ability to applying standard tick marks to working papers and scanned documents and these tick marks should be customizable to suite the office agreed standard tick marks. </w:t>
            </w:r>
          </w:p>
        </w:tc>
        <w:tc>
          <w:tcPr>
            <w:tcW w:w="640" w:type="pct"/>
            <w:tcBorders>
              <w:top w:val="nil"/>
              <w:left w:val="nil"/>
              <w:bottom w:val="single" w:sz="4" w:space="0" w:color="auto"/>
              <w:right w:val="single" w:sz="4" w:space="0" w:color="auto"/>
            </w:tcBorders>
            <w:shd w:val="clear" w:color="auto" w:fill="auto"/>
            <w:noWrap/>
            <w:hideMark/>
          </w:tcPr>
          <w:p w14:paraId="52E7A29F"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1B5695D7"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29DC03A2"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350A4E04"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32</w:t>
            </w:r>
          </w:p>
        </w:tc>
        <w:tc>
          <w:tcPr>
            <w:tcW w:w="3506" w:type="pct"/>
            <w:tcBorders>
              <w:top w:val="nil"/>
              <w:left w:val="nil"/>
              <w:bottom w:val="single" w:sz="4" w:space="0" w:color="auto"/>
              <w:right w:val="single" w:sz="4" w:space="0" w:color="auto"/>
            </w:tcBorders>
            <w:shd w:val="clear" w:color="auto" w:fill="auto"/>
            <w:hideMark/>
          </w:tcPr>
          <w:p w14:paraId="675FB822"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 xml:space="preserve">The solution must have the capability to write supervisory review notes with links to targeted working papers. </w:t>
            </w:r>
          </w:p>
        </w:tc>
        <w:tc>
          <w:tcPr>
            <w:tcW w:w="640" w:type="pct"/>
            <w:tcBorders>
              <w:top w:val="nil"/>
              <w:left w:val="nil"/>
              <w:bottom w:val="single" w:sz="4" w:space="0" w:color="auto"/>
              <w:right w:val="single" w:sz="4" w:space="0" w:color="auto"/>
            </w:tcBorders>
            <w:shd w:val="clear" w:color="auto" w:fill="auto"/>
            <w:noWrap/>
            <w:hideMark/>
          </w:tcPr>
          <w:p w14:paraId="5E27D188"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389E3ECD"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765F8A3E"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78842A6D"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33</w:t>
            </w:r>
          </w:p>
        </w:tc>
        <w:tc>
          <w:tcPr>
            <w:tcW w:w="3506" w:type="pct"/>
            <w:tcBorders>
              <w:top w:val="nil"/>
              <w:left w:val="nil"/>
              <w:bottom w:val="single" w:sz="4" w:space="0" w:color="auto"/>
              <w:right w:val="single" w:sz="4" w:space="0" w:color="auto"/>
            </w:tcBorders>
            <w:shd w:val="clear" w:color="auto" w:fill="auto"/>
            <w:hideMark/>
          </w:tcPr>
          <w:p w14:paraId="015C89DE"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supports file attachment and review notes</w:t>
            </w:r>
          </w:p>
        </w:tc>
        <w:tc>
          <w:tcPr>
            <w:tcW w:w="640" w:type="pct"/>
            <w:tcBorders>
              <w:top w:val="nil"/>
              <w:left w:val="nil"/>
              <w:bottom w:val="single" w:sz="4" w:space="0" w:color="auto"/>
              <w:right w:val="single" w:sz="4" w:space="0" w:color="auto"/>
            </w:tcBorders>
            <w:shd w:val="clear" w:color="auto" w:fill="auto"/>
            <w:noWrap/>
            <w:hideMark/>
          </w:tcPr>
          <w:p w14:paraId="5621BD46"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6767060A"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629B37C3" w14:textId="77777777" w:rsidTr="008E0319">
        <w:trPr>
          <w:trHeight w:val="1020"/>
        </w:trPr>
        <w:tc>
          <w:tcPr>
            <w:tcW w:w="159" w:type="pct"/>
            <w:tcBorders>
              <w:top w:val="nil"/>
              <w:left w:val="single" w:sz="4" w:space="0" w:color="auto"/>
              <w:bottom w:val="single" w:sz="4" w:space="0" w:color="auto"/>
              <w:right w:val="single" w:sz="4" w:space="0" w:color="auto"/>
            </w:tcBorders>
            <w:shd w:val="clear" w:color="auto" w:fill="auto"/>
            <w:noWrap/>
            <w:hideMark/>
          </w:tcPr>
          <w:p w14:paraId="4A4759D8"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34</w:t>
            </w:r>
          </w:p>
        </w:tc>
        <w:tc>
          <w:tcPr>
            <w:tcW w:w="3506" w:type="pct"/>
            <w:tcBorders>
              <w:top w:val="nil"/>
              <w:left w:val="nil"/>
              <w:bottom w:val="single" w:sz="4" w:space="0" w:color="auto"/>
              <w:right w:val="single" w:sz="4" w:space="0" w:color="auto"/>
            </w:tcBorders>
            <w:shd w:val="clear" w:color="auto" w:fill="auto"/>
            <w:hideMark/>
          </w:tcPr>
          <w:p w14:paraId="2E4E8DE9" w14:textId="25DC5199"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 xml:space="preserve">The solution has a robust process for approval of the </w:t>
            </w:r>
            <w:r w:rsidR="00426FCC" w:rsidRPr="00985D46">
              <w:rPr>
                <w:rFonts w:ascii="Calibri" w:eastAsia="Times New Roman" w:hAnsi="Calibri" w:cs="Calibri"/>
                <w:sz w:val="20"/>
                <w:szCs w:val="20"/>
                <w:lang w:val="en-GB" w:eastAsia="en-GB"/>
              </w:rPr>
              <w:t>work papers</w:t>
            </w:r>
            <w:r w:rsidRPr="00985D46">
              <w:rPr>
                <w:rFonts w:ascii="Calibri" w:eastAsia="Times New Roman" w:hAnsi="Calibri" w:cs="Calibri"/>
                <w:sz w:val="20"/>
                <w:szCs w:val="20"/>
                <w:lang w:val="en-GB" w:eastAsia="en-GB"/>
              </w:rPr>
              <w:t xml:space="preserve"> and audits.</w:t>
            </w:r>
            <w:r w:rsidRPr="00985D46">
              <w:rPr>
                <w:rFonts w:ascii="Calibri" w:eastAsia="Times New Roman" w:hAnsi="Calibri" w:cs="Calibri"/>
                <w:sz w:val="20"/>
                <w:szCs w:val="20"/>
                <w:lang w:val="en-GB" w:eastAsia="en-GB"/>
              </w:rPr>
              <w:br/>
            </w:r>
            <w:r w:rsidRPr="00985D46">
              <w:rPr>
                <w:rFonts w:ascii="Calibri" w:eastAsia="Times New Roman" w:hAnsi="Calibri" w:cs="Calibri"/>
                <w:sz w:val="20"/>
                <w:szCs w:val="20"/>
                <w:lang w:val="en-GB" w:eastAsia="en-GB"/>
              </w:rPr>
              <w:br/>
              <w:t>The system allows for auditors to transfer their work papers to the manager’s review at any time and allows for the manager to be automatically notified that a working paper is waiting for a review.</w:t>
            </w:r>
          </w:p>
        </w:tc>
        <w:tc>
          <w:tcPr>
            <w:tcW w:w="640" w:type="pct"/>
            <w:tcBorders>
              <w:top w:val="nil"/>
              <w:left w:val="nil"/>
              <w:bottom w:val="single" w:sz="4" w:space="0" w:color="auto"/>
              <w:right w:val="single" w:sz="4" w:space="0" w:color="auto"/>
            </w:tcBorders>
            <w:shd w:val="clear" w:color="auto" w:fill="auto"/>
            <w:noWrap/>
            <w:hideMark/>
          </w:tcPr>
          <w:p w14:paraId="16A6E057"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1AF92207"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25974D46"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77B73025"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35</w:t>
            </w:r>
          </w:p>
        </w:tc>
        <w:tc>
          <w:tcPr>
            <w:tcW w:w="3506" w:type="pct"/>
            <w:tcBorders>
              <w:top w:val="nil"/>
              <w:left w:val="nil"/>
              <w:bottom w:val="single" w:sz="4" w:space="0" w:color="auto"/>
              <w:right w:val="single" w:sz="4" w:space="0" w:color="auto"/>
            </w:tcBorders>
            <w:shd w:val="clear" w:color="auto" w:fill="auto"/>
            <w:hideMark/>
          </w:tcPr>
          <w:p w14:paraId="49BEE265"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 xml:space="preserve">The solution must have the capability to print completed working papers including audit programs and review notes. </w:t>
            </w:r>
          </w:p>
        </w:tc>
        <w:tc>
          <w:tcPr>
            <w:tcW w:w="640" w:type="pct"/>
            <w:tcBorders>
              <w:top w:val="nil"/>
              <w:left w:val="nil"/>
              <w:bottom w:val="single" w:sz="4" w:space="0" w:color="auto"/>
              <w:right w:val="single" w:sz="4" w:space="0" w:color="auto"/>
            </w:tcBorders>
            <w:shd w:val="clear" w:color="auto" w:fill="auto"/>
            <w:noWrap/>
            <w:hideMark/>
          </w:tcPr>
          <w:p w14:paraId="3B000659"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0B004D04"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6EAC172B" w14:textId="77777777" w:rsidTr="008E0319">
        <w:trPr>
          <w:trHeight w:val="289"/>
        </w:trPr>
        <w:tc>
          <w:tcPr>
            <w:tcW w:w="159" w:type="pct"/>
            <w:tcBorders>
              <w:top w:val="nil"/>
              <w:left w:val="single" w:sz="4" w:space="0" w:color="auto"/>
              <w:bottom w:val="single" w:sz="4" w:space="0" w:color="auto"/>
              <w:right w:val="single" w:sz="4" w:space="0" w:color="auto"/>
            </w:tcBorders>
            <w:shd w:val="clear" w:color="000000" w:fill="EFF4FF"/>
            <w:hideMark/>
          </w:tcPr>
          <w:p w14:paraId="387C4076" w14:textId="77777777" w:rsidR="00985D46" w:rsidRPr="00985D46" w:rsidRDefault="00985D46" w:rsidP="00985D46">
            <w:pPr>
              <w:spacing w:after="0" w:line="240" w:lineRule="auto"/>
              <w:jc w:val="center"/>
              <w:rPr>
                <w:rFonts w:ascii="Calibri" w:eastAsia="Times New Roman" w:hAnsi="Calibri" w:cs="Calibri"/>
                <w:b/>
                <w:bCs/>
                <w:sz w:val="20"/>
                <w:szCs w:val="20"/>
                <w:lang w:val="en-GB" w:eastAsia="en-GB"/>
              </w:rPr>
            </w:pPr>
            <w:r w:rsidRPr="00985D46">
              <w:rPr>
                <w:rFonts w:ascii="Calibri" w:eastAsia="Times New Roman" w:hAnsi="Calibri" w:cs="Calibri"/>
                <w:b/>
                <w:bCs/>
                <w:sz w:val="20"/>
                <w:szCs w:val="20"/>
                <w:lang w:val="en-GB" w:eastAsia="en-GB"/>
              </w:rPr>
              <w:t xml:space="preserve">T </w:t>
            </w:r>
          </w:p>
        </w:tc>
        <w:tc>
          <w:tcPr>
            <w:tcW w:w="3506" w:type="pct"/>
            <w:tcBorders>
              <w:top w:val="nil"/>
              <w:left w:val="nil"/>
              <w:bottom w:val="single" w:sz="4" w:space="0" w:color="auto"/>
              <w:right w:val="single" w:sz="4" w:space="0" w:color="auto"/>
            </w:tcBorders>
            <w:shd w:val="clear" w:color="000000" w:fill="EFF4FF"/>
            <w:hideMark/>
          </w:tcPr>
          <w:p w14:paraId="11C1B407" w14:textId="77777777" w:rsidR="00985D46" w:rsidRPr="00985D46" w:rsidRDefault="00985D46" w:rsidP="00985D46">
            <w:pPr>
              <w:spacing w:after="0" w:line="240" w:lineRule="auto"/>
              <w:rPr>
                <w:rFonts w:ascii="Calibri" w:eastAsia="Times New Roman" w:hAnsi="Calibri" w:cs="Calibri"/>
                <w:b/>
                <w:bCs/>
                <w:sz w:val="20"/>
                <w:szCs w:val="20"/>
                <w:lang w:val="en-GB" w:eastAsia="en-GB"/>
              </w:rPr>
            </w:pPr>
            <w:r w:rsidRPr="00985D46">
              <w:rPr>
                <w:rFonts w:ascii="Calibri" w:eastAsia="Times New Roman" w:hAnsi="Calibri" w:cs="Calibri"/>
                <w:b/>
                <w:bCs/>
                <w:sz w:val="20"/>
                <w:szCs w:val="20"/>
                <w:lang w:val="en-GB" w:eastAsia="en-GB"/>
              </w:rPr>
              <w:t>Reporting:</w:t>
            </w:r>
          </w:p>
        </w:tc>
        <w:tc>
          <w:tcPr>
            <w:tcW w:w="640" w:type="pct"/>
            <w:tcBorders>
              <w:top w:val="nil"/>
              <w:left w:val="nil"/>
              <w:bottom w:val="single" w:sz="4" w:space="0" w:color="auto"/>
              <w:right w:val="single" w:sz="4" w:space="0" w:color="auto"/>
            </w:tcBorders>
            <w:shd w:val="clear" w:color="000000" w:fill="EFF4FF"/>
            <w:hideMark/>
          </w:tcPr>
          <w:p w14:paraId="4F243D1E" w14:textId="77777777" w:rsidR="00985D46" w:rsidRPr="00985D46" w:rsidRDefault="00985D46" w:rsidP="00985D46">
            <w:pPr>
              <w:spacing w:after="0" w:line="240" w:lineRule="auto"/>
              <w:rPr>
                <w:rFonts w:ascii="Calibri" w:eastAsia="Times New Roman" w:hAnsi="Calibri" w:cs="Calibri"/>
                <w:b/>
                <w:bCs/>
                <w:sz w:val="20"/>
                <w:szCs w:val="20"/>
                <w:lang w:val="en-GB" w:eastAsia="en-GB"/>
              </w:rPr>
            </w:pPr>
            <w:r w:rsidRPr="00985D46">
              <w:rPr>
                <w:rFonts w:ascii="Calibri" w:eastAsia="Times New Roman" w:hAnsi="Calibri" w:cs="Calibri"/>
                <w:b/>
                <w:bCs/>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3C499A2A"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B5A0601"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5B01CBA0"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36</w:t>
            </w:r>
          </w:p>
        </w:tc>
        <w:tc>
          <w:tcPr>
            <w:tcW w:w="3506" w:type="pct"/>
            <w:tcBorders>
              <w:top w:val="nil"/>
              <w:left w:val="nil"/>
              <w:bottom w:val="single" w:sz="4" w:space="0" w:color="auto"/>
              <w:right w:val="single" w:sz="4" w:space="0" w:color="auto"/>
            </w:tcBorders>
            <w:shd w:val="clear" w:color="auto" w:fill="auto"/>
            <w:hideMark/>
          </w:tcPr>
          <w:p w14:paraId="6EED8E77"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must support the generation of audit reports in multiple formats, including interactive dashboards and real-time collaboration features.</w:t>
            </w:r>
          </w:p>
        </w:tc>
        <w:tc>
          <w:tcPr>
            <w:tcW w:w="640" w:type="pct"/>
            <w:tcBorders>
              <w:top w:val="nil"/>
              <w:left w:val="nil"/>
              <w:bottom w:val="single" w:sz="4" w:space="0" w:color="auto"/>
              <w:right w:val="single" w:sz="4" w:space="0" w:color="auto"/>
            </w:tcBorders>
            <w:shd w:val="clear" w:color="auto" w:fill="auto"/>
            <w:noWrap/>
            <w:hideMark/>
          </w:tcPr>
          <w:p w14:paraId="2A7F672A"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74A57A84"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73F8ECF0"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17A50525"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37</w:t>
            </w:r>
          </w:p>
        </w:tc>
        <w:tc>
          <w:tcPr>
            <w:tcW w:w="3506" w:type="pct"/>
            <w:tcBorders>
              <w:top w:val="nil"/>
              <w:left w:val="nil"/>
              <w:bottom w:val="single" w:sz="4" w:space="0" w:color="auto"/>
              <w:right w:val="single" w:sz="4" w:space="0" w:color="auto"/>
            </w:tcBorders>
            <w:shd w:val="clear" w:color="auto" w:fill="auto"/>
            <w:hideMark/>
          </w:tcPr>
          <w:p w14:paraId="30C3196F"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must have the capability to  customize  audit  report formats at any time for future requirement changes</w:t>
            </w:r>
          </w:p>
        </w:tc>
        <w:tc>
          <w:tcPr>
            <w:tcW w:w="640" w:type="pct"/>
            <w:tcBorders>
              <w:top w:val="nil"/>
              <w:left w:val="nil"/>
              <w:bottom w:val="single" w:sz="4" w:space="0" w:color="auto"/>
              <w:right w:val="single" w:sz="4" w:space="0" w:color="auto"/>
            </w:tcBorders>
            <w:shd w:val="clear" w:color="auto" w:fill="auto"/>
            <w:noWrap/>
            <w:hideMark/>
          </w:tcPr>
          <w:p w14:paraId="47B38B9E"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4E001380"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887AFF2"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2FA6B26B"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38</w:t>
            </w:r>
          </w:p>
        </w:tc>
        <w:tc>
          <w:tcPr>
            <w:tcW w:w="3506" w:type="pct"/>
            <w:tcBorders>
              <w:top w:val="nil"/>
              <w:left w:val="nil"/>
              <w:bottom w:val="single" w:sz="4" w:space="0" w:color="auto"/>
              <w:right w:val="single" w:sz="4" w:space="0" w:color="auto"/>
            </w:tcBorders>
            <w:shd w:val="clear" w:color="auto" w:fill="auto"/>
            <w:hideMark/>
          </w:tcPr>
          <w:p w14:paraId="291776D5"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must have the capability to maintain tracking of changes of supervisory review of reports</w:t>
            </w:r>
          </w:p>
        </w:tc>
        <w:tc>
          <w:tcPr>
            <w:tcW w:w="640" w:type="pct"/>
            <w:tcBorders>
              <w:top w:val="nil"/>
              <w:left w:val="nil"/>
              <w:bottom w:val="single" w:sz="4" w:space="0" w:color="auto"/>
              <w:right w:val="single" w:sz="4" w:space="0" w:color="auto"/>
            </w:tcBorders>
            <w:shd w:val="clear" w:color="auto" w:fill="auto"/>
            <w:noWrap/>
            <w:hideMark/>
          </w:tcPr>
          <w:p w14:paraId="0436998E"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3DAD9DB3"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FE695CA"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1875C18A"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39</w:t>
            </w:r>
          </w:p>
        </w:tc>
        <w:tc>
          <w:tcPr>
            <w:tcW w:w="3506" w:type="pct"/>
            <w:tcBorders>
              <w:top w:val="nil"/>
              <w:left w:val="nil"/>
              <w:bottom w:val="single" w:sz="4" w:space="0" w:color="auto"/>
              <w:right w:val="single" w:sz="4" w:space="0" w:color="auto"/>
            </w:tcBorders>
            <w:shd w:val="clear" w:color="auto" w:fill="auto"/>
            <w:hideMark/>
          </w:tcPr>
          <w:p w14:paraId="788E90D0"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supports sending the draft report to Auditees for their comment</w:t>
            </w:r>
          </w:p>
        </w:tc>
        <w:tc>
          <w:tcPr>
            <w:tcW w:w="640" w:type="pct"/>
            <w:tcBorders>
              <w:top w:val="nil"/>
              <w:left w:val="nil"/>
              <w:bottom w:val="single" w:sz="4" w:space="0" w:color="auto"/>
              <w:right w:val="single" w:sz="4" w:space="0" w:color="auto"/>
            </w:tcBorders>
            <w:shd w:val="clear" w:color="auto" w:fill="auto"/>
            <w:noWrap/>
            <w:hideMark/>
          </w:tcPr>
          <w:p w14:paraId="105678EC"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6069A4DD"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7DFAE58F"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5C0D489D"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40</w:t>
            </w:r>
          </w:p>
        </w:tc>
        <w:tc>
          <w:tcPr>
            <w:tcW w:w="3506" w:type="pct"/>
            <w:tcBorders>
              <w:top w:val="nil"/>
              <w:left w:val="nil"/>
              <w:bottom w:val="single" w:sz="4" w:space="0" w:color="auto"/>
              <w:right w:val="single" w:sz="4" w:space="0" w:color="auto"/>
            </w:tcBorders>
            <w:shd w:val="clear" w:color="auto" w:fill="auto"/>
            <w:hideMark/>
          </w:tcPr>
          <w:p w14:paraId="04A78DE6"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must have the capability to issue final reports to the authorized person for approval</w:t>
            </w:r>
          </w:p>
        </w:tc>
        <w:tc>
          <w:tcPr>
            <w:tcW w:w="640" w:type="pct"/>
            <w:tcBorders>
              <w:top w:val="nil"/>
              <w:left w:val="nil"/>
              <w:bottom w:val="single" w:sz="4" w:space="0" w:color="auto"/>
              <w:right w:val="single" w:sz="4" w:space="0" w:color="auto"/>
            </w:tcBorders>
            <w:shd w:val="clear" w:color="auto" w:fill="auto"/>
            <w:noWrap/>
            <w:hideMark/>
          </w:tcPr>
          <w:p w14:paraId="2AFB6262"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08FA1B6D"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53AD9E29"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1D458B4C"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41</w:t>
            </w:r>
          </w:p>
        </w:tc>
        <w:tc>
          <w:tcPr>
            <w:tcW w:w="3506" w:type="pct"/>
            <w:tcBorders>
              <w:top w:val="nil"/>
              <w:left w:val="nil"/>
              <w:bottom w:val="single" w:sz="4" w:space="0" w:color="auto"/>
              <w:right w:val="single" w:sz="4" w:space="0" w:color="auto"/>
            </w:tcBorders>
            <w:shd w:val="clear" w:color="auto" w:fill="auto"/>
            <w:hideMark/>
          </w:tcPr>
          <w:p w14:paraId="0FFDAF44"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must have the capability to receive more than one management response for each Issue</w:t>
            </w:r>
          </w:p>
        </w:tc>
        <w:tc>
          <w:tcPr>
            <w:tcW w:w="640" w:type="pct"/>
            <w:tcBorders>
              <w:top w:val="nil"/>
              <w:left w:val="nil"/>
              <w:bottom w:val="single" w:sz="4" w:space="0" w:color="auto"/>
              <w:right w:val="single" w:sz="4" w:space="0" w:color="auto"/>
            </w:tcBorders>
            <w:shd w:val="clear" w:color="auto" w:fill="auto"/>
            <w:noWrap/>
            <w:hideMark/>
          </w:tcPr>
          <w:p w14:paraId="12397037"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40929D69"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4BC5455" w14:textId="77777777" w:rsidTr="008E0319">
        <w:trPr>
          <w:trHeight w:val="289"/>
        </w:trPr>
        <w:tc>
          <w:tcPr>
            <w:tcW w:w="159" w:type="pct"/>
            <w:tcBorders>
              <w:top w:val="nil"/>
              <w:left w:val="single" w:sz="4" w:space="0" w:color="auto"/>
              <w:bottom w:val="single" w:sz="4" w:space="0" w:color="auto"/>
              <w:right w:val="single" w:sz="4" w:space="0" w:color="auto"/>
            </w:tcBorders>
            <w:shd w:val="clear" w:color="000000" w:fill="EFF4FF"/>
            <w:hideMark/>
          </w:tcPr>
          <w:p w14:paraId="46995CA4" w14:textId="77777777" w:rsidR="00985D46" w:rsidRPr="00985D46" w:rsidRDefault="00985D46" w:rsidP="00985D46">
            <w:pPr>
              <w:spacing w:after="0" w:line="240" w:lineRule="auto"/>
              <w:jc w:val="center"/>
              <w:rPr>
                <w:rFonts w:ascii="Calibri" w:eastAsia="Times New Roman" w:hAnsi="Calibri" w:cs="Calibri"/>
                <w:b/>
                <w:bCs/>
                <w:sz w:val="20"/>
                <w:szCs w:val="20"/>
                <w:lang w:val="en-GB" w:eastAsia="en-GB"/>
              </w:rPr>
            </w:pPr>
            <w:r w:rsidRPr="00985D46">
              <w:rPr>
                <w:rFonts w:ascii="Calibri" w:eastAsia="Times New Roman" w:hAnsi="Calibri" w:cs="Calibri"/>
                <w:b/>
                <w:bCs/>
                <w:sz w:val="20"/>
                <w:szCs w:val="20"/>
                <w:lang w:val="en-GB" w:eastAsia="en-GB"/>
              </w:rPr>
              <w:t>U</w:t>
            </w:r>
          </w:p>
        </w:tc>
        <w:tc>
          <w:tcPr>
            <w:tcW w:w="3506" w:type="pct"/>
            <w:tcBorders>
              <w:top w:val="nil"/>
              <w:left w:val="nil"/>
              <w:bottom w:val="single" w:sz="4" w:space="0" w:color="auto"/>
              <w:right w:val="single" w:sz="4" w:space="0" w:color="auto"/>
            </w:tcBorders>
            <w:shd w:val="clear" w:color="000000" w:fill="EFF4FF"/>
            <w:hideMark/>
          </w:tcPr>
          <w:p w14:paraId="0483DFF1" w14:textId="77777777" w:rsidR="00985D46" w:rsidRPr="00985D46" w:rsidRDefault="00985D46" w:rsidP="00985D46">
            <w:pPr>
              <w:spacing w:after="0" w:line="240" w:lineRule="auto"/>
              <w:rPr>
                <w:rFonts w:ascii="Calibri" w:eastAsia="Times New Roman" w:hAnsi="Calibri" w:cs="Calibri"/>
                <w:b/>
                <w:bCs/>
                <w:sz w:val="20"/>
                <w:szCs w:val="20"/>
                <w:lang w:val="en-GB" w:eastAsia="en-GB"/>
              </w:rPr>
            </w:pPr>
            <w:r w:rsidRPr="00985D46">
              <w:rPr>
                <w:rFonts w:ascii="Calibri" w:eastAsia="Times New Roman" w:hAnsi="Calibri" w:cs="Calibri"/>
                <w:b/>
                <w:bCs/>
                <w:sz w:val="20"/>
                <w:szCs w:val="20"/>
                <w:lang w:val="en-GB" w:eastAsia="en-GB"/>
              </w:rPr>
              <w:t>Follow-Up:</w:t>
            </w:r>
          </w:p>
        </w:tc>
        <w:tc>
          <w:tcPr>
            <w:tcW w:w="640" w:type="pct"/>
            <w:tcBorders>
              <w:top w:val="nil"/>
              <w:left w:val="nil"/>
              <w:bottom w:val="single" w:sz="4" w:space="0" w:color="auto"/>
              <w:right w:val="single" w:sz="4" w:space="0" w:color="auto"/>
            </w:tcBorders>
            <w:shd w:val="clear" w:color="000000" w:fill="EFF4FF"/>
            <w:hideMark/>
          </w:tcPr>
          <w:p w14:paraId="5232C44A" w14:textId="77777777" w:rsidR="00985D46" w:rsidRPr="00985D46" w:rsidRDefault="00985D46" w:rsidP="00985D46">
            <w:pPr>
              <w:spacing w:after="0" w:line="240" w:lineRule="auto"/>
              <w:rPr>
                <w:rFonts w:ascii="Calibri" w:eastAsia="Times New Roman" w:hAnsi="Calibri" w:cs="Calibri"/>
                <w:b/>
                <w:bCs/>
                <w:sz w:val="20"/>
                <w:szCs w:val="20"/>
                <w:lang w:val="en-GB" w:eastAsia="en-GB"/>
              </w:rPr>
            </w:pPr>
            <w:r w:rsidRPr="00985D46">
              <w:rPr>
                <w:rFonts w:ascii="Calibri" w:eastAsia="Times New Roman" w:hAnsi="Calibri" w:cs="Calibri"/>
                <w:b/>
                <w:bCs/>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00A13D61"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FCCB006"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07FC0D29"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42</w:t>
            </w:r>
          </w:p>
        </w:tc>
        <w:tc>
          <w:tcPr>
            <w:tcW w:w="3506" w:type="pct"/>
            <w:tcBorders>
              <w:top w:val="nil"/>
              <w:left w:val="nil"/>
              <w:bottom w:val="single" w:sz="4" w:space="0" w:color="auto"/>
              <w:right w:val="single" w:sz="4" w:space="0" w:color="auto"/>
            </w:tcBorders>
            <w:shd w:val="clear" w:color="auto" w:fill="auto"/>
            <w:hideMark/>
          </w:tcPr>
          <w:p w14:paraId="6B919963"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 xml:space="preserve">The solution must have the capability to automatically capture the audit recommendations from the audit report. </w:t>
            </w:r>
          </w:p>
        </w:tc>
        <w:tc>
          <w:tcPr>
            <w:tcW w:w="640" w:type="pct"/>
            <w:tcBorders>
              <w:top w:val="nil"/>
              <w:left w:val="nil"/>
              <w:bottom w:val="single" w:sz="4" w:space="0" w:color="auto"/>
              <w:right w:val="single" w:sz="4" w:space="0" w:color="auto"/>
            </w:tcBorders>
            <w:shd w:val="clear" w:color="auto" w:fill="auto"/>
            <w:noWrap/>
            <w:hideMark/>
          </w:tcPr>
          <w:p w14:paraId="4BB64D58"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2BC215D7"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78BBF978"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7A89A4A0"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43</w:t>
            </w:r>
          </w:p>
        </w:tc>
        <w:tc>
          <w:tcPr>
            <w:tcW w:w="3506" w:type="pct"/>
            <w:tcBorders>
              <w:top w:val="nil"/>
              <w:left w:val="nil"/>
              <w:bottom w:val="single" w:sz="4" w:space="0" w:color="auto"/>
              <w:right w:val="single" w:sz="4" w:space="0" w:color="auto"/>
            </w:tcBorders>
            <w:shd w:val="clear" w:color="auto" w:fill="auto"/>
            <w:hideMark/>
          </w:tcPr>
          <w:p w14:paraId="0D7D9526"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 xml:space="preserve">The solution must have the capability to enable auditees to access (web-based mode) and capture the actions taken by themselves for Issues addressed to them. </w:t>
            </w:r>
          </w:p>
        </w:tc>
        <w:tc>
          <w:tcPr>
            <w:tcW w:w="640" w:type="pct"/>
            <w:tcBorders>
              <w:top w:val="nil"/>
              <w:left w:val="nil"/>
              <w:bottom w:val="single" w:sz="4" w:space="0" w:color="auto"/>
              <w:right w:val="single" w:sz="4" w:space="0" w:color="auto"/>
            </w:tcBorders>
            <w:shd w:val="clear" w:color="auto" w:fill="auto"/>
            <w:noWrap/>
            <w:hideMark/>
          </w:tcPr>
          <w:p w14:paraId="25CF9292"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2736B49F"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07130B4" w14:textId="77777777" w:rsidTr="008E0319">
        <w:trPr>
          <w:trHeight w:val="1275"/>
        </w:trPr>
        <w:tc>
          <w:tcPr>
            <w:tcW w:w="159" w:type="pct"/>
            <w:tcBorders>
              <w:top w:val="nil"/>
              <w:left w:val="single" w:sz="4" w:space="0" w:color="auto"/>
              <w:bottom w:val="single" w:sz="4" w:space="0" w:color="auto"/>
              <w:right w:val="single" w:sz="4" w:space="0" w:color="auto"/>
            </w:tcBorders>
            <w:shd w:val="clear" w:color="auto" w:fill="auto"/>
            <w:noWrap/>
            <w:hideMark/>
          </w:tcPr>
          <w:p w14:paraId="5E5E7C42"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44</w:t>
            </w:r>
          </w:p>
        </w:tc>
        <w:tc>
          <w:tcPr>
            <w:tcW w:w="3506" w:type="pct"/>
            <w:tcBorders>
              <w:top w:val="nil"/>
              <w:left w:val="nil"/>
              <w:bottom w:val="single" w:sz="4" w:space="0" w:color="auto"/>
              <w:right w:val="single" w:sz="4" w:space="0" w:color="auto"/>
            </w:tcBorders>
            <w:shd w:val="clear" w:color="auto" w:fill="auto"/>
            <w:hideMark/>
          </w:tcPr>
          <w:p w14:paraId="69D1DFFE"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Does the solution have the capability to enable auditees to access (web based mode) and capture the actions taken by themselves for Issues addressed to them.</w:t>
            </w:r>
            <w:r w:rsidRPr="00985D46">
              <w:rPr>
                <w:rFonts w:ascii="Calibri" w:eastAsia="Times New Roman" w:hAnsi="Calibri" w:cs="Calibri"/>
                <w:sz w:val="20"/>
                <w:szCs w:val="20"/>
                <w:lang w:val="en-GB" w:eastAsia="en-GB"/>
              </w:rPr>
              <w:br/>
            </w:r>
            <w:r w:rsidRPr="00985D46">
              <w:rPr>
                <w:rFonts w:ascii="Calibri" w:eastAsia="Times New Roman" w:hAnsi="Calibri" w:cs="Calibri"/>
                <w:sz w:val="20"/>
                <w:szCs w:val="20"/>
                <w:lang w:val="en-GB" w:eastAsia="en-GB"/>
              </w:rPr>
              <w:br/>
              <w:t>The system allows for action plans to be reviewed and approved by a specified reviewer or issue coordinator, and the status of action plans to be tracked.</w:t>
            </w:r>
          </w:p>
        </w:tc>
        <w:tc>
          <w:tcPr>
            <w:tcW w:w="640" w:type="pct"/>
            <w:tcBorders>
              <w:top w:val="nil"/>
              <w:left w:val="nil"/>
              <w:bottom w:val="single" w:sz="4" w:space="0" w:color="auto"/>
              <w:right w:val="single" w:sz="4" w:space="0" w:color="auto"/>
            </w:tcBorders>
            <w:shd w:val="clear" w:color="auto" w:fill="auto"/>
            <w:noWrap/>
            <w:hideMark/>
          </w:tcPr>
          <w:p w14:paraId="338B0251"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76E4BE9B"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2155BD06"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51662E8C"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45</w:t>
            </w:r>
          </w:p>
        </w:tc>
        <w:tc>
          <w:tcPr>
            <w:tcW w:w="3506" w:type="pct"/>
            <w:tcBorders>
              <w:top w:val="nil"/>
              <w:left w:val="nil"/>
              <w:bottom w:val="single" w:sz="4" w:space="0" w:color="auto"/>
              <w:right w:val="single" w:sz="4" w:space="0" w:color="auto"/>
            </w:tcBorders>
            <w:shd w:val="clear" w:color="auto" w:fill="auto"/>
            <w:hideMark/>
          </w:tcPr>
          <w:p w14:paraId="5814A3CC"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 xml:space="preserve">The solution must have the capability to track and automatically follow up all pending Issues, on a web-based mode and through sending out e-mails </w:t>
            </w:r>
          </w:p>
        </w:tc>
        <w:tc>
          <w:tcPr>
            <w:tcW w:w="640" w:type="pct"/>
            <w:tcBorders>
              <w:top w:val="nil"/>
              <w:left w:val="nil"/>
              <w:bottom w:val="single" w:sz="4" w:space="0" w:color="auto"/>
              <w:right w:val="single" w:sz="4" w:space="0" w:color="auto"/>
            </w:tcBorders>
            <w:shd w:val="clear" w:color="auto" w:fill="auto"/>
            <w:noWrap/>
            <w:hideMark/>
          </w:tcPr>
          <w:p w14:paraId="2ADCBB60"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710D2BC9"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51F9484B"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71416485"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46</w:t>
            </w:r>
          </w:p>
        </w:tc>
        <w:tc>
          <w:tcPr>
            <w:tcW w:w="3506" w:type="pct"/>
            <w:tcBorders>
              <w:top w:val="nil"/>
              <w:left w:val="nil"/>
              <w:bottom w:val="single" w:sz="4" w:space="0" w:color="auto"/>
              <w:right w:val="single" w:sz="4" w:space="0" w:color="auto"/>
            </w:tcBorders>
            <w:shd w:val="clear" w:color="auto" w:fill="auto"/>
            <w:hideMark/>
          </w:tcPr>
          <w:p w14:paraId="74BA3E3F"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must have the capability to search open Issues per Audit Assignment based on user defined parameters.</w:t>
            </w:r>
          </w:p>
        </w:tc>
        <w:tc>
          <w:tcPr>
            <w:tcW w:w="640" w:type="pct"/>
            <w:tcBorders>
              <w:top w:val="nil"/>
              <w:left w:val="nil"/>
              <w:bottom w:val="single" w:sz="4" w:space="0" w:color="auto"/>
              <w:right w:val="single" w:sz="4" w:space="0" w:color="auto"/>
            </w:tcBorders>
            <w:shd w:val="clear" w:color="auto" w:fill="auto"/>
            <w:noWrap/>
            <w:hideMark/>
          </w:tcPr>
          <w:p w14:paraId="27F2E183"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2BC2245A"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5F10C197"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6357368B"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47</w:t>
            </w:r>
          </w:p>
        </w:tc>
        <w:tc>
          <w:tcPr>
            <w:tcW w:w="3506" w:type="pct"/>
            <w:tcBorders>
              <w:top w:val="nil"/>
              <w:left w:val="nil"/>
              <w:bottom w:val="single" w:sz="4" w:space="0" w:color="auto"/>
              <w:right w:val="single" w:sz="4" w:space="0" w:color="auto"/>
            </w:tcBorders>
            <w:shd w:val="clear" w:color="auto" w:fill="auto"/>
            <w:hideMark/>
          </w:tcPr>
          <w:p w14:paraId="23D44F69"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solution must have the ability to offer the ability to track and follow up multiple management responses and by addressees.</w:t>
            </w:r>
          </w:p>
        </w:tc>
        <w:tc>
          <w:tcPr>
            <w:tcW w:w="640" w:type="pct"/>
            <w:tcBorders>
              <w:top w:val="nil"/>
              <w:left w:val="nil"/>
              <w:bottom w:val="single" w:sz="4" w:space="0" w:color="auto"/>
              <w:right w:val="single" w:sz="4" w:space="0" w:color="auto"/>
            </w:tcBorders>
            <w:shd w:val="clear" w:color="auto" w:fill="auto"/>
            <w:noWrap/>
            <w:hideMark/>
          </w:tcPr>
          <w:p w14:paraId="22F72B9D"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7F50EFE9"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785EFBBD" w14:textId="77777777" w:rsidTr="008E0319">
        <w:trPr>
          <w:trHeight w:val="289"/>
        </w:trPr>
        <w:tc>
          <w:tcPr>
            <w:tcW w:w="159" w:type="pct"/>
            <w:tcBorders>
              <w:top w:val="nil"/>
              <w:left w:val="single" w:sz="4" w:space="0" w:color="auto"/>
              <w:bottom w:val="single" w:sz="4" w:space="0" w:color="auto"/>
              <w:right w:val="single" w:sz="4" w:space="0" w:color="auto"/>
            </w:tcBorders>
            <w:shd w:val="clear" w:color="000000" w:fill="EFF4FF"/>
            <w:hideMark/>
          </w:tcPr>
          <w:p w14:paraId="20DFB91D" w14:textId="77777777" w:rsidR="00985D46" w:rsidRPr="00985D46" w:rsidRDefault="00985D46" w:rsidP="00985D46">
            <w:pPr>
              <w:spacing w:after="0" w:line="240" w:lineRule="auto"/>
              <w:jc w:val="center"/>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V</w:t>
            </w:r>
          </w:p>
        </w:tc>
        <w:tc>
          <w:tcPr>
            <w:tcW w:w="3506" w:type="pct"/>
            <w:tcBorders>
              <w:top w:val="nil"/>
              <w:left w:val="nil"/>
              <w:bottom w:val="single" w:sz="4" w:space="0" w:color="auto"/>
              <w:right w:val="single" w:sz="4" w:space="0" w:color="auto"/>
            </w:tcBorders>
            <w:shd w:val="clear" w:color="000000" w:fill="EFF4FF"/>
            <w:hideMark/>
          </w:tcPr>
          <w:p w14:paraId="41CD5FA8" w14:textId="77777777" w:rsidR="00985D46" w:rsidRPr="00985D46" w:rsidRDefault="00985D46" w:rsidP="00985D46">
            <w:pPr>
              <w:spacing w:after="0" w:line="240" w:lineRule="auto"/>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Administration:</w:t>
            </w:r>
          </w:p>
        </w:tc>
        <w:tc>
          <w:tcPr>
            <w:tcW w:w="640" w:type="pct"/>
            <w:tcBorders>
              <w:top w:val="nil"/>
              <w:left w:val="nil"/>
              <w:bottom w:val="single" w:sz="4" w:space="0" w:color="auto"/>
              <w:right w:val="single" w:sz="4" w:space="0" w:color="auto"/>
            </w:tcBorders>
            <w:shd w:val="clear" w:color="000000" w:fill="EFF4FF"/>
            <w:hideMark/>
          </w:tcPr>
          <w:p w14:paraId="7EDB8CDD" w14:textId="77777777" w:rsidR="00985D46" w:rsidRPr="00985D46" w:rsidRDefault="00985D46" w:rsidP="00985D46">
            <w:pPr>
              <w:spacing w:after="0" w:line="240" w:lineRule="auto"/>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47B7FC83"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681FC29A"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6EEC6CCE"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48</w:t>
            </w:r>
          </w:p>
        </w:tc>
        <w:tc>
          <w:tcPr>
            <w:tcW w:w="3506" w:type="pct"/>
            <w:tcBorders>
              <w:top w:val="nil"/>
              <w:left w:val="nil"/>
              <w:bottom w:val="single" w:sz="4" w:space="0" w:color="auto"/>
              <w:right w:val="single" w:sz="4" w:space="0" w:color="auto"/>
            </w:tcBorders>
            <w:shd w:val="clear" w:color="auto" w:fill="auto"/>
            <w:hideMark/>
          </w:tcPr>
          <w:p w14:paraId="7F171172"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xml:space="preserve">The solution must have the capability to capture Internal audit staff profile like education, work experience, skills, Certifications, etc. </w:t>
            </w:r>
          </w:p>
        </w:tc>
        <w:tc>
          <w:tcPr>
            <w:tcW w:w="640" w:type="pct"/>
            <w:tcBorders>
              <w:top w:val="nil"/>
              <w:left w:val="nil"/>
              <w:bottom w:val="single" w:sz="4" w:space="0" w:color="auto"/>
              <w:right w:val="single" w:sz="4" w:space="0" w:color="auto"/>
            </w:tcBorders>
            <w:shd w:val="clear" w:color="auto" w:fill="auto"/>
            <w:noWrap/>
            <w:hideMark/>
          </w:tcPr>
          <w:p w14:paraId="330530EF"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693317AA"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E8EBCAC"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257972BA"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49</w:t>
            </w:r>
          </w:p>
        </w:tc>
        <w:tc>
          <w:tcPr>
            <w:tcW w:w="3506" w:type="pct"/>
            <w:tcBorders>
              <w:top w:val="nil"/>
              <w:left w:val="nil"/>
              <w:bottom w:val="single" w:sz="4" w:space="0" w:color="auto"/>
              <w:right w:val="single" w:sz="4" w:space="0" w:color="auto"/>
            </w:tcBorders>
            <w:shd w:val="clear" w:color="auto" w:fill="auto"/>
            <w:hideMark/>
          </w:tcPr>
          <w:p w14:paraId="3F3308CF"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solution must have the capability to enable supervisors to complete auditor performance evaluation for specific audit assignment/project</w:t>
            </w:r>
          </w:p>
        </w:tc>
        <w:tc>
          <w:tcPr>
            <w:tcW w:w="640" w:type="pct"/>
            <w:tcBorders>
              <w:top w:val="nil"/>
              <w:left w:val="nil"/>
              <w:bottom w:val="single" w:sz="4" w:space="0" w:color="auto"/>
              <w:right w:val="single" w:sz="4" w:space="0" w:color="auto"/>
            </w:tcBorders>
            <w:shd w:val="clear" w:color="auto" w:fill="auto"/>
            <w:noWrap/>
            <w:hideMark/>
          </w:tcPr>
          <w:p w14:paraId="23E5D2BB"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42D20821"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10C2F73C"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14E8CE6E"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50</w:t>
            </w:r>
          </w:p>
        </w:tc>
        <w:tc>
          <w:tcPr>
            <w:tcW w:w="3506" w:type="pct"/>
            <w:tcBorders>
              <w:top w:val="nil"/>
              <w:left w:val="nil"/>
              <w:bottom w:val="single" w:sz="4" w:space="0" w:color="auto"/>
              <w:right w:val="single" w:sz="4" w:space="0" w:color="auto"/>
            </w:tcBorders>
            <w:shd w:val="clear" w:color="auto" w:fill="auto"/>
            <w:hideMark/>
          </w:tcPr>
          <w:p w14:paraId="4244116D"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solution must have the ability to offer the ability to determine automatically when a specific auditable area was last audited and the auditor performing the audit.</w:t>
            </w:r>
          </w:p>
        </w:tc>
        <w:tc>
          <w:tcPr>
            <w:tcW w:w="640" w:type="pct"/>
            <w:tcBorders>
              <w:top w:val="nil"/>
              <w:left w:val="nil"/>
              <w:bottom w:val="single" w:sz="4" w:space="0" w:color="auto"/>
              <w:right w:val="single" w:sz="4" w:space="0" w:color="auto"/>
            </w:tcBorders>
            <w:shd w:val="clear" w:color="auto" w:fill="auto"/>
            <w:noWrap/>
            <w:hideMark/>
          </w:tcPr>
          <w:p w14:paraId="485D56AB"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3FD2B051"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2D684F84" w14:textId="77777777" w:rsidTr="008E0319">
        <w:trPr>
          <w:trHeight w:val="289"/>
        </w:trPr>
        <w:tc>
          <w:tcPr>
            <w:tcW w:w="159" w:type="pct"/>
            <w:tcBorders>
              <w:top w:val="nil"/>
              <w:left w:val="single" w:sz="4" w:space="0" w:color="auto"/>
              <w:bottom w:val="single" w:sz="4" w:space="0" w:color="auto"/>
              <w:right w:val="single" w:sz="4" w:space="0" w:color="auto"/>
            </w:tcBorders>
            <w:shd w:val="clear" w:color="000000" w:fill="EFF4FF"/>
            <w:hideMark/>
          </w:tcPr>
          <w:p w14:paraId="22936A2D" w14:textId="77777777" w:rsidR="00985D46" w:rsidRPr="00985D46" w:rsidRDefault="00985D46" w:rsidP="00985D46">
            <w:pPr>
              <w:spacing w:after="0" w:line="240" w:lineRule="auto"/>
              <w:jc w:val="center"/>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W</w:t>
            </w:r>
          </w:p>
        </w:tc>
        <w:tc>
          <w:tcPr>
            <w:tcW w:w="3506" w:type="pct"/>
            <w:tcBorders>
              <w:top w:val="nil"/>
              <w:left w:val="nil"/>
              <w:bottom w:val="single" w:sz="4" w:space="0" w:color="auto"/>
              <w:right w:val="single" w:sz="4" w:space="0" w:color="auto"/>
            </w:tcBorders>
            <w:shd w:val="clear" w:color="000000" w:fill="EFF4FF"/>
            <w:hideMark/>
          </w:tcPr>
          <w:p w14:paraId="0C5D0EBA" w14:textId="77777777" w:rsidR="00985D46" w:rsidRPr="00985D46" w:rsidRDefault="00985D46" w:rsidP="00985D46">
            <w:pPr>
              <w:spacing w:after="0" w:line="240" w:lineRule="auto"/>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Survey and Assessment:</w:t>
            </w:r>
          </w:p>
        </w:tc>
        <w:tc>
          <w:tcPr>
            <w:tcW w:w="640" w:type="pct"/>
            <w:tcBorders>
              <w:top w:val="nil"/>
              <w:left w:val="nil"/>
              <w:bottom w:val="single" w:sz="4" w:space="0" w:color="auto"/>
              <w:right w:val="single" w:sz="4" w:space="0" w:color="auto"/>
            </w:tcBorders>
            <w:shd w:val="clear" w:color="000000" w:fill="EFF4FF"/>
            <w:hideMark/>
          </w:tcPr>
          <w:p w14:paraId="690AA8E5" w14:textId="77777777" w:rsidR="00985D46" w:rsidRPr="00985D46" w:rsidRDefault="00985D46" w:rsidP="00985D46">
            <w:pPr>
              <w:spacing w:after="0" w:line="240" w:lineRule="auto"/>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58FE434A"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1DDB658C"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15BF486F"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51</w:t>
            </w:r>
          </w:p>
        </w:tc>
        <w:tc>
          <w:tcPr>
            <w:tcW w:w="3506" w:type="pct"/>
            <w:tcBorders>
              <w:top w:val="nil"/>
              <w:left w:val="nil"/>
              <w:bottom w:val="single" w:sz="4" w:space="0" w:color="auto"/>
              <w:right w:val="single" w:sz="4" w:space="0" w:color="auto"/>
            </w:tcBorders>
            <w:shd w:val="clear" w:color="auto" w:fill="auto"/>
            <w:hideMark/>
          </w:tcPr>
          <w:p w14:paraId="664A76C1"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solution must have the ability to possess technology to send surveys to auditees, obtain comments, summarize results.</w:t>
            </w:r>
          </w:p>
        </w:tc>
        <w:tc>
          <w:tcPr>
            <w:tcW w:w="640" w:type="pct"/>
            <w:tcBorders>
              <w:top w:val="nil"/>
              <w:left w:val="nil"/>
              <w:bottom w:val="single" w:sz="4" w:space="0" w:color="auto"/>
              <w:right w:val="single" w:sz="4" w:space="0" w:color="auto"/>
            </w:tcBorders>
            <w:shd w:val="clear" w:color="auto" w:fill="auto"/>
            <w:noWrap/>
            <w:hideMark/>
          </w:tcPr>
          <w:p w14:paraId="51BABF4D"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0449CA1D"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3A31795B"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04D36961"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52</w:t>
            </w:r>
          </w:p>
        </w:tc>
        <w:tc>
          <w:tcPr>
            <w:tcW w:w="3506" w:type="pct"/>
            <w:tcBorders>
              <w:top w:val="nil"/>
              <w:left w:val="nil"/>
              <w:bottom w:val="single" w:sz="4" w:space="0" w:color="auto"/>
              <w:right w:val="single" w:sz="4" w:space="0" w:color="auto"/>
            </w:tcBorders>
            <w:shd w:val="clear" w:color="auto" w:fill="auto"/>
            <w:hideMark/>
          </w:tcPr>
          <w:p w14:paraId="3D7E6696"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solution must have the capability to conduct customer satisfaction surveys  and  other  critical surveys with various stakeholders.</w:t>
            </w:r>
          </w:p>
        </w:tc>
        <w:tc>
          <w:tcPr>
            <w:tcW w:w="640" w:type="pct"/>
            <w:tcBorders>
              <w:top w:val="nil"/>
              <w:left w:val="nil"/>
              <w:bottom w:val="single" w:sz="4" w:space="0" w:color="auto"/>
              <w:right w:val="single" w:sz="4" w:space="0" w:color="auto"/>
            </w:tcBorders>
            <w:shd w:val="clear" w:color="auto" w:fill="auto"/>
            <w:noWrap/>
            <w:hideMark/>
          </w:tcPr>
          <w:p w14:paraId="353252BF"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669D4373"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E2DF960"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17096516"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53</w:t>
            </w:r>
          </w:p>
        </w:tc>
        <w:tc>
          <w:tcPr>
            <w:tcW w:w="3506" w:type="pct"/>
            <w:tcBorders>
              <w:top w:val="nil"/>
              <w:left w:val="nil"/>
              <w:bottom w:val="single" w:sz="4" w:space="0" w:color="auto"/>
              <w:right w:val="single" w:sz="4" w:space="0" w:color="auto"/>
            </w:tcBorders>
            <w:shd w:val="clear" w:color="auto" w:fill="auto"/>
            <w:hideMark/>
          </w:tcPr>
          <w:p w14:paraId="5E77CC57"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solution must have the capability to create dashboards to provide summarized audit data for management and the Audit Committee of the Commission.</w:t>
            </w:r>
          </w:p>
        </w:tc>
        <w:tc>
          <w:tcPr>
            <w:tcW w:w="640" w:type="pct"/>
            <w:tcBorders>
              <w:top w:val="nil"/>
              <w:left w:val="nil"/>
              <w:bottom w:val="single" w:sz="4" w:space="0" w:color="auto"/>
              <w:right w:val="single" w:sz="4" w:space="0" w:color="auto"/>
            </w:tcBorders>
            <w:shd w:val="clear" w:color="auto" w:fill="auto"/>
            <w:noWrap/>
            <w:hideMark/>
          </w:tcPr>
          <w:p w14:paraId="34E70D28"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1EF0926C"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1CEBECB0"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14C49DF0"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54</w:t>
            </w:r>
          </w:p>
        </w:tc>
        <w:tc>
          <w:tcPr>
            <w:tcW w:w="3506" w:type="pct"/>
            <w:tcBorders>
              <w:top w:val="nil"/>
              <w:left w:val="nil"/>
              <w:bottom w:val="single" w:sz="4" w:space="0" w:color="auto"/>
              <w:right w:val="single" w:sz="4" w:space="0" w:color="auto"/>
            </w:tcBorders>
            <w:shd w:val="clear" w:color="auto" w:fill="auto"/>
            <w:hideMark/>
          </w:tcPr>
          <w:p w14:paraId="55EBAD4B"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solution must have the ability to publish surveys/questionnaires online via a web application to auditees.</w:t>
            </w:r>
          </w:p>
        </w:tc>
        <w:tc>
          <w:tcPr>
            <w:tcW w:w="640" w:type="pct"/>
            <w:tcBorders>
              <w:top w:val="nil"/>
              <w:left w:val="nil"/>
              <w:bottom w:val="single" w:sz="4" w:space="0" w:color="auto"/>
              <w:right w:val="single" w:sz="4" w:space="0" w:color="auto"/>
            </w:tcBorders>
            <w:shd w:val="clear" w:color="auto" w:fill="auto"/>
            <w:noWrap/>
            <w:hideMark/>
          </w:tcPr>
          <w:p w14:paraId="4D63FD6C"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0FFDF6A6"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33FE6B9" w14:textId="77777777" w:rsidTr="008E0319">
        <w:trPr>
          <w:trHeight w:val="300"/>
        </w:trPr>
        <w:tc>
          <w:tcPr>
            <w:tcW w:w="4305" w:type="pct"/>
            <w:gridSpan w:val="3"/>
            <w:tcBorders>
              <w:top w:val="single" w:sz="4" w:space="0" w:color="auto"/>
              <w:left w:val="single" w:sz="4" w:space="0" w:color="auto"/>
              <w:bottom w:val="single" w:sz="4" w:space="0" w:color="auto"/>
              <w:right w:val="single" w:sz="4" w:space="0" w:color="000000"/>
            </w:tcBorders>
            <w:shd w:val="clear" w:color="000000" w:fill="16365C"/>
            <w:noWrap/>
            <w:hideMark/>
          </w:tcPr>
          <w:p w14:paraId="21E3E020" w14:textId="77777777" w:rsidR="00985D46" w:rsidRPr="00985D46" w:rsidRDefault="00985D46" w:rsidP="00985D46">
            <w:pPr>
              <w:spacing w:after="0" w:line="240" w:lineRule="auto"/>
              <w:jc w:val="center"/>
              <w:rPr>
                <w:rFonts w:ascii="Calibri" w:eastAsia="Times New Roman" w:hAnsi="Calibri" w:cs="Calibri"/>
                <w:b/>
                <w:bCs/>
                <w:color w:val="FFFFFF"/>
                <w:sz w:val="20"/>
                <w:szCs w:val="20"/>
                <w:lang w:val="en-GB" w:eastAsia="en-GB"/>
              </w:rPr>
            </w:pPr>
            <w:r w:rsidRPr="00985D46">
              <w:rPr>
                <w:rFonts w:ascii="Calibri" w:eastAsia="Times New Roman" w:hAnsi="Calibri" w:cs="Calibri"/>
                <w:b/>
                <w:bCs/>
                <w:color w:val="FFFFFF"/>
                <w:sz w:val="20"/>
                <w:szCs w:val="20"/>
                <w:lang w:val="en-GB" w:eastAsia="en-GB"/>
              </w:rPr>
              <w:t>Third party risk management</w:t>
            </w:r>
          </w:p>
        </w:tc>
        <w:tc>
          <w:tcPr>
            <w:tcW w:w="695" w:type="pct"/>
            <w:tcBorders>
              <w:top w:val="nil"/>
              <w:left w:val="nil"/>
              <w:bottom w:val="single" w:sz="4" w:space="0" w:color="auto"/>
              <w:right w:val="single" w:sz="4" w:space="0" w:color="auto"/>
            </w:tcBorders>
            <w:shd w:val="clear" w:color="auto" w:fill="auto"/>
            <w:hideMark/>
          </w:tcPr>
          <w:p w14:paraId="3E19EA57"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3EBA8576"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4582F5E3"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55</w:t>
            </w:r>
          </w:p>
        </w:tc>
        <w:tc>
          <w:tcPr>
            <w:tcW w:w="3506" w:type="pct"/>
            <w:tcBorders>
              <w:top w:val="nil"/>
              <w:left w:val="nil"/>
              <w:bottom w:val="single" w:sz="4" w:space="0" w:color="auto"/>
              <w:right w:val="single" w:sz="4" w:space="0" w:color="auto"/>
            </w:tcBorders>
            <w:shd w:val="clear" w:color="auto" w:fill="auto"/>
            <w:hideMark/>
          </w:tcPr>
          <w:p w14:paraId="4C1FE586"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Vendor Onboarding: Implement a structured onboarding process for new vendors with workflow enabled.</w:t>
            </w:r>
          </w:p>
        </w:tc>
        <w:tc>
          <w:tcPr>
            <w:tcW w:w="640" w:type="pct"/>
            <w:tcBorders>
              <w:top w:val="nil"/>
              <w:left w:val="nil"/>
              <w:bottom w:val="single" w:sz="4" w:space="0" w:color="auto"/>
              <w:right w:val="single" w:sz="4" w:space="0" w:color="auto"/>
            </w:tcBorders>
            <w:shd w:val="clear" w:color="auto" w:fill="auto"/>
            <w:noWrap/>
            <w:hideMark/>
          </w:tcPr>
          <w:p w14:paraId="7EB53146"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08304457"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78EF27FF"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149EE121"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56</w:t>
            </w:r>
          </w:p>
        </w:tc>
        <w:tc>
          <w:tcPr>
            <w:tcW w:w="3506" w:type="pct"/>
            <w:tcBorders>
              <w:top w:val="nil"/>
              <w:left w:val="nil"/>
              <w:bottom w:val="single" w:sz="4" w:space="0" w:color="auto"/>
              <w:right w:val="single" w:sz="4" w:space="0" w:color="auto"/>
            </w:tcBorders>
            <w:shd w:val="clear" w:color="auto" w:fill="auto"/>
            <w:hideMark/>
          </w:tcPr>
          <w:p w14:paraId="2E2F59A0"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Due Diligence - Financial Stability: Assess the financial stability of vendors to ensure they can meet their obligations.</w:t>
            </w:r>
          </w:p>
        </w:tc>
        <w:tc>
          <w:tcPr>
            <w:tcW w:w="640" w:type="pct"/>
            <w:tcBorders>
              <w:top w:val="nil"/>
              <w:left w:val="nil"/>
              <w:bottom w:val="single" w:sz="4" w:space="0" w:color="auto"/>
              <w:right w:val="single" w:sz="4" w:space="0" w:color="auto"/>
            </w:tcBorders>
            <w:shd w:val="clear" w:color="auto" w:fill="auto"/>
            <w:noWrap/>
            <w:hideMark/>
          </w:tcPr>
          <w:p w14:paraId="698E1029"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0A0EE836"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61C57D65"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09DE4D50"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57</w:t>
            </w:r>
          </w:p>
        </w:tc>
        <w:tc>
          <w:tcPr>
            <w:tcW w:w="3506" w:type="pct"/>
            <w:tcBorders>
              <w:top w:val="nil"/>
              <w:left w:val="nil"/>
              <w:bottom w:val="single" w:sz="4" w:space="0" w:color="auto"/>
              <w:right w:val="single" w:sz="4" w:space="0" w:color="auto"/>
            </w:tcBorders>
            <w:shd w:val="clear" w:color="auto" w:fill="auto"/>
            <w:hideMark/>
          </w:tcPr>
          <w:p w14:paraId="3048AA4A"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Due Diligence - Legal Compliance: Verify that vendors comply with all relevant legal and regulatory requirements.</w:t>
            </w:r>
          </w:p>
        </w:tc>
        <w:tc>
          <w:tcPr>
            <w:tcW w:w="640" w:type="pct"/>
            <w:tcBorders>
              <w:top w:val="nil"/>
              <w:left w:val="nil"/>
              <w:bottom w:val="single" w:sz="4" w:space="0" w:color="auto"/>
              <w:right w:val="single" w:sz="4" w:space="0" w:color="auto"/>
            </w:tcBorders>
            <w:shd w:val="clear" w:color="auto" w:fill="auto"/>
            <w:noWrap/>
            <w:hideMark/>
          </w:tcPr>
          <w:p w14:paraId="6EB9A382"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62C2AF21"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6C145ADB"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706887EB"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58</w:t>
            </w:r>
          </w:p>
        </w:tc>
        <w:tc>
          <w:tcPr>
            <w:tcW w:w="3506" w:type="pct"/>
            <w:tcBorders>
              <w:top w:val="nil"/>
              <w:left w:val="nil"/>
              <w:bottom w:val="single" w:sz="4" w:space="0" w:color="auto"/>
              <w:right w:val="single" w:sz="4" w:space="0" w:color="auto"/>
            </w:tcBorders>
            <w:shd w:val="clear" w:color="auto" w:fill="auto"/>
            <w:hideMark/>
          </w:tcPr>
          <w:p w14:paraId="753348B7"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Due Diligence - Reputation: Evaluate the reputation and past performance of vendors through references and industry feedback.</w:t>
            </w:r>
          </w:p>
        </w:tc>
        <w:tc>
          <w:tcPr>
            <w:tcW w:w="640" w:type="pct"/>
            <w:tcBorders>
              <w:top w:val="nil"/>
              <w:left w:val="nil"/>
              <w:bottom w:val="single" w:sz="4" w:space="0" w:color="auto"/>
              <w:right w:val="single" w:sz="4" w:space="0" w:color="auto"/>
            </w:tcBorders>
            <w:shd w:val="clear" w:color="auto" w:fill="auto"/>
            <w:noWrap/>
            <w:hideMark/>
          </w:tcPr>
          <w:p w14:paraId="4B79888B"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10782446"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6CC10393"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63EE840F"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59</w:t>
            </w:r>
          </w:p>
        </w:tc>
        <w:tc>
          <w:tcPr>
            <w:tcW w:w="3506" w:type="pct"/>
            <w:tcBorders>
              <w:top w:val="nil"/>
              <w:left w:val="nil"/>
              <w:bottom w:val="single" w:sz="4" w:space="0" w:color="auto"/>
              <w:right w:val="single" w:sz="4" w:space="0" w:color="auto"/>
            </w:tcBorders>
            <w:shd w:val="clear" w:color="auto" w:fill="auto"/>
            <w:hideMark/>
          </w:tcPr>
          <w:p w14:paraId="504D2112"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Due Diligence - Operational Capability: Assess the operational capabilities of vendors to ensure they can deliver the required services or products.</w:t>
            </w:r>
          </w:p>
        </w:tc>
        <w:tc>
          <w:tcPr>
            <w:tcW w:w="640" w:type="pct"/>
            <w:tcBorders>
              <w:top w:val="nil"/>
              <w:left w:val="nil"/>
              <w:bottom w:val="single" w:sz="4" w:space="0" w:color="auto"/>
              <w:right w:val="single" w:sz="4" w:space="0" w:color="auto"/>
            </w:tcBorders>
            <w:shd w:val="clear" w:color="auto" w:fill="auto"/>
            <w:noWrap/>
            <w:hideMark/>
          </w:tcPr>
          <w:p w14:paraId="39FA7F6A"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59F6D11C"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2989DADF"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43B30787"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60</w:t>
            </w:r>
          </w:p>
        </w:tc>
        <w:tc>
          <w:tcPr>
            <w:tcW w:w="3506" w:type="pct"/>
            <w:tcBorders>
              <w:top w:val="nil"/>
              <w:left w:val="nil"/>
              <w:bottom w:val="single" w:sz="4" w:space="0" w:color="auto"/>
              <w:right w:val="single" w:sz="4" w:space="0" w:color="auto"/>
            </w:tcBorders>
            <w:shd w:val="clear" w:color="auto" w:fill="auto"/>
            <w:hideMark/>
          </w:tcPr>
          <w:p w14:paraId="463499E3"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Due Diligence - Security Posture: Evaluate the security measures vendors have in place to protect data and systems.</w:t>
            </w:r>
          </w:p>
        </w:tc>
        <w:tc>
          <w:tcPr>
            <w:tcW w:w="640" w:type="pct"/>
            <w:tcBorders>
              <w:top w:val="nil"/>
              <w:left w:val="nil"/>
              <w:bottom w:val="single" w:sz="4" w:space="0" w:color="auto"/>
              <w:right w:val="single" w:sz="4" w:space="0" w:color="auto"/>
            </w:tcBorders>
            <w:shd w:val="clear" w:color="auto" w:fill="auto"/>
            <w:noWrap/>
            <w:hideMark/>
          </w:tcPr>
          <w:p w14:paraId="6B007D1E"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0CCCD812"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1AFA74B7"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289E568F"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61</w:t>
            </w:r>
          </w:p>
        </w:tc>
        <w:tc>
          <w:tcPr>
            <w:tcW w:w="3506" w:type="pct"/>
            <w:tcBorders>
              <w:top w:val="nil"/>
              <w:left w:val="nil"/>
              <w:bottom w:val="single" w:sz="4" w:space="0" w:color="auto"/>
              <w:right w:val="single" w:sz="4" w:space="0" w:color="auto"/>
            </w:tcBorders>
            <w:shd w:val="clear" w:color="auto" w:fill="auto"/>
            <w:hideMark/>
          </w:tcPr>
          <w:p w14:paraId="5D6B729B"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Contractual Agreements: Allow the capability to attach contracts and evaluate them using workflow</w:t>
            </w:r>
          </w:p>
        </w:tc>
        <w:tc>
          <w:tcPr>
            <w:tcW w:w="640" w:type="pct"/>
            <w:tcBorders>
              <w:top w:val="nil"/>
              <w:left w:val="nil"/>
              <w:bottom w:val="single" w:sz="4" w:space="0" w:color="auto"/>
              <w:right w:val="single" w:sz="4" w:space="0" w:color="auto"/>
            </w:tcBorders>
            <w:shd w:val="clear" w:color="auto" w:fill="auto"/>
            <w:noWrap/>
            <w:hideMark/>
          </w:tcPr>
          <w:p w14:paraId="7E188929"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0E52D678"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C46CF20"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155C5006"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62</w:t>
            </w:r>
          </w:p>
        </w:tc>
        <w:tc>
          <w:tcPr>
            <w:tcW w:w="3506" w:type="pct"/>
            <w:tcBorders>
              <w:top w:val="nil"/>
              <w:left w:val="nil"/>
              <w:bottom w:val="single" w:sz="4" w:space="0" w:color="auto"/>
              <w:right w:val="single" w:sz="4" w:space="0" w:color="auto"/>
            </w:tcBorders>
            <w:shd w:val="clear" w:color="auto" w:fill="auto"/>
            <w:hideMark/>
          </w:tcPr>
          <w:p w14:paraId="1176AADC" w14:textId="5C5E4A1D"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xml:space="preserve">Vendor Catalog - </w:t>
            </w:r>
            <w:r w:rsidR="00426FCC" w:rsidRPr="00985D46">
              <w:rPr>
                <w:rFonts w:ascii="Calibri" w:eastAsia="Times New Roman" w:hAnsi="Calibri" w:cs="Calibri"/>
                <w:color w:val="000000"/>
                <w:sz w:val="20"/>
                <w:szCs w:val="20"/>
                <w:lang w:val="en-GB" w:eastAsia="en-GB"/>
              </w:rPr>
              <w:t>Maintai</w:t>
            </w:r>
            <w:r w:rsidR="00426FCC">
              <w:rPr>
                <w:rFonts w:ascii="Calibri" w:eastAsia="Times New Roman" w:hAnsi="Calibri" w:cs="Calibri"/>
                <w:color w:val="000000"/>
                <w:sz w:val="20"/>
                <w:szCs w:val="20"/>
                <w:lang w:val="en-GB" w:eastAsia="en-GB"/>
              </w:rPr>
              <w:t>ng</w:t>
            </w:r>
            <w:r w:rsidRPr="00985D46">
              <w:rPr>
                <w:rFonts w:ascii="Calibri" w:eastAsia="Times New Roman" w:hAnsi="Calibri" w:cs="Calibri"/>
                <w:color w:val="000000"/>
                <w:sz w:val="20"/>
                <w:szCs w:val="20"/>
                <w:lang w:val="en-GB" w:eastAsia="en-GB"/>
              </w:rPr>
              <w:t xml:space="preserve"> a list of all vendor, their services &amp; details of internal function, stakeholder ownership. </w:t>
            </w:r>
          </w:p>
        </w:tc>
        <w:tc>
          <w:tcPr>
            <w:tcW w:w="640" w:type="pct"/>
            <w:tcBorders>
              <w:top w:val="nil"/>
              <w:left w:val="nil"/>
              <w:bottom w:val="single" w:sz="4" w:space="0" w:color="auto"/>
              <w:right w:val="single" w:sz="4" w:space="0" w:color="auto"/>
            </w:tcBorders>
            <w:shd w:val="clear" w:color="auto" w:fill="auto"/>
            <w:noWrap/>
            <w:hideMark/>
          </w:tcPr>
          <w:p w14:paraId="108561A3"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67FF6807"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620793D8"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5384DEC2"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63</w:t>
            </w:r>
          </w:p>
        </w:tc>
        <w:tc>
          <w:tcPr>
            <w:tcW w:w="3506" w:type="pct"/>
            <w:tcBorders>
              <w:top w:val="nil"/>
              <w:left w:val="nil"/>
              <w:bottom w:val="single" w:sz="4" w:space="0" w:color="auto"/>
              <w:right w:val="single" w:sz="4" w:space="0" w:color="auto"/>
            </w:tcBorders>
            <w:shd w:val="clear" w:color="auto" w:fill="auto"/>
            <w:hideMark/>
          </w:tcPr>
          <w:p w14:paraId="2B62940A"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Vendor Risk Register: Maintain a detailed risk register for all vendors, documenting identified risks and mitigation plans.</w:t>
            </w:r>
          </w:p>
        </w:tc>
        <w:tc>
          <w:tcPr>
            <w:tcW w:w="640" w:type="pct"/>
            <w:tcBorders>
              <w:top w:val="nil"/>
              <w:left w:val="nil"/>
              <w:bottom w:val="single" w:sz="4" w:space="0" w:color="auto"/>
              <w:right w:val="single" w:sz="4" w:space="0" w:color="auto"/>
            </w:tcBorders>
            <w:shd w:val="clear" w:color="auto" w:fill="auto"/>
            <w:noWrap/>
            <w:hideMark/>
          </w:tcPr>
          <w:p w14:paraId="7FD61C1F"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5401BEF5"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3FFEC6B7"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57BFB350"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64</w:t>
            </w:r>
          </w:p>
        </w:tc>
        <w:tc>
          <w:tcPr>
            <w:tcW w:w="3506" w:type="pct"/>
            <w:tcBorders>
              <w:top w:val="nil"/>
              <w:left w:val="nil"/>
              <w:bottom w:val="single" w:sz="4" w:space="0" w:color="auto"/>
              <w:right w:val="single" w:sz="4" w:space="0" w:color="auto"/>
            </w:tcBorders>
            <w:shd w:val="clear" w:color="auto" w:fill="auto"/>
            <w:hideMark/>
          </w:tcPr>
          <w:p w14:paraId="704EE8D7"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Third-Party Tools Integration: Integrate with third-party tools for real-time vendor monitoring and risk assessment.</w:t>
            </w:r>
          </w:p>
        </w:tc>
        <w:tc>
          <w:tcPr>
            <w:tcW w:w="640" w:type="pct"/>
            <w:tcBorders>
              <w:top w:val="nil"/>
              <w:left w:val="nil"/>
              <w:bottom w:val="single" w:sz="4" w:space="0" w:color="auto"/>
              <w:right w:val="single" w:sz="4" w:space="0" w:color="auto"/>
            </w:tcBorders>
            <w:shd w:val="clear" w:color="auto" w:fill="auto"/>
            <w:noWrap/>
            <w:hideMark/>
          </w:tcPr>
          <w:p w14:paraId="1E4765B6"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3415B648"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1E294930"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2C1A3D2A"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65</w:t>
            </w:r>
          </w:p>
        </w:tc>
        <w:tc>
          <w:tcPr>
            <w:tcW w:w="3506" w:type="pct"/>
            <w:tcBorders>
              <w:top w:val="nil"/>
              <w:left w:val="nil"/>
              <w:bottom w:val="single" w:sz="4" w:space="0" w:color="auto"/>
              <w:right w:val="single" w:sz="4" w:space="0" w:color="auto"/>
            </w:tcBorders>
            <w:shd w:val="clear" w:color="auto" w:fill="auto"/>
            <w:hideMark/>
          </w:tcPr>
          <w:p w14:paraId="05A93034"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Risk Mitigation Plans: Develop and implement risk mitigation plans for identified vendor risks.</w:t>
            </w:r>
          </w:p>
        </w:tc>
        <w:tc>
          <w:tcPr>
            <w:tcW w:w="640" w:type="pct"/>
            <w:tcBorders>
              <w:top w:val="nil"/>
              <w:left w:val="nil"/>
              <w:bottom w:val="single" w:sz="4" w:space="0" w:color="auto"/>
              <w:right w:val="single" w:sz="4" w:space="0" w:color="auto"/>
            </w:tcBorders>
            <w:shd w:val="clear" w:color="auto" w:fill="auto"/>
            <w:noWrap/>
            <w:hideMark/>
          </w:tcPr>
          <w:p w14:paraId="46AAFA5B"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28534921"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C50D0E4"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30E973E1"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66</w:t>
            </w:r>
          </w:p>
        </w:tc>
        <w:tc>
          <w:tcPr>
            <w:tcW w:w="3506" w:type="pct"/>
            <w:tcBorders>
              <w:top w:val="nil"/>
              <w:left w:val="nil"/>
              <w:bottom w:val="single" w:sz="4" w:space="0" w:color="auto"/>
              <w:right w:val="single" w:sz="4" w:space="0" w:color="auto"/>
            </w:tcBorders>
            <w:shd w:val="clear" w:color="auto" w:fill="auto"/>
            <w:hideMark/>
          </w:tcPr>
          <w:p w14:paraId="070F567C"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Incident Management: Establish clear procedures for vendors to report and manage incidents, including data breaches.</w:t>
            </w:r>
          </w:p>
        </w:tc>
        <w:tc>
          <w:tcPr>
            <w:tcW w:w="640" w:type="pct"/>
            <w:tcBorders>
              <w:top w:val="nil"/>
              <w:left w:val="nil"/>
              <w:bottom w:val="single" w:sz="4" w:space="0" w:color="auto"/>
              <w:right w:val="single" w:sz="4" w:space="0" w:color="auto"/>
            </w:tcBorders>
            <w:shd w:val="clear" w:color="auto" w:fill="auto"/>
            <w:noWrap/>
            <w:hideMark/>
          </w:tcPr>
          <w:p w14:paraId="72757B0E"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1FFEC824"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272539D0"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136A7D11"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67</w:t>
            </w:r>
          </w:p>
        </w:tc>
        <w:tc>
          <w:tcPr>
            <w:tcW w:w="3506" w:type="pct"/>
            <w:tcBorders>
              <w:top w:val="nil"/>
              <w:left w:val="nil"/>
              <w:bottom w:val="single" w:sz="4" w:space="0" w:color="auto"/>
              <w:right w:val="single" w:sz="4" w:space="0" w:color="auto"/>
            </w:tcBorders>
            <w:shd w:val="clear" w:color="auto" w:fill="auto"/>
            <w:hideMark/>
          </w:tcPr>
          <w:p w14:paraId="774CBE87"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Access Control: Ensure vendors implement strict access control measures to limit access to sensitive information.</w:t>
            </w:r>
          </w:p>
        </w:tc>
        <w:tc>
          <w:tcPr>
            <w:tcW w:w="640" w:type="pct"/>
            <w:tcBorders>
              <w:top w:val="nil"/>
              <w:left w:val="nil"/>
              <w:bottom w:val="single" w:sz="4" w:space="0" w:color="auto"/>
              <w:right w:val="single" w:sz="4" w:space="0" w:color="auto"/>
            </w:tcBorders>
            <w:shd w:val="clear" w:color="auto" w:fill="auto"/>
            <w:noWrap/>
            <w:hideMark/>
          </w:tcPr>
          <w:p w14:paraId="56363A93"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79720B37"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BFE0977"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5A27ABB7"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68</w:t>
            </w:r>
          </w:p>
        </w:tc>
        <w:tc>
          <w:tcPr>
            <w:tcW w:w="3506" w:type="pct"/>
            <w:tcBorders>
              <w:top w:val="nil"/>
              <w:left w:val="nil"/>
              <w:bottom w:val="single" w:sz="4" w:space="0" w:color="auto"/>
              <w:right w:val="single" w:sz="4" w:space="0" w:color="auto"/>
            </w:tcBorders>
            <w:shd w:val="clear" w:color="auto" w:fill="auto"/>
            <w:hideMark/>
          </w:tcPr>
          <w:p w14:paraId="3EF36C70"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Termination Procedures: Define procedures for the orderly termination of vendor relationships, including data return or destruction.</w:t>
            </w:r>
          </w:p>
        </w:tc>
        <w:tc>
          <w:tcPr>
            <w:tcW w:w="640" w:type="pct"/>
            <w:tcBorders>
              <w:top w:val="nil"/>
              <w:left w:val="nil"/>
              <w:bottom w:val="single" w:sz="4" w:space="0" w:color="auto"/>
              <w:right w:val="single" w:sz="4" w:space="0" w:color="auto"/>
            </w:tcBorders>
            <w:shd w:val="clear" w:color="auto" w:fill="auto"/>
            <w:noWrap/>
            <w:hideMark/>
          </w:tcPr>
          <w:p w14:paraId="1B93E02D"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130BEFDF"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2DF3D8E"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6BBDF0B2"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69</w:t>
            </w:r>
          </w:p>
        </w:tc>
        <w:tc>
          <w:tcPr>
            <w:tcW w:w="3506" w:type="pct"/>
            <w:tcBorders>
              <w:top w:val="nil"/>
              <w:left w:val="nil"/>
              <w:bottom w:val="single" w:sz="4" w:space="0" w:color="auto"/>
              <w:right w:val="single" w:sz="4" w:space="0" w:color="auto"/>
            </w:tcBorders>
            <w:shd w:val="clear" w:color="auto" w:fill="auto"/>
            <w:hideMark/>
          </w:tcPr>
          <w:p w14:paraId="70C7CE07"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Vendor Risk Scoring: Implement a risk scoring system to categorize and prioritize vendors based on their risk levels.</w:t>
            </w:r>
          </w:p>
        </w:tc>
        <w:tc>
          <w:tcPr>
            <w:tcW w:w="640" w:type="pct"/>
            <w:tcBorders>
              <w:top w:val="nil"/>
              <w:left w:val="nil"/>
              <w:bottom w:val="single" w:sz="4" w:space="0" w:color="auto"/>
              <w:right w:val="single" w:sz="4" w:space="0" w:color="auto"/>
            </w:tcBorders>
            <w:shd w:val="clear" w:color="auto" w:fill="auto"/>
            <w:noWrap/>
            <w:hideMark/>
          </w:tcPr>
          <w:p w14:paraId="3C37DC01"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45FFD6C6"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5601A995"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494918F9"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70</w:t>
            </w:r>
          </w:p>
        </w:tc>
        <w:tc>
          <w:tcPr>
            <w:tcW w:w="3506" w:type="pct"/>
            <w:tcBorders>
              <w:top w:val="nil"/>
              <w:left w:val="nil"/>
              <w:bottom w:val="single" w:sz="4" w:space="0" w:color="auto"/>
              <w:right w:val="single" w:sz="4" w:space="0" w:color="auto"/>
            </w:tcBorders>
            <w:shd w:val="clear" w:color="000000" w:fill="FFFFFF"/>
            <w:hideMark/>
          </w:tcPr>
          <w:p w14:paraId="144FDEA1"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xml:space="preserve">Survey Capability for Vendor with a Tool that can be deployed and Managed On-Prem. </w:t>
            </w:r>
          </w:p>
        </w:tc>
        <w:tc>
          <w:tcPr>
            <w:tcW w:w="640" w:type="pct"/>
            <w:tcBorders>
              <w:top w:val="nil"/>
              <w:left w:val="nil"/>
              <w:bottom w:val="single" w:sz="4" w:space="0" w:color="auto"/>
              <w:right w:val="single" w:sz="4" w:space="0" w:color="auto"/>
            </w:tcBorders>
            <w:shd w:val="clear" w:color="auto" w:fill="auto"/>
            <w:noWrap/>
            <w:hideMark/>
          </w:tcPr>
          <w:p w14:paraId="571C8C9F"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7D4B8A32"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62EA4842"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18D39811"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71</w:t>
            </w:r>
          </w:p>
        </w:tc>
        <w:tc>
          <w:tcPr>
            <w:tcW w:w="3506" w:type="pct"/>
            <w:tcBorders>
              <w:top w:val="nil"/>
              <w:left w:val="nil"/>
              <w:bottom w:val="single" w:sz="4" w:space="0" w:color="auto"/>
              <w:right w:val="single" w:sz="4" w:space="0" w:color="auto"/>
            </w:tcBorders>
            <w:shd w:val="clear" w:color="000000" w:fill="FFFFFF"/>
            <w:hideMark/>
          </w:tcPr>
          <w:p w14:paraId="087D7CFA"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xml:space="preserve">Survey tool must not need Vendor to create login/access in system - to avoid exposing the bank to risk or vulnerabilities. </w:t>
            </w:r>
          </w:p>
        </w:tc>
        <w:tc>
          <w:tcPr>
            <w:tcW w:w="640" w:type="pct"/>
            <w:tcBorders>
              <w:top w:val="nil"/>
              <w:left w:val="nil"/>
              <w:bottom w:val="single" w:sz="4" w:space="0" w:color="auto"/>
              <w:right w:val="single" w:sz="4" w:space="0" w:color="auto"/>
            </w:tcBorders>
            <w:shd w:val="clear" w:color="auto" w:fill="auto"/>
            <w:noWrap/>
            <w:hideMark/>
          </w:tcPr>
          <w:p w14:paraId="51302A28"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3FCE283B"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51CFB285" w14:textId="77777777" w:rsidTr="008E0319">
        <w:trPr>
          <w:trHeight w:val="300"/>
        </w:trPr>
        <w:tc>
          <w:tcPr>
            <w:tcW w:w="4305" w:type="pct"/>
            <w:gridSpan w:val="3"/>
            <w:tcBorders>
              <w:top w:val="single" w:sz="4" w:space="0" w:color="auto"/>
              <w:left w:val="single" w:sz="4" w:space="0" w:color="auto"/>
              <w:bottom w:val="single" w:sz="4" w:space="0" w:color="auto"/>
              <w:right w:val="single" w:sz="4" w:space="0" w:color="000000"/>
            </w:tcBorders>
            <w:shd w:val="clear" w:color="000000" w:fill="333F4F"/>
            <w:noWrap/>
            <w:hideMark/>
          </w:tcPr>
          <w:p w14:paraId="50E2EA3C" w14:textId="77777777" w:rsidR="00985D46" w:rsidRPr="00985D46" w:rsidRDefault="00985D46" w:rsidP="00985D46">
            <w:pPr>
              <w:spacing w:after="0" w:line="240" w:lineRule="auto"/>
              <w:jc w:val="center"/>
              <w:rPr>
                <w:rFonts w:ascii="Calibri" w:eastAsia="Times New Roman" w:hAnsi="Calibri" w:cs="Calibri"/>
                <w:b/>
                <w:bCs/>
                <w:color w:val="FFFFFF"/>
                <w:sz w:val="20"/>
                <w:szCs w:val="20"/>
                <w:lang w:val="en-GB" w:eastAsia="en-GB"/>
              </w:rPr>
            </w:pPr>
            <w:r w:rsidRPr="00985D46">
              <w:rPr>
                <w:rFonts w:ascii="Calibri" w:eastAsia="Times New Roman" w:hAnsi="Calibri" w:cs="Calibri"/>
                <w:b/>
                <w:bCs/>
                <w:color w:val="FFFFFF"/>
                <w:sz w:val="20"/>
                <w:szCs w:val="20"/>
                <w:lang w:val="en-GB" w:eastAsia="en-GB"/>
              </w:rPr>
              <w:t>General Requirements</w:t>
            </w:r>
          </w:p>
        </w:tc>
        <w:tc>
          <w:tcPr>
            <w:tcW w:w="695" w:type="pct"/>
            <w:tcBorders>
              <w:top w:val="nil"/>
              <w:left w:val="nil"/>
              <w:bottom w:val="single" w:sz="4" w:space="0" w:color="auto"/>
              <w:right w:val="single" w:sz="4" w:space="0" w:color="auto"/>
            </w:tcBorders>
            <w:shd w:val="clear" w:color="auto" w:fill="auto"/>
            <w:hideMark/>
          </w:tcPr>
          <w:p w14:paraId="2C40ECF8"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2F956104"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28007CA6"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72</w:t>
            </w:r>
          </w:p>
        </w:tc>
        <w:tc>
          <w:tcPr>
            <w:tcW w:w="3506" w:type="pct"/>
            <w:tcBorders>
              <w:top w:val="nil"/>
              <w:left w:val="nil"/>
              <w:bottom w:val="single" w:sz="4" w:space="0" w:color="auto"/>
              <w:right w:val="single" w:sz="4" w:space="0" w:color="auto"/>
            </w:tcBorders>
            <w:shd w:val="clear" w:color="000000" w:fill="FFFFFF"/>
            <w:hideMark/>
          </w:tcPr>
          <w:p w14:paraId="35BAA819"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Must be able to support multiple database such as MS SQL, Oracle, MySQL.</w:t>
            </w:r>
          </w:p>
        </w:tc>
        <w:tc>
          <w:tcPr>
            <w:tcW w:w="640" w:type="pct"/>
            <w:tcBorders>
              <w:top w:val="nil"/>
              <w:left w:val="nil"/>
              <w:bottom w:val="single" w:sz="4" w:space="0" w:color="auto"/>
              <w:right w:val="single" w:sz="4" w:space="0" w:color="auto"/>
            </w:tcBorders>
            <w:shd w:val="clear" w:color="auto" w:fill="auto"/>
            <w:noWrap/>
            <w:hideMark/>
          </w:tcPr>
          <w:p w14:paraId="54CF9EF9"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3C1292C5"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409A4C5"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10B79AF1"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73</w:t>
            </w:r>
          </w:p>
        </w:tc>
        <w:tc>
          <w:tcPr>
            <w:tcW w:w="3506" w:type="pct"/>
            <w:tcBorders>
              <w:top w:val="nil"/>
              <w:left w:val="nil"/>
              <w:bottom w:val="single" w:sz="4" w:space="0" w:color="auto"/>
              <w:right w:val="single" w:sz="4" w:space="0" w:color="auto"/>
            </w:tcBorders>
            <w:shd w:val="clear" w:color="000000" w:fill="FFFFFF"/>
            <w:hideMark/>
          </w:tcPr>
          <w:p w14:paraId="6EBFC3C6"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Must have ability to be deployed in cloud or on premise.</w:t>
            </w:r>
          </w:p>
        </w:tc>
        <w:tc>
          <w:tcPr>
            <w:tcW w:w="640" w:type="pct"/>
            <w:tcBorders>
              <w:top w:val="nil"/>
              <w:left w:val="nil"/>
              <w:bottom w:val="single" w:sz="4" w:space="0" w:color="auto"/>
              <w:right w:val="single" w:sz="4" w:space="0" w:color="auto"/>
            </w:tcBorders>
            <w:shd w:val="clear" w:color="auto" w:fill="auto"/>
            <w:noWrap/>
            <w:hideMark/>
          </w:tcPr>
          <w:p w14:paraId="4DC673EC"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5159FB47"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7CFA1A04"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0102C21B"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74</w:t>
            </w:r>
          </w:p>
        </w:tc>
        <w:tc>
          <w:tcPr>
            <w:tcW w:w="3506" w:type="pct"/>
            <w:tcBorders>
              <w:top w:val="nil"/>
              <w:left w:val="nil"/>
              <w:bottom w:val="single" w:sz="4" w:space="0" w:color="auto"/>
              <w:right w:val="single" w:sz="4" w:space="0" w:color="auto"/>
            </w:tcBorders>
            <w:shd w:val="clear" w:color="000000" w:fill="FFFFFF"/>
            <w:hideMark/>
          </w:tcPr>
          <w:p w14:paraId="61DD438C"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In view if the regulatory expectations, as a mandatory requirement for bank, the system must have advanced reporting capabilities and functionality to produce reports in the following formats: MS Power Point, MS Word, MS Excel, and PDF.</w:t>
            </w:r>
          </w:p>
        </w:tc>
        <w:tc>
          <w:tcPr>
            <w:tcW w:w="640" w:type="pct"/>
            <w:tcBorders>
              <w:top w:val="nil"/>
              <w:left w:val="nil"/>
              <w:bottom w:val="single" w:sz="4" w:space="0" w:color="auto"/>
              <w:right w:val="single" w:sz="4" w:space="0" w:color="auto"/>
            </w:tcBorders>
            <w:shd w:val="clear" w:color="auto" w:fill="auto"/>
            <w:noWrap/>
            <w:hideMark/>
          </w:tcPr>
          <w:p w14:paraId="0075457B"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2DF722AD"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3B63D0B7" w14:textId="77777777" w:rsidTr="008E0319">
        <w:trPr>
          <w:trHeight w:val="1020"/>
        </w:trPr>
        <w:tc>
          <w:tcPr>
            <w:tcW w:w="159" w:type="pct"/>
            <w:tcBorders>
              <w:top w:val="nil"/>
              <w:left w:val="single" w:sz="4" w:space="0" w:color="auto"/>
              <w:bottom w:val="single" w:sz="4" w:space="0" w:color="auto"/>
              <w:right w:val="single" w:sz="4" w:space="0" w:color="auto"/>
            </w:tcBorders>
            <w:shd w:val="clear" w:color="auto" w:fill="auto"/>
            <w:noWrap/>
            <w:hideMark/>
          </w:tcPr>
          <w:p w14:paraId="21C5089F"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75</w:t>
            </w:r>
          </w:p>
        </w:tc>
        <w:tc>
          <w:tcPr>
            <w:tcW w:w="3506" w:type="pct"/>
            <w:tcBorders>
              <w:top w:val="nil"/>
              <w:left w:val="nil"/>
              <w:bottom w:val="single" w:sz="4" w:space="0" w:color="auto"/>
              <w:right w:val="single" w:sz="4" w:space="0" w:color="auto"/>
            </w:tcBorders>
            <w:shd w:val="clear" w:color="000000" w:fill="FFFFFF"/>
            <w:hideMark/>
          </w:tcPr>
          <w:p w14:paraId="1EE8930E"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Must have flexible dashboarding capabilities.</w:t>
            </w:r>
            <w:r w:rsidRPr="00985D46">
              <w:rPr>
                <w:rFonts w:ascii="Calibri" w:eastAsia="Times New Roman" w:hAnsi="Calibri" w:cs="Calibri"/>
                <w:sz w:val="20"/>
                <w:szCs w:val="20"/>
                <w:lang w:val="en-GB" w:eastAsia="en-GB"/>
              </w:rPr>
              <w:br/>
            </w:r>
            <w:r w:rsidRPr="00985D46">
              <w:rPr>
                <w:rFonts w:ascii="Calibri" w:eastAsia="Times New Roman" w:hAnsi="Calibri" w:cs="Calibri"/>
                <w:sz w:val="20"/>
                <w:szCs w:val="20"/>
                <w:lang w:val="en-GB" w:eastAsia="en-GB"/>
              </w:rPr>
              <w:br/>
              <w:t>The system should also allow users to create custom dashboards with drag-and-drop functionality and real-time data integration from various sources.</w:t>
            </w:r>
          </w:p>
        </w:tc>
        <w:tc>
          <w:tcPr>
            <w:tcW w:w="640" w:type="pct"/>
            <w:tcBorders>
              <w:top w:val="nil"/>
              <w:left w:val="nil"/>
              <w:bottom w:val="single" w:sz="4" w:space="0" w:color="auto"/>
              <w:right w:val="single" w:sz="4" w:space="0" w:color="auto"/>
            </w:tcBorders>
            <w:shd w:val="clear" w:color="auto" w:fill="auto"/>
            <w:noWrap/>
            <w:hideMark/>
          </w:tcPr>
          <w:p w14:paraId="5B5E4B03"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4B70A481"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8C12506" w14:textId="77777777" w:rsidTr="008E0319">
        <w:trPr>
          <w:trHeight w:val="1020"/>
        </w:trPr>
        <w:tc>
          <w:tcPr>
            <w:tcW w:w="159" w:type="pct"/>
            <w:tcBorders>
              <w:top w:val="nil"/>
              <w:left w:val="single" w:sz="4" w:space="0" w:color="auto"/>
              <w:bottom w:val="single" w:sz="4" w:space="0" w:color="auto"/>
              <w:right w:val="single" w:sz="4" w:space="0" w:color="auto"/>
            </w:tcBorders>
            <w:shd w:val="clear" w:color="auto" w:fill="auto"/>
            <w:noWrap/>
            <w:hideMark/>
          </w:tcPr>
          <w:p w14:paraId="7F4ACCE0"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76</w:t>
            </w:r>
          </w:p>
        </w:tc>
        <w:tc>
          <w:tcPr>
            <w:tcW w:w="3506" w:type="pct"/>
            <w:tcBorders>
              <w:top w:val="nil"/>
              <w:left w:val="nil"/>
              <w:bottom w:val="single" w:sz="4" w:space="0" w:color="auto"/>
              <w:right w:val="single" w:sz="4" w:space="0" w:color="auto"/>
            </w:tcBorders>
            <w:shd w:val="clear" w:color="000000" w:fill="FFFFFF"/>
            <w:hideMark/>
          </w:tcPr>
          <w:p w14:paraId="73A2A9C1"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platform must be a no-code/low code configuration tool.</w:t>
            </w:r>
            <w:r w:rsidRPr="00985D46">
              <w:rPr>
                <w:rFonts w:ascii="Calibri" w:eastAsia="Times New Roman" w:hAnsi="Calibri" w:cs="Calibri"/>
                <w:sz w:val="20"/>
                <w:szCs w:val="20"/>
                <w:lang w:val="en-GB" w:eastAsia="en-GB"/>
              </w:rPr>
              <w:br/>
            </w:r>
            <w:r w:rsidRPr="00985D46">
              <w:rPr>
                <w:rFonts w:ascii="Calibri" w:eastAsia="Times New Roman" w:hAnsi="Calibri" w:cs="Calibri"/>
                <w:sz w:val="20"/>
                <w:szCs w:val="20"/>
                <w:lang w:val="en-GB" w:eastAsia="en-GB"/>
              </w:rPr>
              <w:br/>
              <w:t>The platform should include a built-in library of pre-configured templates and workflows that can be customized with minimal technical expertise.</w:t>
            </w:r>
          </w:p>
        </w:tc>
        <w:tc>
          <w:tcPr>
            <w:tcW w:w="640" w:type="pct"/>
            <w:tcBorders>
              <w:top w:val="nil"/>
              <w:left w:val="nil"/>
              <w:bottom w:val="single" w:sz="4" w:space="0" w:color="auto"/>
              <w:right w:val="single" w:sz="4" w:space="0" w:color="auto"/>
            </w:tcBorders>
            <w:shd w:val="clear" w:color="auto" w:fill="auto"/>
            <w:noWrap/>
            <w:hideMark/>
          </w:tcPr>
          <w:p w14:paraId="42573F09"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281A01BB"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ED5C6F8"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74B61298"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77</w:t>
            </w:r>
          </w:p>
        </w:tc>
        <w:tc>
          <w:tcPr>
            <w:tcW w:w="3506" w:type="pct"/>
            <w:tcBorders>
              <w:top w:val="nil"/>
              <w:left w:val="nil"/>
              <w:bottom w:val="single" w:sz="4" w:space="0" w:color="auto"/>
              <w:right w:val="single" w:sz="4" w:space="0" w:color="auto"/>
            </w:tcBorders>
            <w:shd w:val="clear" w:color="000000" w:fill="FFFFFF"/>
            <w:hideMark/>
          </w:tcPr>
          <w:p w14:paraId="07F45300"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 xml:space="preserve">The platform must allow configuration of unlimited number of pages or screens to meet the functional requirements, without the bank having to procure additional licenses for modules or applications on-demand </w:t>
            </w:r>
          </w:p>
        </w:tc>
        <w:tc>
          <w:tcPr>
            <w:tcW w:w="640" w:type="pct"/>
            <w:tcBorders>
              <w:top w:val="nil"/>
              <w:left w:val="nil"/>
              <w:bottom w:val="single" w:sz="4" w:space="0" w:color="auto"/>
              <w:right w:val="single" w:sz="4" w:space="0" w:color="auto"/>
            </w:tcBorders>
            <w:shd w:val="clear" w:color="auto" w:fill="auto"/>
            <w:noWrap/>
            <w:hideMark/>
          </w:tcPr>
          <w:p w14:paraId="4320CB31"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5C1FE660"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63D65CFD"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7A3EE69E"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78</w:t>
            </w:r>
          </w:p>
        </w:tc>
        <w:tc>
          <w:tcPr>
            <w:tcW w:w="3506" w:type="pct"/>
            <w:tcBorders>
              <w:top w:val="nil"/>
              <w:left w:val="nil"/>
              <w:bottom w:val="single" w:sz="4" w:space="0" w:color="auto"/>
              <w:right w:val="single" w:sz="4" w:space="0" w:color="auto"/>
            </w:tcBorders>
            <w:shd w:val="clear" w:color="000000" w:fill="FFFFFF"/>
            <w:hideMark/>
          </w:tcPr>
          <w:p w14:paraId="5A222306"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Flexibility: The system shall be configurable and provide technical flexibility that allows to update configuration or add additional fields without customization through programming and customized code or requiring professional services for customization.</w:t>
            </w:r>
          </w:p>
        </w:tc>
        <w:tc>
          <w:tcPr>
            <w:tcW w:w="640" w:type="pct"/>
            <w:tcBorders>
              <w:top w:val="nil"/>
              <w:left w:val="nil"/>
              <w:bottom w:val="single" w:sz="4" w:space="0" w:color="auto"/>
              <w:right w:val="single" w:sz="4" w:space="0" w:color="auto"/>
            </w:tcBorders>
            <w:shd w:val="clear" w:color="auto" w:fill="auto"/>
            <w:noWrap/>
            <w:hideMark/>
          </w:tcPr>
          <w:p w14:paraId="6AA67F1C"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10673E86"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726F6F82"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31BA4C99"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79</w:t>
            </w:r>
          </w:p>
        </w:tc>
        <w:tc>
          <w:tcPr>
            <w:tcW w:w="3506" w:type="pct"/>
            <w:tcBorders>
              <w:top w:val="nil"/>
              <w:left w:val="nil"/>
              <w:bottom w:val="single" w:sz="4" w:space="0" w:color="auto"/>
              <w:right w:val="single" w:sz="4" w:space="0" w:color="auto"/>
            </w:tcBorders>
            <w:shd w:val="clear" w:color="000000" w:fill="FFFFFF"/>
            <w:hideMark/>
          </w:tcPr>
          <w:p w14:paraId="531958A1"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 xml:space="preserve">The system should incorporate an ETL feature to extract, transform, and load information asset data from other systems. </w:t>
            </w:r>
          </w:p>
        </w:tc>
        <w:tc>
          <w:tcPr>
            <w:tcW w:w="640" w:type="pct"/>
            <w:tcBorders>
              <w:top w:val="nil"/>
              <w:left w:val="nil"/>
              <w:bottom w:val="single" w:sz="4" w:space="0" w:color="auto"/>
              <w:right w:val="single" w:sz="4" w:space="0" w:color="auto"/>
            </w:tcBorders>
            <w:shd w:val="clear" w:color="auto" w:fill="auto"/>
            <w:noWrap/>
            <w:hideMark/>
          </w:tcPr>
          <w:p w14:paraId="0E6A0A88"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1522C86B"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107C78AA"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3815C8BC"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80</w:t>
            </w:r>
          </w:p>
        </w:tc>
        <w:tc>
          <w:tcPr>
            <w:tcW w:w="3506" w:type="pct"/>
            <w:tcBorders>
              <w:top w:val="nil"/>
              <w:left w:val="nil"/>
              <w:bottom w:val="single" w:sz="4" w:space="0" w:color="auto"/>
              <w:right w:val="single" w:sz="4" w:space="0" w:color="auto"/>
            </w:tcBorders>
            <w:shd w:val="clear" w:color="000000" w:fill="FFFFFF"/>
            <w:hideMark/>
          </w:tcPr>
          <w:p w14:paraId="36C2AD8A"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should also include granular access controls with the ability to define permissions at the data field level, along with audit logging of all access changes.</w:t>
            </w:r>
          </w:p>
        </w:tc>
        <w:tc>
          <w:tcPr>
            <w:tcW w:w="640" w:type="pct"/>
            <w:tcBorders>
              <w:top w:val="nil"/>
              <w:left w:val="nil"/>
              <w:bottom w:val="single" w:sz="4" w:space="0" w:color="auto"/>
              <w:right w:val="single" w:sz="4" w:space="0" w:color="auto"/>
            </w:tcBorders>
            <w:shd w:val="clear" w:color="auto" w:fill="auto"/>
            <w:noWrap/>
            <w:hideMark/>
          </w:tcPr>
          <w:p w14:paraId="6588476B"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3828CE3B"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25ABB90F"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122DD353"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81</w:t>
            </w:r>
          </w:p>
        </w:tc>
        <w:tc>
          <w:tcPr>
            <w:tcW w:w="3506" w:type="pct"/>
            <w:tcBorders>
              <w:top w:val="nil"/>
              <w:left w:val="nil"/>
              <w:bottom w:val="single" w:sz="4" w:space="0" w:color="auto"/>
              <w:right w:val="single" w:sz="4" w:space="0" w:color="auto"/>
            </w:tcBorders>
            <w:shd w:val="clear" w:color="000000" w:fill="FFFFFF"/>
            <w:hideMark/>
          </w:tcPr>
          <w:p w14:paraId="0310C829"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must allow configuration of dynamic business workflows.</w:t>
            </w:r>
          </w:p>
        </w:tc>
        <w:tc>
          <w:tcPr>
            <w:tcW w:w="640" w:type="pct"/>
            <w:tcBorders>
              <w:top w:val="nil"/>
              <w:left w:val="nil"/>
              <w:bottom w:val="single" w:sz="4" w:space="0" w:color="auto"/>
              <w:right w:val="single" w:sz="4" w:space="0" w:color="auto"/>
            </w:tcBorders>
            <w:shd w:val="clear" w:color="auto" w:fill="auto"/>
            <w:noWrap/>
            <w:hideMark/>
          </w:tcPr>
          <w:p w14:paraId="35DB786E"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3FA7DBE5"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2633A8A1"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47E73842"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82</w:t>
            </w:r>
          </w:p>
        </w:tc>
        <w:tc>
          <w:tcPr>
            <w:tcW w:w="3506" w:type="pct"/>
            <w:tcBorders>
              <w:top w:val="nil"/>
              <w:left w:val="nil"/>
              <w:bottom w:val="single" w:sz="4" w:space="0" w:color="auto"/>
              <w:right w:val="single" w:sz="4" w:space="0" w:color="auto"/>
            </w:tcBorders>
            <w:shd w:val="clear" w:color="000000" w:fill="FFFFFF"/>
            <w:hideMark/>
          </w:tcPr>
          <w:p w14:paraId="0C662494"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 xml:space="preserve">In view of Regulatory guidance, the system must allow for multi factor authentication. </w:t>
            </w:r>
          </w:p>
        </w:tc>
        <w:tc>
          <w:tcPr>
            <w:tcW w:w="640" w:type="pct"/>
            <w:tcBorders>
              <w:top w:val="nil"/>
              <w:left w:val="nil"/>
              <w:bottom w:val="single" w:sz="4" w:space="0" w:color="auto"/>
              <w:right w:val="single" w:sz="4" w:space="0" w:color="auto"/>
            </w:tcBorders>
            <w:shd w:val="clear" w:color="auto" w:fill="auto"/>
            <w:noWrap/>
            <w:hideMark/>
          </w:tcPr>
          <w:p w14:paraId="45960B1F"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2835776F"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0D26ADC"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26D8F105"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83</w:t>
            </w:r>
          </w:p>
        </w:tc>
        <w:tc>
          <w:tcPr>
            <w:tcW w:w="3506" w:type="pct"/>
            <w:tcBorders>
              <w:top w:val="nil"/>
              <w:left w:val="nil"/>
              <w:bottom w:val="single" w:sz="4" w:space="0" w:color="auto"/>
              <w:right w:val="single" w:sz="4" w:space="0" w:color="auto"/>
            </w:tcBorders>
            <w:shd w:val="clear" w:color="000000" w:fill="FFFFFF"/>
            <w:hideMark/>
          </w:tcPr>
          <w:p w14:paraId="6BA3200F"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 xml:space="preserve">In view of the expanding scope of information security operations and the department as a whole, the GRC tool may need to have extensive integrations and data management capabilities. As such it is mandatory for the platform to have in build ETL capabilities. </w:t>
            </w:r>
          </w:p>
        </w:tc>
        <w:tc>
          <w:tcPr>
            <w:tcW w:w="640" w:type="pct"/>
            <w:tcBorders>
              <w:top w:val="nil"/>
              <w:left w:val="nil"/>
              <w:bottom w:val="single" w:sz="4" w:space="0" w:color="auto"/>
              <w:right w:val="single" w:sz="4" w:space="0" w:color="auto"/>
            </w:tcBorders>
            <w:shd w:val="clear" w:color="auto" w:fill="auto"/>
            <w:noWrap/>
            <w:hideMark/>
          </w:tcPr>
          <w:p w14:paraId="6C11D815"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039B888E"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E83A786"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235A2109"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84</w:t>
            </w:r>
          </w:p>
        </w:tc>
        <w:tc>
          <w:tcPr>
            <w:tcW w:w="3506" w:type="pct"/>
            <w:tcBorders>
              <w:top w:val="nil"/>
              <w:left w:val="nil"/>
              <w:bottom w:val="single" w:sz="4" w:space="0" w:color="auto"/>
              <w:right w:val="single" w:sz="4" w:space="0" w:color="auto"/>
            </w:tcBorders>
            <w:shd w:val="clear" w:color="000000" w:fill="FFFFFF"/>
            <w:hideMark/>
          </w:tcPr>
          <w:p w14:paraId="53B22911"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system should have notification capabilities based on pre-defined business criteria.</w:t>
            </w:r>
          </w:p>
        </w:tc>
        <w:tc>
          <w:tcPr>
            <w:tcW w:w="640" w:type="pct"/>
            <w:tcBorders>
              <w:top w:val="nil"/>
              <w:left w:val="nil"/>
              <w:bottom w:val="single" w:sz="4" w:space="0" w:color="auto"/>
              <w:right w:val="single" w:sz="4" w:space="0" w:color="auto"/>
            </w:tcBorders>
            <w:shd w:val="clear" w:color="auto" w:fill="auto"/>
            <w:noWrap/>
            <w:hideMark/>
          </w:tcPr>
          <w:p w14:paraId="74DE4B80"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0F035940"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18C11B5E"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6BBE66CA"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85</w:t>
            </w:r>
          </w:p>
        </w:tc>
        <w:tc>
          <w:tcPr>
            <w:tcW w:w="3506" w:type="pct"/>
            <w:tcBorders>
              <w:top w:val="nil"/>
              <w:left w:val="nil"/>
              <w:bottom w:val="single" w:sz="4" w:space="0" w:color="auto"/>
              <w:right w:val="single" w:sz="4" w:space="0" w:color="auto"/>
            </w:tcBorders>
            <w:shd w:val="clear" w:color="000000" w:fill="FFFFFF"/>
            <w:hideMark/>
          </w:tcPr>
          <w:p w14:paraId="027A4C8C"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Audit trail history logs.</w:t>
            </w:r>
          </w:p>
        </w:tc>
        <w:tc>
          <w:tcPr>
            <w:tcW w:w="640" w:type="pct"/>
            <w:tcBorders>
              <w:top w:val="nil"/>
              <w:left w:val="nil"/>
              <w:bottom w:val="single" w:sz="4" w:space="0" w:color="auto"/>
              <w:right w:val="single" w:sz="4" w:space="0" w:color="auto"/>
            </w:tcBorders>
            <w:shd w:val="clear" w:color="auto" w:fill="auto"/>
            <w:noWrap/>
            <w:hideMark/>
          </w:tcPr>
          <w:p w14:paraId="28D73F66"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64A7E9CC"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183B6DF8"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434399F9"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86</w:t>
            </w:r>
          </w:p>
        </w:tc>
        <w:tc>
          <w:tcPr>
            <w:tcW w:w="3506" w:type="pct"/>
            <w:tcBorders>
              <w:top w:val="nil"/>
              <w:left w:val="nil"/>
              <w:bottom w:val="single" w:sz="4" w:space="0" w:color="auto"/>
              <w:right w:val="single" w:sz="4" w:space="0" w:color="auto"/>
            </w:tcBorders>
            <w:shd w:val="clear" w:color="000000" w:fill="FFFFFF"/>
            <w:hideMark/>
          </w:tcPr>
          <w:p w14:paraId="1376C179"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Multitude of layout options and templates without the need the need for custom coding.</w:t>
            </w:r>
          </w:p>
        </w:tc>
        <w:tc>
          <w:tcPr>
            <w:tcW w:w="640" w:type="pct"/>
            <w:tcBorders>
              <w:top w:val="nil"/>
              <w:left w:val="nil"/>
              <w:bottom w:val="single" w:sz="4" w:space="0" w:color="auto"/>
              <w:right w:val="single" w:sz="4" w:space="0" w:color="auto"/>
            </w:tcBorders>
            <w:shd w:val="clear" w:color="auto" w:fill="auto"/>
            <w:noWrap/>
            <w:hideMark/>
          </w:tcPr>
          <w:p w14:paraId="4DE8F488"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7CF9DA5F"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5BB412BA" w14:textId="77777777" w:rsidTr="008E0319">
        <w:trPr>
          <w:trHeight w:val="510"/>
        </w:trPr>
        <w:tc>
          <w:tcPr>
            <w:tcW w:w="159" w:type="pct"/>
            <w:tcBorders>
              <w:top w:val="nil"/>
              <w:left w:val="single" w:sz="4" w:space="0" w:color="auto"/>
              <w:bottom w:val="single" w:sz="4" w:space="0" w:color="auto"/>
              <w:right w:val="single" w:sz="4" w:space="0" w:color="auto"/>
            </w:tcBorders>
            <w:shd w:val="clear" w:color="auto" w:fill="auto"/>
            <w:noWrap/>
            <w:hideMark/>
          </w:tcPr>
          <w:p w14:paraId="3AF67585"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87</w:t>
            </w:r>
          </w:p>
        </w:tc>
        <w:tc>
          <w:tcPr>
            <w:tcW w:w="3506" w:type="pct"/>
            <w:tcBorders>
              <w:top w:val="nil"/>
              <w:left w:val="nil"/>
              <w:bottom w:val="single" w:sz="4" w:space="0" w:color="auto"/>
              <w:right w:val="single" w:sz="4" w:space="0" w:color="auto"/>
            </w:tcBorders>
            <w:shd w:val="clear" w:color="000000" w:fill="FFFFFF"/>
            <w:hideMark/>
          </w:tcPr>
          <w:p w14:paraId="1C075286"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Meticulous support of user access rights and the ability to modify user access rights based on employee roles and at stages during the life cycle.</w:t>
            </w:r>
          </w:p>
        </w:tc>
        <w:tc>
          <w:tcPr>
            <w:tcW w:w="640" w:type="pct"/>
            <w:tcBorders>
              <w:top w:val="nil"/>
              <w:left w:val="nil"/>
              <w:bottom w:val="single" w:sz="4" w:space="0" w:color="auto"/>
              <w:right w:val="single" w:sz="4" w:space="0" w:color="auto"/>
            </w:tcBorders>
            <w:shd w:val="clear" w:color="auto" w:fill="auto"/>
            <w:noWrap/>
            <w:hideMark/>
          </w:tcPr>
          <w:p w14:paraId="5FF5A509"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6DC9399C"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673E92AD"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263F498E"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88</w:t>
            </w:r>
          </w:p>
        </w:tc>
        <w:tc>
          <w:tcPr>
            <w:tcW w:w="3506" w:type="pct"/>
            <w:tcBorders>
              <w:top w:val="nil"/>
              <w:left w:val="nil"/>
              <w:bottom w:val="single" w:sz="4" w:space="0" w:color="auto"/>
              <w:right w:val="single" w:sz="4" w:space="0" w:color="auto"/>
            </w:tcBorders>
            <w:shd w:val="clear" w:color="000000" w:fill="FFFFFF"/>
            <w:hideMark/>
          </w:tcPr>
          <w:p w14:paraId="64F59A36"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Configurable search functionality.</w:t>
            </w:r>
          </w:p>
        </w:tc>
        <w:tc>
          <w:tcPr>
            <w:tcW w:w="640" w:type="pct"/>
            <w:tcBorders>
              <w:top w:val="nil"/>
              <w:left w:val="nil"/>
              <w:bottom w:val="single" w:sz="4" w:space="0" w:color="auto"/>
              <w:right w:val="single" w:sz="4" w:space="0" w:color="auto"/>
            </w:tcBorders>
            <w:shd w:val="clear" w:color="auto" w:fill="auto"/>
            <w:noWrap/>
            <w:hideMark/>
          </w:tcPr>
          <w:p w14:paraId="3D29EA5A"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0C104548"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3CB8D5AC"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668DE78A"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89</w:t>
            </w:r>
          </w:p>
        </w:tc>
        <w:tc>
          <w:tcPr>
            <w:tcW w:w="3506" w:type="pct"/>
            <w:tcBorders>
              <w:top w:val="nil"/>
              <w:left w:val="nil"/>
              <w:bottom w:val="single" w:sz="4" w:space="0" w:color="auto"/>
              <w:right w:val="single" w:sz="4" w:space="0" w:color="auto"/>
            </w:tcBorders>
            <w:shd w:val="clear" w:color="000000" w:fill="FFFFFF"/>
            <w:hideMark/>
          </w:tcPr>
          <w:p w14:paraId="6CF87A2A"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Ability to provide comprehensive dashboards and reports which provide snapshots and meticulous details</w:t>
            </w:r>
          </w:p>
        </w:tc>
        <w:tc>
          <w:tcPr>
            <w:tcW w:w="640" w:type="pct"/>
            <w:tcBorders>
              <w:top w:val="nil"/>
              <w:left w:val="nil"/>
              <w:bottom w:val="single" w:sz="4" w:space="0" w:color="auto"/>
              <w:right w:val="single" w:sz="4" w:space="0" w:color="auto"/>
            </w:tcBorders>
            <w:shd w:val="clear" w:color="auto" w:fill="auto"/>
            <w:noWrap/>
            <w:hideMark/>
          </w:tcPr>
          <w:p w14:paraId="13737FB7"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50F75D08"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FDDD7EC"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19E9F231"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90</w:t>
            </w:r>
          </w:p>
        </w:tc>
        <w:tc>
          <w:tcPr>
            <w:tcW w:w="3506" w:type="pct"/>
            <w:tcBorders>
              <w:top w:val="nil"/>
              <w:left w:val="nil"/>
              <w:bottom w:val="single" w:sz="4" w:space="0" w:color="auto"/>
              <w:right w:val="single" w:sz="4" w:space="0" w:color="auto"/>
            </w:tcBorders>
            <w:shd w:val="clear" w:color="000000" w:fill="FFFFFF"/>
            <w:hideMark/>
          </w:tcPr>
          <w:p w14:paraId="3EFCF8F3"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Support both upload and download of data in various formats.</w:t>
            </w:r>
          </w:p>
        </w:tc>
        <w:tc>
          <w:tcPr>
            <w:tcW w:w="640" w:type="pct"/>
            <w:tcBorders>
              <w:top w:val="nil"/>
              <w:left w:val="nil"/>
              <w:bottom w:val="single" w:sz="4" w:space="0" w:color="auto"/>
              <w:right w:val="single" w:sz="4" w:space="0" w:color="auto"/>
            </w:tcBorders>
            <w:shd w:val="clear" w:color="auto" w:fill="auto"/>
            <w:noWrap/>
            <w:hideMark/>
          </w:tcPr>
          <w:p w14:paraId="09E75022"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09F9D144"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28BEA2D" w14:textId="77777777" w:rsidTr="008E0319">
        <w:trPr>
          <w:trHeight w:val="300"/>
        </w:trPr>
        <w:tc>
          <w:tcPr>
            <w:tcW w:w="159" w:type="pct"/>
            <w:tcBorders>
              <w:top w:val="nil"/>
              <w:left w:val="single" w:sz="4" w:space="0" w:color="auto"/>
              <w:bottom w:val="single" w:sz="4" w:space="0" w:color="auto"/>
              <w:right w:val="single" w:sz="4" w:space="0" w:color="auto"/>
            </w:tcBorders>
            <w:shd w:val="clear" w:color="auto" w:fill="auto"/>
            <w:noWrap/>
            <w:hideMark/>
          </w:tcPr>
          <w:p w14:paraId="0CB157BF"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91</w:t>
            </w:r>
          </w:p>
        </w:tc>
        <w:tc>
          <w:tcPr>
            <w:tcW w:w="3506" w:type="pct"/>
            <w:tcBorders>
              <w:top w:val="nil"/>
              <w:left w:val="nil"/>
              <w:bottom w:val="single" w:sz="4" w:space="0" w:color="auto"/>
              <w:right w:val="single" w:sz="4" w:space="0" w:color="auto"/>
            </w:tcBorders>
            <w:shd w:val="clear" w:color="000000" w:fill="FFFFFF"/>
            <w:hideMark/>
          </w:tcPr>
          <w:p w14:paraId="0A7FFA27"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All system tables should have advanced filtering capabilities.</w:t>
            </w:r>
          </w:p>
        </w:tc>
        <w:tc>
          <w:tcPr>
            <w:tcW w:w="640" w:type="pct"/>
            <w:tcBorders>
              <w:top w:val="nil"/>
              <w:left w:val="nil"/>
              <w:bottom w:val="single" w:sz="4" w:space="0" w:color="auto"/>
              <w:right w:val="single" w:sz="4" w:space="0" w:color="auto"/>
            </w:tcBorders>
            <w:shd w:val="clear" w:color="auto" w:fill="auto"/>
            <w:noWrap/>
            <w:hideMark/>
          </w:tcPr>
          <w:p w14:paraId="6AAC73BF"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5" w:type="pct"/>
            <w:tcBorders>
              <w:top w:val="nil"/>
              <w:left w:val="nil"/>
              <w:bottom w:val="single" w:sz="4" w:space="0" w:color="auto"/>
              <w:right w:val="single" w:sz="4" w:space="0" w:color="auto"/>
            </w:tcBorders>
            <w:shd w:val="clear" w:color="auto" w:fill="auto"/>
            <w:hideMark/>
          </w:tcPr>
          <w:p w14:paraId="74E14E76"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bl>
    <w:p w14:paraId="33325343" w14:textId="77777777" w:rsidR="00985D46" w:rsidRDefault="00985D46">
      <w:pPr>
        <w:rPr>
          <w:rFonts w:cstheme="minorHAnsi"/>
        </w:rPr>
      </w:pPr>
    </w:p>
    <w:p w14:paraId="1DD32339" w14:textId="77777777" w:rsidR="00985D46" w:rsidRDefault="00985D46">
      <w:pPr>
        <w:rPr>
          <w:rFonts w:cstheme="minorHAnsi"/>
        </w:rPr>
      </w:pPr>
      <w:r>
        <w:rPr>
          <w:rFonts w:cstheme="minorHAnsi"/>
        </w:rPr>
        <w:br w:type="page"/>
      </w:r>
    </w:p>
    <w:tbl>
      <w:tblPr>
        <w:tblW w:w="5000" w:type="pct"/>
        <w:tblLook w:val="04A0" w:firstRow="1" w:lastRow="0" w:firstColumn="1" w:lastColumn="0" w:noHBand="0" w:noVBand="1"/>
      </w:tblPr>
      <w:tblGrid>
        <w:gridCol w:w="504"/>
        <w:gridCol w:w="9343"/>
        <w:gridCol w:w="1683"/>
        <w:gridCol w:w="2418"/>
      </w:tblGrid>
      <w:tr w:rsidR="00985D46" w:rsidRPr="00985D46" w14:paraId="14309197" w14:textId="77777777" w:rsidTr="00E73613">
        <w:trPr>
          <w:trHeight w:val="315"/>
        </w:trPr>
        <w:tc>
          <w:tcPr>
            <w:tcW w:w="5000" w:type="pct"/>
            <w:gridSpan w:val="4"/>
            <w:tcBorders>
              <w:top w:val="single" w:sz="4" w:space="0" w:color="auto"/>
              <w:left w:val="single" w:sz="4" w:space="0" w:color="auto"/>
              <w:bottom w:val="single" w:sz="4" w:space="0" w:color="auto"/>
              <w:right w:val="single" w:sz="4" w:space="0" w:color="auto"/>
            </w:tcBorders>
            <w:shd w:val="clear" w:color="000000" w:fill="FFE699"/>
            <w:hideMark/>
          </w:tcPr>
          <w:p w14:paraId="18A1D9E3" w14:textId="77777777" w:rsidR="00985D46" w:rsidRPr="00985D46" w:rsidRDefault="00985D46" w:rsidP="00985D46">
            <w:pPr>
              <w:spacing w:after="0" w:line="240" w:lineRule="auto"/>
              <w:jc w:val="center"/>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xml:space="preserve">Technical Specifications for </w:t>
            </w:r>
            <w:r w:rsidRPr="00985D46">
              <w:rPr>
                <w:rFonts w:ascii="Calibri" w:eastAsia="Times New Roman" w:hAnsi="Calibri" w:cs="Calibri"/>
                <w:b/>
                <w:bCs/>
                <w:color w:val="000000"/>
                <w:sz w:val="24"/>
                <w:szCs w:val="24"/>
                <w:lang w:val="en-GB" w:eastAsia="en-GB"/>
              </w:rPr>
              <w:t>Decoy (Honeypot)</w:t>
            </w:r>
          </w:p>
        </w:tc>
      </w:tr>
      <w:tr w:rsidR="00985D46" w:rsidRPr="00985D46" w14:paraId="3B61A065" w14:textId="77777777" w:rsidTr="00E73613">
        <w:trPr>
          <w:trHeight w:val="630"/>
        </w:trPr>
        <w:tc>
          <w:tcPr>
            <w:tcW w:w="152" w:type="pct"/>
            <w:tcBorders>
              <w:top w:val="nil"/>
              <w:left w:val="single" w:sz="4" w:space="0" w:color="auto"/>
              <w:bottom w:val="single" w:sz="4" w:space="0" w:color="auto"/>
              <w:right w:val="single" w:sz="4" w:space="0" w:color="auto"/>
            </w:tcBorders>
            <w:shd w:val="clear" w:color="000000" w:fill="1F4E78"/>
            <w:hideMark/>
          </w:tcPr>
          <w:p w14:paraId="264E0335" w14:textId="77777777" w:rsidR="00985D46" w:rsidRPr="00985D46" w:rsidRDefault="00985D46" w:rsidP="00985D46">
            <w:pPr>
              <w:spacing w:after="0" w:line="240" w:lineRule="auto"/>
              <w:jc w:val="center"/>
              <w:rPr>
                <w:rFonts w:ascii="Calibri" w:eastAsia="Times New Roman" w:hAnsi="Calibri" w:cs="Calibri"/>
                <w:b/>
                <w:bCs/>
                <w:color w:val="FFFFFF"/>
                <w:sz w:val="24"/>
                <w:szCs w:val="24"/>
                <w:lang w:val="en-GB" w:eastAsia="en-GB"/>
              </w:rPr>
            </w:pPr>
            <w:r w:rsidRPr="00985D46">
              <w:rPr>
                <w:rFonts w:ascii="Calibri" w:eastAsia="Times New Roman" w:hAnsi="Calibri" w:cs="Calibri"/>
                <w:b/>
                <w:bCs/>
                <w:color w:val="FFFFFF"/>
                <w:sz w:val="24"/>
                <w:szCs w:val="24"/>
                <w:lang w:val="en-GB" w:eastAsia="en-GB"/>
              </w:rPr>
              <w:t>S No</w:t>
            </w:r>
          </w:p>
        </w:tc>
        <w:tc>
          <w:tcPr>
            <w:tcW w:w="3359" w:type="pct"/>
            <w:tcBorders>
              <w:top w:val="nil"/>
              <w:left w:val="nil"/>
              <w:bottom w:val="single" w:sz="4" w:space="0" w:color="auto"/>
              <w:right w:val="single" w:sz="4" w:space="0" w:color="auto"/>
            </w:tcBorders>
            <w:shd w:val="clear" w:color="000000" w:fill="1F4E78"/>
            <w:hideMark/>
          </w:tcPr>
          <w:p w14:paraId="19DDC852" w14:textId="77777777" w:rsidR="00985D46" w:rsidRPr="00985D46" w:rsidRDefault="00985D46" w:rsidP="00985D46">
            <w:pPr>
              <w:spacing w:after="0" w:line="240" w:lineRule="auto"/>
              <w:rPr>
                <w:rFonts w:ascii="Calibri" w:eastAsia="Times New Roman" w:hAnsi="Calibri" w:cs="Calibri"/>
                <w:b/>
                <w:bCs/>
                <w:color w:val="FFFFFF"/>
                <w:sz w:val="24"/>
                <w:szCs w:val="24"/>
                <w:lang w:val="en-GB" w:eastAsia="en-GB"/>
              </w:rPr>
            </w:pPr>
            <w:r w:rsidRPr="00985D46">
              <w:rPr>
                <w:rFonts w:ascii="Calibri" w:eastAsia="Times New Roman" w:hAnsi="Calibri" w:cs="Calibri"/>
                <w:b/>
                <w:bCs/>
                <w:color w:val="FFFFFF"/>
                <w:sz w:val="24"/>
                <w:szCs w:val="24"/>
                <w:lang w:val="en-GB" w:eastAsia="en-GB"/>
              </w:rPr>
              <w:t xml:space="preserve">Minimum Technical Specifications </w:t>
            </w:r>
          </w:p>
        </w:tc>
        <w:tc>
          <w:tcPr>
            <w:tcW w:w="613" w:type="pct"/>
            <w:tcBorders>
              <w:top w:val="nil"/>
              <w:left w:val="nil"/>
              <w:bottom w:val="single" w:sz="4" w:space="0" w:color="auto"/>
              <w:right w:val="single" w:sz="4" w:space="0" w:color="auto"/>
            </w:tcBorders>
            <w:shd w:val="clear" w:color="000000" w:fill="1F4E78"/>
            <w:hideMark/>
          </w:tcPr>
          <w:p w14:paraId="6C5AB0E0" w14:textId="77777777" w:rsidR="00985D46" w:rsidRPr="00985D46" w:rsidRDefault="00985D46" w:rsidP="00985D46">
            <w:pPr>
              <w:spacing w:after="0" w:line="240" w:lineRule="auto"/>
              <w:rPr>
                <w:rFonts w:ascii="Calibri" w:eastAsia="Times New Roman" w:hAnsi="Calibri" w:cs="Calibri"/>
                <w:b/>
                <w:bCs/>
                <w:color w:val="FFFFFF"/>
                <w:sz w:val="24"/>
                <w:szCs w:val="24"/>
                <w:lang w:val="en-GB" w:eastAsia="en-GB"/>
              </w:rPr>
            </w:pPr>
            <w:r w:rsidRPr="00985D46">
              <w:rPr>
                <w:rFonts w:ascii="Calibri" w:eastAsia="Times New Roman" w:hAnsi="Calibri" w:cs="Calibri"/>
                <w:b/>
                <w:bCs/>
                <w:color w:val="FFFFFF"/>
                <w:sz w:val="24"/>
                <w:szCs w:val="24"/>
                <w:lang w:val="en-GB" w:eastAsia="en-GB"/>
              </w:rPr>
              <w:t>Vendor's Compliance</w:t>
            </w:r>
          </w:p>
        </w:tc>
        <w:tc>
          <w:tcPr>
            <w:tcW w:w="876" w:type="pct"/>
            <w:tcBorders>
              <w:top w:val="nil"/>
              <w:left w:val="nil"/>
              <w:bottom w:val="single" w:sz="4" w:space="0" w:color="auto"/>
              <w:right w:val="single" w:sz="4" w:space="0" w:color="auto"/>
            </w:tcBorders>
            <w:shd w:val="clear" w:color="000000" w:fill="1F4E78"/>
            <w:hideMark/>
          </w:tcPr>
          <w:p w14:paraId="6E407F54" w14:textId="77777777" w:rsidR="00985D46" w:rsidRPr="00985D46" w:rsidRDefault="00985D46" w:rsidP="00985D46">
            <w:pPr>
              <w:spacing w:after="0" w:line="240" w:lineRule="auto"/>
              <w:rPr>
                <w:rFonts w:ascii="Calibri" w:eastAsia="Times New Roman" w:hAnsi="Calibri" w:cs="Calibri"/>
                <w:b/>
                <w:bCs/>
                <w:color w:val="FFFFFF"/>
                <w:sz w:val="24"/>
                <w:szCs w:val="24"/>
                <w:lang w:val="en-GB" w:eastAsia="en-GB"/>
              </w:rPr>
            </w:pPr>
            <w:r w:rsidRPr="00985D46">
              <w:rPr>
                <w:rFonts w:ascii="Calibri" w:eastAsia="Times New Roman" w:hAnsi="Calibri" w:cs="Calibri"/>
                <w:b/>
                <w:bCs/>
                <w:color w:val="FFFFFF"/>
                <w:sz w:val="24"/>
                <w:szCs w:val="24"/>
                <w:lang w:val="en-GB" w:eastAsia="en-GB"/>
              </w:rPr>
              <w:t>Vendor's Remark</w:t>
            </w:r>
          </w:p>
        </w:tc>
      </w:tr>
      <w:tr w:rsidR="00985D46" w:rsidRPr="00985D46" w14:paraId="7DE48556" w14:textId="77777777" w:rsidTr="00E73613">
        <w:trPr>
          <w:trHeight w:val="255"/>
        </w:trPr>
        <w:tc>
          <w:tcPr>
            <w:tcW w:w="152" w:type="pct"/>
            <w:tcBorders>
              <w:top w:val="nil"/>
              <w:left w:val="single" w:sz="4" w:space="0" w:color="auto"/>
              <w:bottom w:val="single" w:sz="4" w:space="0" w:color="auto"/>
              <w:right w:val="single" w:sz="4" w:space="0" w:color="auto"/>
            </w:tcBorders>
            <w:shd w:val="clear" w:color="000000" w:fill="EFF4FF"/>
            <w:hideMark/>
          </w:tcPr>
          <w:p w14:paraId="2B53054E" w14:textId="77777777" w:rsidR="00985D46" w:rsidRPr="00985D46" w:rsidRDefault="00985D46" w:rsidP="00985D46">
            <w:pPr>
              <w:spacing w:after="0" w:line="240" w:lineRule="auto"/>
              <w:jc w:val="center"/>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A</w:t>
            </w:r>
          </w:p>
        </w:tc>
        <w:tc>
          <w:tcPr>
            <w:tcW w:w="3359" w:type="pct"/>
            <w:tcBorders>
              <w:top w:val="nil"/>
              <w:left w:val="nil"/>
              <w:bottom w:val="single" w:sz="4" w:space="0" w:color="auto"/>
              <w:right w:val="single" w:sz="4" w:space="0" w:color="auto"/>
            </w:tcBorders>
            <w:shd w:val="clear" w:color="000000" w:fill="EFF4FF"/>
            <w:hideMark/>
          </w:tcPr>
          <w:p w14:paraId="2AFF472C" w14:textId="77777777" w:rsidR="00985D46" w:rsidRPr="00985D46" w:rsidRDefault="00985D46" w:rsidP="00985D46">
            <w:pPr>
              <w:spacing w:after="0" w:line="240" w:lineRule="auto"/>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General Requirements</w:t>
            </w:r>
          </w:p>
        </w:tc>
        <w:tc>
          <w:tcPr>
            <w:tcW w:w="613" w:type="pct"/>
            <w:tcBorders>
              <w:top w:val="nil"/>
              <w:left w:val="nil"/>
              <w:bottom w:val="single" w:sz="4" w:space="0" w:color="auto"/>
              <w:right w:val="single" w:sz="4" w:space="0" w:color="auto"/>
            </w:tcBorders>
            <w:shd w:val="clear" w:color="000000" w:fill="EFF4FF"/>
            <w:hideMark/>
          </w:tcPr>
          <w:p w14:paraId="1E5A218D" w14:textId="77777777" w:rsidR="00985D46" w:rsidRPr="00985D46" w:rsidRDefault="00985D46" w:rsidP="00985D46">
            <w:pPr>
              <w:spacing w:after="0" w:line="240" w:lineRule="auto"/>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 </w:t>
            </w:r>
          </w:p>
        </w:tc>
        <w:tc>
          <w:tcPr>
            <w:tcW w:w="876" w:type="pct"/>
            <w:tcBorders>
              <w:top w:val="nil"/>
              <w:left w:val="nil"/>
              <w:bottom w:val="single" w:sz="4" w:space="0" w:color="auto"/>
              <w:right w:val="single" w:sz="4" w:space="0" w:color="auto"/>
            </w:tcBorders>
            <w:shd w:val="clear" w:color="000000" w:fill="EFF4FF"/>
            <w:hideMark/>
          </w:tcPr>
          <w:p w14:paraId="02C5EB67" w14:textId="77777777" w:rsidR="00985D46" w:rsidRPr="00985D46" w:rsidRDefault="00985D46" w:rsidP="00985D46">
            <w:pPr>
              <w:spacing w:after="0" w:line="240" w:lineRule="auto"/>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 </w:t>
            </w:r>
          </w:p>
        </w:tc>
      </w:tr>
      <w:tr w:rsidR="00985D46" w:rsidRPr="00985D46" w14:paraId="2222E629" w14:textId="77777777" w:rsidTr="00E73613">
        <w:trPr>
          <w:trHeight w:val="510"/>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42DC39EB"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w:t>
            </w:r>
          </w:p>
        </w:tc>
        <w:tc>
          <w:tcPr>
            <w:tcW w:w="3359" w:type="pct"/>
            <w:tcBorders>
              <w:top w:val="nil"/>
              <w:left w:val="nil"/>
              <w:bottom w:val="single" w:sz="4" w:space="0" w:color="auto"/>
              <w:right w:val="single" w:sz="4" w:space="0" w:color="auto"/>
            </w:tcBorders>
            <w:shd w:val="clear" w:color="auto" w:fill="auto"/>
            <w:hideMark/>
          </w:tcPr>
          <w:p w14:paraId="15A6B8BA"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proposed solution must be cloud-native with optional hybrid deployment, supporting both cloud and on-prem components for flexibility in deployment scenarios.</w:t>
            </w:r>
          </w:p>
        </w:tc>
        <w:tc>
          <w:tcPr>
            <w:tcW w:w="613" w:type="pct"/>
            <w:tcBorders>
              <w:top w:val="nil"/>
              <w:left w:val="nil"/>
              <w:bottom w:val="single" w:sz="4" w:space="0" w:color="auto"/>
              <w:right w:val="single" w:sz="4" w:space="0" w:color="auto"/>
            </w:tcBorders>
            <w:shd w:val="clear" w:color="FFFFFF" w:fill="FFFFFF"/>
            <w:hideMark/>
          </w:tcPr>
          <w:p w14:paraId="38096E92"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5CE396F4"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149F68C7" w14:textId="77777777" w:rsidTr="00E73613">
        <w:trPr>
          <w:trHeight w:val="510"/>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2FE46C5E"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2</w:t>
            </w:r>
          </w:p>
        </w:tc>
        <w:tc>
          <w:tcPr>
            <w:tcW w:w="3359" w:type="pct"/>
            <w:tcBorders>
              <w:top w:val="nil"/>
              <w:left w:val="nil"/>
              <w:bottom w:val="single" w:sz="4" w:space="0" w:color="auto"/>
              <w:right w:val="single" w:sz="4" w:space="0" w:color="auto"/>
            </w:tcBorders>
            <w:shd w:val="clear" w:color="auto" w:fill="auto"/>
            <w:hideMark/>
          </w:tcPr>
          <w:p w14:paraId="691E11D6" w14:textId="7482A410"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xml:space="preserve">The solution must support encryption in transit and at rest, with compliance to industry standards such as FIPS 140-2, ISO 19790 or any other </w:t>
            </w:r>
            <w:r w:rsidR="00426FCC" w:rsidRPr="00985D46">
              <w:rPr>
                <w:rFonts w:ascii="Calibri" w:eastAsia="Times New Roman" w:hAnsi="Calibri" w:cs="Calibri"/>
                <w:color w:val="000000"/>
                <w:sz w:val="20"/>
                <w:szCs w:val="20"/>
                <w:lang w:val="en-GB" w:eastAsia="en-GB"/>
              </w:rPr>
              <w:t>equivalent</w:t>
            </w:r>
            <w:r w:rsidRPr="00985D46">
              <w:rPr>
                <w:rFonts w:ascii="Calibri" w:eastAsia="Times New Roman" w:hAnsi="Calibri" w:cs="Calibri"/>
                <w:color w:val="000000"/>
                <w:sz w:val="20"/>
                <w:szCs w:val="20"/>
                <w:lang w:val="en-GB" w:eastAsia="en-GB"/>
              </w:rPr>
              <w:t xml:space="preserve"> standard, ensuring secure integration with the bank's infrastructure.</w:t>
            </w:r>
          </w:p>
        </w:tc>
        <w:tc>
          <w:tcPr>
            <w:tcW w:w="613" w:type="pct"/>
            <w:tcBorders>
              <w:top w:val="nil"/>
              <w:left w:val="nil"/>
              <w:bottom w:val="single" w:sz="4" w:space="0" w:color="auto"/>
              <w:right w:val="single" w:sz="4" w:space="0" w:color="auto"/>
            </w:tcBorders>
            <w:shd w:val="clear" w:color="FFFFFF" w:fill="FFFFFF"/>
            <w:hideMark/>
          </w:tcPr>
          <w:p w14:paraId="419F27B8"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11C383AE"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36719F19" w14:textId="77777777" w:rsidTr="00E73613">
        <w:trPr>
          <w:trHeight w:val="510"/>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42836778"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3</w:t>
            </w:r>
          </w:p>
        </w:tc>
        <w:tc>
          <w:tcPr>
            <w:tcW w:w="3359" w:type="pct"/>
            <w:tcBorders>
              <w:top w:val="nil"/>
              <w:left w:val="nil"/>
              <w:bottom w:val="single" w:sz="4" w:space="0" w:color="auto"/>
              <w:right w:val="single" w:sz="4" w:space="0" w:color="auto"/>
            </w:tcBorders>
            <w:shd w:val="clear" w:color="auto" w:fill="auto"/>
            <w:hideMark/>
          </w:tcPr>
          <w:p w14:paraId="462543E1"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system must allow for the estimation of Maximum Tolerable Period of Disruption (MTPD), Recovery Time Objectives (RTO), and Recovery Point Objectives (RPO) for each business process.</w:t>
            </w:r>
          </w:p>
        </w:tc>
        <w:tc>
          <w:tcPr>
            <w:tcW w:w="613" w:type="pct"/>
            <w:tcBorders>
              <w:top w:val="nil"/>
              <w:left w:val="nil"/>
              <w:bottom w:val="single" w:sz="4" w:space="0" w:color="auto"/>
              <w:right w:val="single" w:sz="4" w:space="0" w:color="auto"/>
            </w:tcBorders>
            <w:shd w:val="clear" w:color="FFFFFF" w:fill="FFFFFF"/>
            <w:hideMark/>
          </w:tcPr>
          <w:p w14:paraId="1EA9EE0D"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781E1DFE"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3F5FEBAC" w14:textId="77777777" w:rsidTr="00E73613">
        <w:trPr>
          <w:trHeight w:val="510"/>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3FF14571"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4</w:t>
            </w:r>
          </w:p>
        </w:tc>
        <w:tc>
          <w:tcPr>
            <w:tcW w:w="3359" w:type="pct"/>
            <w:tcBorders>
              <w:top w:val="nil"/>
              <w:left w:val="nil"/>
              <w:bottom w:val="single" w:sz="4" w:space="0" w:color="auto"/>
              <w:right w:val="single" w:sz="4" w:space="0" w:color="auto"/>
            </w:tcBorders>
            <w:shd w:val="clear" w:color="auto" w:fill="auto"/>
            <w:hideMark/>
          </w:tcPr>
          <w:p w14:paraId="2601E535"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solution should include automated response capabilities, such as sandboxing, isolating, or diverting attackers, with customizable containment policies and integration with SIEM and SOAR tools.</w:t>
            </w:r>
          </w:p>
        </w:tc>
        <w:tc>
          <w:tcPr>
            <w:tcW w:w="613" w:type="pct"/>
            <w:tcBorders>
              <w:top w:val="nil"/>
              <w:left w:val="nil"/>
              <w:bottom w:val="single" w:sz="4" w:space="0" w:color="auto"/>
              <w:right w:val="single" w:sz="4" w:space="0" w:color="auto"/>
            </w:tcBorders>
            <w:shd w:val="clear" w:color="FFFFFF" w:fill="FFFFFF"/>
            <w:hideMark/>
          </w:tcPr>
          <w:p w14:paraId="31C2DDF9"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1BCA6A62"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201CB84A" w14:textId="77777777" w:rsidTr="00E73613">
        <w:trPr>
          <w:trHeight w:val="510"/>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5DE0F68E"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5</w:t>
            </w:r>
          </w:p>
        </w:tc>
        <w:tc>
          <w:tcPr>
            <w:tcW w:w="3359" w:type="pct"/>
            <w:tcBorders>
              <w:top w:val="nil"/>
              <w:left w:val="nil"/>
              <w:bottom w:val="single" w:sz="4" w:space="0" w:color="auto"/>
              <w:right w:val="single" w:sz="4" w:space="0" w:color="auto"/>
            </w:tcBorders>
            <w:shd w:val="clear" w:color="FFFFFF" w:fill="FFFFFF"/>
            <w:hideMark/>
          </w:tcPr>
          <w:p w14:paraId="1A5F93F5"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To ensure the maturity and stability of the platform, all the features and functionalities of the proposed solutions must be present from day one.</w:t>
            </w:r>
          </w:p>
        </w:tc>
        <w:tc>
          <w:tcPr>
            <w:tcW w:w="613" w:type="pct"/>
            <w:tcBorders>
              <w:top w:val="nil"/>
              <w:left w:val="nil"/>
              <w:bottom w:val="single" w:sz="4" w:space="0" w:color="auto"/>
              <w:right w:val="single" w:sz="4" w:space="0" w:color="auto"/>
            </w:tcBorders>
            <w:shd w:val="clear" w:color="FFFFFF" w:fill="FFFFFF"/>
            <w:hideMark/>
          </w:tcPr>
          <w:p w14:paraId="5FBBE6D5"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4693687F"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2AF0D495" w14:textId="77777777" w:rsidTr="00E73613">
        <w:trPr>
          <w:trHeight w:val="255"/>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08D6B4CB"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6</w:t>
            </w:r>
          </w:p>
        </w:tc>
        <w:tc>
          <w:tcPr>
            <w:tcW w:w="3359" w:type="pct"/>
            <w:tcBorders>
              <w:top w:val="nil"/>
              <w:left w:val="nil"/>
              <w:bottom w:val="single" w:sz="4" w:space="0" w:color="auto"/>
              <w:right w:val="single" w:sz="4" w:space="0" w:color="auto"/>
            </w:tcBorders>
            <w:shd w:val="clear" w:color="auto" w:fill="auto"/>
            <w:hideMark/>
          </w:tcPr>
          <w:p w14:paraId="2FE29548"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Decoy solution should be able to replicate Bank’s existing infra components or similar components.</w:t>
            </w:r>
          </w:p>
        </w:tc>
        <w:tc>
          <w:tcPr>
            <w:tcW w:w="613" w:type="pct"/>
            <w:tcBorders>
              <w:top w:val="nil"/>
              <w:left w:val="nil"/>
              <w:bottom w:val="single" w:sz="4" w:space="0" w:color="auto"/>
              <w:right w:val="single" w:sz="4" w:space="0" w:color="auto"/>
            </w:tcBorders>
            <w:shd w:val="clear" w:color="FFFFFF" w:fill="FFFFFF"/>
            <w:hideMark/>
          </w:tcPr>
          <w:p w14:paraId="2285B437"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7E5F5946"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261D8FEB" w14:textId="77777777" w:rsidTr="00E73613">
        <w:trPr>
          <w:trHeight w:val="765"/>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74181F3C"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7</w:t>
            </w:r>
          </w:p>
        </w:tc>
        <w:tc>
          <w:tcPr>
            <w:tcW w:w="3359" w:type="pct"/>
            <w:tcBorders>
              <w:top w:val="nil"/>
              <w:left w:val="nil"/>
              <w:bottom w:val="single" w:sz="4" w:space="0" w:color="auto"/>
              <w:right w:val="single" w:sz="4" w:space="0" w:color="auto"/>
            </w:tcBorders>
            <w:shd w:val="clear" w:color="auto" w:fill="auto"/>
            <w:hideMark/>
          </w:tcPr>
          <w:p w14:paraId="5C732918"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Solution should comprise of low interaction honeypot, medium interaction honeypot as well as high interaction honeypot. The solution should be capable of providing both virtual and physical honeypots. The solution should provide firewalls decoy, IDS/IPS decoy, WAF decoy &amp; MZ decoy for LB, web server and a separate DMZ to deploy decoy Application and DB servers.</w:t>
            </w:r>
          </w:p>
        </w:tc>
        <w:tc>
          <w:tcPr>
            <w:tcW w:w="613" w:type="pct"/>
            <w:tcBorders>
              <w:top w:val="nil"/>
              <w:left w:val="nil"/>
              <w:bottom w:val="single" w:sz="4" w:space="0" w:color="auto"/>
              <w:right w:val="single" w:sz="4" w:space="0" w:color="auto"/>
            </w:tcBorders>
            <w:shd w:val="clear" w:color="FFFFFF" w:fill="FFFFFF"/>
            <w:hideMark/>
          </w:tcPr>
          <w:p w14:paraId="48FC77ED"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1891A2C1"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0E9C4BEC" w14:textId="77777777" w:rsidTr="00E73613">
        <w:trPr>
          <w:trHeight w:val="255"/>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572700FD"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8</w:t>
            </w:r>
          </w:p>
        </w:tc>
        <w:tc>
          <w:tcPr>
            <w:tcW w:w="3359" w:type="pct"/>
            <w:tcBorders>
              <w:top w:val="nil"/>
              <w:left w:val="nil"/>
              <w:bottom w:val="single" w:sz="4" w:space="0" w:color="auto"/>
              <w:right w:val="single" w:sz="4" w:space="0" w:color="auto"/>
            </w:tcBorders>
            <w:shd w:val="clear" w:color="auto" w:fill="auto"/>
            <w:hideMark/>
          </w:tcPr>
          <w:p w14:paraId="0E5DC2DA"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VMs with Windows, Linux, Unix (different flavors) server can be used as part of solution to simulate such trap environment.</w:t>
            </w:r>
          </w:p>
        </w:tc>
        <w:tc>
          <w:tcPr>
            <w:tcW w:w="613" w:type="pct"/>
            <w:tcBorders>
              <w:top w:val="nil"/>
              <w:left w:val="nil"/>
              <w:bottom w:val="single" w:sz="4" w:space="0" w:color="auto"/>
              <w:right w:val="single" w:sz="4" w:space="0" w:color="auto"/>
            </w:tcBorders>
            <w:shd w:val="clear" w:color="FFFFFF" w:fill="FFFFFF"/>
            <w:hideMark/>
          </w:tcPr>
          <w:p w14:paraId="3E08EFF9"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77EB07EF"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3D94FA79" w14:textId="77777777" w:rsidTr="00E73613">
        <w:trPr>
          <w:trHeight w:val="510"/>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1D194606"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9</w:t>
            </w:r>
          </w:p>
        </w:tc>
        <w:tc>
          <w:tcPr>
            <w:tcW w:w="3359" w:type="pct"/>
            <w:tcBorders>
              <w:top w:val="nil"/>
              <w:left w:val="nil"/>
              <w:bottom w:val="single" w:sz="4" w:space="0" w:color="auto"/>
              <w:right w:val="single" w:sz="4" w:space="0" w:color="auto"/>
            </w:tcBorders>
            <w:shd w:val="clear" w:color="auto" w:fill="auto"/>
            <w:hideMark/>
          </w:tcPr>
          <w:p w14:paraId="6DA00AE0"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Solution deployment must ensure that, it should be near impossible for the attacker to differentiate amongst real and trap systems (decoys).</w:t>
            </w:r>
          </w:p>
        </w:tc>
        <w:tc>
          <w:tcPr>
            <w:tcW w:w="613" w:type="pct"/>
            <w:tcBorders>
              <w:top w:val="nil"/>
              <w:left w:val="nil"/>
              <w:bottom w:val="single" w:sz="4" w:space="0" w:color="auto"/>
              <w:right w:val="single" w:sz="4" w:space="0" w:color="auto"/>
            </w:tcBorders>
            <w:shd w:val="clear" w:color="FFFFFF" w:fill="FFFFFF"/>
            <w:hideMark/>
          </w:tcPr>
          <w:p w14:paraId="2FCE2425"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124D6128"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7A3CAE8A" w14:textId="77777777" w:rsidTr="00E73613">
        <w:trPr>
          <w:trHeight w:val="510"/>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1759BD9D"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10</w:t>
            </w:r>
          </w:p>
        </w:tc>
        <w:tc>
          <w:tcPr>
            <w:tcW w:w="3359" w:type="pct"/>
            <w:tcBorders>
              <w:top w:val="nil"/>
              <w:left w:val="nil"/>
              <w:bottom w:val="single" w:sz="4" w:space="0" w:color="auto"/>
              <w:right w:val="single" w:sz="4" w:space="0" w:color="auto"/>
            </w:tcBorders>
            <w:shd w:val="clear" w:color="auto" w:fill="auto"/>
            <w:hideMark/>
          </w:tcPr>
          <w:p w14:paraId="68CBF8B7"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It should be able to capture network scanning attempts, application vulnerability exploitation, OS scan, Malwares, malicious file hashes, system hijack etc.</w:t>
            </w:r>
          </w:p>
        </w:tc>
        <w:tc>
          <w:tcPr>
            <w:tcW w:w="613" w:type="pct"/>
            <w:tcBorders>
              <w:top w:val="nil"/>
              <w:left w:val="nil"/>
              <w:bottom w:val="single" w:sz="4" w:space="0" w:color="auto"/>
              <w:right w:val="single" w:sz="4" w:space="0" w:color="auto"/>
            </w:tcBorders>
            <w:shd w:val="clear" w:color="FFFFFF" w:fill="FFFFFF"/>
            <w:hideMark/>
          </w:tcPr>
          <w:p w14:paraId="741165A9"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5A75F4C9"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49110B00" w14:textId="77777777" w:rsidTr="00E73613">
        <w:trPr>
          <w:trHeight w:val="1020"/>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0500D714"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11</w:t>
            </w:r>
          </w:p>
        </w:tc>
        <w:tc>
          <w:tcPr>
            <w:tcW w:w="3359" w:type="pct"/>
            <w:tcBorders>
              <w:top w:val="nil"/>
              <w:left w:val="nil"/>
              <w:bottom w:val="single" w:sz="4" w:space="0" w:color="auto"/>
              <w:right w:val="single" w:sz="4" w:space="0" w:color="auto"/>
            </w:tcBorders>
            <w:shd w:val="clear" w:color="auto" w:fill="auto"/>
            <w:hideMark/>
          </w:tcPr>
          <w:p w14:paraId="0C47BFF5"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decoys should be scientifically placed in multiple subnets, so the hackers will encounter them in the process of trying to find valuable information. When the hackers try to access the decoys, a silent alert should be raised, and full forensics related to the attack should be collected. Decoy should be able to capture details such as attack vector used, attack methodology, tools used for attack, source of the attack etc</w:t>
            </w:r>
          </w:p>
        </w:tc>
        <w:tc>
          <w:tcPr>
            <w:tcW w:w="613" w:type="pct"/>
            <w:tcBorders>
              <w:top w:val="nil"/>
              <w:left w:val="nil"/>
              <w:bottom w:val="single" w:sz="4" w:space="0" w:color="auto"/>
              <w:right w:val="single" w:sz="4" w:space="0" w:color="auto"/>
            </w:tcBorders>
            <w:shd w:val="clear" w:color="FFFFFF" w:fill="FFFFFF"/>
            <w:hideMark/>
          </w:tcPr>
          <w:p w14:paraId="379BDB7E"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7140412B"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4314651C" w14:textId="77777777" w:rsidTr="00E73613">
        <w:trPr>
          <w:trHeight w:val="255"/>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2DDFECEC"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12</w:t>
            </w:r>
          </w:p>
        </w:tc>
        <w:tc>
          <w:tcPr>
            <w:tcW w:w="3359" w:type="pct"/>
            <w:tcBorders>
              <w:top w:val="nil"/>
              <w:left w:val="nil"/>
              <w:bottom w:val="single" w:sz="4" w:space="0" w:color="auto"/>
              <w:right w:val="single" w:sz="4" w:space="0" w:color="auto"/>
            </w:tcBorders>
            <w:shd w:val="clear" w:color="auto" w:fill="auto"/>
            <w:hideMark/>
          </w:tcPr>
          <w:p w14:paraId="0290DF1F"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solution based on the learnings should suggest solution to mitigate the risk.</w:t>
            </w:r>
          </w:p>
        </w:tc>
        <w:tc>
          <w:tcPr>
            <w:tcW w:w="613" w:type="pct"/>
            <w:tcBorders>
              <w:top w:val="nil"/>
              <w:left w:val="nil"/>
              <w:bottom w:val="single" w:sz="4" w:space="0" w:color="auto"/>
              <w:right w:val="single" w:sz="4" w:space="0" w:color="auto"/>
            </w:tcBorders>
            <w:shd w:val="clear" w:color="FFFFFF" w:fill="FFFFFF"/>
            <w:hideMark/>
          </w:tcPr>
          <w:p w14:paraId="0ACC6362"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5E0D6624"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61944C5D" w14:textId="77777777" w:rsidTr="00E73613">
        <w:trPr>
          <w:trHeight w:val="765"/>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0077BF43"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13</w:t>
            </w:r>
          </w:p>
        </w:tc>
        <w:tc>
          <w:tcPr>
            <w:tcW w:w="3359" w:type="pct"/>
            <w:tcBorders>
              <w:top w:val="nil"/>
              <w:left w:val="nil"/>
              <w:bottom w:val="single" w:sz="4" w:space="0" w:color="auto"/>
              <w:right w:val="single" w:sz="4" w:space="0" w:color="auto"/>
            </w:tcBorders>
            <w:shd w:val="clear" w:color="auto" w:fill="auto"/>
            <w:hideMark/>
          </w:tcPr>
          <w:p w14:paraId="0CF129E3"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decoy should act as real servers, desktops, files, users accounts, applications like SWIFT/NEFT/RTGS/Core banking, Internet Banking, Mobile Banking, Loan Systems, ATM Switch and any other system available in the Banks overall IT ecosystem by using them as traps.</w:t>
            </w:r>
          </w:p>
        </w:tc>
        <w:tc>
          <w:tcPr>
            <w:tcW w:w="613" w:type="pct"/>
            <w:tcBorders>
              <w:top w:val="nil"/>
              <w:left w:val="nil"/>
              <w:bottom w:val="single" w:sz="4" w:space="0" w:color="auto"/>
              <w:right w:val="single" w:sz="4" w:space="0" w:color="auto"/>
            </w:tcBorders>
            <w:shd w:val="clear" w:color="FFFFFF" w:fill="FFFFFF"/>
            <w:hideMark/>
          </w:tcPr>
          <w:p w14:paraId="1AE093F4"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3498B63F"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4C3D6D03" w14:textId="77777777" w:rsidTr="00E73613">
        <w:trPr>
          <w:trHeight w:val="510"/>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11427A32"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14</w:t>
            </w:r>
          </w:p>
        </w:tc>
        <w:tc>
          <w:tcPr>
            <w:tcW w:w="3359" w:type="pct"/>
            <w:tcBorders>
              <w:top w:val="nil"/>
              <w:left w:val="nil"/>
              <w:bottom w:val="single" w:sz="4" w:space="0" w:color="auto"/>
              <w:right w:val="single" w:sz="4" w:space="0" w:color="auto"/>
            </w:tcBorders>
            <w:shd w:val="clear" w:color="auto" w:fill="auto"/>
            <w:hideMark/>
          </w:tcPr>
          <w:p w14:paraId="3E568943"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solution should identify signature, behavior patterns and should also provide effective approach in detecting advanced attacks including malware-less attacks, bot attacks etc. that can circumvent existing preventive controls.</w:t>
            </w:r>
          </w:p>
        </w:tc>
        <w:tc>
          <w:tcPr>
            <w:tcW w:w="613" w:type="pct"/>
            <w:tcBorders>
              <w:top w:val="nil"/>
              <w:left w:val="nil"/>
              <w:bottom w:val="single" w:sz="4" w:space="0" w:color="auto"/>
              <w:right w:val="single" w:sz="4" w:space="0" w:color="auto"/>
            </w:tcBorders>
            <w:shd w:val="clear" w:color="FFFFFF" w:fill="FFFFFF"/>
            <w:hideMark/>
          </w:tcPr>
          <w:p w14:paraId="18DC928E"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60EF0270"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530A8B2A" w14:textId="77777777" w:rsidTr="00E73613">
        <w:trPr>
          <w:trHeight w:val="1020"/>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6B8BDC43"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15</w:t>
            </w:r>
          </w:p>
        </w:tc>
        <w:tc>
          <w:tcPr>
            <w:tcW w:w="3359" w:type="pct"/>
            <w:tcBorders>
              <w:top w:val="nil"/>
              <w:left w:val="nil"/>
              <w:bottom w:val="single" w:sz="4" w:space="0" w:color="auto"/>
              <w:right w:val="single" w:sz="4" w:space="0" w:color="auto"/>
            </w:tcBorders>
            <w:shd w:val="clear" w:color="auto" w:fill="auto"/>
            <w:hideMark/>
          </w:tcPr>
          <w:p w14:paraId="6F8DDDD0"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proposed Deception solution should be seamlessly integrate with the Bank’s Active Directory and with SIEM solutions and should provide monitoring and network visibility as well as early detection of attacks while keeping false positives to almost nil as well as any other security solutions so as to take intended action to block or take action against the affected assets and any other existing or future solution, as required by the Bank.</w:t>
            </w:r>
          </w:p>
        </w:tc>
        <w:tc>
          <w:tcPr>
            <w:tcW w:w="613" w:type="pct"/>
            <w:tcBorders>
              <w:top w:val="nil"/>
              <w:left w:val="nil"/>
              <w:bottom w:val="single" w:sz="4" w:space="0" w:color="auto"/>
              <w:right w:val="single" w:sz="4" w:space="0" w:color="auto"/>
            </w:tcBorders>
            <w:shd w:val="clear" w:color="FFFFFF" w:fill="FFFFFF"/>
            <w:hideMark/>
          </w:tcPr>
          <w:p w14:paraId="30836EEC"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3D431F0A"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48122D82" w14:textId="77777777" w:rsidTr="00E73613">
        <w:trPr>
          <w:trHeight w:val="255"/>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56899D81"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16</w:t>
            </w:r>
          </w:p>
        </w:tc>
        <w:tc>
          <w:tcPr>
            <w:tcW w:w="3359" w:type="pct"/>
            <w:tcBorders>
              <w:top w:val="nil"/>
              <w:left w:val="nil"/>
              <w:bottom w:val="single" w:sz="4" w:space="0" w:color="auto"/>
              <w:right w:val="single" w:sz="4" w:space="0" w:color="auto"/>
            </w:tcBorders>
            <w:shd w:val="clear" w:color="auto" w:fill="auto"/>
            <w:hideMark/>
          </w:tcPr>
          <w:p w14:paraId="786C3022"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Solution should be able to generate actionable intelligence and should be able to integrate with existing threat intel platform</w:t>
            </w:r>
          </w:p>
        </w:tc>
        <w:tc>
          <w:tcPr>
            <w:tcW w:w="613" w:type="pct"/>
            <w:tcBorders>
              <w:top w:val="nil"/>
              <w:left w:val="nil"/>
              <w:bottom w:val="single" w:sz="4" w:space="0" w:color="auto"/>
              <w:right w:val="single" w:sz="4" w:space="0" w:color="auto"/>
            </w:tcBorders>
            <w:shd w:val="clear" w:color="FFFFFF" w:fill="FFFFFF"/>
            <w:hideMark/>
          </w:tcPr>
          <w:p w14:paraId="697F731F"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59706652"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5DA896FB" w14:textId="77777777" w:rsidTr="00E73613">
        <w:trPr>
          <w:trHeight w:val="255"/>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7C68A645"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17</w:t>
            </w:r>
          </w:p>
        </w:tc>
        <w:tc>
          <w:tcPr>
            <w:tcW w:w="3359" w:type="pct"/>
            <w:tcBorders>
              <w:top w:val="nil"/>
              <w:left w:val="nil"/>
              <w:bottom w:val="single" w:sz="4" w:space="0" w:color="auto"/>
              <w:right w:val="single" w:sz="4" w:space="0" w:color="auto"/>
            </w:tcBorders>
            <w:shd w:val="clear" w:color="auto" w:fill="auto"/>
            <w:hideMark/>
          </w:tcPr>
          <w:p w14:paraId="55BFA14C"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Solution should have Centralized Management Console with customizable dashboard and role-based admin.</w:t>
            </w:r>
          </w:p>
        </w:tc>
        <w:tc>
          <w:tcPr>
            <w:tcW w:w="613" w:type="pct"/>
            <w:tcBorders>
              <w:top w:val="nil"/>
              <w:left w:val="nil"/>
              <w:bottom w:val="single" w:sz="4" w:space="0" w:color="auto"/>
              <w:right w:val="single" w:sz="4" w:space="0" w:color="auto"/>
            </w:tcBorders>
            <w:shd w:val="clear" w:color="FFFFFF" w:fill="FFFFFF"/>
            <w:hideMark/>
          </w:tcPr>
          <w:p w14:paraId="339BC0BE"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793E1495"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70858ABF" w14:textId="77777777" w:rsidTr="00E73613">
        <w:trPr>
          <w:trHeight w:val="510"/>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27B508F5"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18</w:t>
            </w:r>
          </w:p>
        </w:tc>
        <w:tc>
          <w:tcPr>
            <w:tcW w:w="3359" w:type="pct"/>
            <w:tcBorders>
              <w:top w:val="nil"/>
              <w:left w:val="nil"/>
              <w:bottom w:val="single" w:sz="4" w:space="0" w:color="auto"/>
              <w:right w:val="single" w:sz="4" w:space="0" w:color="auto"/>
            </w:tcBorders>
            <w:shd w:val="clear" w:color="auto" w:fill="auto"/>
            <w:hideMark/>
          </w:tcPr>
          <w:p w14:paraId="67255673"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In case of complete compromise of decoy solution, it should still not be able to launch attack on to the other system within the environment.</w:t>
            </w:r>
          </w:p>
        </w:tc>
        <w:tc>
          <w:tcPr>
            <w:tcW w:w="613" w:type="pct"/>
            <w:tcBorders>
              <w:top w:val="nil"/>
              <w:left w:val="nil"/>
              <w:bottom w:val="single" w:sz="4" w:space="0" w:color="auto"/>
              <w:right w:val="single" w:sz="4" w:space="0" w:color="auto"/>
            </w:tcBorders>
            <w:shd w:val="clear" w:color="FFFFFF" w:fill="FFFFFF"/>
            <w:hideMark/>
          </w:tcPr>
          <w:p w14:paraId="1E726381"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25600AA8"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6719FF10" w14:textId="77777777" w:rsidTr="00E73613">
        <w:trPr>
          <w:trHeight w:val="510"/>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4E28B8AC"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19</w:t>
            </w:r>
          </w:p>
        </w:tc>
        <w:tc>
          <w:tcPr>
            <w:tcW w:w="3359" w:type="pct"/>
            <w:tcBorders>
              <w:top w:val="nil"/>
              <w:left w:val="nil"/>
              <w:bottom w:val="single" w:sz="4" w:space="0" w:color="auto"/>
              <w:right w:val="single" w:sz="4" w:space="0" w:color="auto"/>
            </w:tcBorders>
            <w:shd w:val="clear" w:color="auto" w:fill="auto"/>
            <w:hideMark/>
          </w:tcPr>
          <w:p w14:paraId="0B417EEC"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Ability to detect all types of attack vectors including but not limited to: pre-attack reconnaissance, zero-day attacks, privilege escalation, lateral movement and data-theft</w:t>
            </w:r>
          </w:p>
        </w:tc>
        <w:tc>
          <w:tcPr>
            <w:tcW w:w="613" w:type="pct"/>
            <w:tcBorders>
              <w:top w:val="nil"/>
              <w:left w:val="nil"/>
              <w:bottom w:val="single" w:sz="4" w:space="0" w:color="auto"/>
              <w:right w:val="single" w:sz="4" w:space="0" w:color="auto"/>
            </w:tcBorders>
            <w:shd w:val="clear" w:color="FFFFFF" w:fill="FFFFFF"/>
            <w:hideMark/>
          </w:tcPr>
          <w:p w14:paraId="6AAECE71"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4F32B36B"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5E144AC3" w14:textId="77777777" w:rsidTr="00E73613">
        <w:trPr>
          <w:trHeight w:val="510"/>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6B5AF7EE"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20</w:t>
            </w:r>
          </w:p>
        </w:tc>
        <w:tc>
          <w:tcPr>
            <w:tcW w:w="3359" w:type="pct"/>
            <w:tcBorders>
              <w:top w:val="nil"/>
              <w:left w:val="nil"/>
              <w:bottom w:val="single" w:sz="4" w:space="0" w:color="auto"/>
              <w:right w:val="single" w:sz="4" w:space="0" w:color="auto"/>
            </w:tcBorders>
            <w:shd w:val="clear" w:color="auto" w:fill="auto"/>
            <w:hideMark/>
          </w:tcPr>
          <w:p w14:paraId="1BE64D9D"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solution must have the ability to visually replay past events on an interactive fluid dashboard that show all decoy elements and attacker details.</w:t>
            </w:r>
          </w:p>
        </w:tc>
        <w:tc>
          <w:tcPr>
            <w:tcW w:w="613" w:type="pct"/>
            <w:tcBorders>
              <w:top w:val="nil"/>
              <w:left w:val="nil"/>
              <w:bottom w:val="single" w:sz="4" w:space="0" w:color="auto"/>
              <w:right w:val="single" w:sz="4" w:space="0" w:color="auto"/>
            </w:tcBorders>
            <w:shd w:val="clear" w:color="FFFFFF" w:fill="FFFFFF"/>
            <w:hideMark/>
          </w:tcPr>
          <w:p w14:paraId="6D3C4617"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3C59DA30"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6841DEE4" w14:textId="77777777" w:rsidTr="00E73613">
        <w:trPr>
          <w:trHeight w:val="510"/>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4B850730"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21</w:t>
            </w:r>
          </w:p>
        </w:tc>
        <w:tc>
          <w:tcPr>
            <w:tcW w:w="3359" w:type="pct"/>
            <w:tcBorders>
              <w:top w:val="nil"/>
              <w:left w:val="nil"/>
              <w:bottom w:val="single" w:sz="4" w:space="0" w:color="auto"/>
              <w:right w:val="single" w:sz="4" w:space="0" w:color="auto"/>
            </w:tcBorders>
            <w:shd w:val="clear" w:color="auto" w:fill="auto"/>
            <w:hideMark/>
          </w:tcPr>
          <w:p w14:paraId="497188F0"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Solution must allow visual dissection of the PCAP traffic and preserve all network traffic to and from the decoys while having the ability to export PCAPs based on a time filter.</w:t>
            </w:r>
          </w:p>
        </w:tc>
        <w:tc>
          <w:tcPr>
            <w:tcW w:w="613" w:type="pct"/>
            <w:tcBorders>
              <w:top w:val="nil"/>
              <w:left w:val="nil"/>
              <w:bottom w:val="single" w:sz="4" w:space="0" w:color="auto"/>
              <w:right w:val="single" w:sz="4" w:space="0" w:color="auto"/>
            </w:tcBorders>
            <w:shd w:val="clear" w:color="FFFFFF" w:fill="FFFFFF"/>
            <w:hideMark/>
          </w:tcPr>
          <w:p w14:paraId="239F4A7D"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30F95515"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5C5D6710" w14:textId="77777777" w:rsidTr="00E73613">
        <w:trPr>
          <w:trHeight w:val="255"/>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4210CFFB"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22</w:t>
            </w:r>
          </w:p>
        </w:tc>
        <w:tc>
          <w:tcPr>
            <w:tcW w:w="3359" w:type="pct"/>
            <w:tcBorders>
              <w:top w:val="nil"/>
              <w:left w:val="nil"/>
              <w:bottom w:val="single" w:sz="4" w:space="0" w:color="auto"/>
              <w:right w:val="single" w:sz="4" w:space="0" w:color="auto"/>
            </w:tcBorders>
            <w:shd w:val="clear" w:color="auto" w:fill="auto"/>
            <w:hideMark/>
          </w:tcPr>
          <w:p w14:paraId="1A07B364"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Solution must use a numeric risk score for an attacker based on dynamic analysis of attacker behavior.</w:t>
            </w:r>
          </w:p>
        </w:tc>
        <w:tc>
          <w:tcPr>
            <w:tcW w:w="613" w:type="pct"/>
            <w:tcBorders>
              <w:top w:val="nil"/>
              <w:left w:val="nil"/>
              <w:bottom w:val="single" w:sz="4" w:space="0" w:color="auto"/>
              <w:right w:val="single" w:sz="4" w:space="0" w:color="auto"/>
            </w:tcBorders>
            <w:shd w:val="clear" w:color="FFFFFF" w:fill="FFFFFF"/>
            <w:hideMark/>
          </w:tcPr>
          <w:p w14:paraId="3479C9B0"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3F3B2DEB"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7FC3F6EC" w14:textId="77777777" w:rsidTr="00E73613">
        <w:trPr>
          <w:trHeight w:val="510"/>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0647B0B9"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23</w:t>
            </w:r>
          </w:p>
        </w:tc>
        <w:tc>
          <w:tcPr>
            <w:tcW w:w="3359" w:type="pct"/>
            <w:tcBorders>
              <w:top w:val="nil"/>
              <w:left w:val="nil"/>
              <w:bottom w:val="single" w:sz="4" w:space="0" w:color="auto"/>
              <w:right w:val="single" w:sz="4" w:space="0" w:color="auto"/>
            </w:tcBorders>
            <w:shd w:val="clear" w:color="auto" w:fill="auto"/>
            <w:hideMark/>
          </w:tcPr>
          <w:p w14:paraId="07536FDE"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system must have the ability to save and share custom views filtered based on time and any event metadata for analyzing specific events. Results of saved queries must be exportable.</w:t>
            </w:r>
          </w:p>
        </w:tc>
        <w:tc>
          <w:tcPr>
            <w:tcW w:w="613" w:type="pct"/>
            <w:tcBorders>
              <w:top w:val="nil"/>
              <w:left w:val="nil"/>
              <w:bottom w:val="single" w:sz="4" w:space="0" w:color="auto"/>
              <w:right w:val="single" w:sz="4" w:space="0" w:color="auto"/>
            </w:tcBorders>
            <w:shd w:val="clear" w:color="FFFFFF" w:fill="FFFFFF"/>
            <w:hideMark/>
          </w:tcPr>
          <w:p w14:paraId="26F75624"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79B06948"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29B4D2EE" w14:textId="77777777" w:rsidTr="00E73613">
        <w:trPr>
          <w:trHeight w:val="510"/>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1BE4C109"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24</w:t>
            </w:r>
          </w:p>
        </w:tc>
        <w:tc>
          <w:tcPr>
            <w:tcW w:w="3359" w:type="pct"/>
            <w:tcBorders>
              <w:top w:val="nil"/>
              <w:left w:val="nil"/>
              <w:bottom w:val="single" w:sz="4" w:space="0" w:color="auto"/>
              <w:right w:val="single" w:sz="4" w:space="0" w:color="auto"/>
            </w:tcBorders>
            <w:shd w:val="clear" w:color="auto" w:fill="auto"/>
            <w:hideMark/>
          </w:tcPr>
          <w:p w14:paraId="31CE2F24"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solution must have the ability to reconstruct raw attack data into plain English attack analysis. It must also provide attacker / APT group attribution, mitigation recommendations, MITRE mapping within the user interface for the analyst.</w:t>
            </w:r>
          </w:p>
        </w:tc>
        <w:tc>
          <w:tcPr>
            <w:tcW w:w="613" w:type="pct"/>
            <w:tcBorders>
              <w:top w:val="nil"/>
              <w:left w:val="nil"/>
              <w:bottom w:val="single" w:sz="4" w:space="0" w:color="auto"/>
              <w:right w:val="single" w:sz="4" w:space="0" w:color="auto"/>
            </w:tcBorders>
            <w:shd w:val="clear" w:color="FFFFFF" w:fill="FFFFFF"/>
            <w:hideMark/>
          </w:tcPr>
          <w:p w14:paraId="4DF34CBF"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09D41EF8"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3273CEFD" w14:textId="77777777" w:rsidTr="00E73613">
        <w:trPr>
          <w:trHeight w:val="765"/>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190CCF34"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25</w:t>
            </w:r>
          </w:p>
        </w:tc>
        <w:tc>
          <w:tcPr>
            <w:tcW w:w="3359" w:type="pct"/>
            <w:tcBorders>
              <w:top w:val="nil"/>
              <w:left w:val="nil"/>
              <w:bottom w:val="single" w:sz="4" w:space="0" w:color="auto"/>
              <w:right w:val="single" w:sz="4" w:space="0" w:color="auto"/>
            </w:tcBorders>
            <w:shd w:val="clear" w:color="auto" w:fill="auto"/>
            <w:hideMark/>
          </w:tcPr>
          <w:p w14:paraId="1B75B018"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Measures to enhance deception strength of decoys should be in place like- Decoys should be integrated with the real Active Directory domain and should not use a domain trust relationship between a dummy Active Directory and the real Active Directory domain that hackers can easily discover.</w:t>
            </w:r>
          </w:p>
        </w:tc>
        <w:tc>
          <w:tcPr>
            <w:tcW w:w="613" w:type="pct"/>
            <w:tcBorders>
              <w:top w:val="nil"/>
              <w:left w:val="nil"/>
              <w:bottom w:val="single" w:sz="4" w:space="0" w:color="auto"/>
              <w:right w:val="single" w:sz="4" w:space="0" w:color="auto"/>
            </w:tcBorders>
            <w:shd w:val="clear" w:color="FFFFFF" w:fill="FFFFFF"/>
            <w:hideMark/>
          </w:tcPr>
          <w:p w14:paraId="0CF15706"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21A42D8A"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6E395DFA" w14:textId="77777777" w:rsidTr="00E73613">
        <w:trPr>
          <w:trHeight w:val="510"/>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1FD8A12B"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26</w:t>
            </w:r>
          </w:p>
        </w:tc>
        <w:tc>
          <w:tcPr>
            <w:tcW w:w="3359" w:type="pct"/>
            <w:tcBorders>
              <w:top w:val="nil"/>
              <w:left w:val="nil"/>
              <w:bottom w:val="single" w:sz="4" w:space="0" w:color="auto"/>
              <w:right w:val="single" w:sz="4" w:space="0" w:color="auto"/>
            </w:tcBorders>
            <w:shd w:val="clear" w:color="auto" w:fill="auto"/>
            <w:hideMark/>
          </w:tcPr>
          <w:p w14:paraId="54ABBF9E"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Ability to embed lures on real endpoints, without using an agent, in the form of unique dummy credentials that lead attackers on to decoy systems. They must be able to trigger action on Bank defined and configurable activities.</w:t>
            </w:r>
          </w:p>
        </w:tc>
        <w:tc>
          <w:tcPr>
            <w:tcW w:w="613" w:type="pct"/>
            <w:tcBorders>
              <w:top w:val="nil"/>
              <w:left w:val="nil"/>
              <w:bottom w:val="single" w:sz="4" w:space="0" w:color="auto"/>
              <w:right w:val="single" w:sz="4" w:space="0" w:color="auto"/>
            </w:tcBorders>
            <w:shd w:val="clear" w:color="FFFFFF" w:fill="FFFFFF"/>
            <w:hideMark/>
          </w:tcPr>
          <w:p w14:paraId="5BE2F7CC"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2D49406D"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62B7CAC4" w14:textId="77777777" w:rsidTr="00E73613">
        <w:trPr>
          <w:trHeight w:val="255"/>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29D72B7E"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27</w:t>
            </w:r>
          </w:p>
        </w:tc>
        <w:tc>
          <w:tcPr>
            <w:tcW w:w="3359" w:type="pct"/>
            <w:tcBorders>
              <w:top w:val="nil"/>
              <w:left w:val="nil"/>
              <w:bottom w:val="single" w:sz="4" w:space="0" w:color="auto"/>
              <w:right w:val="single" w:sz="4" w:space="0" w:color="auto"/>
            </w:tcBorders>
            <w:shd w:val="clear" w:color="auto" w:fill="auto"/>
            <w:hideMark/>
          </w:tcPr>
          <w:p w14:paraId="3EAC5B5D"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solution must support geo location of external threats.</w:t>
            </w:r>
          </w:p>
        </w:tc>
        <w:tc>
          <w:tcPr>
            <w:tcW w:w="613" w:type="pct"/>
            <w:tcBorders>
              <w:top w:val="nil"/>
              <w:left w:val="nil"/>
              <w:bottom w:val="single" w:sz="4" w:space="0" w:color="auto"/>
              <w:right w:val="single" w:sz="4" w:space="0" w:color="auto"/>
            </w:tcBorders>
            <w:shd w:val="clear" w:color="FFFFFF" w:fill="FFFFFF"/>
            <w:hideMark/>
          </w:tcPr>
          <w:p w14:paraId="7539C969"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44F0BE0D"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0480760D" w14:textId="77777777" w:rsidTr="00E73613">
        <w:trPr>
          <w:trHeight w:val="1020"/>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3FEABD6F"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28</w:t>
            </w:r>
          </w:p>
        </w:tc>
        <w:tc>
          <w:tcPr>
            <w:tcW w:w="3359" w:type="pct"/>
            <w:tcBorders>
              <w:top w:val="nil"/>
              <w:left w:val="nil"/>
              <w:bottom w:val="single" w:sz="4" w:space="0" w:color="auto"/>
              <w:right w:val="single" w:sz="4" w:space="0" w:color="auto"/>
            </w:tcBorders>
            <w:shd w:val="clear" w:color="auto" w:fill="auto"/>
            <w:hideMark/>
          </w:tcPr>
          <w:p w14:paraId="2B722B4F"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Deception platform should automatically fill network decoys with realistic auto-generated enticing content containing folders and files pertaining to all business verticals. The number of folders and files to generate and the file creation dates (oldest to newest) should be configurable. The files generated should be a combination of terms relating to specific verticals as well as predefined keyboards defined by organization.</w:t>
            </w:r>
          </w:p>
        </w:tc>
        <w:tc>
          <w:tcPr>
            <w:tcW w:w="613" w:type="pct"/>
            <w:tcBorders>
              <w:top w:val="nil"/>
              <w:left w:val="nil"/>
              <w:bottom w:val="single" w:sz="4" w:space="0" w:color="auto"/>
              <w:right w:val="single" w:sz="4" w:space="0" w:color="auto"/>
            </w:tcBorders>
            <w:shd w:val="clear" w:color="FFFFFF" w:fill="FFFFFF"/>
            <w:hideMark/>
          </w:tcPr>
          <w:p w14:paraId="55F44353"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16C7A7E3"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5F8B2F42" w14:textId="77777777" w:rsidTr="00E73613">
        <w:trPr>
          <w:trHeight w:val="255"/>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4F3D883E"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29</w:t>
            </w:r>
          </w:p>
        </w:tc>
        <w:tc>
          <w:tcPr>
            <w:tcW w:w="3359" w:type="pct"/>
            <w:tcBorders>
              <w:top w:val="nil"/>
              <w:left w:val="nil"/>
              <w:bottom w:val="single" w:sz="4" w:space="0" w:color="auto"/>
              <w:right w:val="single" w:sz="4" w:space="0" w:color="auto"/>
            </w:tcBorders>
            <w:shd w:val="clear" w:color="auto" w:fill="auto"/>
            <w:hideMark/>
          </w:tcPr>
          <w:p w14:paraId="06A0A338"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Real times alerts to be generated via email and user console, based on preset or custom notification rules.</w:t>
            </w:r>
          </w:p>
        </w:tc>
        <w:tc>
          <w:tcPr>
            <w:tcW w:w="613" w:type="pct"/>
            <w:tcBorders>
              <w:top w:val="nil"/>
              <w:left w:val="nil"/>
              <w:bottom w:val="single" w:sz="4" w:space="0" w:color="auto"/>
              <w:right w:val="single" w:sz="4" w:space="0" w:color="auto"/>
            </w:tcBorders>
            <w:shd w:val="clear" w:color="FFFFFF" w:fill="FFFFFF"/>
            <w:hideMark/>
          </w:tcPr>
          <w:p w14:paraId="5BA25603"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7DCA938B"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2C15229F" w14:textId="77777777" w:rsidTr="00E73613">
        <w:trPr>
          <w:trHeight w:val="510"/>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79A0E93D"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30</w:t>
            </w:r>
          </w:p>
        </w:tc>
        <w:tc>
          <w:tcPr>
            <w:tcW w:w="3359" w:type="pct"/>
            <w:tcBorders>
              <w:top w:val="nil"/>
              <w:left w:val="nil"/>
              <w:bottom w:val="single" w:sz="4" w:space="0" w:color="auto"/>
              <w:right w:val="single" w:sz="4" w:space="0" w:color="auto"/>
            </w:tcBorders>
            <w:shd w:val="clear" w:color="auto" w:fill="auto"/>
            <w:hideMark/>
          </w:tcPr>
          <w:p w14:paraId="2D20C970"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For security, the base operating platform (host operating platform on which the decoys run) of the deception appliance should not be on Linux or Windows which are prone to regular remotely exploitable vulnerabilities.</w:t>
            </w:r>
          </w:p>
        </w:tc>
        <w:tc>
          <w:tcPr>
            <w:tcW w:w="613" w:type="pct"/>
            <w:tcBorders>
              <w:top w:val="nil"/>
              <w:left w:val="nil"/>
              <w:bottom w:val="single" w:sz="4" w:space="0" w:color="auto"/>
              <w:right w:val="single" w:sz="4" w:space="0" w:color="auto"/>
            </w:tcBorders>
            <w:shd w:val="clear" w:color="FFFFFF" w:fill="FFFFFF"/>
            <w:hideMark/>
          </w:tcPr>
          <w:p w14:paraId="5DDCA654"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74E5B9C8"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5CE57CF3" w14:textId="77777777" w:rsidTr="00E73613">
        <w:trPr>
          <w:trHeight w:val="1020"/>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41DDF611"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31</w:t>
            </w:r>
          </w:p>
        </w:tc>
        <w:tc>
          <w:tcPr>
            <w:tcW w:w="3359" w:type="pct"/>
            <w:tcBorders>
              <w:top w:val="nil"/>
              <w:left w:val="nil"/>
              <w:bottom w:val="single" w:sz="4" w:space="0" w:color="auto"/>
              <w:right w:val="single" w:sz="4" w:space="0" w:color="auto"/>
            </w:tcBorders>
            <w:shd w:val="clear" w:color="auto" w:fill="auto"/>
            <w:hideMark/>
          </w:tcPr>
          <w:p w14:paraId="7B35CEE0"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When an event occurs, the solution should have built in orchestration to take specific actions based on preset or user specified rules that can be specified on any event meta-data. The rule engine should support multiple Boolean and logical conditions to appropriately orchestrate the response. (Ability to integrate with GRC tool and SOAR platform may be also made a part of the same, to void duplicity and effectiveness of counter response)</w:t>
            </w:r>
          </w:p>
        </w:tc>
        <w:tc>
          <w:tcPr>
            <w:tcW w:w="613" w:type="pct"/>
            <w:tcBorders>
              <w:top w:val="nil"/>
              <w:left w:val="nil"/>
              <w:bottom w:val="single" w:sz="4" w:space="0" w:color="auto"/>
              <w:right w:val="single" w:sz="4" w:space="0" w:color="auto"/>
            </w:tcBorders>
            <w:shd w:val="clear" w:color="FFFFFF" w:fill="FFFFFF"/>
            <w:hideMark/>
          </w:tcPr>
          <w:p w14:paraId="5A4E6C5F"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0DA0623D"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315553C8" w14:textId="77777777" w:rsidTr="00E73613">
        <w:trPr>
          <w:trHeight w:val="255"/>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6AF7585B"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32</w:t>
            </w:r>
          </w:p>
        </w:tc>
        <w:tc>
          <w:tcPr>
            <w:tcW w:w="3359" w:type="pct"/>
            <w:tcBorders>
              <w:top w:val="nil"/>
              <w:left w:val="nil"/>
              <w:bottom w:val="single" w:sz="4" w:space="0" w:color="auto"/>
              <w:right w:val="single" w:sz="4" w:space="0" w:color="auto"/>
            </w:tcBorders>
            <w:shd w:val="clear" w:color="auto" w:fill="auto"/>
            <w:hideMark/>
          </w:tcPr>
          <w:p w14:paraId="2E059259"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Decoys must be very robust and shall never interfere with business functions/ objectives of the setup where they are placed.</w:t>
            </w:r>
          </w:p>
        </w:tc>
        <w:tc>
          <w:tcPr>
            <w:tcW w:w="613" w:type="pct"/>
            <w:tcBorders>
              <w:top w:val="nil"/>
              <w:left w:val="nil"/>
              <w:bottom w:val="single" w:sz="4" w:space="0" w:color="auto"/>
              <w:right w:val="single" w:sz="4" w:space="0" w:color="auto"/>
            </w:tcBorders>
            <w:shd w:val="clear" w:color="FFFFFF" w:fill="FFFFFF"/>
            <w:hideMark/>
          </w:tcPr>
          <w:p w14:paraId="26CC1A67"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7F1DB27D"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6551D6EF" w14:textId="77777777" w:rsidTr="00E73613">
        <w:trPr>
          <w:trHeight w:val="510"/>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317BE890"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33</w:t>
            </w:r>
          </w:p>
        </w:tc>
        <w:tc>
          <w:tcPr>
            <w:tcW w:w="3359" w:type="pct"/>
            <w:tcBorders>
              <w:top w:val="nil"/>
              <w:left w:val="nil"/>
              <w:bottom w:val="single" w:sz="4" w:space="0" w:color="auto"/>
              <w:right w:val="single" w:sz="4" w:space="0" w:color="auto"/>
            </w:tcBorders>
            <w:shd w:val="clear" w:color="auto" w:fill="auto"/>
            <w:hideMark/>
          </w:tcPr>
          <w:p w14:paraId="7995AC08"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Honeypot should be able to store attack data, visualize attack data. It should have capability of threat hunting and search (CVE-Search, IP based search, Port based search, Hash value based search etc.)</w:t>
            </w:r>
          </w:p>
        </w:tc>
        <w:tc>
          <w:tcPr>
            <w:tcW w:w="613" w:type="pct"/>
            <w:tcBorders>
              <w:top w:val="nil"/>
              <w:left w:val="nil"/>
              <w:bottom w:val="single" w:sz="4" w:space="0" w:color="auto"/>
              <w:right w:val="single" w:sz="4" w:space="0" w:color="auto"/>
            </w:tcBorders>
            <w:shd w:val="clear" w:color="FFFFFF" w:fill="FFFFFF"/>
            <w:hideMark/>
          </w:tcPr>
          <w:p w14:paraId="7DF5B94C"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56D28554"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2DF00F4F" w14:textId="77777777" w:rsidTr="00E73613">
        <w:trPr>
          <w:trHeight w:val="255"/>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0FAF6C7D"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34</w:t>
            </w:r>
          </w:p>
        </w:tc>
        <w:tc>
          <w:tcPr>
            <w:tcW w:w="3359" w:type="pct"/>
            <w:tcBorders>
              <w:top w:val="nil"/>
              <w:left w:val="nil"/>
              <w:bottom w:val="single" w:sz="4" w:space="0" w:color="auto"/>
              <w:right w:val="single" w:sz="4" w:space="0" w:color="auto"/>
            </w:tcBorders>
            <w:shd w:val="clear" w:color="auto" w:fill="auto"/>
            <w:hideMark/>
          </w:tcPr>
          <w:p w14:paraId="57E1ACD5"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Solution should be able to generate customized reports (monthly, weekly, daily etc.), dashboards etc.</w:t>
            </w:r>
          </w:p>
        </w:tc>
        <w:tc>
          <w:tcPr>
            <w:tcW w:w="613" w:type="pct"/>
            <w:tcBorders>
              <w:top w:val="nil"/>
              <w:left w:val="nil"/>
              <w:bottom w:val="single" w:sz="4" w:space="0" w:color="auto"/>
              <w:right w:val="single" w:sz="4" w:space="0" w:color="auto"/>
            </w:tcBorders>
            <w:shd w:val="clear" w:color="FFFFFF" w:fill="FFFFFF"/>
            <w:hideMark/>
          </w:tcPr>
          <w:p w14:paraId="07B054C7"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12B11144"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7A811BED" w14:textId="77777777" w:rsidTr="00E73613">
        <w:trPr>
          <w:trHeight w:val="255"/>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6D88069D"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35</w:t>
            </w:r>
          </w:p>
        </w:tc>
        <w:tc>
          <w:tcPr>
            <w:tcW w:w="3359" w:type="pct"/>
            <w:tcBorders>
              <w:top w:val="nil"/>
              <w:left w:val="nil"/>
              <w:bottom w:val="single" w:sz="4" w:space="0" w:color="auto"/>
              <w:right w:val="single" w:sz="4" w:space="0" w:color="auto"/>
            </w:tcBorders>
            <w:shd w:val="clear" w:color="auto" w:fill="auto"/>
            <w:hideMark/>
          </w:tcPr>
          <w:p w14:paraId="1672A8BA"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Placement within DC &amp; DR</w:t>
            </w:r>
          </w:p>
        </w:tc>
        <w:tc>
          <w:tcPr>
            <w:tcW w:w="613" w:type="pct"/>
            <w:tcBorders>
              <w:top w:val="nil"/>
              <w:left w:val="nil"/>
              <w:bottom w:val="single" w:sz="4" w:space="0" w:color="auto"/>
              <w:right w:val="single" w:sz="4" w:space="0" w:color="auto"/>
            </w:tcBorders>
            <w:shd w:val="clear" w:color="FFFFFF" w:fill="FFFFFF"/>
            <w:hideMark/>
          </w:tcPr>
          <w:p w14:paraId="47BFAC6E"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1F46CF08"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55B54F8D" w14:textId="77777777" w:rsidTr="00E73613">
        <w:trPr>
          <w:trHeight w:val="510"/>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461951E0"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36</w:t>
            </w:r>
          </w:p>
        </w:tc>
        <w:tc>
          <w:tcPr>
            <w:tcW w:w="3359" w:type="pct"/>
            <w:tcBorders>
              <w:top w:val="nil"/>
              <w:left w:val="nil"/>
              <w:bottom w:val="single" w:sz="4" w:space="0" w:color="auto"/>
              <w:right w:val="single" w:sz="4" w:space="0" w:color="auto"/>
            </w:tcBorders>
            <w:shd w:val="clear" w:color="auto" w:fill="auto"/>
            <w:hideMark/>
          </w:tcPr>
          <w:p w14:paraId="5466E51A"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Solution must provide built in signature detection for 'known bad' events and must be updated with the latest emerging threat signatures.</w:t>
            </w:r>
          </w:p>
        </w:tc>
        <w:tc>
          <w:tcPr>
            <w:tcW w:w="613" w:type="pct"/>
            <w:tcBorders>
              <w:top w:val="nil"/>
              <w:left w:val="nil"/>
              <w:bottom w:val="single" w:sz="4" w:space="0" w:color="auto"/>
              <w:right w:val="single" w:sz="4" w:space="0" w:color="auto"/>
            </w:tcBorders>
            <w:shd w:val="clear" w:color="FFFFFF" w:fill="FFFFFF"/>
            <w:hideMark/>
          </w:tcPr>
          <w:p w14:paraId="0A6FF169"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038D1041"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7BB08C3D" w14:textId="77777777" w:rsidTr="00E73613">
        <w:trPr>
          <w:trHeight w:val="510"/>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27B9A812"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37</w:t>
            </w:r>
          </w:p>
        </w:tc>
        <w:tc>
          <w:tcPr>
            <w:tcW w:w="3359" w:type="pct"/>
            <w:tcBorders>
              <w:top w:val="nil"/>
              <w:left w:val="nil"/>
              <w:bottom w:val="single" w:sz="4" w:space="0" w:color="auto"/>
              <w:right w:val="single" w:sz="4" w:space="0" w:color="auto"/>
            </w:tcBorders>
            <w:shd w:val="clear" w:color="auto" w:fill="auto"/>
            <w:hideMark/>
          </w:tcPr>
          <w:p w14:paraId="187177D5"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Decoys created should be added as computer objects to the real Active Directory domain and should not use a domain trust relationship between a dummy Active Directory and the real Active Directory domain that hackers can easily discover.</w:t>
            </w:r>
          </w:p>
        </w:tc>
        <w:tc>
          <w:tcPr>
            <w:tcW w:w="613" w:type="pct"/>
            <w:tcBorders>
              <w:top w:val="nil"/>
              <w:left w:val="nil"/>
              <w:bottom w:val="single" w:sz="4" w:space="0" w:color="auto"/>
              <w:right w:val="single" w:sz="4" w:space="0" w:color="auto"/>
            </w:tcBorders>
            <w:shd w:val="clear" w:color="FFFFFF" w:fill="FFFFFF"/>
            <w:hideMark/>
          </w:tcPr>
          <w:p w14:paraId="540EF02F"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5C2111B1"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3BBA8CDD" w14:textId="77777777" w:rsidTr="00E73613">
        <w:trPr>
          <w:trHeight w:val="510"/>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3F00F14D"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38</w:t>
            </w:r>
          </w:p>
        </w:tc>
        <w:tc>
          <w:tcPr>
            <w:tcW w:w="3359" w:type="pct"/>
            <w:tcBorders>
              <w:top w:val="nil"/>
              <w:left w:val="nil"/>
              <w:bottom w:val="single" w:sz="4" w:space="0" w:color="auto"/>
              <w:right w:val="single" w:sz="4" w:space="0" w:color="auto"/>
            </w:tcBorders>
            <w:shd w:val="clear" w:color="auto" w:fill="auto"/>
            <w:hideMark/>
          </w:tcPr>
          <w:p w14:paraId="2235FB9A"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Deception platform must be capable of creating file decoys that are deployed on real systems and agentlessly trigger alerts not only when opened but also when copied, modified and deleted</w:t>
            </w:r>
          </w:p>
        </w:tc>
        <w:tc>
          <w:tcPr>
            <w:tcW w:w="613" w:type="pct"/>
            <w:tcBorders>
              <w:top w:val="nil"/>
              <w:left w:val="nil"/>
              <w:bottom w:val="single" w:sz="4" w:space="0" w:color="auto"/>
              <w:right w:val="single" w:sz="4" w:space="0" w:color="auto"/>
            </w:tcBorders>
            <w:shd w:val="clear" w:color="FFFFFF" w:fill="FFFFFF"/>
            <w:hideMark/>
          </w:tcPr>
          <w:p w14:paraId="0C021A9D"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47C3C071"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6E44CE0E" w14:textId="77777777" w:rsidTr="00E73613">
        <w:trPr>
          <w:trHeight w:val="510"/>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7EBABDA4"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39</w:t>
            </w:r>
          </w:p>
        </w:tc>
        <w:tc>
          <w:tcPr>
            <w:tcW w:w="3359" w:type="pct"/>
            <w:tcBorders>
              <w:top w:val="nil"/>
              <w:left w:val="nil"/>
              <w:bottom w:val="single" w:sz="4" w:space="0" w:color="auto"/>
              <w:right w:val="single" w:sz="4" w:space="0" w:color="auto"/>
            </w:tcBorders>
            <w:shd w:val="clear" w:color="auto" w:fill="auto"/>
            <w:hideMark/>
          </w:tcPr>
          <w:p w14:paraId="5D0A4818"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solution should have the ability to capture commands executed for hi-interaction SSH connections on Linux decoys without any instrumentation processes or agents running within the decoys.</w:t>
            </w:r>
          </w:p>
        </w:tc>
        <w:tc>
          <w:tcPr>
            <w:tcW w:w="613" w:type="pct"/>
            <w:tcBorders>
              <w:top w:val="nil"/>
              <w:left w:val="nil"/>
              <w:bottom w:val="single" w:sz="4" w:space="0" w:color="auto"/>
              <w:right w:val="single" w:sz="4" w:space="0" w:color="auto"/>
            </w:tcBorders>
            <w:shd w:val="clear" w:color="FFFFFF" w:fill="FFFFFF"/>
            <w:hideMark/>
          </w:tcPr>
          <w:p w14:paraId="6E7CA2F2"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3E842323"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7A9BC9BD" w14:textId="77777777" w:rsidTr="00E73613">
        <w:trPr>
          <w:trHeight w:val="1020"/>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60A1CED8"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40</w:t>
            </w:r>
          </w:p>
        </w:tc>
        <w:tc>
          <w:tcPr>
            <w:tcW w:w="3359" w:type="pct"/>
            <w:tcBorders>
              <w:top w:val="nil"/>
              <w:left w:val="nil"/>
              <w:bottom w:val="single" w:sz="4" w:space="0" w:color="auto"/>
              <w:right w:val="single" w:sz="4" w:space="0" w:color="auto"/>
            </w:tcBorders>
            <w:shd w:val="clear" w:color="auto" w:fill="auto"/>
            <w:hideMark/>
          </w:tcPr>
          <w:p w14:paraId="3A8913B4"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Deception platform should automatically fill network decoys with realistic auto-generated enticing content containing folders and files pertaining to specific business verticals like Finance, Legal, HR, IT etc. The number of folders and files to generate and the file creation dates (oldest to newest) should be configurable. The files generated should be a combination of terms relating to specific verticals as well as pre-configured keywords related to the organisation.</w:t>
            </w:r>
          </w:p>
        </w:tc>
        <w:tc>
          <w:tcPr>
            <w:tcW w:w="613" w:type="pct"/>
            <w:tcBorders>
              <w:top w:val="nil"/>
              <w:left w:val="nil"/>
              <w:bottom w:val="single" w:sz="4" w:space="0" w:color="auto"/>
              <w:right w:val="single" w:sz="4" w:space="0" w:color="auto"/>
            </w:tcBorders>
            <w:shd w:val="clear" w:color="FFFFFF" w:fill="FFFFFF"/>
            <w:hideMark/>
          </w:tcPr>
          <w:p w14:paraId="37C5B50F"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36BFE408"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4A335DC1" w14:textId="77777777" w:rsidTr="00E73613">
        <w:trPr>
          <w:trHeight w:val="510"/>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459758C3"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41</w:t>
            </w:r>
          </w:p>
        </w:tc>
        <w:tc>
          <w:tcPr>
            <w:tcW w:w="3359" w:type="pct"/>
            <w:tcBorders>
              <w:top w:val="nil"/>
              <w:left w:val="nil"/>
              <w:bottom w:val="single" w:sz="4" w:space="0" w:color="auto"/>
              <w:right w:val="single" w:sz="4" w:space="0" w:color="auto"/>
            </w:tcBorders>
            <w:shd w:val="clear" w:color="auto" w:fill="auto"/>
            <w:hideMark/>
          </w:tcPr>
          <w:p w14:paraId="5A35097B"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solution must include integrated sandboxing capabilities for detonating malwares and files that are being used as part of the attack</w:t>
            </w:r>
          </w:p>
        </w:tc>
        <w:tc>
          <w:tcPr>
            <w:tcW w:w="613" w:type="pct"/>
            <w:tcBorders>
              <w:top w:val="nil"/>
              <w:left w:val="nil"/>
              <w:bottom w:val="single" w:sz="4" w:space="0" w:color="auto"/>
              <w:right w:val="single" w:sz="4" w:space="0" w:color="auto"/>
            </w:tcBorders>
            <w:shd w:val="clear" w:color="FFFFFF" w:fill="FFFFFF"/>
            <w:hideMark/>
          </w:tcPr>
          <w:p w14:paraId="3FB988F4"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4BC7C73D"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2D18EF17" w14:textId="77777777" w:rsidTr="00E73613">
        <w:trPr>
          <w:trHeight w:val="765"/>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2FA092DA"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42</w:t>
            </w:r>
          </w:p>
        </w:tc>
        <w:tc>
          <w:tcPr>
            <w:tcW w:w="3359" w:type="pct"/>
            <w:tcBorders>
              <w:top w:val="nil"/>
              <w:left w:val="nil"/>
              <w:bottom w:val="single" w:sz="4" w:space="0" w:color="auto"/>
              <w:right w:val="single" w:sz="4" w:space="0" w:color="auto"/>
            </w:tcBorders>
            <w:shd w:val="clear" w:color="auto" w:fill="auto"/>
            <w:hideMark/>
          </w:tcPr>
          <w:p w14:paraId="3E2E7197"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Solution should support ability to deploy a Windows Active Directory server as a target instance or integrate the decoys and deceptive Page 55 of 67 users with the production AD. Should have the ability to create deception in the Active Directory (AD), without using the real AD instead of a dummy AD / trust relationship.</w:t>
            </w:r>
          </w:p>
        </w:tc>
        <w:tc>
          <w:tcPr>
            <w:tcW w:w="613" w:type="pct"/>
            <w:tcBorders>
              <w:top w:val="nil"/>
              <w:left w:val="nil"/>
              <w:bottom w:val="single" w:sz="4" w:space="0" w:color="auto"/>
              <w:right w:val="single" w:sz="4" w:space="0" w:color="auto"/>
            </w:tcBorders>
            <w:shd w:val="clear" w:color="FFFFFF" w:fill="FFFFFF"/>
            <w:hideMark/>
          </w:tcPr>
          <w:p w14:paraId="16C870C5"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229AF0E9"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3C868A8A" w14:textId="77777777" w:rsidTr="00E73613">
        <w:trPr>
          <w:trHeight w:val="255"/>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30991408"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43</w:t>
            </w:r>
          </w:p>
        </w:tc>
        <w:tc>
          <w:tcPr>
            <w:tcW w:w="3359" w:type="pct"/>
            <w:tcBorders>
              <w:top w:val="nil"/>
              <w:left w:val="nil"/>
              <w:bottom w:val="single" w:sz="4" w:space="0" w:color="auto"/>
              <w:right w:val="single" w:sz="4" w:space="0" w:color="auto"/>
            </w:tcBorders>
            <w:shd w:val="clear" w:color="auto" w:fill="auto"/>
            <w:hideMark/>
          </w:tcPr>
          <w:p w14:paraId="7BA2461A"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solution should be capable of mimicking other devices like printers, switches, routers, Voice over IP phones and Video Cameras</w:t>
            </w:r>
          </w:p>
        </w:tc>
        <w:tc>
          <w:tcPr>
            <w:tcW w:w="613" w:type="pct"/>
            <w:tcBorders>
              <w:top w:val="nil"/>
              <w:left w:val="nil"/>
              <w:bottom w:val="single" w:sz="4" w:space="0" w:color="auto"/>
              <w:right w:val="single" w:sz="4" w:space="0" w:color="auto"/>
            </w:tcBorders>
            <w:shd w:val="clear" w:color="FFFFFF" w:fill="FFFFFF"/>
            <w:hideMark/>
          </w:tcPr>
          <w:p w14:paraId="1B68536D"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0C55395E"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53203D41" w14:textId="77777777" w:rsidTr="00E73613">
        <w:trPr>
          <w:trHeight w:val="255"/>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107D9D3D"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44</w:t>
            </w:r>
          </w:p>
        </w:tc>
        <w:tc>
          <w:tcPr>
            <w:tcW w:w="3359" w:type="pct"/>
            <w:tcBorders>
              <w:top w:val="nil"/>
              <w:left w:val="nil"/>
              <w:bottom w:val="single" w:sz="4" w:space="0" w:color="auto"/>
              <w:right w:val="single" w:sz="4" w:space="0" w:color="auto"/>
            </w:tcBorders>
            <w:shd w:val="clear" w:color="auto" w:fill="auto"/>
            <w:hideMark/>
          </w:tcPr>
          <w:p w14:paraId="3E05DD1D" w14:textId="034213B0"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xml:space="preserve">Solution should support download of all endpoint deceptive object </w:t>
            </w:r>
            <w:r w:rsidR="00426FCC" w:rsidRPr="00985D46">
              <w:rPr>
                <w:rFonts w:ascii="Calibri" w:eastAsia="Times New Roman" w:hAnsi="Calibri" w:cs="Calibri"/>
                <w:color w:val="000000"/>
                <w:sz w:val="20"/>
                <w:szCs w:val="20"/>
                <w:lang w:val="en-GB" w:eastAsia="en-GB"/>
              </w:rPr>
              <w:t>information</w:t>
            </w:r>
            <w:r w:rsidRPr="00985D46">
              <w:rPr>
                <w:rFonts w:ascii="Calibri" w:eastAsia="Times New Roman" w:hAnsi="Calibri" w:cs="Calibri"/>
                <w:color w:val="000000"/>
                <w:sz w:val="20"/>
                <w:szCs w:val="20"/>
                <w:lang w:val="en-GB" w:eastAsia="en-GB"/>
              </w:rPr>
              <w:t xml:space="preserve"> in CSV file</w:t>
            </w:r>
          </w:p>
        </w:tc>
        <w:tc>
          <w:tcPr>
            <w:tcW w:w="613" w:type="pct"/>
            <w:tcBorders>
              <w:top w:val="nil"/>
              <w:left w:val="nil"/>
              <w:bottom w:val="single" w:sz="4" w:space="0" w:color="auto"/>
              <w:right w:val="single" w:sz="4" w:space="0" w:color="auto"/>
            </w:tcBorders>
            <w:shd w:val="clear" w:color="FFFFFF" w:fill="FFFFFF"/>
            <w:hideMark/>
          </w:tcPr>
          <w:p w14:paraId="020084F8"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68F9D2FE"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34C5A8B9" w14:textId="77777777" w:rsidTr="00E73613">
        <w:trPr>
          <w:trHeight w:val="510"/>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16DAD56F"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45</w:t>
            </w:r>
          </w:p>
        </w:tc>
        <w:tc>
          <w:tcPr>
            <w:tcW w:w="3359" w:type="pct"/>
            <w:tcBorders>
              <w:top w:val="nil"/>
              <w:left w:val="nil"/>
              <w:bottom w:val="single" w:sz="4" w:space="0" w:color="auto"/>
              <w:right w:val="single" w:sz="4" w:space="0" w:color="auto"/>
            </w:tcBorders>
            <w:shd w:val="clear" w:color="auto" w:fill="auto"/>
            <w:hideMark/>
          </w:tcPr>
          <w:p w14:paraId="643ACF99"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Solution should be capable to integrate with firewall on API and isolate the endpoints that are being used for attack or botnet using automated rules.</w:t>
            </w:r>
          </w:p>
        </w:tc>
        <w:tc>
          <w:tcPr>
            <w:tcW w:w="613" w:type="pct"/>
            <w:tcBorders>
              <w:top w:val="nil"/>
              <w:left w:val="nil"/>
              <w:bottom w:val="single" w:sz="4" w:space="0" w:color="auto"/>
              <w:right w:val="single" w:sz="4" w:space="0" w:color="auto"/>
            </w:tcBorders>
            <w:shd w:val="clear" w:color="FFFFFF" w:fill="FFFFFF"/>
            <w:hideMark/>
          </w:tcPr>
          <w:p w14:paraId="3F3B1D57"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59E156A4"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6196D26E" w14:textId="77777777" w:rsidTr="00E73613">
        <w:trPr>
          <w:trHeight w:val="255"/>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1DE67E33"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46</w:t>
            </w:r>
          </w:p>
        </w:tc>
        <w:tc>
          <w:tcPr>
            <w:tcW w:w="3359" w:type="pct"/>
            <w:tcBorders>
              <w:top w:val="nil"/>
              <w:left w:val="nil"/>
              <w:bottom w:val="single" w:sz="4" w:space="0" w:color="auto"/>
              <w:right w:val="single" w:sz="4" w:space="0" w:color="auto"/>
            </w:tcBorders>
            <w:shd w:val="clear" w:color="auto" w:fill="auto"/>
            <w:hideMark/>
          </w:tcPr>
          <w:p w14:paraId="2E843ED3"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solution should have the capability to deploy clients for endpoints spread across branches all over India, through a central tool.</w:t>
            </w:r>
          </w:p>
        </w:tc>
        <w:tc>
          <w:tcPr>
            <w:tcW w:w="613" w:type="pct"/>
            <w:tcBorders>
              <w:top w:val="nil"/>
              <w:left w:val="nil"/>
              <w:bottom w:val="single" w:sz="4" w:space="0" w:color="auto"/>
              <w:right w:val="single" w:sz="4" w:space="0" w:color="auto"/>
            </w:tcBorders>
            <w:shd w:val="clear" w:color="FFFFFF" w:fill="FFFFFF"/>
            <w:hideMark/>
          </w:tcPr>
          <w:p w14:paraId="226AE564"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79EF04C4"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4E8E08E4" w14:textId="77777777" w:rsidTr="00E73613">
        <w:trPr>
          <w:trHeight w:val="255"/>
        </w:trPr>
        <w:tc>
          <w:tcPr>
            <w:tcW w:w="152" w:type="pct"/>
            <w:tcBorders>
              <w:top w:val="nil"/>
              <w:left w:val="single" w:sz="4" w:space="0" w:color="auto"/>
              <w:bottom w:val="single" w:sz="4" w:space="0" w:color="auto"/>
              <w:right w:val="single" w:sz="4" w:space="0" w:color="auto"/>
            </w:tcBorders>
            <w:shd w:val="clear" w:color="000000" w:fill="EFF4FF"/>
            <w:hideMark/>
          </w:tcPr>
          <w:p w14:paraId="7213B048" w14:textId="77777777" w:rsidR="00985D46" w:rsidRPr="00985D46" w:rsidRDefault="00985D46" w:rsidP="00985D46">
            <w:pPr>
              <w:spacing w:after="0" w:line="240" w:lineRule="auto"/>
              <w:jc w:val="center"/>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B</w:t>
            </w:r>
          </w:p>
        </w:tc>
        <w:tc>
          <w:tcPr>
            <w:tcW w:w="3359" w:type="pct"/>
            <w:tcBorders>
              <w:top w:val="nil"/>
              <w:left w:val="nil"/>
              <w:bottom w:val="single" w:sz="4" w:space="0" w:color="auto"/>
              <w:right w:val="single" w:sz="4" w:space="0" w:color="auto"/>
            </w:tcBorders>
            <w:shd w:val="clear" w:color="000000" w:fill="EFF4FF"/>
            <w:hideMark/>
          </w:tcPr>
          <w:p w14:paraId="785EB0B1" w14:textId="77777777" w:rsidR="00985D46" w:rsidRPr="00985D46" w:rsidRDefault="00985D46" w:rsidP="00985D46">
            <w:pPr>
              <w:spacing w:after="0" w:line="240" w:lineRule="auto"/>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Solution Capabilities</w:t>
            </w:r>
          </w:p>
        </w:tc>
        <w:tc>
          <w:tcPr>
            <w:tcW w:w="613" w:type="pct"/>
            <w:tcBorders>
              <w:top w:val="nil"/>
              <w:left w:val="nil"/>
              <w:bottom w:val="single" w:sz="4" w:space="0" w:color="auto"/>
              <w:right w:val="single" w:sz="4" w:space="0" w:color="auto"/>
            </w:tcBorders>
            <w:shd w:val="clear" w:color="000000" w:fill="EFF4FF"/>
            <w:hideMark/>
          </w:tcPr>
          <w:p w14:paraId="63AD5DED" w14:textId="77777777" w:rsidR="00985D46" w:rsidRPr="00985D46" w:rsidRDefault="00985D46" w:rsidP="00985D46">
            <w:pPr>
              <w:spacing w:after="0" w:line="240" w:lineRule="auto"/>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 </w:t>
            </w:r>
          </w:p>
        </w:tc>
        <w:tc>
          <w:tcPr>
            <w:tcW w:w="876" w:type="pct"/>
            <w:tcBorders>
              <w:top w:val="nil"/>
              <w:left w:val="nil"/>
              <w:bottom w:val="single" w:sz="4" w:space="0" w:color="auto"/>
              <w:right w:val="single" w:sz="4" w:space="0" w:color="auto"/>
            </w:tcBorders>
            <w:shd w:val="clear" w:color="000000" w:fill="EFF4FF"/>
            <w:hideMark/>
          </w:tcPr>
          <w:p w14:paraId="0CF92F08" w14:textId="77777777" w:rsidR="00985D46" w:rsidRPr="00985D46" w:rsidRDefault="00985D46" w:rsidP="00985D46">
            <w:pPr>
              <w:spacing w:after="0" w:line="240" w:lineRule="auto"/>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 </w:t>
            </w:r>
          </w:p>
        </w:tc>
      </w:tr>
      <w:tr w:rsidR="00985D46" w:rsidRPr="00985D46" w14:paraId="473EC63C" w14:textId="77777777" w:rsidTr="00E73613">
        <w:trPr>
          <w:trHeight w:val="510"/>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39F7FB81"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47</w:t>
            </w:r>
          </w:p>
        </w:tc>
        <w:tc>
          <w:tcPr>
            <w:tcW w:w="3359" w:type="pct"/>
            <w:tcBorders>
              <w:top w:val="nil"/>
              <w:left w:val="nil"/>
              <w:bottom w:val="single" w:sz="4" w:space="0" w:color="auto"/>
              <w:right w:val="single" w:sz="4" w:space="0" w:color="auto"/>
            </w:tcBorders>
            <w:shd w:val="clear" w:color="FFFFFF" w:fill="FFFFFF"/>
            <w:hideMark/>
          </w:tcPr>
          <w:p w14:paraId="7978542F"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decoys created should be added as computer objects to the real Active Directory domain and should not use a domain trust relationship between a dummy Active Directory and the real Active Directory domain that hackers can easily discover.</w:t>
            </w:r>
          </w:p>
        </w:tc>
        <w:tc>
          <w:tcPr>
            <w:tcW w:w="613" w:type="pct"/>
            <w:tcBorders>
              <w:top w:val="nil"/>
              <w:left w:val="nil"/>
              <w:bottom w:val="single" w:sz="4" w:space="0" w:color="auto"/>
              <w:right w:val="single" w:sz="4" w:space="0" w:color="auto"/>
            </w:tcBorders>
            <w:shd w:val="clear" w:color="FFFFFF" w:fill="FFFFFF"/>
            <w:hideMark/>
          </w:tcPr>
          <w:p w14:paraId="1842847D"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4AE17B2A"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26605276" w14:textId="77777777" w:rsidTr="00E73613">
        <w:trPr>
          <w:trHeight w:val="510"/>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4E47CCAE"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48</w:t>
            </w:r>
          </w:p>
        </w:tc>
        <w:tc>
          <w:tcPr>
            <w:tcW w:w="3359" w:type="pct"/>
            <w:tcBorders>
              <w:top w:val="nil"/>
              <w:left w:val="nil"/>
              <w:bottom w:val="single" w:sz="4" w:space="0" w:color="auto"/>
              <w:right w:val="single" w:sz="4" w:space="0" w:color="auto"/>
            </w:tcBorders>
            <w:shd w:val="clear" w:color="FFFFFF" w:fill="FFFFFF"/>
            <w:hideMark/>
          </w:tcPr>
          <w:p w14:paraId="338403BB"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deception platform must be capable of creating file decoys that are deployed on real systems and trigger alerts not only when opened but also when copied, modified and deleted</w:t>
            </w:r>
          </w:p>
        </w:tc>
        <w:tc>
          <w:tcPr>
            <w:tcW w:w="613" w:type="pct"/>
            <w:tcBorders>
              <w:top w:val="nil"/>
              <w:left w:val="nil"/>
              <w:bottom w:val="single" w:sz="4" w:space="0" w:color="auto"/>
              <w:right w:val="single" w:sz="4" w:space="0" w:color="auto"/>
            </w:tcBorders>
            <w:shd w:val="clear" w:color="FFFFFF" w:fill="FFFFFF"/>
            <w:hideMark/>
          </w:tcPr>
          <w:p w14:paraId="6A8FF293"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2F59E2D8"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3278B1F5" w14:textId="77777777" w:rsidTr="00E73613">
        <w:trPr>
          <w:trHeight w:val="510"/>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5848321C"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49</w:t>
            </w:r>
          </w:p>
        </w:tc>
        <w:tc>
          <w:tcPr>
            <w:tcW w:w="3359" w:type="pct"/>
            <w:tcBorders>
              <w:top w:val="nil"/>
              <w:left w:val="nil"/>
              <w:bottom w:val="single" w:sz="4" w:space="0" w:color="auto"/>
              <w:right w:val="single" w:sz="4" w:space="0" w:color="auto"/>
            </w:tcBorders>
            <w:shd w:val="clear" w:color="auto" w:fill="auto"/>
            <w:hideMark/>
          </w:tcPr>
          <w:p w14:paraId="64B753AE"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solution should capture commands and keystrokes with minimal performance impact, using lightweight, agent / agentless techniques that do not alter the decoy's behavior.</w:t>
            </w:r>
          </w:p>
        </w:tc>
        <w:tc>
          <w:tcPr>
            <w:tcW w:w="613" w:type="pct"/>
            <w:tcBorders>
              <w:top w:val="nil"/>
              <w:left w:val="nil"/>
              <w:bottom w:val="single" w:sz="4" w:space="0" w:color="auto"/>
              <w:right w:val="single" w:sz="4" w:space="0" w:color="auto"/>
            </w:tcBorders>
            <w:shd w:val="clear" w:color="FFFFFF" w:fill="FFFFFF"/>
            <w:hideMark/>
          </w:tcPr>
          <w:p w14:paraId="68122F8C"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1CB6F8EF"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2E94BC41" w14:textId="77777777" w:rsidTr="00E73613">
        <w:trPr>
          <w:trHeight w:val="510"/>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5B4FC245"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50</w:t>
            </w:r>
          </w:p>
        </w:tc>
        <w:tc>
          <w:tcPr>
            <w:tcW w:w="3359" w:type="pct"/>
            <w:tcBorders>
              <w:top w:val="nil"/>
              <w:left w:val="nil"/>
              <w:bottom w:val="single" w:sz="4" w:space="0" w:color="auto"/>
              <w:right w:val="single" w:sz="4" w:space="0" w:color="auto"/>
            </w:tcBorders>
            <w:shd w:val="clear" w:color="auto" w:fill="auto"/>
            <w:hideMark/>
          </w:tcPr>
          <w:p w14:paraId="1DDCA8BC"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solution must support the creation of custom decoy templates via an intuitive interface, with options for A/B testing to optimize decoy effectiveness against different attacker profiles.</w:t>
            </w:r>
          </w:p>
        </w:tc>
        <w:tc>
          <w:tcPr>
            <w:tcW w:w="613" w:type="pct"/>
            <w:tcBorders>
              <w:top w:val="nil"/>
              <w:left w:val="nil"/>
              <w:bottom w:val="single" w:sz="4" w:space="0" w:color="auto"/>
              <w:right w:val="single" w:sz="4" w:space="0" w:color="auto"/>
            </w:tcBorders>
            <w:shd w:val="clear" w:color="FFFFFF" w:fill="FFFFFF"/>
            <w:hideMark/>
          </w:tcPr>
          <w:p w14:paraId="3541FBB4"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3F620634"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2627F832" w14:textId="77777777" w:rsidTr="00E73613">
        <w:trPr>
          <w:trHeight w:val="1020"/>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1B06C868"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51</w:t>
            </w:r>
          </w:p>
        </w:tc>
        <w:tc>
          <w:tcPr>
            <w:tcW w:w="3359" w:type="pct"/>
            <w:tcBorders>
              <w:top w:val="nil"/>
              <w:left w:val="nil"/>
              <w:bottom w:val="single" w:sz="4" w:space="0" w:color="auto"/>
              <w:right w:val="single" w:sz="4" w:space="0" w:color="auto"/>
            </w:tcBorders>
            <w:shd w:val="clear" w:color="FFFFFF" w:fill="FFFFFF"/>
            <w:hideMark/>
          </w:tcPr>
          <w:p w14:paraId="6E42F97F"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proposed solution should have the ability to create specialised internet facing decoys to detect external reconnaissance of internet facing websites. These decoys should only respond to requests on HTTP/HTTPS and only for their requests to the configured domain names. Also, the solution must include advanced analytics for external decoys, capable of identifying and categorizing reconnaissance techniques, and integrating with external threat intelligence feeds.</w:t>
            </w:r>
          </w:p>
        </w:tc>
        <w:tc>
          <w:tcPr>
            <w:tcW w:w="613" w:type="pct"/>
            <w:tcBorders>
              <w:top w:val="nil"/>
              <w:left w:val="nil"/>
              <w:bottom w:val="single" w:sz="4" w:space="0" w:color="auto"/>
              <w:right w:val="single" w:sz="4" w:space="0" w:color="auto"/>
            </w:tcBorders>
            <w:shd w:val="clear" w:color="FFFFFF" w:fill="FFFFFF"/>
            <w:hideMark/>
          </w:tcPr>
          <w:p w14:paraId="1A6A746D"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010133AC"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1AB58E9E" w14:textId="77777777" w:rsidTr="00E73613">
        <w:trPr>
          <w:trHeight w:val="510"/>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66695E2B"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52</w:t>
            </w:r>
          </w:p>
        </w:tc>
        <w:tc>
          <w:tcPr>
            <w:tcW w:w="3359" w:type="pct"/>
            <w:tcBorders>
              <w:top w:val="nil"/>
              <w:left w:val="nil"/>
              <w:bottom w:val="single" w:sz="4" w:space="0" w:color="auto"/>
              <w:right w:val="single" w:sz="4" w:space="0" w:color="auto"/>
            </w:tcBorders>
            <w:shd w:val="clear" w:color="FFFFFF" w:fill="FFFFFF"/>
            <w:hideMark/>
          </w:tcPr>
          <w:p w14:paraId="734E9250"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For authenticity, Linux high-interaction decoys should be one-to-one (the solution should not re-use of a few internal VMs configured with multiple IPs to show multiple decoys).</w:t>
            </w:r>
          </w:p>
        </w:tc>
        <w:tc>
          <w:tcPr>
            <w:tcW w:w="613" w:type="pct"/>
            <w:tcBorders>
              <w:top w:val="nil"/>
              <w:left w:val="nil"/>
              <w:bottom w:val="single" w:sz="4" w:space="0" w:color="auto"/>
              <w:right w:val="single" w:sz="4" w:space="0" w:color="auto"/>
            </w:tcBorders>
            <w:shd w:val="clear" w:color="FFFFFF" w:fill="FFFFFF"/>
            <w:hideMark/>
          </w:tcPr>
          <w:p w14:paraId="285004CB"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20D4B1CB"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29E2F7D5" w14:textId="77777777" w:rsidTr="00E73613">
        <w:trPr>
          <w:trHeight w:val="510"/>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422CFD05"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53</w:t>
            </w:r>
          </w:p>
        </w:tc>
        <w:tc>
          <w:tcPr>
            <w:tcW w:w="3359" w:type="pct"/>
            <w:tcBorders>
              <w:top w:val="nil"/>
              <w:left w:val="nil"/>
              <w:bottom w:val="single" w:sz="4" w:space="0" w:color="auto"/>
              <w:right w:val="single" w:sz="4" w:space="0" w:color="auto"/>
            </w:tcBorders>
            <w:shd w:val="clear" w:color="FFFFFF" w:fill="FFFFFF"/>
            <w:hideMark/>
          </w:tcPr>
          <w:p w14:paraId="52F37671"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solution must have the ability to embed lures on real endpoints in the form of unique dummy credentials that lead attackers on to decoy systems</w:t>
            </w:r>
          </w:p>
        </w:tc>
        <w:tc>
          <w:tcPr>
            <w:tcW w:w="613" w:type="pct"/>
            <w:tcBorders>
              <w:top w:val="nil"/>
              <w:left w:val="nil"/>
              <w:bottom w:val="single" w:sz="4" w:space="0" w:color="auto"/>
              <w:right w:val="single" w:sz="4" w:space="0" w:color="auto"/>
            </w:tcBorders>
            <w:shd w:val="clear" w:color="FFFFFF" w:fill="FFFFFF"/>
            <w:hideMark/>
          </w:tcPr>
          <w:p w14:paraId="6113ADC8"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4AFEBE9A"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5421D755" w14:textId="77777777" w:rsidTr="00E73613">
        <w:trPr>
          <w:trHeight w:val="765"/>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034A70B6"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54</w:t>
            </w:r>
          </w:p>
        </w:tc>
        <w:tc>
          <w:tcPr>
            <w:tcW w:w="3359" w:type="pct"/>
            <w:tcBorders>
              <w:top w:val="nil"/>
              <w:left w:val="nil"/>
              <w:bottom w:val="single" w:sz="4" w:space="0" w:color="auto"/>
              <w:right w:val="single" w:sz="4" w:space="0" w:color="auto"/>
            </w:tcBorders>
            <w:shd w:val="clear" w:color="FFFFFF" w:fill="FFFFFF"/>
            <w:hideMark/>
          </w:tcPr>
          <w:p w14:paraId="59D2B0C9"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endpoint deception agent should be able to deploy custom endpoint decoys on different types of end-users. For this, the solution should be able to identify different types of users (finance/IT/legal/HR/marketing etc.) based on the combination of following selection criteria:</w:t>
            </w:r>
          </w:p>
        </w:tc>
        <w:tc>
          <w:tcPr>
            <w:tcW w:w="613" w:type="pct"/>
            <w:tcBorders>
              <w:top w:val="nil"/>
              <w:left w:val="nil"/>
              <w:bottom w:val="single" w:sz="4" w:space="0" w:color="auto"/>
              <w:right w:val="single" w:sz="4" w:space="0" w:color="auto"/>
            </w:tcBorders>
            <w:shd w:val="clear" w:color="FFFFFF" w:fill="FFFFFF"/>
            <w:hideMark/>
          </w:tcPr>
          <w:p w14:paraId="02D4F17B"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3E40B9BA"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38128F4F" w14:textId="77777777" w:rsidTr="00E73613">
        <w:trPr>
          <w:trHeight w:val="255"/>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314EC2A7"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55</w:t>
            </w:r>
          </w:p>
        </w:tc>
        <w:tc>
          <w:tcPr>
            <w:tcW w:w="3359" w:type="pct"/>
            <w:tcBorders>
              <w:top w:val="nil"/>
              <w:left w:val="nil"/>
              <w:bottom w:val="single" w:sz="4" w:space="0" w:color="auto"/>
              <w:right w:val="single" w:sz="4" w:space="0" w:color="auto"/>
            </w:tcBorders>
            <w:shd w:val="clear" w:color="FFFFFF" w:fill="FFFFFF"/>
            <w:hideMark/>
          </w:tcPr>
          <w:p w14:paraId="358E544A"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Process list on the user's machine</w:t>
            </w:r>
          </w:p>
        </w:tc>
        <w:tc>
          <w:tcPr>
            <w:tcW w:w="613" w:type="pct"/>
            <w:tcBorders>
              <w:top w:val="nil"/>
              <w:left w:val="nil"/>
              <w:bottom w:val="single" w:sz="4" w:space="0" w:color="auto"/>
              <w:right w:val="single" w:sz="4" w:space="0" w:color="auto"/>
            </w:tcBorders>
            <w:shd w:val="clear" w:color="FFFFFF" w:fill="FFFFFF"/>
            <w:hideMark/>
          </w:tcPr>
          <w:p w14:paraId="304469A2"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4B954205"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0802DEF7" w14:textId="77777777" w:rsidTr="00E73613">
        <w:trPr>
          <w:trHeight w:val="255"/>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3B10AD34"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56</w:t>
            </w:r>
          </w:p>
        </w:tc>
        <w:tc>
          <w:tcPr>
            <w:tcW w:w="3359" w:type="pct"/>
            <w:tcBorders>
              <w:top w:val="nil"/>
              <w:left w:val="nil"/>
              <w:bottom w:val="single" w:sz="4" w:space="0" w:color="auto"/>
              <w:right w:val="single" w:sz="4" w:space="0" w:color="auto"/>
            </w:tcBorders>
            <w:shd w:val="clear" w:color="FFFFFF" w:fill="FFFFFF"/>
            <w:hideMark/>
          </w:tcPr>
          <w:p w14:paraId="09D18620"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Browser history</w:t>
            </w:r>
          </w:p>
        </w:tc>
        <w:tc>
          <w:tcPr>
            <w:tcW w:w="613" w:type="pct"/>
            <w:tcBorders>
              <w:top w:val="nil"/>
              <w:left w:val="nil"/>
              <w:bottom w:val="single" w:sz="4" w:space="0" w:color="auto"/>
              <w:right w:val="single" w:sz="4" w:space="0" w:color="auto"/>
            </w:tcBorders>
            <w:shd w:val="clear" w:color="FFFFFF" w:fill="FFFFFF"/>
            <w:hideMark/>
          </w:tcPr>
          <w:p w14:paraId="4613321F"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6976A773"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3D14FC2B" w14:textId="77777777" w:rsidTr="00E73613">
        <w:trPr>
          <w:trHeight w:val="255"/>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71306AB1"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57</w:t>
            </w:r>
          </w:p>
        </w:tc>
        <w:tc>
          <w:tcPr>
            <w:tcW w:w="3359" w:type="pct"/>
            <w:tcBorders>
              <w:top w:val="nil"/>
              <w:left w:val="nil"/>
              <w:bottom w:val="single" w:sz="4" w:space="0" w:color="auto"/>
              <w:right w:val="single" w:sz="4" w:space="0" w:color="auto"/>
            </w:tcBorders>
            <w:shd w:val="clear" w:color="FFFFFF" w:fill="FFFFFF"/>
            <w:hideMark/>
          </w:tcPr>
          <w:p w14:paraId="6979F4A5"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Installed programs</w:t>
            </w:r>
          </w:p>
        </w:tc>
        <w:tc>
          <w:tcPr>
            <w:tcW w:w="613" w:type="pct"/>
            <w:tcBorders>
              <w:top w:val="nil"/>
              <w:left w:val="nil"/>
              <w:bottom w:val="single" w:sz="4" w:space="0" w:color="auto"/>
              <w:right w:val="single" w:sz="4" w:space="0" w:color="auto"/>
            </w:tcBorders>
            <w:shd w:val="clear" w:color="FFFFFF" w:fill="FFFFFF"/>
            <w:hideMark/>
          </w:tcPr>
          <w:p w14:paraId="06AB50F6"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754D99DF"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3366467F" w14:textId="77777777" w:rsidTr="00E73613">
        <w:trPr>
          <w:trHeight w:val="255"/>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691AD6B5"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58</w:t>
            </w:r>
          </w:p>
        </w:tc>
        <w:tc>
          <w:tcPr>
            <w:tcW w:w="3359" w:type="pct"/>
            <w:tcBorders>
              <w:top w:val="nil"/>
              <w:left w:val="nil"/>
              <w:bottom w:val="single" w:sz="4" w:space="0" w:color="auto"/>
              <w:right w:val="single" w:sz="4" w:space="0" w:color="auto"/>
            </w:tcBorders>
            <w:shd w:val="clear" w:color="FFFFFF" w:fill="FFFFFF"/>
            <w:hideMark/>
          </w:tcPr>
          <w:p w14:paraId="45ABDCD5"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Interesting files</w:t>
            </w:r>
          </w:p>
        </w:tc>
        <w:tc>
          <w:tcPr>
            <w:tcW w:w="613" w:type="pct"/>
            <w:tcBorders>
              <w:top w:val="nil"/>
              <w:left w:val="nil"/>
              <w:bottom w:val="single" w:sz="4" w:space="0" w:color="auto"/>
              <w:right w:val="single" w:sz="4" w:space="0" w:color="auto"/>
            </w:tcBorders>
            <w:shd w:val="clear" w:color="FFFFFF" w:fill="FFFFFF"/>
            <w:hideMark/>
          </w:tcPr>
          <w:p w14:paraId="6D43B39D"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594E7EE0"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29368C3F" w14:textId="77777777" w:rsidTr="00E73613">
        <w:trPr>
          <w:trHeight w:val="255"/>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75AB37EC"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59</w:t>
            </w:r>
          </w:p>
        </w:tc>
        <w:tc>
          <w:tcPr>
            <w:tcW w:w="3359" w:type="pct"/>
            <w:tcBorders>
              <w:top w:val="nil"/>
              <w:left w:val="nil"/>
              <w:bottom w:val="single" w:sz="4" w:space="0" w:color="auto"/>
              <w:right w:val="single" w:sz="4" w:space="0" w:color="auto"/>
            </w:tcBorders>
            <w:shd w:val="clear" w:color="FFFFFF" w:fill="FFFFFF"/>
            <w:hideMark/>
          </w:tcPr>
          <w:p w14:paraId="448D4501"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Recent commands</w:t>
            </w:r>
          </w:p>
        </w:tc>
        <w:tc>
          <w:tcPr>
            <w:tcW w:w="613" w:type="pct"/>
            <w:tcBorders>
              <w:top w:val="nil"/>
              <w:left w:val="nil"/>
              <w:bottom w:val="single" w:sz="4" w:space="0" w:color="auto"/>
              <w:right w:val="single" w:sz="4" w:space="0" w:color="auto"/>
            </w:tcBorders>
            <w:shd w:val="clear" w:color="FFFFFF" w:fill="FFFFFF"/>
            <w:hideMark/>
          </w:tcPr>
          <w:p w14:paraId="7A9D2355"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79616A43"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4A93F16E" w14:textId="77777777" w:rsidTr="00E73613">
        <w:trPr>
          <w:trHeight w:val="255"/>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2CAF02C3"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60</w:t>
            </w:r>
          </w:p>
        </w:tc>
        <w:tc>
          <w:tcPr>
            <w:tcW w:w="3359" w:type="pct"/>
            <w:tcBorders>
              <w:top w:val="nil"/>
              <w:left w:val="nil"/>
              <w:bottom w:val="single" w:sz="4" w:space="0" w:color="auto"/>
              <w:right w:val="single" w:sz="4" w:space="0" w:color="auto"/>
            </w:tcBorders>
            <w:shd w:val="clear" w:color="FFFFFF" w:fill="FFFFFF"/>
            <w:hideMark/>
          </w:tcPr>
          <w:p w14:paraId="5109BD51"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Hostname (Specific/RegEx)</w:t>
            </w:r>
          </w:p>
        </w:tc>
        <w:tc>
          <w:tcPr>
            <w:tcW w:w="613" w:type="pct"/>
            <w:tcBorders>
              <w:top w:val="nil"/>
              <w:left w:val="nil"/>
              <w:bottom w:val="single" w:sz="4" w:space="0" w:color="auto"/>
              <w:right w:val="single" w:sz="4" w:space="0" w:color="auto"/>
            </w:tcBorders>
            <w:shd w:val="clear" w:color="FFFFFF" w:fill="FFFFFF"/>
            <w:hideMark/>
          </w:tcPr>
          <w:p w14:paraId="7DB0BB64"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0011EBE9"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3A424E47" w14:textId="77777777" w:rsidTr="00E73613">
        <w:trPr>
          <w:trHeight w:val="255"/>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28A1F41D"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61</w:t>
            </w:r>
          </w:p>
        </w:tc>
        <w:tc>
          <w:tcPr>
            <w:tcW w:w="3359" w:type="pct"/>
            <w:tcBorders>
              <w:top w:val="nil"/>
              <w:left w:val="nil"/>
              <w:bottom w:val="single" w:sz="4" w:space="0" w:color="auto"/>
              <w:right w:val="single" w:sz="4" w:space="0" w:color="auto"/>
            </w:tcBorders>
            <w:shd w:val="clear" w:color="FFFFFF" w:fill="FFFFFF"/>
            <w:hideMark/>
          </w:tcPr>
          <w:p w14:paraId="681EB3E8"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OU that the user belongs to</w:t>
            </w:r>
          </w:p>
        </w:tc>
        <w:tc>
          <w:tcPr>
            <w:tcW w:w="613" w:type="pct"/>
            <w:tcBorders>
              <w:top w:val="nil"/>
              <w:left w:val="nil"/>
              <w:bottom w:val="single" w:sz="4" w:space="0" w:color="auto"/>
              <w:right w:val="single" w:sz="4" w:space="0" w:color="auto"/>
            </w:tcBorders>
            <w:shd w:val="clear" w:color="FFFFFF" w:fill="FFFFFF"/>
            <w:hideMark/>
          </w:tcPr>
          <w:p w14:paraId="7CE8AE09"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0569788C"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1729EEB5" w14:textId="77777777" w:rsidTr="00E73613">
        <w:trPr>
          <w:trHeight w:val="510"/>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1CC1D535"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62</w:t>
            </w:r>
          </w:p>
        </w:tc>
        <w:tc>
          <w:tcPr>
            <w:tcW w:w="3359" w:type="pct"/>
            <w:tcBorders>
              <w:top w:val="nil"/>
              <w:left w:val="nil"/>
              <w:bottom w:val="single" w:sz="4" w:space="0" w:color="auto"/>
              <w:right w:val="single" w:sz="4" w:space="0" w:color="auto"/>
            </w:tcBorders>
            <w:shd w:val="clear" w:color="auto" w:fill="auto"/>
            <w:hideMark/>
          </w:tcPr>
          <w:p w14:paraId="531D1CCF"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All Windows high interaction activity should be logged, not just code execution attempts. High-interaction should not involve transfer of malicious code to a separate analysis VM, but should provide full interactive access to the attacker.</w:t>
            </w:r>
          </w:p>
        </w:tc>
        <w:tc>
          <w:tcPr>
            <w:tcW w:w="613" w:type="pct"/>
            <w:tcBorders>
              <w:top w:val="nil"/>
              <w:left w:val="nil"/>
              <w:bottom w:val="single" w:sz="4" w:space="0" w:color="auto"/>
              <w:right w:val="single" w:sz="4" w:space="0" w:color="auto"/>
            </w:tcBorders>
            <w:shd w:val="clear" w:color="FFFFFF" w:fill="FFFFFF"/>
            <w:hideMark/>
          </w:tcPr>
          <w:p w14:paraId="1EE700C7"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1F158206"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22E8A0C3" w14:textId="77777777" w:rsidTr="00E73613">
        <w:trPr>
          <w:trHeight w:val="1020"/>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3EB75704"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63</w:t>
            </w:r>
          </w:p>
        </w:tc>
        <w:tc>
          <w:tcPr>
            <w:tcW w:w="3359" w:type="pct"/>
            <w:tcBorders>
              <w:top w:val="nil"/>
              <w:left w:val="nil"/>
              <w:bottom w:val="single" w:sz="4" w:space="0" w:color="auto"/>
              <w:right w:val="single" w:sz="4" w:space="0" w:color="auto"/>
            </w:tcBorders>
            <w:shd w:val="clear" w:color="FFFFFF" w:fill="FFFFFF"/>
            <w:hideMark/>
          </w:tcPr>
          <w:p w14:paraId="1A921650"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deception platform should automatically fill network decoys with realistic auto-generated enticing content containing folders and files pertaining to specific business verticals like Finance, Legal, HR, IT etc. The number of folders and files to generate and the file creation dates (oldest to newest) should be configurable. The files generated should be a combination of terms relating to specific verticals as well as pre-configured keywords related to the organisation.</w:t>
            </w:r>
          </w:p>
        </w:tc>
        <w:tc>
          <w:tcPr>
            <w:tcW w:w="613" w:type="pct"/>
            <w:tcBorders>
              <w:top w:val="nil"/>
              <w:left w:val="nil"/>
              <w:bottom w:val="single" w:sz="4" w:space="0" w:color="auto"/>
              <w:right w:val="single" w:sz="4" w:space="0" w:color="auto"/>
            </w:tcBorders>
            <w:shd w:val="clear" w:color="FFFFFF" w:fill="FFFFFF"/>
            <w:hideMark/>
          </w:tcPr>
          <w:p w14:paraId="716EB714"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3F726710"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1BDC15F6" w14:textId="77777777" w:rsidTr="00E73613">
        <w:trPr>
          <w:trHeight w:val="510"/>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516C2B69"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64</w:t>
            </w:r>
          </w:p>
        </w:tc>
        <w:tc>
          <w:tcPr>
            <w:tcW w:w="3359" w:type="pct"/>
            <w:tcBorders>
              <w:top w:val="nil"/>
              <w:left w:val="nil"/>
              <w:bottom w:val="single" w:sz="4" w:space="0" w:color="auto"/>
              <w:right w:val="single" w:sz="4" w:space="0" w:color="auto"/>
            </w:tcBorders>
            <w:shd w:val="clear" w:color="FFFFFF" w:fill="FFFFFF"/>
            <w:hideMark/>
          </w:tcPr>
          <w:p w14:paraId="3DCA3B6E" w14:textId="49E01C7B"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xml:space="preserve">The solution should be able to create multiple decoys with RDP access and show only one </w:t>
            </w:r>
            <w:r w:rsidR="00426FCC" w:rsidRPr="00985D46">
              <w:rPr>
                <w:rFonts w:ascii="Calibri" w:eastAsia="Times New Roman" w:hAnsi="Calibri" w:cs="Calibri"/>
                <w:color w:val="000000"/>
                <w:sz w:val="20"/>
                <w:szCs w:val="20"/>
                <w:lang w:val="en-GB" w:eastAsia="en-GB"/>
              </w:rPr>
              <w:t>network</w:t>
            </w:r>
            <w:r w:rsidRPr="00985D46">
              <w:rPr>
                <w:rFonts w:ascii="Calibri" w:eastAsia="Times New Roman" w:hAnsi="Calibri" w:cs="Calibri"/>
                <w:color w:val="000000"/>
                <w:sz w:val="20"/>
                <w:szCs w:val="20"/>
                <w:lang w:val="en-GB" w:eastAsia="en-GB"/>
              </w:rPr>
              <w:t xml:space="preserve"> Interface in system settings under Windows when connected over RDP.</w:t>
            </w:r>
          </w:p>
        </w:tc>
        <w:tc>
          <w:tcPr>
            <w:tcW w:w="613" w:type="pct"/>
            <w:tcBorders>
              <w:top w:val="nil"/>
              <w:left w:val="nil"/>
              <w:bottom w:val="single" w:sz="4" w:space="0" w:color="auto"/>
              <w:right w:val="single" w:sz="4" w:space="0" w:color="auto"/>
            </w:tcBorders>
            <w:shd w:val="clear" w:color="FFFFFF" w:fill="FFFFFF"/>
            <w:hideMark/>
          </w:tcPr>
          <w:p w14:paraId="1256AE1A"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2261C555"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05BBE987" w14:textId="77777777" w:rsidTr="00E73613">
        <w:trPr>
          <w:trHeight w:val="255"/>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65434E2A"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65</w:t>
            </w:r>
          </w:p>
        </w:tc>
        <w:tc>
          <w:tcPr>
            <w:tcW w:w="3359" w:type="pct"/>
            <w:tcBorders>
              <w:top w:val="nil"/>
              <w:left w:val="nil"/>
              <w:bottom w:val="single" w:sz="4" w:space="0" w:color="auto"/>
              <w:right w:val="single" w:sz="4" w:space="0" w:color="auto"/>
            </w:tcBorders>
            <w:shd w:val="clear" w:color="FFFFFF" w:fill="FFFFFF"/>
            <w:hideMark/>
          </w:tcPr>
          <w:p w14:paraId="621A8C41"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SSH decoys should show the same IP under ifconfig as the one used to connect via the SSH client.</w:t>
            </w:r>
          </w:p>
        </w:tc>
        <w:tc>
          <w:tcPr>
            <w:tcW w:w="613" w:type="pct"/>
            <w:tcBorders>
              <w:top w:val="nil"/>
              <w:left w:val="nil"/>
              <w:bottom w:val="single" w:sz="4" w:space="0" w:color="auto"/>
              <w:right w:val="single" w:sz="4" w:space="0" w:color="auto"/>
            </w:tcBorders>
            <w:shd w:val="clear" w:color="FFFFFF" w:fill="FFFFFF"/>
            <w:hideMark/>
          </w:tcPr>
          <w:p w14:paraId="2F838224"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63246176"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1659D6DA" w14:textId="77777777" w:rsidTr="00E73613">
        <w:trPr>
          <w:trHeight w:val="510"/>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14FA849C"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66</w:t>
            </w:r>
          </w:p>
        </w:tc>
        <w:tc>
          <w:tcPr>
            <w:tcW w:w="3359" w:type="pct"/>
            <w:tcBorders>
              <w:top w:val="nil"/>
              <w:left w:val="nil"/>
              <w:bottom w:val="single" w:sz="4" w:space="0" w:color="auto"/>
              <w:right w:val="single" w:sz="4" w:space="0" w:color="auto"/>
            </w:tcBorders>
            <w:shd w:val="clear" w:color="FFFFFF" w:fill="FFFFFF"/>
            <w:hideMark/>
          </w:tcPr>
          <w:p w14:paraId="69BE20B9"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system should offer customizable templates for various types of exercises, including integration with external simulation tools, for tabletop exercises, walkthroughs, simulations, and full-scale drills.</w:t>
            </w:r>
          </w:p>
        </w:tc>
        <w:tc>
          <w:tcPr>
            <w:tcW w:w="613" w:type="pct"/>
            <w:tcBorders>
              <w:top w:val="nil"/>
              <w:left w:val="nil"/>
              <w:bottom w:val="single" w:sz="4" w:space="0" w:color="auto"/>
              <w:right w:val="single" w:sz="4" w:space="0" w:color="auto"/>
            </w:tcBorders>
            <w:shd w:val="clear" w:color="FFFFFF" w:fill="FFFFFF"/>
            <w:hideMark/>
          </w:tcPr>
          <w:p w14:paraId="3DFA410F"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449EACD9"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6BAA6202" w14:textId="77777777" w:rsidTr="00E73613">
        <w:trPr>
          <w:trHeight w:val="765"/>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0F9430C1"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67</w:t>
            </w:r>
          </w:p>
        </w:tc>
        <w:tc>
          <w:tcPr>
            <w:tcW w:w="3359" w:type="pct"/>
            <w:tcBorders>
              <w:top w:val="nil"/>
              <w:left w:val="nil"/>
              <w:bottom w:val="single" w:sz="4" w:space="0" w:color="auto"/>
              <w:right w:val="single" w:sz="4" w:space="0" w:color="auto"/>
            </w:tcBorders>
            <w:shd w:val="clear" w:color="auto" w:fill="auto"/>
            <w:hideMark/>
          </w:tcPr>
          <w:p w14:paraId="431F217F"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solution should have the ability to create decoy application in the standard cloud environments such as decoy User, Service Principal, Managed Identity, App Service, Storage Account Container, Storage Account File Share, Key Vault, ARM Template, Container Registry and VM Image</w:t>
            </w:r>
          </w:p>
        </w:tc>
        <w:tc>
          <w:tcPr>
            <w:tcW w:w="613" w:type="pct"/>
            <w:tcBorders>
              <w:top w:val="nil"/>
              <w:left w:val="nil"/>
              <w:bottom w:val="single" w:sz="4" w:space="0" w:color="auto"/>
              <w:right w:val="single" w:sz="4" w:space="0" w:color="auto"/>
            </w:tcBorders>
            <w:shd w:val="clear" w:color="FFFFFF" w:fill="FFFFFF"/>
            <w:hideMark/>
          </w:tcPr>
          <w:p w14:paraId="1C54E69F"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0020214E"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49A3234C" w14:textId="77777777" w:rsidTr="00E73613">
        <w:trPr>
          <w:trHeight w:val="510"/>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027EDB2C"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68</w:t>
            </w:r>
          </w:p>
        </w:tc>
        <w:tc>
          <w:tcPr>
            <w:tcW w:w="3359" w:type="pct"/>
            <w:tcBorders>
              <w:top w:val="nil"/>
              <w:left w:val="nil"/>
              <w:bottom w:val="single" w:sz="4" w:space="0" w:color="auto"/>
              <w:right w:val="single" w:sz="4" w:space="0" w:color="auto"/>
            </w:tcBorders>
            <w:shd w:val="clear" w:color="FFFFFF" w:fill="FFFFFF"/>
            <w:hideMark/>
          </w:tcPr>
          <w:p w14:paraId="57AACCD2"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proposed solutions should have the ability to detect and defend against identity-based attacks such as credential theft and privilege abuse, Active Directory assaults, and risky entitlements in real-time.</w:t>
            </w:r>
          </w:p>
        </w:tc>
        <w:tc>
          <w:tcPr>
            <w:tcW w:w="613" w:type="pct"/>
            <w:tcBorders>
              <w:top w:val="nil"/>
              <w:left w:val="nil"/>
              <w:bottom w:val="single" w:sz="4" w:space="0" w:color="auto"/>
              <w:right w:val="single" w:sz="4" w:space="0" w:color="auto"/>
            </w:tcBorders>
            <w:shd w:val="clear" w:color="FFFFFF" w:fill="FFFFFF"/>
            <w:hideMark/>
          </w:tcPr>
          <w:p w14:paraId="4E808A14"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343E006D"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3DB48897" w14:textId="77777777" w:rsidTr="00E73613">
        <w:trPr>
          <w:trHeight w:val="765"/>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128E0250"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69</w:t>
            </w:r>
          </w:p>
        </w:tc>
        <w:tc>
          <w:tcPr>
            <w:tcW w:w="3359" w:type="pct"/>
            <w:tcBorders>
              <w:top w:val="nil"/>
              <w:left w:val="nil"/>
              <w:bottom w:val="single" w:sz="4" w:space="0" w:color="auto"/>
              <w:right w:val="single" w:sz="4" w:space="0" w:color="auto"/>
            </w:tcBorders>
            <w:shd w:val="clear" w:color="FFFFFF" w:fill="FFFFFF"/>
            <w:hideMark/>
          </w:tcPr>
          <w:p w14:paraId="6CFB7985"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In order to eliminate the attack surfaces, the proposed solution must support application access through outbound service initiated connections (unidirectional inside-out connections) i.e., it should not require any inbound firewall rule from OEM's cloud platform and only outbound traffic should be allowed.</w:t>
            </w:r>
          </w:p>
        </w:tc>
        <w:tc>
          <w:tcPr>
            <w:tcW w:w="613" w:type="pct"/>
            <w:tcBorders>
              <w:top w:val="nil"/>
              <w:left w:val="nil"/>
              <w:bottom w:val="single" w:sz="4" w:space="0" w:color="auto"/>
              <w:right w:val="single" w:sz="4" w:space="0" w:color="auto"/>
            </w:tcBorders>
            <w:shd w:val="clear" w:color="FFFFFF" w:fill="FFFFFF"/>
            <w:hideMark/>
          </w:tcPr>
          <w:p w14:paraId="0671E7F1"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5ADBCF82"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58C71CF5" w14:textId="77777777" w:rsidTr="00E73613">
        <w:trPr>
          <w:trHeight w:val="510"/>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51E8E4F1"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70</w:t>
            </w:r>
          </w:p>
        </w:tc>
        <w:tc>
          <w:tcPr>
            <w:tcW w:w="3359" w:type="pct"/>
            <w:tcBorders>
              <w:top w:val="nil"/>
              <w:left w:val="nil"/>
              <w:bottom w:val="single" w:sz="4" w:space="0" w:color="auto"/>
              <w:right w:val="single" w:sz="4" w:space="0" w:color="auto"/>
            </w:tcBorders>
            <w:shd w:val="clear" w:color="FFFFFF" w:fill="FFFFFF"/>
            <w:hideMark/>
          </w:tcPr>
          <w:p w14:paraId="6EA3D474"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connectivity between users’ devices and private applications must be through encrypted tunnel and optimally routed through the nearest data centres with lowest possible latency</w:t>
            </w:r>
          </w:p>
        </w:tc>
        <w:tc>
          <w:tcPr>
            <w:tcW w:w="613" w:type="pct"/>
            <w:tcBorders>
              <w:top w:val="nil"/>
              <w:left w:val="nil"/>
              <w:bottom w:val="single" w:sz="4" w:space="0" w:color="auto"/>
              <w:right w:val="single" w:sz="4" w:space="0" w:color="auto"/>
            </w:tcBorders>
            <w:shd w:val="clear" w:color="FFFFFF" w:fill="FFFFFF"/>
            <w:hideMark/>
          </w:tcPr>
          <w:p w14:paraId="1E1A5D5B"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747C1F3B"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14AFFAB1" w14:textId="77777777" w:rsidTr="00E73613">
        <w:trPr>
          <w:trHeight w:val="255"/>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69AECD06"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71</w:t>
            </w:r>
          </w:p>
        </w:tc>
        <w:tc>
          <w:tcPr>
            <w:tcW w:w="3359" w:type="pct"/>
            <w:tcBorders>
              <w:top w:val="nil"/>
              <w:left w:val="nil"/>
              <w:bottom w:val="single" w:sz="4" w:space="0" w:color="auto"/>
              <w:right w:val="single" w:sz="4" w:space="0" w:color="auto"/>
            </w:tcBorders>
            <w:shd w:val="clear" w:color="FFFFFF" w:fill="FFFFFF"/>
            <w:hideMark/>
          </w:tcPr>
          <w:p w14:paraId="71FC6034"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decoy connectors must operate in high availability (HA) and support built-in load balancing</w:t>
            </w:r>
          </w:p>
        </w:tc>
        <w:tc>
          <w:tcPr>
            <w:tcW w:w="613" w:type="pct"/>
            <w:tcBorders>
              <w:top w:val="nil"/>
              <w:left w:val="nil"/>
              <w:bottom w:val="single" w:sz="4" w:space="0" w:color="auto"/>
              <w:right w:val="single" w:sz="4" w:space="0" w:color="auto"/>
            </w:tcBorders>
            <w:shd w:val="clear" w:color="FFFFFF" w:fill="FFFFFF"/>
            <w:hideMark/>
          </w:tcPr>
          <w:p w14:paraId="7A03A2D9"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788B57B0"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6B6C0B22" w14:textId="77777777" w:rsidTr="00E73613">
        <w:trPr>
          <w:trHeight w:val="255"/>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3E31269A"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72</w:t>
            </w:r>
          </w:p>
        </w:tc>
        <w:tc>
          <w:tcPr>
            <w:tcW w:w="3359" w:type="pct"/>
            <w:tcBorders>
              <w:top w:val="nil"/>
              <w:left w:val="nil"/>
              <w:bottom w:val="single" w:sz="4" w:space="0" w:color="auto"/>
              <w:right w:val="single" w:sz="4" w:space="0" w:color="auto"/>
            </w:tcBorders>
            <w:shd w:val="clear" w:color="FFFFFF" w:fill="FFFFFF"/>
            <w:hideMark/>
          </w:tcPr>
          <w:p w14:paraId="7EA2B4AA"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solution must have AI-powered engines for automatic discovery of internal applications/servers to easy policy creation</w:t>
            </w:r>
          </w:p>
        </w:tc>
        <w:tc>
          <w:tcPr>
            <w:tcW w:w="613" w:type="pct"/>
            <w:tcBorders>
              <w:top w:val="nil"/>
              <w:left w:val="nil"/>
              <w:bottom w:val="single" w:sz="4" w:space="0" w:color="auto"/>
              <w:right w:val="single" w:sz="4" w:space="0" w:color="auto"/>
            </w:tcBorders>
            <w:shd w:val="clear" w:color="FFFFFF" w:fill="FFFFFF"/>
            <w:hideMark/>
          </w:tcPr>
          <w:p w14:paraId="42F9CBFA"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04131728"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749D3F65" w14:textId="77777777" w:rsidTr="00E73613">
        <w:trPr>
          <w:trHeight w:val="510"/>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2AF3FAA2"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73</w:t>
            </w:r>
          </w:p>
        </w:tc>
        <w:tc>
          <w:tcPr>
            <w:tcW w:w="3359" w:type="pct"/>
            <w:tcBorders>
              <w:top w:val="nil"/>
              <w:left w:val="nil"/>
              <w:bottom w:val="single" w:sz="4" w:space="0" w:color="auto"/>
              <w:right w:val="single" w:sz="4" w:space="0" w:color="auto"/>
            </w:tcBorders>
            <w:shd w:val="clear" w:color="auto" w:fill="auto"/>
            <w:vAlign w:val="bottom"/>
            <w:hideMark/>
          </w:tcPr>
          <w:p w14:paraId="6CE2E640"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system should generate BCM reporting in various formats including MS Word, PowerPoint, Excel, PDF, and HTML with necessary branding as per Bank's expectation.</w:t>
            </w:r>
          </w:p>
        </w:tc>
        <w:tc>
          <w:tcPr>
            <w:tcW w:w="613" w:type="pct"/>
            <w:tcBorders>
              <w:top w:val="nil"/>
              <w:left w:val="nil"/>
              <w:bottom w:val="single" w:sz="4" w:space="0" w:color="auto"/>
              <w:right w:val="single" w:sz="4" w:space="0" w:color="auto"/>
            </w:tcBorders>
            <w:shd w:val="clear" w:color="FFFFFF" w:fill="FFFFFF"/>
            <w:hideMark/>
          </w:tcPr>
          <w:p w14:paraId="57A81771"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66981CFF"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6B230B80" w14:textId="77777777" w:rsidTr="00E73613">
        <w:trPr>
          <w:trHeight w:val="255"/>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4F9600F3"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74</w:t>
            </w:r>
          </w:p>
        </w:tc>
        <w:tc>
          <w:tcPr>
            <w:tcW w:w="3359" w:type="pct"/>
            <w:tcBorders>
              <w:top w:val="nil"/>
              <w:left w:val="nil"/>
              <w:bottom w:val="single" w:sz="4" w:space="0" w:color="auto"/>
              <w:right w:val="single" w:sz="4" w:space="0" w:color="auto"/>
            </w:tcBorders>
            <w:shd w:val="clear" w:color="FFFFFF" w:fill="FFFFFF"/>
            <w:hideMark/>
          </w:tcPr>
          <w:p w14:paraId="48AF3C79"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xml:space="preserve">For additional security, the endpoint agent must not use global password for logout, disable individual services, exit, and uninstall. </w:t>
            </w:r>
          </w:p>
        </w:tc>
        <w:tc>
          <w:tcPr>
            <w:tcW w:w="613" w:type="pct"/>
            <w:tcBorders>
              <w:top w:val="nil"/>
              <w:left w:val="nil"/>
              <w:bottom w:val="single" w:sz="4" w:space="0" w:color="auto"/>
              <w:right w:val="single" w:sz="4" w:space="0" w:color="auto"/>
            </w:tcBorders>
            <w:shd w:val="clear" w:color="FFFFFF" w:fill="FFFFFF"/>
            <w:hideMark/>
          </w:tcPr>
          <w:p w14:paraId="05AFD1C4"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450EFD95"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2474AC31" w14:textId="77777777" w:rsidTr="00E73613">
        <w:trPr>
          <w:trHeight w:val="255"/>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3A7D2D8E"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75</w:t>
            </w:r>
          </w:p>
        </w:tc>
        <w:tc>
          <w:tcPr>
            <w:tcW w:w="3359" w:type="pct"/>
            <w:tcBorders>
              <w:top w:val="nil"/>
              <w:left w:val="nil"/>
              <w:bottom w:val="single" w:sz="4" w:space="0" w:color="auto"/>
              <w:right w:val="single" w:sz="4" w:space="0" w:color="auto"/>
            </w:tcBorders>
            <w:shd w:val="clear" w:color="FFFFFF" w:fill="FFFFFF"/>
            <w:hideMark/>
          </w:tcPr>
          <w:p w14:paraId="6F496465"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endpoint agent must support all the leading OS like Windows, macOS, Linux, Android, iOS etc</w:t>
            </w:r>
          </w:p>
        </w:tc>
        <w:tc>
          <w:tcPr>
            <w:tcW w:w="613" w:type="pct"/>
            <w:tcBorders>
              <w:top w:val="nil"/>
              <w:left w:val="nil"/>
              <w:bottom w:val="single" w:sz="4" w:space="0" w:color="auto"/>
              <w:right w:val="single" w:sz="4" w:space="0" w:color="auto"/>
            </w:tcBorders>
            <w:shd w:val="clear" w:color="FFFFFF" w:fill="FFFFFF"/>
            <w:hideMark/>
          </w:tcPr>
          <w:p w14:paraId="6D9D5F4A"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495D899A"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7B281551" w14:textId="77777777" w:rsidTr="00E73613">
        <w:trPr>
          <w:trHeight w:val="255"/>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2AFEA613"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76</w:t>
            </w:r>
          </w:p>
        </w:tc>
        <w:tc>
          <w:tcPr>
            <w:tcW w:w="3359" w:type="pct"/>
            <w:tcBorders>
              <w:top w:val="nil"/>
              <w:left w:val="nil"/>
              <w:bottom w:val="single" w:sz="4" w:space="0" w:color="auto"/>
              <w:right w:val="single" w:sz="4" w:space="0" w:color="auto"/>
            </w:tcBorders>
            <w:shd w:val="clear" w:color="FFFFFF" w:fill="FFFFFF"/>
            <w:hideMark/>
          </w:tcPr>
          <w:p w14:paraId="0635EB51"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As a mandatory security requirement, the endpoint agent must be turned on as soon as the device boots up</w:t>
            </w:r>
          </w:p>
        </w:tc>
        <w:tc>
          <w:tcPr>
            <w:tcW w:w="613" w:type="pct"/>
            <w:tcBorders>
              <w:top w:val="nil"/>
              <w:left w:val="nil"/>
              <w:bottom w:val="single" w:sz="4" w:space="0" w:color="auto"/>
              <w:right w:val="single" w:sz="4" w:space="0" w:color="auto"/>
            </w:tcBorders>
            <w:shd w:val="clear" w:color="FFFFFF" w:fill="FFFFFF"/>
            <w:hideMark/>
          </w:tcPr>
          <w:p w14:paraId="5D912FAE"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25DF1B53"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76332203" w14:textId="77777777" w:rsidTr="00E73613">
        <w:trPr>
          <w:trHeight w:val="255"/>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4BC6C048"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77</w:t>
            </w:r>
          </w:p>
        </w:tc>
        <w:tc>
          <w:tcPr>
            <w:tcW w:w="3359" w:type="pct"/>
            <w:tcBorders>
              <w:top w:val="nil"/>
              <w:left w:val="nil"/>
              <w:bottom w:val="single" w:sz="4" w:space="0" w:color="auto"/>
              <w:right w:val="single" w:sz="4" w:space="0" w:color="auto"/>
            </w:tcBorders>
            <w:shd w:val="clear" w:color="auto" w:fill="auto"/>
            <w:hideMark/>
          </w:tcPr>
          <w:p w14:paraId="22CB6DBD"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solution must support at least 5 devices (Desktop/Laptop/Mobile/Tablet etc.) for a single authenticated user</w:t>
            </w:r>
          </w:p>
        </w:tc>
        <w:tc>
          <w:tcPr>
            <w:tcW w:w="613" w:type="pct"/>
            <w:tcBorders>
              <w:top w:val="nil"/>
              <w:left w:val="nil"/>
              <w:bottom w:val="single" w:sz="4" w:space="0" w:color="auto"/>
              <w:right w:val="single" w:sz="4" w:space="0" w:color="auto"/>
            </w:tcBorders>
            <w:shd w:val="clear" w:color="FFFFFF" w:fill="FFFFFF"/>
            <w:hideMark/>
          </w:tcPr>
          <w:p w14:paraId="713DAE7E"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665C18DF"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3F2664E6" w14:textId="77777777" w:rsidTr="00E73613">
        <w:trPr>
          <w:trHeight w:val="510"/>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22ACC8B9"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78</w:t>
            </w:r>
          </w:p>
        </w:tc>
        <w:tc>
          <w:tcPr>
            <w:tcW w:w="3359" w:type="pct"/>
            <w:tcBorders>
              <w:top w:val="nil"/>
              <w:left w:val="nil"/>
              <w:bottom w:val="single" w:sz="4" w:space="0" w:color="auto"/>
              <w:right w:val="single" w:sz="4" w:space="0" w:color="auto"/>
            </w:tcBorders>
            <w:shd w:val="clear" w:color="FFFFFF" w:fill="FFFFFF"/>
            <w:hideMark/>
          </w:tcPr>
          <w:p w14:paraId="599D2FF5"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solution must have the ability to universally define, deploy, and immediately enforce policies for all users, across all locations from a single console. The policy updation must be in real-time</w:t>
            </w:r>
          </w:p>
        </w:tc>
        <w:tc>
          <w:tcPr>
            <w:tcW w:w="613" w:type="pct"/>
            <w:tcBorders>
              <w:top w:val="nil"/>
              <w:left w:val="nil"/>
              <w:bottom w:val="single" w:sz="4" w:space="0" w:color="auto"/>
              <w:right w:val="single" w:sz="4" w:space="0" w:color="auto"/>
            </w:tcBorders>
            <w:shd w:val="clear" w:color="FFFFFF" w:fill="FFFFFF"/>
            <w:hideMark/>
          </w:tcPr>
          <w:p w14:paraId="7E45A02B"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501E8D7A"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219C6FCD" w14:textId="77777777" w:rsidTr="00E73613">
        <w:trPr>
          <w:trHeight w:val="510"/>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3EF9B4C1"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79</w:t>
            </w:r>
          </w:p>
        </w:tc>
        <w:tc>
          <w:tcPr>
            <w:tcW w:w="3359" w:type="pct"/>
            <w:tcBorders>
              <w:top w:val="nil"/>
              <w:left w:val="nil"/>
              <w:bottom w:val="single" w:sz="4" w:space="0" w:color="auto"/>
              <w:right w:val="single" w:sz="4" w:space="0" w:color="auto"/>
            </w:tcBorders>
            <w:shd w:val="clear" w:color="FFFFFF" w:fill="FFFFFF"/>
            <w:hideMark/>
          </w:tcPr>
          <w:p w14:paraId="0C982ADB"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solution should protect internal applications from external attacks. Even if there are some vulnerabilities on the application, it should not be exposed</w:t>
            </w:r>
          </w:p>
        </w:tc>
        <w:tc>
          <w:tcPr>
            <w:tcW w:w="613" w:type="pct"/>
            <w:tcBorders>
              <w:top w:val="nil"/>
              <w:left w:val="nil"/>
              <w:bottom w:val="single" w:sz="4" w:space="0" w:color="auto"/>
              <w:right w:val="single" w:sz="4" w:space="0" w:color="auto"/>
            </w:tcBorders>
            <w:shd w:val="clear" w:color="FFFFFF" w:fill="FFFFFF"/>
            <w:hideMark/>
          </w:tcPr>
          <w:p w14:paraId="44B0C5C3"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4C9F9824"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0351CC75" w14:textId="77777777" w:rsidTr="00E73613">
        <w:trPr>
          <w:trHeight w:val="255"/>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0979D355"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80</w:t>
            </w:r>
          </w:p>
        </w:tc>
        <w:tc>
          <w:tcPr>
            <w:tcW w:w="3359" w:type="pct"/>
            <w:tcBorders>
              <w:top w:val="nil"/>
              <w:left w:val="nil"/>
              <w:bottom w:val="single" w:sz="4" w:space="0" w:color="auto"/>
              <w:right w:val="single" w:sz="4" w:space="0" w:color="auto"/>
            </w:tcBorders>
            <w:shd w:val="clear" w:color="FFFFFF" w:fill="FFFFFF"/>
            <w:hideMark/>
          </w:tcPr>
          <w:p w14:paraId="21AD1EC6"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solution should have the ability to stream the access logs to multiple on-premise SIEM solutions</w:t>
            </w:r>
          </w:p>
        </w:tc>
        <w:tc>
          <w:tcPr>
            <w:tcW w:w="613" w:type="pct"/>
            <w:tcBorders>
              <w:top w:val="nil"/>
              <w:left w:val="nil"/>
              <w:bottom w:val="single" w:sz="4" w:space="0" w:color="auto"/>
              <w:right w:val="single" w:sz="4" w:space="0" w:color="auto"/>
            </w:tcBorders>
            <w:shd w:val="clear" w:color="FFFFFF" w:fill="FFFFFF"/>
            <w:hideMark/>
          </w:tcPr>
          <w:p w14:paraId="098262EE"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6A1A057F"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759C1712" w14:textId="77777777" w:rsidTr="00E73613">
        <w:trPr>
          <w:trHeight w:val="510"/>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741D4685"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81</w:t>
            </w:r>
          </w:p>
        </w:tc>
        <w:tc>
          <w:tcPr>
            <w:tcW w:w="3359" w:type="pct"/>
            <w:tcBorders>
              <w:top w:val="nil"/>
              <w:left w:val="nil"/>
              <w:bottom w:val="single" w:sz="4" w:space="0" w:color="auto"/>
              <w:right w:val="single" w:sz="4" w:space="0" w:color="auto"/>
            </w:tcBorders>
            <w:shd w:val="clear" w:color="FFFFFF" w:fill="FFFFFF"/>
            <w:hideMark/>
          </w:tcPr>
          <w:p w14:paraId="222747FE"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Whenever issues get reported by end-users, packet capture is required for diagnosis, hence the endpoint agent must have built-in packet capture feature from the day one for troubleshooting</w:t>
            </w:r>
          </w:p>
        </w:tc>
        <w:tc>
          <w:tcPr>
            <w:tcW w:w="613" w:type="pct"/>
            <w:tcBorders>
              <w:top w:val="nil"/>
              <w:left w:val="nil"/>
              <w:bottom w:val="single" w:sz="4" w:space="0" w:color="auto"/>
              <w:right w:val="single" w:sz="4" w:space="0" w:color="auto"/>
            </w:tcBorders>
            <w:shd w:val="clear" w:color="FFFFFF" w:fill="FFFFFF"/>
            <w:hideMark/>
          </w:tcPr>
          <w:p w14:paraId="5801A66D"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525A848E"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569EFF8C" w14:textId="77777777" w:rsidTr="00E73613">
        <w:trPr>
          <w:trHeight w:val="510"/>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002E056E"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82</w:t>
            </w:r>
          </w:p>
        </w:tc>
        <w:tc>
          <w:tcPr>
            <w:tcW w:w="3359" w:type="pct"/>
            <w:tcBorders>
              <w:top w:val="nil"/>
              <w:left w:val="nil"/>
              <w:bottom w:val="single" w:sz="4" w:space="0" w:color="auto"/>
              <w:right w:val="single" w:sz="4" w:space="0" w:color="auto"/>
            </w:tcBorders>
            <w:shd w:val="clear" w:color="FFFFFF" w:fill="FFFFFF"/>
            <w:hideMark/>
          </w:tcPr>
          <w:p w14:paraId="0092F20E"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endpoint agent must have inbuilt debugging capabilities and should have an option to report an issue to technical assistance centre (TAC) directly from the endpoint agent console</w:t>
            </w:r>
          </w:p>
        </w:tc>
        <w:tc>
          <w:tcPr>
            <w:tcW w:w="613" w:type="pct"/>
            <w:tcBorders>
              <w:top w:val="nil"/>
              <w:left w:val="nil"/>
              <w:bottom w:val="single" w:sz="4" w:space="0" w:color="auto"/>
              <w:right w:val="single" w:sz="4" w:space="0" w:color="auto"/>
            </w:tcBorders>
            <w:shd w:val="clear" w:color="FFFFFF" w:fill="FFFFFF"/>
            <w:hideMark/>
          </w:tcPr>
          <w:p w14:paraId="205CB332"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1F53382E"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31672544" w14:textId="77777777" w:rsidTr="00E73613">
        <w:trPr>
          <w:trHeight w:val="510"/>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2CBE7899"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83</w:t>
            </w:r>
          </w:p>
        </w:tc>
        <w:tc>
          <w:tcPr>
            <w:tcW w:w="3359" w:type="pct"/>
            <w:tcBorders>
              <w:top w:val="nil"/>
              <w:left w:val="nil"/>
              <w:bottom w:val="single" w:sz="4" w:space="0" w:color="auto"/>
              <w:right w:val="single" w:sz="4" w:space="0" w:color="auto"/>
            </w:tcBorders>
            <w:shd w:val="clear" w:color="FFFFFF" w:fill="FFFFFF"/>
            <w:vAlign w:val="center"/>
            <w:hideMark/>
          </w:tcPr>
          <w:p w14:paraId="22255E26"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proposed solution must do the endpoint policy checks at regular intervals and not just at the time of initial user authentication/authorization</w:t>
            </w:r>
          </w:p>
        </w:tc>
        <w:tc>
          <w:tcPr>
            <w:tcW w:w="613" w:type="pct"/>
            <w:tcBorders>
              <w:top w:val="nil"/>
              <w:left w:val="nil"/>
              <w:bottom w:val="single" w:sz="4" w:space="0" w:color="auto"/>
              <w:right w:val="single" w:sz="4" w:space="0" w:color="auto"/>
            </w:tcBorders>
            <w:shd w:val="clear" w:color="FFFFFF" w:fill="FFFFFF"/>
            <w:hideMark/>
          </w:tcPr>
          <w:p w14:paraId="0E99A61C"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37862C88"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126FA4C9" w14:textId="77777777" w:rsidTr="00E73613">
        <w:trPr>
          <w:trHeight w:val="255"/>
        </w:trPr>
        <w:tc>
          <w:tcPr>
            <w:tcW w:w="152" w:type="pct"/>
            <w:tcBorders>
              <w:top w:val="nil"/>
              <w:left w:val="single" w:sz="4" w:space="0" w:color="auto"/>
              <w:bottom w:val="single" w:sz="4" w:space="0" w:color="auto"/>
              <w:right w:val="single" w:sz="4" w:space="0" w:color="auto"/>
            </w:tcBorders>
            <w:shd w:val="clear" w:color="000000" w:fill="EFF4FF"/>
            <w:hideMark/>
          </w:tcPr>
          <w:p w14:paraId="5D0D5C98" w14:textId="77777777" w:rsidR="00985D46" w:rsidRPr="00985D46" w:rsidRDefault="00985D46" w:rsidP="00985D46">
            <w:pPr>
              <w:spacing w:after="0" w:line="240" w:lineRule="auto"/>
              <w:jc w:val="center"/>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C</w:t>
            </w:r>
          </w:p>
        </w:tc>
        <w:tc>
          <w:tcPr>
            <w:tcW w:w="3359" w:type="pct"/>
            <w:tcBorders>
              <w:top w:val="nil"/>
              <w:left w:val="nil"/>
              <w:bottom w:val="single" w:sz="4" w:space="0" w:color="auto"/>
              <w:right w:val="single" w:sz="4" w:space="0" w:color="auto"/>
            </w:tcBorders>
            <w:shd w:val="clear" w:color="000000" w:fill="EFF4FF"/>
            <w:hideMark/>
          </w:tcPr>
          <w:p w14:paraId="64A62A94" w14:textId="77777777" w:rsidR="00985D46" w:rsidRPr="00985D46" w:rsidRDefault="00985D46" w:rsidP="00985D46">
            <w:pPr>
              <w:spacing w:after="0" w:line="240" w:lineRule="auto"/>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Administration, Manageability and Reporting</w:t>
            </w:r>
          </w:p>
        </w:tc>
        <w:tc>
          <w:tcPr>
            <w:tcW w:w="613" w:type="pct"/>
            <w:tcBorders>
              <w:top w:val="nil"/>
              <w:left w:val="nil"/>
              <w:bottom w:val="single" w:sz="4" w:space="0" w:color="auto"/>
              <w:right w:val="single" w:sz="4" w:space="0" w:color="auto"/>
            </w:tcBorders>
            <w:shd w:val="clear" w:color="000000" w:fill="EFF4FF"/>
            <w:hideMark/>
          </w:tcPr>
          <w:p w14:paraId="55BC572A" w14:textId="77777777" w:rsidR="00985D46" w:rsidRPr="00985D46" w:rsidRDefault="00985D46" w:rsidP="00985D46">
            <w:pPr>
              <w:spacing w:after="0" w:line="240" w:lineRule="auto"/>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 </w:t>
            </w:r>
          </w:p>
        </w:tc>
        <w:tc>
          <w:tcPr>
            <w:tcW w:w="876" w:type="pct"/>
            <w:tcBorders>
              <w:top w:val="nil"/>
              <w:left w:val="nil"/>
              <w:bottom w:val="single" w:sz="4" w:space="0" w:color="auto"/>
              <w:right w:val="single" w:sz="4" w:space="0" w:color="auto"/>
            </w:tcBorders>
            <w:shd w:val="clear" w:color="000000" w:fill="EFF4FF"/>
            <w:hideMark/>
          </w:tcPr>
          <w:p w14:paraId="3568D993" w14:textId="77777777" w:rsidR="00985D46" w:rsidRPr="00985D46" w:rsidRDefault="00985D46" w:rsidP="00985D46">
            <w:pPr>
              <w:spacing w:after="0" w:line="240" w:lineRule="auto"/>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 </w:t>
            </w:r>
          </w:p>
        </w:tc>
      </w:tr>
      <w:tr w:rsidR="00985D46" w:rsidRPr="00985D46" w14:paraId="2FAE4F34" w14:textId="77777777" w:rsidTr="00E73613">
        <w:trPr>
          <w:trHeight w:val="510"/>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60117854"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84</w:t>
            </w:r>
          </w:p>
        </w:tc>
        <w:tc>
          <w:tcPr>
            <w:tcW w:w="3359" w:type="pct"/>
            <w:tcBorders>
              <w:top w:val="nil"/>
              <w:left w:val="nil"/>
              <w:bottom w:val="single" w:sz="4" w:space="0" w:color="auto"/>
              <w:right w:val="single" w:sz="4" w:space="0" w:color="auto"/>
            </w:tcBorders>
            <w:shd w:val="clear" w:color="auto" w:fill="auto"/>
            <w:hideMark/>
          </w:tcPr>
          <w:p w14:paraId="19420908" w14:textId="39FA7A59"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xml:space="preserve">The solution should utilize AI/ML-based </w:t>
            </w:r>
            <w:r w:rsidR="00426FCC" w:rsidRPr="00985D46">
              <w:rPr>
                <w:rFonts w:ascii="Calibri" w:eastAsia="Times New Roman" w:hAnsi="Calibri" w:cs="Calibri"/>
                <w:color w:val="000000"/>
                <w:sz w:val="20"/>
                <w:szCs w:val="20"/>
                <w:lang w:val="en-GB" w:eastAsia="en-GB"/>
              </w:rPr>
              <w:t>behavioural</w:t>
            </w:r>
            <w:r w:rsidRPr="00985D46">
              <w:rPr>
                <w:rFonts w:ascii="Calibri" w:eastAsia="Times New Roman" w:hAnsi="Calibri" w:cs="Calibri"/>
                <w:color w:val="000000"/>
                <w:sz w:val="20"/>
                <w:szCs w:val="20"/>
                <w:lang w:val="en-GB" w:eastAsia="en-GB"/>
              </w:rPr>
              <w:t xml:space="preserve"> analytics to dynamically adjust risk scores, incorporating historical data and real-time threat intelligence.</w:t>
            </w:r>
          </w:p>
        </w:tc>
        <w:tc>
          <w:tcPr>
            <w:tcW w:w="613" w:type="pct"/>
            <w:tcBorders>
              <w:top w:val="nil"/>
              <w:left w:val="nil"/>
              <w:bottom w:val="single" w:sz="4" w:space="0" w:color="auto"/>
              <w:right w:val="single" w:sz="4" w:space="0" w:color="auto"/>
            </w:tcBorders>
            <w:shd w:val="clear" w:color="FFFFFF" w:fill="FFFFFF"/>
            <w:hideMark/>
          </w:tcPr>
          <w:p w14:paraId="15613B92"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4E370457"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4F85E1E9" w14:textId="77777777" w:rsidTr="00E73613">
        <w:trPr>
          <w:trHeight w:val="510"/>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4D215050"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85</w:t>
            </w:r>
          </w:p>
        </w:tc>
        <w:tc>
          <w:tcPr>
            <w:tcW w:w="3359" w:type="pct"/>
            <w:tcBorders>
              <w:top w:val="nil"/>
              <w:left w:val="nil"/>
              <w:bottom w:val="single" w:sz="4" w:space="0" w:color="auto"/>
              <w:right w:val="single" w:sz="4" w:space="0" w:color="auto"/>
            </w:tcBorders>
            <w:shd w:val="clear" w:color="FFFFFF" w:fill="FFFFFF"/>
            <w:hideMark/>
          </w:tcPr>
          <w:p w14:paraId="1212DF69"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solution must have the ability to reconstruct raw attack data into plain English attack analysis. It must also provide attacker/APT group attribution, mitigation recommendations, MITRE mapping within the user interface for the analyst.</w:t>
            </w:r>
          </w:p>
        </w:tc>
        <w:tc>
          <w:tcPr>
            <w:tcW w:w="613" w:type="pct"/>
            <w:tcBorders>
              <w:top w:val="nil"/>
              <w:left w:val="nil"/>
              <w:bottom w:val="single" w:sz="4" w:space="0" w:color="auto"/>
              <w:right w:val="single" w:sz="4" w:space="0" w:color="auto"/>
            </w:tcBorders>
            <w:shd w:val="clear" w:color="FFFFFF" w:fill="FFFFFF"/>
            <w:hideMark/>
          </w:tcPr>
          <w:p w14:paraId="79118A85"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30FC062E"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422C62D3" w14:textId="77777777" w:rsidTr="00E73613">
        <w:trPr>
          <w:trHeight w:val="765"/>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5E388142"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86</w:t>
            </w:r>
          </w:p>
        </w:tc>
        <w:tc>
          <w:tcPr>
            <w:tcW w:w="3359" w:type="pct"/>
            <w:tcBorders>
              <w:top w:val="nil"/>
              <w:left w:val="nil"/>
              <w:bottom w:val="single" w:sz="4" w:space="0" w:color="auto"/>
              <w:right w:val="single" w:sz="4" w:space="0" w:color="auto"/>
            </w:tcBorders>
            <w:shd w:val="clear" w:color="FFFFFF" w:fill="FFFFFF"/>
            <w:hideMark/>
          </w:tcPr>
          <w:p w14:paraId="38C3A41C"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When an event occurs, the solution should have built in orchestration to take specific actions based on preset or user specified rules that can be specified on any event meta-data. The rule engine should support multiple boolean and logical conditions to appropriately orchestrate the response.</w:t>
            </w:r>
          </w:p>
        </w:tc>
        <w:tc>
          <w:tcPr>
            <w:tcW w:w="613" w:type="pct"/>
            <w:tcBorders>
              <w:top w:val="nil"/>
              <w:left w:val="nil"/>
              <w:bottom w:val="single" w:sz="4" w:space="0" w:color="auto"/>
              <w:right w:val="single" w:sz="4" w:space="0" w:color="auto"/>
            </w:tcBorders>
            <w:shd w:val="clear" w:color="FFFFFF" w:fill="FFFFFF"/>
            <w:hideMark/>
          </w:tcPr>
          <w:p w14:paraId="447B8590"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51BFB26A"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1A5AA8AB" w14:textId="77777777" w:rsidTr="00E73613">
        <w:trPr>
          <w:trHeight w:val="510"/>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3BD81C15"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87</w:t>
            </w:r>
          </w:p>
        </w:tc>
        <w:tc>
          <w:tcPr>
            <w:tcW w:w="3359" w:type="pct"/>
            <w:tcBorders>
              <w:top w:val="nil"/>
              <w:left w:val="nil"/>
              <w:bottom w:val="single" w:sz="4" w:space="0" w:color="auto"/>
              <w:right w:val="single" w:sz="4" w:space="0" w:color="auto"/>
            </w:tcBorders>
            <w:shd w:val="clear" w:color="FFFFFF" w:fill="FFFFFF"/>
            <w:hideMark/>
          </w:tcPr>
          <w:p w14:paraId="6CBA2CE4"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solution must have the ability to visually replay past events on an interactive fluid dashboard that show all decoy elements and attacker details.</w:t>
            </w:r>
          </w:p>
        </w:tc>
        <w:tc>
          <w:tcPr>
            <w:tcW w:w="613" w:type="pct"/>
            <w:tcBorders>
              <w:top w:val="nil"/>
              <w:left w:val="nil"/>
              <w:bottom w:val="single" w:sz="4" w:space="0" w:color="auto"/>
              <w:right w:val="single" w:sz="4" w:space="0" w:color="auto"/>
            </w:tcBorders>
            <w:shd w:val="clear" w:color="FFFFFF" w:fill="FFFFFF"/>
            <w:hideMark/>
          </w:tcPr>
          <w:p w14:paraId="3D5909CF"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1BDA2218"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527F2935" w14:textId="77777777" w:rsidTr="00E73613">
        <w:trPr>
          <w:trHeight w:val="510"/>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23057992"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88</w:t>
            </w:r>
          </w:p>
        </w:tc>
        <w:tc>
          <w:tcPr>
            <w:tcW w:w="3359" w:type="pct"/>
            <w:tcBorders>
              <w:top w:val="nil"/>
              <w:left w:val="nil"/>
              <w:bottom w:val="single" w:sz="4" w:space="0" w:color="auto"/>
              <w:right w:val="single" w:sz="4" w:space="0" w:color="auto"/>
            </w:tcBorders>
            <w:shd w:val="clear" w:color="FFFFFF" w:fill="FFFFFF"/>
            <w:hideMark/>
          </w:tcPr>
          <w:p w14:paraId="24159A87"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solution must allow visual dissection of the PCAP traffic and preserve all network traffic to and from the decoys while having the ability to export PCAPs based on a time filter.</w:t>
            </w:r>
          </w:p>
        </w:tc>
        <w:tc>
          <w:tcPr>
            <w:tcW w:w="613" w:type="pct"/>
            <w:tcBorders>
              <w:top w:val="nil"/>
              <w:left w:val="nil"/>
              <w:bottom w:val="single" w:sz="4" w:space="0" w:color="auto"/>
              <w:right w:val="single" w:sz="4" w:space="0" w:color="auto"/>
            </w:tcBorders>
            <w:shd w:val="clear" w:color="FFFFFF" w:fill="FFFFFF"/>
            <w:hideMark/>
          </w:tcPr>
          <w:p w14:paraId="6BD5E144"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072FDEB3"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1F27CE71" w14:textId="77777777" w:rsidTr="00E73613">
        <w:trPr>
          <w:trHeight w:val="255"/>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735CA839"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89</w:t>
            </w:r>
          </w:p>
        </w:tc>
        <w:tc>
          <w:tcPr>
            <w:tcW w:w="3359" w:type="pct"/>
            <w:tcBorders>
              <w:top w:val="nil"/>
              <w:left w:val="nil"/>
              <w:bottom w:val="single" w:sz="4" w:space="0" w:color="auto"/>
              <w:right w:val="single" w:sz="4" w:space="0" w:color="auto"/>
            </w:tcBorders>
            <w:shd w:val="clear" w:color="auto" w:fill="auto"/>
            <w:vAlign w:val="center"/>
            <w:hideMark/>
          </w:tcPr>
          <w:p w14:paraId="44AE87F8"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solution supports native integrations with global TI feeds like AbuseIP, Ipinfo, Virustotal, Cisco tallos etc.</w:t>
            </w:r>
          </w:p>
        </w:tc>
        <w:tc>
          <w:tcPr>
            <w:tcW w:w="613" w:type="pct"/>
            <w:tcBorders>
              <w:top w:val="nil"/>
              <w:left w:val="nil"/>
              <w:bottom w:val="single" w:sz="4" w:space="0" w:color="auto"/>
              <w:right w:val="single" w:sz="4" w:space="0" w:color="auto"/>
            </w:tcBorders>
            <w:shd w:val="clear" w:color="FFFFFF" w:fill="FFFFFF"/>
            <w:hideMark/>
          </w:tcPr>
          <w:p w14:paraId="76A31945"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6A0D66A6"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1BDF5F67" w14:textId="77777777" w:rsidTr="00E73613">
        <w:trPr>
          <w:trHeight w:val="510"/>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55277A40"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90</w:t>
            </w:r>
          </w:p>
        </w:tc>
        <w:tc>
          <w:tcPr>
            <w:tcW w:w="3359" w:type="pct"/>
            <w:tcBorders>
              <w:top w:val="nil"/>
              <w:left w:val="nil"/>
              <w:bottom w:val="single" w:sz="4" w:space="0" w:color="auto"/>
              <w:right w:val="single" w:sz="4" w:space="0" w:color="auto"/>
            </w:tcBorders>
            <w:shd w:val="clear" w:color="FFFFFF" w:fill="FFFFFF"/>
            <w:hideMark/>
          </w:tcPr>
          <w:p w14:paraId="6689C1BD"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solution should have a central management console to manage the deployment and event notifications. All other components should be controlled and configured through the central management console only.</w:t>
            </w:r>
          </w:p>
        </w:tc>
        <w:tc>
          <w:tcPr>
            <w:tcW w:w="613" w:type="pct"/>
            <w:tcBorders>
              <w:top w:val="nil"/>
              <w:left w:val="nil"/>
              <w:bottom w:val="single" w:sz="4" w:space="0" w:color="auto"/>
              <w:right w:val="single" w:sz="4" w:space="0" w:color="auto"/>
            </w:tcBorders>
            <w:shd w:val="clear" w:color="FFFFFF" w:fill="FFFFFF"/>
            <w:hideMark/>
          </w:tcPr>
          <w:p w14:paraId="4DDA5D5B"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4D3C42E6"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0CC0B588" w14:textId="77777777" w:rsidTr="00E73613">
        <w:trPr>
          <w:trHeight w:val="255"/>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635BB0D5"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91</w:t>
            </w:r>
          </w:p>
        </w:tc>
        <w:tc>
          <w:tcPr>
            <w:tcW w:w="3359" w:type="pct"/>
            <w:tcBorders>
              <w:top w:val="nil"/>
              <w:left w:val="nil"/>
              <w:bottom w:val="single" w:sz="4" w:space="0" w:color="auto"/>
              <w:right w:val="single" w:sz="4" w:space="0" w:color="auto"/>
            </w:tcBorders>
            <w:shd w:val="clear" w:color="FFFFFF" w:fill="FFFFFF"/>
            <w:hideMark/>
          </w:tcPr>
          <w:p w14:paraId="4F9BC0FB"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solution must have the built in ability for real-time email alerts based on preset or custom notification rules</w:t>
            </w:r>
          </w:p>
        </w:tc>
        <w:tc>
          <w:tcPr>
            <w:tcW w:w="613" w:type="pct"/>
            <w:tcBorders>
              <w:top w:val="nil"/>
              <w:left w:val="nil"/>
              <w:bottom w:val="single" w:sz="4" w:space="0" w:color="auto"/>
              <w:right w:val="single" w:sz="4" w:space="0" w:color="auto"/>
            </w:tcBorders>
            <w:shd w:val="clear" w:color="FFFFFF" w:fill="FFFFFF"/>
            <w:hideMark/>
          </w:tcPr>
          <w:p w14:paraId="254742B7"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39D71EAD"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194FEAE8" w14:textId="77777777" w:rsidTr="00E73613">
        <w:trPr>
          <w:trHeight w:val="510"/>
        </w:trPr>
        <w:tc>
          <w:tcPr>
            <w:tcW w:w="152" w:type="pct"/>
            <w:tcBorders>
              <w:top w:val="nil"/>
              <w:left w:val="single" w:sz="4" w:space="0" w:color="auto"/>
              <w:bottom w:val="single" w:sz="4" w:space="0" w:color="auto"/>
              <w:right w:val="single" w:sz="4" w:space="0" w:color="auto"/>
            </w:tcBorders>
            <w:shd w:val="clear" w:color="FFFFFF" w:fill="FFFFFF"/>
            <w:vAlign w:val="center"/>
            <w:hideMark/>
          </w:tcPr>
          <w:p w14:paraId="5800DE59"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92</w:t>
            </w:r>
          </w:p>
        </w:tc>
        <w:tc>
          <w:tcPr>
            <w:tcW w:w="3359" w:type="pct"/>
            <w:tcBorders>
              <w:top w:val="nil"/>
              <w:left w:val="nil"/>
              <w:bottom w:val="single" w:sz="4" w:space="0" w:color="auto"/>
              <w:right w:val="single" w:sz="4" w:space="0" w:color="auto"/>
            </w:tcBorders>
            <w:shd w:val="clear" w:color="FFFFFF" w:fill="FFFFFF"/>
            <w:hideMark/>
          </w:tcPr>
          <w:p w14:paraId="345EE229"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solution should have automatic backup/restore of events and configuration data, with no manual intervention required from the customer.</w:t>
            </w:r>
          </w:p>
        </w:tc>
        <w:tc>
          <w:tcPr>
            <w:tcW w:w="613" w:type="pct"/>
            <w:tcBorders>
              <w:top w:val="nil"/>
              <w:left w:val="nil"/>
              <w:bottom w:val="single" w:sz="4" w:space="0" w:color="auto"/>
              <w:right w:val="single" w:sz="4" w:space="0" w:color="auto"/>
            </w:tcBorders>
            <w:shd w:val="clear" w:color="FFFFFF" w:fill="FFFFFF"/>
            <w:hideMark/>
          </w:tcPr>
          <w:p w14:paraId="371712F7"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876" w:type="pct"/>
            <w:tcBorders>
              <w:top w:val="nil"/>
              <w:left w:val="nil"/>
              <w:bottom w:val="single" w:sz="4" w:space="0" w:color="auto"/>
              <w:right w:val="single" w:sz="4" w:space="0" w:color="auto"/>
            </w:tcBorders>
            <w:shd w:val="clear" w:color="FFFFFF" w:fill="FFFFFF"/>
            <w:hideMark/>
          </w:tcPr>
          <w:p w14:paraId="0B3F5FEE"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bl>
    <w:p w14:paraId="7C425CC4" w14:textId="77777777" w:rsidR="00985D46" w:rsidRDefault="00985D46">
      <w:pPr>
        <w:rPr>
          <w:rFonts w:cstheme="minorHAnsi"/>
        </w:rPr>
      </w:pPr>
    </w:p>
    <w:p w14:paraId="759B66C9" w14:textId="77777777" w:rsidR="00985D46" w:rsidRDefault="00985D46">
      <w:pPr>
        <w:rPr>
          <w:rFonts w:cstheme="minorHAnsi"/>
        </w:rPr>
      </w:pPr>
      <w:r>
        <w:rPr>
          <w:rFonts w:cstheme="minorHAnsi"/>
        </w:rPr>
        <w:br w:type="page"/>
      </w:r>
    </w:p>
    <w:tbl>
      <w:tblPr>
        <w:tblW w:w="5000" w:type="pct"/>
        <w:tblLook w:val="04A0" w:firstRow="1" w:lastRow="0" w:firstColumn="1" w:lastColumn="0" w:noHBand="0" w:noVBand="1"/>
      </w:tblPr>
      <w:tblGrid>
        <w:gridCol w:w="551"/>
        <w:gridCol w:w="9730"/>
        <w:gridCol w:w="1758"/>
        <w:gridCol w:w="1909"/>
      </w:tblGrid>
      <w:tr w:rsidR="00985D46" w:rsidRPr="00985D46" w14:paraId="5AC24B89" w14:textId="77777777" w:rsidTr="00E73613">
        <w:trPr>
          <w:trHeight w:val="315"/>
        </w:trPr>
        <w:tc>
          <w:tcPr>
            <w:tcW w:w="5000" w:type="pct"/>
            <w:gridSpan w:val="4"/>
            <w:tcBorders>
              <w:top w:val="single" w:sz="4" w:space="0" w:color="auto"/>
              <w:left w:val="single" w:sz="4" w:space="0" w:color="auto"/>
              <w:bottom w:val="single" w:sz="4" w:space="0" w:color="auto"/>
              <w:right w:val="single" w:sz="4" w:space="0" w:color="auto"/>
            </w:tcBorders>
            <w:shd w:val="clear" w:color="000000" w:fill="FFE699"/>
            <w:hideMark/>
          </w:tcPr>
          <w:p w14:paraId="2407CFF9" w14:textId="77777777" w:rsidR="00985D46" w:rsidRPr="00985D46" w:rsidRDefault="00985D46" w:rsidP="00985D46">
            <w:pPr>
              <w:spacing w:after="0" w:line="240" w:lineRule="auto"/>
              <w:jc w:val="center"/>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xml:space="preserve">Technical Specifications for </w:t>
            </w:r>
            <w:r w:rsidRPr="00985D46">
              <w:rPr>
                <w:rFonts w:ascii="Calibri" w:eastAsia="Times New Roman" w:hAnsi="Calibri" w:cs="Calibri"/>
                <w:b/>
                <w:bCs/>
                <w:color w:val="000000"/>
                <w:sz w:val="24"/>
                <w:szCs w:val="24"/>
                <w:lang w:val="en-GB" w:eastAsia="en-GB"/>
              </w:rPr>
              <w:t>Mobile Device Management</w:t>
            </w:r>
          </w:p>
        </w:tc>
      </w:tr>
      <w:tr w:rsidR="00985D46" w:rsidRPr="00985D46" w14:paraId="4ECC3389" w14:textId="77777777" w:rsidTr="00E73613">
        <w:trPr>
          <w:trHeight w:val="630"/>
        </w:trPr>
        <w:tc>
          <w:tcPr>
            <w:tcW w:w="168" w:type="pct"/>
            <w:tcBorders>
              <w:top w:val="nil"/>
              <w:left w:val="single" w:sz="4" w:space="0" w:color="auto"/>
              <w:bottom w:val="single" w:sz="4" w:space="0" w:color="auto"/>
              <w:right w:val="single" w:sz="4" w:space="0" w:color="auto"/>
            </w:tcBorders>
            <w:shd w:val="clear" w:color="000000" w:fill="1F4E78"/>
            <w:hideMark/>
          </w:tcPr>
          <w:p w14:paraId="6AD8BCEE" w14:textId="77777777" w:rsidR="00985D46" w:rsidRPr="00985D46" w:rsidRDefault="00985D46" w:rsidP="00985D46">
            <w:pPr>
              <w:spacing w:after="0" w:line="240" w:lineRule="auto"/>
              <w:jc w:val="center"/>
              <w:rPr>
                <w:rFonts w:ascii="Calibri" w:eastAsia="Times New Roman" w:hAnsi="Calibri" w:cs="Calibri"/>
                <w:b/>
                <w:bCs/>
                <w:color w:val="FFFFFF"/>
                <w:sz w:val="24"/>
                <w:szCs w:val="24"/>
                <w:lang w:val="en-GB" w:eastAsia="en-GB"/>
              </w:rPr>
            </w:pPr>
            <w:r w:rsidRPr="00985D46">
              <w:rPr>
                <w:rFonts w:ascii="Calibri" w:eastAsia="Times New Roman" w:hAnsi="Calibri" w:cs="Calibri"/>
                <w:b/>
                <w:bCs/>
                <w:color w:val="FFFFFF"/>
                <w:sz w:val="24"/>
                <w:szCs w:val="24"/>
                <w:lang w:val="en-GB" w:eastAsia="en-GB"/>
              </w:rPr>
              <w:t>S No</w:t>
            </w:r>
          </w:p>
        </w:tc>
        <w:tc>
          <w:tcPr>
            <w:tcW w:w="3498" w:type="pct"/>
            <w:tcBorders>
              <w:top w:val="nil"/>
              <w:left w:val="nil"/>
              <w:bottom w:val="single" w:sz="4" w:space="0" w:color="auto"/>
              <w:right w:val="single" w:sz="4" w:space="0" w:color="auto"/>
            </w:tcBorders>
            <w:shd w:val="clear" w:color="000000" w:fill="1F4E78"/>
            <w:hideMark/>
          </w:tcPr>
          <w:p w14:paraId="17D4E176" w14:textId="77777777" w:rsidR="00985D46" w:rsidRPr="00985D46" w:rsidRDefault="00985D46" w:rsidP="00985D46">
            <w:pPr>
              <w:spacing w:after="0" w:line="240" w:lineRule="auto"/>
              <w:rPr>
                <w:rFonts w:ascii="Calibri" w:eastAsia="Times New Roman" w:hAnsi="Calibri" w:cs="Calibri"/>
                <w:b/>
                <w:bCs/>
                <w:color w:val="FFFFFF"/>
                <w:sz w:val="24"/>
                <w:szCs w:val="24"/>
                <w:lang w:val="en-GB" w:eastAsia="en-GB"/>
              </w:rPr>
            </w:pPr>
            <w:r w:rsidRPr="00985D46">
              <w:rPr>
                <w:rFonts w:ascii="Calibri" w:eastAsia="Times New Roman" w:hAnsi="Calibri" w:cs="Calibri"/>
                <w:b/>
                <w:bCs/>
                <w:color w:val="FFFFFF"/>
                <w:sz w:val="24"/>
                <w:szCs w:val="24"/>
                <w:lang w:val="en-GB" w:eastAsia="en-GB"/>
              </w:rPr>
              <w:t xml:space="preserve">Minimum Technical Specifications </w:t>
            </w:r>
          </w:p>
        </w:tc>
        <w:tc>
          <w:tcPr>
            <w:tcW w:w="640" w:type="pct"/>
            <w:tcBorders>
              <w:top w:val="nil"/>
              <w:left w:val="nil"/>
              <w:bottom w:val="single" w:sz="4" w:space="0" w:color="auto"/>
              <w:right w:val="single" w:sz="4" w:space="0" w:color="auto"/>
            </w:tcBorders>
            <w:shd w:val="clear" w:color="000000" w:fill="1F4E78"/>
            <w:hideMark/>
          </w:tcPr>
          <w:p w14:paraId="5CDA2E07" w14:textId="77777777" w:rsidR="00985D46" w:rsidRPr="00985D46" w:rsidRDefault="00985D46" w:rsidP="00985D46">
            <w:pPr>
              <w:spacing w:after="0" w:line="240" w:lineRule="auto"/>
              <w:rPr>
                <w:rFonts w:ascii="Calibri" w:eastAsia="Times New Roman" w:hAnsi="Calibri" w:cs="Calibri"/>
                <w:b/>
                <w:bCs/>
                <w:color w:val="FFFFFF"/>
                <w:sz w:val="24"/>
                <w:szCs w:val="24"/>
                <w:lang w:val="en-GB" w:eastAsia="en-GB"/>
              </w:rPr>
            </w:pPr>
            <w:r w:rsidRPr="00985D46">
              <w:rPr>
                <w:rFonts w:ascii="Calibri" w:eastAsia="Times New Roman" w:hAnsi="Calibri" w:cs="Calibri"/>
                <w:b/>
                <w:bCs/>
                <w:color w:val="FFFFFF"/>
                <w:sz w:val="24"/>
                <w:szCs w:val="24"/>
                <w:lang w:val="en-GB" w:eastAsia="en-GB"/>
              </w:rPr>
              <w:t>Vendor's Compliance</w:t>
            </w:r>
          </w:p>
        </w:tc>
        <w:tc>
          <w:tcPr>
            <w:tcW w:w="694" w:type="pct"/>
            <w:tcBorders>
              <w:top w:val="nil"/>
              <w:left w:val="nil"/>
              <w:bottom w:val="single" w:sz="4" w:space="0" w:color="auto"/>
              <w:right w:val="single" w:sz="4" w:space="0" w:color="auto"/>
            </w:tcBorders>
            <w:shd w:val="clear" w:color="000000" w:fill="1F4E78"/>
            <w:hideMark/>
          </w:tcPr>
          <w:p w14:paraId="3924AB4B" w14:textId="77777777" w:rsidR="00985D46" w:rsidRPr="00985D46" w:rsidRDefault="00985D46" w:rsidP="00985D46">
            <w:pPr>
              <w:spacing w:after="0" w:line="240" w:lineRule="auto"/>
              <w:rPr>
                <w:rFonts w:ascii="Calibri" w:eastAsia="Times New Roman" w:hAnsi="Calibri" w:cs="Calibri"/>
                <w:b/>
                <w:bCs/>
                <w:color w:val="FFFFFF"/>
                <w:sz w:val="24"/>
                <w:szCs w:val="24"/>
                <w:lang w:val="en-GB" w:eastAsia="en-GB"/>
              </w:rPr>
            </w:pPr>
            <w:r w:rsidRPr="00985D46">
              <w:rPr>
                <w:rFonts w:ascii="Calibri" w:eastAsia="Times New Roman" w:hAnsi="Calibri" w:cs="Calibri"/>
                <w:b/>
                <w:bCs/>
                <w:color w:val="FFFFFF"/>
                <w:sz w:val="24"/>
                <w:szCs w:val="24"/>
                <w:lang w:val="en-GB" w:eastAsia="en-GB"/>
              </w:rPr>
              <w:t>Vendor's Remark</w:t>
            </w:r>
          </w:p>
        </w:tc>
      </w:tr>
      <w:tr w:rsidR="00985D46" w:rsidRPr="00985D46" w14:paraId="03814C8F" w14:textId="77777777" w:rsidTr="00E73613">
        <w:trPr>
          <w:trHeight w:val="315"/>
        </w:trPr>
        <w:tc>
          <w:tcPr>
            <w:tcW w:w="168" w:type="pct"/>
            <w:tcBorders>
              <w:top w:val="nil"/>
              <w:left w:val="single" w:sz="4" w:space="0" w:color="auto"/>
              <w:bottom w:val="single" w:sz="4" w:space="0" w:color="auto"/>
              <w:right w:val="single" w:sz="4" w:space="0" w:color="auto"/>
            </w:tcBorders>
            <w:shd w:val="clear" w:color="000000" w:fill="DDEBF7"/>
            <w:hideMark/>
          </w:tcPr>
          <w:p w14:paraId="0AE20011" w14:textId="77777777" w:rsidR="00985D46" w:rsidRPr="00985D46" w:rsidRDefault="00985D46" w:rsidP="00985D46">
            <w:pPr>
              <w:spacing w:after="0" w:line="240" w:lineRule="auto"/>
              <w:jc w:val="center"/>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A</w:t>
            </w:r>
          </w:p>
        </w:tc>
        <w:tc>
          <w:tcPr>
            <w:tcW w:w="3498" w:type="pct"/>
            <w:tcBorders>
              <w:top w:val="nil"/>
              <w:left w:val="nil"/>
              <w:bottom w:val="single" w:sz="4" w:space="0" w:color="auto"/>
              <w:right w:val="single" w:sz="4" w:space="0" w:color="auto"/>
            </w:tcBorders>
            <w:shd w:val="clear" w:color="000000" w:fill="DDEBF7"/>
            <w:hideMark/>
          </w:tcPr>
          <w:p w14:paraId="1B2931DE" w14:textId="77777777" w:rsidR="00985D46" w:rsidRPr="00985D46" w:rsidRDefault="00985D46" w:rsidP="00985D46">
            <w:pPr>
              <w:spacing w:after="0" w:line="240" w:lineRule="auto"/>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Support</w:t>
            </w:r>
          </w:p>
        </w:tc>
        <w:tc>
          <w:tcPr>
            <w:tcW w:w="640" w:type="pct"/>
            <w:tcBorders>
              <w:top w:val="nil"/>
              <w:left w:val="nil"/>
              <w:bottom w:val="single" w:sz="4" w:space="0" w:color="auto"/>
              <w:right w:val="single" w:sz="4" w:space="0" w:color="auto"/>
            </w:tcBorders>
            <w:shd w:val="clear" w:color="000000" w:fill="DDEBF7"/>
            <w:hideMark/>
          </w:tcPr>
          <w:p w14:paraId="166AD323" w14:textId="77777777" w:rsidR="00985D46" w:rsidRPr="00985D46" w:rsidRDefault="00985D46" w:rsidP="00985D46">
            <w:pPr>
              <w:spacing w:after="0" w:line="240" w:lineRule="auto"/>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 </w:t>
            </w:r>
          </w:p>
        </w:tc>
        <w:tc>
          <w:tcPr>
            <w:tcW w:w="694" w:type="pct"/>
            <w:tcBorders>
              <w:top w:val="nil"/>
              <w:left w:val="nil"/>
              <w:bottom w:val="single" w:sz="4" w:space="0" w:color="auto"/>
              <w:right w:val="single" w:sz="4" w:space="0" w:color="auto"/>
            </w:tcBorders>
            <w:shd w:val="clear" w:color="000000" w:fill="DDEBF7"/>
            <w:hideMark/>
          </w:tcPr>
          <w:p w14:paraId="1B32B61E" w14:textId="77777777" w:rsidR="00985D46" w:rsidRPr="00985D46" w:rsidRDefault="00985D46" w:rsidP="00985D46">
            <w:pPr>
              <w:spacing w:after="0" w:line="240" w:lineRule="auto"/>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 </w:t>
            </w:r>
          </w:p>
        </w:tc>
      </w:tr>
      <w:tr w:rsidR="00985D46" w:rsidRPr="00985D46" w14:paraId="27FD6986" w14:textId="77777777" w:rsidTr="00E73613">
        <w:trPr>
          <w:trHeight w:val="315"/>
        </w:trPr>
        <w:tc>
          <w:tcPr>
            <w:tcW w:w="168" w:type="pct"/>
            <w:tcBorders>
              <w:top w:val="nil"/>
              <w:left w:val="single" w:sz="4" w:space="0" w:color="auto"/>
              <w:bottom w:val="single" w:sz="4" w:space="0" w:color="auto"/>
              <w:right w:val="single" w:sz="4" w:space="0" w:color="auto"/>
            </w:tcBorders>
            <w:shd w:val="clear" w:color="auto" w:fill="auto"/>
            <w:hideMark/>
          </w:tcPr>
          <w:p w14:paraId="1262AB25"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w:t>
            </w:r>
          </w:p>
        </w:tc>
        <w:tc>
          <w:tcPr>
            <w:tcW w:w="3498" w:type="pct"/>
            <w:tcBorders>
              <w:top w:val="nil"/>
              <w:left w:val="nil"/>
              <w:bottom w:val="single" w:sz="4" w:space="0" w:color="auto"/>
              <w:right w:val="single" w:sz="4" w:space="0" w:color="auto"/>
            </w:tcBorders>
            <w:shd w:val="clear" w:color="000000" w:fill="FFFFFF"/>
            <w:hideMark/>
          </w:tcPr>
          <w:p w14:paraId="6E4C6FD3"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MDM solution must Support Android OS 6 and above</w:t>
            </w:r>
          </w:p>
        </w:tc>
        <w:tc>
          <w:tcPr>
            <w:tcW w:w="640" w:type="pct"/>
            <w:tcBorders>
              <w:top w:val="nil"/>
              <w:left w:val="nil"/>
              <w:bottom w:val="single" w:sz="4" w:space="0" w:color="auto"/>
              <w:right w:val="single" w:sz="4" w:space="0" w:color="auto"/>
            </w:tcBorders>
            <w:shd w:val="clear" w:color="auto" w:fill="auto"/>
            <w:hideMark/>
          </w:tcPr>
          <w:p w14:paraId="056AD323"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4" w:type="pct"/>
            <w:tcBorders>
              <w:top w:val="nil"/>
              <w:left w:val="nil"/>
              <w:bottom w:val="single" w:sz="4" w:space="0" w:color="auto"/>
              <w:right w:val="single" w:sz="4" w:space="0" w:color="auto"/>
            </w:tcBorders>
            <w:shd w:val="clear" w:color="auto" w:fill="auto"/>
            <w:hideMark/>
          </w:tcPr>
          <w:p w14:paraId="6E32A554"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r w:rsidR="00985D46" w:rsidRPr="00985D46" w14:paraId="10D2670E"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3FC603A2"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2</w:t>
            </w:r>
          </w:p>
        </w:tc>
        <w:tc>
          <w:tcPr>
            <w:tcW w:w="3498" w:type="pct"/>
            <w:tcBorders>
              <w:top w:val="nil"/>
              <w:left w:val="nil"/>
              <w:bottom w:val="single" w:sz="4" w:space="0" w:color="auto"/>
              <w:right w:val="single" w:sz="4" w:space="0" w:color="auto"/>
            </w:tcBorders>
            <w:shd w:val="clear" w:color="000000" w:fill="FFFFFF"/>
            <w:hideMark/>
          </w:tcPr>
          <w:p w14:paraId="2A864268"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 xml:space="preserve">MDM solution must Support iOS 12 and above </w:t>
            </w:r>
          </w:p>
        </w:tc>
        <w:tc>
          <w:tcPr>
            <w:tcW w:w="640" w:type="pct"/>
            <w:tcBorders>
              <w:top w:val="nil"/>
              <w:left w:val="nil"/>
              <w:bottom w:val="single" w:sz="4" w:space="0" w:color="auto"/>
              <w:right w:val="single" w:sz="4" w:space="0" w:color="auto"/>
            </w:tcBorders>
            <w:shd w:val="clear" w:color="auto" w:fill="auto"/>
            <w:hideMark/>
          </w:tcPr>
          <w:p w14:paraId="7BAE607A"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6BB81A35"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360C2AFB"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72C84B0A"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3</w:t>
            </w:r>
          </w:p>
        </w:tc>
        <w:tc>
          <w:tcPr>
            <w:tcW w:w="3498" w:type="pct"/>
            <w:tcBorders>
              <w:top w:val="nil"/>
              <w:left w:val="nil"/>
              <w:bottom w:val="single" w:sz="4" w:space="0" w:color="auto"/>
              <w:right w:val="single" w:sz="4" w:space="0" w:color="auto"/>
            </w:tcBorders>
            <w:shd w:val="clear" w:color="000000" w:fill="FFFFFF"/>
            <w:hideMark/>
          </w:tcPr>
          <w:p w14:paraId="08F3BF5D"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MDM solution must Support SAFE/KNOX, ADO, Supervised(iOS) APIs</w:t>
            </w:r>
          </w:p>
        </w:tc>
        <w:tc>
          <w:tcPr>
            <w:tcW w:w="640" w:type="pct"/>
            <w:tcBorders>
              <w:top w:val="nil"/>
              <w:left w:val="nil"/>
              <w:bottom w:val="single" w:sz="4" w:space="0" w:color="auto"/>
              <w:right w:val="single" w:sz="4" w:space="0" w:color="auto"/>
            </w:tcBorders>
            <w:shd w:val="clear" w:color="auto" w:fill="auto"/>
            <w:hideMark/>
          </w:tcPr>
          <w:p w14:paraId="0A0108AA"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64B605DF"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3B69FB71"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0BD9B967"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4</w:t>
            </w:r>
          </w:p>
        </w:tc>
        <w:tc>
          <w:tcPr>
            <w:tcW w:w="3498" w:type="pct"/>
            <w:tcBorders>
              <w:top w:val="nil"/>
              <w:left w:val="nil"/>
              <w:bottom w:val="single" w:sz="4" w:space="0" w:color="auto"/>
              <w:right w:val="single" w:sz="4" w:space="0" w:color="auto"/>
            </w:tcBorders>
            <w:shd w:val="clear" w:color="auto" w:fill="auto"/>
            <w:hideMark/>
          </w:tcPr>
          <w:p w14:paraId="3AAA4C35"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MDM solution should support Zero Touch Enrollment.</w:t>
            </w:r>
          </w:p>
        </w:tc>
        <w:tc>
          <w:tcPr>
            <w:tcW w:w="640" w:type="pct"/>
            <w:tcBorders>
              <w:top w:val="nil"/>
              <w:left w:val="nil"/>
              <w:bottom w:val="single" w:sz="4" w:space="0" w:color="auto"/>
              <w:right w:val="single" w:sz="4" w:space="0" w:color="auto"/>
            </w:tcBorders>
            <w:shd w:val="clear" w:color="auto" w:fill="auto"/>
            <w:hideMark/>
          </w:tcPr>
          <w:p w14:paraId="323A520A"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026A19BC"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6120D31F"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6BDFF617"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5</w:t>
            </w:r>
          </w:p>
        </w:tc>
        <w:tc>
          <w:tcPr>
            <w:tcW w:w="3498" w:type="pct"/>
            <w:tcBorders>
              <w:top w:val="nil"/>
              <w:left w:val="nil"/>
              <w:bottom w:val="single" w:sz="4" w:space="0" w:color="auto"/>
              <w:right w:val="single" w:sz="4" w:space="0" w:color="auto"/>
            </w:tcBorders>
            <w:shd w:val="clear" w:color="auto" w:fill="auto"/>
            <w:hideMark/>
          </w:tcPr>
          <w:p w14:paraId="09F0D19C"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MDM solution should support integration with Google's Android Enterprise</w:t>
            </w:r>
          </w:p>
        </w:tc>
        <w:tc>
          <w:tcPr>
            <w:tcW w:w="640" w:type="pct"/>
            <w:tcBorders>
              <w:top w:val="nil"/>
              <w:left w:val="nil"/>
              <w:bottom w:val="single" w:sz="4" w:space="0" w:color="auto"/>
              <w:right w:val="single" w:sz="4" w:space="0" w:color="auto"/>
            </w:tcBorders>
            <w:shd w:val="clear" w:color="auto" w:fill="auto"/>
            <w:hideMark/>
          </w:tcPr>
          <w:p w14:paraId="76A60DE2"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5B6F8A7D"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5151D473"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435033D0"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6</w:t>
            </w:r>
          </w:p>
        </w:tc>
        <w:tc>
          <w:tcPr>
            <w:tcW w:w="3498" w:type="pct"/>
            <w:tcBorders>
              <w:top w:val="nil"/>
              <w:left w:val="nil"/>
              <w:bottom w:val="single" w:sz="4" w:space="0" w:color="auto"/>
              <w:right w:val="single" w:sz="4" w:space="0" w:color="auto"/>
            </w:tcBorders>
            <w:shd w:val="clear" w:color="auto" w:fill="auto"/>
            <w:hideMark/>
          </w:tcPr>
          <w:p w14:paraId="76E08D73"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MDM solution should be Google Compliant and available on Google Play Store.</w:t>
            </w:r>
          </w:p>
        </w:tc>
        <w:tc>
          <w:tcPr>
            <w:tcW w:w="640" w:type="pct"/>
            <w:tcBorders>
              <w:top w:val="nil"/>
              <w:left w:val="nil"/>
              <w:bottom w:val="single" w:sz="4" w:space="0" w:color="auto"/>
              <w:right w:val="single" w:sz="4" w:space="0" w:color="auto"/>
            </w:tcBorders>
            <w:shd w:val="clear" w:color="auto" w:fill="auto"/>
            <w:hideMark/>
          </w:tcPr>
          <w:p w14:paraId="1F9F5B48"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3F7D9F37"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59D8A85"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4B5026F4"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7</w:t>
            </w:r>
          </w:p>
        </w:tc>
        <w:tc>
          <w:tcPr>
            <w:tcW w:w="3498" w:type="pct"/>
            <w:tcBorders>
              <w:top w:val="nil"/>
              <w:left w:val="nil"/>
              <w:bottom w:val="single" w:sz="4" w:space="0" w:color="auto"/>
              <w:right w:val="single" w:sz="4" w:space="0" w:color="auto"/>
            </w:tcBorders>
            <w:shd w:val="clear" w:color="auto" w:fill="auto"/>
            <w:hideMark/>
          </w:tcPr>
          <w:p w14:paraId="5CF33D0D"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MDM Solution should be Android Enterprise Certified.</w:t>
            </w:r>
          </w:p>
        </w:tc>
        <w:tc>
          <w:tcPr>
            <w:tcW w:w="640" w:type="pct"/>
            <w:tcBorders>
              <w:top w:val="nil"/>
              <w:left w:val="nil"/>
              <w:bottom w:val="single" w:sz="4" w:space="0" w:color="auto"/>
              <w:right w:val="single" w:sz="4" w:space="0" w:color="auto"/>
            </w:tcBorders>
            <w:shd w:val="clear" w:color="auto" w:fill="auto"/>
            <w:hideMark/>
          </w:tcPr>
          <w:p w14:paraId="7A79F077"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330AEFC8"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15B5944" w14:textId="77777777" w:rsidTr="00E73613">
        <w:trPr>
          <w:trHeight w:val="315"/>
        </w:trPr>
        <w:tc>
          <w:tcPr>
            <w:tcW w:w="168" w:type="pct"/>
            <w:tcBorders>
              <w:top w:val="nil"/>
              <w:left w:val="single" w:sz="4" w:space="0" w:color="auto"/>
              <w:bottom w:val="single" w:sz="4" w:space="0" w:color="auto"/>
              <w:right w:val="single" w:sz="4" w:space="0" w:color="auto"/>
            </w:tcBorders>
            <w:shd w:val="clear" w:color="000000" w:fill="DDEBF7"/>
            <w:hideMark/>
          </w:tcPr>
          <w:p w14:paraId="47D7F95E" w14:textId="77777777" w:rsidR="00985D46" w:rsidRPr="00985D46" w:rsidRDefault="00985D46" w:rsidP="00985D46">
            <w:pPr>
              <w:spacing w:after="0" w:line="240" w:lineRule="auto"/>
              <w:jc w:val="center"/>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B</w:t>
            </w:r>
          </w:p>
        </w:tc>
        <w:tc>
          <w:tcPr>
            <w:tcW w:w="3498" w:type="pct"/>
            <w:tcBorders>
              <w:top w:val="nil"/>
              <w:left w:val="nil"/>
              <w:bottom w:val="single" w:sz="4" w:space="0" w:color="auto"/>
              <w:right w:val="single" w:sz="4" w:space="0" w:color="auto"/>
            </w:tcBorders>
            <w:shd w:val="clear" w:color="000000" w:fill="DDEBF7"/>
            <w:hideMark/>
          </w:tcPr>
          <w:p w14:paraId="438657F3" w14:textId="77777777" w:rsidR="00985D46" w:rsidRPr="00985D46" w:rsidRDefault="00985D46" w:rsidP="00985D46">
            <w:pPr>
              <w:spacing w:after="0" w:line="240" w:lineRule="auto"/>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Mobile Device Management</w:t>
            </w:r>
          </w:p>
        </w:tc>
        <w:tc>
          <w:tcPr>
            <w:tcW w:w="640" w:type="pct"/>
            <w:tcBorders>
              <w:top w:val="nil"/>
              <w:left w:val="nil"/>
              <w:bottom w:val="single" w:sz="4" w:space="0" w:color="auto"/>
              <w:right w:val="single" w:sz="4" w:space="0" w:color="auto"/>
            </w:tcBorders>
            <w:shd w:val="clear" w:color="000000" w:fill="DDEBF7"/>
            <w:hideMark/>
          </w:tcPr>
          <w:p w14:paraId="13E8E616" w14:textId="77777777" w:rsidR="00985D46" w:rsidRPr="00985D46" w:rsidRDefault="00985D46" w:rsidP="00985D46">
            <w:pPr>
              <w:spacing w:after="0" w:line="240" w:lineRule="auto"/>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 </w:t>
            </w:r>
          </w:p>
        </w:tc>
        <w:tc>
          <w:tcPr>
            <w:tcW w:w="694" w:type="pct"/>
            <w:tcBorders>
              <w:top w:val="nil"/>
              <w:left w:val="nil"/>
              <w:bottom w:val="single" w:sz="4" w:space="0" w:color="auto"/>
              <w:right w:val="single" w:sz="4" w:space="0" w:color="auto"/>
            </w:tcBorders>
            <w:shd w:val="clear" w:color="000000" w:fill="DDEBF7"/>
            <w:hideMark/>
          </w:tcPr>
          <w:p w14:paraId="68CFA78A" w14:textId="77777777" w:rsidR="00985D46" w:rsidRPr="00985D46" w:rsidRDefault="00985D46" w:rsidP="00985D46">
            <w:pPr>
              <w:spacing w:after="0" w:line="240" w:lineRule="auto"/>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 </w:t>
            </w:r>
          </w:p>
        </w:tc>
      </w:tr>
      <w:tr w:rsidR="00985D46" w:rsidRPr="00985D46" w14:paraId="19D07CDF"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287C2A0C"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8</w:t>
            </w:r>
          </w:p>
        </w:tc>
        <w:tc>
          <w:tcPr>
            <w:tcW w:w="3498" w:type="pct"/>
            <w:tcBorders>
              <w:top w:val="nil"/>
              <w:left w:val="nil"/>
              <w:bottom w:val="single" w:sz="4" w:space="0" w:color="auto"/>
              <w:right w:val="single" w:sz="4" w:space="0" w:color="auto"/>
            </w:tcBorders>
            <w:shd w:val="clear" w:color="auto" w:fill="auto"/>
            <w:hideMark/>
          </w:tcPr>
          <w:p w14:paraId="3E65C582"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should have a product tour for the Admin Console when admin logs in for the first time</w:t>
            </w:r>
          </w:p>
        </w:tc>
        <w:tc>
          <w:tcPr>
            <w:tcW w:w="640" w:type="pct"/>
            <w:tcBorders>
              <w:top w:val="nil"/>
              <w:left w:val="nil"/>
              <w:bottom w:val="single" w:sz="4" w:space="0" w:color="auto"/>
              <w:right w:val="single" w:sz="4" w:space="0" w:color="auto"/>
            </w:tcBorders>
            <w:shd w:val="clear" w:color="auto" w:fill="auto"/>
            <w:hideMark/>
          </w:tcPr>
          <w:p w14:paraId="6156E594"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5DB23CB9"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6C7B31C4"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6E532D8F"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9</w:t>
            </w:r>
          </w:p>
        </w:tc>
        <w:tc>
          <w:tcPr>
            <w:tcW w:w="3498" w:type="pct"/>
            <w:tcBorders>
              <w:top w:val="nil"/>
              <w:left w:val="nil"/>
              <w:bottom w:val="single" w:sz="4" w:space="0" w:color="auto"/>
              <w:right w:val="single" w:sz="4" w:space="0" w:color="auto"/>
            </w:tcBorders>
            <w:shd w:val="clear" w:color="000000" w:fill="FFFFFF"/>
            <w:hideMark/>
          </w:tcPr>
          <w:p w14:paraId="0807A9C9"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be able to see statistics of OS(Android and iOS) version on devices in realtime on dashboad</w:t>
            </w:r>
          </w:p>
        </w:tc>
        <w:tc>
          <w:tcPr>
            <w:tcW w:w="640" w:type="pct"/>
            <w:tcBorders>
              <w:top w:val="nil"/>
              <w:left w:val="nil"/>
              <w:bottom w:val="single" w:sz="4" w:space="0" w:color="auto"/>
              <w:right w:val="single" w:sz="4" w:space="0" w:color="auto"/>
            </w:tcBorders>
            <w:shd w:val="clear" w:color="auto" w:fill="auto"/>
            <w:hideMark/>
          </w:tcPr>
          <w:p w14:paraId="2909279D"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5F417039"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7D5C77DD"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4D311E18"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10</w:t>
            </w:r>
          </w:p>
        </w:tc>
        <w:tc>
          <w:tcPr>
            <w:tcW w:w="3498" w:type="pct"/>
            <w:tcBorders>
              <w:top w:val="nil"/>
              <w:left w:val="nil"/>
              <w:bottom w:val="single" w:sz="4" w:space="0" w:color="auto"/>
              <w:right w:val="single" w:sz="4" w:space="0" w:color="auto"/>
            </w:tcBorders>
            <w:shd w:val="clear" w:color="000000" w:fill="FFFFFF"/>
            <w:hideMark/>
          </w:tcPr>
          <w:p w14:paraId="705C5C27"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 must be able to see statistics of device MDM agent version in realtime on dashboad</w:t>
            </w:r>
          </w:p>
        </w:tc>
        <w:tc>
          <w:tcPr>
            <w:tcW w:w="640" w:type="pct"/>
            <w:tcBorders>
              <w:top w:val="nil"/>
              <w:left w:val="nil"/>
              <w:bottom w:val="single" w:sz="4" w:space="0" w:color="auto"/>
              <w:right w:val="single" w:sz="4" w:space="0" w:color="auto"/>
            </w:tcBorders>
            <w:shd w:val="clear" w:color="auto" w:fill="auto"/>
            <w:hideMark/>
          </w:tcPr>
          <w:p w14:paraId="2248316A"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469C830E"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286F052B"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5F6F59EF"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11</w:t>
            </w:r>
          </w:p>
        </w:tc>
        <w:tc>
          <w:tcPr>
            <w:tcW w:w="3498" w:type="pct"/>
            <w:tcBorders>
              <w:top w:val="nil"/>
              <w:left w:val="nil"/>
              <w:bottom w:val="single" w:sz="4" w:space="0" w:color="auto"/>
              <w:right w:val="single" w:sz="4" w:space="0" w:color="auto"/>
            </w:tcBorders>
            <w:shd w:val="clear" w:color="000000" w:fill="FFFFFF"/>
            <w:hideMark/>
          </w:tcPr>
          <w:p w14:paraId="4DDA2161"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 must have Over the Air Device Enrollment (via email, SMS, QR code, bulk enrollment)</w:t>
            </w:r>
          </w:p>
        </w:tc>
        <w:tc>
          <w:tcPr>
            <w:tcW w:w="640" w:type="pct"/>
            <w:tcBorders>
              <w:top w:val="nil"/>
              <w:left w:val="nil"/>
              <w:bottom w:val="single" w:sz="4" w:space="0" w:color="auto"/>
              <w:right w:val="single" w:sz="4" w:space="0" w:color="auto"/>
            </w:tcBorders>
            <w:shd w:val="clear" w:color="auto" w:fill="auto"/>
            <w:hideMark/>
          </w:tcPr>
          <w:p w14:paraId="443F743C"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515AEE26"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1F41EF5D"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46260289"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12</w:t>
            </w:r>
          </w:p>
        </w:tc>
        <w:tc>
          <w:tcPr>
            <w:tcW w:w="3498" w:type="pct"/>
            <w:tcBorders>
              <w:top w:val="nil"/>
              <w:left w:val="nil"/>
              <w:bottom w:val="single" w:sz="4" w:space="0" w:color="auto"/>
              <w:right w:val="single" w:sz="4" w:space="0" w:color="auto"/>
            </w:tcBorders>
            <w:shd w:val="clear" w:color="000000" w:fill="FFFFFF"/>
            <w:hideMark/>
          </w:tcPr>
          <w:p w14:paraId="3B3C1949"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have Device naming convention for Bulk Enrollment</w:t>
            </w:r>
          </w:p>
        </w:tc>
        <w:tc>
          <w:tcPr>
            <w:tcW w:w="640" w:type="pct"/>
            <w:tcBorders>
              <w:top w:val="nil"/>
              <w:left w:val="nil"/>
              <w:bottom w:val="single" w:sz="4" w:space="0" w:color="auto"/>
              <w:right w:val="single" w:sz="4" w:space="0" w:color="auto"/>
            </w:tcBorders>
            <w:shd w:val="clear" w:color="auto" w:fill="auto"/>
            <w:hideMark/>
          </w:tcPr>
          <w:p w14:paraId="0BA2E55B"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034593C0"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64A6FBEB"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3F88889F"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13</w:t>
            </w:r>
          </w:p>
        </w:tc>
        <w:tc>
          <w:tcPr>
            <w:tcW w:w="3498" w:type="pct"/>
            <w:tcBorders>
              <w:top w:val="nil"/>
              <w:left w:val="nil"/>
              <w:bottom w:val="single" w:sz="4" w:space="0" w:color="auto"/>
              <w:right w:val="single" w:sz="4" w:space="0" w:color="auto"/>
            </w:tcBorders>
            <w:shd w:val="clear" w:color="000000" w:fill="FFFFFF"/>
            <w:hideMark/>
          </w:tcPr>
          <w:p w14:paraId="73EE1154"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have Push Wi-Fi setting</w:t>
            </w:r>
          </w:p>
        </w:tc>
        <w:tc>
          <w:tcPr>
            <w:tcW w:w="640" w:type="pct"/>
            <w:tcBorders>
              <w:top w:val="nil"/>
              <w:left w:val="nil"/>
              <w:bottom w:val="single" w:sz="4" w:space="0" w:color="auto"/>
              <w:right w:val="single" w:sz="4" w:space="0" w:color="auto"/>
            </w:tcBorders>
            <w:shd w:val="clear" w:color="auto" w:fill="auto"/>
            <w:hideMark/>
          </w:tcPr>
          <w:p w14:paraId="0F1BADFE"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33EEA119"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C7CB3E3"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751B5D48"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14</w:t>
            </w:r>
          </w:p>
        </w:tc>
        <w:tc>
          <w:tcPr>
            <w:tcW w:w="3498" w:type="pct"/>
            <w:tcBorders>
              <w:top w:val="nil"/>
              <w:left w:val="nil"/>
              <w:bottom w:val="single" w:sz="4" w:space="0" w:color="auto"/>
              <w:right w:val="single" w:sz="4" w:space="0" w:color="auto"/>
            </w:tcBorders>
            <w:shd w:val="clear" w:color="000000" w:fill="FFFFFF"/>
            <w:hideMark/>
          </w:tcPr>
          <w:p w14:paraId="35D6771D"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have Configuration monitoring/auditing and ensure audit logs are immutable and tamper-proof</w:t>
            </w:r>
          </w:p>
        </w:tc>
        <w:tc>
          <w:tcPr>
            <w:tcW w:w="640" w:type="pct"/>
            <w:tcBorders>
              <w:top w:val="nil"/>
              <w:left w:val="nil"/>
              <w:bottom w:val="single" w:sz="4" w:space="0" w:color="auto"/>
              <w:right w:val="single" w:sz="4" w:space="0" w:color="auto"/>
            </w:tcBorders>
            <w:shd w:val="clear" w:color="auto" w:fill="auto"/>
            <w:hideMark/>
          </w:tcPr>
          <w:p w14:paraId="7FA452FF"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5E10FB11"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7B6C873C"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670DD6D7"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15</w:t>
            </w:r>
          </w:p>
        </w:tc>
        <w:tc>
          <w:tcPr>
            <w:tcW w:w="3498" w:type="pct"/>
            <w:tcBorders>
              <w:top w:val="nil"/>
              <w:left w:val="nil"/>
              <w:bottom w:val="single" w:sz="4" w:space="0" w:color="auto"/>
              <w:right w:val="single" w:sz="4" w:space="0" w:color="auto"/>
            </w:tcBorders>
            <w:shd w:val="clear" w:color="000000" w:fill="FFFFFF"/>
            <w:hideMark/>
          </w:tcPr>
          <w:p w14:paraId="18F7EBF8"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have Automated provisioning/enrollment and de-provisioning based on criteria</w:t>
            </w:r>
          </w:p>
        </w:tc>
        <w:tc>
          <w:tcPr>
            <w:tcW w:w="640" w:type="pct"/>
            <w:tcBorders>
              <w:top w:val="nil"/>
              <w:left w:val="nil"/>
              <w:bottom w:val="single" w:sz="4" w:space="0" w:color="auto"/>
              <w:right w:val="single" w:sz="4" w:space="0" w:color="auto"/>
            </w:tcBorders>
            <w:shd w:val="clear" w:color="auto" w:fill="auto"/>
            <w:hideMark/>
          </w:tcPr>
          <w:p w14:paraId="7A245837"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5F592EFD"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39371710"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0D8CF526"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16</w:t>
            </w:r>
          </w:p>
        </w:tc>
        <w:tc>
          <w:tcPr>
            <w:tcW w:w="3498" w:type="pct"/>
            <w:tcBorders>
              <w:top w:val="nil"/>
              <w:left w:val="nil"/>
              <w:bottom w:val="single" w:sz="4" w:space="0" w:color="auto"/>
              <w:right w:val="single" w:sz="4" w:space="0" w:color="auto"/>
            </w:tcBorders>
            <w:shd w:val="clear" w:color="000000" w:fill="FFFFFF"/>
            <w:hideMark/>
          </w:tcPr>
          <w:p w14:paraId="73A55917"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be able to disable camera -Bluetooth -NFC - Screen Capture - Airplane Mode - Cellular data - Hotspot - Wi-Fi</w:t>
            </w:r>
          </w:p>
        </w:tc>
        <w:tc>
          <w:tcPr>
            <w:tcW w:w="640" w:type="pct"/>
            <w:tcBorders>
              <w:top w:val="nil"/>
              <w:left w:val="nil"/>
              <w:bottom w:val="single" w:sz="4" w:space="0" w:color="auto"/>
              <w:right w:val="single" w:sz="4" w:space="0" w:color="auto"/>
            </w:tcBorders>
            <w:shd w:val="clear" w:color="auto" w:fill="auto"/>
            <w:hideMark/>
          </w:tcPr>
          <w:p w14:paraId="2957C097"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268436CD"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34B33B78" w14:textId="77777777" w:rsidTr="00E73613">
        <w:trPr>
          <w:trHeight w:val="480"/>
        </w:trPr>
        <w:tc>
          <w:tcPr>
            <w:tcW w:w="168" w:type="pct"/>
            <w:tcBorders>
              <w:top w:val="nil"/>
              <w:left w:val="single" w:sz="4" w:space="0" w:color="auto"/>
              <w:bottom w:val="single" w:sz="4" w:space="0" w:color="auto"/>
              <w:right w:val="single" w:sz="4" w:space="0" w:color="auto"/>
            </w:tcBorders>
            <w:shd w:val="clear" w:color="auto" w:fill="auto"/>
            <w:hideMark/>
          </w:tcPr>
          <w:p w14:paraId="117C8A52"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17</w:t>
            </w:r>
          </w:p>
        </w:tc>
        <w:tc>
          <w:tcPr>
            <w:tcW w:w="3498" w:type="pct"/>
            <w:tcBorders>
              <w:top w:val="nil"/>
              <w:left w:val="nil"/>
              <w:bottom w:val="single" w:sz="4" w:space="0" w:color="auto"/>
              <w:right w:val="single" w:sz="4" w:space="0" w:color="auto"/>
            </w:tcBorders>
            <w:shd w:val="clear" w:color="000000" w:fill="FFFFFF"/>
            <w:hideMark/>
          </w:tcPr>
          <w:p w14:paraId="71D32688"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be able to block USB - Factory Reset from Device Setting and block USB for data transfer while allowing charging.</w:t>
            </w:r>
          </w:p>
        </w:tc>
        <w:tc>
          <w:tcPr>
            <w:tcW w:w="640" w:type="pct"/>
            <w:tcBorders>
              <w:top w:val="nil"/>
              <w:left w:val="nil"/>
              <w:bottom w:val="single" w:sz="4" w:space="0" w:color="auto"/>
              <w:right w:val="single" w:sz="4" w:space="0" w:color="auto"/>
            </w:tcBorders>
            <w:shd w:val="clear" w:color="auto" w:fill="auto"/>
            <w:hideMark/>
          </w:tcPr>
          <w:p w14:paraId="4C7A18D4"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03176CBD"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6BA2CF0E"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5AFD35E6"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18</w:t>
            </w:r>
          </w:p>
        </w:tc>
        <w:tc>
          <w:tcPr>
            <w:tcW w:w="3498" w:type="pct"/>
            <w:tcBorders>
              <w:top w:val="nil"/>
              <w:left w:val="nil"/>
              <w:bottom w:val="single" w:sz="4" w:space="0" w:color="auto"/>
              <w:right w:val="single" w:sz="4" w:space="0" w:color="auto"/>
            </w:tcBorders>
            <w:shd w:val="clear" w:color="000000" w:fill="FFFFFF"/>
            <w:hideMark/>
          </w:tcPr>
          <w:p w14:paraId="3F099817"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have admin role based privileges and also have support for custom roles and Permissions</w:t>
            </w:r>
          </w:p>
        </w:tc>
        <w:tc>
          <w:tcPr>
            <w:tcW w:w="640" w:type="pct"/>
            <w:tcBorders>
              <w:top w:val="nil"/>
              <w:left w:val="nil"/>
              <w:bottom w:val="single" w:sz="4" w:space="0" w:color="auto"/>
              <w:right w:val="single" w:sz="4" w:space="0" w:color="auto"/>
            </w:tcBorders>
            <w:shd w:val="clear" w:color="auto" w:fill="auto"/>
            <w:hideMark/>
          </w:tcPr>
          <w:p w14:paraId="6E1C7488"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54AF7EDD"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4AAC897C"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5FEE4611"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19</w:t>
            </w:r>
          </w:p>
        </w:tc>
        <w:tc>
          <w:tcPr>
            <w:tcW w:w="3498" w:type="pct"/>
            <w:tcBorders>
              <w:top w:val="nil"/>
              <w:left w:val="nil"/>
              <w:bottom w:val="single" w:sz="4" w:space="0" w:color="auto"/>
              <w:right w:val="single" w:sz="4" w:space="0" w:color="auto"/>
            </w:tcBorders>
            <w:shd w:val="clear" w:color="000000" w:fill="FFFFFF"/>
            <w:hideMark/>
          </w:tcPr>
          <w:p w14:paraId="5302EF4A"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be able to generate report of Location Tracking (Historical)</w:t>
            </w:r>
          </w:p>
        </w:tc>
        <w:tc>
          <w:tcPr>
            <w:tcW w:w="640" w:type="pct"/>
            <w:tcBorders>
              <w:top w:val="nil"/>
              <w:left w:val="nil"/>
              <w:bottom w:val="single" w:sz="4" w:space="0" w:color="auto"/>
              <w:right w:val="single" w:sz="4" w:space="0" w:color="auto"/>
            </w:tcBorders>
            <w:shd w:val="clear" w:color="auto" w:fill="auto"/>
            <w:hideMark/>
          </w:tcPr>
          <w:p w14:paraId="32A2C00D"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28AE8838"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5B303959" w14:textId="77777777" w:rsidTr="00E73613">
        <w:trPr>
          <w:trHeight w:val="960"/>
        </w:trPr>
        <w:tc>
          <w:tcPr>
            <w:tcW w:w="168" w:type="pct"/>
            <w:tcBorders>
              <w:top w:val="nil"/>
              <w:left w:val="single" w:sz="4" w:space="0" w:color="auto"/>
              <w:bottom w:val="single" w:sz="4" w:space="0" w:color="auto"/>
              <w:right w:val="single" w:sz="4" w:space="0" w:color="auto"/>
            </w:tcBorders>
            <w:shd w:val="clear" w:color="auto" w:fill="auto"/>
            <w:hideMark/>
          </w:tcPr>
          <w:p w14:paraId="58233C47"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20</w:t>
            </w:r>
          </w:p>
        </w:tc>
        <w:tc>
          <w:tcPr>
            <w:tcW w:w="3498" w:type="pct"/>
            <w:tcBorders>
              <w:top w:val="nil"/>
              <w:left w:val="nil"/>
              <w:bottom w:val="single" w:sz="4" w:space="0" w:color="auto"/>
              <w:right w:val="single" w:sz="4" w:space="0" w:color="auto"/>
            </w:tcBorders>
            <w:shd w:val="clear" w:color="auto" w:fill="auto"/>
            <w:hideMark/>
          </w:tcPr>
          <w:p w14:paraId="5ACC4EA7" w14:textId="77777777" w:rsidR="00985D46" w:rsidRPr="00985D46" w:rsidRDefault="00985D46" w:rsidP="00985D46">
            <w:pPr>
              <w:spacing w:after="0" w:line="240" w:lineRule="auto"/>
              <w:rPr>
                <w:rFonts w:ascii="Calibri" w:eastAsia="Times New Roman" w:hAnsi="Calibri" w:cs="Calibri"/>
                <w:sz w:val="18"/>
                <w:szCs w:val="18"/>
                <w:lang w:val="en-GB" w:eastAsia="en-GB"/>
              </w:rPr>
            </w:pPr>
            <w:r w:rsidRPr="00985D46">
              <w:rPr>
                <w:rFonts w:ascii="Calibri" w:eastAsia="Times New Roman" w:hAnsi="Calibri" w:cs="Calibri"/>
                <w:sz w:val="18"/>
                <w:szCs w:val="18"/>
                <w:lang w:val="en-GB" w:eastAsia="en-GB"/>
              </w:rPr>
              <w:t>The MDM solutions must be able to locate devices on a single map:</w:t>
            </w:r>
            <w:r w:rsidRPr="00985D46">
              <w:rPr>
                <w:rFonts w:ascii="Calibri" w:eastAsia="Times New Roman" w:hAnsi="Calibri" w:cs="Calibri"/>
                <w:sz w:val="18"/>
                <w:szCs w:val="18"/>
                <w:lang w:val="en-GB" w:eastAsia="en-GB"/>
              </w:rPr>
              <w:br/>
              <w:t>1. Showing all devices location on single map</w:t>
            </w:r>
            <w:r w:rsidRPr="00985D46">
              <w:rPr>
                <w:rFonts w:ascii="Calibri" w:eastAsia="Times New Roman" w:hAnsi="Calibri" w:cs="Calibri"/>
                <w:sz w:val="18"/>
                <w:szCs w:val="18"/>
                <w:lang w:val="en-GB" w:eastAsia="en-GB"/>
              </w:rPr>
              <w:br/>
              <w:t>2. Selecting devices and showing their location on single map</w:t>
            </w:r>
            <w:r w:rsidRPr="00985D46">
              <w:rPr>
                <w:rFonts w:ascii="Calibri" w:eastAsia="Times New Roman" w:hAnsi="Calibri" w:cs="Calibri"/>
                <w:sz w:val="18"/>
                <w:szCs w:val="18"/>
                <w:lang w:val="en-GB" w:eastAsia="en-GB"/>
              </w:rPr>
              <w:br/>
              <w:t>3. Selecting groups and showing the location of all devices in that group on single map</w:t>
            </w:r>
          </w:p>
        </w:tc>
        <w:tc>
          <w:tcPr>
            <w:tcW w:w="640" w:type="pct"/>
            <w:tcBorders>
              <w:top w:val="nil"/>
              <w:left w:val="nil"/>
              <w:bottom w:val="single" w:sz="4" w:space="0" w:color="auto"/>
              <w:right w:val="single" w:sz="4" w:space="0" w:color="auto"/>
            </w:tcBorders>
            <w:shd w:val="clear" w:color="auto" w:fill="auto"/>
            <w:hideMark/>
          </w:tcPr>
          <w:p w14:paraId="6AF234DB"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68E2ADBE"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7E47E7C2"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6414F7AD"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21</w:t>
            </w:r>
          </w:p>
        </w:tc>
        <w:tc>
          <w:tcPr>
            <w:tcW w:w="3498" w:type="pct"/>
            <w:tcBorders>
              <w:top w:val="nil"/>
              <w:left w:val="nil"/>
              <w:bottom w:val="single" w:sz="4" w:space="0" w:color="auto"/>
              <w:right w:val="single" w:sz="4" w:space="0" w:color="auto"/>
            </w:tcBorders>
            <w:shd w:val="clear" w:color="auto" w:fill="auto"/>
            <w:hideMark/>
          </w:tcPr>
          <w:p w14:paraId="136E9AB7"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have Block mounting physical media</w:t>
            </w:r>
          </w:p>
        </w:tc>
        <w:tc>
          <w:tcPr>
            <w:tcW w:w="640" w:type="pct"/>
            <w:tcBorders>
              <w:top w:val="nil"/>
              <w:left w:val="nil"/>
              <w:bottom w:val="single" w:sz="4" w:space="0" w:color="auto"/>
              <w:right w:val="single" w:sz="4" w:space="0" w:color="auto"/>
            </w:tcBorders>
            <w:shd w:val="clear" w:color="auto" w:fill="auto"/>
            <w:hideMark/>
          </w:tcPr>
          <w:p w14:paraId="1532236B"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3F85778B"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16A6F4CB"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2792FCA2"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22</w:t>
            </w:r>
          </w:p>
        </w:tc>
        <w:tc>
          <w:tcPr>
            <w:tcW w:w="3498" w:type="pct"/>
            <w:tcBorders>
              <w:top w:val="nil"/>
              <w:left w:val="nil"/>
              <w:bottom w:val="single" w:sz="4" w:space="0" w:color="auto"/>
              <w:right w:val="single" w:sz="4" w:space="0" w:color="auto"/>
            </w:tcBorders>
            <w:shd w:val="clear" w:color="auto" w:fill="auto"/>
            <w:hideMark/>
          </w:tcPr>
          <w:p w14:paraId="4CF28FC5"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have Block Primary Microphone</w:t>
            </w:r>
          </w:p>
        </w:tc>
        <w:tc>
          <w:tcPr>
            <w:tcW w:w="640" w:type="pct"/>
            <w:tcBorders>
              <w:top w:val="nil"/>
              <w:left w:val="nil"/>
              <w:bottom w:val="single" w:sz="4" w:space="0" w:color="auto"/>
              <w:right w:val="single" w:sz="4" w:space="0" w:color="auto"/>
            </w:tcBorders>
            <w:shd w:val="clear" w:color="auto" w:fill="auto"/>
            <w:hideMark/>
          </w:tcPr>
          <w:p w14:paraId="108245E5"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70C0270C"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5E19C863"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1E09C5EC"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23</w:t>
            </w:r>
          </w:p>
        </w:tc>
        <w:tc>
          <w:tcPr>
            <w:tcW w:w="3498" w:type="pct"/>
            <w:tcBorders>
              <w:top w:val="nil"/>
              <w:left w:val="nil"/>
              <w:bottom w:val="single" w:sz="4" w:space="0" w:color="auto"/>
              <w:right w:val="single" w:sz="4" w:space="0" w:color="auto"/>
            </w:tcBorders>
            <w:shd w:val="clear" w:color="auto" w:fill="auto"/>
            <w:hideMark/>
          </w:tcPr>
          <w:p w14:paraId="77FAAEB8"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be able to Block SMS/ MMS/ Outgoing calls</w:t>
            </w:r>
          </w:p>
        </w:tc>
        <w:tc>
          <w:tcPr>
            <w:tcW w:w="640" w:type="pct"/>
            <w:tcBorders>
              <w:top w:val="nil"/>
              <w:left w:val="nil"/>
              <w:bottom w:val="single" w:sz="4" w:space="0" w:color="auto"/>
              <w:right w:val="single" w:sz="4" w:space="0" w:color="auto"/>
            </w:tcBorders>
            <w:shd w:val="clear" w:color="auto" w:fill="auto"/>
            <w:hideMark/>
          </w:tcPr>
          <w:p w14:paraId="670DCDB1"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1798DB17"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29FD00C7"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1E295F4D"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24</w:t>
            </w:r>
          </w:p>
        </w:tc>
        <w:tc>
          <w:tcPr>
            <w:tcW w:w="3498" w:type="pct"/>
            <w:tcBorders>
              <w:top w:val="nil"/>
              <w:left w:val="nil"/>
              <w:bottom w:val="single" w:sz="4" w:space="0" w:color="auto"/>
              <w:right w:val="single" w:sz="4" w:space="0" w:color="auto"/>
            </w:tcBorders>
            <w:shd w:val="clear" w:color="auto" w:fill="auto"/>
            <w:hideMark/>
          </w:tcPr>
          <w:p w14:paraId="3439BE94"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have the option for the admin to change the Company Name and logo on the Web Console portal.</w:t>
            </w:r>
          </w:p>
        </w:tc>
        <w:tc>
          <w:tcPr>
            <w:tcW w:w="640" w:type="pct"/>
            <w:tcBorders>
              <w:top w:val="nil"/>
              <w:left w:val="nil"/>
              <w:bottom w:val="single" w:sz="4" w:space="0" w:color="auto"/>
              <w:right w:val="single" w:sz="4" w:space="0" w:color="auto"/>
            </w:tcBorders>
            <w:shd w:val="clear" w:color="auto" w:fill="auto"/>
            <w:hideMark/>
          </w:tcPr>
          <w:p w14:paraId="2650F0AF"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0A2E36E7"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74A663CD"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6A13A95B"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25</w:t>
            </w:r>
          </w:p>
        </w:tc>
        <w:tc>
          <w:tcPr>
            <w:tcW w:w="3498" w:type="pct"/>
            <w:tcBorders>
              <w:top w:val="nil"/>
              <w:left w:val="nil"/>
              <w:bottom w:val="single" w:sz="4" w:space="0" w:color="auto"/>
              <w:right w:val="single" w:sz="4" w:space="0" w:color="auto"/>
            </w:tcBorders>
            <w:shd w:val="clear" w:color="auto" w:fill="auto"/>
            <w:hideMark/>
          </w:tcPr>
          <w:p w14:paraId="0F550AD0"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have Policy for USB Debugging, location, device accessibility,etc.</w:t>
            </w:r>
          </w:p>
        </w:tc>
        <w:tc>
          <w:tcPr>
            <w:tcW w:w="640" w:type="pct"/>
            <w:tcBorders>
              <w:top w:val="nil"/>
              <w:left w:val="nil"/>
              <w:bottom w:val="single" w:sz="4" w:space="0" w:color="auto"/>
              <w:right w:val="single" w:sz="4" w:space="0" w:color="auto"/>
            </w:tcBorders>
            <w:shd w:val="clear" w:color="auto" w:fill="auto"/>
            <w:hideMark/>
          </w:tcPr>
          <w:p w14:paraId="4C8C7F9D"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450890C3"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D6B53E5"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2E4F9CF2"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26</w:t>
            </w:r>
          </w:p>
        </w:tc>
        <w:tc>
          <w:tcPr>
            <w:tcW w:w="3498" w:type="pct"/>
            <w:tcBorders>
              <w:top w:val="nil"/>
              <w:left w:val="nil"/>
              <w:bottom w:val="single" w:sz="4" w:space="0" w:color="auto"/>
              <w:right w:val="single" w:sz="4" w:space="0" w:color="auto"/>
            </w:tcBorders>
            <w:shd w:val="clear" w:color="auto" w:fill="auto"/>
            <w:hideMark/>
          </w:tcPr>
          <w:p w14:paraId="3F44B1ED" w14:textId="77777777" w:rsidR="00985D46" w:rsidRPr="00985D46" w:rsidRDefault="00985D46" w:rsidP="00985D46">
            <w:pPr>
              <w:spacing w:after="0" w:line="240" w:lineRule="auto"/>
              <w:rPr>
                <w:rFonts w:ascii="Calibri" w:eastAsia="Times New Roman" w:hAnsi="Calibri" w:cs="Calibri"/>
                <w:sz w:val="18"/>
                <w:szCs w:val="18"/>
                <w:lang w:val="en-GB" w:eastAsia="en-GB"/>
              </w:rPr>
            </w:pPr>
            <w:r w:rsidRPr="00985D46">
              <w:rPr>
                <w:rFonts w:ascii="Calibri" w:eastAsia="Times New Roman" w:hAnsi="Calibri" w:cs="Calibri"/>
                <w:sz w:val="18"/>
                <w:szCs w:val="18"/>
                <w:lang w:val="en-GB" w:eastAsia="en-GB"/>
              </w:rPr>
              <w:t>The MDM solution should provide option to configure policy for Android Device OS update management</w:t>
            </w:r>
          </w:p>
        </w:tc>
        <w:tc>
          <w:tcPr>
            <w:tcW w:w="640" w:type="pct"/>
            <w:tcBorders>
              <w:top w:val="nil"/>
              <w:left w:val="nil"/>
              <w:bottom w:val="single" w:sz="4" w:space="0" w:color="auto"/>
              <w:right w:val="single" w:sz="4" w:space="0" w:color="auto"/>
            </w:tcBorders>
            <w:shd w:val="clear" w:color="auto" w:fill="auto"/>
            <w:hideMark/>
          </w:tcPr>
          <w:p w14:paraId="496AABE9"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1C51E92E"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23C0B3F"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697E24EC"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27</w:t>
            </w:r>
          </w:p>
        </w:tc>
        <w:tc>
          <w:tcPr>
            <w:tcW w:w="3498" w:type="pct"/>
            <w:tcBorders>
              <w:top w:val="nil"/>
              <w:left w:val="nil"/>
              <w:bottom w:val="single" w:sz="4" w:space="0" w:color="auto"/>
              <w:right w:val="single" w:sz="4" w:space="0" w:color="auto"/>
            </w:tcBorders>
            <w:shd w:val="clear" w:color="auto" w:fill="auto"/>
            <w:hideMark/>
          </w:tcPr>
          <w:p w14:paraId="275B5C6F" w14:textId="77777777" w:rsidR="00985D46" w:rsidRPr="00985D46" w:rsidRDefault="00985D46" w:rsidP="00985D46">
            <w:pPr>
              <w:spacing w:after="0" w:line="240" w:lineRule="auto"/>
              <w:rPr>
                <w:rFonts w:ascii="Calibri" w:eastAsia="Times New Roman" w:hAnsi="Calibri" w:cs="Calibri"/>
                <w:sz w:val="18"/>
                <w:szCs w:val="18"/>
                <w:lang w:val="en-GB" w:eastAsia="en-GB"/>
              </w:rPr>
            </w:pPr>
            <w:r w:rsidRPr="00985D46">
              <w:rPr>
                <w:rFonts w:ascii="Calibri" w:eastAsia="Times New Roman" w:hAnsi="Calibri" w:cs="Calibri"/>
                <w:sz w:val="18"/>
                <w:szCs w:val="18"/>
                <w:lang w:val="en-GB" w:eastAsia="en-GB"/>
              </w:rPr>
              <w:t>The MDM solution should support Android Management API (AMA)</w:t>
            </w:r>
          </w:p>
        </w:tc>
        <w:tc>
          <w:tcPr>
            <w:tcW w:w="640" w:type="pct"/>
            <w:tcBorders>
              <w:top w:val="nil"/>
              <w:left w:val="nil"/>
              <w:bottom w:val="single" w:sz="4" w:space="0" w:color="auto"/>
              <w:right w:val="single" w:sz="4" w:space="0" w:color="auto"/>
            </w:tcBorders>
            <w:shd w:val="clear" w:color="auto" w:fill="auto"/>
            <w:hideMark/>
          </w:tcPr>
          <w:p w14:paraId="76F5DAF9"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50DE7BB1"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237CEA3" w14:textId="77777777" w:rsidTr="00E73613">
        <w:trPr>
          <w:trHeight w:val="480"/>
        </w:trPr>
        <w:tc>
          <w:tcPr>
            <w:tcW w:w="168" w:type="pct"/>
            <w:tcBorders>
              <w:top w:val="nil"/>
              <w:left w:val="single" w:sz="4" w:space="0" w:color="auto"/>
              <w:bottom w:val="single" w:sz="4" w:space="0" w:color="auto"/>
              <w:right w:val="single" w:sz="4" w:space="0" w:color="auto"/>
            </w:tcBorders>
            <w:shd w:val="clear" w:color="auto" w:fill="auto"/>
            <w:hideMark/>
          </w:tcPr>
          <w:p w14:paraId="54883079"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28</w:t>
            </w:r>
          </w:p>
        </w:tc>
        <w:tc>
          <w:tcPr>
            <w:tcW w:w="3498" w:type="pct"/>
            <w:tcBorders>
              <w:top w:val="nil"/>
              <w:left w:val="nil"/>
              <w:bottom w:val="single" w:sz="4" w:space="0" w:color="auto"/>
              <w:right w:val="single" w:sz="4" w:space="0" w:color="auto"/>
            </w:tcBorders>
            <w:shd w:val="clear" w:color="auto" w:fill="auto"/>
            <w:hideMark/>
          </w:tcPr>
          <w:p w14:paraId="07B881D5" w14:textId="77777777" w:rsidR="00985D46" w:rsidRPr="00985D46" w:rsidRDefault="00985D46" w:rsidP="00985D46">
            <w:pPr>
              <w:spacing w:after="0" w:line="240" w:lineRule="auto"/>
              <w:rPr>
                <w:rFonts w:ascii="Calibri" w:eastAsia="Times New Roman" w:hAnsi="Calibri" w:cs="Calibri"/>
                <w:sz w:val="18"/>
                <w:szCs w:val="18"/>
                <w:lang w:val="en-GB" w:eastAsia="en-GB"/>
              </w:rPr>
            </w:pPr>
            <w:r w:rsidRPr="00985D46">
              <w:rPr>
                <w:rFonts w:ascii="Calibri" w:eastAsia="Times New Roman" w:hAnsi="Calibri" w:cs="Calibri"/>
                <w:sz w:val="18"/>
                <w:szCs w:val="18"/>
                <w:lang w:val="en-GB" w:eastAsia="en-GB"/>
              </w:rPr>
              <w:t>If a device is not compliant with the security policies and compliance rules put in place by the Android Management API, the use of business data should be automatically restricted.</w:t>
            </w:r>
          </w:p>
        </w:tc>
        <w:tc>
          <w:tcPr>
            <w:tcW w:w="640" w:type="pct"/>
            <w:tcBorders>
              <w:top w:val="nil"/>
              <w:left w:val="nil"/>
              <w:bottom w:val="single" w:sz="4" w:space="0" w:color="auto"/>
              <w:right w:val="single" w:sz="4" w:space="0" w:color="auto"/>
            </w:tcBorders>
            <w:shd w:val="clear" w:color="auto" w:fill="auto"/>
            <w:hideMark/>
          </w:tcPr>
          <w:p w14:paraId="4C5973C3"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1EBAE033"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ED3F41C"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31FEE8FB"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29</w:t>
            </w:r>
          </w:p>
        </w:tc>
        <w:tc>
          <w:tcPr>
            <w:tcW w:w="3498" w:type="pct"/>
            <w:tcBorders>
              <w:top w:val="nil"/>
              <w:left w:val="nil"/>
              <w:bottom w:val="single" w:sz="4" w:space="0" w:color="auto"/>
              <w:right w:val="single" w:sz="4" w:space="0" w:color="auto"/>
            </w:tcBorders>
            <w:shd w:val="clear" w:color="auto" w:fill="auto"/>
            <w:hideMark/>
          </w:tcPr>
          <w:p w14:paraId="1B3CADA5" w14:textId="77777777" w:rsidR="00985D46" w:rsidRPr="00985D46" w:rsidRDefault="00985D46" w:rsidP="00985D46">
            <w:pPr>
              <w:spacing w:after="0" w:line="240" w:lineRule="auto"/>
              <w:rPr>
                <w:rFonts w:ascii="Calibri" w:eastAsia="Times New Roman" w:hAnsi="Calibri" w:cs="Calibri"/>
                <w:sz w:val="18"/>
                <w:szCs w:val="18"/>
                <w:lang w:val="en-GB" w:eastAsia="en-GB"/>
              </w:rPr>
            </w:pPr>
            <w:r w:rsidRPr="00985D46">
              <w:rPr>
                <w:rFonts w:ascii="Calibri" w:eastAsia="Times New Roman" w:hAnsi="Calibri" w:cs="Calibri"/>
                <w:sz w:val="18"/>
                <w:szCs w:val="18"/>
                <w:lang w:val="en-GB" w:eastAsia="en-GB"/>
              </w:rPr>
              <w:t>The MDM solutions must have the option to enter IMEI on Device overview page for the devices having Android 10 and later versions.</w:t>
            </w:r>
          </w:p>
        </w:tc>
        <w:tc>
          <w:tcPr>
            <w:tcW w:w="640" w:type="pct"/>
            <w:tcBorders>
              <w:top w:val="nil"/>
              <w:left w:val="nil"/>
              <w:bottom w:val="single" w:sz="4" w:space="0" w:color="auto"/>
              <w:right w:val="single" w:sz="4" w:space="0" w:color="auto"/>
            </w:tcBorders>
            <w:shd w:val="clear" w:color="auto" w:fill="auto"/>
            <w:hideMark/>
          </w:tcPr>
          <w:p w14:paraId="01DE4FDD"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48AA783F"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56005BC6" w14:textId="77777777" w:rsidTr="00E73613">
        <w:trPr>
          <w:trHeight w:val="315"/>
        </w:trPr>
        <w:tc>
          <w:tcPr>
            <w:tcW w:w="168" w:type="pct"/>
            <w:tcBorders>
              <w:top w:val="nil"/>
              <w:left w:val="single" w:sz="4" w:space="0" w:color="auto"/>
              <w:bottom w:val="single" w:sz="4" w:space="0" w:color="auto"/>
              <w:right w:val="single" w:sz="4" w:space="0" w:color="auto"/>
            </w:tcBorders>
            <w:shd w:val="clear" w:color="000000" w:fill="DDEBF7"/>
            <w:hideMark/>
          </w:tcPr>
          <w:p w14:paraId="3448C43E" w14:textId="77777777" w:rsidR="00985D46" w:rsidRPr="00985D46" w:rsidRDefault="00985D46" w:rsidP="00985D46">
            <w:pPr>
              <w:spacing w:after="0" w:line="240" w:lineRule="auto"/>
              <w:jc w:val="center"/>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C</w:t>
            </w:r>
          </w:p>
        </w:tc>
        <w:tc>
          <w:tcPr>
            <w:tcW w:w="3498" w:type="pct"/>
            <w:tcBorders>
              <w:top w:val="nil"/>
              <w:left w:val="nil"/>
              <w:bottom w:val="single" w:sz="4" w:space="0" w:color="auto"/>
              <w:right w:val="single" w:sz="4" w:space="0" w:color="auto"/>
            </w:tcBorders>
            <w:shd w:val="clear" w:color="000000" w:fill="DDEBF7"/>
            <w:hideMark/>
          </w:tcPr>
          <w:p w14:paraId="669D51D7" w14:textId="77777777" w:rsidR="00985D46" w:rsidRPr="00985D46" w:rsidRDefault="00985D46" w:rsidP="00985D46">
            <w:pPr>
              <w:spacing w:after="0" w:line="240" w:lineRule="auto"/>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Device Health Monitoring</w:t>
            </w:r>
          </w:p>
        </w:tc>
        <w:tc>
          <w:tcPr>
            <w:tcW w:w="640" w:type="pct"/>
            <w:tcBorders>
              <w:top w:val="nil"/>
              <w:left w:val="nil"/>
              <w:bottom w:val="single" w:sz="4" w:space="0" w:color="auto"/>
              <w:right w:val="single" w:sz="4" w:space="0" w:color="auto"/>
            </w:tcBorders>
            <w:shd w:val="clear" w:color="000000" w:fill="DDEBF7"/>
            <w:hideMark/>
          </w:tcPr>
          <w:p w14:paraId="3C59A4B5" w14:textId="77777777" w:rsidR="00985D46" w:rsidRPr="00985D46" w:rsidRDefault="00985D46" w:rsidP="00985D46">
            <w:pPr>
              <w:spacing w:after="0" w:line="240" w:lineRule="auto"/>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 </w:t>
            </w:r>
          </w:p>
        </w:tc>
        <w:tc>
          <w:tcPr>
            <w:tcW w:w="694" w:type="pct"/>
            <w:tcBorders>
              <w:top w:val="nil"/>
              <w:left w:val="nil"/>
              <w:bottom w:val="single" w:sz="4" w:space="0" w:color="auto"/>
              <w:right w:val="single" w:sz="4" w:space="0" w:color="auto"/>
            </w:tcBorders>
            <w:shd w:val="clear" w:color="000000" w:fill="DDEBF7"/>
            <w:hideMark/>
          </w:tcPr>
          <w:p w14:paraId="56109A68" w14:textId="77777777" w:rsidR="00985D46" w:rsidRPr="00985D46" w:rsidRDefault="00985D46" w:rsidP="00985D46">
            <w:pPr>
              <w:spacing w:after="0" w:line="240" w:lineRule="auto"/>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 </w:t>
            </w:r>
          </w:p>
        </w:tc>
      </w:tr>
      <w:tr w:rsidR="00985D46" w:rsidRPr="00985D46" w14:paraId="6D56763E"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66CDAC85"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30</w:t>
            </w:r>
          </w:p>
        </w:tc>
        <w:tc>
          <w:tcPr>
            <w:tcW w:w="3498" w:type="pct"/>
            <w:tcBorders>
              <w:top w:val="nil"/>
              <w:left w:val="nil"/>
              <w:bottom w:val="single" w:sz="4" w:space="0" w:color="auto"/>
              <w:right w:val="single" w:sz="4" w:space="0" w:color="auto"/>
            </w:tcBorders>
            <w:shd w:val="clear" w:color="000000" w:fill="FFFFFF"/>
            <w:hideMark/>
          </w:tcPr>
          <w:p w14:paraId="7B60523D"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be able to see non-complaint devices alert on dashboard</w:t>
            </w:r>
          </w:p>
        </w:tc>
        <w:tc>
          <w:tcPr>
            <w:tcW w:w="640" w:type="pct"/>
            <w:tcBorders>
              <w:top w:val="nil"/>
              <w:left w:val="nil"/>
              <w:bottom w:val="single" w:sz="4" w:space="0" w:color="auto"/>
              <w:right w:val="single" w:sz="4" w:space="0" w:color="auto"/>
            </w:tcBorders>
            <w:shd w:val="clear" w:color="auto" w:fill="auto"/>
            <w:hideMark/>
          </w:tcPr>
          <w:p w14:paraId="393FEBE4"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64495BDF"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26ADF416"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29030882"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31</w:t>
            </w:r>
          </w:p>
        </w:tc>
        <w:tc>
          <w:tcPr>
            <w:tcW w:w="3498" w:type="pct"/>
            <w:tcBorders>
              <w:top w:val="nil"/>
              <w:left w:val="nil"/>
              <w:bottom w:val="single" w:sz="4" w:space="0" w:color="auto"/>
              <w:right w:val="single" w:sz="4" w:space="0" w:color="auto"/>
            </w:tcBorders>
            <w:shd w:val="clear" w:color="000000" w:fill="FFFFFF"/>
            <w:hideMark/>
          </w:tcPr>
          <w:p w14:paraId="746A30ED"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be able to see blocked devices statistics on dashboard</w:t>
            </w:r>
          </w:p>
        </w:tc>
        <w:tc>
          <w:tcPr>
            <w:tcW w:w="640" w:type="pct"/>
            <w:tcBorders>
              <w:top w:val="nil"/>
              <w:left w:val="nil"/>
              <w:bottom w:val="single" w:sz="4" w:space="0" w:color="auto"/>
              <w:right w:val="single" w:sz="4" w:space="0" w:color="auto"/>
            </w:tcBorders>
            <w:shd w:val="clear" w:color="auto" w:fill="auto"/>
            <w:hideMark/>
          </w:tcPr>
          <w:p w14:paraId="28E3DBCD"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487409EF"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278118DF"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7A79B6CC"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32</w:t>
            </w:r>
          </w:p>
        </w:tc>
        <w:tc>
          <w:tcPr>
            <w:tcW w:w="3498" w:type="pct"/>
            <w:tcBorders>
              <w:top w:val="nil"/>
              <w:left w:val="nil"/>
              <w:bottom w:val="single" w:sz="4" w:space="0" w:color="auto"/>
              <w:right w:val="single" w:sz="4" w:space="0" w:color="auto"/>
            </w:tcBorders>
            <w:shd w:val="clear" w:color="000000" w:fill="FFFFFF"/>
            <w:hideMark/>
          </w:tcPr>
          <w:p w14:paraId="2A66A2E7"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be able to see last synced data of devices to server/console on dashboard</w:t>
            </w:r>
          </w:p>
        </w:tc>
        <w:tc>
          <w:tcPr>
            <w:tcW w:w="640" w:type="pct"/>
            <w:tcBorders>
              <w:top w:val="nil"/>
              <w:left w:val="nil"/>
              <w:bottom w:val="single" w:sz="4" w:space="0" w:color="auto"/>
              <w:right w:val="single" w:sz="4" w:space="0" w:color="auto"/>
            </w:tcBorders>
            <w:shd w:val="clear" w:color="auto" w:fill="auto"/>
            <w:hideMark/>
          </w:tcPr>
          <w:p w14:paraId="3E8435E2"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71140141"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36DF5072"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1EA3D90A"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33</w:t>
            </w:r>
          </w:p>
        </w:tc>
        <w:tc>
          <w:tcPr>
            <w:tcW w:w="3498" w:type="pct"/>
            <w:tcBorders>
              <w:top w:val="nil"/>
              <w:left w:val="nil"/>
              <w:bottom w:val="single" w:sz="4" w:space="0" w:color="auto"/>
              <w:right w:val="single" w:sz="4" w:space="0" w:color="auto"/>
            </w:tcBorders>
            <w:shd w:val="clear" w:color="000000" w:fill="FFFFFF"/>
            <w:hideMark/>
          </w:tcPr>
          <w:p w14:paraId="0ECA06B0"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be able to view Device battery percentage on dashboard</w:t>
            </w:r>
          </w:p>
        </w:tc>
        <w:tc>
          <w:tcPr>
            <w:tcW w:w="640" w:type="pct"/>
            <w:tcBorders>
              <w:top w:val="nil"/>
              <w:left w:val="nil"/>
              <w:bottom w:val="single" w:sz="4" w:space="0" w:color="auto"/>
              <w:right w:val="single" w:sz="4" w:space="0" w:color="auto"/>
            </w:tcBorders>
            <w:shd w:val="clear" w:color="auto" w:fill="auto"/>
            <w:hideMark/>
          </w:tcPr>
          <w:p w14:paraId="776F4E4C"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041BBAF1"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2994F5B1"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301DF54A"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34</w:t>
            </w:r>
          </w:p>
        </w:tc>
        <w:tc>
          <w:tcPr>
            <w:tcW w:w="3498" w:type="pct"/>
            <w:tcBorders>
              <w:top w:val="nil"/>
              <w:left w:val="nil"/>
              <w:bottom w:val="single" w:sz="4" w:space="0" w:color="auto"/>
              <w:right w:val="single" w:sz="4" w:space="0" w:color="auto"/>
            </w:tcBorders>
            <w:shd w:val="clear" w:color="000000" w:fill="FFFFFF"/>
            <w:hideMark/>
          </w:tcPr>
          <w:p w14:paraId="0857E37D"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be able to view Device storage capacity on dashboard</w:t>
            </w:r>
          </w:p>
        </w:tc>
        <w:tc>
          <w:tcPr>
            <w:tcW w:w="640" w:type="pct"/>
            <w:tcBorders>
              <w:top w:val="nil"/>
              <w:left w:val="nil"/>
              <w:bottom w:val="single" w:sz="4" w:space="0" w:color="auto"/>
              <w:right w:val="single" w:sz="4" w:space="0" w:color="auto"/>
            </w:tcBorders>
            <w:shd w:val="clear" w:color="auto" w:fill="auto"/>
            <w:hideMark/>
          </w:tcPr>
          <w:p w14:paraId="2EBEF074"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6E1B54E6"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9EE02EC"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52A23DC6"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35</w:t>
            </w:r>
          </w:p>
        </w:tc>
        <w:tc>
          <w:tcPr>
            <w:tcW w:w="3498" w:type="pct"/>
            <w:tcBorders>
              <w:top w:val="nil"/>
              <w:left w:val="nil"/>
              <w:bottom w:val="single" w:sz="4" w:space="0" w:color="auto"/>
              <w:right w:val="single" w:sz="4" w:space="0" w:color="auto"/>
            </w:tcBorders>
            <w:shd w:val="clear" w:color="000000" w:fill="FFFFFF"/>
            <w:hideMark/>
          </w:tcPr>
          <w:p w14:paraId="3528B0CB"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be able to view Device manufacturer details on dashboard</w:t>
            </w:r>
          </w:p>
        </w:tc>
        <w:tc>
          <w:tcPr>
            <w:tcW w:w="640" w:type="pct"/>
            <w:tcBorders>
              <w:top w:val="nil"/>
              <w:left w:val="nil"/>
              <w:bottom w:val="single" w:sz="4" w:space="0" w:color="auto"/>
              <w:right w:val="single" w:sz="4" w:space="0" w:color="auto"/>
            </w:tcBorders>
            <w:shd w:val="clear" w:color="auto" w:fill="auto"/>
            <w:hideMark/>
          </w:tcPr>
          <w:p w14:paraId="751329BE"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7B356198"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6600FA3A"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4AF2F791"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36</w:t>
            </w:r>
          </w:p>
        </w:tc>
        <w:tc>
          <w:tcPr>
            <w:tcW w:w="3498" w:type="pct"/>
            <w:tcBorders>
              <w:top w:val="nil"/>
              <w:left w:val="nil"/>
              <w:bottom w:val="single" w:sz="4" w:space="0" w:color="auto"/>
              <w:right w:val="single" w:sz="4" w:space="0" w:color="auto"/>
            </w:tcBorders>
            <w:shd w:val="clear" w:color="000000" w:fill="FFFFFF"/>
            <w:hideMark/>
          </w:tcPr>
          <w:p w14:paraId="66105BBA"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be able to view threat statistics (malwares, viruses, etc.) on dashboard</w:t>
            </w:r>
          </w:p>
        </w:tc>
        <w:tc>
          <w:tcPr>
            <w:tcW w:w="640" w:type="pct"/>
            <w:tcBorders>
              <w:top w:val="nil"/>
              <w:left w:val="nil"/>
              <w:bottom w:val="single" w:sz="4" w:space="0" w:color="auto"/>
              <w:right w:val="single" w:sz="4" w:space="0" w:color="auto"/>
            </w:tcBorders>
            <w:shd w:val="clear" w:color="auto" w:fill="auto"/>
            <w:hideMark/>
          </w:tcPr>
          <w:p w14:paraId="1C9BD78C"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21A8DBB2"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56E777D" w14:textId="77777777" w:rsidTr="00E73613">
        <w:trPr>
          <w:trHeight w:val="315"/>
        </w:trPr>
        <w:tc>
          <w:tcPr>
            <w:tcW w:w="168" w:type="pct"/>
            <w:tcBorders>
              <w:top w:val="nil"/>
              <w:left w:val="single" w:sz="4" w:space="0" w:color="auto"/>
              <w:bottom w:val="single" w:sz="4" w:space="0" w:color="auto"/>
              <w:right w:val="single" w:sz="4" w:space="0" w:color="auto"/>
            </w:tcBorders>
            <w:shd w:val="clear" w:color="000000" w:fill="DDEBF7"/>
            <w:hideMark/>
          </w:tcPr>
          <w:p w14:paraId="4E8C769C" w14:textId="77777777" w:rsidR="00985D46" w:rsidRPr="00985D46" w:rsidRDefault="00985D46" w:rsidP="00985D46">
            <w:pPr>
              <w:spacing w:after="0" w:line="240" w:lineRule="auto"/>
              <w:jc w:val="center"/>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D</w:t>
            </w:r>
          </w:p>
        </w:tc>
        <w:tc>
          <w:tcPr>
            <w:tcW w:w="3498" w:type="pct"/>
            <w:tcBorders>
              <w:top w:val="nil"/>
              <w:left w:val="nil"/>
              <w:bottom w:val="single" w:sz="4" w:space="0" w:color="auto"/>
              <w:right w:val="single" w:sz="4" w:space="0" w:color="auto"/>
            </w:tcBorders>
            <w:shd w:val="clear" w:color="000000" w:fill="DDEBF7"/>
            <w:hideMark/>
          </w:tcPr>
          <w:p w14:paraId="7DAF1BF4" w14:textId="77777777" w:rsidR="00985D46" w:rsidRPr="00985D46" w:rsidRDefault="00985D46" w:rsidP="00985D46">
            <w:pPr>
              <w:spacing w:after="0" w:line="240" w:lineRule="auto"/>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Mobile Application Management</w:t>
            </w:r>
          </w:p>
        </w:tc>
        <w:tc>
          <w:tcPr>
            <w:tcW w:w="640" w:type="pct"/>
            <w:tcBorders>
              <w:top w:val="nil"/>
              <w:left w:val="nil"/>
              <w:bottom w:val="single" w:sz="4" w:space="0" w:color="auto"/>
              <w:right w:val="single" w:sz="4" w:space="0" w:color="auto"/>
            </w:tcBorders>
            <w:shd w:val="clear" w:color="000000" w:fill="DDEBF7"/>
            <w:hideMark/>
          </w:tcPr>
          <w:p w14:paraId="41D06550" w14:textId="77777777" w:rsidR="00985D46" w:rsidRPr="00985D46" w:rsidRDefault="00985D46" w:rsidP="00985D46">
            <w:pPr>
              <w:spacing w:after="0" w:line="240" w:lineRule="auto"/>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 </w:t>
            </w:r>
          </w:p>
        </w:tc>
        <w:tc>
          <w:tcPr>
            <w:tcW w:w="694" w:type="pct"/>
            <w:tcBorders>
              <w:top w:val="nil"/>
              <w:left w:val="nil"/>
              <w:bottom w:val="single" w:sz="4" w:space="0" w:color="auto"/>
              <w:right w:val="single" w:sz="4" w:space="0" w:color="auto"/>
            </w:tcBorders>
            <w:shd w:val="clear" w:color="000000" w:fill="DDEBF7"/>
            <w:hideMark/>
          </w:tcPr>
          <w:p w14:paraId="72CB89B2" w14:textId="77777777" w:rsidR="00985D46" w:rsidRPr="00985D46" w:rsidRDefault="00985D46" w:rsidP="00985D46">
            <w:pPr>
              <w:spacing w:after="0" w:line="240" w:lineRule="auto"/>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 </w:t>
            </w:r>
          </w:p>
        </w:tc>
      </w:tr>
      <w:tr w:rsidR="00985D46" w:rsidRPr="00985D46" w14:paraId="62E28407"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79EAB9C4"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37</w:t>
            </w:r>
          </w:p>
        </w:tc>
        <w:tc>
          <w:tcPr>
            <w:tcW w:w="3498" w:type="pct"/>
            <w:tcBorders>
              <w:top w:val="nil"/>
              <w:left w:val="nil"/>
              <w:bottom w:val="single" w:sz="4" w:space="0" w:color="auto"/>
              <w:right w:val="single" w:sz="4" w:space="0" w:color="auto"/>
            </w:tcBorders>
            <w:shd w:val="clear" w:color="000000" w:fill="FFFFFF"/>
            <w:hideMark/>
          </w:tcPr>
          <w:p w14:paraId="3CE59FB8"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 xml:space="preserve">The MDM solutions must be able to track app inventory </w:t>
            </w:r>
          </w:p>
        </w:tc>
        <w:tc>
          <w:tcPr>
            <w:tcW w:w="640" w:type="pct"/>
            <w:tcBorders>
              <w:top w:val="nil"/>
              <w:left w:val="nil"/>
              <w:bottom w:val="single" w:sz="4" w:space="0" w:color="auto"/>
              <w:right w:val="single" w:sz="4" w:space="0" w:color="auto"/>
            </w:tcBorders>
            <w:shd w:val="clear" w:color="auto" w:fill="auto"/>
            <w:hideMark/>
          </w:tcPr>
          <w:p w14:paraId="502D3813"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71CD0FC2"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1B589685"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26EFF8CE"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38</w:t>
            </w:r>
          </w:p>
        </w:tc>
        <w:tc>
          <w:tcPr>
            <w:tcW w:w="3498" w:type="pct"/>
            <w:tcBorders>
              <w:top w:val="nil"/>
              <w:left w:val="nil"/>
              <w:bottom w:val="single" w:sz="4" w:space="0" w:color="auto"/>
              <w:right w:val="single" w:sz="4" w:space="0" w:color="auto"/>
            </w:tcBorders>
            <w:shd w:val="clear" w:color="000000" w:fill="FFFFFF"/>
            <w:hideMark/>
          </w:tcPr>
          <w:p w14:paraId="5F28BEC4"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Be Able to do Custom App Distribution</w:t>
            </w:r>
          </w:p>
        </w:tc>
        <w:tc>
          <w:tcPr>
            <w:tcW w:w="640" w:type="pct"/>
            <w:tcBorders>
              <w:top w:val="nil"/>
              <w:left w:val="nil"/>
              <w:bottom w:val="single" w:sz="4" w:space="0" w:color="auto"/>
              <w:right w:val="single" w:sz="4" w:space="0" w:color="auto"/>
            </w:tcBorders>
            <w:shd w:val="clear" w:color="auto" w:fill="auto"/>
            <w:hideMark/>
          </w:tcPr>
          <w:p w14:paraId="392B4D6E"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4D4641D6"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77326F9E"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309335BF"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39</w:t>
            </w:r>
          </w:p>
        </w:tc>
        <w:tc>
          <w:tcPr>
            <w:tcW w:w="3498" w:type="pct"/>
            <w:tcBorders>
              <w:top w:val="nil"/>
              <w:left w:val="nil"/>
              <w:bottom w:val="single" w:sz="4" w:space="0" w:color="auto"/>
              <w:right w:val="single" w:sz="4" w:space="0" w:color="auto"/>
            </w:tcBorders>
            <w:shd w:val="clear" w:color="000000" w:fill="FFFFFF"/>
            <w:hideMark/>
          </w:tcPr>
          <w:p w14:paraId="1A81BA87"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be able to distribute Playstore/App Store apps</w:t>
            </w:r>
          </w:p>
        </w:tc>
        <w:tc>
          <w:tcPr>
            <w:tcW w:w="640" w:type="pct"/>
            <w:tcBorders>
              <w:top w:val="nil"/>
              <w:left w:val="nil"/>
              <w:bottom w:val="single" w:sz="4" w:space="0" w:color="auto"/>
              <w:right w:val="single" w:sz="4" w:space="0" w:color="auto"/>
            </w:tcBorders>
            <w:shd w:val="clear" w:color="auto" w:fill="auto"/>
            <w:hideMark/>
          </w:tcPr>
          <w:p w14:paraId="7DDD9439"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388C3DFA"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7CC5ACFF"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64F0EB65"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40</w:t>
            </w:r>
          </w:p>
        </w:tc>
        <w:tc>
          <w:tcPr>
            <w:tcW w:w="3498" w:type="pct"/>
            <w:tcBorders>
              <w:top w:val="nil"/>
              <w:left w:val="nil"/>
              <w:bottom w:val="single" w:sz="4" w:space="0" w:color="auto"/>
              <w:right w:val="single" w:sz="4" w:space="0" w:color="auto"/>
            </w:tcBorders>
            <w:shd w:val="clear" w:color="000000" w:fill="FFFFFF"/>
            <w:hideMark/>
          </w:tcPr>
          <w:p w14:paraId="09836A38"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 xml:space="preserve">The MDM solutions must be able to track App Usage </w:t>
            </w:r>
          </w:p>
        </w:tc>
        <w:tc>
          <w:tcPr>
            <w:tcW w:w="640" w:type="pct"/>
            <w:tcBorders>
              <w:top w:val="nil"/>
              <w:left w:val="nil"/>
              <w:bottom w:val="single" w:sz="4" w:space="0" w:color="auto"/>
              <w:right w:val="single" w:sz="4" w:space="0" w:color="auto"/>
            </w:tcBorders>
            <w:shd w:val="clear" w:color="auto" w:fill="auto"/>
            <w:hideMark/>
          </w:tcPr>
          <w:p w14:paraId="118EA8BC"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28EBE53A"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3396559C"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468AA50D"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41</w:t>
            </w:r>
          </w:p>
        </w:tc>
        <w:tc>
          <w:tcPr>
            <w:tcW w:w="3498" w:type="pct"/>
            <w:tcBorders>
              <w:top w:val="nil"/>
              <w:left w:val="nil"/>
              <w:bottom w:val="single" w:sz="4" w:space="0" w:color="auto"/>
              <w:right w:val="single" w:sz="4" w:space="0" w:color="auto"/>
            </w:tcBorders>
            <w:shd w:val="clear" w:color="000000" w:fill="FFFFFF"/>
            <w:hideMark/>
          </w:tcPr>
          <w:p w14:paraId="4FEACBA6"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 xml:space="preserve">The MDM solutions must be able to see most installed apps on dashboard </w:t>
            </w:r>
          </w:p>
        </w:tc>
        <w:tc>
          <w:tcPr>
            <w:tcW w:w="640" w:type="pct"/>
            <w:tcBorders>
              <w:top w:val="nil"/>
              <w:left w:val="nil"/>
              <w:bottom w:val="single" w:sz="4" w:space="0" w:color="auto"/>
              <w:right w:val="single" w:sz="4" w:space="0" w:color="auto"/>
            </w:tcBorders>
            <w:shd w:val="clear" w:color="auto" w:fill="auto"/>
            <w:hideMark/>
          </w:tcPr>
          <w:p w14:paraId="7D9376AB"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1D3C7662"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44C80E3"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295F0A81"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42</w:t>
            </w:r>
          </w:p>
        </w:tc>
        <w:tc>
          <w:tcPr>
            <w:tcW w:w="3498" w:type="pct"/>
            <w:tcBorders>
              <w:top w:val="nil"/>
              <w:left w:val="nil"/>
              <w:bottom w:val="single" w:sz="4" w:space="0" w:color="auto"/>
              <w:right w:val="single" w:sz="4" w:space="0" w:color="auto"/>
            </w:tcBorders>
            <w:shd w:val="clear" w:color="000000" w:fill="FFFFFF"/>
            <w:hideMark/>
          </w:tcPr>
          <w:p w14:paraId="3E22BF9E"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be able to do Application blacklisting/whitelisting</w:t>
            </w:r>
          </w:p>
        </w:tc>
        <w:tc>
          <w:tcPr>
            <w:tcW w:w="640" w:type="pct"/>
            <w:tcBorders>
              <w:top w:val="nil"/>
              <w:left w:val="nil"/>
              <w:bottom w:val="single" w:sz="4" w:space="0" w:color="auto"/>
              <w:right w:val="single" w:sz="4" w:space="0" w:color="auto"/>
            </w:tcBorders>
            <w:shd w:val="clear" w:color="auto" w:fill="auto"/>
            <w:hideMark/>
          </w:tcPr>
          <w:p w14:paraId="561DF88C"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56D4FF21"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9DF3BBA"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45F94D85"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43</w:t>
            </w:r>
          </w:p>
        </w:tc>
        <w:tc>
          <w:tcPr>
            <w:tcW w:w="3498" w:type="pct"/>
            <w:tcBorders>
              <w:top w:val="nil"/>
              <w:left w:val="nil"/>
              <w:bottom w:val="single" w:sz="4" w:space="0" w:color="auto"/>
              <w:right w:val="single" w:sz="4" w:space="0" w:color="auto"/>
            </w:tcBorders>
            <w:shd w:val="clear" w:color="000000" w:fill="FFFFFF"/>
            <w:hideMark/>
          </w:tcPr>
          <w:p w14:paraId="081FC4FB"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be able to do Application category blacklisting (eg. Social Networking, Media etc.)</w:t>
            </w:r>
          </w:p>
        </w:tc>
        <w:tc>
          <w:tcPr>
            <w:tcW w:w="640" w:type="pct"/>
            <w:tcBorders>
              <w:top w:val="nil"/>
              <w:left w:val="nil"/>
              <w:bottom w:val="single" w:sz="4" w:space="0" w:color="auto"/>
              <w:right w:val="single" w:sz="4" w:space="0" w:color="auto"/>
            </w:tcBorders>
            <w:shd w:val="clear" w:color="auto" w:fill="auto"/>
            <w:hideMark/>
          </w:tcPr>
          <w:p w14:paraId="45D4869C"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053CD5B5"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2E66C646"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5403002C"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44</w:t>
            </w:r>
          </w:p>
        </w:tc>
        <w:tc>
          <w:tcPr>
            <w:tcW w:w="3498" w:type="pct"/>
            <w:tcBorders>
              <w:top w:val="nil"/>
              <w:left w:val="nil"/>
              <w:bottom w:val="single" w:sz="4" w:space="0" w:color="auto"/>
              <w:right w:val="single" w:sz="4" w:space="0" w:color="auto"/>
            </w:tcBorders>
            <w:shd w:val="clear" w:color="000000" w:fill="FFFFFF"/>
            <w:hideMark/>
          </w:tcPr>
          <w:p w14:paraId="122A7B44"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be able to manage app versions</w:t>
            </w:r>
          </w:p>
        </w:tc>
        <w:tc>
          <w:tcPr>
            <w:tcW w:w="640" w:type="pct"/>
            <w:tcBorders>
              <w:top w:val="nil"/>
              <w:left w:val="nil"/>
              <w:bottom w:val="single" w:sz="4" w:space="0" w:color="auto"/>
              <w:right w:val="single" w:sz="4" w:space="0" w:color="auto"/>
            </w:tcBorders>
            <w:shd w:val="clear" w:color="auto" w:fill="auto"/>
            <w:hideMark/>
          </w:tcPr>
          <w:p w14:paraId="02C7AD08"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4145D0C4"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3AC282AC"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37D13875"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45</w:t>
            </w:r>
          </w:p>
        </w:tc>
        <w:tc>
          <w:tcPr>
            <w:tcW w:w="3498" w:type="pct"/>
            <w:tcBorders>
              <w:top w:val="nil"/>
              <w:left w:val="nil"/>
              <w:bottom w:val="single" w:sz="4" w:space="0" w:color="auto"/>
              <w:right w:val="single" w:sz="4" w:space="0" w:color="auto"/>
            </w:tcBorders>
            <w:shd w:val="clear" w:color="000000" w:fill="FFFFFF"/>
            <w:hideMark/>
          </w:tcPr>
          <w:p w14:paraId="706FAFDA"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be able to Install, update and remove managed apps from a device remotely</w:t>
            </w:r>
          </w:p>
        </w:tc>
        <w:tc>
          <w:tcPr>
            <w:tcW w:w="640" w:type="pct"/>
            <w:tcBorders>
              <w:top w:val="nil"/>
              <w:left w:val="nil"/>
              <w:bottom w:val="single" w:sz="4" w:space="0" w:color="auto"/>
              <w:right w:val="single" w:sz="4" w:space="0" w:color="auto"/>
            </w:tcBorders>
            <w:shd w:val="clear" w:color="auto" w:fill="auto"/>
            <w:hideMark/>
          </w:tcPr>
          <w:p w14:paraId="07BA25C0"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0B46EB6E"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7D7FEA40" w14:textId="77777777" w:rsidTr="00E73613">
        <w:trPr>
          <w:trHeight w:val="315"/>
        </w:trPr>
        <w:tc>
          <w:tcPr>
            <w:tcW w:w="168" w:type="pct"/>
            <w:tcBorders>
              <w:top w:val="nil"/>
              <w:left w:val="single" w:sz="4" w:space="0" w:color="auto"/>
              <w:bottom w:val="single" w:sz="4" w:space="0" w:color="auto"/>
              <w:right w:val="single" w:sz="4" w:space="0" w:color="auto"/>
            </w:tcBorders>
            <w:shd w:val="clear" w:color="000000" w:fill="DDEBF7"/>
            <w:hideMark/>
          </w:tcPr>
          <w:p w14:paraId="531BE4AA" w14:textId="77777777" w:rsidR="00985D46" w:rsidRPr="00985D46" w:rsidRDefault="00985D46" w:rsidP="00985D46">
            <w:pPr>
              <w:spacing w:after="0" w:line="240" w:lineRule="auto"/>
              <w:jc w:val="center"/>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E</w:t>
            </w:r>
          </w:p>
        </w:tc>
        <w:tc>
          <w:tcPr>
            <w:tcW w:w="3498" w:type="pct"/>
            <w:tcBorders>
              <w:top w:val="nil"/>
              <w:left w:val="nil"/>
              <w:bottom w:val="single" w:sz="4" w:space="0" w:color="auto"/>
              <w:right w:val="single" w:sz="4" w:space="0" w:color="auto"/>
            </w:tcBorders>
            <w:shd w:val="clear" w:color="000000" w:fill="DDEBF7"/>
            <w:hideMark/>
          </w:tcPr>
          <w:p w14:paraId="702021F9" w14:textId="77777777" w:rsidR="00985D46" w:rsidRPr="00985D46" w:rsidRDefault="00985D46" w:rsidP="00985D46">
            <w:pPr>
              <w:spacing w:after="0" w:line="240" w:lineRule="auto"/>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Manage "Enterprise Apps Store"</w:t>
            </w:r>
          </w:p>
        </w:tc>
        <w:tc>
          <w:tcPr>
            <w:tcW w:w="640" w:type="pct"/>
            <w:tcBorders>
              <w:top w:val="nil"/>
              <w:left w:val="nil"/>
              <w:bottom w:val="single" w:sz="4" w:space="0" w:color="auto"/>
              <w:right w:val="single" w:sz="4" w:space="0" w:color="auto"/>
            </w:tcBorders>
            <w:shd w:val="clear" w:color="000000" w:fill="DDEBF7"/>
            <w:hideMark/>
          </w:tcPr>
          <w:p w14:paraId="1BC453F5" w14:textId="77777777" w:rsidR="00985D46" w:rsidRPr="00985D46" w:rsidRDefault="00985D46" w:rsidP="00985D46">
            <w:pPr>
              <w:spacing w:after="0" w:line="240" w:lineRule="auto"/>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 </w:t>
            </w:r>
          </w:p>
        </w:tc>
        <w:tc>
          <w:tcPr>
            <w:tcW w:w="694" w:type="pct"/>
            <w:tcBorders>
              <w:top w:val="nil"/>
              <w:left w:val="nil"/>
              <w:bottom w:val="single" w:sz="4" w:space="0" w:color="auto"/>
              <w:right w:val="single" w:sz="4" w:space="0" w:color="auto"/>
            </w:tcBorders>
            <w:shd w:val="clear" w:color="000000" w:fill="DDEBF7"/>
            <w:hideMark/>
          </w:tcPr>
          <w:p w14:paraId="55D59347" w14:textId="77777777" w:rsidR="00985D46" w:rsidRPr="00985D46" w:rsidRDefault="00985D46" w:rsidP="00985D46">
            <w:pPr>
              <w:spacing w:after="0" w:line="240" w:lineRule="auto"/>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 </w:t>
            </w:r>
          </w:p>
        </w:tc>
      </w:tr>
      <w:tr w:rsidR="00985D46" w:rsidRPr="00985D46" w14:paraId="3A07812B"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2F4A82D3"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46</w:t>
            </w:r>
          </w:p>
        </w:tc>
        <w:tc>
          <w:tcPr>
            <w:tcW w:w="3498" w:type="pct"/>
            <w:tcBorders>
              <w:top w:val="nil"/>
              <w:left w:val="nil"/>
              <w:bottom w:val="single" w:sz="4" w:space="0" w:color="auto"/>
              <w:right w:val="single" w:sz="4" w:space="0" w:color="auto"/>
            </w:tcBorders>
            <w:shd w:val="clear" w:color="000000" w:fill="FFFFFF"/>
            <w:hideMark/>
          </w:tcPr>
          <w:p w14:paraId="5889AFF1"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be able to Restrict new App installation</w:t>
            </w:r>
          </w:p>
        </w:tc>
        <w:tc>
          <w:tcPr>
            <w:tcW w:w="640" w:type="pct"/>
            <w:tcBorders>
              <w:top w:val="nil"/>
              <w:left w:val="nil"/>
              <w:bottom w:val="single" w:sz="4" w:space="0" w:color="auto"/>
              <w:right w:val="single" w:sz="4" w:space="0" w:color="auto"/>
            </w:tcBorders>
            <w:shd w:val="clear" w:color="auto" w:fill="auto"/>
            <w:hideMark/>
          </w:tcPr>
          <w:p w14:paraId="352FA1D8"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7F60A784"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6BF77F47"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4CF31F2B"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47</w:t>
            </w:r>
          </w:p>
        </w:tc>
        <w:tc>
          <w:tcPr>
            <w:tcW w:w="3498" w:type="pct"/>
            <w:tcBorders>
              <w:top w:val="nil"/>
              <w:left w:val="nil"/>
              <w:bottom w:val="single" w:sz="4" w:space="0" w:color="auto"/>
              <w:right w:val="single" w:sz="4" w:space="0" w:color="auto"/>
            </w:tcBorders>
            <w:shd w:val="clear" w:color="000000" w:fill="FFFFFF"/>
            <w:hideMark/>
          </w:tcPr>
          <w:p w14:paraId="25FF9894"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be able to Restrict apps</w:t>
            </w:r>
          </w:p>
        </w:tc>
        <w:tc>
          <w:tcPr>
            <w:tcW w:w="640" w:type="pct"/>
            <w:tcBorders>
              <w:top w:val="nil"/>
              <w:left w:val="nil"/>
              <w:bottom w:val="single" w:sz="4" w:space="0" w:color="auto"/>
              <w:right w:val="single" w:sz="4" w:space="0" w:color="auto"/>
            </w:tcBorders>
            <w:shd w:val="clear" w:color="auto" w:fill="auto"/>
            <w:hideMark/>
          </w:tcPr>
          <w:p w14:paraId="598D2514"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16D45CC4"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2492BBD3"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10DAA9DA"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48</w:t>
            </w:r>
          </w:p>
        </w:tc>
        <w:tc>
          <w:tcPr>
            <w:tcW w:w="3498" w:type="pct"/>
            <w:tcBorders>
              <w:top w:val="nil"/>
              <w:left w:val="nil"/>
              <w:bottom w:val="single" w:sz="4" w:space="0" w:color="auto"/>
              <w:right w:val="single" w:sz="4" w:space="0" w:color="auto"/>
            </w:tcBorders>
            <w:shd w:val="clear" w:color="000000" w:fill="FFFFFF"/>
            <w:hideMark/>
          </w:tcPr>
          <w:p w14:paraId="2FB2C8C4"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be able to Block App Installation from Unknown Sources</w:t>
            </w:r>
          </w:p>
        </w:tc>
        <w:tc>
          <w:tcPr>
            <w:tcW w:w="640" w:type="pct"/>
            <w:tcBorders>
              <w:top w:val="nil"/>
              <w:left w:val="nil"/>
              <w:bottom w:val="single" w:sz="4" w:space="0" w:color="auto"/>
              <w:right w:val="single" w:sz="4" w:space="0" w:color="auto"/>
            </w:tcBorders>
            <w:shd w:val="clear" w:color="auto" w:fill="auto"/>
            <w:hideMark/>
          </w:tcPr>
          <w:p w14:paraId="78CCE65C"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67AE4B7C"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5E7040C1" w14:textId="77777777" w:rsidTr="00E73613">
        <w:trPr>
          <w:trHeight w:val="315"/>
        </w:trPr>
        <w:tc>
          <w:tcPr>
            <w:tcW w:w="168" w:type="pct"/>
            <w:tcBorders>
              <w:top w:val="nil"/>
              <w:left w:val="single" w:sz="4" w:space="0" w:color="auto"/>
              <w:bottom w:val="single" w:sz="4" w:space="0" w:color="auto"/>
              <w:right w:val="single" w:sz="4" w:space="0" w:color="auto"/>
            </w:tcBorders>
            <w:shd w:val="clear" w:color="000000" w:fill="DDEBF7"/>
            <w:hideMark/>
          </w:tcPr>
          <w:p w14:paraId="2C3C5715" w14:textId="77777777" w:rsidR="00985D46" w:rsidRPr="00985D46" w:rsidRDefault="00985D46" w:rsidP="00985D46">
            <w:pPr>
              <w:spacing w:after="0" w:line="240" w:lineRule="auto"/>
              <w:jc w:val="center"/>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F</w:t>
            </w:r>
          </w:p>
        </w:tc>
        <w:tc>
          <w:tcPr>
            <w:tcW w:w="3498" w:type="pct"/>
            <w:tcBorders>
              <w:top w:val="nil"/>
              <w:left w:val="nil"/>
              <w:bottom w:val="single" w:sz="4" w:space="0" w:color="auto"/>
              <w:right w:val="single" w:sz="4" w:space="0" w:color="auto"/>
            </w:tcBorders>
            <w:shd w:val="clear" w:color="000000" w:fill="DDEBF7"/>
            <w:hideMark/>
          </w:tcPr>
          <w:p w14:paraId="21E59AC5" w14:textId="77777777" w:rsidR="00985D46" w:rsidRPr="00985D46" w:rsidRDefault="00985D46" w:rsidP="00985D46">
            <w:pPr>
              <w:spacing w:after="0" w:line="240" w:lineRule="auto"/>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Mobile Security Management (MSM) and Mobile Threat Management (MTM)</w:t>
            </w:r>
          </w:p>
        </w:tc>
        <w:tc>
          <w:tcPr>
            <w:tcW w:w="640" w:type="pct"/>
            <w:tcBorders>
              <w:top w:val="nil"/>
              <w:left w:val="nil"/>
              <w:bottom w:val="single" w:sz="4" w:space="0" w:color="auto"/>
              <w:right w:val="single" w:sz="4" w:space="0" w:color="auto"/>
            </w:tcBorders>
            <w:shd w:val="clear" w:color="000000" w:fill="DDEBF7"/>
            <w:hideMark/>
          </w:tcPr>
          <w:p w14:paraId="006F3EC1" w14:textId="77777777" w:rsidR="00985D46" w:rsidRPr="00985D46" w:rsidRDefault="00985D46" w:rsidP="00985D46">
            <w:pPr>
              <w:spacing w:after="0" w:line="240" w:lineRule="auto"/>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 </w:t>
            </w:r>
          </w:p>
        </w:tc>
        <w:tc>
          <w:tcPr>
            <w:tcW w:w="694" w:type="pct"/>
            <w:tcBorders>
              <w:top w:val="nil"/>
              <w:left w:val="nil"/>
              <w:bottom w:val="single" w:sz="4" w:space="0" w:color="auto"/>
              <w:right w:val="single" w:sz="4" w:space="0" w:color="auto"/>
            </w:tcBorders>
            <w:shd w:val="clear" w:color="000000" w:fill="DDEBF7"/>
            <w:hideMark/>
          </w:tcPr>
          <w:p w14:paraId="46C714A8" w14:textId="77777777" w:rsidR="00985D46" w:rsidRPr="00985D46" w:rsidRDefault="00985D46" w:rsidP="00985D46">
            <w:pPr>
              <w:spacing w:after="0" w:line="240" w:lineRule="auto"/>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 </w:t>
            </w:r>
          </w:p>
        </w:tc>
      </w:tr>
      <w:tr w:rsidR="00985D46" w:rsidRPr="00985D46" w14:paraId="0D183849"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13711B9C"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49</w:t>
            </w:r>
          </w:p>
        </w:tc>
        <w:tc>
          <w:tcPr>
            <w:tcW w:w="3498" w:type="pct"/>
            <w:tcBorders>
              <w:top w:val="nil"/>
              <w:left w:val="nil"/>
              <w:bottom w:val="single" w:sz="4" w:space="0" w:color="auto"/>
              <w:right w:val="single" w:sz="4" w:space="0" w:color="auto"/>
            </w:tcBorders>
            <w:shd w:val="clear" w:color="000000" w:fill="FFFFFF"/>
            <w:hideMark/>
          </w:tcPr>
          <w:p w14:paraId="753CEDEF" w14:textId="1CE8C535"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 xml:space="preserve">The MDM solutions must have Anti Virus with Malware Detection with </w:t>
            </w:r>
            <w:r w:rsidR="0078354F" w:rsidRPr="00985D46">
              <w:rPr>
                <w:rFonts w:ascii="Calibri" w:eastAsia="Times New Roman" w:hAnsi="Calibri" w:cs="Calibri"/>
                <w:color w:val="000000"/>
                <w:sz w:val="18"/>
                <w:szCs w:val="18"/>
                <w:lang w:val="en-GB" w:eastAsia="en-GB"/>
              </w:rPr>
              <w:t>indigenously</w:t>
            </w:r>
            <w:r w:rsidRPr="00985D46">
              <w:rPr>
                <w:rFonts w:ascii="Calibri" w:eastAsia="Times New Roman" w:hAnsi="Calibri" w:cs="Calibri"/>
                <w:color w:val="000000"/>
                <w:sz w:val="18"/>
                <w:szCs w:val="18"/>
                <w:lang w:val="en-GB" w:eastAsia="en-GB"/>
              </w:rPr>
              <w:t xml:space="preserve"> built AV engine</w:t>
            </w:r>
          </w:p>
        </w:tc>
        <w:tc>
          <w:tcPr>
            <w:tcW w:w="640" w:type="pct"/>
            <w:tcBorders>
              <w:top w:val="nil"/>
              <w:left w:val="nil"/>
              <w:bottom w:val="single" w:sz="4" w:space="0" w:color="auto"/>
              <w:right w:val="single" w:sz="4" w:space="0" w:color="auto"/>
            </w:tcBorders>
            <w:shd w:val="clear" w:color="auto" w:fill="auto"/>
            <w:hideMark/>
          </w:tcPr>
          <w:p w14:paraId="3D80E7DB"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154B841E"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459E7285"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753403A3"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50</w:t>
            </w:r>
          </w:p>
        </w:tc>
        <w:tc>
          <w:tcPr>
            <w:tcW w:w="3498" w:type="pct"/>
            <w:tcBorders>
              <w:top w:val="nil"/>
              <w:left w:val="nil"/>
              <w:bottom w:val="single" w:sz="4" w:space="0" w:color="auto"/>
              <w:right w:val="single" w:sz="4" w:space="0" w:color="auto"/>
            </w:tcBorders>
            <w:shd w:val="clear" w:color="000000" w:fill="FFFFFF"/>
            <w:hideMark/>
          </w:tcPr>
          <w:p w14:paraId="677C6A1E"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Must be able to do Scheduled Scan / Real Time Scan</w:t>
            </w:r>
          </w:p>
        </w:tc>
        <w:tc>
          <w:tcPr>
            <w:tcW w:w="640" w:type="pct"/>
            <w:tcBorders>
              <w:top w:val="nil"/>
              <w:left w:val="nil"/>
              <w:bottom w:val="single" w:sz="4" w:space="0" w:color="auto"/>
              <w:right w:val="single" w:sz="4" w:space="0" w:color="auto"/>
            </w:tcBorders>
            <w:shd w:val="clear" w:color="auto" w:fill="auto"/>
            <w:hideMark/>
          </w:tcPr>
          <w:p w14:paraId="2AFFDBF0"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34A55444"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29E840AE"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6A9C2C89"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51</w:t>
            </w:r>
          </w:p>
        </w:tc>
        <w:tc>
          <w:tcPr>
            <w:tcW w:w="3498" w:type="pct"/>
            <w:tcBorders>
              <w:top w:val="nil"/>
              <w:left w:val="nil"/>
              <w:bottom w:val="single" w:sz="4" w:space="0" w:color="auto"/>
              <w:right w:val="single" w:sz="4" w:space="0" w:color="auto"/>
            </w:tcBorders>
            <w:shd w:val="clear" w:color="000000" w:fill="FFFFFF"/>
            <w:hideMark/>
          </w:tcPr>
          <w:p w14:paraId="046563E8"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have Password protection for devices as policy</w:t>
            </w:r>
          </w:p>
        </w:tc>
        <w:tc>
          <w:tcPr>
            <w:tcW w:w="640" w:type="pct"/>
            <w:tcBorders>
              <w:top w:val="nil"/>
              <w:left w:val="nil"/>
              <w:bottom w:val="single" w:sz="4" w:space="0" w:color="auto"/>
              <w:right w:val="single" w:sz="4" w:space="0" w:color="auto"/>
            </w:tcBorders>
            <w:shd w:val="clear" w:color="auto" w:fill="auto"/>
            <w:hideMark/>
          </w:tcPr>
          <w:p w14:paraId="40B6707B"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3205F72D"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267DAA8E" w14:textId="77777777" w:rsidTr="00E73613">
        <w:trPr>
          <w:trHeight w:val="480"/>
        </w:trPr>
        <w:tc>
          <w:tcPr>
            <w:tcW w:w="168" w:type="pct"/>
            <w:tcBorders>
              <w:top w:val="nil"/>
              <w:left w:val="single" w:sz="4" w:space="0" w:color="auto"/>
              <w:bottom w:val="single" w:sz="4" w:space="0" w:color="auto"/>
              <w:right w:val="single" w:sz="4" w:space="0" w:color="auto"/>
            </w:tcBorders>
            <w:shd w:val="clear" w:color="auto" w:fill="auto"/>
            <w:hideMark/>
          </w:tcPr>
          <w:p w14:paraId="4E062A0D"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52</w:t>
            </w:r>
          </w:p>
        </w:tc>
        <w:tc>
          <w:tcPr>
            <w:tcW w:w="3498" w:type="pct"/>
            <w:tcBorders>
              <w:top w:val="nil"/>
              <w:left w:val="nil"/>
              <w:bottom w:val="single" w:sz="4" w:space="0" w:color="auto"/>
              <w:right w:val="single" w:sz="4" w:space="0" w:color="auto"/>
            </w:tcBorders>
            <w:shd w:val="clear" w:color="000000" w:fill="FFFFFF"/>
            <w:hideMark/>
          </w:tcPr>
          <w:p w14:paraId="5D882291"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be able to selectively wipe device remotely (factory reset, complete wipe, wipe particular path, file extension-based wiping)</w:t>
            </w:r>
          </w:p>
        </w:tc>
        <w:tc>
          <w:tcPr>
            <w:tcW w:w="640" w:type="pct"/>
            <w:tcBorders>
              <w:top w:val="nil"/>
              <w:left w:val="nil"/>
              <w:bottom w:val="single" w:sz="4" w:space="0" w:color="auto"/>
              <w:right w:val="single" w:sz="4" w:space="0" w:color="auto"/>
            </w:tcBorders>
            <w:shd w:val="clear" w:color="auto" w:fill="auto"/>
            <w:hideMark/>
          </w:tcPr>
          <w:p w14:paraId="4AA2F974"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6948BCBE"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75D91901" w14:textId="77777777" w:rsidTr="00E73613">
        <w:trPr>
          <w:trHeight w:val="480"/>
        </w:trPr>
        <w:tc>
          <w:tcPr>
            <w:tcW w:w="168" w:type="pct"/>
            <w:tcBorders>
              <w:top w:val="nil"/>
              <w:left w:val="single" w:sz="4" w:space="0" w:color="auto"/>
              <w:bottom w:val="single" w:sz="4" w:space="0" w:color="auto"/>
              <w:right w:val="single" w:sz="4" w:space="0" w:color="auto"/>
            </w:tcBorders>
            <w:shd w:val="clear" w:color="auto" w:fill="auto"/>
            <w:hideMark/>
          </w:tcPr>
          <w:p w14:paraId="3E04C1C8"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53</w:t>
            </w:r>
          </w:p>
        </w:tc>
        <w:tc>
          <w:tcPr>
            <w:tcW w:w="3498" w:type="pct"/>
            <w:tcBorders>
              <w:top w:val="nil"/>
              <w:left w:val="nil"/>
              <w:bottom w:val="single" w:sz="4" w:space="0" w:color="auto"/>
              <w:right w:val="single" w:sz="4" w:space="0" w:color="auto"/>
            </w:tcBorders>
            <w:shd w:val="clear" w:color="000000" w:fill="FFFFFF"/>
            <w:hideMark/>
          </w:tcPr>
          <w:p w14:paraId="578AF856"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be able to selectively wipe device remotely (factory reset, complete wipe, wipe particular path, file extension based wiping)</w:t>
            </w:r>
          </w:p>
        </w:tc>
        <w:tc>
          <w:tcPr>
            <w:tcW w:w="640" w:type="pct"/>
            <w:tcBorders>
              <w:top w:val="nil"/>
              <w:left w:val="nil"/>
              <w:bottom w:val="single" w:sz="4" w:space="0" w:color="auto"/>
              <w:right w:val="single" w:sz="4" w:space="0" w:color="auto"/>
            </w:tcBorders>
            <w:shd w:val="clear" w:color="auto" w:fill="auto"/>
            <w:hideMark/>
          </w:tcPr>
          <w:p w14:paraId="0965DD8D"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23F129B0"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18C3C7B8" w14:textId="77777777" w:rsidTr="00E73613">
        <w:trPr>
          <w:trHeight w:val="285"/>
        </w:trPr>
        <w:tc>
          <w:tcPr>
            <w:tcW w:w="168" w:type="pct"/>
            <w:tcBorders>
              <w:top w:val="nil"/>
              <w:left w:val="single" w:sz="4" w:space="0" w:color="auto"/>
              <w:bottom w:val="single" w:sz="4" w:space="0" w:color="auto"/>
              <w:right w:val="single" w:sz="4" w:space="0" w:color="auto"/>
            </w:tcBorders>
            <w:shd w:val="clear" w:color="auto" w:fill="auto"/>
            <w:hideMark/>
          </w:tcPr>
          <w:p w14:paraId="24A133ED" w14:textId="77777777" w:rsidR="00985D46" w:rsidRPr="00985D46" w:rsidRDefault="00985D46" w:rsidP="00985D46">
            <w:pPr>
              <w:spacing w:after="0" w:line="240" w:lineRule="auto"/>
              <w:jc w:val="right"/>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54</w:t>
            </w:r>
          </w:p>
        </w:tc>
        <w:tc>
          <w:tcPr>
            <w:tcW w:w="3498" w:type="pct"/>
            <w:tcBorders>
              <w:top w:val="nil"/>
              <w:left w:val="nil"/>
              <w:bottom w:val="single" w:sz="4" w:space="0" w:color="auto"/>
              <w:right w:val="single" w:sz="4" w:space="0" w:color="auto"/>
            </w:tcBorders>
            <w:shd w:val="clear" w:color="000000" w:fill="FFFFFF"/>
            <w:hideMark/>
          </w:tcPr>
          <w:p w14:paraId="5751C89D"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be able to do Device compromise detection (jailbreak/rooting)</w:t>
            </w:r>
          </w:p>
        </w:tc>
        <w:tc>
          <w:tcPr>
            <w:tcW w:w="640" w:type="pct"/>
            <w:tcBorders>
              <w:top w:val="nil"/>
              <w:left w:val="nil"/>
              <w:bottom w:val="single" w:sz="4" w:space="0" w:color="auto"/>
              <w:right w:val="single" w:sz="4" w:space="0" w:color="auto"/>
            </w:tcBorders>
            <w:shd w:val="clear" w:color="auto" w:fill="auto"/>
            <w:hideMark/>
          </w:tcPr>
          <w:p w14:paraId="778A0DBE"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063E22A5"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686132B0" w14:textId="77777777" w:rsidTr="00E73613">
        <w:trPr>
          <w:trHeight w:val="315"/>
        </w:trPr>
        <w:tc>
          <w:tcPr>
            <w:tcW w:w="168" w:type="pct"/>
            <w:tcBorders>
              <w:top w:val="nil"/>
              <w:left w:val="single" w:sz="4" w:space="0" w:color="auto"/>
              <w:bottom w:val="single" w:sz="4" w:space="0" w:color="auto"/>
              <w:right w:val="single" w:sz="4" w:space="0" w:color="auto"/>
            </w:tcBorders>
            <w:shd w:val="clear" w:color="000000" w:fill="DDEBF7"/>
            <w:hideMark/>
          </w:tcPr>
          <w:p w14:paraId="29D1A507" w14:textId="77777777" w:rsidR="00985D46" w:rsidRPr="00985D46" w:rsidRDefault="00985D46" w:rsidP="00985D46">
            <w:pPr>
              <w:spacing w:after="0" w:line="240" w:lineRule="auto"/>
              <w:jc w:val="center"/>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G</w:t>
            </w:r>
          </w:p>
        </w:tc>
        <w:tc>
          <w:tcPr>
            <w:tcW w:w="3498" w:type="pct"/>
            <w:tcBorders>
              <w:top w:val="nil"/>
              <w:left w:val="nil"/>
              <w:bottom w:val="single" w:sz="4" w:space="0" w:color="auto"/>
              <w:right w:val="single" w:sz="4" w:space="0" w:color="auto"/>
            </w:tcBorders>
            <w:shd w:val="clear" w:color="000000" w:fill="DDEBF7"/>
            <w:hideMark/>
          </w:tcPr>
          <w:p w14:paraId="6AB4C672" w14:textId="77777777" w:rsidR="00985D46" w:rsidRPr="00985D46" w:rsidRDefault="00985D46" w:rsidP="00985D46">
            <w:pPr>
              <w:spacing w:after="0" w:line="240" w:lineRule="auto"/>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Virtual Fencing</w:t>
            </w:r>
          </w:p>
        </w:tc>
        <w:tc>
          <w:tcPr>
            <w:tcW w:w="640" w:type="pct"/>
            <w:tcBorders>
              <w:top w:val="nil"/>
              <w:left w:val="nil"/>
              <w:bottom w:val="single" w:sz="4" w:space="0" w:color="auto"/>
              <w:right w:val="single" w:sz="4" w:space="0" w:color="auto"/>
            </w:tcBorders>
            <w:shd w:val="clear" w:color="000000" w:fill="DDEBF7"/>
            <w:hideMark/>
          </w:tcPr>
          <w:p w14:paraId="342DF981" w14:textId="77777777" w:rsidR="00985D46" w:rsidRPr="00985D46" w:rsidRDefault="00985D46" w:rsidP="00985D46">
            <w:pPr>
              <w:spacing w:after="0" w:line="240" w:lineRule="auto"/>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 </w:t>
            </w:r>
          </w:p>
        </w:tc>
        <w:tc>
          <w:tcPr>
            <w:tcW w:w="694" w:type="pct"/>
            <w:tcBorders>
              <w:top w:val="nil"/>
              <w:left w:val="nil"/>
              <w:bottom w:val="single" w:sz="4" w:space="0" w:color="auto"/>
              <w:right w:val="single" w:sz="4" w:space="0" w:color="auto"/>
            </w:tcBorders>
            <w:shd w:val="clear" w:color="000000" w:fill="DDEBF7"/>
            <w:hideMark/>
          </w:tcPr>
          <w:p w14:paraId="62C98787" w14:textId="77777777" w:rsidR="00985D46" w:rsidRPr="00985D46" w:rsidRDefault="00985D46" w:rsidP="00985D46">
            <w:pPr>
              <w:spacing w:after="0" w:line="240" w:lineRule="auto"/>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 </w:t>
            </w:r>
          </w:p>
        </w:tc>
      </w:tr>
      <w:tr w:rsidR="00985D46" w:rsidRPr="00985D46" w14:paraId="5C900ABF"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73E2724F"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55</w:t>
            </w:r>
          </w:p>
        </w:tc>
        <w:tc>
          <w:tcPr>
            <w:tcW w:w="3498" w:type="pct"/>
            <w:tcBorders>
              <w:top w:val="nil"/>
              <w:left w:val="nil"/>
              <w:bottom w:val="single" w:sz="4" w:space="0" w:color="auto"/>
              <w:right w:val="single" w:sz="4" w:space="0" w:color="auto"/>
            </w:tcBorders>
            <w:shd w:val="clear" w:color="auto" w:fill="auto"/>
            <w:hideMark/>
          </w:tcPr>
          <w:p w14:paraId="514841E0"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be able to do Geo Fencing, Wi fi Fencing &amp; Time Fencing</w:t>
            </w:r>
          </w:p>
        </w:tc>
        <w:tc>
          <w:tcPr>
            <w:tcW w:w="640" w:type="pct"/>
            <w:tcBorders>
              <w:top w:val="nil"/>
              <w:left w:val="nil"/>
              <w:bottom w:val="single" w:sz="4" w:space="0" w:color="auto"/>
              <w:right w:val="single" w:sz="4" w:space="0" w:color="auto"/>
            </w:tcBorders>
            <w:shd w:val="clear" w:color="auto" w:fill="auto"/>
            <w:hideMark/>
          </w:tcPr>
          <w:p w14:paraId="5C140DE8"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08666DD4"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9452913"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1CF92C16"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56</w:t>
            </w:r>
          </w:p>
        </w:tc>
        <w:tc>
          <w:tcPr>
            <w:tcW w:w="3498" w:type="pct"/>
            <w:tcBorders>
              <w:top w:val="nil"/>
              <w:left w:val="nil"/>
              <w:bottom w:val="single" w:sz="4" w:space="0" w:color="auto"/>
              <w:right w:val="single" w:sz="4" w:space="0" w:color="auto"/>
            </w:tcBorders>
            <w:shd w:val="clear" w:color="000000" w:fill="FFFFFF"/>
            <w:hideMark/>
          </w:tcPr>
          <w:p w14:paraId="1E1D14A5"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 xml:space="preserve">The MDM solutions must be able to apply multiple fences in one policy  </w:t>
            </w:r>
          </w:p>
        </w:tc>
        <w:tc>
          <w:tcPr>
            <w:tcW w:w="640" w:type="pct"/>
            <w:tcBorders>
              <w:top w:val="nil"/>
              <w:left w:val="nil"/>
              <w:bottom w:val="single" w:sz="4" w:space="0" w:color="auto"/>
              <w:right w:val="single" w:sz="4" w:space="0" w:color="auto"/>
            </w:tcBorders>
            <w:shd w:val="clear" w:color="auto" w:fill="auto"/>
            <w:hideMark/>
          </w:tcPr>
          <w:p w14:paraId="5CADD0D0"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1330915C"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1DA77AB1"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7D458FA5"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57</w:t>
            </w:r>
          </w:p>
        </w:tc>
        <w:tc>
          <w:tcPr>
            <w:tcW w:w="3498" w:type="pct"/>
            <w:tcBorders>
              <w:top w:val="nil"/>
              <w:left w:val="nil"/>
              <w:bottom w:val="single" w:sz="4" w:space="0" w:color="auto"/>
              <w:right w:val="single" w:sz="4" w:space="0" w:color="auto"/>
            </w:tcBorders>
            <w:shd w:val="clear" w:color="auto" w:fill="auto"/>
            <w:hideMark/>
          </w:tcPr>
          <w:p w14:paraId="70A4B3A9" w14:textId="7838BD80"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 xml:space="preserve">The MDM solutions must be able to </w:t>
            </w:r>
            <w:r w:rsidR="00426FCC" w:rsidRPr="00985D46">
              <w:rPr>
                <w:rFonts w:ascii="Calibri" w:eastAsia="Times New Roman" w:hAnsi="Calibri" w:cs="Calibri"/>
                <w:color w:val="000000"/>
                <w:sz w:val="18"/>
                <w:szCs w:val="18"/>
                <w:lang w:val="en-GB" w:eastAsia="en-GB"/>
              </w:rPr>
              <w:t>allocate</w:t>
            </w:r>
            <w:r w:rsidRPr="00985D46">
              <w:rPr>
                <w:rFonts w:ascii="Calibri" w:eastAsia="Times New Roman" w:hAnsi="Calibri" w:cs="Calibri"/>
                <w:color w:val="000000"/>
                <w:sz w:val="18"/>
                <w:szCs w:val="18"/>
                <w:lang w:val="en-GB" w:eastAsia="en-GB"/>
              </w:rPr>
              <w:t xml:space="preserve"> relation (AND/OR) between multiple fences applied in a policy</w:t>
            </w:r>
          </w:p>
        </w:tc>
        <w:tc>
          <w:tcPr>
            <w:tcW w:w="640" w:type="pct"/>
            <w:tcBorders>
              <w:top w:val="nil"/>
              <w:left w:val="nil"/>
              <w:bottom w:val="single" w:sz="4" w:space="0" w:color="auto"/>
              <w:right w:val="single" w:sz="4" w:space="0" w:color="auto"/>
            </w:tcBorders>
            <w:shd w:val="clear" w:color="auto" w:fill="auto"/>
            <w:hideMark/>
          </w:tcPr>
          <w:p w14:paraId="798D4B02"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3C838C3B"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05BC5604"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3D1AA82D"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58</w:t>
            </w:r>
          </w:p>
        </w:tc>
        <w:tc>
          <w:tcPr>
            <w:tcW w:w="3498" w:type="pct"/>
            <w:tcBorders>
              <w:top w:val="nil"/>
              <w:left w:val="nil"/>
              <w:bottom w:val="single" w:sz="4" w:space="0" w:color="auto"/>
              <w:right w:val="single" w:sz="4" w:space="0" w:color="auto"/>
            </w:tcBorders>
            <w:shd w:val="clear" w:color="000000" w:fill="FFFFFF"/>
            <w:hideMark/>
          </w:tcPr>
          <w:p w14:paraId="42B291F3"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be able to log event on fence/s trigger</w:t>
            </w:r>
          </w:p>
        </w:tc>
        <w:tc>
          <w:tcPr>
            <w:tcW w:w="640" w:type="pct"/>
            <w:tcBorders>
              <w:top w:val="nil"/>
              <w:left w:val="nil"/>
              <w:bottom w:val="single" w:sz="4" w:space="0" w:color="auto"/>
              <w:right w:val="single" w:sz="4" w:space="0" w:color="auto"/>
            </w:tcBorders>
            <w:shd w:val="clear" w:color="auto" w:fill="auto"/>
            <w:hideMark/>
          </w:tcPr>
          <w:p w14:paraId="5795FBAE"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2FE52B56"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347752E"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253C8DC7"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59</w:t>
            </w:r>
          </w:p>
        </w:tc>
        <w:tc>
          <w:tcPr>
            <w:tcW w:w="3498" w:type="pct"/>
            <w:tcBorders>
              <w:top w:val="nil"/>
              <w:left w:val="nil"/>
              <w:bottom w:val="single" w:sz="4" w:space="0" w:color="auto"/>
              <w:right w:val="single" w:sz="4" w:space="0" w:color="auto"/>
            </w:tcBorders>
            <w:shd w:val="clear" w:color="000000" w:fill="FFFFFF"/>
            <w:hideMark/>
          </w:tcPr>
          <w:p w14:paraId="1F17D939"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be able to update Policy/Profile on device based on Fence/s trigger event</w:t>
            </w:r>
          </w:p>
        </w:tc>
        <w:tc>
          <w:tcPr>
            <w:tcW w:w="640" w:type="pct"/>
            <w:tcBorders>
              <w:top w:val="nil"/>
              <w:left w:val="nil"/>
              <w:bottom w:val="single" w:sz="4" w:space="0" w:color="auto"/>
              <w:right w:val="single" w:sz="4" w:space="0" w:color="auto"/>
            </w:tcBorders>
            <w:shd w:val="clear" w:color="auto" w:fill="auto"/>
            <w:hideMark/>
          </w:tcPr>
          <w:p w14:paraId="70F50F95"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0463C9F5"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19C63712" w14:textId="77777777" w:rsidTr="00E73613">
        <w:trPr>
          <w:trHeight w:val="315"/>
        </w:trPr>
        <w:tc>
          <w:tcPr>
            <w:tcW w:w="168" w:type="pct"/>
            <w:tcBorders>
              <w:top w:val="nil"/>
              <w:left w:val="single" w:sz="4" w:space="0" w:color="auto"/>
              <w:bottom w:val="single" w:sz="4" w:space="0" w:color="auto"/>
              <w:right w:val="single" w:sz="4" w:space="0" w:color="auto"/>
            </w:tcBorders>
            <w:shd w:val="clear" w:color="000000" w:fill="DDEBF7"/>
            <w:hideMark/>
          </w:tcPr>
          <w:p w14:paraId="67670986" w14:textId="77777777" w:rsidR="00985D46" w:rsidRPr="00985D46" w:rsidRDefault="00985D46" w:rsidP="00985D46">
            <w:pPr>
              <w:spacing w:after="0" w:line="240" w:lineRule="auto"/>
              <w:jc w:val="center"/>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H</w:t>
            </w:r>
          </w:p>
        </w:tc>
        <w:tc>
          <w:tcPr>
            <w:tcW w:w="3498" w:type="pct"/>
            <w:tcBorders>
              <w:top w:val="nil"/>
              <w:left w:val="nil"/>
              <w:bottom w:val="single" w:sz="4" w:space="0" w:color="auto"/>
              <w:right w:val="single" w:sz="4" w:space="0" w:color="auto"/>
            </w:tcBorders>
            <w:shd w:val="clear" w:color="000000" w:fill="DDEBF7"/>
            <w:hideMark/>
          </w:tcPr>
          <w:p w14:paraId="76E55323" w14:textId="77777777" w:rsidR="00985D46" w:rsidRPr="00985D46" w:rsidRDefault="00985D46" w:rsidP="00985D46">
            <w:pPr>
              <w:spacing w:after="0" w:line="240" w:lineRule="auto"/>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Network management</w:t>
            </w:r>
          </w:p>
        </w:tc>
        <w:tc>
          <w:tcPr>
            <w:tcW w:w="640" w:type="pct"/>
            <w:tcBorders>
              <w:top w:val="nil"/>
              <w:left w:val="nil"/>
              <w:bottom w:val="single" w:sz="4" w:space="0" w:color="auto"/>
              <w:right w:val="single" w:sz="4" w:space="0" w:color="auto"/>
            </w:tcBorders>
            <w:shd w:val="clear" w:color="000000" w:fill="DDEBF7"/>
            <w:hideMark/>
          </w:tcPr>
          <w:p w14:paraId="56B3676A" w14:textId="77777777" w:rsidR="00985D46" w:rsidRPr="00985D46" w:rsidRDefault="00985D46" w:rsidP="00985D46">
            <w:pPr>
              <w:spacing w:after="0" w:line="240" w:lineRule="auto"/>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 </w:t>
            </w:r>
          </w:p>
        </w:tc>
        <w:tc>
          <w:tcPr>
            <w:tcW w:w="694" w:type="pct"/>
            <w:tcBorders>
              <w:top w:val="nil"/>
              <w:left w:val="nil"/>
              <w:bottom w:val="single" w:sz="4" w:space="0" w:color="auto"/>
              <w:right w:val="single" w:sz="4" w:space="0" w:color="auto"/>
            </w:tcBorders>
            <w:shd w:val="clear" w:color="000000" w:fill="DDEBF7"/>
            <w:hideMark/>
          </w:tcPr>
          <w:p w14:paraId="3B933788" w14:textId="77777777" w:rsidR="00985D46" w:rsidRPr="00985D46" w:rsidRDefault="00985D46" w:rsidP="00985D46">
            <w:pPr>
              <w:spacing w:after="0" w:line="240" w:lineRule="auto"/>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 </w:t>
            </w:r>
          </w:p>
        </w:tc>
      </w:tr>
      <w:tr w:rsidR="00985D46" w:rsidRPr="00985D46" w14:paraId="43E95173" w14:textId="77777777" w:rsidTr="00E73613">
        <w:trPr>
          <w:trHeight w:val="480"/>
        </w:trPr>
        <w:tc>
          <w:tcPr>
            <w:tcW w:w="168" w:type="pct"/>
            <w:tcBorders>
              <w:top w:val="nil"/>
              <w:left w:val="single" w:sz="4" w:space="0" w:color="auto"/>
              <w:bottom w:val="single" w:sz="4" w:space="0" w:color="auto"/>
              <w:right w:val="single" w:sz="4" w:space="0" w:color="auto"/>
            </w:tcBorders>
            <w:shd w:val="clear" w:color="auto" w:fill="auto"/>
            <w:hideMark/>
          </w:tcPr>
          <w:p w14:paraId="643B7F22"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60</w:t>
            </w:r>
          </w:p>
        </w:tc>
        <w:tc>
          <w:tcPr>
            <w:tcW w:w="3498" w:type="pct"/>
            <w:tcBorders>
              <w:top w:val="nil"/>
              <w:left w:val="nil"/>
              <w:bottom w:val="single" w:sz="4" w:space="0" w:color="auto"/>
              <w:right w:val="single" w:sz="4" w:space="0" w:color="auto"/>
            </w:tcBorders>
            <w:shd w:val="clear" w:color="000000" w:fill="FFFFFF"/>
            <w:hideMark/>
          </w:tcPr>
          <w:p w14:paraId="59893422"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able to do Data usage Monitoring of device (segregated by Mobile data, wifi data, roaming data) logged for each day</w:t>
            </w:r>
          </w:p>
        </w:tc>
        <w:tc>
          <w:tcPr>
            <w:tcW w:w="640" w:type="pct"/>
            <w:tcBorders>
              <w:top w:val="nil"/>
              <w:left w:val="nil"/>
              <w:bottom w:val="single" w:sz="4" w:space="0" w:color="auto"/>
              <w:right w:val="single" w:sz="4" w:space="0" w:color="auto"/>
            </w:tcBorders>
            <w:shd w:val="clear" w:color="auto" w:fill="auto"/>
            <w:hideMark/>
          </w:tcPr>
          <w:p w14:paraId="7FA1F50F"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03433232"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75DBEC1" w14:textId="77777777" w:rsidTr="00E73613">
        <w:trPr>
          <w:trHeight w:val="480"/>
        </w:trPr>
        <w:tc>
          <w:tcPr>
            <w:tcW w:w="168" w:type="pct"/>
            <w:tcBorders>
              <w:top w:val="nil"/>
              <w:left w:val="single" w:sz="4" w:space="0" w:color="auto"/>
              <w:bottom w:val="single" w:sz="4" w:space="0" w:color="auto"/>
              <w:right w:val="single" w:sz="4" w:space="0" w:color="auto"/>
            </w:tcBorders>
            <w:shd w:val="clear" w:color="auto" w:fill="auto"/>
            <w:hideMark/>
          </w:tcPr>
          <w:p w14:paraId="68E685D7"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61</w:t>
            </w:r>
          </w:p>
        </w:tc>
        <w:tc>
          <w:tcPr>
            <w:tcW w:w="3498" w:type="pct"/>
            <w:tcBorders>
              <w:top w:val="nil"/>
              <w:left w:val="nil"/>
              <w:bottom w:val="single" w:sz="4" w:space="0" w:color="auto"/>
              <w:right w:val="single" w:sz="4" w:space="0" w:color="auto"/>
            </w:tcBorders>
            <w:shd w:val="clear" w:color="000000" w:fill="FFFFFF"/>
            <w:hideMark/>
          </w:tcPr>
          <w:p w14:paraId="6EA96A82"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able to do Data usage Monitoring by application (segregated by Mobile data, wifi data, roaming data) logged for each day</w:t>
            </w:r>
          </w:p>
        </w:tc>
        <w:tc>
          <w:tcPr>
            <w:tcW w:w="640" w:type="pct"/>
            <w:tcBorders>
              <w:top w:val="nil"/>
              <w:left w:val="nil"/>
              <w:bottom w:val="single" w:sz="4" w:space="0" w:color="auto"/>
              <w:right w:val="single" w:sz="4" w:space="0" w:color="auto"/>
            </w:tcBorders>
            <w:shd w:val="clear" w:color="auto" w:fill="auto"/>
            <w:hideMark/>
          </w:tcPr>
          <w:p w14:paraId="74680285"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5535ADEA"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651DB57"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326BB64D"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62</w:t>
            </w:r>
          </w:p>
        </w:tc>
        <w:tc>
          <w:tcPr>
            <w:tcW w:w="3498" w:type="pct"/>
            <w:tcBorders>
              <w:top w:val="nil"/>
              <w:left w:val="nil"/>
              <w:bottom w:val="single" w:sz="4" w:space="0" w:color="auto"/>
              <w:right w:val="single" w:sz="4" w:space="0" w:color="auto"/>
            </w:tcBorders>
            <w:shd w:val="clear" w:color="000000" w:fill="FFFFFF"/>
            <w:hideMark/>
          </w:tcPr>
          <w:p w14:paraId="693D66AF"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able to show top Apps using most data on dashboard</w:t>
            </w:r>
          </w:p>
        </w:tc>
        <w:tc>
          <w:tcPr>
            <w:tcW w:w="640" w:type="pct"/>
            <w:tcBorders>
              <w:top w:val="nil"/>
              <w:left w:val="nil"/>
              <w:bottom w:val="single" w:sz="4" w:space="0" w:color="auto"/>
              <w:right w:val="single" w:sz="4" w:space="0" w:color="auto"/>
            </w:tcBorders>
            <w:shd w:val="clear" w:color="auto" w:fill="auto"/>
            <w:hideMark/>
          </w:tcPr>
          <w:p w14:paraId="7399490C"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5A944CC4"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299A3855"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0D584DCF"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63</w:t>
            </w:r>
          </w:p>
        </w:tc>
        <w:tc>
          <w:tcPr>
            <w:tcW w:w="3498" w:type="pct"/>
            <w:tcBorders>
              <w:top w:val="nil"/>
              <w:left w:val="nil"/>
              <w:bottom w:val="single" w:sz="4" w:space="0" w:color="auto"/>
              <w:right w:val="single" w:sz="4" w:space="0" w:color="auto"/>
            </w:tcBorders>
            <w:shd w:val="clear" w:color="000000" w:fill="FFFFFF"/>
            <w:hideMark/>
          </w:tcPr>
          <w:p w14:paraId="0FADB054"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able to show top Devices using most data on dashboard</w:t>
            </w:r>
          </w:p>
        </w:tc>
        <w:tc>
          <w:tcPr>
            <w:tcW w:w="640" w:type="pct"/>
            <w:tcBorders>
              <w:top w:val="nil"/>
              <w:left w:val="nil"/>
              <w:bottom w:val="single" w:sz="4" w:space="0" w:color="auto"/>
              <w:right w:val="single" w:sz="4" w:space="0" w:color="auto"/>
            </w:tcBorders>
            <w:shd w:val="clear" w:color="auto" w:fill="auto"/>
            <w:hideMark/>
          </w:tcPr>
          <w:p w14:paraId="15524DDA"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118154AD"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59CE51DD" w14:textId="77777777" w:rsidTr="00E73613">
        <w:trPr>
          <w:trHeight w:val="315"/>
        </w:trPr>
        <w:tc>
          <w:tcPr>
            <w:tcW w:w="168" w:type="pct"/>
            <w:tcBorders>
              <w:top w:val="nil"/>
              <w:left w:val="single" w:sz="4" w:space="0" w:color="auto"/>
              <w:bottom w:val="single" w:sz="4" w:space="0" w:color="auto"/>
              <w:right w:val="single" w:sz="4" w:space="0" w:color="auto"/>
            </w:tcBorders>
            <w:shd w:val="clear" w:color="000000" w:fill="DDEBF7"/>
            <w:hideMark/>
          </w:tcPr>
          <w:p w14:paraId="1C6FD34C" w14:textId="77777777" w:rsidR="00985D46" w:rsidRPr="00985D46" w:rsidRDefault="00985D46" w:rsidP="00985D46">
            <w:pPr>
              <w:spacing w:after="0" w:line="240" w:lineRule="auto"/>
              <w:jc w:val="center"/>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I</w:t>
            </w:r>
          </w:p>
        </w:tc>
        <w:tc>
          <w:tcPr>
            <w:tcW w:w="3498" w:type="pct"/>
            <w:tcBorders>
              <w:top w:val="nil"/>
              <w:left w:val="nil"/>
              <w:bottom w:val="single" w:sz="4" w:space="0" w:color="auto"/>
              <w:right w:val="single" w:sz="4" w:space="0" w:color="auto"/>
            </w:tcBorders>
            <w:shd w:val="clear" w:color="000000" w:fill="DDEBF7"/>
            <w:hideMark/>
          </w:tcPr>
          <w:p w14:paraId="0909C9DA" w14:textId="77777777" w:rsidR="00985D46" w:rsidRPr="00985D46" w:rsidRDefault="00985D46" w:rsidP="00985D46">
            <w:pPr>
              <w:spacing w:after="0" w:line="240" w:lineRule="auto"/>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Analytics</w:t>
            </w:r>
          </w:p>
        </w:tc>
        <w:tc>
          <w:tcPr>
            <w:tcW w:w="640" w:type="pct"/>
            <w:tcBorders>
              <w:top w:val="nil"/>
              <w:left w:val="nil"/>
              <w:bottom w:val="single" w:sz="4" w:space="0" w:color="auto"/>
              <w:right w:val="single" w:sz="4" w:space="0" w:color="auto"/>
            </w:tcBorders>
            <w:shd w:val="clear" w:color="000000" w:fill="DDEBF7"/>
            <w:hideMark/>
          </w:tcPr>
          <w:p w14:paraId="57916F5C" w14:textId="77777777" w:rsidR="00985D46" w:rsidRPr="00985D46" w:rsidRDefault="00985D46" w:rsidP="00985D46">
            <w:pPr>
              <w:spacing w:after="0" w:line="240" w:lineRule="auto"/>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 </w:t>
            </w:r>
          </w:p>
        </w:tc>
        <w:tc>
          <w:tcPr>
            <w:tcW w:w="694" w:type="pct"/>
            <w:tcBorders>
              <w:top w:val="nil"/>
              <w:left w:val="nil"/>
              <w:bottom w:val="single" w:sz="4" w:space="0" w:color="auto"/>
              <w:right w:val="single" w:sz="4" w:space="0" w:color="auto"/>
            </w:tcBorders>
            <w:shd w:val="clear" w:color="000000" w:fill="DDEBF7"/>
            <w:hideMark/>
          </w:tcPr>
          <w:p w14:paraId="0169FAFC" w14:textId="77777777" w:rsidR="00985D46" w:rsidRPr="00985D46" w:rsidRDefault="00985D46" w:rsidP="00985D46">
            <w:pPr>
              <w:spacing w:after="0" w:line="240" w:lineRule="auto"/>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 </w:t>
            </w:r>
          </w:p>
        </w:tc>
      </w:tr>
      <w:tr w:rsidR="00985D46" w:rsidRPr="00985D46" w14:paraId="7EC8BD8A"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5B276D97"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64</w:t>
            </w:r>
          </w:p>
        </w:tc>
        <w:tc>
          <w:tcPr>
            <w:tcW w:w="3498" w:type="pct"/>
            <w:tcBorders>
              <w:top w:val="nil"/>
              <w:left w:val="nil"/>
              <w:bottom w:val="single" w:sz="4" w:space="0" w:color="auto"/>
              <w:right w:val="single" w:sz="4" w:space="0" w:color="auto"/>
            </w:tcBorders>
            <w:shd w:val="clear" w:color="000000" w:fill="FFFFFF"/>
            <w:hideMark/>
          </w:tcPr>
          <w:p w14:paraId="12A42B26"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be able to perform global search anywhere within the Admin Console</w:t>
            </w:r>
          </w:p>
        </w:tc>
        <w:tc>
          <w:tcPr>
            <w:tcW w:w="640" w:type="pct"/>
            <w:tcBorders>
              <w:top w:val="nil"/>
              <w:left w:val="nil"/>
              <w:bottom w:val="single" w:sz="4" w:space="0" w:color="auto"/>
              <w:right w:val="single" w:sz="4" w:space="0" w:color="auto"/>
            </w:tcBorders>
            <w:shd w:val="clear" w:color="auto" w:fill="auto"/>
            <w:hideMark/>
          </w:tcPr>
          <w:p w14:paraId="3F181CDB"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1B17E569"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3696B7FB"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761C5383"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65</w:t>
            </w:r>
          </w:p>
        </w:tc>
        <w:tc>
          <w:tcPr>
            <w:tcW w:w="3498" w:type="pct"/>
            <w:tcBorders>
              <w:top w:val="nil"/>
              <w:left w:val="nil"/>
              <w:bottom w:val="single" w:sz="4" w:space="0" w:color="auto"/>
              <w:right w:val="single" w:sz="4" w:space="0" w:color="auto"/>
            </w:tcBorders>
            <w:shd w:val="clear" w:color="000000" w:fill="FFFFFF"/>
            <w:hideMark/>
          </w:tcPr>
          <w:p w14:paraId="37BCB683"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have provision for Alerts and notifications</w:t>
            </w:r>
          </w:p>
        </w:tc>
        <w:tc>
          <w:tcPr>
            <w:tcW w:w="640" w:type="pct"/>
            <w:tcBorders>
              <w:top w:val="nil"/>
              <w:left w:val="nil"/>
              <w:bottom w:val="single" w:sz="4" w:space="0" w:color="auto"/>
              <w:right w:val="single" w:sz="4" w:space="0" w:color="auto"/>
            </w:tcBorders>
            <w:shd w:val="clear" w:color="auto" w:fill="auto"/>
            <w:hideMark/>
          </w:tcPr>
          <w:p w14:paraId="5DB2850C"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24A705D0"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3B47FA59"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4F1CF398"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66</w:t>
            </w:r>
          </w:p>
        </w:tc>
        <w:tc>
          <w:tcPr>
            <w:tcW w:w="3498" w:type="pct"/>
            <w:tcBorders>
              <w:top w:val="nil"/>
              <w:left w:val="nil"/>
              <w:bottom w:val="single" w:sz="4" w:space="0" w:color="auto"/>
              <w:right w:val="single" w:sz="4" w:space="0" w:color="auto"/>
            </w:tcBorders>
            <w:shd w:val="clear" w:color="000000" w:fill="FFFFFF"/>
            <w:hideMark/>
          </w:tcPr>
          <w:p w14:paraId="24B9FF23"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have facility to enable notification via email and/or in-console</w:t>
            </w:r>
          </w:p>
        </w:tc>
        <w:tc>
          <w:tcPr>
            <w:tcW w:w="640" w:type="pct"/>
            <w:tcBorders>
              <w:top w:val="nil"/>
              <w:left w:val="nil"/>
              <w:bottom w:val="single" w:sz="4" w:space="0" w:color="auto"/>
              <w:right w:val="single" w:sz="4" w:space="0" w:color="auto"/>
            </w:tcBorders>
            <w:shd w:val="clear" w:color="auto" w:fill="auto"/>
            <w:hideMark/>
          </w:tcPr>
          <w:p w14:paraId="0E7DB14B"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070739FB"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30BDD797"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535BE998"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67</w:t>
            </w:r>
          </w:p>
        </w:tc>
        <w:tc>
          <w:tcPr>
            <w:tcW w:w="3498" w:type="pct"/>
            <w:tcBorders>
              <w:top w:val="nil"/>
              <w:left w:val="nil"/>
              <w:bottom w:val="single" w:sz="4" w:space="0" w:color="auto"/>
              <w:right w:val="single" w:sz="4" w:space="0" w:color="auto"/>
            </w:tcBorders>
            <w:shd w:val="clear" w:color="000000" w:fill="FFFFFF"/>
            <w:hideMark/>
          </w:tcPr>
          <w:p w14:paraId="081D4E14"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have real time dashboard</w:t>
            </w:r>
          </w:p>
        </w:tc>
        <w:tc>
          <w:tcPr>
            <w:tcW w:w="640" w:type="pct"/>
            <w:tcBorders>
              <w:top w:val="nil"/>
              <w:left w:val="nil"/>
              <w:bottom w:val="single" w:sz="4" w:space="0" w:color="auto"/>
              <w:right w:val="single" w:sz="4" w:space="0" w:color="auto"/>
            </w:tcBorders>
            <w:shd w:val="clear" w:color="auto" w:fill="auto"/>
            <w:hideMark/>
          </w:tcPr>
          <w:p w14:paraId="67491148"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7928E3F3"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79C93386"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7E048E7F"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68</w:t>
            </w:r>
          </w:p>
        </w:tc>
        <w:tc>
          <w:tcPr>
            <w:tcW w:w="3498" w:type="pct"/>
            <w:tcBorders>
              <w:top w:val="nil"/>
              <w:left w:val="nil"/>
              <w:bottom w:val="single" w:sz="4" w:space="0" w:color="auto"/>
              <w:right w:val="single" w:sz="4" w:space="0" w:color="auto"/>
            </w:tcBorders>
            <w:shd w:val="clear" w:color="auto" w:fill="auto"/>
            <w:hideMark/>
          </w:tcPr>
          <w:p w14:paraId="0FDBABC1"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have dashboard widget for Agent unauthorized removal</w:t>
            </w:r>
          </w:p>
        </w:tc>
        <w:tc>
          <w:tcPr>
            <w:tcW w:w="640" w:type="pct"/>
            <w:tcBorders>
              <w:top w:val="nil"/>
              <w:left w:val="nil"/>
              <w:bottom w:val="single" w:sz="4" w:space="0" w:color="auto"/>
              <w:right w:val="single" w:sz="4" w:space="0" w:color="auto"/>
            </w:tcBorders>
            <w:shd w:val="clear" w:color="auto" w:fill="auto"/>
            <w:hideMark/>
          </w:tcPr>
          <w:p w14:paraId="7958CA46"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5E54E45A"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07AEF05" w14:textId="77777777" w:rsidTr="00E73613">
        <w:trPr>
          <w:trHeight w:val="315"/>
        </w:trPr>
        <w:tc>
          <w:tcPr>
            <w:tcW w:w="168" w:type="pct"/>
            <w:tcBorders>
              <w:top w:val="nil"/>
              <w:left w:val="single" w:sz="4" w:space="0" w:color="auto"/>
              <w:bottom w:val="single" w:sz="4" w:space="0" w:color="auto"/>
              <w:right w:val="single" w:sz="4" w:space="0" w:color="auto"/>
            </w:tcBorders>
            <w:shd w:val="clear" w:color="000000" w:fill="DDEBF7"/>
            <w:hideMark/>
          </w:tcPr>
          <w:p w14:paraId="36CA8BEC" w14:textId="77777777" w:rsidR="00985D46" w:rsidRPr="00985D46" w:rsidRDefault="00985D46" w:rsidP="00985D46">
            <w:pPr>
              <w:spacing w:after="0" w:line="240" w:lineRule="auto"/>
              <w:jc w:val="center"/>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J</w:t>
            </w:r>
          </w:p>
        </w:tc>
        <w:tc>
          <w:tcPr>
            <w:tcW w:w="3498" w:type="pct"/>
            <w:tcBorders>
              <w:top w:val="nil"/>
              <w:left w:val="nil"/>
              <w:bottom w:val="single" w:sz="4" w:space="0" w:color="auto"/>
              <w:right w:val="single" w:sz="4" w:space="0" w:color="auto"/>
            </w:tcBorders>
            <w:shd w:val="clear" w:color="000000" w:fill="DDEBF7"/>
            <w:hideMark/>
          </w:tcPr>
          <w:p w14:paraId="1366BA79" w14:textId="77777777" w:rsidR="00985D46" w:rsidRPr="00985D46" w:rsidRDefault="00985D46" w:rsidP="00985D46">
            <w:pPr>
              <w:spacing w:after="0" w:line="240" w:lineRule="auto"/>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Reporting Module</w:t>
            </w:r>
          </w:p>
        </w:tc>
        <w:tc>
          <w:tcPr>
            <w:tcW w:w="640" w:type="pct"/>
            <w:tcBorders>
              <w:top w:val="nil"/>
              <w:left w:val="nil"/>
              <w:bottom w:val="single" w:sz="4" w:space="0" w:color="auto"/>
              <w:right w:val="single" w:sz="4" w:space="0" w:color="auto"/>
            </w:tcBorders>
            <w:shd w:val="clear" w:color="000000" w:fill="DDEBF7"/>
            <w:hideMark/>
          </w:tcPr>
          <w:p w14:paraId="670C7059" w14:textId="77777777" w:rsidR="00985D46" w:rsidRPr="00985D46" w:rsidRDefault="00985D46" w:rsidP="00985D46">
            <w:pPr>
              <w:spacing w:after="0" w:line="240" w:lineRule="auto"/>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 </w:t>
            </w:r>
          </w:p>
        </w:tc>
        <w:tc>
          <w:tcPr>
            <w:tcW w:w="694" w:type="pct"/>
            <w:tcBorders>
              <w:top w:val="nil"/>
              <w:left w:val="nil"/>
              <w:bottom w:val="single" w:sz="4" w:space="0" w:color="auto"/>
              <w:right w:val="single" w:sz="4" w:space="0" w:color="auto"/>
            </w:tcBorders>
            <w:shd w:val="clear" w:color="000000" w:fill="DDEBF7"/>
            <w:hideMark/>
          </w:tcPr>
          <w:p w14:paraId="633EEF9B" w14:textId="77777777" w:rsidR="00985D46" w:rsidRPr="00985D46" w:rsidRDefault="00985D46" w:rsidP="00985D46">
            <w:pPr>
              <w:spacing w:after="0" w:line="240" w:lineRule="auto"/>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 </w:t>
            </w:r>
          </w:p>
        </w:tc>
      </w:tr>
      <w:tr w:rsidR="00985D46" w:rsidRPr="00985D46" w14:paraId="23E33A84"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073040E7"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69</w:t>
            </w:r>
          </w:p>
        </w:tc>
        <w:tc>
          <w:tcPr>
            <w:tcW w:w="3498" w:type="pct"/>
            <w:tcBorders>
              <w:top w:val="nil"/>
              <w:left w:val="nil"/>
              <w:bottom w:val="single" w:sz="4" w:space="0" w:color="auto"/>
              <w:right w:val="single" w:sz="4" w:space="0" w:color="auto"/>
            </w:tcBorders>
            <w:shd w:val="clear" w:color="auto" w:fill="auto"/>
            <w:hideMark/>
          </w:tcPr>
          <w:p w14:paraId="6136863B"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have on-demand reports for the following:</w:t>
            </w:r>
          </w:p>
        </w:tc>
        <w:tc>
          <w:tcPr>
            <w:tcW w:w="640" w:type="pct"/>
            <w:tcBorders>
              <w:top w:val="nil"/>
              <w:left w:val="nil"/>
              <w:bottom w:val="single" w:sz="4" w:space="0" w:color="auto"/>
              <w:right w:val="single" w:sz="4" w:space="0" w:color="auto"/>
            </w:tcBorders>
            <w:shd w:val="clear" w:color="auto" w:fill="auto"/>
            <w:hideMark/>
          </w:tcPr>
          <w:p w14:paraId="03C86023"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391CE0A7"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34853CD8"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5F48973E"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3498" w:type="pct"/>
            <w:tcBorders>
              <w:top w:val="nil"/>
              <w:left w:val="nil"/>
              <w:bottom w:val="single" w:sz="4" w:space="0" w:color="auto"/>
              <w:right w:val="single" w:sz="4" w:space="0" w:color="auto"/>
            </w:tcBorders>
            <w:shd w:val="clear" w:color="auto" w:fill="auto"/>
            <w:hideMark/>
          </w:tcPr>
          <w:p w14:paraId="7EDF15B0"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1. Device Compliance Report</w:t>
            </w:r>
          </w:p>
        </w:tc>
        <w:tc>
          <w:tcPr>
            <w:tcW w:w="640" w:type="pct"/>
            <w:tcBorders>
              <w:top w:val="nil"/>
              <w:left w:val="nil"/>
              <w:bottom w:val="single" w:sz="4" w:space="0" w:color="auto"/>
              <w:right w:val="single" w:sz="4" w:space="0" w:color="auto"/>
            </w:tcBorders>
            <w:shd w:val="clear" w:color="auto" w:fill="auto"/>
            <w:hideMark/>
          </w:tcPr>
          <w:p w14:paraId="4F4FFDEB"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4ACCF950"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63855AA"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767BE895"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3498" w:type="pct"/>
            <w:tcBorders>
              <w:top w:val="nil"/>
              <w:left w:val="nil"/>
              <w:bottom w:val="single" w:sz="4" w:space="0" w:color="auto"/>
              <w:right w:val="single" w:sz="4" w:space="0" w:color="auto"/>
            </w:tcBorders>
            <w:shd w:val="clear" w:color="auto" w:fill="auto"/>
            <w:hideMark/>
          </w:tcPr>
          <w:p w14:paraId="0A968C3A"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2.  Device Health Report</w:t>
            </w:r>
          </w:p>
        </w:tc>
        <w:tc>
          <w:tcPr>
            <w:tcW w:w="640" w:type="pct"/>
            <w:tcBorders>
              <w:top w:val="nil"/>
              <w:left w:val="nil"/>
              <w:bottom w:val="single" w:sz="4" w:space="0" w:color="auto"/>
              <w:right w:val="single" w:sz="4" w:space="0" w:color="auto"/>
            </w:tcBorders>
            <w:shd w:val="clear" w:color="auto" w:fill="auto"/>
            <w:hideMark/>
          </w:tcPr>
          <w:p w14:paraId="4C8E365B"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06C81E20"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779393D"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7A3B42C1"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3498" w:type="pct"/>
            <w:tcBorders>
              <w:top w:val="nil"/>
              <w:left w:val="nil"/>
              <w:bottom w:val="single" w:sz="4" w:space="0" w:color="auto"/>
              <w:right w:val="single" w:sz="4" w:space="0" w:color="auto"/>
            </w:tcBorders>
            <w:shd w:val="clear" w:color="auto" w:fill="auto"/>
            <w:hideMark/>
          </w:tcPr>
          <w:p w14:paraId="4E7CEAD0"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3.  Device Asset tracking report</w:t>
            </w:r>
          </w:p>
        </w:tc>
        <w:tc>
          <w:tcPr>
            <w:tcW w:w="640" w:type="pct"/>
            <w:tcBorders>
              <w:top w:val="nil"/>
              <w:left w:val="nil"/>
              <w:bottom w:val="single" w:sz="4" w:space="0" w:color="auto"/>
              <w:right w:val="single" w:sz="4" w:space="0" w:color="auto"/>
            </w:tcBorders>
            <w:shd w:val="clear" w:color="auto" w:fill="auto"/>
            <w:hideMark/>
          </w:tcPr>
          <w:p w14:paraId="2948FB6A"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6FE1E0C8"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158B5588"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1095B83F"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3498" w:type="pct"/>
            <w:tcBorders>
              <w:top w:val="nil"/>
              <w:left w:val="nil"/>
              <w:bottom w:val="single" w:sz="4" w:space="0" w:color="auto"/>
              <w:right w:val="single" w:sz="4" w:space="0" w:color="auto"/>
            </w:tcBorders>
            <w:shd w:val="clear" w:color="auto" w:fill="auto"/>
            <w:hideMark/>
          </w:tcPr>
          <w:p w14:paraId="5ACA0F9E"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4.  Device Connected Report</w:t>
            </w:r>
          </w:p>
        </w:tc>
        <w:tc>
          <w:tcPr>
            <w:tcW w:w="640" w:type="pct"/>
            <w:tcBorders>
              <w:top w:val="nil"/>
              <w:left w:val="nil"/>
              <w:bottom w:val="single" w:sz="4" w:space="0" w:color="auto"/>
              <w:right w:val="single" w:sz="4" w:space="0" w:color="auto"/>
            </w:tcBorders>
            <w:shd w:val="clear" w:color="auto" w:fill="auto"/>
            <w:hideMark/>
          </w:tcPr>
          <w:p w14:paraId="14C60C39"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0CCFA8CC"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6898A507"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1D5CF775"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3498" w:type="pct"/>
            <w:tcBorders>
              <w:top w:val="nil"/>
              <w:left w:val="nil"/>
              <w:bottom w:val="single" w:sz="4" w:space="0" w:color="auto"/>
              <w:right w:val="single" w:sz="4" w:space="0" w:color="auto"/>
            </w:tcBorders>
            <w:shd w:val="clear" w:color="auto" w:fill="auto"/>
            <w:hideMark/>
          </w:tcPr>
          <w:p w14:paraId="128E0E10"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5.  Malware Detection Report</w:t>
            </w:r>
          </w:p>
        </w:tc>
        <w:tc>
          <w:tcPr>
            <w:tcW w:w="640" w:type="pct"/>
            <w:tcBorders>
              <w:top w:val="nil"/>
              <w:left w:val="nil"/>
              <w:bottom w:val="single" w:sz="4" w:space="0" w:color="auto"/>
              <w:right w:val="single" w:sz="4" w:space="0" w:color="auto"/>
            </w:tcBorders>
            <w:shd w:val="clear" w:color="auto" w:fill="auto"/>
            <w:hideMark/>
          </w:tcPr>
          <w:p w14:paraId="6EBE2505"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0F9F2D47"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3C2A5CA9"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42FFEC23"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3498" w:type="pct"/>
            <w:tcBorders>
              <w:top w:val="nil"/>
              <w:left w:val="nil"/>
              <w:bottom w:val="single" w:sz="4" w:space="0" w:color="auto"/>
              <w:right w:val="single" w:sz="4" w:space="0" w:color="auto"/>
            </w:tcBorders>
            <w:shd w:val="clear" w:color="auto" w:fill="auto"/>
            <w:hideMark/>
          </w:tcPr>
          <w:p w14:paraId="6F12D873"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6.  Internet Data Usage Report</w:t>
            </w:r>
          </w:p>
        </w:tc>
        <w:tc>
          <w:tcPr>
            <w:tcW w:w="640" w:type="pct"/>
            <w:tcBorders>
              <w:top w:val="nil"/>
              <w:left w:val="nil"/>
              <w:bottom w:val="single" w:sz="4" w:space="0" w:color="auto"/>
              <w:right w:val="single" w:sz="4" w:space="0" w:color="auto"/>
            </w:tcBorders>
            <w:shd w:val="clear" w:color="auto" w:fill="auto"/>
            <w:hideMark/>
          </w:tcPr>
          <w:p w14:paraId="41069688"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34C9C8D5"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2CA06FAD"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40318B99"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3498" w:type="pct"/>
            <w:tcBorders>
              <w:top w:val="nil"/>
              <w:left w:val="nil"/>
              <w:bottom w:val="single" w:sz="4" w:space="0" w:color="auto"/>
              <w:right w:val="single" w:sz="4" w:space="0" w:color="auto"/>
            </w:tcBorders>
            <w:shd w:val="clear" w:color="auto" w:fill="auto"/>
            <w:hideMark/>
          </w:tcPr>
          <w:p w14:paraId="47C53C02"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7.  Call/SMS logs Tracking Report</w:t>
            </w:r>
          </w:p>
        </w:tc>
        <w:tc>
          <w:tcPr>
            <w:tcW w:w="640" w:type="pct"/>
            <w:tcBorders>
              <w:top w:val="nil"/>
              <w:left w:val="nil"/>
              <w:bottom w:val="single" w:sz="4" w:space="0" w:color="auto"/>
              <w:right w:val="single" w:sz="4" w:space="0" w:color="auto"/>
            </w:tcBorders>
            <w:shd w:val="clear" w:color="auto" w:fill="auto"/>
            <w:hideMark/>
          </w:tcPr>
          <w:p w14:paraId="749BE0E1"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1B0F14DF"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6A6EEE42"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21E91053"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3498" w:type="pct"/>
            <w:tcBorders>
              <w:top w:val="nil"/>
              <w:left w:val="nil"/>
              <w:bottom w:val="single" w:sz="4" w:space="0" w:color="auto"/>
              <w:right w:val="single" w:sz="4" w:space="0" w:color="auto"/>
            </w:tcBorders>
            <w:shd w:val="clear" w:color="auto" w:fill="auto"/>
            <w:hideMark/>
          </w:tcPr>
          <w:p w14:paraId="0523F6C7"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8.  App Non-compliance Report</w:t>
            </w:r>
          </w:p>
        </w:tc>
        <w:tc>
          <w:tcPr>
            <w:tcW w:w="640" w:type="pct"/>
            <w:tcBorders>
              <w:top w:val="nil"/>
              <w:left w:val="nil"/>
              <w:bottom w:val="single" w:sz="4" w:space="0" w:color="auto"/>
              <w:right w:val="single" w:sz="4" w:space="0" w:color="auto"/>
            </w:tcBorders>
            <w:shd w:val="clear" w:color="auto" w:fill="auto"/>
            <w:hideMark/>
          </w:tcPr>
          <w:p w14:paraId="4FBEF3BA"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6B9912B1"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3DAF36ED"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3CB751CA"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70</w:t>
            </w:r>
          </w:p>
        </w:tc>
        <w:tc>
          <w:tcPr>
            <w:tcW w:w="3498" w:type="pct"/>
            <w:tcBorders>
              <w:top w:val="nil"/>
              <w:left w:val="nil"/>
              <w:bottom w:val="single" w:sz="4" w:space="0" w:color="auto"/>
              <w:right w:val="single" w:sz="4" w:space="0" w:color="auto"/>
            </w:tcBorders>
            <w:shd w:val="clear" w:color="000000" w:fill="FFFFFF"/>
            <w:hideMark/>
          </w:tcPr>
          <w:p w14:paraId="5FC976DE"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be able to do Customized Reporting</w:t>
            </w:r>
          </w:p>
        </w:tc>
        <w:tc>
          <w:tcPr>
            <w:tcW w:w="640" w:type="pct"/>
            <w:tcBorders>
              <w:top w:val="nil"/>
              <w:left w:val="nil"/>
              <w:bottom w:val="single" w:sz="4" w:space="0" w:color="auto"/>
              <w:right w:val="single" w:sz="4" w:space="0" w:color="auto"/>
            </w:tcBorders>
            <w:shd w:val="clear" w:color="auto" w:fill="auto"/>
            <w:hideMark/>
          </w:tcPr>
          <w:p w14:paraId="4EE1FD3C"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4EBCD7CA"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18137E4" w14:textId="77777777" w:rsidTr="00E73613">
        <w:trPr>
          <w:trHeight w:val="480"/>
        </w:trPr>
        <w:tc>
          <w:tcPr>
            <w:tcW w:w="168" w:type="pct"/>
            <w:tcBorders>
              <w:top w:val="nil"/>
              <w:left w:val="single" w:sz="4" w:space="0" w:color="auto"/>
              <w:bottom w:val="single" w:sz="4" w:space="0" w:color="auto"/>
              <w:right w:val="single" w:sz="4" w:space="0" w:color="auto"/>
            </w:tcBorders>
            <w:shd w:val="clear" w:color="auto" w:fill="auto"/>
            <w:hideMark/>
          </w:tcPr>
          <w:p w14:paraId="05DAF413"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71</w:t>
            </w:r>
          </w:p>
        </w:tc>
        <w:tc>
          <w:tcPr>
            <w:tcW w:w="3498" w:type="pct"/>
            <w:tcBorders>
              <w:top w:val="nil"/>
              <w:left w:val="nil"/>
              <w:bottom w:val="single" w:sz="4" w:space="0" w:color="auto"/>
              <w:right w:val="single" w:sz="4" w:space="0" w:color="auto"/>
            </w:tcBorders>
            <w:shd w:val="clear" w:color="000000" w:fill="FFFFFF"/>
            <w:hideMark/>
          </w:tcPr>
          <w:p w14:paraId="3BD22570"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be able to add filtering criteria to custom reports (eg, equals, not equal to, contains, does not contain, start with, end with, less than, greater than, in, not in, between)</w:t>
            </w:r>
          </w:p>
        </w:tc>
        <w:tc>
          <w:tcPr>
            <w:tcW w:w="640" w:type="pct"/>
            <w:tcBorders>
              <w:top w:val="nil"/>
              <w:left w:val="nil"/>
              <w:bottom w:val="single" w:sz="4" w:space="0" w:color="auto"/>
              <w:right w:val="single" w:sz="4" w:space="0" w:color="auto"/>
            </w:tcBorders>
            <w:shd w:val="clear" w:color="auto" w:fill="auto"/>
            <w:hideMark/>
          </w:tcPr>
          <w:p w14:paraId="07F31DCC"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14CAC200"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11CAFAF3"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154A0105"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72</w:t>
            </w:r>
          </w:p>
        </w:tc>
        <w:tc>
          <w:tcPr>
            <w:tcW w:w="3498" w:type="pct"/>
            <w:tcBorders>
              <w:top w:val="nil"/>
              <w:left w:val="nil"/>
              <w:bottom w:val="single" w:sz="4" w:space="0" w:color="auto"/>
              <w:right w:val="single" w:sz="4" w:space="0" w:color="auto"/>
            </w:tcBorders>
            <w:shd w:val="clear" w:color="000000" w:fill="FFFFFF"/>
            <w:hideMark/>
          </w:tcPr>
          <w:p w14:paraId="5315D277"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be able to apply aggregating functions (count, average, sum, maximum, minimum) in reports</w:t>
            </w:r>
          </w:p>
        </w:tc>
        <w:tc>
          <w:tcPr>
            <w:tcW w:w="640" w:type="pct"/>
            <w:tcBorders>
              <w:top w:val="nil"/>
              <w:left w:val="nil"/>
              <w:bottom w:val="single" w:sz="4" w:space="0" w:color="auto"/>
              <w:right w:val="single" w:sz="4" w:space="0" w:color="auto"/>
            </w:tcBorders>
            <w:shd w:val="clear" w:color="auto" w:fill="auto"/>
            <w:hideMark/>
          </w:tcPr>
          <w:p w14:paraId="0737FB2C"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09AB7598"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581B13CE"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3309EEA1"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73</w:t>
            </w:r>
          </w:p>
        </w:tc>
        <w:tc>
          <w:tcPr>
            <w:tcW w:w="3498" w:type="pct"/>
            <w:tcBorders>
              <w:top w:val="nil"/>
              <w:left w:val="nil"/>
              <w:bottom w:val="single" w:sz="4" w:space="0" w:color="auto"/>
              <w:right w:val="single" w:sz="4" w:space="0" w:color="auto"/>
            </w:tcBorders>
            <w:shd w:val="clear" w:color="000000" w:fill="FFFFFF"/>
            <w:hideMark/>
          </w:tcPr>
          <w:p w14:paraId="1F1472BA"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be able to apply custom column names within reports</w:t>
            </w:r>
          </w:p>
        </w:tc>
        <w:tc>
          <w:tcPr>
            <w:tcW w:w="640" w:type="pct"/>
            <w:tcBorders>
              <w:top w:val="nil"/>
              <w:left w:val="nil"/>
              <w:bottom w:val="single" w:sz="4" w:space="0" w:color="auto"/>
              <w:right w:val="single" w:sz="4" w:space="0" w:color="auto"/>
            </w:tcBorders>
            <w:shd w:val="clear" w:color="auto" w:fill="auto"/>
            <w:hideMark/>
          </w:tcPr>
          <w:p w14:paraId="6E82140C"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0F47FF55"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5E345B1"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21D39AF5"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74</w:t>
            </w:r>
          </w:p>
        </w:tc>
        <w:tc>
          <w:tcPr>
            <w:tcW w:w="3498" w:type="pct"/>
            <w:tcBorders>
              <w:top w:val="nil"/>
              <w:left w:val="nil"/>
              <w:bottom w:val="single" w:sz="4" w:space="0" w:color="auto"/>
              <w:right w:val="single" w:sz="4" w:space="0" w:color="auto"/>
            </w:tcBorders>
            <w:shd w:val="clear" w:color="000000" w:fill="FFFFFF"/>
            <w:hideMark/>
          </w:tcPr>
          <w:p w14:paraId="4DEC69AB"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able to schedule the Reports (monthly, weekly, daily, etc)</w:t>
            </w:r>
          </w:p>
        </w:tc>
        <w:tc>
          <w:tcPr>
            <w:tcW w:w="640" w:type="pct"/>
            <w:tcBorders>
              <w:top w:val="nil"/>
              <w:left w:val="nil"/>
              <w:bottom w:val="single" w:sz="4" w:space="0" w:color="auto"/>
              <w:right w:val="single" w:sz="4" w:space="0" w:color="auto"/>
            </w:tcBorders>
            <w:shd w:val="clear" w:color="auto" w:fill="auto"/>
            <w:hideMark/>
          </w:tcPr>
          <w:p w14:paraId="019E9599"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3BDDC535"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1F802966"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3AF56886"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75</w:t>
            </w:r>
          </w:p>
        </w:tc>
        <w:tc>
          <w:tcPr>
            <w:tcW w:w="3498" w:type="pct"/>
            <w:tcBorders>
              <w:top w:val="nil"/>
              <w:left w:val="nil"/>
              <w:bottom w:val="single" w:sz="4" w:space="0" w:color="auto"/>
              <w:right w:val="single" w:sz="4" w:space="0" w:color="auto"/>
            </w:tcBorders>
            <w:shd w:val="clear" w:color="000000" w:fill="FFFFFF"/>
            <w:hideMark/>
          </w:tcPr>
          <w:p w14:paraId="73B7B29F"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be able to do Device and Application Level Analytics</w:t>
            </w:r>
          </w:p>
        </w:tc>
        <w:tc>
          <w:tcPr>
            <w:tcW w:w="640" w:type="pct"/>
            <w:tcBorders>
              <w:top w:val="nil"/>
              <w:left w:val="nil"/>
              <w:bottom w:val="single" w:sz="4" w:space="0" w:color="auto"/>
              <w:right w:val="single" w:sz="4" w:space="0" w:color="auto"/>
            </w:tcBorders>
            <w:shd w:val="clear" w:color="auto" w:fill="auto"/>
            <w:hideMark/>
          </w:tcPr>
          <w:p w14:paraId="694C64B6"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32C08A23"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91C98E4"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12C0E8E0"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76</w:t>
            </w:r>
          </w:p>
        </w:tc>
        <w:tc>
          <w:tcPr>
            <w:tcW w:w="3498" w:type="pct"/>
            <w:tcBorders>
              <w:top w:val="nil"/>
              <w:left w:val="nil"/>
              <w:bottom w:val="single" w:sz="4" w:space="0" w:color="auto"/>
              <w:right w:val="single" w:sz="4" w:space="0" w:color="auto"/>
            </w:tcBorders>
            <w:shd w:val="clear" w:color="000000" w:fill="FFFFFF"/>
            <w:hideMark/>
          </w:tcPr>
          <w:p w14:paraId="0DB2A368"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have Export reports/ device data in CSV format to be consumed by other enterprise tools</w:t>
            </w:r>
          </w:p>
        </w:tc>
        <w:tc>
          <w:tcPr>
            <w:tcW w:w="640" w:type="pct"/>
            <w:tcBorders>
              <w:top w:val="nil"/>
              <w:left w:val="nil"/>
              <w:bottom w:val="single" w:sz="4" w:space="0" w:color="auto"/>
              <w:right w:val="single" w:sz="4" w:space="0" w:color="auto"/>
            </w:tcBorders>
            <w:shd w:val="clear" w:color="auto" w:fill="auto"/>
            <w:hideMark/>
          </w:tcPr>
          <w:p w14:paraId="193391F1"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6A729720"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35317AAC"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69223CBD"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77</w:t>
            </w:r>
          </w:p>
        </w:tc>
        <w:tc>
          <w:tcPr>
            <w:tcW w:w="3498" w:type="pct"/>
            <w:tcBorders>
              <w:top w:val="nil"/>
              <w:left w:val="nil"/>
              <w:bottom w:val="single" w:sz="4" w:space="0" w:color="auto"/>
              <w:right w:val="single" w:sz="4" w:space="0" w:color="auto"/>
            </w:tcBorders>
            <w:shd w:val="clear" w:color="auto" w:fill="auto"/>
            <w:hideMark/>
          </w:tcPr>
          <w:p w14:paraId="61811DA9"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have proactive notification on Web-console and/or via Emails in case of any non-compliance</w:t>
            </w:r>
          </w:p>
        </w:tc>
        <w:tc>
          <w:tcPr>
            <w:tcW w:w="640" w:type="pct"/>
            <w:tcBorders>
              <w:top w:val="nil"/>
              <w:left w:val="nil"/>
              <w:bottom w:val="single" w:sz="4" w:space="0" w:color="auto"/>
              <w:right w:val="single" w:sz="4" w:space="0" w:color="auto"/>
            </w:tcBorders>
            <w:shd w:val="clear" w:color="auto" w:fill="auto"/>
            <w:hideMark/>
          </w:tcPr>
          <w:p w14:paraId="315BD807"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2B7B5325"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2A5048A6" w14:textId="77777777" w:rsidTr="00E73613">
        <w:trPr>
          <w:trHeight w:val="315"/>
        </w:trPr>
        <w:tc>
          <w:tcPr>
            <w:tcW w:w="168" w:type="pct"/>
            <w:tcBorders>
              <w:top w:val="nil"/>
              <w:left w:val="single" w:sz="4" w:space="0" w:color="auto"/>
              <w:bottom w:val="single" w:sz="4" w:space="0" w:color="auto"/>
              <w:right w:val="single" w:sz="4" w:space="0" w:color="auto"/>
            </w:tcBorders>
            <w:shd w:val="clear" w:color="000000" w:fill="DDEBF7"/>
            <w:hideMark/>
          </w:tcPr>
          <w:p w14:paraId="463BF638" w14:textId="77777777" w:rsidR="00985D46" w:rsidRPr="00985D46" w:rsidRDefault="00985D46" w:rsidP="00985D46">
            <w:pPr>
              <w:spacing w:after="0" w:line="240" w:lineRule="auto"/>
              <w:jc w:val="center"/>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K</w:t>
            </w:r>
          </w:p>
        </w:tc>
        <w:tc>
          <w:tcPr>
            <w:tcW w:w="3498" w:type="pct"/>
            <w:tcBorders>
              <w:top w:val="nil"/>
              <w:left w:val="nil"/>
              <w:bottom w:val="single" w:sz="4" w:space="0" w:color="auto"/>
              <w:right w:val="single" w:sz="4" w:space="0" w:color="auto"/>
            </w:tcBorders>
            <w:shd w:val="clear" w:color="000000" w:fill="DDEBF7"/>
            <w:hideMark/>
          </w:tcPr>
          <w:p w14:paraId="0561A51A" w14:textId="77777777" w:rsidR="00985D46" w:rsidRPr="00985D46" w:rsidRDefault="00985D46" w:rsidP="00985D46">
            <w:pPr>
              <w:spacing w:after="0" w:line="240" w:lineRule="auto"/>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Advanced Features</w:t>
            </w:r>
          </w:p>
        </w:tc>
        <w:tc>
          <w:tcPr>
            <w:tcW w:w="640" w:type="pct"/>
            <w:tcBorders>
              <w:top w:val="nil"/>
              <w:left w:val="nil"/>
              <w:bottom w:val="single" w:sz="4" w:space="0" w:color="auto"/>
              <w:right w:val="single" w:sz="4" w:space="0" w:color="auto"/>
            </w:tcBorders>
            <w:shd w:val="clear" w:color="000000" w:fill="DDEBF7"/>
            <w:hideMark/>
          </w:tcPr>
          <w:p w14:paraId="0E07995C" w14:textId="77777777" w:rsidR="00985D46" w:rsidRPr="00985D46" w:rsidRDefault="00985D46" w:rsidP="00985D46">
            <w:pPr>
              <w:spacing w:after="0" w:line="240" w:lineRule="auto"/>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 </w:t>
            </w:r>
          </w:p>
        </w:tc>
        <w:tc>
          <w:tcPr>
            <w:tcW w:w="694" w:type="pct"/>
            <w:tcBorders>
              <w:top w:val="nil"/>
              <w:left w:val="nil"/>
              <w:bottom w:val="single" w:sz="4" w:space="0" w:color="auto"/>
              <w:right w:val="single" w:sz="4" w:space="0" w:color="auto"/>
            </w:tcBorders>
            <w:shd w:val="clear" w:color="000000" w:fill="DDEBF7"/>
            <w:hideMark/>
          </w:tcPr>
          <w:p w14:paraId="549319C4" w14:textId="77777777" w:rsidR="00985D46" w:rsidRPr="00985D46" w:rsidRDefault="00985D46" w:rsidP="00985D46">
            <w:pPr>
              <w:spacing w:after="0" w:line="240" w:lineRule="auto"/>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 </w:t>
            </w:r>
          </w:p>
        </w:tc>
      </w:tr>
      <w:tr w:rsidR="00985D46" w:rsidRPr="00985D46" w14:paraId="7CBB77EC"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64FFD6FA"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78</w:t>
            </w:r>
          </w:p>
        </w:tc>
        <w:tc>
          <w:tcPr>
            <w:tcW w:w="3498" w:type="pct"/>
            <w:tcBorders>
              <w:top w:val="nil"/>
              <w:left w:val="nil"/>
              <w:bottom w:val="single" w:sz="4" w:space="0" w:color="auto"/>
              <w:right w:val="single" w:sz="4" w:space="0" w:color="auto"/>
            </w:tcBorders>
            <w:shd w:val="clear" w:color="auto" w:fill="auto"/>
            <w:hideMark/>
          </w:tcPr>
          <w:p w14:paraId="45E72A62"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have facility to lockdown device to a few selected/permitted apps (all other apps on device are inaccessible)</w:t>
            </w:r>
          </w:p>
        </w:tc>
        <w:tc>
          <w:tcPr>
            <w:tcW w:w="640" w:type="pct"/>
            <w:tcBorders>
              <w:top w:val="nil"/>
              <w:left w:val="nil"/>
              <w:bottom w:val="single" w:sz="4" w:space="0" w:color="auto"/>
              <w:right w:val="single" w:sz="4" w:space="0" w:color="auto"/>
            </w:tcBorders>
            <w:shd w:val="clear" w:color="auto" w:fill="auto"/>
            <w:hideMark/>
          </w:tcPr>
          <w:p w14:paraId="5051CB37"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6CEDE01C" w14:textId="77777777" w:rsidR="00985D46" w:rsidRPr="00985D46" w:rsidRDefault="00985D46" w:rsidP="00985D46">
            <w:pPr>
              <w:spacing w:after="0" w:line="240" w:lineRule="auto"/>
              <w:rPr>
                <w:rFonts w:ascii="Verdana" w:eastAsia="Times New Roman" w:hAnsi="Verdana" w:cs="Calibri"/>
                <w:color w:val="000000"/>
                <w:lang w:val="en-GB" w:eastAsia="en-GB"/>
              </w:rPr>
            </w:pPr>
            <w:r w:rsidRPr="00985D46">
              <w:rPr>
                <w:rFonts w:ascii="Verdana" w:eastAsia="Times New Roman" w:hAnsi="Verdana" w:cs="Calibri"/>
                <w:color w:val="000000"/>
                <w:lang w:val="en-GB" w:eastAsia="en-GB"/>
              </w:rPr>
              <w:t> </w:t>
            </w:r>
          </w:p>
        </w:tc>
      </w:tr>
      <w:tr w:rsidR="00985D46" w:rsidRPr="00985D46" w14:paraId="2F4CB4D9"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3EF48C59"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79</w:t>
            </w:r>
          </w:p>
        </w:tc>
        <w:tc>
          <w:tcPr>
            <w:tcW w:w="3498" w:type="pct"/>
            <w:tcBorders>
              <w:top w:val="nil"/>
              <w:left w:val="nil"/>
              <w:bottom w:val="single" w:sz="4" w:space="0" w:color="auto"/>
              <w:right w:val="single" w:sz="4" w:space="0" w:color="auto"/>
            </w:tcBorders>
            <w:shd w:val="clear" w:color="000000" w:fill="FFFFFF"/>
            <w:hideMark/>
          </w:tcPr>
          <w:p w14:paraId="46B916A9"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have facility to lockdown device to few selected/permitted apps (all other apps on device are inaccessible)</w:t>
            </w:r>
          </w:p>
        </w:tc>
        <w:tc>
          <w:tcPr>
            <w:tcW w:w="640" w:type="pct"/>
            <w:tcBorders>
              <w:top w:val="nil"/>
              <w:left w:val="nil"/>
              <w:bottom w:val="single" w:sz="4" w:space="0" w:color="auto"/>
              <w:right w:val="single" w:sz="4" w:space="0" w:color="auto"/>
            </w:tcBorders>
            <w:shd w:val="clear" w:color="auto" w:fill="auto"/>
            <w:hideMark/>
          </w:tcPr>
          <w:p w14:paraId="45A7338D"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3A71801D"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6CCA37CA"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2CC2BA48"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80</w:t>
            </w:r>
          </w:p>
        </w:tc>
        <w:tc>
          <w:tcPr>
            <w:tcW w:w="3498" w:type="pct"/>
            <w:tcBorders>
              <w:top w:val="nil"/>
              <w:left w:val="nil"/>
              <w:bottom w:val="single" w:sz="4" w:space="0" w:color="auto"/>
              <w:right w:val="single" w:sz="4" w:space="0" w:color="auto"/>
            </w:tcBorders>
            <w:shd w:val="clear" w:color="000000" w:fill="FFFFFF"/>
            <w:hideMark/>
          </w:tcPr>
          <w:p w14:paraId="457120A4"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have facility to upload branding wallpaper and company logo</w:t>
            </w:r>
          </w:p>
        </w:tc>
        <w:tc>
          <w:tcPr>
            <w:tcW w:w="640" w:type="pct"/>
            <w:tcBorders>
              <w:top w:val="nil"/>
              <w:left w:val="nil"/>
              <w:bottom w:val="single" w:sz="4" w:space="0" w:color="auto"/>
              <w:right w:val="single" w:sz="4" w:space="0" w:color="auto"/>
            </w:tcBorders>
            <w:shd w:val="clear" w:color="auto" w:fill="auto"/>
            <w:hideMark/>
          </w:tcPr>
          <w:p w14:paraId="1FFE0E2B"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7072523F"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30F534FD"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24CB38CB"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81</w:t>
            </w:r>
          </w:p>
        </w:tc>
        <w:tc>
          <w:tcPr>
            <w:tcW w:w="3498" w:type="pct"/>
            <w:tcBorders>
              <w:top w:val="nil"/>
              <w:left w:val="nil"/>
              <w:bottom w:val="single" w:sz="4" w:space="0" w:color="auto"/>
              <w:right w:val="single" w:sz="4" w:space="0" w:color="auto"/>
            </w:tcBorders>
            <w:shd w:val="clear" w:color="000000" w:fill="FFFFFF"/>
            <w:hideMark/>
          </w:tcPr>
          <w:p w14:paraId="234E99B1"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 xml:space="preserve">The MDM solutions must be able to do files broadcast </w:t>
            </w:r>
          </w:p>
        </w:tc>
        <w:tc>
          <w:tcPr>
            <w:tcW w:w="640" w:type="pct"/>
            <w:tcBorders>
              <w:top w:val="nil"/>
              <w:left w:val="nil"/>
              <w:bottom w:val="single" w:sz="4" w:space="0" w:color="auto"/>
              <w:right w:val="single" w:sz="4" w:space="0" w:color="auto"/>
            </w:tcBorders>
            <w:shd w:val="clear" w:color="auto" w:fill="auto"/>
            <w:hideMark/>
          </w:tcPr>
          <w:p w14:paraId="196ADBE4"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33828355"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77B9C245"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49FE90F8"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82</w:t>
            </w:r>
          </w:p>
        </w:tc>
        <w:tc>
          <w:tcPr>
            <w:tcW w:w="3498" w:type="pct"/>
            <w:tcBorders>
              <w:top w:val="nil"/>
              <w:left w:val="nil"/>
              <w:bottom w:val="single" w:sz="4" w:space="0" w:color="auto"/>
              <w:right w:val="single" w:sz="4" w:space="0" w:color="auto"/>
            </w:tcBorders>
            <w:shd w:val="clear" w:color="000000" w:fill="FFFFFF"/>
            <w:hideMark/>
          </w:tcPr>
          <w:p w14:paraId="460C69BD"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be able to do Message Broadcast to all users</w:t>
            </w:r>
          </w:p>
        </w:tc>
        <w:tc>
          <w:tcPr>
            <w:tcW w:w="640" w:type="pct"/>
            <w:tcBorders>
              <w:top w:val="nil"/>
              <w:left w:val="nil"/>
              <w:bottom w:val="single" w:sz="4" w:space="0" w:color="auto"/>
              <w:right w:val="single" w:sz="4" w:space="0" w:color="auto"/>
            </w:tcBorders>
            <w:shd w:val="clear" w:color="auto" w:fill="auto"/>
            <w:hideMark/>
          </w:tcPr>
          <w:p w14:paraId="654143DC"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13D544B6"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39E60D62"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2C5ECE33"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83</w:t>
            </w:r>
          </w:p>
        </w:tc>
        <w:tc>
          <w:tcPr>
            <w:tcW w:w="3498" w:type="pct"/>
            <w:tcBorders>
              <w:top w:val="nil"/>
              <w:left w:val="nil"/>
              <w:bottom w:val="single" w:sz="4" w:space="0" w:color="auto"/>
              <w:right w:val="single" w:sz="4" w:space="0" w:color="auto"/>
            </w:tcBorders>
            <w:shd w:val="clear" w:color="000000" w:fill="FFFFFF"/>
            <w:hideMark/>
          </w:tcPr>
          <w:p w14:paraId="4C193B31"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be able to monitor Call And SMS Log</w:t>
            </w:r>
          </w:p>
        </w:tc>
        <w:tc>
          <w:tcPr>
            <w:tcW w:w="640" w:type="pct"/>
            <w:tcBorders>
              <w:top w:val="nil"/>
              <w:left w:val="nil"/>
              <w:bottom w:val="single" w:sz="4" w:space="0" w:color="auto"/>
              <w:right w:val="single" w:sz="4" w:space="0" w:color="auto"/>
            </w:tcBorders>
            <w:shd w:val="clear" w:color="auto" w:fill="auto"/>
            <w:hideMark/>
          </w:tcPr>
          <w:p w14:paraId="7F009745"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54B8356A"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2E4ECA61"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499C3554"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84</w:t>
            </w:r>
          </w:p>
        </w:tc>
        <w:tc>
          <w:tcPr>
            <w:tcW w:w="3498" w:type="pct"/>
            <w:tcBorders>
              <w:top w:val="nil"/>
              <w:left w:val="nil"/>
              <w:bottom w:val="single" w:sz="4" w:space="0" w:color="auto"/>
              <w:right w:val="single" w:sz="4" w:space="0" w:color="auto"/>
            </w:tcBorders>
            <w:shd w:val="clear" w:color="000000" w:fill="FFFFFF"/>
            <w:hideMark/>
          </w:tcPr>
          <w:p w14:paraId="08B6B15C"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be able to monitor Admin Action log for audit purpose</w:t>
            </w:r>
          </w:p>
        </w:tc>
        <w:tc>
          <w:tcPr>
            <w:tcW w:w="640" w:type="pct"/>
            <w:tcBorders>
              <w:top w:val="nil"/>
              <w:left w:val="nil"/>
              <w:bottom w:val="single" w:sz="4" w:space="0" w:color="auto"/>
              <w:right w:val="single" w:sz="4" w:space="0" w:color="auto"/>
            </w:tcBorders>
            <w:shd w:val="clear" w:color="auto" w:fill="auto"/>
            <w:hideMark/>
          </w:tcPr>
          <w:p w14:paraId="63BEC1BB"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281AFC53"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3C3816A8"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1FB6B6FE"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85</w:t>
            </w:r>
          </w:p>
        </w:tc>
        <w:tc>
          <w:tcPr>
            <w:tcW w:w="3498" w:type="pct"/>
            <w:tcBorders>
              <w:top w:val="nil"/>
              <w:left w:val="nil"/>
              <w:bottom w:val="single" w:sz="4" w:space="0" w:color="auto"/>
              <w:right w:val="single" w:sz="4" w:space="0" w:color="auto"/>
            </w:tcBorders>
            <w:shd w:val="clear" w:color="000000" w:fill="FFFFFF"/>
            <w:hideMark/>
          </w:tcPr>
          <w:p w14:paraId="3F96FA40"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be able to monitor Activity log for audit purpose</w:t>
            </w:r>
          </w:p>
        </w:tc>
        <w:tc>
          <w:tcPr>
            <w:tcW w:w="640" w:type="pct"/>
            <w:tcBorders>
              <w:top w:val="nil"/>
              <w:left w:val="nil"/>
              <w:bottom w:val="single" w:sz="4" w:space="0" w:color="auto"/>
              <w:right w:val="single" w:sz="4" w:space="0" w:color="auto"/>
            </w:tcBorders>
            <w:shd w:val="clear" w:color="auto" w:fill="auto"/>
            <w:hideMark/>
          </w:tcPr>
          <w:p w14:paraId="1E0B4A22"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3227CEDF"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14D24624"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4EC9F61C"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86</w:t>
            </w:r>
          </w:p>
        </w:tc>
        <w:tc>
          <w:tcPr>
            <w:tcW w:w="3498" w:type="pct"/>
            <w:tcBorders>
              <w:top w:val="nil"/>
              <w:left w:val="nil"/>
              <w:bottom w:val="single" w:sz="4" w:space="0" w:color="auto"/>
              <w:right w:val="single" w:sz="4" w:space="0" w:color="auto"/>
            </w:tcBorders>
            <w:shd w:val="clear" w:color="000000" w:fill="FFFFFF"/>
            <w:hideMark/>
          </w:tcPr>
          <w:p w14:paraId="34F36A29"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be able to have Group Level Administration facility</w:t>
            </w:r>
          </w:p>
        </w:tc>
        <w:tc>
          <w:tcPr>
            <w:tcW w:w="640" w:type="pct"/>
            <w:tcBorders>
              <w:top w:val="nil"/>
              <w:left w:val="nil"/>
              <w:bottom w:val="single" w:sz="4" w:space="0" w:color="auto"/>
              <w:right w:val="single" w:sz="4" w:space="0" w:color="auto"/>
            </w:tcBorders>
            <w:shd w:val="clear" w:color="auto" w:fill="auto"/>
            <w:hideMark/>
          </w:tcPr>
          <w:p w14:paraId="793C8680"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2200D403"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DBE06D0" w14:textId="77777777" w:rsidTr="00E73613">
        <w:trPr>
          <w:trHeight w:val="315"/>
        </w:trPr>
        <w:tc>
          <w:tcPr>
            <w:tcW w:w="168" w:type="pct"/>
            <w:tcBorders>
              <w:top w:val="nil"/>
              <w:left w:val="single" w:sz="4" w:space="0" w:color="auto"/>
              <w:bottom w:val="single" w:sz="4" w:space="0" w:color="auto"/>
              <w:right w:val="single" w:sz="4" w:space="0" w:color="auto"/>
            </w:tcBorders>
            <w:shd w:val="clear" w:color="000000" w:fill="DDEBF7"/>
            <w:hideMark/>
          </w:tcPr>
          <w:p w14:paraId="61D99EC1" w14:textId="77777777" w:rsidR="00985D46" w:rsidRPr="00985D46" w:rsidRDefault="00985D46" w:rsidP="00985D46">
            <w:pPr>
              <w:spacing w:after="0" w:line="240" w:lineRule="auto"/>
              <w:jc w:val="center"/>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L</w:t>
            </w:r>
          </w:p>
        </w:tc>
        <w:tc>
          <w:tcPr>
            <w:tcW w:w="3498" w:type="pct"/>
            <w:tcBorders>
              <w:top w:val="nil"/>
              <w:left w:val="nil"/>
              <w:bottom w:val="single" w:sz="4" w:space="0" w:color="auto"/>
              <w:right w:val="single" w:sz="4" w:space="0" w:color="auto"/>
            </w:tcBorders>
            <w:shd w:val="clear" w:color="000000" w:fill="DDEBF7"/>
            <w:hideMark/>
          </w:tcPr>
          <w:p w14:paraId="74AC3D7C" w14:textId="77777777" w:rsidR="00985D46" w:rsidRPr="00985D46" w:rsidRDefault="00985D46" w:rsidP="00985D46">
            <w:pPr>
              <w:spacing w:after="0" w:line="240" w:lineRule="auto"/>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Service Management</w:t>
            </w:r>
          </w:p>
        </w:tc>
        <w:tc>
          <w:tcPr>
            <w:tcW w:w="640" w:type="pct"/>
            <w:tcBorders>
              <w:top w:val="nil"/>
              <w:left w:val="nil"/>
              <w:bottom w:val="single" w:sz="4" w:space="0" w:color="auto"/>
              <w:right w:val="single" w:sz="4" w:space="0" w:color="auto"/>
            </w:tcBorders>
            <w:shd w:val="clear" w:color="000000" w:fill="DDEBF7"/>
            <w:hideMark/>
          </w:tcPr>
          <w:p w14:paraId="0EBFA30E" w14:textId="77777777" w:rsidR="00985D46" w:rsidRPr="00985D46" w:rsidRDefault="00985D46" w:rsidP="00985D46">
            <w:pPr>
              <w:spacing w:after="0" w:line="240" w:lineRule="auto"/>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 </w:t>
            </w:r>
          </w:p>
        </w:tc>
        <w:tc>
          <w:tcPr>
            <w:tcW w:w="694" w:type="pct"/>
            <w:tcBorders>
              <w:top w:val="nil"/>
              <w:left w:val="nil"/>
              <w:bottom w:val="single" w:sz="4" w:space="0" w:color="auto"/>
              <w:right w:val="single" w:sz="4" w:space="0" w:color="auto"/>
            </w:tcBorders>
            <w:shd w:val="clear" w:color="000000" w:fill="DDEBF7"/>
            <w:hideMark/>
          </w:tcPr>
          <w:p w14:paraId="68DEFDDD" w14:textId="77777777" w:rsidR="00985D46" w:rsidRPr="00985D46" w:rsidRDefault="00985D46" w:rsidP="00985D46">
            <w:pPr>
              <w:spacing w:after="0" w:line="240" w:lineRule="auto"/>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 </w:t>
            </w:r>
          </w:p>
        </w:tc>
      </w:tr>
      <w:tr w:rsidR="00985D46" w:rsidRPr="00985D46" w14:paraId="2C265592"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0E183940"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87</w:t>
            </w:r>
          </w:p>
        </w:tc>
        <w:tc>
          <w:tcPr>
            <w:tcW w:w="3498" w:type="pct"/>
            <w:tcBorders>
              <w:top w:val="nil"/>
              <w:left w:val="nil"/>
              <w:bottom w:val="single" w:sz="4" w:space="0" w:color="auto"/>
              <w:right w:val="single" w:sz="4" w:space="0" w:color="auto"/>
            </w:tcBorders>
            <w:shd w:val="clear" w:color="auto" w:fill="auto"/>
            <w:hideMark/>
          </w:tcPr>
          <w:p w14:paraId="5258FE00"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Solution should have the option of Remote control to manage Android Devices &amp; Screen Mirroring for iOS devices.</w:t>
            </w:r>
          </w:p>
        </w:tc>
        <w:tc>
          <w:tcPr>
            <w:tcW w:w="640" w:type="pct"/>
            <w:tcBorders>
              <w:top w:val="nil"/>
              <w:left w:val="nil"/>
              <w:bottom w:val="single" w:sz="4" w:space="0" w:color="auto"/>
              <w:right w:val="single" w:sz="4" w:space="0" w:color="auto"/>
            </w:tcBorders>
            <w:shd w:val="clear" w:color="auto" w:fill="auto"/>
            <w:hideMark/>
          </w:tcPr>
          <w:p w14:paraId="3B153738"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37F4246E"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D1FA2CC"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55AD9210"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88</w:t>
            </w:r>
          </w:p>
        </w:tc>
        <w:tc>
          <w:tcPr>
            <w:tcW w:w="3498" w:type="pct"/>
            <w:tcBorders>
              <w:top w:val="nil"/>
              <w:left w:val="nil"/>
              <w:bottom w:val="single" w:sz="4" w:space="0" w:color="auto"/>
              <w:right w:val="single" w:sz="4" w:space="0" w:color="auto"/>
            </w:tcBorders>
            <w:shd w:val="clear" w:color="000000" w:fill="FFFFFF"/>
            <w:hideMark/>
          </w:tcPr>
          <w:p w14:paraId="7EC94959"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be able to do Remote transfer of File during remote control of device</w:t>
            </w:r>
          </w:p>
        </w:tc>
        <w:tc>
          <w:tcPr>
            <w:tcW w:w="640" w:type="pct"/>
            <w:tcBorders>
              <w:top w:val="nil"/>
              <w:left w:val="nil"/>
              <w:bottom w:val="single" w:sz="4" w:space="0" w:color="auto"/>
              <w:right w:val="single" w:sz="4" w:space="0" w:color="auto"/>
            </w:tcBorders>
            <w:shd w:val="clear" w:color="auto" w:fill="auto"/>
            <w:hideMark/>
          </w:tcPr>
          <w:p w14:paraId="0B0FDDDC"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7ABF0494"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76D07640" w14:textId="77777777" w:rsidTr="00E73613">
        <w:trPr>
          <w:trHeight w:val="315"/>
        </w:trPr>
        <w:tc>
          <w:tcPr>
            <w:tcW w:w="168" w:type="pct"/>
            <w:tcBorders>
              <w:top w:val="nil"/>
              <w:left w:val="single" w:sz="4" w:space="0" w:color="auto"/>
              <w:bottom w:val="single" w:sz="4" w:space="0" w:color="auto"/>
              <w:right w:val="single" w:sz="4" w:space="0" w:color="auto"/>
            </w:tcBorders>
            <w:shd w:val="clear" w:color="000000" w:fill="DDEBF7"/>
            <w:hideMark/>
          </w:tcPr>
          <w:p w14:paraId="11B5177F" w14:textId="77777777" w:rsidR="00985D46" w:rsidRPr="00985D46" w:rsidRDefault="00985D46" w:rsidP="00985D46">
            <w:pPr>
              <w:spacing w:after="0" w:line="240" w:lineRule="auto"/>
              <w:jc w:val="center"/>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M</w:t>
            </w:r>
          </w:p>
        </w:tc>
        <w:tc>
          <w:tcPr>
            <w:tcW w:w="3498" w:type="pct"/>
            <w:tcBorders>
              <w:top w:val="nil"/>
              <w:left w:val="nil"/>
              <w:bottom w:val="single" w:sz="4" w:space="0" w:color="auto"/>
              <w:right w:val="single" w:sz="4" w:space="0" w:color="auto"/>
            </w:tcBorders>
            <w:shd w:val="clear" w:color="000000" w:fill="DDEBF7"/>
            <w:hideMark/>
          </w:tcPr>
          <w:p w14:paraId="6B531D21" w14:textId="77777777" w:rsidR="00985D46" w:rsidRPr="00985D46" w:rsidRDefault="00985D46" w:rsidP="00985D46">
            <w:pPr>
              <w:spacing w:after="0" w:line="240" w:lineRule="auto"/>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Web Security</w:t>
            </w:r>
          </w:p>
        </w:tc>
        <w:tc>
          <w:tcPr>
            <w:tcW w:w="640" w:type="pct"/>
            <w:tcBorders>
              <w:top w:val="nil"/>
              <w:left w:val="nil"/>
              <w:bottom w:val="single" w:sz="4" w:space="0" w:color="auto"/>
              <w:right w:val="single" w:sz="4" w:space="0" w:color="auto"/>
            </w:tcBorders>
            <w:shd w:val="clear" w:color="000000" w:fill="DDEBF7"/>
            <w:hideMark/>
          </w:tcPr>
          <w:p w14:paraId="6E916B74" w14:textId="77777777" w:rsidR="00985D46" w:rsidRPr="00985D46" w:rsidRDefault="00985D46" w:rsidP="00985D46">
            <w:pPr>
              <w:spacing w:after="0" w:line="240" w:lineRule="auto"/>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 </w:t>
            </w:r>
          </w:p>
        </w:tc>
        <w:tc>
          <w:tcPr>
            <w:tcW w:w="694" w:type="pct"/>
            <w:tcBorders>
              <w:top w:val="nil"/>
              <w:left w:val="nil"/>
              <w:bottom w:val="single" w:sz="4" w:space="0" w:color="auto"/>
              <w:right w:val="single" w:sz="4" w:space="0" w:color="auto"/>
            </w:tcBorders>
            <w:shd w:val="clear" w:color="000000" w:fill="DDEBF7"/>
            <w:hideMark/>
          </w:tcPr>
          <w:p w14:paraId="5BD433B4" w14:textId="77777777" w:rsidR="00985D46" w:rsidRPr="00985D46" w:rsidRDefault="00985D46" w:rsidP="00985D46">
            <w:pPr>
              <w:spacing w:after="0" w:line="240" w:lineRule="auto"/>
              <w:rPr>
                <w:rFonts w:ascii="Calibri" w:eastAsia="Times New Roman" w:hAnsi="Calibri" w:cs="Calibri"/>
                <w:b/>
                <w:bCs/>
                <w:color w:val="000000"/>
                <w:sz w:val="24"/>
                <w:szCs w:val="24"/>
                <w:lang w:val="en-GB" w:eastAsia="en-GB"/>
              </w:rPr>
            </w:pPr>
            <w:r w:rsidRPr="00985D46">
              <w:rPr>
                <w:rFonts w:ascii="Calibri" w:eastAsia="Times New Roman" w:hAnsi="Calibri" w:cs="Calibri"/>
                <w:b/>
                <w:bCs/>
                <w:color w:val="000000"/>
                <w:sz w:val="24"/>
                <w:szCs w:val="24"/>
                <w:lang w:val="en-GB" w:eastAsia="en-GB"/>
              </w:rPr>
              <w:t> </w:t>
            </w:r>
          </w:p>
        </w:tc>
      </w:tr>
      <w:tr w:rsidR="00985D46" w:rsidRPr="00985D46" w14:paraId="730290A2"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36556ABD"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89</w:t>
            </w:r>
          </w:p>
        </w:tc>
        <w:tc>
          <w:tcPr>
            <w:tcW w:w="3498" w:type="pct"/>
            <w:tcBorders>
              <w:top w:val="nil"/>
              <w:left w:val="nil"/>
              <w:bottom w:val="single" w:sz="4" w:space="0" w:color="auto"/>
              <w:right w:val="single" w:sz="4" w:space="0" w:color="auto"/>
            </w:tcBorders>
            <w:shd w:val="clear" w:color="000000" w:fill="FFFFFF"/>
            <w:hideMark/>
          </w:tcPr>
          <w:p w14:paraId="05ECA74F"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have the capability to do URL Blacklisting/Whitelisting on browser</w:t>
            </w:r>
          </w:p>
        </w:tc>
        <w:tc>
          <w:tcPr>
            <w:tcW w:w="640" w:type="pct"/>
            <w:tcBorders>
              <w:top w:val="nil"/>
              <w:left w:val="nil"/>
              <w:bottom w:val="single" w:sz="4" w:space="0" w:color="auto"/>
              <w:right w:val="single" w:sz="4" w:space="0" w:color="auto"/>
            </w:tcBorders>
            <w:shd w:val="clear" w:color="auto" w:fill="auto"/>
            <w:hideMark/>
          </w:tcPr>
          <w:p w14:paraId="62DB4296"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109659E0"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6616A689"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447381C6"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90</w:t>
            </w:r>
          </w:p>
        </w:tc>
        <w:tc>
          <w:tcPr>
            <w:tcW w:w="3498" w:type="pct"/>
            <w:tcBorders>
              <w:top w:val="nil"/>
              <w:left w:val="nil"/>
              <w:bottom w:val="single" w:sz="4" w:space="0" w:color="auto"/>
              <w:right w:val="single" w:sz="4" w:space="0" w:color="auto"/>
            </w:tcBorders>
            <w:shd w:val="clear" w:color="000000" w:fill="FFFFFF"/>
            <w:hideMark/>
          </w:tcPr>
          <w:p w14:paraId="1E466A90"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have the capability to category Wise URL blacklisting/whitelisting on browser</w:t>
            </w:r>
          </w:p>
        </w:tc>
        <w:tc>
          <w:tcPr>
            <w:tcW w:w="640" w:type="pct"/>
            <w:tcBorders>
              <w:top w:val="nil"/>
              <w:left w:val="nil"/>
              <w:bottom w:val="single" w:sz="4" w:space="0" w:color="auto"/>
              <w:right w:val="single" w:sz="4" w:space="0" w:color="auto"/>
            </w:tcBorders>
            <w:shd w:val="clear" w:color="auto" w:fill="auto"/>
            <w:hideMark/>
          </w:tcPr>
          <w:p w14:paraId="0E72E3CB"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68998F2D"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72DF754A"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0DFFB2E9"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91</w:t>
            </w:r>
          </w:p>
        </w:tc>
        <w:tc>
          <w:tcPr>
            <w:tcW w:w="3498" w:type="pct"/>
            <w:tcBorders>
              <w:top w:val="nil"/>
              <w:left w:val="nil"/>
              <w:bottom w:val="single" w:sz="4" w:space="0" w:color="auto"/>
              <w:right w:val="single" w:sz="4" w:space="0" w:color="auto"/>
            </w:tcBorders>
            <w:shd w:val="clear" w:color="000000" w:fill="FFFFFF"/>
            <w:hideMark/>
          </w:tcPr>
          <w:p w14:paraId="257F3FA8"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have the capability to do URL Blacklisting/Whitelisting by category and based on keywords</w:t>
            </w:r>
          </w:p>
        </w:tc>
        <w:tc>
          <w:tcPr>
            <w:tcW w:w="640" w:type="pct"/>
            <w:tcBorders>
              <w:top w:val="nil"/>
              <w:left w:val="nil"/>
              <w:bottom w:val="single" w:sz="4" w:space="0" w:color="auto"/>
              <w:right w:val="single" w:sz="4" w:space="0" w:color="auto"/>
            </w:tcBorders>
            <w:shd w:val="clear" w:color="auto" w:fill="auto"/>
            <w:hideMark/>
          </w:tcPr>
          <w:p w14:paraId="1DB9CD8D"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7C0F5291"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65EAC6D"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01A39864"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92</w:t>
            </w:r>
          </w:p>
        </w:tc>
        <w:tc>
          <w:tcPr>
            <w:tcW w:w="3498" w:type="pct"/>
            <w:tcBorders>
              <w:top w:val="nil"/>
              <w:left w:val="nil"/>
              <w:bottom w:val="single" w:sz="4" w:space="0" w:color="auto"/>
              <w:right w:val="single" w:sz="4" w:space="0" w:color="auto"/>
            </w:tcBorders>
            <w:shd w:val="clear" w:color="000000" w:fill="FFFFFF"/>
            <w:hideMark/>
          </w:tcPr>
          <w:p w14:paraId="7C19D538" w14:textId="77777777" w:rsidR="00985D46" w:rsidRPr="00985D46" w:rsidRDefault="00985D46" w:rsidP="00985D46">
            <w:pPr>
              <w:spacing w:after="0" w:line="240" w:lineRule="auto"/>
              <w:rPr>
                <w:rFonts w:ascii="Calibri" w:eastAsia="Times New Roman" w:hAnsi="Calibri" w:cs="Calibri"/>
                <w:color w:val="000000"/>
                <w:sz w:val="18"/>
                <w:szCs w:val="18"/>
                <w:lang w:val="en-GB" w:eastAsia="en-GB"/>
              </w:rPr>
            </w:pPr>
            <w:r w:rsidRPr="00985D46">
              <w:rPr>
                <w:rFonts w:ascii="Calibri" w:eastAsia="Times New Roman" w:hAnsi="Calibri" w:cs="Calibri"/>
                <w:color w:val="000000"/>
                <w:sz w:val="18"/>
                <w:szCs w:val="18"/>
                <w:lang w:val="en-GB" w:eastAsia="en-GB"/>
              </w:rPr>
              <w:t>The MDM solutions must have the capability of Browsing and Phishing protection</w:t>
            </w:r>
          </w:p>
        </w:tc>
        <w:tc>
          <w:tcPr>
            <w:tcW w:w="640" w:type="pct"/>
            <w:tcBorders>
              <w:top w:val="nil"/>
              <w:left w:val="nil"/>
              <w:bottom w:val="single" w:sz="4" w:space="0" w:color="auto"/>
              <w:right w:val="single" w:sz="4" w:space="0" w:color="auto"/>
            </w:tcBorders>
            <w:shd w:val="clear" w:color="auto" w:fill="auto"/>
            <w:hideMark/>
          </w:tcPr>
          <w:p w14:paraId="0615BB96"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0ACA1A46"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F0936C6"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79097F87"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93</w:t>
            </w:r>
          </w:p>
        </w:tc>
        <w:tc>
          <w:tcPr>
            <w:tcW w:w="3498" w:type="pct"/>
            <w:tcBorders>
              <w:top w:val="nil"/>
              <w:left w:val="nil"/>
              <w:bottom w:val="single" w:sz="4" w:space="0" w:color="auto"/>
              <w:right w:val="single" w:sz="4" w:space="0" w:color="auto"/>
            </w:tcBorders>
            <w:shd w:val="clear" w:color="auto" w:fill="auto"/>
            <w:vAlign w:val="center"/>
            <w:hideMark/>
          </w:tcPr>
          <w:p w14:paraId="7C6E4524"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proposed solution should provide tight integration with Bank’s Email Solution.</w:t>
            </w:r>
          </w:p>
        </w:tc>
        <w:tc>
          <w:tcPr>
            <w:tcW w:w="640" w:type="pct"/>
            <w:tcBorders>
              <w:top w:val="nil"/>
              <w:left w:val="nil"/>
              <w:bottom w:val="single" w:sz="4" w:space="0" w:color="auto"/>
              <w:right w:val="single" w:sz="4" w:space="0" w:color="auto"/>
            </w:tcBorders>
            <w:shd w:val="clear" w:color="auto" w:fill="auto"/>
            <w:hideMark/>
          </w:tcPr>
          <w:p w14:paraId="2D5F73E2"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41ED7E0B"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D671BCC" w14:textId="77777777" w:rsidTr="00E73613">
        <w:trPr>
          <w:trHeight w:val="510"/>
        </w:trPr>
        <w:tc>
          <w:tcPr>
            <w:tcW w:w="168" w:type="pct"/>
            <w:tcBorders>
              <w:top w:val="nil"/>
              <w:left w:val="single" w:sz="4" w:space="0" w:color="auto"/>
              <w:bottom w:val="single" w:sz="4" w:space="0" w:color="auto"/>
              <w:right w:val="single" w:sz="4" w:space="0" w:color="auto"/>
            </w:tcBorders>
            <w:shd w:val="clear" w:color="auto" w:fill="auto"/>
            <w:hideMark/>
          </w:tcPr>
          <w:p w14:paraId="2F872E69"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94</w:t>
            </w:r>
          </w:p>
        </w:tc>
        <w:tc>
          <w:tcPr>
            <w:tcW w:w="3498" w:type="pct"/>
            <w:tcBorders>
              <w:top w:val="nil"/>
              <w:left w:val="nil"/>
              <w:bottom w:val="single" w:sz="4" w:space="0" w:color="auto"/>
              <w:right w:val="single" w:sz="4" w:space="0" w:color="auto"/>
            </w:tcBorders>
            <w:shd w:val="clear" w:color="auto" w:fill="auto"/>
            <w:vAlign w:val="center"/>
            <w:hideMark/>
          </w:tcPr>
          <w:p w14:paraId="700C3BDF"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C-SOC (Cyber Security Operations Centre) Solutions and other existing solutions / related infrastructure in Bank with capability of Conditional access.</w:t>
            </w:r>
          </w:p>
        </w:tc>
        <w:tc>
          <w:tcPr>
            <w:tcW w:w="640" w:type="pct"/>
            <w:tcBorders>
              <w:top w:val="nil"/>
              <w:left w:val="nil"/>
              <w:bottom w:val="single" w:sz="4" w:space="0" w:color="auto"/>
              <w:right w:val="single" w:sz="4" w:space="0" w:color="auto"/>
            </w:tcBorders>
            <w:shd w:val="clear" w:color="auto" w:fill="auto"/>
            <w:hideMark/>
          </w:tcPr>
          <w:p w14:paraId="2061D007"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63765350"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3991CF67" w14:textId="77777777" w:rsidTr="00E73613">
        <w:trPr>
          <w:trHeight w:val="765"/>
        </w:trPr>
        <w:tc>
          <w:tcPr>
            <w:tcW w:w="168" w:type="pct"/>
            <w:tcBorders>
              <w:top w:val="nil"/>
              <w:left w:val="single" w:sz="4" w:space="0" w:color="auto"/>
              <w:bottom w:val="single" w:sz="4" w:space="0" w:color="auto"/>
              <w:right w:val="single" w:sz="4" w:space="0" w:color="auto"/>
            </w:tcBorders>
            <w:shd w:val="clear" w:color="auto" w:fill="auto"/>
            <w:hideMark/>
          </w:tcPr>
          <w:p w14:paraId="07A244FE"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95</w:t>
            </w:r>
          </w:p>
        </w:tc>
        <w:tc>
          <w:tcPr>
            <w:tcW w:w="3498" w:type="pct"/>
            <w:tcBorders>
              <w:top w:val="nil"/>
              <w:left w:val="nil"/>
              <w:bottom w:val="single" w:sz="4" w:space="0" w:color="auto"/>
              <w:right w:val="single" w:sz="4" w:space="0" w:color="auto"/>
            </w:tcBorders>
            <w:shd w:val="clear" w:color="auto" w:fill="auto"/>
            <w:vAlign w:val="center"/>
            <w:hideMark/>
          </w:tcPr>
          <w:p w14:paraId="773D7C9E"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proposed solution should be configured and scalable to cater the requirement of implementation of the solution. The solution deployment should be compliant with Bank’s IS, IT and Cyber policies, internal guidelines, regulatory requirements and country wide regulations and laws from time to time.</w:t>
            </w:r>
          </w:p>
        </w:tc>
        <w:tc>
          <w:tcPr>
            <w:tcW w:w="640" w:type="pct"/>
            <w:tcBorders>
              <w:top w:val="nil"/>
              <w:left w:val="nil"/>
              <w:bottom w:val="single" w:sz="4" w:space="0" w:color="auto"/>
              <w:right w:val="single" w:sz="4" w:space="0" w:color="auto"/>
            </w:tcBorders>
            <w:shd w:val="clear" w:color="auto" w:fill="auto"/>
            <w:hideMark/>
          </w:tcPr>
          <w:p w14:paraId="0CE2AA05"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6EA13597"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626CBBCB" w14:textId="77777777" w:rsidTr="00E73613">
        <w:trPr>
          <w:trHeight w:val="510"/>
        </w:trPr>
        <w:tc>
          <w:tcPr>
            <w:tcW w:w="168" w:type="pct"/>
            <w:tcBorders>
              <w:top w:val="nil"/>
              <w:left w:val="single" w:sz="4" w:space="0" w:color="auto"/>
              <w:bottom w:val="single" w:sz="4" w:space="0" w:color="auto"/>
              <w:right w:val="single" w:sz="4" w:space="0" w:color="auto"/>
            </w:tcBorders>
            <w:shd w:val="clear" w:color="auto" w:fill="auto"/>
            <w:hideMark/>
          </w:tcPr>
          <w:p w14:paraId="29CE6B7A"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96</w:t>
            </w:r>
          </w:p>
        </w:tc>
        <w:tc>
          <w:tcPr>
            <w:tcW w:w="3498" w:type="pct"/>
            <w:tcBorders>
              <w:top w:val="nil"/>
              <w:left w:val="nil"/>
              <w:bottom w:val="single" w:sz="4" w:space="0" w:color="auto"/>
              <w:right w:val="single" w:sz="4" w:space="0" w:color="auto"/>
            </w:tcBorders>
            <w:shd w:val="clear" w:color="auto" w:fill="auto"/>
            <w:vAlign w:val="center"/>
            <w:hideMark/>
          </w:tcPr>
          <w:p w14:paraId="6EFDDE9D"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proposed solution should be able to support 1 device per license, which can be customised based on the different groups created for various users to assign different policies to them.</w:t>
            </w:r>
          </w:p>
        </w:tc>
        <w:tc>
          <w:tcPr>
            <w:tcW w:w="640" w:type="pct"/>
            <w:tcBorders>
              <w:top w:val="nil"/>
              <w:left w:val="nil"/>
              <w:bottom w:val="single" w:sz="4" w:space="0" w:color="auto"/>
              <w:right w:val="single" w:sz="4" w:space="0" w:color="auto"/>
            </w:tcBorders>
            <w:shd w:val="clear" w:color="auto" w:fill="auto"/>
            <w:hideMark/>
          </w:tcPr>
          <w:p w14:paraId="1C522F30"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17E90B8C"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88D9286" w14:textId="77777777" w:rsidTr="00E73613">
        <w:trPr>
          <w:trHeight w:val="510"/>
        </w:trPr>
        <w:tc>
          <w:tcPr>
            <w:tcW w:w="168" w:type="pct"/>
            <w:tcBorders>
              <w:top w:val="nil"/>
              <w:left w:val="single" w:sz="4" w:space="0" w:color="auto"/>
              <w:bottom w:val="single" w:sz="4" w:space="0" w:color="auto"/>
              <w:right w:val="single" w:sz="4" w:space="0" w:color="auto"/>
            </w:tcBorders>
            <w:shd w:val="clear" w:color="auto" w:fill="auto"/>
            <w:hideMark/>
          </w:tcPr>
          <w:p w14:paraId="006D54F5"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97</w:t>
            </w:r>
          </w:p>
        </w:tc>
        <w:tc>
          <w:tcPr>
            <w:tcW w:w="3498" w:type="pct"/>
            <w:tcBorders>
              <w:top w:val="nil"/>
              <w:left w:val="nil"/>
              <w:bottom w:val="single" w:sz="4" w:space="0" w:color="auto"/>
              <w:right w:val="single" w:sz="4" w:space="0" w:color="auto"/>
            </w:tcBorders>
            <w:shd w:val="clear" w:color="auto" w:fill="auto"/>
            <w:vAlign w:val="center"/>
            <w:hideMark/>
          </w:tcPr>
          <w:p w14:paraId="7D60F84B"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proposed solution should have tight integration with existing content systems and with group-based security and remediation policies.</w:t>
            </w:r>
          </w:p>
        </w:tc>
        <w:tc>
          <w:tcPr>
            <w:tcW w:w="640" w:type="pct"/>
            <w:tcBorders>
              <w:top w:val="nil"/>
              <w:left w:val="nil"/>
              <w:bottom w:val="single" w:sz="4" w:space="0" w:color="auto"/>
              <w:right w:val="single" w:sz="4" w:space="0" w:color="auto"/>
            </w:tcBorders>
            <w:shd w:val="clear" w:color="auto" w:fill="auto"/>
            <w:hideMark/>
          </w:tcPr>
          <w:p w14:paraId="0C22456B"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19CDD5BE"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5C18571B"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3A3AD082"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98</w:t>
            </w:r>
          </w:p>
        </w:tc>
        <w:tc>
          <w:tcPr>
            <w:tcW w:w="3498" w:type="pct"/>
            <w:tcBorders>
              <w:top w:val="nil"/>
              <w:left w:val="nil"/>
              <w:bottom w:val="single" w:sz="4" w:space="0" w:color="auto"/>
              <w:right w:val="single" w:sz="4" w:space="0" w:color="auto"/>
            </w:tcBorders>
            <w:shd w:val="clear" w:color="auto" w:fill="auto"/>
            <w:vAlign w:val="center"/>
            <w:hideMark/>
          </w:tcPr>
          <w:p w14:paraId="7D5DDD0B" w14:textId="77777777" w:rsidR="00985D46" w:rsidRPr="00985D46" w:rsidRDefault="00985D46" w:rsidP="00985D46">
            <w:pPr>
              <w:spacing w:after="0" w:line="240" w:lineRule="auto"/>
              <w:jc w:val="both"/>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solution should have the capability to integrate with the following:</w:t>
            </w:r>
          </w:p>
        </w:tc>
        <w:tc>
          <w:tcPr>
            <w:tcW w:w="640" w:type="pct"/>
            <w:tcBorders>
              <w:top w:val="nil"/>
              <w:left w:val="nil"/>
              <w:bottom w:val="single" w:sz="4" w:space="0" w:color="auto"/>
              <w:right w:val="single" w:sz="4" w:space="0" w:color="auto"/>
            </w:tcBorders>
            <w:shd w:val="clear" w:color="auto" w:fill="auto"/>
            <w:hideMark/>
          </w:tcPr>
          <w:p w14:paraId="14F5FCB0"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3BEBB1FF"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7D87DFE6"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2CD28DFD"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99</w:t>
            </w:r>
          </w:p>
        </w:tc>
        <w:tc>
          <w:tcPr>
            <w:tcW w:w="3498" w:type="pct"/>
            <w:tcBorders>
              <w:top w:val="nil"/>
              <w:left w:val="nil"/>
              <w:bottom w:val="single" w:sz="4" w:space="0" w:color="auto"/>
              <w:right w:val="single" w:sz="4" w:space="0" w:color="auto"/>
            </w:tcBorders>
            <w:shd w:val="clear" w:color="auto" w:fill="auto"/>
            <w:vAlign w:val="center"/>
            <w:hideMark/>
          </w:tcPr>
          <w:p w14:paraId="249DDAF5" w14:textId="77777777" w:rsidR="00985D46" w:rsidRPr="00985D46" w:rsidRDefault="00985D46" w:rsidP="00985D46">
            <w:pPr>
              <w:spacing w:after="0" w:line="240" w:lineRule="auto"/>
              <w:jc w:val="both"/>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xml:space="preserve">a)Native Applications </w:t>
            </w:r>
          </w:p>
        </w:tc>
        <w:tc>
          <w:tcPr>
            <w:tcW w:w="640" w:type="pct"/>
            <w:tcBorders>
              <w:top w:val="nil"/>
              <w:left w:val="nil"/>
              <w:bottom w:val="single" w:sz="4" w:space="0" w:color="auto"/>
              <w:right w:val="single" w:sz="4" w:space="0" w:color="auto"/>
            </w:tcBorders>
            <w:shd w:val="clear" w:color="auto" w:fill="auto"/>
            <w:hideMark/>
          </w:tcPr>
          <w:p w14:paraId="56E5BDBF"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46AD32EF"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75BFE25A"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60A57C07"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100</w:t>
            </w:r>
          </w:p>
        </w:tc>
        <w:tc>
          <w:tcPr>
            <w:tcW w:w="3498" w:type="pct"/>
            <w:tcBorders>
              <w:top w:val="nil"/>
              <w:left w:val="nil"/>
              <w:bottom w:val="single" w:sz="4" w:space="0" w:color="auto"/>
              <w:right w:val="single" w:sz="4" w:space="0" w:color="auto"/>
            </w:tcBorders>
            <w:shd w:val="clear" w:color="auto" w:fill="auto"/>
            <w:vAlign w:val="center"/>
            <w:hideMark/>
          </w:tcPr>
          <w:p w14:paraId="479413F3" w14:textId="77777777" w:rsidR="00985D46" w:rsidRPr="00985D46" w:rsidRDefault="00985D46" w:rsidP="00985D46">
            <w:pPr>
              <w:spacing w:after="0" w:line="240" w:lineRule="auto"/>
              <w:jc w:val="both"/>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b)Active Directory</w:t>
            </w:r>
          </w:p>
        </w:tc>
        <w:tc>
          <w:tcPr>
            <w:tcW w:w="640" w:type="pct"/>
            <w:tcBorders>
              <w:top w:val="nil"/>
              <w:left w:val="nil"/>
              <w:bottom w:val="single" w:sz="4" w:space="0" w:color="auto"/>
              <w:right w:val="single" w:sz="4" w:space="0" w:color="auto"/>
            </w:tcBorders>
            <w:shd w:val="clear" w:color="auto" w:fill="auto"/>
            <w:hideMark/>
          </w:tcPr>
          <w:p w14:paraId="16CE3157"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7F4784D5"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E8959B1"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5D5B8404"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101</w:t>
            </w:r>
          </w:p>
        </w:tc>
        <w:tc>
          <w:tcPr>
            <w:tcW w:w="3498" w:type="pct"/>
            <w:tcBorders>
              <w:top w:val="nil"/>
              <w:left w:val="nil"/>
              <w:bottom w:val="single" w:sz="4" w:space="0" w:color="auto"/>
              <w:right w:val="single" w:sz="4" w:space="0" w:color="auto"/>
            </w:tcBorders>
            <w:shd w:val="clear" w:color="auto" w:fill="auto"/>
            <w:vAlign w:val="center"/>
            <w:hideMark/>
          </w:tcPr>
          <w:p w14:paraId="1AE467E5"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xml:space="preserve">c) Bank’s Email Solution </w:t>
            </w:r>
          </w:p>
        </w:tc>
        <w:tc>
          <w:tcPr>
            <w:tcW w:w="640" w:type="pct"/>
            <w:tcBorders>
              <w:top w:val="nil"/>
              <w:left w:val="nil"/>
              <w:bottom w:val="single" w:sz="4" w:space="0" w:color="auto"/>
              <w:right w:val="single" w:sz="4" w:space="0" w:color="auto"/>
            </w:tcBorders>
            <w:shd w:val="clear" w:color="auto" w:fill="auto"/>
            <w:hideMark/>
          </w:tcPr>
          <w:p w14:paraId="477278E2"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0D9454E4"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FD147FA"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46428AE1"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102</w:t>
            </w:r>
          </w:p>
        </w:tc>
        <w:tc>
          <w:tcPr>
            <w:tcW w:w="3498" w:type="pct"/>
            <w:tcBorders>
              <w:top w:val="nil"/>
              <w:left w:val="nil"/>
              <w:bottom w:val="single" w:sz="4" w:space="0" w:color="auto"/>
              <w:right w:val="single" w:sz="4" w:space="0" w:color="auto"/>
            </w:tcBorders>
            <w:shd w:val="clear" w:color="auto" w:fill="auto"/>
            <w:vAlign w:val="center"/>
            <w:hideMark/>
          </w:tcPr>
          <w:p w14:paraId="01D6C0B2"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MDM solution should have an option to display Bank’s logo/name/icon in back ground.</w:t>
            </w:r>
          </w:p>
        </w:tc>
        <w:tc>
          <w:tcPr>
            <w:tcW w:w="640" w:type="pct"/>
            <w:tcBorders>
              <w:top w:val="nil"/>
              <w:left w:val="nil"/>
              <w:bottom w:val="single" w:sz="4" w:space="0" w:color="auto"/>
              <w:right w:val="single" w:sz="4" w:space="0" w:color="auto"/>
            </w:tcBorders>
            <w:shd w:val="clear" w:color="auto" w:fill="auto"/>
            <w:hideMark/>
          </w:tcPr>
          <w:p w14:paraId="26AB0FCF"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0B8A32F3"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122DE767"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2AC32866"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103</w:t>
            </w:r>
          </w:p>
        </w:tc>
        <w:tc>
          <w:tcPr>
            <w:tcW w:w="3498" w:type="pct"/>
            <w:tcBorders>
              <w:top w:val="nil"/>
              <w:left w:val="nil"/>
              <w:bottom w:val="single" w:sz="4" w:space="0" w:color="auto"/>
              <w:right w:val="single" w:sz="4" w:space="0" w:color="auto"/>
            </w:tcBorders>
            <w:shd w:val="clear" w:color="auto" w:fill="auto"/>
            <w:vAlign w:val="center"/>
            <w:hideMark/>
          </w:tcPr>
          <w:p w14:paraId="1BF19E15"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proposed solution should support version upgrades/patches to applications on demand by user.</w:t>
            </w:r>
          </w:p>
        </w:tc>
        <w:tc>
          <w:tcPr>
            <w:tcW w:w="640" w:type="pct"/>
            <w:tcBorders>
              <w:top w:val="nil"/>
              <w:left w:val="nil"/>
              <w:bottom w:val="single" w:sz="4" w:space="0" w:color="auto"/>
              <w:right w:val="single" w:sz="4" w:space="0" w:color="auto"/>
            </w:tcBorders>
            <w:shd w:val="clear" w:color="auto" w:fill="auto"/>
            <w:hideMark/>
          </w:tcPr>
          <w:p w14:paraId="1F4A5AFB"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02911060"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3C4C2544" w14:textId="77777777" w:rsidTr="00E73613">
        <w:trPr>
          <w:trHeight w:val="510"/>
        </w:trPr>
        <w:tc>
          <w:tcPr>
            <w:tcW w:w="168" w:type="pct"/>
            <w:tcBorders>
              <w:top w:val="nil"/>
              <w:left w:val="single" w:sz="4" w:space="0" w:color="auto"/>
              <w:bottom w:val="single" w:sz="4" w:space="0" w:color="auto"/>
              <w:right w:val="single" w:sz="4" w:space="0" w:color="auto"/>
            </w:tcBorders>
            <w:shd w:val="clear" w:color="auto" w:fill="auto"/>
            <w:hideMark/>
          </w:tcPr>
          <w:p w14:paraId="06131A90"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104</w:t>
            </w:r>
          </w:p>
        </w:tc>
        <w:tc>
          <w:tcPr>
            <w:tcW w:w="3498" w:type="pct"/>
            <w:tcBorders>
              <w:top w:val="nil"/>
              <w:left w:val="nil"/>
              <w:bottom w:val="single" w:sz="4" w:space="0" w:color="auto"/>
              <w:right w:val="single" w:sz="4" w:space="0" w:color="auto"/>
            </w:tcBorders>
            <w:shd w:val="clear" w:color="auto" w:fill="auto"/>
            <w:vAlign w:val="center"/>
            <w:hideMark/>
          </w:tcPr>
          <w:p w14:paraId="25EEBD03"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proposed solution should allow whitelisting/blacklisting of applications so that only whitelisted applications are allowed to run and blacklisted applications will never be installed.</w:t>
            </w:r>
          </w:p>
        </w:tc>
        <w:tc>
          <w:tcPr>
            <w:tcW w:w="640" w:type="pct"/>
            <w:tcBorders>
              <w:top w:val="nil"/>
              <w:left w:val="nil"/>
              <w:bottom w:val="single" w:sz="4" w:space="0" w:color="auto"/>
              <w:right w:val="single" w:sz="4" w:space="0" w:color="auto"/>
            </w:tcBorders>
            <w:shd w:val="clear" w:color="auto" w:fill="auto"/>
            <w:hideMark/>
          </w:tcPr>
          <w:p w14:paraId="52D5E67E"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72F857C5"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61657D23"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503E6F8E"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105</w:t>
            </w:r>
          </w:p>
        </w:tc>
        <w:tc>
          <w:tcPr>
            <w:tcW w:w="3498" w:type="pct"/>
            <w:tcBorders>
              <w:top w:val="nil"/>
              <w:left w:val="nil"/>
              <w:bottom w:val="single" w:sz="4" w:space="0" w:color="auto"/>
              <w:right w:val="single" w:sz="4" w:space="0" w:color="auto"/>
            </w:tcBorders>
            <w:shd w:val="clear" w:color="auto" w:fill="auto"/>
            <w:vAlign w:val="center"/>
            <w:hideMark/>
          </w:tcPr>
          <w:p w14:paraId="064A69DD"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proposed solution should provide built in multi factor authentication.</w:t>
            </w:r>
          </w:p>
        </w:tc>
        <w:tc>
          <w:tcPr>
            <w:tcW w:w="640" w:type="pct"/>
            <w:tcBorders>
              <w:top w:val="nil"/>
              <w:left w:val="nil"/>
              <w:bottom w:val="single" w:sz="4" w:space="0" w:color="auto"/>
              <w:right w:val="single" w:sz="4" w:space="0" w:color="auto"/>
            </w:tcBorders>
            <w:shd w:val="clear" w:color="auto" w:fill="auto"/>
            <w:hideMark/>
          </w:tcPr>
          <w:p w14:paraId="6FCBFD80"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7FC91CDE"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7D753AD9" w14:textId="77777777" w:rsidTr="00E73613">
        <w:trPr>
          <w:trHeight w:val="510"/>
        </w:trPr>
        <w:tc>
          <w:tcPr>
            <w:tcW w:w="168" w:type="pct"/>
            <w:tcBorders>
              <w:top w:val="nil"/>
              <w:left w:val="single" w:sz="4" w:space="0" w:color="auto"/>
              <w:bottom w:val="single" w:sz="4" w:space="0" w:color="auto"/>
              <w:right w:val="single" w:sz="4" w:space="0" w:color="auto"/>
            </w:tcBorders>
            <w:shd w:val="clear" w:color="auto" w:fill="auto"/>
            <w:hideMark/>
          </w:tcPr>
          <w:p w14:paraId="0D7E97BC"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106</w:t>
            </w:r>
          </w:p>
        </w:tc>
        <w:tc>
          <w:tcPr>
            <w:tcW w:w="3498" w:type="pct"/>
            <w:tcBorders>
              <w:top w:val="nil"/>
              <w:left w:val="nil"/>
              <w:bottom w:val="single" w:sz="4" w:space="0" w:color="auto"/>
              <w:right w:val="single" w:sz="4" w:space="0" w:color="auto"/>
            </w:tcBorders>
            <w:shd w:val="clear" w:color="auto" w:fill="auto"/>
            <w:vAlign w:val="center"/>
            <w:hideMark/>
          </w:tcPr>
          <w:p w14:paraId="4C8FCFFA"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solution proposed should ensure device-binding feature for mail i.e the user can access mail from authorised/MDM enrolled device only.</w:t>
            </w:r>
          </w:p>
        </w:tc>
        <w:tc>
          <w:tcPr>
            <w:tcW w:w="640" w:type="pct"/>
            <w:tcBorders>
              <w:top w:val="nil"/>
              <w:left w:val="nil"/>
              <w:bottom w:val="single" w:sz="4" w:space="0" w:color="auto"/>
              <w:right w:val="single" w:sz="4" w:space="0" w:color="auto"/>
            </w:tcBorders>
            <w:shd w:val="clear" w:color="auto" w:fill="auto"/>
            <w:hideMark/>
          </w:tcPr>
          <w:p w14:paraId="442A8B01"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2F236F65"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3826F424"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155F89C6"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107</w:t>
            </w:r>
          </w:p>
        </w:tc>
        <w:tc>
          <w:tcPr>
            <w:tcW w:w="3498" w:type="pct"/>
            <w:tcBorders>
              <w:top w:val="nil"/>
              <w:left w:val="nil"/>
              <w:bottom w:val="single" w:sz="4" w:space="0" w:color="auto"/>
              <w:right w:val="single" w:sz="4" w:space="0" w:color="auto"/>
            </w:tcBorders>
            <w:shd w:val="clear" w:color="auto" w:fill="auto"/>
            <w:vAlign w:val="center"/>
            <w:hideMark/>
          </w:tcPr>
          <w:p w14:paraId="0D353CFC"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proposed solution should have capability to limit the device registration &amp; Admin can uninstall unapproved devices.</w:t>
            </w:r>
          </w:p>
        </w:tc>
        <w:tc>
          <w:tcPr>
            <w:tcW w:w="640" w:type="pct"/>
            <w:tcBorders>
              <w:top w:val="nil"/>
              <w:left w:val="nil"/>
              <w:bottom w:val="single" w:sz="4" w:space="0" w:color="auto"/>
              <w:right w:val="single" w:sz="4" w:space="0" w:color="auto"/>
            </w:tcBorders>
            <w:shd w:val="clear" w:color="auto" w:fill="auto"/>
            <w:hideMark/>
          </w:tcPr>
          <w:p w14:paraId="4E715109"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6C3E96AA"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A5CD786"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4970D0A2"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108</w:t>
            </w:r>
          </w:p>
        </w:tc>
        <w:tc>
          <w:tcPr>
            <w:tcW w:w="3498" w:type="pct"/>
            <w:tcBorders>
              <w:top w:val="nil"/>
              <w:left w:val="nil"/>
              <w:bottom w:val="single" w:sz="4" w:space="0" w:color="auto"/>
              <w:right w:val="single" w:sz="4" w:space="0" w:color="auto"/>
            </w:tcBorders>
            <w:shd w:val="clear" w:color="auto" w:fill="auto"/>
            <w:vAlign w:val="center"/>
            <w:hideMark/>
          </w:tcPr>
          <w:p w14:paraId="0800C29A"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proposed solution should have capability to authenticate users against passcodes, 2FA, etc.</w:t>
            </w:r>
          </w:p>
        </w:tc>
        <w:tc>
          <w:tcPr>
            <w:tcW w:w="640" w:type="pct"/>
            <w:tcBorders>
              <w:top w:val="nil"/>
              <w:left w:val="nil"/>
              <w:bottom w:val="single" w:sz="4" w:space="0" w:color="auto"/>
              <w:right w:val="single" w:sz="4" w:space="0" w:color="auto"/>
            </w:tcBorders>
            <w:shd w:val="clear" w:color="auto" w:fill="auto"/>
            <w:hideMark/>
          </w:tcPr>
          <w:p w14:paraId="20364911"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5D9DD0B7"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26D2C56C"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26C4D765"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109</w:t>
            </w:r>
          </w:p>
        </w:tc>
        <w:tc>
          <w:tcPr>
            <w:tcW w:w="3498" w:type="pct"/>
            <w:tcBorders>
              <w:top w:val="nil"/>
              <w:left w:val="nil"/>
              <w:bottom w:val="single" w:sz="4" w:space="0" w:color="auto"/>
              <w:right w:val="single" w:sz="4" w:space="0" w:color="auto"/>
            </w:tcBorders>
            <w:shd w:val="clear" w:color="auto" w:fill="auto"/>
            <w:vAlign w:val="center"/>
            <w:hideMark/>
          </w:tcPr>
          <w:p w14:paraId="6887FB81"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proposed Solution should Create and distribute customized policies and license agreements.</w:t>
            </w:r>
          </w:p>
        </w:tc>
        <w:tc>
          <w:tcPr>
            <w:tcW w:w="640" w:type="pct"/>
            <w:tcBorders>
              <w:top w:val="nil"/>
              <w:left w:val="nil"/>
              <w:bottom w:val="single" w:sz="4" w:space="0" w:color="auto"/>
              <w:right w:val="single" w:sz="4" w:space="0" w:color="auto"/>
            </w:tcBorders>
            <w:shd w:val="clear" w:color="auto" w:fill="auto"/>
            <w:hideMark/>
          </w:tcPr>
          <w:p w14:paraId="43C87E72"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7DA7BB8B"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77DB1B15"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7EEC98DF"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110</w:t>
            </w:r>
          </w:p>
        </w:tc>
        <w:tc>
          <w:tcPr>
            <w:tcW w:w="3498" w:type="pct"/>
            <w:tcBorders>
              <w:top w:val="nil"/>
              <w:left w:val="nil"/>
              <w:bottom w:val="single" w:sz="4" w:space="0" w:color="auto"/>
              <w:right w:val="single" w:sz="4" w:space="0" w:color="auto"/>
            </w:tcBorders>
            <w:shd w:val="clear" w:color="auto" w:fill="auto"/>
            <w:vAlign w:val="center"/>
            <w:hideMark/>
          </w:tcPr>
          <w:p w14:paraId="55B19EA4"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proposed solution should apply and update default device policy settings.</w:t>
            </w:r>
          </w:p>
        </w:tc>
        <w:tc>
          <w:tcPr>
            <w:tcW w:w="640" w:type="pct"/>
            <w:tcBorders>
              <w:top w:val="nil"/>
              <w:left w:val="nil"/>
              <w:bottom w:val="single" w:sz="4" w:space="0" w:color="auto"/>
              <w:right w:val="single" w:sz="4" w:space="0" w:color="auto"/>
            </w:tcBorders>
            <w:shd w:val="clear" w:color="auto" w:fill="auto"/>
            <w:hideMark/>
          </w:tcPr>
          <w:p w14:paraId="1A1FEEB2"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5614D278"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63946A31"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2BAAFE80"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111</w:t>
            </w:r>
          </w:p>
        </w:tc>
        <w:tc>
          <w:tcPr>
            <w:tcW w:w="3498" w:type="pct"/>
            <w:tcBorders>
              <w:top w:val="nil"/>
              <w:left w:val="nil"/>
              <w:bottom w:val="single" w:sz="4" w:space="0" w:color="auto"/>
              <w:right w:val="single" w:sz="4" w:space="0" w:color="auto"/>
            </w:tcBorders>
            <w:shd w:val="clear" w:color="auto" w:fill="auto"/>
            <w:vAlign w:val="center"/>
            <w:hideMark/>
          </w:tcPr>
          <w:p w14:paraId="59F2305E"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proposed solution should have capability to Approve or uninstall new mobile devices on the network based.</w:t>
            </w:r>
          </w:p>
        </w:tc>
        <w:tc>
          <w:tcPr>
            <w:tcW w:w="640" w:type="pct"/>
            <w:tcBorders>
              <w:top w:val="nil"/>
              <w:left w:val="nil"/>
              <w:bottom w:val="single" w:sz="4" w:space="0" w:color="auto"/>
              <w:right w:val="single" w:sz="4" w:space="0" w:color="auto"/>
            </w:tcBorders>
            <w:shd w:val="clear" w:color="auto" w:fill="auto"/>
            <w:hideMark/>
          </w:tcPr>
          <w:p w14:paraId="3B366502"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30CDD5EB"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259F6202" w14:textId="77777777" w:rsidTr="00E73613">
        <w:trPr>
          <w:trHeight w:val="510"/>
        </w:trPr>
        <w:tc>
          <w:tcPr>
            <w:tcW w:w="168" w:type="pct"/>
            <w:tcBorders>
              <w:top w:val="nil"/>
              <w:left w:val="single" w:sz="4" w:space="0" w:color="auto"/>
              <w:bottom w:val="single" w:sz="4" w:space="0" w:color="auto"/>
              <w:right w:val="single" w:sz="4" w:space="0" w:color="auto"/>
            </w:tcBorders>
            <w:shd w:val="clear" w:color="auto" w:fill="auto"/>
            <w:hideMark/>
          </w:tcPr>
          <w:p w14:paraId="4FBAC120"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112</w:t>
            </w:r>
          </w:p>
        </w:tc>
        <w:tc>
          <w:tcPr>
            <w:tcW w:w="3498" w:type="pct"/>
            <w:tcBorders>
              <w:top w:val="nil"/>
              <w:left w:val="nil"/>
              <w:bottom w:val="single" w:sz="4" w:space="0" w:color="auto"/>
              <w:right w:val="single" w:sz="4" w:space="0" w:color="auto"/>
            </w:tcBorders>
            <w:shd w:val="clear" w:color="auto" w:fill="auto"/>
            <w:vAlign w:val="center"/>
            <w:hideMark/>
          </w:tcPr>
          <w:p w14:paraId="4A8FD4F9"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proposed Solution should have ability to restrict device features such as camera, screen capture, cloud backup etc while maintaining user’s privacy intact.</w:t>
            </w:r>
          </w:p>
        </w:tc>
        <w:tc>
          <w:tcPr>
            <w:tcW w:w="640" w:type="pct"/>
            <w:tcBorders>
              <w:top w:val="nil"/>
              <w:left w:val="nil"/>
              <w:bottom w:val="single" w:sz="4" w:space="0" w:color="auto"/>
              <w:right w:val="single" w:sz="4" w:space="0" w:color="auto"/>
            </w:tcBorders>
            <w:shd w:val="clear" w:color="auto" w:fill="auto"/>
            <w:hideMark/>
          </w:tcPr>
          <w:p w14:paraId="0AEA20F6"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52FF424D"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12CF9B39" w14:textId="77777777" w:rsidTr="00E73613">
        <w:trPr>
          <w:trHeight w:val="510"/>
        </w:trPr>
        <w:tc>
          <w:tcPr>
            <w:tcW w:w="168" w:type="pct"/>
            <w:tcBorders>
              <w:top w:val="nil"/>
              <w:left w:val="single" w:sz="4" w:space="0" w:color="auto"/>
              <w:bottom w:val="single" w:sz="4" w:space="0" w:color="auto"/>
              <w:right w:val="single" w:sz="4" w:space="0" w:color="auto"/>
            </w:tcBorders>
            <w:shd w:val="clear" w:color="auto" w:fill="auto"/>
            <w:hideMark/>
          </w:tcPr>
          <w:p w14:paraId="6E7FBEFD"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113</w:t>
            </w:r>
          </w:p>
        </w:tc>
        <w:tc>
          <w:tcPr>
            <w:tcW w:w="3498" w:type="pct"/>
            <w:tcBorders>
              <w:top w:val="nil"/>
              <w:left w:val="nil"/>
              <w:bottom w:val="single" w:sz="4" w:space="0" w:color="auto"/>
              <w:right w:val="single" w:sz="4" w:space="0" w:color="auto"/>
            </w:tcBorders>
            <w:shd w:val="clear" w:color="auto" w:fill="auto"/>
            <w:vAlign w:val="center"/>
            <w:hideMark/>
          </w:tcPr>
          <w:p w14:paraId="35CEEF10"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proposed solution should have ability to enforce kiosk mode features. Kiosk mode means to restrict device to run approved applications only.</w:t>
            </w:r>
          </w:p>
        </w:tc>
        <w:tc>
          <w:tcPr>
            <w:tcW w:w="640" w:type="pct"/>
            <w:tcBorders>
              <w:top w:val="nil"/>
              <w:left w:val="nil"/>
              <w:bottom w:val="single" w:sz="4" w:space="0" w:color="auto"/>
              <w:right w:val="single" w:sz="4" w:space="0" w:color="auto"/>
            </w:tcBorders>
            <w:shd w:val="clear" w:color="auto" w:fill="auto"/>
            <w:hideMark/>
          </w:tcPr>
          <w:p w14:paraId="5EB61C17"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0B60920C"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52D85A7D"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41828A69"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114</w:t>
            </w:r>
          </w:p>
        </w:tc>
        <w:tc>
          <w:tcPr>
            <w:tcW w:w="3498" w:type="pct"/>
            <w:tcBorders>
              <w:top w:val="nil"/>
              <w:left w:val="nil"/>
              <w:bottom w:val="single" w:sz="4" w:space="0" w:color="auto"/>
              <w:right w:val="single" w:sz="4" w:space="0" w:color="auto"/>
            </w:tcBorders>
            <w:shd w:val="clear" w:color="auto" w:fill="auto"/>
            <w:vAlign w:val="center"/>
            <w:hideMark/>
          </w:tcPr>
          <w:p w14:paraId="4804BA88"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proposed solution should have Privacy features to block sharing of information from containerized areas.</w:t>
            </w:r>
          </w:p>
        </w:tc>
        <w:tc>
          <w:tcPr>
            <w:tcW w:w="640" w:type="pct"/>
            <w:tcBorders>
              <w:top w:val="nil"/>
              <w:left w:val="nil"/>
              <w:bottom w:val="single" w:sz="4" w:space="0" w:color="auto"/>
              <w:right w:val="single" w:sz="4" w:space="0" w:color="auto"/>
            </w:tcBorders>
            <w:shd w:val="clear" w:color="auto" w:fill="auto"/>
            <w:hideMark/>
          </w:tcPr>
          <w:p w14:paraId="7874CBD2"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33BC1E04"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3397E1F1" w14:textId="77777777" w:rsidTr="00E73613">
        <w:trPr>
          <w:trHeight w:val="510"/>
        </w:trPr>
        <w:tc>
          <w:tcPr>
            <w:tcW w:w="168" w:type="pct"/>
            <w:tcBorders>
              <w:top w:val="nil"/>
              <w:left w:val="single" w:sz="4" w:space="0" w:color="auto"/>
              <w:bottom w:val="single" w:sz="4" w:space="0" w:color="auto"/>
              <w:right w:val="single" w:sz="4" w:space="0" w:color="auto"/>
            </w:tcBorders>
            <w:shd w:val="clear" w:color="auto" w:fill="auto"/>
            <w:hideMark/>
          </w:tcPr>
          <w:p w14:paraId="511461D9"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115</w:t>
            </w:r>
          </w:p>
        </w:tc>
        <w:tc>
          <w:tcPr>
            <w:tcW w:w="3498" w:type="pct"/>
            <w:tcBorders>
              <w:top w:val="nil"/>
              <w:left w:val="nil"/>
              <w:bottom w:val="single" w:sz="4" w:space="0" w:color="auto"/>
              <w:right w:val="single" w:sz="4" w:space="0" w:color="auto"/>
            </w:tcBorders>
            <w:shd w:val="clear" w:color="auto" w:fill="auto"/>
            <w:vAlign w:val="center"/>
            <w:hideMark/>
          </w:tcPr>
          <w:p w14:paraId="15FAA604"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proposed Solution should have capability to send commands (such as device query, clear passcode, send message, lock device, set roaming, remote view, sync device) on demand to devices to request information and perform actions / commands.</w:t>
            </w:r>
          </w:p>
        </w:tc>
        <w:tc>
          <w:tcPr>
            <w:tcW w:w="640" w:type="pct"/>
            <w:tcBorders>
              <w:top w:val="nil"/>
              <w:left w:val="nil"/>
              <w:bottom w:val="single" w:sz="4" w:space="0" w:color="auto"/>
              <w:right w:val="single" w:sz="4" w:space="0" w:color="auto"/>
            </w:tcBorders>
            <w:shd w:val="clear" w:color="auto" w:fill="auto"/>
            <w:hideMark/>
          </w:tcPr>
          <w:p w14:paraId="4BBF954F"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0FCFD7D6"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8DFABB2" w14:textId="77777777" w:rsidTr="00E73613">
        <w:trPr>
          <w:trHeight w:val="510"/>
        </w:trPr>
        <w:tc>
          <w:tcPr>
            <w:tcW w:w="168" w:type="pct"/>
            <w:tcBorders>
              <w:top w:val="nil"/>
              <w:left w:val="single" w:sz="4" w:space="0" w:color="auto"/>
              <w:bottom w:val="single" w:sz="4" w:space="0" w:color="auto"/>
              <w:right w:val="single" w:sz="4" w:space="0" w:color="auto"/>
            </w:tcBorders>
            <w:shd w:val="clear" w:color="auto" w:fill="auto"/>
            <w:hideMark/>
          </w:tcPr>
          <w:p w14:paraId="64C3B30A"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116</w:t>
            </w:r>
          </w:p>
        </w:tc>
        <w:tc>
          <w:tcPr>
            <w:tcW w:w="3498" w:type="pct"/>
            <w:tcBorders>
              <w:top w:val="nil"/>
              <w:left w:val="nil"/>
              <w:bottom w:val="single" w:sz="4" w:space="0" w:color="auto"/>
              <w:right w:val="single" w:sz="4" w:space="0" w:color="auto"/>
            </w:tcBorders>
            <w:shd w:val="clear" w:color="auto" w:fill="auto"/>
            <w:vAlign w:val="center"/>
            <w:hideMark/>
          </w:tcPr>
          <w:p w14:paraId="42B87454"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proposed solution should have capability to Remotely locate, lock and wipe lost or stolen devices; selectively wipe corporate data while leaving personal data intact.</w:t>
            </w:r>
          </w:p>
        </w:tc>
        <w:tc>
          <w:tcPr>
            <w:tcW w:w="640" w:type="pct"/>
            <w:tcBorders>
              <w:top w:val="nil"/>
              <w:left w:val="nil"/>
              <w:bottom w:val="single" w:sz="4" w:space="0" w:color="auto"/>
              <w:right w:val="single" w:sz="4" w:space="0" w:color="auto"/>
            </w:tcBorders>
            <w:shd w:val="clear" w:color="auto" w:fill="auto"/>
            <w:hideMark/>
          </w:tcPr>
          <w:p w14:paraId="3953915C"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55FC3DE7"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5EA06905"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47CAB144"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117</w:t>
            </w:r>
          </w:p>
        </w:tc>
        <w:tc>
          <w:tcPr>
            <w:tcW w:w="3498" w:type="pct"/>
            <w:tcBorders>
              <w:top w:val="nil"/>
              <w:left w:val="nil"/>
              <w:bottom w:val="single" w:sz="4" w:space="0" w:color="auto"/>
              <w:right w:val="single" w:sz="4" w:space="0" w:color="auto"/>
            </w:tcBorders>
            <w:shd w:val="clear" w:color="auto" w:fill="auto"/>
            <w:vAlign w:val="center"/>
            <w:hideMark/>
          </w:tcPr>
          <w:p w14:paraId="45FF633B"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proposed solution should support creation of policies &amp; accordingly display the compliance.</w:t>
            </w:r>
          </w:p>
        </w:tc>
        <w:tc>
          <w:tcPr>
            <w:tcW w:w="640" w:type="pct"/>
            <w:tcBorders>
              <w:top w:val="nil"/>
              <w:left w:val="nil"/>
              <w:bottom w:val="single" w:sz="4" w:space="0" w:color="auto"/>
              <w:right w:val="single" w:sz="4" w:space="0" w:color="auto"/>
            </w:tcBorders>
            <w:shd w:val="clear" w:color="auto" w:fill="auto"/>
            <w:hideMark/>
          </w:tcPr>
          <w:p w14:paraId="718EACFE"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098F6EF5"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AD36636" w14:textId="77777777" w:rsidTr="00E73613">
        <w:trPr>
          <w:trHeight w:val="510"/>
        </w:trPr>
        <w:tc>
          <w:tcPr>
            <w:tcW w:w="168" w:type="pct"/>
            <w:tcBorders>
              <w:top w:val="nil"/>
              <w:left w:val="single" w:sz="4" w:space="0" w:color="auto"/>
              <w:bottom w:val="single" w:sz="4" w:space="0" w:color="auto"/>
              <w:right w:val="single" w:sz="4" w:space="0" w:color="auto"/>
            </w:tcBorders>
            <w:shd w:val="clear" w:color="auto" w:fill="auto"/>
            <w:hideMark/>
          </w:tcPr>
          <w:p w14:paraId="4AE9D19D"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118</w:t>
            </w:r>
          </w:p>
        </w:tc>
        <w:tc>
          <w:tcPr>
            <w:tcW w:w="3498" w:type="pct"/>
            <w:tcBorders>
              <w:top w:val="nil"/>
              <w:left w:val="nil"/>
              <w:bottom w:val="single" w:sz="4" w:space="0" w:color="auto"/>
              <w:right w:val="single" w:sz="4" w:space="0" w:color="auto"/>
            </w:tcBorders>
            <w:shd w:val="clear" w:color="auto" w:fill="auto"/>
            <w:vAlign w:val="center"/>
            <w:hideMark/>
          </w:tcPr>
          <w:p w14:paraId="071B43FD"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proposed solution should support automatic policy control that deletes all enterprise policy, apps, and data if MDM agent is uninstalled/removed.</w:t>
            </w:r>
          </w:p>
        </w:tc>
        <w:tc>
          <w:tcPr>
            <w:tcW w:w="640" w:type="pct"/>
            <w:tcBorders>
              <w:top w:val="nil"/>
              <w:left w:val="nil"/>
              <w:bottom w:val="single" w:sz="4" w:space="0" w:color="auto"/>
              <w:right w:val="single" w:sz="4" w:space="0" w:color="auto"/>
            </w:tcBorders>
            <w:shd w:val="clear" w:color="auto" w:fill="auto"/>
            <w:hideMark/>
          </w:tcPr>
          <w:p w14:paraId="3C0BED1E"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3094782F"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12E820DC"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2B04F5DE"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119</w:t>
            </w:r>
          </w:p>
        </w:tc>
        <w:tc>
          <w:tcPr>
            <w:tcW w:w="3498" w:type="pct"/>
            <w:tcBorders>
              <w:top w:val="nil"/>
              <w:left w:val="nil"/>
              <w:bottom w:val="single" w:sz="4" w:space="0" w:color="auto"/>
              <w:right w:val="single" w:sz="4" w:space="0" w:color="auto"/>
            </w:tcBorders>
            <w:shd w:val="clear" w:color="auto" w:fill="auto"/>
            <w:vAlign w:val="center"/>
            <w:hideMark/>
          </w:tcPr>
          <w:p w14:paraId="78590DBA"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proposed solution should have the capability to push policies using web interface and should not rely on use of scripting.</w:t>
            </w:r>
          </w:p>
        </w:tc>
        <w:tc>
          <w:tcPr>
            <w:tcW w:w="640" w:type="pct"/>
            <w:tcBorders>
              <w:top w:val="nil"/>
              <w:left w:val="nil"/>
              <w:bottom w:val="single" w:sz="4" w:space="0" w:color="auto"/>
              <w:right w:val="single" w:sz="4" w:space="0" w:color="auto"/>
            </w:tcBorders>
            <w:shd w:val="clear" w:color="auto" w:fill="auto"/>
            <w:hideMark/>
          </w:tcPr>
          <w:p w14:paraId="0B708EBC"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78208701"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2FBEDFE4" w14:textId="77777777" w:rsidTr="00E73613">
        <w:trPr>
          <w:trHeight w:val="510"/>
        </w:trPr>
        <w:tc>
          <w:tcPr>
            <w:tcW w:w="168" w:type="pct"/>
            <w:tcBorders>
              <w:top w:val="nil"/>
              <w:left w:val="single" w:sz="4" w:space="0" w:color="auto"/>
              <w:bottom w:val="single" w:sz="4" w:space="0" w:color="auto"/>
              <w:right w:val="single" w:sz="4" w:space="0" w:color="auto"/>
            </w:tcBorders>
            <w:shd w:val="clear" w:color="auto" w:fill="auto"/>
            <w:hideMark/>
          </w:tcPr>
          <w:p w14:paraId="6E41562F"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120</w:t>
            </w:r>
          </w:p>
        </w:tc>
        <w:tc>
          <w:tcPr>
            <w:tcW w:w="3498" w:type="pct"/>
            <w:tcBorders>
              <w:top w:val="nil"/>
              <w:left w:val="nil"/>
              <w:bottom w:val="single" w:sz="4" w:space="0" w:color="auto"/>
              <w:right w:val="single" w:sz="4" w:space="0" w:color="auto"/>
            </w:tcBorders>
            <w:shd w:val="clear" w:color="auto" w:fill="auto"/>
            <w:vAlign w:val="center"/>
            <w:hideMark/>
          </w:tcPr>
          <w:p w14:paraId="5B94471A"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proposed solution should provide a centralized event log tool that captures logs from all devices and administrative events (logging, policy changes, application updates, configuration updates etc.)</w:t>
            </w:r>
          </w:p>
        </w:tc>
        <w:tc>
          <w:tcPr>
            <w:tcW w:w="640" w:type="pct"/>
            <w:tcBorders>
              <w:top w:val="nil"/>
              <w:left w:val="nil"/>
              <w:bottom w:val="single" w:sz="4" w:space="0" w:color="auto"/>
              <w:right w:val="single" w:sz="4" w:space="0" w:color="auto"/>
            </w:tcBorders>
            <w:shd w:val="clear" w:color="auto" w:fill="auto"/>
            <w:hideMark/>
          </w:tcPr>
          <w:p w14:paraId="62789E5D"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48604188"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A6913CA"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489FED5E"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121</w:t>
            </w:r>
          </w:p>
        </w:tc>
        <w:tc>
          <w:tcPr>
            <w:tcW w:w="3498" w:type="pct"/>
            <w:tcBorders>
              <w:top w:val="nil"/>
              <w:left w:val="nil"/>
              <w:bottom w:val="single" w:sz="4" w:space="0" w:color="auto"/>
              <w:right w:val="single" w:sz="4" w:space="0" w:color="auto"/>
            </w:tcBorders>
            <w:shd w:val="clear" w:color="auto" w:fill="auto"/>
            <w:vAlign w:val="center"/>
            <w:hideMark/>
          </w:tcPr>
          <w:p w14:paraId="3A620A30"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proposed solution should manage Wi-Fi supporting and non-cellular devices as well with equal policy compliance.</w:t>
            </w:r>
          </w:p>
        </w:tc>
        <w:tc>
          <w:tcPr>
            <w:tcW w:w="640" w:type="pct"/>
            <w:tcBorders>
              <w:top w:val="nil"/>
              <w:left w:val="nil"/>
              <w:bottom w:val="single" w:sz="4" w:space="0" w:color="auto"/>
              <w:right w:val="single" w:sz="4" w:space="0" w:color="auto"/>
            </w:tcBorders>
            <w:shd w:val="clear" w:color="auto" w:fill="auto"/>
            <w:hideMark/>
          </w:tcPr>
          <w:p w14:paraId="5E2DA183"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179A02C6"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298143D"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7C28E626"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122</w:t>
            </w:r>
          </w:p>
        </w:tc>
        <w:tc>
          <w:tcPr>
            <w:tcW w:w="3498" w:type="pct"/>
            <w:tcBorders>
              <w:top w:val="nil"/>
              <w:left w:val="nil"/>
              <w:bottom w:val="single" w:sz="4" w:space="0" w:color="auto"/>
              <w:right w:val="single" w:sz="4" w:space="0" w:color="auto"/>
            </w:tcBorders>
            <w:shd w:val="clear" w:color="auto" w:fill="auto"/>
            <w:vAlign w:val="center"/>
            <w:hideMark/>
          </w:tcPr>
          <w:p w14:paraId="481241BB"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proposed solution should be able to define policies by device or Group.</w:t>
            </w:r>
          </w:p>
        </w:tc>
        <w:tc>
          <w:tcPr>
            <w:tcW w:w="640" w:type="pct"/>
            <w:tcBorders>
              <w:top w:val="nil"/>
              <w:left w:val="nil"/>
              <w:bottom w:val="single" w:sz="4" w:space="0" w:color="auto"/>
              <w:right w:val="single" w:sz="4" w:space="0" w:color="auto"/>
            </w:tcBorders>
            <w:shd w:val="clear" w:color="auto" w:fill="auto"/>
            <w:hideMark/>
          </w:tcPr>
          <w:p w14:paraId="7F707B92"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19418BAC"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3BF116FF" w14:textId="77777777" w:rsidTr="00E73613">
        <w:trPr>
          <w:trHeight w:val="510"/>
        </w:trPr>
        <w:tc>
          <w:tcPr>
            <w:tcW w:w="168" w:type="pct"/>
            <w:tcBorders>
              <w:top w:val="nil"/>
              <w:left w:val="single" w:sz="4" w:space="0" w:color="auto"/>
              <w:bottom w:val="single" w:sz="4" w:space="0" w:color="auto"/>
              <w:right w:val="single" w:sz="4" w:space="0" w:color="auto"/>
            </w:tcBorders>
            <w:shd w:val="clear" w:color="auto" w:fill="auto"/>
            <w:hideMark/>
          </w:tcPr>
          <w:p w14:paraId="1F4D17F7"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123</w:t>
            </w:r>
          </w:p>
        </w:tc>
        <w:tc>
          <w:tcPr>
            <w:tcW w:w="3498" w:type="pct"/>
            <w:tcBorders>
              <w:top w:val="nil"/>
              <w:left w:val="nil"/>
              <w:bottom w:val="single" w:sz="4" w:space="0" w:color="auto"/>
              <w:right w:val="single" w:sz="4" w:space="0" w:color="auto"/>
            </w:tcBorders>
            <w:shd w:val="clear" w:color="auto" w:fill="auto"/>
            <w:vAlign w:val="center"/>
            <w:hideMark/>
          </w:tcPr>
          <w:p w14:paraId="6B9D3439"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proposed solution should support checking of device policy compliance before allowing enterprise resource accesses and should support and enforce user authentication before device use.</w:t>
            </w:r>
          </w:p>
        </w:tc>
        <w:tc>
          <w:tcPr>
            <w:tcW w:w="640" w:type="pct"/>
            <w:tcBorders>
              <w:top w:val="nil"/>
              <w:left w:val="nil"/>
              <w:bottom w:val="single" w:sz="4" w:space="0" w:color="auto"/>
              <w:right w:val="single" w:sz="4" w:space="0" w:color="auto"/>
            </w:tcBorders>
            <w:shd w:val="clear" w:color="auto" w:fill="auto"/>
            <w:hideMark/>
          </w:tcPr>
          <w:p w14:paraId="08E96938"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7D763C37"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237F4642" w14:textId="77777777" w:rsidTr="00E73613">
        <w:trPr>
          <w:trHeight w:val="510"/>
        </w:trPr>
        <w:tc>
          <w:tcPr>
            <w:tcW w:w="168" w:type="pct"/>
            <w:tcBorders>
              <w:top w:val="nil"/>
              <w:left w:val="single" w:sz="4" w:space="0" w:color="auto"/>
              <w:bottom w:val="single" w:sz="4" w:space="0" w:color="auto"/>
              <w:right w:val="single" w:sz="4" w:space="0" w:color="auto"/>
            </w:tcBorders>
            <w:shd w:val="clear" w:color="auto" w:fill="auto"/>
            <w:hideMark/>
          </w:tcPr>
          <w:p w14:paraId="2B0C08C8"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124</w:t>
            </w:r>
          </w:p>
        </w:tc>
        <w:tc>
          <w:tcPr>
            <w:tcW w:w="3498" w:type="pct"/>
            <w:tcBorders>
              <w:top w:val="nil"/>
              <w:left w:val="nil"/>
              <w:bottom w:val="single" w:sz="4" w:space="0" w:color="auto"/>
              <w:right w:val="single" w:sz="4" w:space="0" w:color="auto"/>
            </w:tcBorders>
            <w:shd w:val="clear" w:color="auto" w:fill="auto"/>
            <w:vAlign w:val="center"/>
            <w:hideMark/>
          </w:tcPr>
          <w:p w14:paraId="07B9B9D3"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proposed solution should record both device and console events for integrated devices to capture detailed information for system monitoring, and provide logs view in the console and export the reports.</w:t>
            </w:r>
          </w:p>
        </w:tc>
        <w:tc>
          <w:tcPr>
            <w:tcW w:w="640" w:type="pct"/>
            <w:tcBorders>
              <w:top w:val="nil"/>
              <w:left w:val="nil"/>
              <w:bottom w:val="single" w:sz="4" w:space="0" w:color="auto"/>
              <w:right w:val="single" w:sz="4" w:space="0" w:color="auto"/>
            </w:tcBorders>
            <w:shd w:val="clear" w:color="auto" w:fill="auto"/>
            <w:hideMark/>
          </w:tcPr>
          <w:p w14:paraId="7B1A8CF8"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449F0493"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5B17221D" w14:textId="77777777" w:rsidTr="00E73613">
        <w:trPr>
          <w:trHeight w:val="510"/>
        </w:trPr>
        <w:tc>
          <w:tcPr>
            <w:tcW w:w="168" w:type="pct"/>
            <w:tcBorders>
              <w:top w:val="nil"/>
              <w:left w:val="single" w:sz="4" w:space="0" w:color="auto"/>
              <w:bottom w:val="single" w:sz="4" w:space="0" w:color="auto"/>
              <w:right w:val="single" w:sz="4" w:space="0" w:color="auto"/>
            </w:tcBorders>
            <w:shd w:val="clear" w:color="auto" w:fill="auto"/>
            <w:hideMark/>
          </w:tcPr>
          <w:p w14:paraId="64B7170F"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125</w:t>
            </w:r>
          </w:p>
        </w:tc>
        <w:tc>
          <w:tcPr>
            <w:tcW w:w="3498" w:type="pct"/>
            <w:tcBorders>
              <w:top w:val="nil"/>
              <w:left w:val="nil"/>
              <w:bottom w:val="single" w:sz="4" w:space="0" w:color="auto"/>
              <w:right w:val="single" w:sz="4" w:space="0" w:color="auto"/>
            </w:tcBorders>
            <w:shd w:val="clear" w:color="auto" w:fill="auto"/>
            <w:vAlign w:val="center"/>
            <w:hideMark/>
          </w:tcPr>
          <w:p w14:paraId="5EFC866B"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proposed solution should have the ability to customize MDM policy to be in line with the Bank’s policies such as password policy, manage groups of devices.</w:t>
            </w:r>
          </w:p>
        </w:tc>
        <w:tc>
          <w:tcPr>
            <w:tcW w:w="640" w:type="pct"/>
            <w:tcBorders>
              <w:top w:val="nil"/>
              <w:left w:val="nil"/>
              <w:bottom w:val="single" w:sz="4" w:space="0" w:color="auto"/>
              <w:right w:val="single" w:sz="4" w:space="0" w:color="auto"/>
            </w:tcBorders>
            <w:shd w:val="clear" w:color="auto" w:fill="auto"/>
            <w:hideMark/>
          </w:tcPr>
          <w:p w14:paraId="18BDAD43"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3FAC9684"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187C71E9"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21849C69"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126</w:t>
            </w:r>
          </w:p>
        </w:tc>
        <w:tc>
          <w:tcPr>
            <w:tcW w:w="3498" w:type="pct"/>
            <w:tcBorders>
              <w:top w:val="nil"/>
              <w:left w:val="nil"/>
              <w:bottom w:val="single" w:sz="4" w:space="0" w:color="auto"/>
              <w:right w:val="single" w:sz="4" w:space="0" w:color="auto"/>
            </w:tcBorders>
            <w:shd w:val="clear" w:color="auto" w:fill="auto"/>
            <w:vAlign w:val="center"/>
            <w:hideMark/>
          </w:tcPr>
          <w:p w14:paraId="777134DE"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proposed solution should have capability to grant or restrict document access from outside the container.</w:t>
            </w:r>
          </w:p>
        </w:tc>
        <w:tc>
          <w:tcPr>
            <w:tcW w:w="640" w:type="pct"/>
            <w:tcBorders>
              <w:top w:val="nil"/>
              <w:left w:val="nil"/>
              <w:bottom w:val="single" w:sz="4" w:space="0" w:color="auto"/>
              <w:right w:val="single" w:sz="4" w:space="0" w:color="auto"/>
            </w:tcBorders>
            <w:shd w:val="clear" w:color="auto" w:fill="auto"/>
            <w:hideMark/>
          </w:tcPr>
          <w:p w14:paraId="4D0628DA"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005A04F2"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665848F"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792AC1BF"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127</w:t>
            </w:r>
          </w:p>
        </w:tc>
        <w:tc>
          <w:tcPr>
            <w:tcW w:w="3498" w:type="pct"/>
            <w:tcBorders>
              <w:top w:val="nil"/>
              <w:left w:val="nil"/>
              <w:bottom w:val="single" w:sz="4" w:space="0" w:color="auto"/>
              <w:right w:val="single" w:sz="4" w:space="0" w:color="auto"/>
            </w:tcBorders>
            <w:shd w:val="clear" w:color="auto" w:fill="auto"/>
            <w:vAlign w:val="center"/>
            <w:hideMark/>
          </w:tcPr>
          <w:p w14:paraId="7857BD3E"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proposed solution should have capability to  prohibit applications installed on the device.</w:t>
            </w:r>
          </w:p>
        </w:tc>
        <w:tc>
          <w:tcPr>
            <w:tcW w:w="640" w:type="pct"/>
            <w:tcBorders>
              <w:top w:val="nil"/>
              <w:left w:val="nil"/>
              <w:bottom w:val="single" w:sz="4" w:space="0" w:color="auto"/>
              <w:right w:val="single" w:sz="4" w:space="0" w:color="auto"/>
            </w:tcBorders>
            <w:shd w:val="clear" w:color="auto" w:fill="auto"/>
            <w:hideMark/>
          </w:tcPr>
          <w:p w14:paraId="5903E57D"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0587D0E5"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BEBFA6E"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3F9B3199"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128</w:t>
            </w:r>
          </w:p>
        </w:tc>
        <w:tc>
          <w:tcPr>
            <w:tcW w:w="3498" w:type="pct"/>
            <w:tcBorders>
              <w:top w:val="nil"/>
              <w:left w:val="nil"/>
              <w:bottom w:val="single" w:sz="4" w:space="0" w:color="auto"/>
              <w:right w:val="single" w:sz="4" w:space="0" w:color="auto"/>
            </w:tcBorders>
            <w:shd w:val="clear" w:color="auto" w:fill="auto"/>
            <w:vAlign w:val="center"/>
            <w:hideMark/>
          </w:tcPr>
          <w:p w14:paraId="3FCA97A5" w14:textId="77777777" w:rsidR="00985D46" w:rsidRPr="00985D46" w:rsidRDefault="00985D46" w:rsidP="00985D46">
            <w:pPr>
              <w:spacing w:after="0" w:line="240" w:lineRule="auto"/>
              <w:jc w:val="both"/>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xml:space="preserve">The proposed solution should provide alerts via email/reports on encountering below scenarios (but not limited to): </w:t>
            </w:r>
          </w:p>
        </w:tc>
        <w:tc>
          <w:tcPr>
            <w:tcW w:w="640" w:type="pct"/>
            <w:tcBorders>
              <w:top w:val="nil"/>
              <w:left w:val="nil"/>
              <w:bottom w:val="single" w:sz="4" w:space="0" w:color="auto"/>
              <w:right w:val="single" w:sz="4" w:space="0" w:color="auto"/>
            </w:tcBorders>
            <w:shd w:val="clear" w:color="auto" w:fill="auto"/>
            <w:hideMark/>
          </w:tcPr>
          <w:p w14:paraId="5A285F58"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59DE9AF8"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3ED3D5A7"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36F31BBD"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129</w:t>
            </w:r>
          </w:p>
        </w:tc>
        <w:tc>
          <w:tcPr>
            <w:tcW w:w="3498" w:type="pct"/>
            <w:tcBorders>
              <w:top w:val="nil"/>
              <w:left w:val="nil"/>
              <w:bottom w:val="single" w:sz="4" w:space="0" w:color="auto"/>
              <w:right w:val="single" w:sz="4" w:space="0" w:color="auto"/>
            </w:tcBorders>
            <w:shd w:val="clear" w:color="auto" w:fill="auto"/>
            <w:vAlign w:val="center"/>
            <w:hideMark/>
          </w:tcPr>
          <w:p w14:paraId="277BE9F8" w14:textId="77777777" w:rsidR="00985D46" w:rsidRPr="00985D46" w:rsidRDefault="00985D46" w:rsidP="00985D46">
            <w:pPr>
              <w:spacing w:after="0" w:line="240" w:lineRule="auto"/>
              <w:jc w:val="both"/>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 xml:space="preserve">i.          </w:t>
            </w:r>
            <w:r w:rsidRPr="00985D46">
              <w:rPr>
                <w:rFonts w:ascii="Calibri" w:eastAsia="Times New Roman" w:hAnsi="Calibri" w:cs="Calibri"/>
                <w:color w:val="000000"/>
                <w:sz w:val="20"/>
                <w:szCs w:val="20"/>
                <w:lang w:val="en-GB" w:eastAsia="en-GB"/>
              </w:rPr>
              <w:t xml:space="preserve">Device has not connected in a period of time </w:t>
            </w:r>
          </w:p>
        </w:tc>
        <w:tc>
          <w:tcPr>
            <w:tcW w:w="640" w:type="pct"/>
            <w:tcBorders>
              <w:top w:val="nil"/>
              <w:left w:val="nil"/>
              <w:bottom w:val="single" w:sz="4" w:space="0" w:color="auto"/>
              <w:right w:val="single" w:sz="4" w:space="0" w:color="auto"/>
            </w:tcBorders>
            <w:shd w:val="clear" w:color="auto" w:fill="auto"/>
            <w:hideMark/>
          </w:tcPr>
          <w:p w14:paraId="57CB8D6F"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36FDB9F6"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9CDE363"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5FB845DA"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130</w:t>
            </w:r>
          </w:p>
        </w:tc>
        <w:tc>
          <w:tcPr>
            <w:tcW w:w="3498" w:type="pct"/>
            <w:tcBorders>
              <w:top w:val="nil"/>
              <w:left w:val="nil"/>
              <w:bottom w:val="single" w:sz="4" w:space="0" w:color="auto"/>
              <w:right w:val="single" w:sz="4" w:space="0" w:color="auto"/>
            </w:tcBorders>
            <w:shd w:val="clear" w:color="auto" w:fill="auto"/>
            <w:vAlign w:val="center"/>
            <w:hideMark/>
          </w:tcPr>
          <w:p w14:paraId="3B5CA266" w14:textId="77777777" w:rsidR="00985D46" w:rsidRPr="00985D46" w:rsidRDefault="00985D46" w:rsidP="00985D46">
            <w:pPr>
              <w:spacing w:after="0" w:line="240" w:lineRule="auto"/>
              <w:jc w:val="both"/>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 xml:space="preserve">ii.          </w:t>
            </w:r>
            <w:r w:rsidRPr="00985D46">
              <w:rPr>
                <w:rFonts w:ascii="Calibri" w:eastAsia="Times New Roman" w:hAnsi="Calibri" w:cs="Calibri"/>
                <w:color w:val="000000"/>
                <w:sz w:val="20"/>
                <w:szCs w:val="20"/>
                <w:lang w:val="en-GB" w:eastAsia="en-GB"/>
              </w:rPr>
              <w:t xml:space="preserve">Device has outdated policies </w:t>
            </w:r>
          </w:p>
        </w:tc>
        <w:tc>
          <w:tcPr>
            <w:tcW w:w="640" w:type="pct"/>
            <w:tcBorders>
              <w:top w:val="nil"/>
              <w:left w:val="nil"/>
              <w:bottom w:val="single" w:sz="4" w:space="0" w:color="auto"/>
              <w:right w:val="single" w:sz="4" w:space="0" w:color="auto"/>
            </w:tcBorders>
            <w:shd w:val="clear" w:color="auto" w:fill="auto"/>
            <w:hideMark/>
          </w:tcPr>
          <w:p w14:paraId="6BCEF39A"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7D643EE5"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6D4B31E8"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3A98FABF"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131</w:t>
            </w:r>
          </w:p>
        </w:tc>
        <w:tc>
          <w:tcPr>
            <w:tcW w:w="3498" w:type="pct"/>
            <w:tcBorders>
              <w:top w:val="nil"/>
              <w:left w:val="nil"/>
              <w:bottom w:val="single" w:sz="4" w:space="0" w:color="auto"/>
              <w:right w:val="single" w:sz="4" w:space="0" w:color="auto"/>
            </w:tcBorders>
            <w:shd w:val="clear" w:color="auto" w:fill="auto"/>
            <w:vAlign w:val="center"/>
            <w:hideMark/>
          </w:tcPr>
          <w:p w14:paraId="19D84A8E" w14:textId="77777777" w:rsidR="00985D46" w:rsidRPr="00985D46" w:rsidRDefault="00985D46" w:rsidP="00985D46">
            <w:pPr>
              <w:spacing w:after="0" w:line="240" w:lineRule="auto"/>
              <w:jc w:val="both"/>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 xml:space="preserve">iii.          </w:t>
            </w:r>
            <w:r w:rsidRPr="00985D46">
              <w:rPr>
                <w:rFonts w:ascii="Calibri" w:eastAsia="Times New Roman" w:hAnsi="Calibri" w:cs="Calibri"/>
                <w:color w:val="000000"/>
                <w:sz w:val="20"/>
                <w:szCs w:val="20"/>
                <w:lang w:val="en-GB" w:eastAsia="en-GB"/>
              </w:rPr>
              <w:t xml:space="preserve">Device has an installed application that is on the disallowed applications list </w:t>
            </w:r>
          </w:p>
        </w:tc>
        <w:tc>
          <w:tcPr>
            <w:tcW w:w="640" w:type="pct"/>
            <w:tcBorders>
              <w:top w:val="nil"/>
              <w:left w:val="nil"/>
              <w:bottom w:val="single" w:sz="4" w:space="0" w:color="auto"/>
              <w:right w:val="single" w:sz="4" w:space="0" w:color="auto"/>
            </w:tcBorders>
            <w:shd w:val="clear" w:color="auto" w:fill="auto"/>
            <w:hideMark/>
          </w:tcPr>
          <w:p w14:paraId="19B0E2E9"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31FDB666"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7552D9E2"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78C67CBA"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132</w:t>
            </w:r>
          </w:p>
        </w:tc>
        <w:tc>
          <w:tcPr>
            <w:tcW w:w="3498" w:type="pct"/>
            <w:tcBorders>
              <w:top w:val="nil"/>
              <w:left w:val="nil"/>
              <w:bottom w:val="single" w:sz="4" w:space="0" w:color="auto"/>
              <w:right w:val="single" w:sz="4" w:space="0" w:color="auto"/>
            </w:tcBorders>
            <w:shd w:val="clear" w:color="auto" w:fill="auto"/>
            <w:vAlign w:val="center"/>
            <w:hideMark/>
          </w:tcPr>
          <w:p w14:paraId="71ABD7B0" w14:textId="77777777" w:rsidR="00985D46" w:rsidRPr="00985D46" w:rsidRDefault="00985D46" w:rsidP="00985D46">
            <w:pPr>
              <w:spacing w:after="0" w:line="240" w:lineRule="auto"/>
              <w:jc w:val="both"/>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 xml:space="preserve">iv.          </w:t>
            </w:r>
            <w:r w:rsidRPr="00985D46">
              <w:rPr>
                <w:rFonts w:ascii="Calibri" w:eastAsia="Times New Roman" w:hAnsi="Calibri" w:cs="Calibri"/>
                <w:color w:val="000000"/>
                <w:sz w:val="20"/>
                <w:szCs w:val="20"/>
                <w:lang w:val="en-GB" w:eastAsia="en-GB"/>
              </w:rPr>
              <w:t xml:space="preserve">Device has an installed application that is not on the allowed applications list </w:t>
            </w:r>
          </w:p>
        </w:tc>
        <w:tc>
          <w:tcPr>
            <w:tcW w:w="640" w:type="pct"/>
            <w:tcBorders>
              <w:top w:val="nil"/>
              <w:left w:val="nil"/>
              <w:bottom w:val="single" w:sz="4" w:space="0" w:color="auto"/>
              <w:right w:val="single" w:sz="4" w:space="0" w:color="auto"/>
            </w:tcBorders>
            <w:shd w:val="clear" w:color="auto" w:fill="auto"/>
            <w:hideMark/>
          </w:tcPr>
          <w:p w14:paraId="687E7F55"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57E7DE95"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341F4769"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067DB88D"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133</w:t>
            </w:r>
          </w:p>
        </w:tc>
        <w:tc>
          <w:tcPr>
            <w:tcW w:w="3498" w:type="pct"/>
            <w:tcBorders>
              <w:top w:val="nil"/>
              <w:left w:val="nil"/>
              <w:bottom w:val="single" w:sz="4" w:space="0" w:color="auto"/>
              <w:right w:val="single" w:sz="4" w:space="0" w:color="auto"/>
            </w:tcBorders>
            <w:shd w:val="clear" w:color="auto" w:fill="auto"/>
            <w:vAlign w:val="center"/>
            <w:hideMark/>
          </w:tcPr>
          <w:p w14:paraId="201DC008" w14:textId="77777777" w:rsidR="00985D46" w:rsidRPr="00985D46" w:rsidRDefault="00985D46" w:rsidP="00985D46">
            <w:pPr>
              <w:spacing w:after="0" w:line="240" w:lineRule="auto"/>
              <w:jc w:val="both"/>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 xml:space="preserve">v.          </w:t>
            </w:r>
            <w:r w:rsidRPr="00985D46">
              <w:rPr>
                <w:rFonts w:ascii="Calibri" w:eastAsia="Times New Roman" w:hAnsi="Calibri" w:cs="Calibri"/>
                <w:color w:val="000000"/>
                <w:sz w:val="20"/>
                <w:szCs w:val="20"/>
                <w:lang w:val="en-GB" w:eastAsia="en-GB"/>
              </w:rPr>
              <w:t xml:space="preserve">Device does not have an application that is on the required applications list </w:t>
            </w:r>
          </w:p>
        </w:tc>
        <w:tc>
          <w:tcPr>
            <w:tcW w:w="640" w:type="pct"/>
            <w:tcBorders>
              <w:top w:val="nil"/>
              <w:left w:val="nil"/>
              <w:bottom w:val="single" w:sz="4" w:space="0" w:color="auto"/>
              <w:right w:val="single" w:sz="4" w:space="0" w:color="auto"/>
            </w:tcBorders>
            <w:shd w:val="clear" w:color="auto" w:fill="auto"/>
            <w:hideMark/>
          </w:tcPr>
          <w:p w14:paraId="305CBF56"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71250435"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7C87AF93"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2F035F30"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134</w:t>
            </w:r>
          </w:p>
        </w:tc>
        <w:tc>
          <w:tcPr>
            <w:tcW w:w="3498" w:type="pct"/>
            <w:tcBorders>
              <w:top w:val="nil"/>
              <w:left w:val="nil"/>
              <w:bottom w:val="single" w:sz="4" w:space="0" w:color="auto"/>
              <w:right w:val="single" w:sz="4" w:space="0" w:color="auto"/>
            </w:tcBorders>
            <w:shd w:val="clear" w:color="auto" w:fill="auto"/>
            <w:vAlign w:val="center"/>
            <w:hideMark/>
          </w:tcPr>
          <w:p w14:paraId="2F677853" w14:textId="77777777" w:rsidR="00985D46" w:rsidRPr="00985D46" w:rsidRDefault="00985D46" w:rsidP="00985D46">
            <w:pPr>
              <w:spacing w:after="0" w:line="240" w:lineRule="auto"/>
              <w:jc w:val="both"/>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 xml:space="preserve">vi.          </w:t>
            </w:r>
            <w:r w:rsidRPr="00985D46">
              <w:rPr>
                <w:rFonts w:ascii="Calibri" w:eastAsia="Times New Roman" w:hAnsi="Calibri" w:cs="Calibri"/>
                <w:color w:val="000000"/>
                <w:sz w:val="20"/>
                <w:szCs w:val="20"/>
                <w:lang w:val="en-GB" w:eastAsia="en-GB"/>
              </w:rPr>
              <w:t xml:space="preserve">Device has uninstalled a previously installed required application </w:t>
            </w:r>
          </w:p>
        </w:tc>
        <w:tc>
          <w:tcPr>
            <w:tcW w:w="640" w:type="pct"/>
            <w:tcBorders>
              <w:top w:val="nil"/>
              <w:left w:val="nil"/>
              <w:bottom w:val="single" w:sz="4" w:space="0" w:color="auto"/>
              <w:right w:val="single" w:sz="4" w:space="0" w:color="auto"/>
            </w:tcBorders>
            <w:shd w:val="clear" w:color="auto" w:fill="auto"/>
            <w:hideMark/>
          </w:tcPr>
          <w:p w14:paraId="2F7FD15C"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558F7BA8"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0722E9C"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7C67888B"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135</w:t>
            </w:r>
          </w:p>
        </w:tc>
        <w:tc>
          <w:tcPr>
            <w:tcW w:w="3498" w:type="pct"/>
            <w:tcBorders>
              <w:top w:val="nil"/>
              <w:left w:val="nil"/>
              <w:bottom w:val="single" w:sz="4" w:space="0" w:color="auto"/>
              <w:right w:val="single" w:sz="4" w:space="0" w:color="auto"/>
            </w:tcBorders>
            <w:shd w:val="clear" w:color="auto" w:fill="auto"/>
            <w:vAlign w:val="center"/>
            <w:hideMark/>
          </w:tcPr>
          <w:p w14:paraId="2AEE3D4D"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list of apps will be as per the business requirement of the Bank.</w:t>
            </w:r>
          </w:p>
        </w:tc>
        <w:tc>
          <w:tcPr>
            <w:tcW w:w="640" w:type="pct"/>
            <w:tcBorders>
              <w:top w:val="nil"/>
              <w:left w:val="nil"/>
              <w:bottom w:val="single" w:sz="4" w:space="0" w:color="auto"/>
              <w:right w:val="single" w:sz="4" w:space="0" w:color="auto"/>
            </w:tcBorders>
            <w:shd w:val="clear" w:color="auto" w:fill="auto"/>
            <w:hideMark/>
          </w:tcPr>
          <w:p w14:paraId="10B26FBE"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28758B6A"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348E3E32"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7772ECFC"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136</w:t>
            </w:r>
          </w:p>
        </w:tc>
        <w:tc>
          <w:tcPr>
            <w:tcW w:w="3498" w:type="pct"/>
            <w:tcBorders>
              <w:top w:val="nil"/>
              <w:left w:val="nil"/>
              <w:bottom w:val="single" w:sz="4" w:space="0" w:color="auto"/>
              <w:right w:val="single" w:sz="4" w:space="0" w:color="auto"/>
            </w:tcBorders>
            <w:shd w:val="clear" w:color="auto" w:fill="auto"/>
            <w:vAlign w:val="center"/>
            <w:hideMark/>
          </w:tcPr>
          <w:p w14:paraId="0EFA8958"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proposed solution should have feature of User(s) and Group Management.</w:t>
            </w:r>
          </w:p>
        </w:tc>
        <w:tc>
          <w:tcPr>
            <w:tcW w:w="640" w:type="pct"/>
            <w:tcBorders>
              <w:top w:val="nil"/>
              <w:left w:val="nil"/>
              <w:bottom w:val="single" w:sz="4" w:space="0" w:color="auto"/>
              <w:right w:val="single" w:sz="4" w:space="0" w:color="auto"/>
            </w:tcBorders>
            <w:shd w:val="clear" w:color="auto" w:fill="auto"/>
            <w:hideMark/>
          </w:tcPr>
          <w:p w14:paraId="3C73A9F2"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3C4B6C80"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58A76EF6"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4FF4D9E2"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137</w:t>
            </w:r>
          </w:p>
        </w:tc>
        <w:tc>
          <w:tcPr>
            <w:tcW w:w="3498" w:type="pct"/>
            <w:tcBorders>
              <w:top w:val="nil"/>
              <w:left w:val="nil"/>
              <w:bottom w:val="single" w:sz="4" w:space="0" w:color="auto"/>
              <w:right w:val="single" w:sz="4" w:space="0" w:color="auto"/>
            </w:tcBorders>
            <w:shd w:val="clear" w:color="auto" w:fill="auto"/>
            <w:vAlign w:val="center"/>
            <w:hideMark/>
          </w:tcPr>
          <w:p w14:paraId="7F578525" w14:textId="77777777" w:rsidR="00985D46" w:rsidRPr="00985D46" w:rsidRDefault="00985D46" w:rsidP="00985D46">
            <w:pPr>
              <w:spacing w:after="0" w:line="240" w:lineRule="auto"/>
              <w:jc w:val="both"/>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proposed solution should have capabilities of:</w:t>
            </w:r>
          </w:p>
        </w:tc>
        <w:tc>
          <w:tcPr>
            <w:tcW w:w="640" w:type="pct"/>
            <w:tcBorders>
              <w:top w:val="nil"/>
              <w:left w:val="nil"/>
              <w:bottom w:val="single" w:sz="4" w:space="0" w:color="auto"/>
              <w:right w:val="single" w:sz="4" w:space="0" w:color="auto"/>
            </w:tcBorders>
            <w:shd w:val="clear" w:color="auto" w:fill="auto"/>
            <w:hideMark/>
          </w:tcPr>
          <w:p w14:paraId="5B9BD8AC"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04D41E9F"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223AE554"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2A58ABDC"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138</w:t>
            </w:r>
          </w:p>
        </w:tc>
        <w:tc>
          <w:tcPr>
            <w:tcW w:w="3498" w:type="pct"/>
            <w:tcBorders>
              <w:top w:val="nil"/>
              <w:left w:val="nil"/>
              <w:bottom w:val="single" w:sz="4" w:space="0" w:color="auto"/>
              <w:right w:val="single" w:sz="4" w:space="0" w:color="auto"/>
            </w:tcBorders>
            <w:shd w:val="clear" w:color="auto" w:fill="auto"/>
            <w:vAlign w:val="center"/>
            <w:hideMark/>
          </w:tcPr>
          <w:p w14:paraId="26C5DE41" w14:textId="77777777" w:rsidR="00985D46" w:rsidRPr="00985D46" w:rsidRDefault="00985D46" w:rsidP="00985D46">
            <w:pPr>
              <w:spacing w:after="0" w:line="240" w:lineRule="auto"/>
              <w:jc w:val="both"/>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 xml:space="preserve">a)        </w:t>
            </w:r>
            <w:r w:rsidRPr="00985D46">
              <w:rPr>
                <w:rFonts w:ascii="Calibri" w:eastAsia="Times New Roman" w:hAnsi="Calibri" w:cs="Calibri"/>
                <w:color w:val="000000"/>
                <w:sz w:val="20"/>
                <w:szCs w:val="20"/>
                <w:lang w:val="en-GB" w:eastAsia="en-GB"/>
              </w:rPr>
              <w:t>Corporate Application Management.</w:t>
            </w:r>
          </w:p>
        </w:tc>
        <w:tc>
          <w:tcPr>
            <w:tcW w:w="640" w:type="pct"/>
            <w:tcBorders>
              <w:top w:val="nil"/>
              <w:left w:val="nil"/>
              <w:bottom w:val="single" w:sz="4" w:space="0" w:color="auto"/>
              <w:right w:val="single" w:sz="4" w:space="0" w:color="auto"/>
            </w:tcBorders>
            <w:shd w:val="clear" w:color="auto" w:fill="auto"/>
            <w:hideMark/>
          </w:tcPr>
          <w:p w14:paraId="0FEC3A75"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748B61FC"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2978B650"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487C86D4"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139</w:t>
            </w:r>
          </w:p>
        </w:tc>
        <w:tc>
          <w:tcPr>
            <w:tcW w:w="3498" w:type="pct"/>
            <w:tcBorders>
              <w:top w:val="nil"/>
              <w:left w:val="nil"/>
              <w:bottom w:val="single" w:sz="4" w:space="0" w:color="auto"/>
              <w:right w:val="single" w:sz="4" w:space="0" w:color="auto"/>
            </w:tcBorders>
            <w:shd w:val="clear" w:color="auto" w:fill="auto"/>
            <w:vAlign w:val="center"/>
            <w:hideMark/>
          </w:tcPr>
          <w:p w14:paraId="6C4D5F82" w14:textId="77777777" w:rsidR="00985D46" w:rsidRPr="00985D46" w:rsidRDefault="00985D46" w:rsidP="00985D46">
            <w:pPr>
              <w:spacing w:after="0" w:line="240" w:lineRule="auto"/>
              <w:jc w:val="both"/>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 xml:space="preserve">b)        </w:t>
            </w:r>
            <w:r w:rsidRPr="00985D46">
              <w:rPr>
                <w:rFonts w:ascii="Calibri" w:eastAsia="Times New Roman" w:hAnsi="Calibri" w:cs="Calibri"/>
                <w:color w:val="000000"/>
                <w:sz w:val="20"/>
                <w:szCs w:val="20"/>
                <w:lang w:val="en-GB" w:eastAsia="en-GB"/>
              </w:rPr>
              <w:t>corporate content / Data management.</w:t>
            </w:r>
          </w:p>
        </w:tc>
        <w:tc>
          <w:tcPr>
            <w:tcW w:w="640" w:type="pct"/>
            <w:tcBorders>
              <w:top w:val="nil"/>
              <w:left w:val="nil"/>
              <w:bottom w:val="single" w:sz="4" w:space="0" w:color="auto"/>
              <w:right w:val="single" w:sz="4" w:space="0" w:color="auto"/>
            </w:tcBorders>
            <w:shd w:val="clear" w:color="auto" w:fill="auto"/>
            <w:hideMark/>
          </w:tcPr>
          <w:p w14:paraId="6F55FF07"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512592AC"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767A68DF"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16F6EF23"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140</w:t>
            </w:r>
          </w:p>
        </w:tc>
        <w:tc>
          <w:tcPr>
            <w:tcW w:w="3498" w:type="pct"/>
            <w:tcBorders>
              <w:top w:val="nil"/>
              <w:left w:val="nil"/>
              <w:bottom w:val="single" w:sz="4" w:space="0" w:color="auto"/>
              <w:right w:val="single" w:sz="4" w:space="0" w:color="auto"/>
            </w:tcBorders>
            <w:shd w:val="clear" w:color="auto" w:fill="auto"/>
            <w:vAlign w:val="center"/>
            <w:hideMark/>
          </w:tcPr>
          <w:p w14:paraId="1A40BD8D" w14:textId="77777777" w:rsidR="00985D46" w:rsidRPr="00985D46" w:rsidRDefault="00985D46" w:rsidP="00985D46">
            <w:pPr>
              <w:spacing w:after="0" w:line="240" w:lineRule="auto"/>
              <w:jc w:val="both"/>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 xml:space="preserve">c)         </w:t>
            </w:r>
            <w:r w:rsidRPr="00985D46">
              <w:rPr>
                <w:rFonts w:ascii="Calibri" w:eastAsia="Times New Roman" w:hAnsi="Calibri" w:cs="Calibri"/>
                <w:color w:val="000000"/>
                <w:sz w:val="20"/>
                <w:szCs w:val="20"/>
                <w:lang w:val="en-GB" w:eastAsia="en-GB"/>
              </w:rPr>
              <w:t>Device Management.</w:t>
            </w:r>
          </w:p>
        </w:tc>
        <w:tc>
          <w:tcPr>
            <w:tcW w:w="640" w:type="pct"/>
            <w:tcBorders>
              <w:top w:val="nil"/>
              <w:left w:val="nil"/>
              <w:bottom w:val="single" w:sz="4" w:space="0" w:color="auto"/>
              <w:right w:val="single" w:sz="4" w:space="0" w:color="auto"/>
            </w:tcBorders>
            <w:shd w:val="clear" w:color="auto" w:fill="auto"/>
            <w:hideMark/>
          </w:tcPr>
          <w:p w14:paraId="40B487AA"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68C55C7F"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6279E110"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51163310"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141</w:t>
            </w:r>
          </w:p>
        </w:tc>
        <w:tc>
          <w:tcPr>
            <w:tcW w:w="3498" w:type="pct"/>
            <w:tcBorders>
              <w:top w:val="nil"/>
              <w:left w:val="nil"/>
              <w:bottom w:val="single" w:sz="4" w:space="0" w:color="auto"/>
              <w:right w:val="single" w:sz="4" w:space="0" w:color="auto"/>
            </w:tcBorders>
            <w:shd w:val="clear" w:color="auto" w:fill="auto"/>
            <w:vAlign w:val="center"/>
            <w:hideMark/>
          </w:tcPr>
          <w:p w14:paraId="5BB1D6FC" w14:textId="77777777" w:rsidR="00985D46" w:rsidRPr="00985D46" w:rsidRDefault="00985D46" w:rsidP="00985D46">
            <w:pPr>
              <w:spacing w:after="0" w:line="240" w:lineRule="auto"/>
              <w:jc w:val="both"/>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 xml:space="preserve">d)        </w:t>
            </w:r>
            <w:r w:rsidRPr="00985D46">
              <w:rPr>
                <w:rFonts w:ascii="Calibri" w:eastAsia="Times New Roman" w:hAnsi="Calibri" w:cs="Calibri"/>
                <w:color w:val="000000"/>
                <w:sz w:val="20"/>
                <w:szCs w:val="20"/>
                <w:lang w:val="en-GB" w:eastAsia="en-GB"/>
              </w:rPr>
              <w:t>Data Centric Security ensuring containerization of Corporate Content / Data.</w:t>
            </w:r>
          </w:p>
        </w:tc>
        <w:tc>
          <w:tcPr>
            <w:tcW w:w="640" w:type="pct"/>
            <w:tcBorders>
              <w:top w:val="nil"/>
              <w:left w:val="nil"/>
              <w:bottom w:val="single" w:sz="4" w:space="0" w:color="auto"/>
              <w:right w:val="single" w:sz="4" w:space="0" w:color="auto"/>
            </w:tcBorders>
            <w:shd w:val="clear" w:color="auto" w:fill="auto"/>
            <w:hideMark/>
          </w:tcPr>
          <w:p w14:paraId="50916A25"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75A1FD28"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A6ECDE7"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78BC14A0"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142</w:t>
            </w:r>
          </w:p>
        </w:tc>
        <w:tc>
          <w:tcPr>
            <w:tcW w:w="3498" w:type="pct"/>
            <w:tcBorders>
              <w:top w:val="nil"/>
              <w:left w:val="nil"/>
              <w:bottom w:val="single" w:sz="4" w:space="0" w:color="auto"/>
              <w:right w:val="single" w:sz="4" w:space="0" w:color="auto"/>
            </w:tcBorders>
            <w:shd w:val="clear" w:color="auto" w:fill="auto"/>
            <w:vAlign w:val="center"/>
            <w:hideMark/>
          </w:tcPr>
          <w:p w14:paraId="62703AF4" w14:textId="77777777" w:rsidR="00985D46" w:rsidRPr="00985D46" w:rsidRDefault="00985D46" w:rsidP="00985D46">
            <w:pPr>
              <w:spacing w:after="0" w:line="240" w:lineRule="auto"/>
              <w:jc w:val="both"/>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 xml:space="preserve">e)        </w:t>
            </w:r>
            <w:r w:rsidRPr="00985D46">
              <w:rPr>
                <w:rFonts w:ascii="Calibri" w:eastAsia="Times New Roman" w:hAnsi="Calibri" w:cs="Calibri"/>
                <w:color w:val="000000"/>
                <w:sz w:val="20"/>
                <w:szCs w:val="20"/>
                <w:lang w:val="en-GB" w:eastAsia="en-GB"/>
              </w:rPr>
              <w:t> Encryption of Container for Security and password protection.</w:t>
            </w:r>
          </w:p>
        </w:tc>
        <w:tc>
          <w:tcPr>
            <w:tcW w:w="640" w:type="pct"/>
            <w:tcBorders>
              <w:top w:val="nil"/>
              <w:left w:val="nil"/>
              <w:bottom w:val="single" w:sz="4" w:space="0" w:color="auto"/>
              <w:right w:val="single" w:sz="4" w:space="0" w:color="auto"/>
            </w:tcBorders>
            <w:shd w:val="clear" w:color="auto" w:fill="auto"/>
            <w:hideMark/>
          </w:tcPr>
          <w:p w14:paraId="06929429"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404AA37D"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303D8BF0"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57DDC213"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143</w:t>
            </w:r>
          </w:p>
        </w:tc>
        <w:tc>
          <w:tcPr>
            <w:tcW w:w="3498" w:type="pct"/>
            <w:tcBorders>
              <w:top w:val="nil"/>
              <w:left w:val="nil"/>
              <w:bottom w:val="single" w:sz="4" w:space="0" w:color="auto"/>
              <w:right w:val="single" w:sz="4" w:space="0" w:color="auto"/>
            </w:tcBorders>
            <w:shd w:val="clear" w:color="auto" w:fill="auto"/>
            <w:vAlign w:val="center"/>
            <w:hideMark/>
          </w:tcPr>
          <w:p w14:paraId="716B44B7" w14:textId="77777777" w:rsidR="00985D46" w:rsidRPr="00985D46" w:rsidRDefault="00985D46" w:rsidP="00985D46">
            <w:pPr>
              <w:spacing w:after="0" w:line="240" w:lineRule="auto"/>
              <w:jc w:val="both"/>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 xml:space="preserve">f)        </w:t>
            </w:r>
            <w:r w:rsidRPr="00985D46">
              <w:rPr>
                <w:rFonts w:ascii="Calibri" w:eastAsia="Times New Roman" w:hAnsi="Calibri" w:cs="Calibri"/>
                <w:color w:val="000000"/>
                <w:sz w:val="20"/>
                <w:szCs w:val="20"/>
                <w:lang w:val="en-GB" w:eastAsia="en-GB"/>
              </w:rPr>
              <w:t>Viewing location information on lost / stolen Mobile devices.</w:t>
            </w:r>
          </w:p>
        </w:tc>
        <w:tc>
          <w:tcPr>
            <w:tcW w:w="640" w:type="pct"/>
            <w:tcBorders>
              <w:top w:val="nil"/>
              <w:left w:val="nil"/>
              <w:bottom w:val="single" w:sz="4" w:space="0" w:color="auto"/>
              <w:right w:val="single" w:sz="4" w:space="0" w:color="auto"/>
            </w:tcBorders>
            <w:shd w:val="clear" w:color="auto" w:fill="auto"/>
            <w:hideMark/>
          </w:tcPr>
          <w:p w14:paraId="3B381D50"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72C95136"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37CAA645"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442E51D3"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144</w:t>
            </w:r>
          </w:p>
        </w:tc>
        <w:tc>
          <w:tcPr>
            <w:tcW w:w="3498" w:type="pct"/>
            <w:tcBorders>
              <w:top w:val="nil"/>
              <w:left w:val="nil"/>
              <w:bottom w:val="single" w:sz="4" w:space="0" w:color="auto"/>
              <w:right w:val="single" w:sz="4" w:space="0" w:color="auto"/>
            </w:tcBorders>
            <w:shd w:val="clear" w:color="auto" w:fill="auto"/>
            <w:vAlign w:val="center"/>
            <w:hideMark/>
          </w:tcPr>
          <w:p w14:paraId="4005EB1C" w14:textId="77777777" w:rsidR="00985D46" w:rsidRPr="00985D46" w:rsidRDefault="00985D46" w:rsidP="00985D46">
            <w:pPr>
              <w:spacing w:after="0" w:line="240" w:lineRule="auto"/>
              <w:jc w:val="both"/>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 xml:space="preserve">g)        </w:t>
            </w:r>
            <w:r w:rsidRPr="00985D46">
              <w:rPr>
                <w:rFonts w:ascii="Calibri" w:eastAsia="Times New Roman" w:hAnsi="Calibri" w:cs="Calibri"/>
                <w:color w:val="000000"/>
                <w:sz w:val="20"/>
                <w:szCs w:val="20"/>
                <w:lang w:val="en-GB" w:eastAsia="en-GB"/>
              </w:rPr>
              <w:t>Remote locking of Mobile device(s).</w:t>
            </w:r>
          </w:p>
        </w:tc>
        <w:tc>
          <w:tcPr>
            <w:tcW w:w="640" w:type="pct"/>
            <w:tcBorders>
              <w:top w:val="nil"/>
              <w:left w:val="nil"/>
              <w:bottom w:val="single" w:sz="4" w:space="0" w:color="auto"/>
              <w:right w:val="single" w:sz="4" w:space="0" w:color="auto"/>
            </w:tcBorders>
            <w:shd w:val="clear" w:color="auto" w:fill="auto"/>
            <w:hideMark/>
          </w:tcPr>
          <w:p w14:paraId="3E197ABF"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7286C89A"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3C9566A8"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74597550"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145</w:t>
            </w:r>
          </w:p>
        </w:tc>
        <w:tc>
          <w:tcPr>
            <w:tcW w:w="3498" w:type="pct"/>
            <w:tcBorders>
              <w:top w:val="nil"/>
              <w:left w:val="nil"/>
              <w:bottom w:val="single" w:sz="4" w:space="0" w:color="auto"/>
              <w:right w:val="single" w:sz="4" w:space="0" w:color="auto"/>
            </w:tcBorders>
            <w:shd w:val="clear" w:color="auto" w:fill="auto"/>
            <w:vAlign w:val="center"/>
            <w:hideMark/>
          </w:tcPr>
          <w:p w14:paraId="26F66C82" w14:textId="77777777" w:rsidR="00985D46" w:rsidRPr="00985D46" w:rsidRDefault="00985D46" w:rsidP="00985D46">
            <w:pPr>
              <w:spacing w:after="0" w:line="240" w:lineRule="auto"/>
              <w:jc w:val="both"/>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 xml:space="preserve">h)          </w:t>
            </w:r>
            <w:r w:rsidRPr="00985D46">
              <w:rPr>
                <w:rFonts w:ascii="Calibri" w:eastAsia="Times New Roman" w:hAnsi="Calibri" w:cs="Calibri"/>
                <w:color w:val="000000"/>
                <w:sz w:val="20"/>
                <w:szCs w:val="20"/>
                <w:lang w:val="en-GB" w:eastAsia="en-GB"/>
              </w:rPr>
              <w:t xml:space="preserve">Detecting Jailbreak / Root mechanism. </w:t>
            </w:r>
          </w:p>
        </w:tc>
        <w:tc>
          <w:tcPr>
            <w:tcW w:w="640" w:type="pct"/>
            <w:tcBorders>
              <w:top w:val="nil"/>
              <w:left w:val="nil"/>
              <w:bottom w:val="single" w:sz="4" w:space="0" w:color="auto"/>
              <w:right w:val="single" w:sz="4" w:space="0" w:color="auto"/>
            </w:tcBorders>
            <w:shd w:val="clear" w:color="auto" w:fill="auto"/>
            <w:hideMark/>
          </w:tcPr>
          <w:p w14:paraId="56AD872D"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5A279BEB"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135C28F4"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4A8FFE2B"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146</w:t>
            </w:r>
          </w:p>
        </w:tc>
        <w:tc>
          <w:tcPr>
            <w:tcW w:w="3498" w:type="pct"/>
            <w:tcBorders>
              <w:top w:val="nil"/>
              <w:left w:val="nil"/>
              <w:bottom w:val="single" w:sz="4" w:space="0" w:color="auto"/>
              <w:right w:val="single" w:sz="4" w:space="0" w:color="auto"/>
            </w:tcBorders>
            <w:shd w:val="clear" w:color="auto" w:fill="auto"/>
            <w:vAlign w:val="center"/>
            <w:hideMark/>
          </w:tcPr>
          <w:p w14:paraId="111687DF" w14:textId="77777777" w:rsidR="00985D46" w:rsidRPr="00985D46" w:rsidRDefault="00985D46" w:rsidP="00985D46">
            <w:pPr>
              <w:spacing w:after="0" w:line="240" w:lineRule="auto"/>
              <w:jc w:val="both"/>
              <w:rPr>
                <w:rFonts w:ascii="Calibri" w:eastAsia="Times New Roman" w:hAnsi="Calibri" w:cs="Calibri"/>
                <w:b/>
                <w:bCs/>
                <w:color w:val="000000"/>
                <w:sz w:val="20"/>
                <w:szCs w:val="20"/>
                <w:lang w:val="en-GB" w:eastAsia="en-GB"/>
              </w:rPr>
            </w:pPr>
            <w:r w:rsidRPr="00985D46">
              <w:rPr>
                <w:rFonts w:ascii="Calibri" w:eastAsia="Times New Roman" w:hAnsi="Calibri" w:cs="Calibri"/>
                <w:b/>
                <w:bCs/>
                <w:color w:val="000000"/>
                <w:sz w:val="20"/>
                <w:szCs w:val="20"/>
                <w:lang w:val="en-GB" w:eastAsia="en-GB"/>
              </w:rPr>
              <w:t xml:space="preserve">i)          </w:t>
            </w:r>
            <w:r w:rsidRPr="00985D46">
              <w:rPr>
                <w:rFonts w:ascii="Calibri" w:eastAsia="Times New Roman" w:hAnsi="Calibri" w:cs="Calibri"/>
                <w:color w:val="000000"/>
                <w:sz w:val="20"/>
                <w:szCs w:val="20"/>
                <w:lang w:val="en-GB" w:eastAsia="en-GB"/>
              </w:rPr>
              <w:t xml:space="preserve">Custom Reports and Analysis. </w:t>
            </w:r>
          </w:p>
        </w:tc>
        <w:tc>
          <w:tcPr>
            <w:tcW w:w="640" w:type="pct"/>
            <w:tcBorders>
              <w:top w:val="nil"/>
              <w:left w:val="nil"/>
              <w:bottom w:val="single" w:sz="4" w:space="0" w:color="auto"/>
              <w:right w:val="single" w:sz="4" w:space="0" w:color="auto"/>
            </w:tcBorders>
            <w:shd w:val="clear" w:color="auto" w:fill="auto"/>
            <w:hideMark/>
          </w:tcPr>
          <w:p w14:paraId="28673E18"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1BC5EE85"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658AE983" w14:textId="77777777" w:rsidTr="00E73613">
        <w:trPr>
          <w:trHeight w:val="810"/>
        </w:trPr>
        <w:tc>
          <w:tcPr>
            <w:tcW w:w="168" w:type="pct"/>
            <w:tcBorders>
              <w:top w:val="nil"/>
              <w:left w:val="single" w:sz="4" w:space="0" w:color="auto"/>
              <w:bottom w:val="single" w:sz="4" w:space="0" w:color="auto"/>
              <w:right w:val="single" w:sz="4" w:space="0" w:color="auto"/>
            </w:tcBorders>
            <w:shd w:val="clear" w:color="auto" w:fill="auto"/>
            <w:hideMark/>
          </w:tcPr>
          <w:p w14:paraId="519BDACD"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147</w:t>
            </w:r>
          </w:p>
        </w:tc>
        <w:tc>
          <w:tcPr>
            <w:tcW w:w="3498" w:type="pct"/>
            <w:tcBorders>
              <w:top w:val="nil"/>
              <w:left w:val="nil"/>
              <w:bottom w:val="single" w:sz="4" w:space="0" w:color="auto"/>
              <w:right w:val="single" w:sz="4" w:space="0" w:color="auto"/>
            </w:tcBorders>
            <w:shd w:val="clear" w:color="auto" w:fill="auto"/>
            <w:vAlign w:val="center"/>
            <w:hideMark/>
          </w:tcPr>
          <w:p w14:paraId="6325D338"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proposed solution should ensure that Business data doesn’t get copied to personal data or any 3</w:t>
            </w:r>
            <w:r w:rsidRPr="00985D46">
              <w:rPr>
                <w:rFonts w:ascii="Calibri" w:eastAsia="Times New Roman" w:hAnsi="Calibri" w:cs="Calibri"/>
                <w:color w:val="000000"/>
                <w:sz w:val="20"/>
                <w:szCs w:val="20"/>
                <w:vertAlign w:val="superscript"/>
                <w:lang w:val="en-GB" w:eastAsia="en-GB"/>
              </w:rPr>
              <w:t>rd</w:t>
            </w:r>
            <w:r w:rsidRPr="00985D46">
              <w:rPr>
                <w:rFonts w:ascii="Calibri" w:eastAsia="Times New Roman" w:hAnsi="Calibri" w:cs="Calibri"/>
                <w:color w:val="000000"/>
                <w:sz w:val="20"/>
                <w:szCs w:val="20"/>
                <w:lang w:val="en-GB" w:eastAsia="en-GB"/>
              </w:rPr>
              <w:t xml:space="preserve"> Party email system. The solution should provide segregation of private and corporate data such that corporate data cannot be copied from the device via mass media storage.</w:t>
            </w:r>
          </w:p>
        </w:tc>
        <w:tc>
          <w:tcPr>
            <w:tcW w:w="640" w:type="pct"/>
            <w:tcBorders>
              <w:top w:val="nil"/>
              <w:left w:val="nil"/>
              <w:bottom w:val="single" w:sz="4" w:space="0" w:color="auto"/>
              <w:right w:val="single" w:sz="4" w:space="0" w:color="auto"/>
            </w:tcBorders>
            <w:shd w:val="clear" w:color="auto" w:fill="auto"/>
            <w:hideMark/>
          </w:tcPr>
          <w:p w14:paraId="3D250900"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50D70FED"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6755C95"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1D2D2E71"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148</w:t>
            </w:r>
          </w:p>
        </w:tc>
        <w:tc>
          <w:tcPr>
            <w:tcW w:w="3498" w:type="pct"/>
            <w:tcBorders>
              <w:top w:val="nil"/>
              <w:left w:val="nil"/>
              <w:bottom w:val="single" w:sz="4" w:space="0" w:color="auto"/>
              <w:right w:val="single" w:sz="4" w:space="0" w:color="auto"/>
            </w:tcBorders>
            <w:shd w:val="clear" w:color="auto" w:fill="auto"/>
            <w:vAlign w:val="center"/>
            <w:hideMark/>
          </w:tcPr>
          <w:p w14:paraId="695B7572"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proposed solution should support selective wiping of only Business data from a lost / stolen device.</w:t>
            </w:r>
          </w:p>
        </w:tc>
        <w:tc>
          <w:tcPr>
            <w:tcW w:w="640" w:type="pct"/>
            <w:tcBorders>
              <w:top w:val="nil"/>
              <w:left w:val="nil"/>
              <w:bottom w:val="single" w:sz="4" w:space="0" w:color="auto"/>
              <w:right w:val="single" w:sz="4" w:space="0" w:color="auto"/>
            </w:tcBorders>
            <w:shd w:val="clear" w:color="auto" w:fill="auto"/>
            <w:hideMark/>
          </w:tcPr>
          <w:p w14:paraId="74B592CB"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74CD63AA"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6E37F190"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5F6D824A"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149</w:t>
            </w:r>
          </w:p>
        </w:tc>
        <w:tc>
          <w:tcPr>
            <w:tcW w:w="3498" w:type="pct"/>
            <w:tcBorders>
              <w:top w:val="nil"/>
              <w:left w:val="nil"/>
              <w:bottom w:val="single" w:sz="4" w:space="0" w:color="auto"/>
              <w:right w:val="single" w:sz="4" w:space="0" w:color="auto"/>
            </w:tcBorders>
            <w:shd w:val="clear" w:color="auto" w:fill="auto"/>
            <w:vAlign w:val="center"/>
            <w:hideMark/>
          </w:tcPr>
          <w:p w14:paraId="072C39A3"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proposed solution should push user‐specific device configuration / Organization’s Policy Deployment.</w:t>
            </w:r>
          </w:p>
        </w:tc>
        <w:tc>
          <w:tcPr>
            <w:tcW w:w="640" w:type="pct"/>
            <w:tcBorders>
              <w:top w:val="nil"/>
              <w:left w:val="nil"/>
              <w:bottom w:val="single" w:sz="4" w:space="0" w:color="auto"/>
              <w:right w:val="single" w:sz="4" w:space="0" w:color="auto"/>
            </w:tcBorders>
            <w:shd w:val="clear" w:color="auto" w:fill="auto"/>
            <w:hideMark/>
          </w:tcPr>
          <w:p w14:paraId="46ABD325"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48CFFD5F"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5B4466D6"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733B0929"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150</w:t>
            </w:r>
          </w:p>
        </w:tc>
        <w:tc>
          <w:tcPr>
            <w:tcW w:w="3498" w:type="pct"/>
            <w:tcBorders>
              <w:top w:val="nil"/>
              <w:left w:val="nil"/>
              <w:bottom w:val="single" w:sz="4" w:space="0" w:color="auto"/>
              <w:right w:val="single" w:sz="4" w:space="0" w:color="auto"/>
            </w:tcBorders>
            <w:shd w:val="clear" w:color="auto" w:fill="auto"/>
            <w:vAlign w:val="center"/>
            <w:hideMark/>
          </w:tcPr>
          <w:p w14:paraId="3ADB60CE"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proposed solution should obtain supported device(s) information by hardware model, serial number, UDID etc.</w:t>
            </w:r>
          </w:p>
        </w:tc>
        <w:tc>
          <w:tcPr>
            <w:tcW w:w="640" w:type="pct"/>
            <w:tcBorders>
              <w:top w:val="nil"/>
              <w:left w:val="nil"/>
              <w:bottom w:val="single" w:sz="4" w:space="0" w:color="auto"/>
              <w:right w:val="single" w:sz="4" w:space="0" w:color="auto"/>
            </w:tcBorders>
            <w:shd w:val="clear" w:color="auto" w:fill="auto"/>
            <w:hideMark/>
          </w:tcPr>
          <w:p w14:paraId="0D1DA2DE"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44FDE4EE"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7B4EF423" w14:textId="77777777" w:rsidTr="00E73613">
        <w:trPr>
          <w:trHeight w:val="510"/>
        </w:trPr>
        <w:tc>
          <w:tcPr>
            <w:tcW w:w="168" w:type="pct"/>
            <w:tcBorders>
              <w:top w:val="nil"/>
              <w:left w:val="single" w:sz="4" w:space="0" w:color="auto"/>
              <w:bottom w:val="single" w:sz="4" w:space="0" w:color="auto"/>
              <w:right w:val="single" w:sz="4" w:space="0" w:color="auto"/>
            </w:tcBorders>
            <w:shd w:val="clear" w:color="auto" w:fill="auto"/>
            <w:hideMark/>
          </w:tcPr>
          <w:p w14:paraId="6A29FA8E"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151</w:t>
            </w:r>
          </w:p>
        </w:tc>
        <w:tc>
          <w:tcPr>
            <w:tcW w:w="3498" w:type="pct"/>
            <w:tcBorders>
              <w:top w:val="nil"/>
              <w:left w:val="nil"/>
              <w:bottom w:val="single" w:sz="4" w:space="0" w:color="auto"/>
              <w:right w:val="single" w:sz="4" w:space="0" w:color="auto"/>
            </w:tcBorders>
            <w:shd w:val="clear" w:color="auto" w:fill="auto"/>
            <w:vAlign w:val="center"/>
            <w:hideMark/>
          </w:tcPr>
          <w:p w14:paraId="677DF91E"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proposed solution should support all Operating Systems (Android, iOS) over wide category of Mobile Devices such as iPhone, iPad,  Tablets, Android based Mobiles etc.</w:t>
            </w:r>
          </w:p>
        </w:tc>
        <w:tc>
          <w:tcPr>
            <w:tcW w:w="640" w:type="pct"/>
            <w:tcBorders>
              <w:top w:val="nil"/>
              <w:left w:val="nil"/>
              <w:bottom w:val="single" w:sz="4" w:space="0" w:color="auto"/>
              <w:right w:val="single" w:sz="4" w:space="0" w:color="auto"/>
            </w:tcBorders>
            <w:shd w:val="clear" w:color="auto" w:fill="auto"/>
            <w:hideMark/>
          </w:tcPr>
          <w:p w14:paraId="66CAE470"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10AA9626"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5C6A5CE3"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1EF8D5BB"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152</w:t>
            </w:r>
          </w:p>
        </w:tc>
        <w:tc>
          <w:tcPr>
            <w:tcW w:w="3498" w:type="pct"/>
            <w:tcBorders>
              <w:top w:val="nil"/>
              <w:left w:val="nil"/>
              <w:bottom w:val="single" w:sz="4" w:space="0" w:color="auto"/>
              <w:right w:val="single" w:sz="4" w:space="0" w:color="auto"/>
            </w:tcBorders>
            <w:shd w:val="clear" w:color="auto" w:fill="auto"/>
            <w:vAlign w:val="center"/>
            <w:hideMark/>
          </w:tcPr>
          <w:p w14:paraId="4B2C39E1"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proposed solution should provide Malware and Virus protection.</w:t>
            </w:r>
          </w:p>
        </w:tc>
        <w:tc>
          <w:tcPr>
            <w:tcW w:w="640" w:type="pct"/>
            <w:tcBorders>
              <w:top w:val="nil"/>
              <w:left w:val="nil"/>
              <w:bottom w:val="single" w:sz="4" w:space="0" w:color="auto"/>
              <w:right w:val="single" w:sz="4" w:space="0" w:color="auto"/>
            </w:tcBorders>
            <w:shd w:val="clear" w:color="auto" w:fill="auto"/>
            <w:hideMark/>
          </w:tcPr>
          <w:p w14:paraId="7AB5497F"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17D18866"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7FA6A857" w14:textId="77777777" w:rsidTr="00E73613">
        <w:trPr>
          <w:trHeight w:val="510"/>
        </w:trPr>
        <w:tc>
          <w:tcPr>
            <w:tcW w:w="168" w:type="pct"/>
            <w:tcBorders>
              <w:top w:val="nil"/>
              <w:left w:val="single" w:sz="4" w:space="0" w:color="auto"/>
              <w:bottom w:val="single" w:sz="4" w:space="0" w:color="auto"/>
              <w:right w:val="single" w:sz="4" w:space="0" w:color="auto"/>
            </w:tcBorders>
            <w:shd w:val="clear" w:color="auto" w:fill="auto"/>
            <w:hideMark/>
          </w:tcPr>
          <w:p w14:paraId="777A5444"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153</w:t>
            </w:r>
          </w:p>
        </w:tc>
        <w:tc>
          <w:tcPr>
            <w:tcW w:w="3498" w:type="pct"/>
            <w:tcBorders>
              <w:top w:val="nil"/>
              <w:left w:val="nil"/>
              <w:bottom w:val="single" w:sz="4" w:space="0" w:color="auto"/>
              <w:right w:val="single" w:sz="4" w:space="0" w:color="auto"/>
            </w:tcBorders>
            <w:shd w:val="clear" w:color="auto" w:fill="auto"/>
            <w:vAlign w:val="center"/>
            <w:hideMark/>
          </w:tcPr>
          <w:p w14:paraId="2AFFB2CF"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proposed solution should provide an option for performing tasks related to Pin, Password, or biometric Access reset remotely for Mobile Devices. The Dashboard should provide status of Devices enrolled, along with the inventory.</w:t>
            </w:r>
          </w:p>
        </w:tc>
        <w:tc>
          <w:tcPr>
            <w:tcW w:w="640" w:type="pct"/>
            <w:tcBorders>
              <w:top w:val="nil"/>
              <w:left w:val="nil"/>
              <w:bottom w:val="single" w:sz="4" w:space="0" w:color="auto"/>
              <w:right w:val="single" w:sz="4" w:space="0" w:color="auto"/>
            </w:tcBorders>
            <w:shd w:val="clear" w:color="auto" w:fill="auto"/>
            <w:hideMark/>
          </w:tcPr>
          <w:p w14:paraId="2E7B7DA7"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529029F6"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571394A8"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379519FA"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154</w:t>
            </w:r>
          </w:p>
        </w:tc>
        <w:tc>
          <w:tcPr>
            <w:tcW w:w="3498" w:type="pct"/>
            <w:tcBorders>
              <w:top w:val="nil"/>
              <w:left w:val="nil"/>
              <w:bottom w:val="single" w:sz="4" w:space="0" w:color="auto"/>
              <w:right w:val="single" w:sz="4" w:space="0" w:color="auto"/>
            </w:tcBorders>
            <w:shd w:val="clear" w:color="auto" w:fill="auto"/>
            <w:vAlign w:val="center"/>
            <w:hideMark/>
          </w:tcPr>
          <w:p w14:paraId="6E1255C6"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Solution should be able to Secure BYOD and Corporate provided mobile devices.</w:t>
            </w:r>
          </w:p>
        </w:tc>
        <w:tc>
          <w:tcPr>
            <w:tcW w:w="640" w:type="pct"/>
            <w:tcBorders>
              <w:top w:val="nil"/>
              <w:left w:val="nil"/>
              <w:bottom w:val="single" w:sz="4" w:space="0" w:color="auto"/>
              <w:right w:val="single" w:sz="4" w:space="0" w:color="auto"/>
            </w:tcBorders>
            <w:shd w:val="clear" w:color="auto" w:fill="auto"/>
            <w:hideMark/>
          </w:tcPr>
          <w:p w14:paraId="5071717C"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2B1B72E5"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55F7F07" w14:textId="77777777" w:rsidTr="00E73613">
        <w:trPr>
          <w:trHeight w:val="510"/>
        </w:trPr>
        <w:tc>
          <w:tcPr>
            <w:tcW w:w="168" w:type="pct"/>
            <w:tcBorders>
              <w:top w:val="nil"/>
              <w:left w:val="single" w:sz="4" w:space="0" w:color="auto"/>
              <w:bottom w:val="single" w:sz="4" w:space="0" w:color="auto"/>
              <w:right w:val="single" w:sz="4" w:space="0" w:color="auto"/>
            </w:tcBorders>
            <w:shd w:val="clear" w:color="auto" w:fill="auto"/>
            <w:hideMark/>
          </w:tcPr>
          <w:p w14:paraId="253AC63A"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155</w:t>
            </w:r>
          </w:p>
        </w:tc>
        <w:tc>
          <w:tcPr>
            <w:tcW w:w="3498" w:type="pct"/>
            <w:tcBorders>
              <w:top w:val="nil"/>
              <w:left w:val="nil"/>
              <w:bottom w:val="single" w:sz="4" w:space="0" w:color="auto"/>
              <w:right w:val="single" w:sz="4" w:space="0" w:color="auto"/>
            </w:tcBorders>
            <w:shd w:val="clear" w:color="auto" w:fill="auto"/>
            <w:vAlign w:val="center"/>
            <w:hideMark/>
          </w:tcPr>
          <w:p w14:paraId="5AD366B3"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Solution should be able to perform Mobile Application Management to restrict data leakage from authorized and protected apps to unmanaged apps.</w:t>
            </w:r>
          </w:p>
        </w:tc>
        <w:tc>
          <w:tcPr>
            <w:tcW w:w="640" w:type="pct"/>
            <w:tcBorders>
              <w:top w:val="nil"/>
              <w:left w:val="nil"/>
              <w:bottom w:val="single" w:sz="4" w:space="0" w:color="auto"/>
              <w:right w:val="single" w:sz="4" w:space="0" w:color="auto"/>
            </w:tcBorders>
            <w:shd w:val="clear" w:color="auto" w:fill="auto"/>
            <w:hideMark/>
          </w:tcPr>
          <w:p w14:paraId="7B17D3BD"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5C22FD62"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19F435CB" w14:textId="77777777" w:rsidTr="00E73613">
        <w:trPr>
          <w:trHeight w:val="510"/>
        </w:trPr>
        <w:tc>
          <w:tcPr>
            <w:tcW w:w="168" w:type="pct"/>
            <w:tcBorders>
              <w:top w:val="nil"/>
              <w:left w:val="single" w:sz="4" w:space="0" w:color="auto"/>
              <w:bottom w:val="single" w:sz="4" w:space="0" w:color="auto"/>
              <w:right w:val="single" w:sz="4" w:space="0" w:color="auto"/>
            </w:tcBorders>
            <w:shd w:val="clear" w:color="auto" w:fill="auto"/>
            <w:hideMark/>
          </w:tcPr>
          <w:p w14:paraId="7B9914FE"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156</w:t>
            </w:r>
          </w:p>
        </w:tc>
        <w:tc>
          <w:tcPr>
            <w:tcW w:w="3498" w:type="pct"/>
            <w:tcBorders>
              <w:top w:val="nil"/>
              <w:left w:val="nil"/>
              <w:bottom w:val="single" w:sz="4" w:space="0" w:color="auto"/>
              <w:right w:val="single" w:sz="4" w:space="0" w:color="auto"/>
            </w:tcBorders>
            <w:shd w:val="clear" w:color="auto" w:fill="auto"/>
            <w:vAlign w:val="center"/>
            <w:hideMark/>
          </w:tcPr>
          <w:p w14:paraId="3AC7523B"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Enforce device enrolment to Mobile Device Management  and Mobile Threat Defense Solution before allowing access to corporate resources.</w:t>
            </w:r>
          </w:p>
        </w:tc>
        <w:tc>
          <w:tcPr>
            <w:tcW w:w="640" w:type="pct"/>
            <w:tcBorders>
              <w:top w:val="nil"/>
              <w:left w:val="nil"/>
              <w:bottom w:val="single" w:sz="4" w:space="0" w:color="auto"/>
              <w:right w:val="single" w:sz="4" w:space="0" w:color="auto"/>
            </w:tcBorders>
            <w:shd w:val="clear" w:color="auto" w:fill="auto"/>
            <w:hideMark/>
          </w:tcPr>
          <w:p w14:paraId="0BAA61F3"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227C69D1"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29449424"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48C06F6F"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157</w:t>
            </w:r>
          </w:p>
        </w:tc>
        <w:tc>
          <w:tcPr>
            <w:tcW w:w="3498" w:type="pct"/>
            <w:tcBorders>
              <w:top w:val="nil"/>
              <w:left w:val="nil"/>
              <w:bottom w:val="single" w:sz="4" w:space="0" w:color="auto"/>
              <w:right w:val="single" w:sz="4" w:space="0" w:color="auto"/>
            </w:tcBorders>
            <w:shd w:val="clear" w:color="auto" w:fill="auto"/>
            <w:vAlign w:val="center"/>
            <w:hideMark/>
          </w:tcPr>
          <w:p w14:paraId="197FC221"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proposed solution should prevent manual override of MDM policies by mobile device user.</w:t>
            </w:r>
          </w:p>
        </w:tc>
        <w:tc>
          <w:tcPr>
            <w:tcW w:w="640" w:type="pct"/>
            <w:tcBorders>
              <w:top w:val="nil"/>
              <w:left w:val="nil"/>
              <w:bottom w:val="single" w:sz="4" w:space="0" w:color="auto"/>
              <w:right w:val="single" w:sz="4" w:space="0" w:color="auto"/>
            </w:tcBorders>
            <w:shd w:val="clear" w:color="auto" w:fill="auto"/>
            <w:hideMark/>
          </w:tcPr>
          <w:p w14:paraId="5547266E"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259A3DE0"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5AAD4D2A"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46F3F3C8"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158</w:t>
            </w:r>
          </w:p>
        </w:tc>
        <w:tc>
          <w:tcPr>
            <w:tcW w:w="3498" w:type="pct"/>
            <w:tcBorders>
              <w:top w:val="nil"/>
              <w:left w:val="nil"/>
              <w:bottom w:val="single" w:sz="4" w:space="0" w:color="auto"/>
              <w:right w:val="single" w:sz="4" w:space="0" w:color="auto"/>
            </w:tcBorders>
            <w:shd w:val="clear" w:color="auto" w:fill="auto"/>
            <w:vAlign w:val="center"/>
            <w:hideMark/>
          </w:tcPr>
          <w:p w14:paraId="17DC1D2B"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Solution should be able to publish internal web apps securely and allow access to only domain joined or registered mobile devices.</w:t>
            </w:r>
          </w:p>
        </w:tc>
        <w:tc>
          <w:tcPr>
            <w:tcW w:w="640" w:type="pct"/>
            <w:tcBorders>
              <w:top w:val="nil"/>
              <w:left w:val="nil"/>
              <w:bottom w:val="single" w:sz="4" w:space="0" w:color="auto"/>
              <w:right w:val="single" w:sz="4" w:space="0" w:color="auto"/>
            </w:tcBorders>
            <w:shd w:val="clear" w:color="auto" w:fill="auto"/>
            <w:hideMark/>
          </w:tcPr>
          <w:p w14:paraId="7257C878"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2CB2993C"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1DB57734" w14:textId="77777777" w:rsidTr="00E73613">
        <w:trPr>
          <w:trHeight w:val="510"/>
        </w:trPr>
        <w:tc>
          <w:tcPr>
            <w:tcW w:w="168" w:type="pct"/>
            <w:tcBorders>
              <w:top w:val="nil"/>
              <w:left w:val="single" w:sz="4" w:space="0" w:color="auto"/>
              <w:bottom w:val="single" w:sz="4" w:space="0" w:color="auto"/>
              <w:right w:val="single" w:sz="4" w:space="0" w:color="auto"/>
            </w:tcBorders>
            <w:shd w:val="clear" w:color="auto" w:fill="auto"/>
            <w:hideMark/>
          </w:tcPr>
          <w:p w14:paraId="45763134"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159</w:t>
            </w:r>
          </w:p>
        </w:tc>
        <w:tc>
          <w:tcPr>
            <w:tcW w:w="3498" w:type="pct"/>
            <w:tcBorders>
              <w:top w:val="nil"/>
              <w:left w:val="nil"/>
              <w:bottom w:val="single" w:sz="4" w:space="0" w:color="auto"/>
              <w:right w:val="single" w:sz="4" w:space="0" w:color="auto"/>
            </w:tcBorders>
            <w:shd w:val="clear" w:color="auto" w:fill="auto"/>
            <w:vAlign w:val="center"/>
            <w:hideMark/>
          </w:tcPr>
          <w:p w14:paraId="624A75C6"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Solution should be capable of advanced security solution for various flavours of OS that helps protect against threats, vulnerabilities, behaviors, and configurations originating on mobile devices.</w:t>
            </w:r>
          </w:p>
        </w:tc>
        <w:tc>
          <w:tcPr>
            <w:tcW w:w="640" w:type="pct"/>
            <w:tcBorders>
              <w:top w:val="nil"/>
              <w:left w:val="nil"/>
              <w:bottom w:val="single" w:sz="4" w:space="0" w:color="auto"/>
              <w:right w:val="single" w:sz="4" w:space="0" w:color="auto"/>
            </w:tcBorders>
            <w:shd w:val="clear" w:color="auto" w:fill="auto"/>
            <w:hideMark/>
          </w:tcPr>
          <w:p w14:paraId="5D951D9F"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3C9E3DCB"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616D8C1C"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55AAD34A"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160</w:t>
            </w:r>
          </w:p>
        </w:tc>
        <w:tc>
          <w:tcPr>
            <w:tcW w:w="3498" w:type="pct"/>
            <w:tcBorders>
              <w:top w:val="nil"/>
              <w:left w:val="nil"/>
              <w:bottom w:val="single" w:sz="4" w:space="0" w:color="auto"/>
              <w:right w:val="single" w:sz="4" w:space="0" w:color="auto"/>
            </w:tcBorders>
            <w:shd w:val="clear" w:color="auto" w:fill="auto"/>
            <w:vAlign w:val="center"/>
            <w:hideMark/>
          </w:tcPr>
          <w:p w14:paraId="1578B014" w14:textId="04BCA901"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proposed solution may have capability of  remote con</w:t>
            </w:r>
            <w:r w:rsidR="00426FCC">
              <w:rPr>
                <w:rFonts w:ascii="Calibri" w:eastAsia="Times New Roman" w:hAnsi="Calibri" w:cs="Calibri"/>
                <w:color w:val="000000"/>
                <w:sz w:val="20"/>
                <w:szCs w:val="20"/>
                <w:lang w:val="en-GB" w:eastAsia="en-GB"/>
              </w:rPr>
              <w:t xml:space="preserve">trol devices when providing end </w:t>
            </w:r>
            <w:r w:rsidRPr="00985D46">
              <w:rPr>
                <w:rFonts w:ascii="Calibri" w:eastAsia="Times New Roman" w:hAnsi="Calibri" w:cs="Calibri"/>
                <w:color w:val="000000"/>
                <w:sz w:val="20"/>
                <w:szCs w:val="20"/>
                <w:lang w:val="en-GB" w:eastAsia="en-GB"/>
              </w:rPr>
              <w:t>user support.</w:t>
            </w:r>
          </w:p>
        </w:tc>
        <w:tc>
          <w:tcPr>
            <w:tcW w:w="640" w:type="pct"/>
            <w:tcBorders>
              <w:top w:val="nil"/>
              <w:left w:val="nil"/>
              <w:bottom w:val="single" w:sz="4" w:space="0" w:color="auto"/>
              <w:right w:val="single" w:sz="4" w:space="0" w:color="auto"/>
            </w:tcBorders>
            <w:shd w:val="clear" w:color="auto" w:fill="auto"/>
            <w:hideMark/>
          </w:tcPr>
          <w:p w14:paraId="52079BD9"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08F2B099"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3270411"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42A506A8"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161</w:t>
            </w:r>
          </w:p>
        </w:tc>
        <w:tc>
          <w:tcPr>
            <w:tcW w:w="3498" w:type="pct"/>
            <w:tcBorders>
              <w:top w:val="nil"/>
              <w:left w:val="nil"/>
              <w:bottom w:val="single" w:sz="4" w:space="0" w:color="auto"/>
              <w:right w:val="single" w:sz="4" w:space="0" w:color="auto"/>
            </w:tcBorders>
            <w:shd w:val="clear" w:color="auto" w:fill="auto"/>
            <w:vAlign w:val="center"/>
            <w:hideMark/>
          </w:tcPr>
          <w:p w14:paraId="4FFD37DE"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proposed solution should manage and deploy apps based on pre‐defined groups and/or as per Policy of Bank.</w:t>
            </w:r>
          </w:p>
        </w:tc>
        <w:tc>
          <w:tcPr>
            <w:tcW w:w="640" w:type="pct"/>
            <w:tcBorders>
              <w:top w:val="nil"/>
              <w:left w:val="nil"/>
              <w:bottom w:val="single" w:sz="4" w:space="0" w:color="auto"/>
              <w:right w:val="single" w:sz="4" w:space="0" w:color="auto"/>
            </w:tcBorders>
            <w:shd w:val="clear" w:color="auto" w:fill="auto"/>
            <w:hideMark/>
          </w:tcPr>
          <w:p w14:paraId="40551B83"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1C0D3E98"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11F01496"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4AD3D884"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162</w:t>
            </w:r>
          </w:p>
        </w:tc>
        <w:tc>
          <w:tcPr>
            <w:tcW w:w="3498" w:type="pct"/>
            <w:tcBorders>
              <w:top w:val="nil"/>
              <w:left w:val="nil"/>
              <w:bottom w:val="single" w:sz="4" w:space="0" w:color="auto"/>
              <w:right w:val="single" w:sz="4" w:space="0" w:color="auto"/>
            </w:tcBorders>
            <w:shd w:val="clear" w:color="auto" w:fill="auto"/>
            <w:vAlign w:val="center"/>
            <w:hideMark/>
          </w:tcPr>
          <w:p w14:paraId="3C261FB6" w14:textId="45CE26CC"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xml:space="preserve">The proposed solution should be capable of remote </w:t>
            </w:r>
            <w:r w:rsidR="00426FCC" w:rsidRPr="00985D46">
              <w:rPr>
                <w:rFonts w:ascii="Calibri" w:eastAsia="Times New Roman" w:hAnsi="Calibri" w:cs="Calibri"/>
                <w:color w:val="000000"/>
                <w:sz w:val="20"/>
                <w:szCs w:val="20"/>
                <w:lang w:val="en-GB" w:eastAsia="en-GB"/>
              </w:rPr>
              <w:t>up gradation</w:t>
            </w:r>
            <w:r w:rsidRPr="00985D46">
              <w:rPr>
                <w:rFonts w:ascii="Calibri" w:eastAsia="Times New Roman" w:hAnsi="Calibri" w:cs="Calibri"/>
                <w:color w:val="000000"/>
                <w:sz w:val="20"/>
                <w:szCs w:val="20"/>
                <w:lang w:val="en-GB" w:eastAsia="en-GB"/>
              </w:rPr>
              <w:t xml:space="preserve"> of OS / Applications and deployment of patches to them.</w:t>
            </w:r>
          </w:p>
        </w:tc>
        <w:tc>
          <w:tcPr>
            <w:tcW w:w="640" w:type="pct"/>
            <w:tcBorders>
              <w:top w:val="nil"/>
              <w:left w:val="nil"/>
              <w:bottom w:val="single" w:sz="4" w:space="0" w:color="auto"/>
              <w:right w:val="single" w:sz="4" w:space="0" w:color="auto"/>
            </w:tcBorders>
            <w:shd w:val="clear" w:color="auto" w:fill="auto"/>
            <w:hideMark/>
          </w:tcPr>
          <w:p w14:paraId="1D9B6834"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6DF9599F"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7FA5E65B"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425280A7"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163</w:t>
            </w:r>
          </w:p>
        </w:tc>
        <w:tc>
          <w:tcPr>
            <w:tcW w:w="3498" w:type="pct"/>
            <w:tcBorders>
              <w:top w:val="nil"/>
              <w:left w:val="nil"/>
              <w:bottom w:val="single" w:sz="4" w:space="0" w:color="auto"/>
              <w:right w:val="single" w:sz="4" w:space="0" w:color="auto"/>
            </w:tcBorders>
            <w:shd w:val="clear" w:color="auto" w:fill="auto"/>
            <w:vAlign w:val="center"/>
            <w:hideMark/>
          </w:tcPr>
          <w:p w14:paraId="721E6F6A"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proposed solution should be capable to activate and update agents by manual or over‐the‐air (OTA) installation.</w:t>
            </w:r>
          </w:p>
        </w:tc>
        <w:tc>
          <w:tcPr>
            <w:tcW w:w="640" w:type="pct"/>
            <w:tcBorders>
              <w:top w:val="nil"/>
              <w:left w:val="nil"/>
              <w:bottom w:val="single" w:sz="4" w:space="0" w:color="auto"/>
              <w:right w:val="single" w:sz="4" w:space="0" w:color="auto"/>
            </w:tcBorders>
            <w:shd w:val="clear" w:color="auto" w:fill="auto"/>
            <w:hideMark/>
          </w:tcPr>
          <w:p w14:paraId="14A5332A"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20A89D43"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E5CD863"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1A833B27"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164</w:t>
            </w:r>
          </w:p>
        </w:tc>
        <w:tc>
          <w:tcPr>
            <w:tcW w:w="3498" w:type="pct"/>
            <w:tcBorders>
              <w:top w:val="nil"/>
              <w:left w:val="nil"/>
              <w:bottom w:val="single" w:sz="4" w:space="0" w:color="auto"/>
              <w:right w:val="single" w:sz="4" w:space="0" w:color="auto"/>
            </w:tcBorders>
            <w:shd w:val="clear" w:color="auto" w:fill="auto"/>
            <w:vAlign w:val="center"/>
            <w:hideMark/>
          </w:tcPr>
          <w:p w14:paraId="37811804"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proposed solution should be able to block connections to untrusted networks.</w:t>
            </w:r>
          </w:p>
        </w:tc>
        <w:tc>
          <w:tcPr>
            <w:tcW w:w="640" w:type="pct"/>
            <w:tcBorders>
              <w:top w:val="nil"/>
              <w:left w:val="nil"/>
              <w:bottom w:val="single" w:sz="4" w:space="0" w:color="auto"/>
              <w:right w:val="single" w:sz="4" w:space="0" w:color="auto"/>
            </w:tcBorders>
            <w:shd w:val="clear" w:color="auto" w:fill="auto"/>
            <w:hideMark/>
          </w:tcPr>
          <w:p w14:paraId="6E832AEA"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39124E91"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5EA6C1D9"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1AE5FAED"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165</w:t>
            </w:r>
          </w:p>
        </w:tc>
        <w:tc>
          <w:tcPr>
            <w:tcW w:w="3498" w:type="pct"/>
            <w:tcBorders>
              <w:top w:val="nil"/>
              <w:left w:val="nil"/>
              <w:bottom w:val="single" w:sz="4" w:space="0" w:color="auto"/>
              <w:right w:val="single" w:sz="4" w:space="0" w:color="auto"/>
            </w:tcBorders>
            <w:shd w:val="clear" w:color="auto" w:fill="auto"/>
            <w:vAlign w:val="center"/>
            <w:hideMark/>
          </w:tcPr>
          <w:p w14:paraId="03D808FA"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proposed solution should be capable of applying granular level restrictions on data.</w:t>
            </w:r>
          </w:p>
        </w:tc>
        <w:tc>
          <w:tcPr>
            <w:tcW w:w="640" w:type="pct"/>
            <w:tcBorders>
              <w:top w:val="nil"/>
              <w:left w:val="nil"/>
              <w:bottom w:val="single" w:sz="4" w:space="0" w:color="auto"/>
              <w:right w:val="single" w:sz="4" w:space="0" w:color="auto"/>
            </w:tcBorders>
            <w:shd w:val="clear" w:color="auto" w:fill="auto"/>
            <w:hideMark/>
          </w:tcPr>
          <w:p w14:paraId="11DD1F1D"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6AFF492A"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7F30A37D"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3E6789C2"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166</w:t>
            </w:r>
          </w:p>
        </w:tc>
        <w:tc>
          <w:tcPr>
            <w:tcW w:w="3498" w:type="pct"/>
            <w:tcBorders>
              <w:top w:val="nil"/>
              <w:left w:val="nil"/>
              <w:bottom w:val="single" w:sz="4" w:space="0" w:color="auto"/>
              <w:right w:val="single" w:sz="4" w:space="0" w:color="auto"/>
            </w:tcBorders>
            <w:shd w:val="clear" w:color="auto" w:fill="auto"/>
            <w:vAlign w:val="center"/>
            <w:hideMark/>
          </w:tcPr>
          <w:p w14:paraId="251CAED8"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proposed solution should support Enterprise app store to upgrade existing application as well as download new apps.</w:t>
            </w:r>
          </w:p>
        </w:tc>
        <w:tc>
          <w:tcPr>
            <w:tcW w:w="640" w:type="pct"/>
            <w:tcBorders>
              <w:top w:val="nil"/>
              <w:left w:val="nil"/>
              <w:bottom w:val="single" w:sz="4" w:space="0" w:color="auto"/>
              <w:right w:val="single" w:sz="4" w:space="0" w:color="auto"/>
            </w:tcBorders>
            <w:shd w:val="clear" w:color="auto" w:fill="auto"/>
            <w:hideMark/>
          </w:tcPr>
          <w:p w14:paraId="586C665D"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519FEC14"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517AA171"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07FCE5A7"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167</w:t>
            </w:r>
          </w:p>
        </w:tc>
        <w:tc>
          <w:tcPr>
            <w:tcW w:w="3498" w:type="pct"/>
            <w:tcBorders>
              <w:top w:val="nil"/>
              <w:left w:val="nil"/>
              <w:bottom w:val="single" w:sz="4" w:space="0" w:color="auto"/>
              <w:right w:val="single" w:sz="4" w:space="0" w:color="auto"/>
            </w:tcBorders>
            <w:shd w:val="clear" w:color="auto" w:fill="auto"/>
            <w:vAlign w:val="center"/>
            <w:hideMark/>
          </w:tcPr>
          <w:p w14:paraId="0C02F93C"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All the Hardware &amp; Software supplied under this contract should be TLS 1.3 or higher Ready.</w:t>
            </w:r>
          </w:p>
        </w:tc>
        <w:tc>
          <w:tcPr>
            <w:tcW w:w="640" w:type="pct"/>
            <w:tcBorders>
              <w:top w:val="nil"/>
              <w:left w:val="nil"/>
              <w:bottom w:val="single" w:sz="4" w:space="0" w:color="auto"/>
              <w:right w:val="single" w:sz="4" w:space="0" w:color="auto"/>
            </w:tcBorders>
            <w:shd w:val="clear" w:color="auto" w:fill="auto"/>
            <w:hideMark/>
          </w:tcPr>
          <w:p w14:paraId="692023CC"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110A415F"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115DA0B0" w14:textId="77777777" w:rsidTr="00E73613">
        <w:trPr>
          <w:trHeight w:val="510"/>
        </w:trPr>
        <w:tc>
          <w:tcPr>
            <w:tcW w:w="168" w:type="pct"/>
            <w:tcBorders>
              <w:top w:val="nil"/>
              <w:left w:val="single" w:sz="4" w:space="0" w:color="auto"/>
              <w:bottom w:val="single" w:sz="4" w:space="0" w:color="auto"/>
              <w:right w:val="single" w:sz="4" w:space="0" w:color="auto"/>
            </w:tcBorders>
            <w:shd w:val="clear" w:color="auto" w:fill="auto"/>
            <w:hideMark/>
          </w:tcPr>
          <w:p w14:paraId="68905446"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168</w:t>
            </w:r>
          </w:p>
        </w:tc>
        <w:tc>
          <w:tcPr>
            <w:tcW w:w="3498" w:type="pct"/>
            <w:tcBorders>
              <w:top w:val="nil"/>
              <w:left w:val="nil"/>
              <w:bottom w:val="single" w:sz="4" w:space="0" w:color="auto"/>
              <w:right w:val="single" w:sz="4" w:space="0" w:color="auto"/>
            </w:tcBorders>
            <w:shd w:val="clear" w:color="auto" w:fill="auto"/>
            <w:vAlign w:val="center"/>
            <w:hideMark/>
          </w:tcPr>
          <w:p w14:paraId="03FDF4AC"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Mobile Threat Defense solution should protect devices from phishing and the wide range of application, device, and rogue network originated threats.</w:t>
            </w:r>
          </w:p>
        </w:tc>
        <w:tc>
          <w:tcPr>
            <w:tcW w:w="640" w:type="pct"/>
            <w:tcBorders>
              <w:top w:val="nil"/>
              <w:left w:val="nil"/>
              <w:bottom w:val="single" w:sz="4" w:space="0" w:color="auto"/>
              <w:right w:val="single" w:sz="4" w:space="0" w:color="auto"/>
            </w:tcBorders>
            <w:shd w:val="clear" w:color="auto" w:fill="auto"/>
            <w:hideMark/>
          </w:tcPr>
          <w:p w14:paraId="40A02BE6"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5BC0DFFC"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7AB53048"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4FEA471E"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169</w:t>
            </w:r>
          </w:p>
        </w:tc>
        <w:tc>
          <w:tcPr>
            <w:tcW w:w="3498" w:type="pct"/>
            <w:tcBorders>
              <w:top w:val="nil"/>
              <w:left w:val="nil"/>
              <w:bottom w:val="single" w:sz="4" w:space="0" w:color="auto"/>
              <w:right w:val="single" w:sz="4" w:space="0" w:color="auto"/>
            </w:tcBorders>
            <w:shd w:val="clear" w:color="auto" w:fill="auto"/>
            <w:vAlign w:val="center"/>
            <w:hideMark/>
          </w:tcPr>
          <w:p w14:paraId="69B7392A" w14:textId="77777777" w:rsidR="00985D46" w:rsidRPr="00985D46" w:rsidRDefault="00985D46" w:rsidP="00985D46">
            <w:pPr>
              <w:spacing w:after="0" w:line="240" w:lineRule="auto"/>
              <w:jc w:val="both"/>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The Mobile ThreatDefense Solution should prevent malicious cyber attacks such as :</w:t>
            </w:r>
          </w:p>
        </w:tc>
        <w:tc>
          <w:tcPr>
            <w:tcW w:w="640" w:type="pct"/>
            <w:tcBorders>
              <w:top w:val="nil"/>
              <w:left w:val="nil"/>
              <w:bottom w:val="single" w:sz="4" w:space="0" w:color="auto"/>
              <w:right w:val="single" w:sz="4" w:space="0" w:color="auto"/>
            </w:tcBorders>
            <w:shd w:val="clear" w:color="auto" w:fill="auto"/>
            <w:hideMark/>
          </w:tcPr>
          <w:p w14:paraId="3518F659"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19AF7200"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7B29C0BE"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140A2289"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170</w:t>
            </w:r>
          </w:p>
        </w:tc>
        <w:tc>
          <w:tcPr>
            <w:tcW w:w="3498" w:type="pct"/>
            <w:tcBorders>
              <w:top w:val="nil"/>
              <w:left w:val="nil"/>
              <w:bottom w:val="single" w:sz="4" w:space="0" w:color="auto"/>
              <w:right w:val="single" w:sz="4" w:space="0" w:color="auto"/>
            </w:tcBorders>
            <w:shd w:val="clear" w:color="auto" w:fill="auto"/>
            <w:vAlign w:val="center"/>
            <w:hideMark/>
          </w:tcPr>
          <w:p w14:paraId="63DB964B" w14:textId="77777777" w:rsidR="00985D46" w:rsidRPr="00985D46" w:rsidRDefault="00985D46" w:rsidP="00985D46">
            <w:pPr>
              <w:spacing w:after="0" w:line="240" w:lineRule="auto"/>
              <w:jc w:val="both"/>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A)     Man in middle attacks</w:t>
            </w:r>
          </w:p>
        </w:tc>
        <w:tc>
          <w:tcPr>
            <w:tcW w:w="640" w:type="pct"/>
            <w:tcBorders>
              <w:top w:val="nil"/>
              <w:left w:val="nil"/>
              <w:bottom w:val="single" w:sz="4" w:space="0" w:color="auto"/>
              <w:right w:val="single" w:sz="4" w:space="0" w:color="auto"/>
            </w:tcBorders>
            <w:shd w:val="clear" w:color="auto" w:fill="auto"/>
            <w:hideMark/>
          </w:tcPr>
          <w:p w14:paraId="7A21A1BF"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774708CE"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2C5FC4B2"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0BD4273F"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171</w:t>
            </w:r>
          </w:p>
        </w:tc>
        <w:tc>
          <w:tcPr>
            <w:tcW w:w="3498" w:type="pct"/>
            <w:tcBorders>
              <w:top w:val="nil"/>
              <w:left w:val="nil"/>
              <w:bottom w:val="single" w:sz="4" w:space="0" w:color="auto"/>
              <w:right w:val="single" w:sz="4" w:space="0" w:color="auto"/>
            </w:tcBorders>
            <w:shd w:val="clear" w:color="auto" w:fill="auto"/>
            <w:vAlign w:val="center"/>
            <w:hideMark/>
          </w:tcPr>
          <w:p w14:paraId="64F256DA" w14:textId="77777777" w:rsidR="00985D46" w:rsidRPr="00985D46" w:rsidRDefault="00985D46" w:rsidP="00985D46">
            <w:pPr>
              <w:spacing w:after="0" w:line="240" w:lineRule="auto"/>
              <w:jc w:val="both"/>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B)      Reconnaissance scans</w:t>
            </w:r>
          </w:p>
        </w:tc>
        <w:tc>
          <w:tcPr>
            <w:tcW w:w="640" w:type="pct"/>
            <w:tcBorders>
              <w:top w:val="nil"/>
              <w:left w:val="nil"/>
              <w:bottom w:val="single" w:sz="4" w:space="0" w:color="auto"/>
              <w:right w:val="single" w:sz="4" w:space="0" w:color="auto"/>
            </w:tcBorders>
            <w:shd w:val="clear" w:color="auto" w:fill="auto"/>
            <w:hideMark/>
          </w:tcPr>
          <w:p w14:paraId="3FFAE786"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1790E2F6"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1890BD7B"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7109A585"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172</w:t>
            </w:r>
          </w:p>
        </w:tc>
        <w:tc>
          <w:tcPr>
            <w:tcW w:w="3498" w:type="pct"/>
            <w:tcBorders>
              <w:top w:val="nil"/>
              <w:left w:val="nil"/>
              <w:bottom w:val="single" w:sz="4" w:space="0" w:color="auto"/>
              <w:right w:val="single" w:sz="4" w:space="0" w:color="auto"/>
            </w:tcBorders>
            <w:shd w:val="clear" w:color="auto" w:fill="auto"/>
            <w:vAlign w:val="center"/>
            <w:hideMark/>
          </w:tcPr>
          <w:p w14:paraId="1A1FDCC0" w14:textId="77777777" w:rsidR="00985D46" w:rsidRPr="00985D46" w:rsidRDefault="00985D46" w:rsidP="00985D46">
            <w:pPr>
              <w:spacing w:after="0" w:line="240" w:lineRule="auto"/>
              <w:jc w:val="both"/>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C)      OS/Kernel Exploitation</w:t>
            </w:r>
          </w:p>
        </w:tc>
        <w:tc>
          <w:tcPr>
            <w:tcW w:w="640" w:type="pct"/>
            <w:tcBorders>
              <w:top w:val="nil"/>
              <w:left w:val="nil"/>
              <w:bottom w:val="single" w:sz="4" w:space="0" w:color="auto"/>
              <w:right w:val="single" w:sz="4" w:space="0" w:color="auto"/>
            </w:tcBorders>
            <w:shd w:val="clear" w:color="auto" w:fill="auto"/>
            <w:hideMark/>
          </w:tcPr>
          <w:p w14:paraId="536467EC"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4DF3AF16"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219DB266"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03C1CD09"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173</w:t>
            </w:r>
          </w:p>
        </w:tc>
        <w:tc>
          <w:tcPr>
            <w:tcW w:w="3498" w:type="pct"/>
            <w:tcBorders>
              <w:top w:val="nil"/>
              <w:left w:val="nil"/>
              <w:bottom w:val="single" w:sz="4" w:space="0" w:color="auto"/>
              <w:right w:val="single" w:sz="4" w:space="0" w:color="auto"/>
            </w:tcBorders>
            <w:shd w:val="clear" w:color="auto" w:fill="auto"/>
            <w:vAlign w:val="center"/>
            <w:hideMark/>
          </w:tcPr>
          <w:p w14:paraId="3CE39255" w14:textId="77777777" w:rsidR="00985D46" w:rsidRPr="00985D46" w:rsidRDefault="00985D46" w:rsidP="00985D46">
            <w:pPr>
              <w:spacing w:after="0" w:line="240" w:lineRule="auto"/>
              <w:jc w:val="both"/>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D)     Profile/Configuration Changes</w:t>
            </w:r>
          </w:p>
        </w:tc>
        <w:tc>
          <w:tcPr>
            <w:tcW w:w="640" w:type="pct"/>
            <w:tcBorders>
              <w:top w:val="nil"/>
              <w:left w:val="nil"/>
              <w:bottom w:val="single" w:sz="4" w:space="0" w:color="auto"/>
              <w:right w:val="single" w:sz="4" w:space="0" w:color="auto"/>
            </w:tcBorders>
            <w:shd w:val="clear" w:color="auto" w:fill="auto"/>
            <w:hideMark/>
          </w:tcPr>
          <w:p w14:paraId="0171AC56"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00ED1079"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B69016C"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39D1BA1F"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174</w:t>
            </w:r>
          </w:p>
        </w:tc>
        <w:tc>
          <w:tcPr>
            <w:tcW w:w="3498" w:type="pct"/>
            <w:tcBorders>
              <w:top w:val="nil"/>
              <w:left w:val="nil"/>
              <w:bottom w:val="single" w:sz="4" w:space="0" w:color="auto"/>
              <w:right w:val="single" w:sz="4" w:space="0" w:color="auto"/>
            </w:tcBorders>
            <w:shd w:val="clear" w:color="auto" w:fill="auto"/>
            <w:vAlign w:val="center"/>
            <w:hideMark/>
          </w:tcPr>
          <w:p w14:paraId="3DDE1842" w14:textId="77777777" w:rsidR="00985D46" w:rsidRPr="00985D46" w:rsidRDefault="00985D46" w:rsidP="00985D46">
            <w:pPr>
              <w:spacing w:after="0" w:line="240" w:lineRule="auto"/>
              <w:jc w:val="both"/>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E)     System tempering</w:t>
            </w:r>
          </w:p>
        </w:tc>
        <w:tc>
          <w:tcPr>
            <w:tcW w:w="640" w:type="pct"/>
            <w:tcBorders>
              <w:top w:val="nil"/>
              <w:left w:val="nil"/>
              <w:bottom w:val="single" w:sz="4" w:space="0" w:color="auto"/>
              <w:right w:val="single" w:sz="4" w:space="0" w:color="auto"/>
            </w:tcBorders>
            <w:shd w:val="clear" w:color="auto" w:fill="auto"/>
            <w:hideMark/>
          </w:tcPr>
          <w:p w14:paraId="0C5567CF"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437C1CC8"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495DE5CD"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56683AC4"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175</w:t>
            </w:r>
          </w:p>
        </w:tc>
        <w:tc>
          <w:tcPr>
            <w:tcW w:w="3498" w:type="pct"/>
            <w:tcBorders>
              <w:top w:val="nil"/>
              <w:left w:val="nil"/>
              <w:bottom w:val="single" w:sz="4" w:space="0" w:color="auto"/>
              <w:right w:val="single" w:sz="4" w:space="0" w:color="auto"/>
            </w:tcBorders>
            <w:shd w:val="clear" w:color="auto" w:fill="auto"/>
            <w:vAlign w:val="center"/>
            <w:hideMark/>
          </w:tcPr>
          <w:p w14:paraId="77A34352" w14:textId="77777777" w:rsidR="00985D46" w:rsidRPr="00985D46" w:rsidRDefault="00985D46" w:rsidP="00985D46">
            <w:pPr>
              <w:spacing w:after="0" w:line="240" w:lineRule="auto"/>
              <w:jc w:val="both"/>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F)        Known/unknown malware</w:t>
            </w:r>
          </w:p>
        </w:tc>
        <w:tc>
          <w:tcPr>
            <w:tcW w:w="640" w:type="pct"/>
            <w:tcBorders>
              <w:top w:val="nil"/>
              <w:left w:val="nil"/>
              <w:bottom w:val="single" w:sz="4" w:space="0" w:color="auto"/>
              <w:right w:val="single" w:sz="4" w:space="0" w:color="auto"/>
            </w:tcBorders>
            <w:shd w:val="clear" w:color="auto" w:fill="auto"/>
            <w:hideMark/>
          </w:tcPr>
          <w:p w14:paraId="4D5AA3FD"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2951FCD9"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0C958953"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3245C290"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176</w:t>
            </w:r>
          </w:p>
        </w:tc>
        <w:tc>
          <w:tcPr>
            <w:tcW w:w="3498" w:type="pct"/>
            <w:tcBorders>
              <w:top w:val="nil"/>
              <w:left w:val="nil"/>
              <w:bottom w:val="single" w:sz="4" w:space="0" w:color="auto"/>
              <w:right w:val="single" w:sz="4" w:space="0" w:color="auto"/>
            </w:tcBorders>
            <w:shd w:val="clear" w:color="auto" w:fill="auto"/>
            <w:vAlign w:val="center"/>
            <w:hideMark/>
          </w:tcPr>
          <w:p w14:paraId="3945E707"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G)        Malicious apps</w:t>
            </w:r>
          </w:p>
        </w:tc>
        <w:tc>
          <w:tcPr>
            <w:tcW w:w="640" w:type="pct"/>
            <w:tcBorders>
              <w:top w:val="nil"/>
              <w:left w:val="nil"/>
              <w:bottom w:val="single" w:sz="4" w:space="0" w:color="auto"/>
              <w:right w:val="single" w:sz="4" w:space="0" w:color="auto"/>
            </w:tcBorders>
            <w:shd w:val="clear" w:color="auto" w:fill="auto"/>
            <w:hideMark/>
          </w:tcPr>
          <w:p w14:paraId="49BCD3C8"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6C156A22"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r w:rsidR="00985D46" w:rsidRPr="00985D46" w14:paraId="76A10D80" w14:textId="77777777" w:rsidTr="00E73613">
        <w:trPr>
          <w:trHeight w:val="300"/>
        </w:trPr>
        <w:tc>
          <w:tcPr>
            <w:tcW w:w="168" w:type="pct"/>
            <w:tcBorders>
              <w:top w:val="nil"/>
              <w:left w:val="single" w:sz="4" w:space="0" w:color="auto"/>
              <w:bottom w:val="single" w:sz="4" w:space="0" w:color="auto"/>
              <w:right w:val="single" w:sz="4" w:space="0" w:color="auto"/>
            </w:tcBorders>
            <w:shd w:val="clear" w:color="auto" w:fill="auto"/>
            <w:hideMark/>
          </w:tcPr>
          <w:p w14:paraId="5FC1E913" w14:textId="77777777" w:rsidR="00985D46" w:rsidRPr="00985D46" w:rsidRDefault="00985D46" w:rsidP="00985D46">
            <w:pPr>
              <w:spacing w:after="0" w:line="240" w:lineRule="auto"/>
              <w:jc w:val="right"/>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177</w:t>
            </w:r>
          </w:p>
        </w:tc>
        <w:tc>
          <w:tcPr>
            <w:tcW w:w="3498" w:type="pct"/>
            <w:tcBorders>
              <w:top w:val="nil"/>
              <w:left w:val="nil"/>
              <w:bottom w:val="single" w:sz="4" w:space="0" w:color="auto"/>
              <w:right w:val="single" w:sz="4" w:space="0" w:color="auto"/>
            </w:tcBorders>
            <w:shd w:val="clear" w:color="auto" w:fill="auto"/>
            <w:vAlign w:val="center"/>
            <w:hideMark/>
          </w:tcPr>
          <w:p w14:paraId="2D177963"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Data at rest and data should be in encrypted container and secured and should not allow copying data outside container.</w:t>
            </w:r>
          </w:p>
        </w:tc>
        <w:tc>
          <w:tcPr>
            <w:tcW w:w="640" w:type="pct"/>
            <w:tcBorders>
              <w:top w:val="nil"/>
              <w:left w:val="nil"/>
              <w:bottom w:val="single" w:sz="4" w:space="0" w:color="auto"/>
              <w:right w:val="single" w:sz="4" w:space="0" w:color="auto"/>
            </w:tcBorders>
            <w:shd w:val="clear" w:color="auto" w:fill="auto"/>
            <w:hideMark/>
          </w:tcPr>
          <w:p w14:paraId="78988BA0"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c>
          <w:tcPr>
            <w:tcW w:w="694" w:type="pct"/>
            <w:tcBorders>
              <w:top w:val="nil"/>
              <w:left w:val="nil"/>
              <w:bottom w:val="single" w:sz="4" w:space="0" w:color="auto"/>
              <w:right w:val="single" w:sz="4" w:space="0" w:color="auto"/>
            </w:tcBorders>
            <w:shd w:val="clear" w:color="auto" w:fill="auto"/>
            <w:hideMark/>
          </w:tcPr>
          <w:p w14:paraId="0F316FF7"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w:t>
            </w:r>
          </w:p>
        </w:tc>
      </w:tr>
    </w:tbl>
    <w:p w14:paraId="7973E4D3" w14:textId="77777777" w:rsidR="00985D46" w:rsidRDefault="00985D46">
      <w:pPr>
        <w:rPr>
          <w:rFonts w:cstheme="minorHAnsi"/>
        </w:rPr>
      </w:pPr>
    </w:p>
    <w:p w14:paraId="1E3ACF23" w14:textId="77777777" w:rsidR="00985D46" w:rsidRDefault="00985D46">
      <w:pPr>
        <w:rPr>
          <w:rFonts w:cstheme="minorHAnsi"/>
        </w:rPr>
      </w:pPr>
      <w:r>
        <w:rPr>
          <w:rFonts w:cstheme="minorHAnsi"/>
        </w:rPr>
        <w:br w:type="page"/>
      </w:r>
    </w:p>
    <w:tbl>
      <w:tblPr>
        <w:tblW w:w="5000" w:type="pct"/>
        <w:tblLook w:val="04A0" w:firstRow="1" w:lastRow="0" w:firstColumn="1" w:lastColumn="0" w:noHBand="0" w:noVBand="1"/>
      </w:tblPr>
      <w:tblGrid>
        <w:gridCol w:w="504"/>
        <w:gridCol w:w="9746"/>
        <w:gridCol w:w="1777"/>
        <w:gridCol w:w="1931"/>
      </w:tblGrid>
      <w:tr w:rsidR="00985D46" w:rsidRPr="00985D46" w14:paraId="77756CD5" w14:textId="77777777" w:rsidTr="00E73613">
        <w:trPr>
          <w:trHeight w:val="315"/>
        </w:trPr>
        <w:tc>
          <w:tcPr>
            <w:tcW w:w="5000" w:type="pct"/>
            <w:gridSpan w:val="4"/>
            <w:tcBorders>
              <w:top w:val="nil"/>
              <w:left w:val="nil"/>
              <w:bottom w:val="single" w:sz="4" w:space="0" w:color="auto"/>
              <w:right w:val="nil"/>
            </w:tcBorders>
            <w:shd w:val="clear" w:color="000000" w:fill="FFE699"/>
            <w:hideMark/>
          </w:tcPr>
          <w:p w14:paraId="47F40520" w14:textId="77777777" w:rsidR="00985D46" w:rsidRPr="00985D46" w:rsidRDefault="00985D46" w:rsidP="00985D46">
            <w:pPr>
              <w:spacing w:after="0" w:line="240" w:lineRule="auto"/>
              <w:jc w:val="center"/>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xml:space="preserve">Technical Specifications for </w:t>
            </w:r>
            <w:r w:rsidRPr="00985D46">
              <w:rPr>
                <w:rFonts w:ascii="Calibri" w:eastAsia="Times New Roman" w:hAnsi="Calibri" w:cs="Calibri"/>
                <w:b/>
                <w:bCs/>
                <w:color w:val="000000"/>
                <w:sz w:val="24"/>
                <w:szCs w:val="24"/>
                <w:lang w:val="en-GB" w:eastAsia="en-GB"/>
              </w:rPr>
              <w:t>Secure Backup and Ransomware Protection</w:t>
            </w:r>
          </w:p>
        </w:tc>
      </w:tr>
      <w:tr w:rsidR="00985D46" w:rsidRPr="00985D46" w14:paraId="0E3E456C" w14:textId="77777777" w:rsidTr="00E73613">
        <w:trPr>
          <w:trHeight w:val="630"/>
        </w:trPr>
        <w:tc>
          <w:tcPr>
            <w:tcW w:w="176" w:type="pct"/>
            <w:tcBorders>
              <w:top w:val="nil"/>
              <w:left w:val="single" w:sz="4" w:space="0" w:color="auto"/>
              <w:bottom w:val="single" w:sz="4" w:space="0" w:color="auto"/>
              <w:right w:val="single" w:sz="4" w:space="0" w:color="auto"/>
            </w:tcBorders>
            <w:shd w:val="clear" w:color="000000" w:fill="1F4E78"/>
            <w:hideMark/>
          </w:tcPr>
          <w:p w14:paraId="6EDD258E" w14:textId="77777777" w:rsidR="00985D46" w:rsidRPr="00985D46" w:rsidRDefault="00985D46" w:rsidP="00985D46">
            <w:pPr>
              <w:spacing w:after="0" w:line="240" w:lineRule="auto"/>
              <w:jc w:val="center"/>
              <w:rPr>
                <w:rFonts w:ascii="Calibri" w:eastAsia="Times New Roman" w:hAnsi="Calibri" w:cs="Calibri"/>
                <w:b/>
                <w:bCs/>
                <w:color w:val="FFFFFF"/>
                <w:sz w:val="24"/>
                <w:szCs w:val="24"/>
                <w:lang w:val="en-GB" w:eastAsia="en-GB"/>
              </w:rPr>
            </w:pPr>
            <w:r w:rsidRPr="00985D46">
              <w:rPr>
                <w:rFonts w:ascii="Calibri" w:eastAsia="Times New Roman" w:hAnsi="Calibri" w:cs="Calibri"/>
                <w:b/>
                <w:bCs/>
                <w:color w:val="FFFFFF"/>
                <w:sz w:val="24"/>
                <w:szCs w:val="24"/>
                <w:lang w:val="en-GB" w:eastAsia="en-GB"/>
              </w:rPr>
              <w:t>S No</w:t>
            </w:r>
          </w:p>
        </w:tc>
        <w:tc>
          <w:tcPr>
            <w:tcW w:w="3493" w:type="pct"/>
            <w:tcBorders>
              <w:top w:val="nil"/>
              <w:left w:val="nil"/>
              <w:bottom w:val="single" w:sz="4" w:space="0" w:color="auto"/>
              <w:right w:val="single" w:sz="4" w:space="0" w:color="auto"/>
            </w:tcBorders>
            <w:shd w:val="clear" w:color="000000" w:fill="1F4E78"/>
            <w:hideMark/>
          </w:tcPr>
          <w:p w14:paraId="34F6B44B" w14:textId="77777777" w:rsidR="00985D46" w:rsidRPr="00985D46" w:rsidRDefault="00985D46" w:rsidP="00985D46">
            <w:pPr>
              <w:spacing w:after="0" w:line="240" w:lineRule="auto"/>
              <w:rPr>
                <w:rFonts w:ascii="Calibri" w:eastAsia="Times New Roman" w:hAnsi="Calibri" w:cs="Calibri"/>
                <w:b/>
                <w:bCs/>
                <w:color w:val="FFFFFF"/>
                <w:sz w:val="24"/>
                <w:szCs w:val="24"/>
                <w:lang w:val="en-GB" w:eastAsia="en-GB"/>
              </w:rPr>
            </w:pPr>
            <w:r w:rsidRPr="00985D46">
              <w:rPr>
                <w:rFonts w:ascii="Calibri" w:eastAsia="Times New Roman" w:hAnsi="Calibri" w:cs="Calibri"/>
                <w:b/>
                <w:bCs/>
                <w:color w:val="FFFFFF"/>
                <w:sz w:val="24"/>
                <w:szCs w:val="24"/>
                <w:lang w:val="en-GB" w:eastAsia="en-GB"/>
              </w:rPr>
              <w:t xml:space="preserve">Minimum Technical Specifications </w:t>
            </w:r>
          </w:p>
        </w:tc>
        <w:tc>
          <w:tcPr>
            <w:tcW w:w="638" w:type="pct"/>
            <w:tcBorders>
              <w:top w:val="nil"/>
              <w:left w:val="nil"/>
              <w:bottom w:val="single" w:sz="4" w:space="0" w:color="auto"/>
              <w:right w:val="single" w:sz="4" w:space="0" w:color="auto"/>
            </w:tcBorders>
            <w:shd w:val="clear" w:color="000000" w:fill="1F4E78"/>
            <w:hideMark/>
          </w:tcPr>
          <w:p w14:paraId="776F76E3" w14:textId="77777777" w:rsidR="00985D46" w:rsidRPr="00985D46" w:rsidRDefault="00985D46" w:rsidP="00985D46">
            <w:pPr>
              <w:spacing w:after="0" w:line="240" w:lineRule="auto"/>
              <w:rPr>
                <w:rFonts w:ascii="Calibri" w:eastAsia="Times New Roman" w:hAnsi="Calibri" w:cs="Calibri"/>
                <w:b/>
                <w:bCs/>
                <w:color w:val="FFFFFF"/>
                <w:sz w:val="24"/>
                <w:szCs w:val="24"/>
                <w:lang w:val="en-GB" w:eastAsia="en-GB"/>
              </w:rPr>
            </w:pPr>
            <w:r w:rsidRPr="00985D46">
              <w:rPr>
                <w:rFonts w:ascii="Calibri" w:eastAsia="Times New Roman" w:hAnsi="Calibri" w:cs="Calibri"/>
                <w:b/>
                <w:bCs/>
                <w:color w:val="FFFFFF"/>
                <w:sz w:val="24"/>
                <w:szCs w:val="24"/>
                <w:lang w:val="en-GB" w:eastAsia="en-GB"/>
              </w:rPr>
              <w:t>Vendor's Compliance</w:t>
            </w:r>
          </w:p>
        </w:tc>
        <w:tc>
          <w:tcPr>
            <w:tcW w:w="693" w:type="pct"/>
            <w:tcBorders>
              <w:top w:val="nil"/>
              <w:left w:val="nil"/>
              <w:bottom w:val="single" w:sz="4" w:space="0" w:color="auto"/>
              <w:right w:val="single" w:sz="4" w:space="0" w:color="auto"/>
            </w:tcBorders>
            <w:shd w:val="clear" w:color="000000" w:fill="1F4E78"/>
            <w:hideMark/>
          </w:tcPr>
          <w:p w14:paraId="0A30D3E9" w14:textId="77777777" w:rsidR="00985D46" w:rsidRPr="00985D46" w:rsidRDefault="00985D46" w:rsidP="00985D46">
            <w:pPr>
              <w:spacing w:after="0" w:line="240" w:lineRule="auto"/>
              <w:rPr>
                <w:rFonts w:ascii="Calibri" w:eastAsia="Times New Roman" w:hAnsi="Calibri" w:cs="Calibri"/>
                <w:b/>
                <w:bCs/>
                <w:color w:val="FFFFFF"/>
                <w:sz w:val="24"/>
                <w:szCs w:val="24"/>
                <w:lang w:val="en-GB" w:eastAsia="en-GB"/>
              </w:rPr>
            </w:pPr>
            <w:r w:rsidRPr="00985D46">
              <w:rPr>
                <w:rFonts w:ascii="Calibri" w:eastAsia="Times New Roman" w:hAnsi="Calibri" w:cs="Calibri"/>
                <w:b/>
                <w:bCs/>
                <w:color w:val="FFFFFF"/>
                <w:sz w:val="24"/>
                <w:szCs w:val="24"/>
                <w:lang w:val="en-GB" w:eastAsia="en-GB"/>
              </w:rPr>
              <w:t>Vendor's Remark</w:t>
            </w:r>
          </w:p>
        </w:tc>
      </w:tr>
      <w:tr w:rsidR="00985D46" w:rsidRPr="00985D46" w14:paraId="436FC254" w14:textId="77777777" w:rsidTr="00E73613">
        <w:trPr>
          <w:trHeight w:val="315"/>
        </w:trPr>
        <w:tc>
          <w:tcPr>
            <w:tcW w:w="176" w:type="pct"/>
            <w:tcBorders>
              <w:top w:val="nil"/>
              <w:left w:val="single" w:sz="4" w:space="0" w:color="auto"/>
              <w:bottom w:val="single" w:sz="4" w:space="0" w:color="auto"/>
              <w:right w:val="single" w:sz="4" w:space="0" w:color="auto"/>
            </w:tcBorders>
            <w:shd w:val="clear" w:color="000000" w:fill="auto"/>
            <w:noWrap/>
            <w:hideMark/>
          </w:tcPr>
          <w:p w14:paraId="05FA076C"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w:t>
            </w:r>
          </w:p>
        </w:tc>
        <w:tc>
          <w:tcPr>
            <w:tcW w:w="3493" w:type="pct"/>
            <w:tcBorders>
              <w:top w:val="nil"/>
              <w:left w:val="nil"/>
              <w:bottom w:val="single" w:sz="4" w:space="0" w:color="auto"/>
              <w:right w:val="single" w:sz="4" w:space="0" w:color="auto"/>
            </w:tcBorders>
            <w:shd w:val="clear" w:color="000000" w:fill="auto"/>
            <w:hideMark/>
          </w:tcPr>
          <w:p w14:paraId="63FB5CC6"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Bidders must provide advanced ransomware protection, including Cyber Attack or data corruption for Bank's  Oracle Databases</w:t>
            </w:r>
          </w:p>
        </w:tc>
        <w:tc>
          <w:tcPr>
            <w:tcW w:w="638" w:type="pct"/>
            <w:tcBorders>
              <w:top w:val="nil"/>
              <w:left w:val="nil"/>
              <w:bottom w:val="single" w:sz="4" w:space="0" w:color="auto"/>
              <w:right w:val="single" w:sz="4" w:space="0" w:color="auto"/>
            </w:tcBorders>
            <w:shd w:val="clear" w:color="auto" w:fill="auto"/>
            <w:hideMark/>
          </w:tcPr>
          <w:p w14:paraId="3D230E04"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3" w:type="pct"/>
            <w:tcBorders>
              <w:top w:val="nil"/>
              <w:left w:val="nil"/>
              <w:bottom w:val="single" w:sz="4" w:space="0" w:color="auto"/>
              <w:right w:val="single" w:sz="4" w:space="0" w:color="auto"/>
            </w:tcBorders>
            <w:shd w:val="clear" w:color="auto" w:fill="auto"/>
            <w:hideMark/>
          </w:tcPr>
          <w:p w14:paraId="04DD937D"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r w:rsidR="00985D46" w:rsidRPr="00985D46" w14:paraId="20025573" w14:textId="77777777" w:rsidTr="00E73613">
        <w:trPr>
          <w:trHeight w:val="510"/>
        </w:trPr>
        <w:tc>
          <w:tcPr>
            <w:tcW w:w="176" w:type="pct"/>
            <w:tcBorders>
              <w:top w:val="nil"/>
              <w:left w:val="single" w:sz="4" w:space="0" w:color="auto"/>
              <w:bottom w:val="single" w:sz="4" w:space="0" w:color="auto"/>
              <w:right w:val="single" w:sz="4" w:space="0" w:color="auto"/>
            </w:tcBorders>
            <w:shd w:val="clear" w:color="000000" w:fill="auto"/>
            <w:noWrap/>
            <w:hideMark/>
          </w:tcPr>
          <w:p w14:paraId="317EF8E4"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2</w:t>
            </w:r>
          </w:p>
        </w:tc>
        <w:tc>
          <w:tcPr>
            <w:tcW w:w="3493" w:type="pct"/>
            <w:tcBorders>
              <w:top w:val="nil"/>
              <w:left w:val="nil"/>
              <w:bottom w:val="single" w:sz="4" w:space="0" w:color="auto"/>
              <w:right w:val="single" w:sz="4" w:space="0" w:color="auto"/>
            </w:tcBorders>
            <w:shd w:val="clear" w:color="000000" w:fill="auto"/>
            <w:hideMark/>
          </w:tcPr>
          <w:p w14:paraId="6F1F1DA3"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Must have real-time data protection ensuring near-zero (until the last sub-second) data loss, with granularity down to the last transaction</w:t>
            </w:r>
          </w:p>
        </w:tc>
        <w:tc>
          <w:tcPr>
            <w:tcW w:w="638" w:type="pct"/>
            <w:tcBorders>
              <w:top w:val="nil"/>
              <w:left w:val="nil"/>
              <w:bottom w:val="single" w:sz="4" w:space="0" w:color="auto"/>
              <w:right w:val="single" w:sz="4" w:space="0" w:color="auto"/>
            </w:tcBorders>
            <w:shd w:val="clear" w:color="auto" w:fill="auto"/>
            <w:hideMark/>
          </w:tcPr>
          <w:p w14:paraId="17C0FC1D"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3" w:type="pct"/>
            <w:tcBorders>
              <w:top w:val="nil"/>
              <w:left w:val="nil"/>
              <w:bottom w:val="single" w:sz="4" w:space="0" w:color="auto"/>
              <w:right w:val="single" w:sz="4" w:space="0" w:color="auto"/>
            </w:tcBorders>
            <w:shd w:val="clear" w:color="auto" w:fill="auto"/>
            <w:hideMark/>
          </w:tcPr>
          <w:p w14:paraId="6194AECA"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r w:rsidR="00985D46" w:rsidRPr="00985D46" w14:paraId="750B7F7E" w14:textId="77777777" w:rsidTr="00E73613">
        <w:trPr>
          <w:trHeight w:val="510"/>
        </w:trPr>
        <w:tc>
          <w:tcPr>
            <w:tcW w:w="176" w:type="pct"/>
            <w:tcBorders>
              <w:top w:val="nil"/>
              <w:left w:val="single" w:sz="4" w:space="0" w:color="auto"/>
              <w:bottom w:val="single" w:sz="4" w:space="0" w:color="auto"/>
              <w:right w:val="single" w:sz="4" w:space="0" w:color="auto"/>
            </w:tcBorders>
            <w:shd w:val="clear" w:color="000000" w:fill="auto"/>
            <w:noWrap/>
            <w:hideMark/>
          </w:tcPr>
          <w:p w14:paraId="1494DCFE"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3</w:t>
            </w:r>
          </w:p>
        </w:tc>
        <w:tc>
          <w:tcPr>
            <w:tcW w:w="3493" w:type="pct"/>
            <w:tcBorders>
              <w:top w:val="nil"/>
              <w:left w:val="nil"/>
              <w:bottom w:val="single" w:sz="4" w:space="0" w:color="auto"/>
              <w:right w:val="single" w:sz="4" w:space="0" w:color="auto"/>
            </w:tcBorders>
            <w:shd w:val="clear" w:color="000000" w:fill="auto"/>
            <w:hideMark/>
          </w:tcPr>
          <w:p w14:paraId="2DEEC94D"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Must offer end-to-end immutable solution, from backup creation on local appliance, to replica in DR site, and to storage – all centrally managed and tracked by Enterprise Manager across the entire database environment</w:t>
            </w:r>
          </w:p>
        </w:tc>
        <w:tc>
          <w:tcPr>
            <w:tcW w:w="638" w:type="pct"/>
            <w:tcBorders>
              <w:top w:val="nil"/>
              <w:left w:val="nil"/>
              <w:bottom w:val="single" w:sz="4" w:space="0" w:color="auto"/>
              <w:right w:val="single" w:sz="4" w:space="0" w:color="auto"/>
            </w:tcBorders>
            <w:shd w:val="clear" w:color="auto" w:fill="auto"/>
            <w:hideMark/>
          </w:tcPr>
          <w:p w14:paraId="3CAD5E52"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3" w:type="pct"/>
            <w:tcBorders>
              <w:top w:val="nil"/>
              <w:left w:val="nil"/>
              <w:bottom w:val="single" w:sz="4" w:space="0" w:color="auto"/>
              <w:right w:val="single" w:sz="4" w:space="0" w:color="auto"/>
            </w:tcBorders>
            <w:shd w:val="clear" w:color="auto" w:fill="auto"/>
            <w:hideMark/>
          </w:tcPr>
          <w:p w14:paraId="62085757"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r w:rsidR="00985D46" w:rsidRPr="00985D46" w14:paraId="02EF653D" w14:textId="77777777" w:rsidTr="00E73613">
        <w:trPr>
          <w:trHeight w:val="315"/>
        </w:trPr>
        <w:tc>
          <w:tcPr>
            <w:tcW w:w="176" w:type="pct"/>
            <w:tcBorders>
              <w:top w:val="nil"/>
              <w:left w:val="single" w:sz="4" w:space="0" w:color="auto"/>
              <w:bottom w:val="single" w:sz="4" w:space="0" w:color="auto"/>
              <w:right w:val="single" w:sz="4" w:space="0" w:color="auto"/>
            </w:tcBorders>
            <w:shd w:val="clear" w:color="000000" w:fill="auto"/>
            <w:noWrap/>
            <w:hideMark/>
          </w:tcPr>
          <w:p w14:paraId="5526EB46"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4</w:t>
            </w:r>
          </w:p>
        </w:tc>
        <w:tc>
          <w:tcPr>
            <w:tcW w:w="3493" w:type="pct"/>
            <w:tcBorders>
              <w:top w:val="nil"/>
              <w:left w:val="nil"/>
              <w:bottom w:val="single" w:sz="4" w:space="0" w:color="auto"/>
              <w:right w:val="single" w:sz="4" w:space="0" w:color="auto"/>
            </w:tcBorders>
            <w:shd w:val="clear" w:color="000000" w:fill="auto"/>
            <w:hideMark/>
          </w:tcPr>
          <w:p w14:paraId="511CC8DA"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Recovery Assurance through continuous validation, with automated alerts for anomalies during data ingest and at rest</w:t>
            </w:r>
          </w:p>
        </w:tc>
        <w:tc>
          <w:tcPr>
            <w:tcW w:w="638" w:type="pct"/>
            <w:tcBorders>
              <w:top w:val="nil"/>
              <w:left w:val="nil"/>
              <w:bottom w:val="single" w:sz="4" w:space="0" w:color="auto"/>
              <w:right w:val="single" w:sz="4" w:space="0" w:color="auto"/>
            </w:tcBorders>
            <w:shd w:val="clear" w:color="auto" w:fill="auto"/>
            <w:hideMark/>
          </w:tcPr>
          <w:p w14:paraId="585226AA"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3" w:type="pct"/>
            <w:tcBorders>
              <w:top w:val="nil"/>
              <w:left w:val="nil"/>
              <w:bottom w:val="single" w:sz="4" w:space="0" w:color="auto"/>
              <w:right w:val="single" w:sz="4" w:space="0" w:color="auto"/>
            </w:tcBorders>
            <w:shd w:val="clear" w:color="auto" w:fill="auto"/>
            <w:hideMark/>
          </w:tcPr>
          <w:p w14:paraId="62A22EEF"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xml:space="preserve"> </w:t>
            </w:r>
          </w:p>
        </w:tc>
      </w:tr>
      <w:tr w:rsidR="00985D46" w:rsidRPr="00985D46" w14:paraId="3C50381D" w14:textId="77777777" w:rsidTr="00E73613">
        <w:trPr>
          <w:trHeight w:val="510"/>
        </w:trPr>
        <w:tc>
          <w:tcPr>
            <w:tcW w:w="176" w:type="pct"/>
            <w:tcBorders>
              <w:top w:val="nil"/>
              <w:left w:val="single" w:sz="4" w:space="0" w:color="auto"/>
              <w:bottom w:val="single" w:sz="4" w:space="0" w:color="auto"/>
              <w:right w:val="single" w:sz="4" w:space="0" w:color="auto"/>
            </w:tcBorders>
            <w:shd w:val="clear" w:color="000000" w:fill="auto"/>
            <w:noWrap/>
            <w:hideMark/>
          </w:tcPr>
          <w:p w14:paraId="350B838B"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5</w:t>
            </w:r>
          </w:p>
        </w:tc>
        <w:tc>
          <w:tcPr>
            <w:tcW w:w="3493" w:type="pct"/>
            <w:tcBorders>
              <w:top w:val="nil"/>
              <w:left w:val="nil"/>
              <w:bottom w:val="single" w:sz="4" w:space="0" w:color="auto"/>
              <w:right w:val="single" w:sz="4" w:space="0" w:color="auto"/>
            </w:tcBorders>
            <w:shd w:val="clear" w:color="000000" w:fill="auto"/>
            <w:hideMark/>
          </w:tcPr>
          <w:p w14:paraId="15C22FB0"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Must ensure that all  data validation, backup integrity checks are performed at proposed appliance level, no Production Server resources are used</w:t>
            </w:r>
          </w:p>
        </w:tc>
        <w:tc>
          <w:tcPr>
            <w:tcW w:w="638" w:type="pct"/>
            <w:tcBorders>
              <w:top w:val="nil"/>
              <w:left w:val="nil"/>
              <w:bottom w:val="single" w:sz="4" w:space="0" w:color="auto"/>
              <w:right w:val="single" w:sz="4" w:space="0" w:color="auto"/>
            </w:tcBorders>
            <w:shd w:val="clear" w:color="auto" w:fill="auto"/>
            <w:hideMark/>
          </w:tcPr>
          <w:p w14:paraId="55AC224B"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3" w:type="pct"/>
            <w:tcBorders>
              <w:top w:val="nil"/>
              <w:left w:val="nil"/>
              <w:bottom w:val="single" w:sz="4" w:space="0" w:color="auto"/>
              <w:right w:val="single" w:sz="4" w:space="0" w:color="auto"/>
            </w:tcBorders>
            <w:shd w:val="clear" w:color="auto" w:fill="auto"/>
            <w:hideMark/>
          </w:tcPr>
          <w:p w14:paraId="47AC694B"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r w:rsidR="00985D46" w:rsidRPr="00985D46" w14:paraId="0F8BE355" w14:textId="77777777" w:rsidTr="00E73613">
        <w:trPr>
          <w:trHeight w:val="315"/>
        </w:trPr>
        <w:tc>
          <w:tcPr>
            <w:tcW w:w="176" w:type="pct"/>
            <w:tcBorders>
              <w:top w:val="nil"/>
              <w:left w:val="single" w:sz="4" w:space="0" w:color="auto"/>
              <w:bottom w:val="single" w:sz="4" w:space="0" w:color="auto"/>
              <w:right w:val="single" w:sz="4" w:space="0" w:color="auto"/>
            </w:tcBorders>
            <w:shd w:val="clear" w:color="000000" w:fill="auto"/>
            <w:noWrap/>
            <w:hideMark/>
          </w:tcPr>
          <w:p w14:paraId="6C859084"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6</w:t>
            </w:r>
          </w:p>
        </w:tc>
        <w:tc>
          <w:tcPr>
            <w:tcW w:w="3493" w:type="pct"/>
            <w:tcBorders>
              <w:top w:val="nil"/>
              <w:left w:val="nil"/>
              <w:bottom w:val="single" w:sz="4" w:space="0" w:color="auto"/>
              <w:right w:val="single" w:sz="4" w:space="0" w:color="auto"/>
            </w:tcBorders>
            <w:shd w:val="clear" w:color="000000" w:fill="auto"/>
            <w:hideMark/>
          </w:tcPr>
          <w:p w14:paraId="5B060BF1"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Solution must be able to send only incremental data to the proposed Appliance thereby  avoiding recurring full backups.</w:t>
            </w:r>
          </w:p>
        </w:tc>
        <w:tc>
          <w:tcPr>
            <w:tcW w:w="638" w:type="pct"/>
            <w:tcBorders>
              <w:top w:val="nil"/>
              <w:left w:val="nil"/>
              <w:bottom w:val="single" w:sz="4" w:space="0" w:color="auto"/>
              <w:right w:val="single" w:sz="4" w:space="0" w:color="auto"/>
            </w:tcBorders>
            <w:shd w:val="clear" w:color="auto" w:fill="auto"/>
            <w:hideMark/>
          </w:tcPr>
          <w:p w14:paraId="1204FD49"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3" w:type="pct"/>
            <w:tcBorders>
              <w:top w:val="nil"/>
              <w:left w:val="nil"/>
              <w:bottom w:val="single" w:sz="4" w:space="0" w:color="auto"/>
              <w:right w:val="single" w:sz="4" w:space="0" w:color="auto"/>
            </w:tcBorders>
            <w:shd w:val="clear" w:color="auto" w:fill="auto"/>
            <w:hideMark/>
          </w:tcPr>
          <w:p w14:paraId="6475A01A"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r w:rsidR="00985D46" w:rsidRPr="00985D46" w14:paraId="0C03648A" w14:textId="77777777" w:rsidTr="00E73613">
        <w:trPr>
          <w:trHeight w:val="315"/>
        </w:trPr>
        <w:tc>
          <w:tcPr>
            <w:tcW w:w="176" w:type="pct"/>
            <w:tcBorders>
              <w:top w:val="nil"/>
              <w:left w:val="single" w:sz="4" w:space="0" w:color="auto"/>
              <w:bottom w:val="single" w:sz="4" w:space="0" w:color="auto"/>
              <w:right w:val="single" w:sz="4" w:space="0" w:color="auto"/>
            </w:tcBorders>
            <w:shd w:val="clear" w:color="000000" w:fill="auto"/>
            <w:noWrap/>
            <w:hideMark/>
          </w:tcPr>
          <w:p w14:paraId="049CFE36"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7</w:t>
            </w:r>
          </w:p>
        </w:tc>
        <w:tc>
          <w:tcPr>
            <w:tcW w:w="3493" w:type="pct"/>
            <w:tcBorders>
              <w:top w:val="nil"/>
              <w:left w:val="nil"/>
              <w:bottom w:val="single" w:sz="4" w:space="0" w:color="auto"/>
              <w:right w:val="single" w:sz="4" w:space="0" w:color="auto"/>
            </w:tcBorders>
            <w:shd w:val="clear" w:color="000000" w:fill="auto"/>
            <w:hideMark/>
          </w:tcPr>
          <w:p w14:paraId="15D1184A"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xml:space="preserve">Solution must validate the incoming changed data blocks, and must compress, index and stores them in Appliance. </w:t>
            </w:r>
          </w:p>
        </w:tc>
        <w:tc>
          <w:tcPr>
            <w:tcW w:w="638" w:type="pct"/>
            <w:tcBorders>
              <w:top w:val="nil"/>
              <w:left w:val="nil"/>
              <w:bottom w:val="single" w:sz="4" w:space="0" w:color="auto"/>
              <w:right w:val="single" w:sz="4" w:space="0" w:color="auto"/>
            </w:tcBorders>
            <w:shd w:val="clear" w:color="auto" w:fill="auto"/>
            <w:hideMark/>
          </w:tcPr>
          <w:p w14:paraId="119D8AFA"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3" w:type="pct"/>
            <w:tcBorders>
              <w:top w:val="nil"/>
              <w:left w:val="nil"/>
              <w:bottom w:val="single" w:sz="4" w:space="0" w:color="auto"/>
              <w:right w:val="single" w:sz="4" w:space="0" w:color="auto"/>
            </w:tcBorders>
            <w:shd w:val="clear" w:color="auto" w:fill="auto"/>
            <w:hideMark/>
          </w:tcPr>
          <w:p w14:paraId="63E96638"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r w:rsidR="00985D46" w:rsidRPr="00985D46" w14:paraId="65B0A4C2" w14:textId="77777777" w:rsidTr="00E73613">
        <w:trPr>
          <w:trHeight w:val="510"/>
        </w:trPr>
        <w:tc>
          <w:tcPr>
            <w:tcW w:w="176" w:type="pct"/>
            <w:tcBorders>
              <w:top w:val="nil"/>
              <w:left w:val="single" w:sz="4" w:space="0" w:color="auto"/>
              <w:bottom w:val="single" w:sz="4" w:space="0" w:color="auto"/>
              <w:right w:val="single" w:sz="4" w:space="0" w:color="auto"/>
            </w:tcBorders>
            <w:shd w:val="clear" w:color="000000" w:fill="auto"/>
            <w:noWrap/>
            <w:hideMark/>
          </w:tcPr>
          <w:p w14:paraId="7934AEB6"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8</w:t>
            </w:r>
          </w:p>
        </w:tc>
        <w:tc>
          <w:tcPr>
            <w:tcW w:w="3493" w:type="pct"/>
            <w:tcBorders>
              <w:top w:val="nil"/>
              <w:left w:val="nil"/>
              <w:bottom w:val="single" w:sz="4" w:space="0" w:color="auto"/>
              <w:right w:val="single" w:sz="4" w:space="0" w:color="auto"/>
            </w:tcBorders>
            <w:shd w:val="clear" w:color="000000" w:fill="auto"/>
            <w:hideMark/>
          </w:tcPr>
          <w:p w14:paraId="751F7F3D"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Solution must have ability to provide Virtual Full Database Backups, which are space-efficient pointer-based representations of physical full backups. </w:t>
            </w:r>
          </w:p>
        </w:tc>
        <w:tc>
          <w:tcPr>
            <w:tcW w:w="638" w:type="pct"/>
            <w:tcBorders>
              <w:top w:val="nil"/>
              <w:left w:val="nil"/>
              <w:bottom w:val="single" w:sz="4" w:space="0" w:color="auto"/>
              <w:right w:val="single" w:sz="4" w:space="0" w:color="auto"/>
            </w:tcBorders>
            <w:shd w:val="clear" w:color="auto" w:fill="auto"/>
            <w:hideMark/>
          </w:tcPr>
          <w:p w14:paraId="54614291"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3" w:type="pct"/>
            <w:tcBorders>
              <w:top w:val="nil"/>
              <w:left w:val="nil"/>
              <w:bottom w:val="single" w:sz="4" w:space="0" w:color="auto"/>
              <w:right w:val="single" w:sz="4" w:space="0" w:color="auto"/>
            </w:tcBorders>
            <w:shd w:val="clear" w:color="auto" w:fill="auto"/>
            <w:hideMark/>
          </w:tcPr>
          <w:p w14:paraId="324394CF"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r w:rsidR="00985D46" w:rsidRPr="00985D46" w14:paraId="159A4043" w14:textId="77777777" w:rsidTr="00E73613">
        <w:trPr>
          <w:trHeight w:val="315"/>
        </w:trPr>
        <w:tc>
          <w:tcPr>
            <w:tcW w:w="176" w:type="pct"/>
            <w:tcBorders>
              <w:top w:val="nil"/>
              <w:left w:val="single" w:sz="4" w:space="0" w:color="auto"/>
              <w:bottom w:val="single" w:sz="4" w:space="0" w:color="auto"/>
              <w:right w:val="single" w:sz="4" w:space="0" w:color="auto"/>
            </w:tcBorders>
            <w:shd w:val="clear" w:color="000000" w:fill="auto"/>
            <w:noWrap/>
            <w:hideMark/>
          </w:tcPr>
          <w:p w14:paraId="44ADA555"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9</w:t>
            </w:r>
          </w:p>
        </w:tc>
        <w:tc>
          <w:tcPr>
            <w:tcW w:w="3493" w:type="pct"/>
            <w:tcBorders>
              <w:top w:val="nil"/>
              <w:left w:val="nil"/>
              <w:bottom w:val="single" w:sz="4" w:space="0" w:color="auto"/>
              <w:right w:val="single" w:sz="4" w:space="0" w:color="auto"/>
            </w:tcBorders>
            <w:shd w:val="clear" w:color="000000" w:fill="auto"/>
            <w:hideMark/>
          </w:tcPr>
          <w:p w14:paraId="54AC7536"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Dashboard view of Recovery Window and RPO of all configured Database</w:t>
            </w:r>
          </w:p>
        </w:tc>
        <w:tc>
          <w:tcPr>
            <w:tcW w:w="638" w:type="pct"/>
            <w:tcBorders>
              <w:top w:val="nil"/>
              <w:left w:val="nil"/>
              <w:bottom w:val="single" w:sz="4" w:space="0" w:color="auto"/>
              <w:right w:val="single" w:sz="4" w:space="0" w:color="auto"/>
            </w:tcBorders>
            <w:shd w:val="clear" w:color="auto" w:fill="auto"/>
            <w:hideMark/>
          </w:tcPr>
          <w:p w14:paraId="77196F75"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3" w:type="pct"/>
            <w:tcBorders>
              <w:top w:val="nil"/>
              <w:left w:val="nil"/>
              <w:bottom w:val="single" w:sz="4" w:space="0" w:color="auto"/>
              <w:right w:val="single" w:sz="4" w:space="0" w:color="auto"/>
            </w:tcBorders>
            <w:shd w:val="clear" w:color="auto" w:fill="auto"/>
            <w:hideMark/>
          </w:tcPr>
          <w:p w14:paraId="25D5C95A"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r w:rsidR="00985D46" w:rsidRPr="00985D46" w14:paraId="47322CE4" w14:textId="77777777" w:rsidTr="00E73613">
        <w:trPr>
          <w:trHeight w:val="510"/>
        </w:trPr>
        <w:tc>
          <w:tcPr>
            <w:tcW w:w="176" w:type="pct"/>
            <w:tcBorders>
              <w:top w:val="nil"/>
              <w:left w:val="single" w:sz="4" w:space="0" w:color="auto"/>
              <w:bottom w:val="single" w:sz="4" w:space="0" w:color="auto"/>
              <w:right w:val="single" w:sz="4" w:space="0" w:color="auto"/>
            </w:tcBorders>
            <w:shd w:val="clear" w:color="000000" w:fill="auto"/>
            <w:noWrap/>
            <w:hideMark/>
          </w:tcPr>
          <w:p w14:paraId="59A01784"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10</w:t>
            </w:r>
          </w:p>
        </w:tc>
        <w:tc>
          <w:tcPr>
            <w:tcW w:w="3493" w:type="pct"/>
            <w:tcBorders>
              <w:top w:val="nil"/>
              <w:left w:val="nil"/>
              <w:bottom w:val="single" w:sz="4" w:space="0" w:color="auto"/>
              <w:right w:val="single" w:sz="4" w:space="0" w:color="auto"/>
            </w:tcBorders>
            <w:shd w:val="clear" w:color="000000" w:fill="auto"/>
            <w:hideMark/>
          </w:tcPr>
          <w:p w14:paraId="6DB3003D"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Fast and granular data recovery at any given point in time, with options for data files, or tablespaces or Database block as per defined policy</w:t>
            </w:r>
          </w:p>
        </w:tc>
        <w:tc>
          <w:tcPr>
            <w:tcW w:w="638" w:type="pct"/>
            <w:tcBorders>
              <w:top w:val="nil"/>
              <w:left w:val="nil"/>
              <w:bottom w:val="single" w:sz="4" w:space="0" w:color="auto"/>
              <w:right w:val="single" w:sz="4" w:space="0" w:color="auto"/>
            </w:tcBorders>
            <w:shd w:val="clear" w:color="auto" w:fill="auto"/>
            <w:hideMark/>
          </w:tcPr>
          <w:p w14:paraId="071D0379"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3" w:type="pct"/>
            <w:tcBorders>
              <w:top w:val="nil"/>
              <w:left w:val="nil"/>
              <w:bottom w:val="single" w:sz="4" w:space="0" w:color="auto"/>
              <w:right w:val="single" w:sz="4" w:space="0" w:color="auto"/>
            </w:tcBorders>
            <w:shd w:val="clear" w:color="auto" w:fill="auto"/>
            <w:hideMark/>
          </w:tcPr>
          <w:p w14:paraId="7F1AEE3A"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r w:rsidR="00985D46" w:rsidRPr="00985D46" w14:paraId="32F9D550" w14:textId="77777777" w:rsidTr="00E73613">
        <w:trPr>
          <w:trHeight w:val="510"/>
        </w:trPr>
        <w:tc>
          <w:tcPr>
            <w:tcW w:w="176" w:type="pct"/>
            <w:tcBorders>
              <w:top w:val="nil"/>
              <w:left w:val="single" w:sz="4" w:space="0" w:color="auto"/>
              <w:bottom w:val="single" w:sz="4" w:space="0" w:color="auto"/>
              <w:right w:val="single" w:sz="4" w:space="0" w:color="auto"/>
            </w:tcBorders>
            <w:shd w:val="clear" w:color="000000" w:fill="auto"/>
            <w:noWrap/>
            <w:hideMark/>
          </w:tcPr>
          <w:p w14:paraId="6AF1108D"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11</w:t>
            </w:r>
          </w:p>
        </w:tc>
        <w:tc>
          <w:tcPr>
            <w:tcW w:w="3493" w:type="pct"/>
            <w:tcBorders>
              <w:top w:val="nil"/>
              <w:left w:val="nil"/>
              <w:bottom w:val="single" w:sz="4" w:space="0" w:color="auto"/>
              <w:right w:val="single" w:sz="4" w:space="0" w:color="auto"/>
            </w:tcBorders>
            <w:shd w:val="clear" w:color="000000" w:fill="auto"/>
            <w:hideMark/>
          </w:tcPr>
          <w:p w14:paraId="3D14D660"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xml:space="preserve">Must be sized to handle Oracle Database workloads with minimum of 500 TB usable capacity and scaleble up to 1PB within same rack,  with capability for future expansion </w:t>
            </w:r>
          </w:p>
        </w:tc>
        <w:tc>
          <w:tcPr>
            <w:tcW w:w="638" w:type="pct"/>
            <w:tcBorders>
              <w:top w:val="nil"/>
              <w:left w:val="nil"/>
              <w:bottom w:val="single" w:sz="4" w:space="0" w:color="auto"/>
              <w:right w:val="single" w:sz="4" w:space="0" w:color="auto"/>
            </w:tcBorders>
            <w:shd w:val="clear" w:color="auto" w:fill="auto"/>
            <w:hideMark/>
          </w:tcPr>
          <w:p w14:paraId="6371031B"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3" w:type="pct"/>
            <w:tcBorders>
              <w:top w:val="nil"/>
              <w:left w:val="nil"/>
              <w:bottom w:val="single" w:sz="4" w:space="0" w:color="auto"/>
              <w:right w:val="single" w:sz="4" w:space="0" w:color="auto"/>
            </w:tcBorders>
            <w:shd w:val="clear" w:color="auto" w:fill="auto"/>
            <w:hideMark/>
          </w:tcPr>
          <w:p w14:paraId="019101AC"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r w:rsidR="00985D46" w:rsidRPr="00985D46" w14:paraId="52542AF3" w14:textId="77777777" w:rsidTr="00E73613">
        <w:trPr>
          <w:trHeight w:val="510"/>
        </w:trPr>
        <w:tc>
          <w:tcPr>
            <w:tcW w:w="176" w:type="pct"/>
            <w:tcBorders>
              <w:top w:val="nil"/>
              <w:left w:val="single" w:sz="4" w:space="0" w:color="auto"/>
              <w:bottom w:val="single" w:sz="4" w:space="0" w:color="auto"/>
              <w:right w:val="single" w:sz="4" w:space="0" w:color="auto"/>
            </w:tcBorders>
            <w:shd w:val="clear" w:color="000000" w:fill="auto"/>
            <w:noWrap/>
            <w:hideMark/>
          </w:tcPr>
          <w:p w14:paraId="35792FE3"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12</w:t>
            </w:r>
          </w:p>
        </w:tc>
        <w:tc>
          <w:tcPr>
            <w:tcW w:w="3493" w:type="pct"/>
            <w:tcBorders>
              <w:top w:val="nil"/>
              <w:left w:val="nil"/>
              <w:bottom w:val="single" w:sz="4" w:space="0" w:color="auto"/>
              <w:right w:val="single" w:sz="4" w:space="0" w:color="auto"/>
            </w:tcBorders>
            <w:shd w:val="clear" w:color="000000" w:fill="auto"/>
            <w:hideMark/>
          </w:tcPr>
          <w:p w14:paraId="052EE3EF"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Must be able to compress and encrypt TDE (Transparent Data Encryption) encrypted Oracle DB backups, ensuring security and space optimization</w:t>
            </w:r>
          </w:p>
        </w:tc>
        <w:tc>
          <w:tcPr>
            <w:tcW w:w="638" w:type="pct"/>
            <w:tcBorders>
              <w:top w:val="nil"/>
              <w:left w:val="nil"/>
              <w:bottom w:val="single" w:sz="4" w:space="0" w:color="auto"/>
              <w:right w:val="single" w:sz="4" w:space="0" w:color="auto"/>
            </w:tcBorders>
            <w:shd w:val="clear" w:color="auto" w:fill="auto"/>
            <w:hideMark/>
          </w:tcPr>
          <w:p w14:paraId="72EAF621"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3" w:type="pct"/>
            <w:tcBorders>
              <w:top w:val="nil"/>
              <w:left w:val="nil"/>
              <w:bottom w:val="single" w:sz="4" w:space="0" w:color="auto"/>
              <w:right w:val="single" w:sz="4" w:space="0" w:color="auto"/>
            </w:tcBorders>
            <w:shd w:val="clear" w:color="auto" w:fill="auto"/>
            <w:hideMark/>
          </w:tcPr>
          <w:p w14:paraId="3AF13392"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r w:rsidR="00985D46" w:rsidRPr="00985D46" w14:paraId="56E2AD3B" w14:textId="77777777" w:rsidTr="00E73613">
        <w:trPr>
          <w:trHeight w:val="510"/>
        </w:trPr>
        <w:tc>
          <w:tcPr>
            <w:tcW w:w="176" w:type="pct"/>
            <w:tcBorders>
              <w:top w:val="nil"/>
              <w:left w:val="single" w:sz="4" w:space="0" w:color="auto"/>
              <w:bottom w:val="single" w:sz="4" w:space="0" w:color="auto"/>
              <w:right w:val="single" w:sz="4" w:space="0" w:color="auto"/>
            </w:tcBorders>
            <w:shd w:val="clear" w:color="000000" w:fill="auto"/>
            <w:noWrap/>
            <w:hideMark/>
          </w:tcPr>
          <w:p w14:paraId="02008DFD"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13</w:t>
            </w:r>
          </w:p>
        </w:tc>
        <w:tc>
          <w:tcPr>
            <w:tcW w:w="3493" w:type="pct"/>
            <w:tcBorders>
              <w:top w:val="nil"/>
              <w:left w:val="nil"/>
              <w:bottom w:val="single" w:sz="4" w:space="0" w:color="auto"/>
              <w:right w:val="single" w:sz="4" w:space="0" w:color="auto"/>
            </w:tcBorders>
            <w:shd w:val="clear" w:color="000000" w:fill="auto"/>
            <w:hideMark/>
          </w:tcPr>
          <w:p w14:paraId="6A53D0FD"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Data in transition must be encrypted using SQL*Net &amp; TLS encryption, Solution must follow all of NIST's (National Institute of Standards and Technology) best practices for a Zero Trust Architecture</w:t>
            </w:r>
          </w:p>
        </w:tc>
        <w:tc>
          <w:tcPr>
            <w:tcW w:w="638" w:type="pct"/>
            <w:tcBorders>
              <w:top w:val="nil"/>
              <w:left w:val="nil"/>
              <w:bottom w:val="single" w:sz="4" w:space="0" w:color="auto"/>
              <w:right w:val="single" w:sz="4" w:space="0" w:color="auto"/>
            </w:tcBorders>
            <w:shd w:val="clear" w:color="auto" w:fill="auto"/>
            <w:hideMark/>
          </w:tcPr>
          <w:p w14:paraId="2C856EF4"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3" w:type="pct"/>
            <w:tcBorders>
              <w:top w:val="nil"/>
              <w:left w:val="nil"/>
              <w:bottom w:val="single" w:sz="4" w:space="0" w:color="auto"/>
              <w:right w:val="single" w:sz="4" w:space="0" w:color="auto"/>
            </w:tcBorders>
            <w:shd w:val="clear" w:color="auto" w:fill="auto"/>
            <w:hideMark/>
          </w:tcPr>
          <w:p w14:paraId="15FE467C"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r w:rsidR="00985D46" w:rsidRPr="00985D46" w14:paraId="4ED4EEA9" w14:textId="77777777" w:rsidTr="00E73613">
        <w:trPr>
          <w:trHeight w:val="315"/>
        </w:trPr>
        <w:tc>
          <w:tcPr>
            <w:tcW w:w="176" w:type="pct"/>
            <w:tcBorders>
              <w:top w:val="nil"/>
              <w:left w:val="single" w:sz="4" w:space="0" w:color="auto"/>
              <w:bottom w:val="single" w:sz="4" w:space="0" w:color="auto"/>
              <w:right w:val="single" w:sz="4" w:space="0" w:color="auto"/>
            </w:tcBorders>
            <w:shd w:val="clear" w:color="000000" w:fill="auto"/>
            <w:noWrap/>
            <w:hideMark/>
          </w:tcPr>
          <w:p w14:paraId="511C9463"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14</w:t>
            </w:r>
          </w:p>
        </w:tc>
        <w:tc>
          <w:tcPr>
            <w:tcW w:w="3493" w:type="pct"/>
            <w:tcBorders>
              <w:top w:val="nil"/>
              <w:left w:val="nil"/>
              <w:bottom w:val="single" w:sz="4" w:space="0" w:color="auto"/>
              <w:right w:val="single" w:sz="4" w:space="0" w:color="auto"/>
            </w:tcBorders>
            <w:shd w:val="clear" w:color="000000" w:fill="auto"/>
            <w:hideMark/>
          </w:tcPr>
          <w:p w14:paraId="50757FA4"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Appliance must provide multi-factor authentication (MFA) and quorum-based authorization for admin access</w:t>
            </w:r>
          </w:p>
        </w:tc>
        <w:tc>
          <w:tcPr>
            <w:tcW w:w="638" w:type="pct"/>
            <w:tcBorders>
              <w:top w:val="nil"/>
              <w:left w:val="nil"/>
              <w:bottom w:val="single" w:sz="4" w:space="0" w:color="auto"/>
              <w:right w:val="single" w:sz="4" w:space="0" w:color="auto"/>
            </w:tcBorders>
            <w:shd w:val="clear" w:color="auto" w:fill="auto"/>
            <w:hideMark/>
          </w:tcPr>
          <w:p w14:paraId="46AEA313"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3" w:type="pct"/>
            <w:tcBorders>
              <w:top w:val="nil"/>
              <w:left w:val="nil"/>
              <w:bottom w:val="single" w:sz="4" w:space="0" w:color="auto"/>
              <w:right w:val="single" w:sz="4" w:space="0" w:color="auto"/>
            </w:tcBorders>
            <w:shd w:val="clear" w:color="auto" w:fill="auto"/>
            <w:hideMark/>
          </w:tcPr>
          <w:p w14:paraId="34B2EA58"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r w:rsidR="00985D46" w:rsidRPr="00985D46" w14:paraId="5F923D09" w14:textId="77777777" w:rsidTr="00E73613">
        <w:trPr>
          <w:trHeight w:val="510"/>
        </w:trPr>
        <w:tc>
          <w:tcPr>
            <w:tcW w:w="176" w:type="pct"/>
            <w:tcBorders>
              <w:top w:val="nil"/>
              <w:left w:val="single" w:sz="4" w:space="0" w:color="auto"/>
              <w:bottom w:val="single" w:sz="4" w:space="0" w:color="auto"/>
              <w:right w:val="single" w:sz="4" w:space="0" w:color="auto"/>
            </w:tcBorders>
            <w:shd w:val="clear" w:color="000000" w:fill="auto"/>
            <w:noWrap/>
            <w:hideMark/>
          </w:tcPr>
          <w:p w14:paraId="59D4A82D"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15</w:t>
            </w:r>
          </w:p>
        </w:tc>
        <w:tc>
          <w:tcPr>
            <w:tcW w:w="3493" w:type="pct"/>
            <w:tcBorders>
              <w:top w:val="nil"/>
              <w:left w:val="nil"/>
              <w:bottom w:val="single" w:sz="4" w:space="0" w:color="auto"/>
              <w:right w:val="single" w:sz="4" w:space="0" w:color="auto"/>
            </w:tcBorders>
            <w:shd w:val="clear" w:color="000000" w:fill="auto"/>
            <w:hideMark/>
          </w:tcPr>
          <w:p w14:paraId="4E44BDEF"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Separation of duties architected into the security framework with role-based access controls (RBAC) for database, backup, and storage administrators</w:t>
            </w:r>
          </w:p>
        </w:tc>
        <w:tc>
          <w:tcPr>
            <w:tcW w:w="638" w:type="pct"/>
            <w:tcBorders>
              <w:top w:val="nil"/>
              <w:left w:val="nil"/>
              <w:bottom w:val="single" w:sz="4" w:space="0" w:color="auto"/>
              <w:right w:val="single" w:sz="4" w:space="0" w:color="auto"/>
            </w:tcBorders>
            <w:shd w:val="clear" w:color="auto" w:fill="auto"/>
            <w:hideMark/>
          </w:tcPr>
          <w:p w14:paraId="3E374FC4"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3" w:type="pct"/>
            <w:tcBorders>
              <w:top w:val="nil"/>
              <w:left w:val="nil"/>
              <w:bottom w:val="single" w:sz="4" w:space="0" w:color="auto"/>
              <w:right w:val="single" w:sz="4" w:space="0" w:color="auto"/>
            </w:tcBorders>
            <w:shd w:val="clear" w:color="auto" w:fill="auto"/>
            <w:hideMark/>
          </w:tcPr>
          <w:p w14:paraId="6AFBF927"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r w:rsidR="00985D46" w:rsidRPr="00985D46" w14:paraId="5DBD37B8" w14:textId="77777777" w:rsidTr="00E73613">
        <w:trPr>
          <w:trHeight w:val="510"/>
        </w:trPr>
        <w:tc>
          <w:tcPr>
            <w:tcW w:w="176" w:type="pct"/>
            <w:tcBorders>
              <w:top w:val="nil"/>
              <w:left w:val="single" w:sz="4" w:space="0" w:color="auto"/>
              <w:bottom w:val="single" w:sz="4" w:space="0" w:color="auto"/>
              <w:right w:val="single" w:sz="4" w:space="0" w:color="auto"/>
            </w:tcBorders>
            <w:shd w:val="clear" w:color="000000" w:fill="auto"/>
            <w:noWrap/>
            <w:hideMark/>
          </w:tcPr>
          <w:p w14:paraId="083C6375"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16</w:t>
            </w:r>
          </w:p>
        </w:tc>
        <w:tc>
          <w:tcPr>
            <w:tcW w:w="3493" w:type="pct"/>
            <w:tcBorders>
              <w:top w:val="nil"/>
              <w:left w:val="nil"/>
              <w:bottom w:val="single" w:sz="4" w:space="0" w:color="auto"/>
              <w:right w:val="single" w:sz="4" w:space="0" w:color="auto"/>
            </w:tcBorders>
            <w:shd w:val="clear" w:color="000000" w:fill="auto"/>
            <w:hideMark/>
          </w:tcPr>
          <w:p w14:paraId="0FC0232C"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Should include automatic corruption detection during the first full backup and subsequent incremental backups, with automated repair and notification features</w:t>
            </w:r>
          </w:p>
        </w:tc>
        <w:tc>
          <w:tcPr>
            <w:tcW w:w="638" w:type="pct"/>
            <w:tcBorders>
              <w:top w:val="nil"/>
              <w:left w:val="nil"/>
              <w:bottom w:val="single" w:sz="4" w:space="0" w:color="auto"/>
              <w:right w:val="single" w:sz="4" w:space="0" w:color="auto"/>
            </w:tcBorders>
            <w:shd w:val="clear" w:color="auto" w:fill="auto"/>
            <w:hideMark/>
          </w:tcPr>
          <w:p w14:paraId="59121424"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3" w:type="pct"/>
            <w:tcBorders>
              <w:top w:val="nil"/>
              <w:left w:val="nil"/>
              <w:bottom w:val="single" w:sz="4" w:space="0" w:color="auto"/>
              <w:right w:val="single" w:sz="4" w:space="0" w:color="auto"/>
            </w:tcBorders>
            <w:shd w:val="clear" w:color="auto" w:fill="auto"/>
            <w:hideMark/>
          </w:tcPr>
          <w:p w14:paraId="259B9C05"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r w:rsidR="00985D46" w:rsidRPr="00985D46" w14:paraId="0AA03504" w14:textId="77777777" w:rsidTr="00E73613">
        <w:trPr>
          <w:trHeight w:val="510"/>
        </w:trPr>
        <w:tc>
          <w:tcPr>
            <w:tcW w:w="176" w:type="pct"/>
            <w:tcBorders>
              <w:top w:val="nil"/>
              <w:left w:val="single" w:sz="4" w:space="0" w:color="auto"/>
              <w:bottom w:val="single" w:sz="4" w:space="0" w:color="auto"/>
              <w:right w:val="single" w:sz="4" w:space="0" w:color="auto"/>
            </w:tcBorders>
            <w:shd w:val="clear" w:color="000000" w:fill="auto"/>
            <w:noWrap/>
            <w:hideMark/>
          </w:tcPr>
          <w:p w14:paraId="3F0F67C2"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17</w:t>
            </w:r>
          </w:p>
        </w:tc>
        <w:tc>
          <w:tcPr>
            <w:tcW w:w="3493" w:type="pct"/>
            <w:tcBorders>
              <w:top w:val="nil"/>
              <w:left w:val="nil"/>
              <w:bottom w:val="single" w:sz="4" w:space="0" w:color="auto"/>
              <w:right w:val="single" w:sz="4" w:space="0" w:color="auto"/>
            </w:tcBorders>
            <w:shd w:val="clear" w:color="000000" w:fill="auto"/>
            <w:hideMark/>
          </w:tcPr>
          <w:p w14:paraId="4D0C561E"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Must offer periodic comprehensive single bundled patch updates for proposed backup solution (including hardware and software components), with a clear schedule and rollback options</w:t>
            </w:r>
          </w:p>
        </w:tc>
        <w:tc>
          <w:tcPr>
            <w:tcW w:w="638" w:type="pct"/>
            <w:tcBorders>
              <w:top w:val="nil"/>
              <w:left w:val="nil"/>
              <w:bottom w:val="single" w:sz="4" w:space="0" w:color="auto"/>
              <w:right w:val="single" w:sz="4" w:space="0" w:color="auto"/>
            </w:tcBorders>
            <w:shd w:val="clear" w:color="auto" w:fill="auto"/>
            <w:hideMark/>
          </w:tcPr>
          <w:p w14:paraId="6D50922A"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c>
          <w:tcPr>
            <w:tcW w:w="693" w:type="pct"/>
            <w:tcBorders>
              <w:top w:val="nil"/>
              <w:left w:val="nil"/>
              <w:bottom w:val="single" w:sz="4" w:space="0" w:color="auto"/>
              <w:right w:val="single" w:sz="4" w:space="0" w:color="auto"/>
            </w:tcBorders>
            <w:shd w:val="clear" w:color="auto" w:fill="auto"/>
            <w:hideMark/>
          </w:tcPr>
          <w:p w14:paraId="47044A39" w14:textId="77777777" w:rsidR="00985D46" w:rsidRPr="00985D46" w:rsidRDefault="00985D46" w:rsidP="00985D46">
            <w:pPr>
              <w:spacing w:after="0" w:line="240" w:lineRule="auto"/>
              <w:rPr>
                <w:rFonts w:ascii="Calibri" w:eastAsia="Times New Roman" w:hAnsi="Calibri" w:cs="Calibri"/>
                <w:color w:val="000000"/>
                <w:sz w:val="24"/>
                <w:szCs w:val="24"/>
                <w:lang w:val="en-GB" w:eastAsia="en-GB"/>
              </w:rPr>
            </w:pPr>
            <w:r w:rsidRPr="00985D46">
              <w:rPr>
                <w:rFonts w:ascii="Calibri" w:eastAsia="Times New Roman" w:hAnsi="Calibri" w:cs="Calibri"/>
                <w:color w:val="000000"/>
                <w:sz w:val="24"/>
                <w:szCs w:val="24"/>
                <w:lang w:val="en-GB" w:eastAsia="en-GB"/>
              </w:rPr>
              <w:t> </w:t>
            </w:r>
          </w:p>
        </w:tc>
      </w:tr>
    </w:tbl>
    <w:p w14:paraId="13D88262" w14:textId="77777777" w:rsidR="00985D46" w:rsidRDefault="00985D46">
      <w:pPr>
        <w:rPr>
          <w:rFonts w:cstheme="minorHAnsi"/>
        </w:rPr>
      </w:pPr>
    </w:p>
    <w:p w14:paraId="720B5EA6" w14:textId="77777777" w:rsidR="00985D46" w:rsidRDefault="00985D46">
      <w:pPr>
        <w:rPr>
          <w:rFonts w:cstheme="minorHAnsi"/>
        </w:rPr>
      </w:pPr>
      <w:r>
        <w:rPr>
          <w:rFonts w:cstheme="minorHAnsi"/>
        </w:rPr>
        <w:br w:type="page"/>
      </w:r>
    </w:p>
    <w:tbl>
      <w:tblPr>
        <w:tblW w:w="5000" w:type="pct"/>
        <w:tblLook w:val="04A0" w:firstRow="1" w:lastRow="0" w:firstColumn="1" w:lastColumn="0" w:noHBand="0" w:noVBand="1"/>
      </w:tblPr>
      <w:tblGrid>
        <w:gridCol w:w="491"/>
        <w:gridCol w:w="9751"/>
        <w:gridCol w:w="1781"/>
        <w:gridCol w:w="1935"/>
      </w:tblGrid>
      <w:tr w:rsidR="00985D46" w:rsidRPr="00985D46" w14:paraId="0304BF8B" w14:textId="77777777" w:rsidTr="00E73613">
        <w:trPr>
          <w:trHeight w:val="255"/>
        </w:trPr>
        <w:tc>
          <w:tcPr>
            <w:tcW w:w="5000" w:type="pct"/>
            <w:gridSpan w:val="4"/>
            <w:tcBorders>
              <w:top w:val="nil"/>
              <w:left w:val="nil"/>
              <w:bottom w:val="single" w:sz="4" w:space="0" w:color="auto"/>
              <w:right w:val="nil"/>
            </w:tcBorders>
            <w:shd w:val="clear" w:color="000000" w:fill="FFE699"/>
            <w:hideMark/>
          </w:tcPr>
          <w:p w14:paraId="65B8F10F"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xml:space="preserve">Technical Specifications for </w:t>
            </w:r>
            <w:r w:rsidRPr="00985D46">
              <w:rPr>
                <w:rFonts w:ascii="Calibri" w:eastAsia="Times New Roman" w:hAnsi="Calibri" w:cs="Calibri"/>
                <w:b/>
                <w:bCs/>
                <w:color w:val="000000"/>
                <w:sz w:val="20"/>
                <w:szCs w:val="20"/>
                <w:lang w:val="en-GB" w:eastAsia="en-GB"/>
              </w:rPr>
              <w:t>Network Access Control</w:t>
            </w:r>
          </w:p>
        </w:tc>
      </w:tr>
      <w:tr w:rsidR="00985D46" w:rsidRPr="00985D46" w14:paraId="70234F6A" w14:textId="77777777" w:rsidTr="00E73613">
        <w:trPr>
          <w:trHeight w:val="255"/>
        </w:trPr>
        <w:tc>
          <w:tcPr>
            <w:tcW w:w="176" w:type="pct"/>
            <w:tcBorders>
              <w:top w:val="nil"/>
              <w:left w:val="single" w:sz="4" w:space="0" w:color="auto"/>
              <w:bottom w:val="single" w:sz="4" w:space="0" w:color="auto"/>
              <w:right w:val="single" w:sz="4" w:space="0" w:color="auto"/>
            </w:tcBorders>
            <w:shd w:val="clear" w:color="000000" w:fill="1F4E78"/>
            <w:hideMark/>
          </w:tcPr>
          <w:p w14:paraId="6834EAF8" w14:textId="77777777" w:rsidR="00985D46" w:rsidRPr="00985D46" w:rsidRDefault="00985D46" w:rsidP="00985D46">
            <w:pPr>
              <w:spacing w:after="0" w:line="240" w:lineRule="auto"/>
              <w:jc w:val="center"/>
              <w:rPr>
                <w:rFonts w:ascii="Calibri" w:eastAsia="Times New Roman" w:hAnsi="Calibri" w:cs="Calibri"/>
                <w:b/>
                <w:bCs/>
                <w:color w:val="FFFFFF"/>
                <w:sz w:val="20"/>
                <w:szCs w:val="20"/>
                <w:lang w:val="en-GB" w:eastAsia="en-GB"/>
              </w:rPr>
            </w:pPr>
            <w:r w:rsidRPr="00985D46">
              <w:rPr>
                <w:rFonts w:ascii="Calibri" w:eastAsia="Times New Roman" w:hAnsi="Calibri" w:cs="Calibri"/>
                <w:b/>
                <w:bCs/>
                <w:color w:val="FFFFFF"/>
                <w:sz w:val="20"/>
                <w:szCs w:val="20"/>
                <w:lang w:val="en-GB" w:eastAsia="en-GB"/>
              </w:rPr>
              <w:t>S No</w:t>
            </w:r>
          </w:p>
        </w:tc>
        <w:tc>
          <w:tcPr>
            <w:tcW w:w="3493" w:type="pct"/>
            <w:tcBorders>
              <w:top w:val="nil"/>
              <w:left w:val="nil"/>
              <w:bottom w:val="single" w:sz="4" w:space="0" w:color="auto"/>
              <w:right w:val="single" w:sz="4" w:space="0" w:color="auto"/>
            </w:tcBorders>
            <w:shd w:val="clear" w:color="000000" w:fill="1F4E78"/>
            <w:hideMark/>
          </w:tcPr>
          <w:p w14:paraId="51272421" w14:textId="77777777" w:rsidR="00985D46" w:rsidRPr="00985D46" w:rsidRDefault="00985D46" w:rsidP="00985D46">
            <w:pPr>
              <w:spacing w:after="0" w:line="240" w:lineRule="auto"/>
              <w:rPr>
                <w:rFonts w:ascii="Calibri" w:eastAsia="Times New Roman" w:hAnsi="Calibri" w:cs="Calibri"/>
                <w:b/>
                <w:bCs/>
                <w:color w:val="FFFFFF"/>
                <w:sz w:val="20"/>
                <w:szCs w:val="20"/>
                <w:lang w:val="en-GB" w:eastAsia="en-GB"/>
              </w:rPr>
            </w:pPr>
            <w:r w:rsidRPr="00985D46">
              <w:rPr>
                <w:rFonts w:ascii="Calibri" w:eastAsia="Times New Roman" w:hAnsi="Calibri" w:cs="Calibri"/>
                <w:b/>
                <w:bCs/>
                <w:color w:val="FFFFFF"/>
                <w:sz w:val="20"/>
                <w:szCs w:val="20"/>
                <w:lang w:val="en-GB" w:eastAsia="en-GB"/>
              </w:rPr>
              <w:t xml:space="preserve">Minimum Technical Specifications </w:t>
            </w:r>
          </w:p>
        </w:tc>
        <w:tc>
          <w:tcPr>
            <w:tcW w:w="638" w:type="pct"/>
            <w:tcBorders>
              <w:top w:val="nil"/>
              <w:left w:val="nil"/>
              <w:bottom w:val="single" w:sz="4" w:space="0" w:color="auto"/>
              <w:right w:val="single" w:sz="4" w:space="0" w:color="auto"/>
            </w:tcBorders>
            <w:shd w:val="clear" w:color="000000" w:fill="1F4E78"/>
            <w:hideMark/>
          </w:tcPr>
          <w:p w14:paraId="65A1F661" w14:textId="77777777" w:rsidR="00985D46" w:rsidRPr="00985D46" w:rsidRDefault="00985D46" w:rsidP="00985D46">
            <w:pPr>
              <w:spacing w:after="0" w:line="240" w:lineRule="auto"/>
              <w:rPr>
                <w:rFonts w:ascii="Calibri" w:eastAsia="Times New Roman" w:hAnsi="Calibri" w:cs="Calibri"/>
                <w:b/>
                <w:bCs/>
                <w:color w:val="FFFFFF"/>
                <w:sz w:val="20"/>
                <w:szCs w:val="20"/>
                <w:lang w:val="en-GB" w:eastAsia="en-GB"/>
              </w:rPr>
            </w:pPr>
            <w:r w:rsidRPr="00985D46">
              <w:rPr>
                <w:rFonts w:ascii="Calibri" w:eastAsia="Times New Roman" w:hAnsi="Calibri" w:cs="Calibri"/>
                <w:b/>
                <w:bCs/>
                <w:color w:val="FFFFFF"/>
                <w:sz w:val="20"/>
                <w:szCs w:val="20"/>
                <w:lang w:val="en-GB" w:eastAsia="en-GB"/>
              </w:rPr>
              <w:t>Vendor's Compliance</w:t>
            </w:r>
          </w:p>
        </w:tc>
        <w:tc>
          <w:tcPr>
            <w:tcW w:w="693" w:type="pct"/>
            <w:tcBorders>
              <w:top w:val="nil"/>
              <w:left w:val="nil"/>
              <w:bottom w:val="single" w:sz="4" w:space="0" w:color="auto"/>
              <w:right w:val="single" w:sz="4" w:space="0" w:color="auto"/>
            </w:tcBorders>
            <w:shd w:val="clear" w:color="000000" w:fill="1F4E78"/>
            <w:hideMark/>
          </w:tcPr>
          <w:p w14:paraId="1175D2C3" w14:textId="77777777" w:rsidR="00985D46" w:rsidRPr="00985D46" w:rsidRDefault="00985D46" w:rsidP="00985D46">
            <w:pPr>
              <w:spacing w:after="0" w:line="240" w:lineRule="auto"/>
              <w:rPr>
                <w:rFonts w:ascii="Calibri" w:eastAsia="Times New Roman" w:hAnsi="Calibri" w:cs="Calibri"/>
                <w:b/>
                <w:bCs/>
                <w:color w:val="FFFFFF"/>
                <w:sz w:val="20"/>
                <w:szCs w:val="20"/>
                <w:lang w:val="en-GB" w:eastAsia="en-GB"/>
              </w:rPr>
            </w:pPr>
            <w:r w:rsidRPr="00985D46">
              <w:rPr>
                <w:rFonts w:ascii="Calibri" w:eastAsia="Times New Roman" w:hAnsi="Calibri" w:cs="Calibri"/>
                <w:b/>
                <w:bCs/>
                <w:color w:val="FFFFFF"/>
                <w:sz w:val="20"/>
                <w:szCs w:val="20"/>
                <w:lang w:val="en-GB" w:eastAsia="en-GB"/>
              </w:rPr>
              <w:t>Vendor's Remark</w:t>
            </w:r>
          </w:p>
        </w:tc>
      </w:tr>
      <w:tr w:rsidR="00985D46" w:rsidRPr="00985D46" w14:paraId="470497EE" w14:textId="77777777" w:rsidTr="00E73613">
        <w:trPr>
          <w:trHeight w:val="510"/>
        </w:trPr>
        <w:tc>
          <w:tcPr>
            <w:tcW w:w="176" w:type="pct"/>
            <w:tcBorders>
              <w:top w:val="nil"/>
              <w:left w:val="single" w:sz="4" w:space="0" w:color="auto"/>
              <w:bottom w:val="single" w:sz="4" w:space="0" w:color="auto"/>
              <w:right w:val="single" w:sz="4" w:space="0" w:color="auto"/>
            </w:tcBorders>
            <w:shd w:val="clear" w:color="000000" w:fill="auto"/>
            <w:noWrap/>
            <w:hideMark/>
          </w:tcPr>
          <w:p w14:paraId="15AA87C7"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w:t>
            </w:r>
          </w:p>
        </w:tc>
        <w:tc>
          <w:tcPr>
            <w:tcW w:w="3493" w:type="pct"/>
            <w:tcBorders>
              <w:top w:val="nil"/>
              <w:left w:val="nil"/>
              <w:bottom w:val="single" w:sz="4" w:space="0" w:color="auto"/>
              <w:right w:val="single" w:sz="4" w:space="0" w:color="auto"/>
            </w:tcBorders>
            <w:shd w:val="clear" w:color="auto" w:fill="auto"/>
            <w:hideMark/>
          </w:tcPr>
          <w:p w14:paraId="4A2790EB"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must provide Authentication, Authorization and Accounting (AAA) services, Profiling, Posturing, Guest Management from a single platform.</w:t>
            </w:r>
          </w:p>
        </w:tc>
        <w:tc>
          <w:tcPr>
            <w:tcW w:w="638" w:type="pct"/>
            <w:tcBorders>
              <w:top w:val="nil"/>
              <w:left w:val="nil"/>
              <w:bottom w:val="single" w:sz="4" w:space="0" w:color="auto"/>
              <w:right w:val="single" w:sz="4" w:space="0" w:color="auto"/>
            </w:tcBorders>
            <w:shd w:val="clear" w:color="auto" w:fill="auto"/>
            <w:hideMark/>
          </w:tcPr>
          <w:p w14:paraId="6AEF66FA"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7D4E7C54"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2253CE10" w14:textId="77777777" w:rsidTr="00E73613">
        <w:trPr>
          <w:trHeight w:val="255"/>
        </w:trPr>
        <w:tc>
          <w:tcPr>
            <w:tcW w:w="176" w:type="pct"/>
            <w:tcBorders>
              <w:top w:val="nil"/>
              <w:left w:val="single" w:sz="4" w:space="0" w:color="auto"/>
              <w:bottom w:val="single" w:sz="4" w:space="0" w:color="auto"/>
              <w:right w:val="single" w:sz="4" w:space="0" w:color="auto"/>
            </w:tcBorders>
            <w:shd w:val="clear" w:color="000000" w:fill="auto"/>
            <w:noWrap/>
            <w:hideMark/>
          </w:tcPr>
          <w:p w14:paraId="16455137"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2</w:t>
            </w:r>
          </w:p>
        </w:tc>
        <w:tc>
          <w:tcPr>
            <w:tcW w:w="3493" w:type="pct"/>
            <w:tcBorders>
              <w:top w:val="nil"/>
              <w:left w:val="nil"/>
              <w:bottom w:val="single" w:sz="4" w:space="0" w:color="auto"/>
              <w:right w:val="single" w:sz="4" w:space="0" w:color="auto"/>
            </w:tcBorders>
            <w:shd w:val="clear" w:color="auto" w:fill="auto"/>
            <w:hideMark/>
          </w:tcPr>
          <w:p w14:paraId="7C4976F4"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should be software based ( VM) / Appliance Based</w:t>
            </w:r>
          </w:p>
        </w:tc>
        <w:tc>
          <w:tcPr>
            <w:tcW w:w="638" w:type="pct"/>
            <w:tcBorders>
              <w:top w:val="nil"/>
              <w:left w:val="nil"/>
              <w:bottom w:val="single" w:sz="4" w:space="0" w:color="auto"/>
              <w:right w:val="single" w:sz="4" w:space="0" w:color="auto"/>
            </w:tcBorders>
            <w:shd w:val="clear" w:color="auto" w:fill="auto"/>
            <w:hideMark/>
          </w:tcPr>
          <w:p w14:paraId="296575E3"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34685A0F"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1B4D2C0E" w14:textId="77777777" w:rsidTr="00E73613">
        <w:trPr>
          <w:trHeight w:val="255"/>
        </w:trPr>
        <w:tc>
          <w:tcPr>
            <w:tcW w:w="176" w:type="pct"/>
            <w:tcBorders>
              <w:top w:val="nil"/>
              <w:left w:val="single" w:sz="4" w:space="0" w:color="auto"/>
              <w:bottom w:val="single" w:sz="4" w:space="0" w:color="auto"/>
              <w:right w:val="single" w:sz="4" w:space="0" w:color="auto"/>
            </w:tcBorders>
            <w:shd w:val="clear" w:color="000000" w:fill="auto"/>
            <w:noWrap/>
            <w:hideMark/>
          </w:tcPr>
          <w:p w14:paraId="041502C6"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3</w:t>
            </w:r>
          </w:p>
        </w:tc>
        <w:tc>
          <w:tcPr>
            <w:tcW w:w="3493" w:type="pct"/>
            <w:tcBorders>
              <w:top w:val="nil"/>
              <w:left w:val="nil"/>
              <w:bottom w:val="single" w:sz="4" w:space="0" w:color="auto"/>
              <w:right w:val="single" w:sz="4" w:space="0" w:color="auto"/>
            </w:tcBorders>
            <w:shd w:val="clear" w:color="auto" w:fill="auto"/>
            <w:hideMark/>
          </w:tcPr>
          <w:p w14:paraId="351819EE"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should authenticate and authorize users from wired, wireless &amp; VPN network</w:t>
            </w:r>
          </w:p>
        </w:tc>
        <w:tc>
          <w:tcPr>
            <w:tcW w:w="638" w:type="pct"/>
            <w:tcBorders>
              <w:top w:val="nil"/>
              <w:left w:val="nil"/>
              <w:bottom w:val="single" w:sz="4" w:space="0" w:color="auto"/>
              <w:right w:val="single" w:sz="4" w:space="0" w:color="auto"/>
            </w:tcBorders>
            <w:shd w:val="clear" w:color="auto" w:fill="auto"/>
            <w:hideMark/>
          </w:tcPr>
          <w:p w14:paraId="78A79B8B"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51072CC4"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2D9B314F" w14:textId="77777777" w:rsidTr="00E73613">
        <w:trPr>
          <w:trHeight w:val="765"/>
        </w:trPr>
        <w:tc>
          <w:tcPr>
            <w:tcW w:w="176" w:type="pct"/>
            <w:tcBorders>
              <w:top w:val="nil"/>
              <w:left w:val="single" w:sz="4" w:space="0" w:color="auto"/>
              <w:bottom w:val="single" w:sz="4" w:space="0" w:color="auto"/>
              <w:right w:val="single" w:sz="4" w:space="0" w:color="auto"/>
            </w:tcBorders>
            <w:shd w:val="clear" w:color="000000" w:fill="auto"/>
            <w:noWrap/>
            <w:hideMark/>
          </w:tcPr>
          <w:p w14:paraId="7A9FC82F"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4</w:t>
            </w:r>
          </w:p>
        </w:tc>
        <w:tc>
          <w:tcPr>
            <w:tcW w:w="3493" w:type="pct"/>
            <w:tcBorders>
              <w:top w:val="nil"/>
              <w:left w:val="nil"/>
              <w:bottom w:val="single" w:sz="4" w:space="0" w:color="auto"/>
              <w:right w:val="single" w:sz="4" w:space="0" w:color="auto"/>
            </w:tcBorders>
            <w:shd w:val="clear" w:color="auto" w:fill="auto"/>
            <w:hideMark/>
          </w:tcPr>
          <w:p w14:paraId="5ECFAEA1"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shall use Agent based approach for Desktops, Laptops, etc. and Agentless for other devices</w:t>
            </w:r>
            <w:r w:rsidRPr="00985D46">
              <w:rPr>
                <w:rFonts w:ascii="Calibri" w:eastAsia="Times New Roman" w:hAnsi="Calibri" w:cs="Calibri"/>
                <w:sz w:val="20"/>
                <w:szCs w:val="20"/>
                <w:lang w:val="en-GB" w:eastAsia="en-GB"/>
              </w:rPr>
              <w:br/>
              <w:t>including Network Devices, Printers/Scanners, Wireless access points, etc., for detection of unauthorized access via network activities</w:t>
            </w:r>
            <w:r w:rsidRPr="00985D46">
              <w:rPr>
                <w:rFonts w:ascii="Calibri" w:eastAsia="Times New Roman" w:hAnsi="Calibri" w:cs="Calibri"/>
                <w:sz w:val="20"/>
                <w:szCs w:val="20"/>
                <w:lang w:val="en-GB" w:eastAsia="en-GB"/>
              </w:rPr>
              <w:br/>
              <w:t>analysis from the endpoints</w:t>
            </w:r>
          </w:p>
        </w:tc>
        <w:tc>
          <w:tcPr>
            <w:tcW w:w="638" w:type="pct"/>
            <w:tcBorders>
              <w:top w:val="nil"/>
              <w:left w:val="nil"/>
              <w:bottom w:val="single" w:sz="4" w:space="0" w:color="auto"/>
              <w:right w:val="single" w:sz="4" w:space="0" w:color="auto"/>
            </w:tcBorders>
            <w:shd w:val="clear" w:color="auto" w:fill="auto"/>
            <w:hideMark/>
          </w:tcPr>
          <w:p w14:paraId="606B448E"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0E31F546"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1F2D7189" w14:textId="77777777" w:rsidTr="00E73613">
        <w:trPr>
          <w:trHeight w:val="255"/>
        </w:trPr>
        <w:tc>
          <w:tcPr>
            <w:tcW w:w="176" w:type="pct"/>
            <w:tcBorders>
              <w:top w:val="nil"/>
              <w:left w:val="single" w:sz="4" w:space="0" w:color="auto"/>
              <w:bottom w:val="single" w:sz="4" w:space="0" w:color="auto"/>
              <w:right w:val="single" w:sz="4" w:space="0" w:color="auto"/>
            </w:tcBorders>
            <w:shd w:val="clear" w:color="000000" w:fill="auto"/>
            <w:noWrap/>
            <w:hideMark/>
          </w:tcPr>
          <w:p w14:paraId="35BF63FD"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5</w:t>
            </w:r>
          </w:p>
        </w:tc>
        <w:tc>
          <w:tcPr>
            <w:tcW w:w="3493" w:type="pct"/>
            <w:tcBorders>
              <w:top w:val="nil"/>
              <w:left w:val="nil"/>
              <w:bottom w:val="single" w:sz="4" w:space="0" w:color="auto"/>
              <w:right w:val="single" w:sz="4" w:space="0" w:color="auto"/>
            </w:tcBorders>
            <w:shd w:val="clear" w:color="auto" w:fill="auto"/>
            <w:hideMark/>
          </w:tcPr>
          <w:p w14:paraId="0A6BB4E9"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should support 802.1x authentication for domain joined devices for wired &amp; wireless network</w:t>
            </w:r>
          </w:p>
        </w:tc>
        <w:tc>
          <w:tcPr>
            <w:tcW w:w="638" w:type="pct"/>
            <w:tcBorders>
              <w:top w:val="nil"/>
              <w:left w:val="nil"/>
              <w:bottom w:val="single" w:sz="4" w:space="0" w:color="auto"/>
              <w:right w:val="single" w:sz="4" w:space="0" w:color="auto"/>
            </w:tcBorders>
            <w:shd w:val="clear" w:color="auto" w:fill="auto"/>
            <w:hideMark/>
          </w:tcPr>
          <w:p w14:paraId="6107F382"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0915AA28"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21CF32F2" w14:textId="77777777" w:rsidTr="00E73613">
        <w:trPr>
          <w:trHeight w:val="510"/>
        </w:trPr>
        <w:tc>
          <w:tcPr>
            <w:tcW w:w="176" w:type="pct"/>
            <w:tcBorders>
              <w:top w:val="nil"/>
              <w:left w:val="single" w:sz="4" w:space="0" w:color="auto"/>
              <w:bottom w:val="single" w:sz="4" w:space="0" w:color="auto"/>
              <w:right w:val="single" w:sz="4" w:space="0" w:color="auto"/>
            </w:tcBorders>
            <w:shd w:val="clear" w:color="000000" w:fill="auto"/>
            <w:noWrap/>
            <w:hideMark/>
          </w:tcPr>
          <w:p w14:paraId="2D6966AB"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6</w:t>
            </w:r>
          </w:p>
        </w:tc>
        <w:tc>
          <w:tcPr>
            <w:tcW w:w="3493" w:type="pct"/>
            <w:tcBorders>
              <w:top w:val="nil"/>
              <w:left w:val="nil"/>
              <w:bottom w:val="single" w:sz="4" w:space="0" w:color="auto"/>
              <w:right w:val="single" w:sz="4" w:space="0" w:color="auto"/>
            </w:tcBorders>
            <w:shd w:val="clear" w:color="auto" w:fill="auto"/>
            <w:hideMark/>
          </w:tcPr>
          <w:p w14:paraId="3F94760D"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should support MAB authentication for headless devices like Printers,scanners,IP phones etc. Solution should support google auth, AD and SAML2 authentication.</w:t>
            </w:r>
          </w:p>
        </w:tc>
        <w:tc>
          <w:tcPr>
            <w:tcW w:w="638" w:type="pct"/>
            <w:tcBorders>
              <w:top w:val="nil"/>
              <w:left w:val="nil"/>
              <w:bottom w:val="single" w:sz="4" w:space="0" w:color="auto"/>
              <w:right w:val="single" w:sz="4" w:space="0" w:color="auto"/>
            </w:tcBorders>
            <w:shd w:val="clear" w:color="auto" w:fill="auto"/>
            <w:hideMark/>
          </w:tcPr>
          <w:p w14:paraId="3D81B8F3"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34A10F28"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0CF74C75" w14:textId="77777777" w:rsidTr="00E73613">
        <w:trPr>
          <w:trHeight w:val="510"/>
        </w:trPr>
        <w:tc>
          <w:tcPr>
            <w:tcW w:w="176" w:type="pct"/>
            <w:tcBorders>
              <w:top w:val="nil"/>
              <w:left w:val="single" w:sz="4" w:space="0" w:color="auto"/>
              <w:bottom w:val="single" w:sz="4" w:space="0" w:color="auto"/>
              <w:right w:val="single" w:sz="4" w:space="0" w:color="auto"/>
            </w:tcBorders>
            <w:shd w:val="clear" w:color="000000" w:fill="auto"/>
            <w:noWrap/>
            <w:hideMark/>
          </w:tcPr>
          <w:p w14:paraId="24E23759"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7</w:t>
            </w:r>
          </w:p>
        </w:tc>
        <w:tc>
          <w:tcPr>
            <w:tcW w:w="3493" w:type="pct"/>
            <w:tcBorders>
              <w:top w:val="nil"/>
              <w:left w:val="nil"/>
              <w:bottom w:val="single" w:sz="4" w:space="0" w:color="auto"/>
              <w:right w:val="single" w:sz="4" w:space="0" w:color="auto"/>
            </w:tcBorders>
            <w:shd w:val="clear" w:color="auto" w:fill="auto"/>
            <w:hideMark/>
          </w:tcPr>
          <w:p w14:paraId="1572051C"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should be able to block unauthenticated/ rogue machine without giving any access to the network. The solution should be able to control the user even before IP address is assigned. It should act as a pre-admission solution(802.1x)</w:t>
            </w:r>
          </w:p>
        </w:tc>
        <w:tc>
          <w:tcPr>
            <w:tcW w:w="638" w:type="pct"/>
            <w:tcBorders>
              <w:top w:val="nil"/>
              <w:left w:val="nil"/>
              <w:bottom w:val="single" w:sz="4" w:space="0" w:color="auto"/>
              <w:right w:val="single" w:sz="4" w:space="0" w:color="auto"/>
            </w:tcBorders>
            <w:shd w:val="clear" w:color="auto" w:fill="auto"/>
            <w:hideMark/>
          </w:tcPr>
          <w:p w14:paraId="523ACA5A"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3471CDF7"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3D3909CD" w14:textId="77777777" w:rsidTr="00E73613">
        <w:trPr>
          <w:trHeight w:val="765"/>
        </w:trPr>
        <w:tc>
          <w:tcPr>
            <w:tcW w:w="176" w:type="pct"/>
            <w:tcBorders>
              <w:top w:val="nil"/>
              <w:left w:val="single" w:sz="4" w:space="0" w:color="auto"/>
              <w:bottom w:val="single" w:sz="4" w:space="0" w:color="auto"/>
              <w:right w:val="single" w:sz="4" w:space="0" w:color="auto"/>
            </w:tcBorders>
            <w:shd w:val="clear" w:color="000000" w:fill="auto"/>
            <w:noWrap/>
            <w:hideMark/>
          </w:tcPr>
          <w:p w14:paraId="063CE22C"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8</w:t>
            </w:r>
          </w:p>
        </w:tc>
        <w:tc>
          <w:tcPr>
            <w:tcW w:w="3493" w:type="pct"/>
            <w:tcBorders>
              <w:top w:val="nil"/>
              <w:left w:val="nil"/>
              <w:bottom w:val="single" w:sz="4" w:space="0" w:color="auto"/>
              <w:right w:val="single" w:sz="4" w:space="0" w:color="auto"/>
            </w:tcBorders>
            <w:shd w:val="clear" w:color="auto" w:fill="auto"/>
            <w:hideMark/>
          </w:tcPr>
          <w:p w14:paraId="68BD7844"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must support agent-based / agentless deployment and provide deep compliance check for Meeting regulatory compliance requirements of RBI, ISO 27001, other Government bodies etc. revolve around knowing “who, what, when and where” for devices and users on your network and controlling access to the data your company needs to keep secure.</w:t>
            </w:r>
          </w:p>
        </w:tc>
        <w:tc>
          <w:tcPr>
            <w:tcW w:w="638" w:type="pct"/>
            <w:tcBorders>
              <w:top w:val="nil"/>
              <w:left w:val="nil"/>
              <w:bottom w:val="single" w:sz="4" w:space="0" w:color="auto"/>
              <w:right w:val="single" w:sz="4" w:space="0" w:color="auto"/>
            </w:tcBorders>
            <w:shd w:val="clear" w:color="auto" w:fill="auto"/>
            <w:hideMark/>
          </w:tcPr>
          <w:p w14:paraId="47BBB114"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06852715"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0DDE72E5" w14:textId="77777777" w:rsidTr="00E73613">
        <w:trPr>
          <w:trHeight w:val="510"/>
        </w:trPr>
        <w:tc>
          <w:tcPr>
            <w:tcW w:w="176" w:type="pct"/>
            <w:tcBorders>
              <w:top w:val="nil"/>
              <w:left w:val="single" w:sz="4" w:space="0" w:color="auto"/>
              <w:bottom w:val="single" w:sz="4" w:space="0" w:color="auto"/>
              <w:right w:val="single" w:sz="4" w:space="0" w:color="auto"/>
            </w:tcBorders>
            <w:shd w:val="clear" w:color="000000" w:fill="auto"/>
            <w:noWrap/>
            <w:hideMark/>
          </w:tcPr>
          <w:p w14:paraId="5039C7A7"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9</w:t>
            </w:r>
          </w:p>
        </w:tc>
        <w:tc>
          <w:tcPr>
            <w:tcW w:w="3493" w:type="pct"/>
            <w:tcBorders>
              <w:top w:val="nil"/>
              <w:left w:val="nil"/>
              <w:bottom w:val="single" w:sz="4" w:space="0" w:color="auto"/>
              <w:right w:val="single" w:sz="4" w:space="0" w:color="auto"/>
            </w:tcBorders>
            <w:shd w:val="clear" w:color="auto" w:fill="auto"/>
            <w:hideMark/>
          </w:tcPr>
          <w:p w14:paraId="53AD24C3"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should dynamically profile endpoints discovered on the network, based on the configured endpoint profiling policies, and automatically assign respective endpoint attributes</w:t>
            </w:r>
          </w:p>
        </w:tc>
        <w:tc>
          <w:tcPr>
            <w:tcW w:w="638" w:type="pct"/>
            <w:tcBorders>
              <w:top w:val="nil"/>
              <w:left w:val="nil"/>
              <w:bottom w:val="single" w:sz="4" w:space="0" w:color="auto"/>
              <w:right w:val="single" w:sz="4" w:space="0" w:color="auto"/>
            </w:tcBorders>
            <w:shd w:val="clear" w:color="auto" w:fill="auto"/>
            <w:hideMark/>
          </w:tcPr>
          <w:p w14:paraId="3468378A"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1D2775C9"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78320786" w14:textId="77777777" w:rsidTr="00E73613">
        <w:trPr>
          <w:trHeight w:val="510"/>
        </w:trPr>
        <w:tc>
          <w:tcPr>
            <w:tcW w:w="176" w:type="pct"/>
            <w:tcBorders>
              <w:top w:val="nil"/>
              <w:left w:val="single" w:sz="4" w:space="0" w:color="auto"/>
              <w:bottom w:val="single" w:sz="4" w:space="0" w:color="auto"/>
              <w:right w:val="single" w:sz="4" w:space="0" w:color="auto"/>
            </w:tcBorders>
            <w:shd w:val="clear" w:color="000000" w:fill="auto"/>
            <w:noWrap/>
            <w:hideMark/>
          </w:tcPr>
          <w:p w14:paraId="29EA6A9F"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10</w:t>
            </w:r>
          </w:p>
        </w:tc>
        <w:tc>
          <w:tcPr>
            <w:tcW w:w="3493" w:type="pct"/>
            <w:tcBorders>
              <w:top w:val="nil"/>
              <w:left w:val="nil"/>
              <w:bottom w:val="single" w:sz="4" w:space="0" w:color="auto"/>
              <w:right w:val="single" w:sz="4" w:space="0" w:color="auto"/>
            </w:tcBorders>
            <w:shd w:val="clear" w:color="auto" w:fill="auto"/>
            <w:hideMark/>
          </w:tcPr>
          <w:p w14:paraId="21092EC7"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should use a combination of techniques like DHCP, browser data, MAC addresses, network devices, external databases etc to track and identify devices on a network or web environment</w:t>
            </w:r>
          </w:p>
        </w:tc>
        <w:tc>
          <w:tcPr>
            <w:tcW w:w="638" w:type="pct"/>
            <w:tcBorders>
              <w:top w:val="nil"/>
              <w:left w:val="nil"/>
              <w:bottom w:val="single" w:sz="4" w:space="0" w:color="auto"/>
              <w:right w:val="single" w:sz="4" w:space="0" w:color="auto"/>
            </w:tcBorders>
            <w:shd w:val="clear" w:color="auto" w:fill="auto"/>
            <w:hideMark/>
          </w:tcPr>
          <w:p w14:paraId="78545A09"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570F11FD"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32ECEAB8" w14:textId="77777777" w:rsidTr="00E73613">
        <w:trPr>
          <w:trHeight w:val="255"/>
        </w:trPr>
        <w:tc>
          <w:tcPr>
            <w:tcW w:w="176" w:type="pct"/>
            <w:tcBorders>
              <w:top w:val="nil"/>
              <w:left w:val="single" w:sz="4" w:space="0" w:color="auto"/>
              <w:bottom w:val="single" w:sz="4" w:space="0" w:color="auto"/>
              <w:right w:val="single" w:sz="4" w:space="0" w:color="auto"/>
            </w:tcBorders>
            <w:shd w:val="clear" w:color="000000" w:fill="auto"/>
            <w:noWrap/>
            <w:hideMark/>
          </w:tcPr>
          <w:p w14:paraId="3257A01C"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11</w:t>
            </w:r>
          </w:p>
        </w:tc>
        <w:tc>
          <w:tcPr>
            <w:tcW w:w="3493" w:type="pct"/>
            <w:tcBorders>
              <w:top w:val="nil"/>
              <w:left w:val="nil"/>
              <w:bottom w:val="single" w:sz="4" w:space="0" w:color="auto"/>
              <w:right w:val="single" w:sz="4" w:space="0" w:color="auto"/>
            </w:tcBorders>
            <w:shd w:val="clear" w:color="auto" w:fill="auto"/>
            <w:hideMark/>
          </w:tcPr>
          <w:p w14:paraId="66A61289"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should dynamically authorize endpoints based on user group, profile &amp; posture properties to respective vlan or network</w:t>
            </w:r>
          </w:p>
        </w:tc>
        <w:tc>
          <w:tcPr>
            <w:tcW w:w="638" w:type="pct"/>
            <w:tcBorders>
              <w:top w:val="nil"/>
              <w:left w:val="nil"/>
              <w:bottom w:val="single" w:sz="4" w:space="0" w:color="auto"/>
              <w:right w:val="single" w:sz="4" w:space="0" w:color="auto"/>
            </w:tcBorders>
            <w:shd w:val="clear" w:color="auto" w:fill="auto"/>
            <w:hideMark/>
          </w:tcPr>
          <w:p w14:paraId="0C21ECBC"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0C83AF68"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005BA700" w14:textId="77777777" w:rsidTr="00E73613">
        <w:trPr>
          <w:trHeight w:val="255"/>
        </w:trPr>
        <w:tc>
          <w:tcPr>
            <w:tcW w:w="176" w:type="pct"/>
            <w:tcBorders>
              <w:top w:val="nil"/>
              <w:left w:val="single" w:sz="4" w:space="0" w:color="auto"/>
              <w:bottom w:val="single" w:sz="4" w:space="0" w:color="auto"/>
              <w:right w:val="single" w:sz="4" w:space="0" w:color="auto"/>
            </w:tcBorders>
            <w:shd w:val="clear" w:color="000000" w:fill="auto"/>
            <w:noWrap/>
            <w:hideMark/>
          </w:tcPr>
          <w:p w14:paraId="45F568B0"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12</w:t>
            </w:r>
          </w:p>
        </w:tc>
        <w:tc>
          <w:tcPr>
            <w:tcW w:w="3493" w:type="pct"/>
            <w:tcBorders>
              <w:top w:val="nil"/>
              <w:left w:val="nil"/>
              <w:bottom w:val="single" w:sz="4" w:space="0" w:color="auto"/>
              <w:right w:val="single" w:sz="4" w:space="0" w:color="auto"/>
            </w:tcBorders>
            <w:shd w:val="clear" w:color="auto" w:fill="auto"/>
            <w:hideMark/>
          </w:tcPr>
          <w:p w14:paraId="72BE0B97"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shall be a vendor-agonistic solution suited for heterogeneous networks.</w:t>
            </w:r>
          </w:p>
        </w:tc>
        <w:tc>
          <w:tcPr>
            <w:tcW w:w="638" w:type="pct"/>
            <w:tcBorders>
              <w:top w:val="nil"/>
              <w:left w:val="nil"/>
              <w:bottom w:val="single" w:sz="4" w:space="0" w:color="auto"/>
              <w:right w:val="single" w:sz="4" w:space="0" w:color="auto"/>
            </w:tcBorders>
            <w:shd w:val="clear" w:color="auto" w:fill="auto"/>
            <w:hideMark/>
          </w:tcPr>
          <w:p w14:paraId="7FCF9005"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58D50CDF"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100CD02A" w14:textId="77777777" w:rsidTr="00E73613">
        <w:trPr>
          <w:trHeight w:val="255"/>
        </w:trPr>
        <w:tc>
          <w:tcPr>
            <w:tcW w:w="176" w:type="pct"/>
            <w:tcBorders>
              <w:top w:val="nil"/>
              <w:left w:val="single" w:sz="4" w:space="0" w:color="auto"/>
              <w:bottom w:val="single" w:sz="4" w:space="0" w:color="auto"/>
              <w:right w:val="single" w:sz="4" w:space="0" w:color="auto"/>
            </w:tcBorders>
            <w:shd w:val="clear" w:color="000000" w:fill="auto"/>
            <w:noWrap/>
            <w:hideMark/>
          </w:tcPr>
          <w:p w14:paraId="57225243"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13</w:t>
            </w:r>
          </w:p>
        </w:tc>
        <w:tc>
          <w:tcPr>
            <w:tcW w:w="3493" w:type="pct"/>
            <w:tcBorders>
              <w:top w:val="nil"/>
              <w:left w:val="nil"/>
              <w:bottom w:val="single" w:sz="4" w:space="0" w:color="auto"/>
              <w:right w:val="single" w:sz="4" w:space="0" w:color="auto"/>
            </w:tcBorders>
            <w:shd w:val="clear" w:color="auto" w:fill="auto"/>
            <w:hideMark/>
          </w:tcPr>
          <w:p w14:paraId="5ABAB513"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should support authentication protocols including PAP,MS-CHAP,PEAP and EAP-TLS and 802.1X Single Sign-On (SSO)</w:t>
            </w:r>
          </w:p>
        </w:tc>
        <w:tc>
          <w:tcPr>
            <w:tcW w:w="638" w:type="pct"/>
            <w:tcBorders>
              <w:top w:val="nil"/>
              <w:left w:val="nil"/>
              <w:bottom w:val="single" w:sz="4" w:space="0" w:color="auto"/>
              <w:right w:val="single" w:sz="4" w:space="0" w:color="auto"/>
            </w:tcBorders>
            <w:shd w:val="clear" w:color="auto" w:fill="auto"/>
            <w:hideMark/>
          </w:tcPr>
          <w:p w14:paraId="47C16EDF"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62C73A1A"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2D8B7CFF" w14:textId="77777777" w:rsidTr="00E73613">
        <w:trPr>
          <w:trHeight w:val="255"/>
        </w:trPr>
        <w:tc>
          <w:tcPr>
            <w:tcW w:w="176" w:type="pct"/>
            <w:tcBorders>
              <w:top w:val="nil"/>
              <w:left w:val="single" w:sz="4" w:space="0" w:color="auto"/>
              <w:bottom w:val="single" w:sz="4" w:space="0" w:color="auto"/>
              <w:right w:val="single" w:sz="4" w:space="0" w:color="auto"/>
            </w:tcBorders>
            <w:shd w:val="clear" w:color="000000" w:fill="auto"/>
            <w:noWrap/>
            <w:hideMark/>
          </w:tcPr>
          <w:p w14:paraId="569A9121"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14</w:t>
            </w:r>
          </w:p>
        </w:tc>
        <w:tc>
          <w:tcPr>
            <w:tcW w:w="3493" w:type="pct"/>
            <w:tcBorders>
              <w:top w:val="nil"/>
              <w:left w:val="nil"/>
              <w:bottom w:val="single" w:sz="4" w:space="0" w:color="auto"/>
              <w:right w:val="single" w:sz="4" w:space="0" w:color="auto"/>
            </w:tcBorders>
            <w:shd w:val="clear" w:color="auto" w:fill="auto"/>
            <w:hideMark/>
          </w:tcPr>
          <w:p w14:paraId="02BE8FD6"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should be able to profile IoT /IIoT devices and assign relevant network</w:t>
            </w:r>
          </w:p>
        </w:tc>
        <w:tc>
          <w:tcPr>
            <w:tcW w:w="638" w:type="pct"/>
            <w:tcBorders>
              <w:top w:val="nil"/>
              <w:left w:val="nil"/>
              <w:bottom w:val="single" w:sz="4" w:space="0" w:color="auto"/>
              <w:right w:val="single" w:sz="4" w:space="0" w:color="auto"/>
            </w:tcBorders>
            <w:shd w:val="clear" w:color="auto" w:fill="auto"/>
            <w:hideMark/>
          </w:tcPr>
          <w:p w14:paraId="63A0A6FC"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2532EBC4"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1585721E" w14:textId="77777777" w:rsidTr="00E73613">
        <w:trPr>
          <w:trHeight w:val="255"/>
        </w:trPr>
        <w:tc>
          <w:tcPr>
            <w:tcW w:w="176" w:type="pct"/>
            <w:tcBorders>
              <w:top w:val="nil"/>
              <w:left w:val="single" w:sz="4" w:space="0" w:color="auto"/>
              <w:bottom w:val="single" w:sz="4" w:space="0" w:color="auto"/>
              <w:right w:val="single" w:sz="4" w:space="0" w:color="auto"/>
            </w:tcBorders>
            <w:shd w:val="clear" w:color="000000" w:fill="auto"/>
            <w:noWrap/>
            <w:hideMark/>
          </w:tcPr>
          <w:p w14:paraId="5B46FE5A"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15</w:t>
            </w:r>
          </w:p>
        </w:tc>
        <w:tc>
          <w:tcPr>
            <w:tcW w:w="3493" w:type="pct"/>
            <w:tcBorders>
              <w:top w:val="nil"/>
              <w:left w:val="nil"/>
              <w:bottom w:val="single" w:sz="4" w:space="0" w:color="auto"/>
              <w:right w:val="single" w:sz="4" w:space="0" w:color="auto"/>
            </w:tcBorders>
            <w:shd w:val="clear" w:color="auto" w:fill="auto"/>
            <w:hideMark/>
          </w:tcPr>
          <w:p w14:paraId="4D98B9FB"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should integrate with AD/LDAP server for authentication</w:t>
            </w:r>
          </w:p>
        </w:tc>
        <w:tc>
          <w:tcPr>
            <w:tcW w:w="638" w:type="pct"/>
            <w:tcBorders>
              <w:top w:val="nil"/>
              <w:left w:val="nil"/>
              <w:bottom w:val="single" w:sz="4" w:space="0" w:color="auto"/>
              <w:right w:val="single" w:sz="4" w:space="0" w:color="auto"/>
            </w:tcBorders>
            <w:shd w:val="clear" w:color="auto" w:fill="auto"/>
            <w:hideMark/>
          </w:tcPr>
          <w:p w14:paraId="7723B29D"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2F882879"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79231AF1" w14:textId="77777777" w:rsidTr="00E73613">
        <w:trPr>
          <w:trHeight w:val="510"/>
        </w:trPr>
        <w:tc>
          <w:tcPr>
            <w:tcW w:w="176" w:type="pct"/>
            <w:tcBorders>
              <w:top w:val="nil"/>
              <w:left w:val="single" w:sz="4" w:space="0" w:color="auto"/>
              <w:bottom w:val="single" w:sz="4" w:space="0" w:color="auto"/>
              <w:right w:val="single" w:sz="4" w:space="0" w:color="auto"/>
            </w:tcBorders>
            <w:shd w:val="clear" w:color="000000" w:fill="auto"/>
            <w:noWrap/>
            <w:hideMark/>
          </w:tcPr>
          <w:p w14:paraId="3B77994D"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16</w:t>
            </w:r>
          </w:p>
        </w:tc>
        <w:tc>
          <w:tcPr>
            <w:tcW w:w="3493" w:type="pct"/>
            <w:tcBorders>
              <w:top w:val="nil"/>
              <w:left w:val="nil"/>
              <w:bottom w:val="single" w:sz="4" w:space="0" w:color="auto"/>
              <w:right w:val="single" w:sz="4" w:space="0" w:color="auto"/>
            </w:tcBorders>
            <w:shd w:val="clear" w:color="auto" w:fill="auto"/>
            <w:hideMark/>
          </w:tcPr>
          <w:p w14:paraId="764105D9" w14:textId="6CB22EDB"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should provid wide range of access control mechanisms, including downloadable access control lists (dACLs), VLAN assign</w:t>
            </w:r>
            <w:r w:rsidR="00426FCC">
              <w:rPr>
                <w:rFonts w:ascii="Calibri" w:eastAsia="Times New Roman" w:hAnsi="Calibri" w:cs="Calibri"/>
                <w:sz w:val="20"/>
                <w:szCs w:val="20"/>
                <w:lang w:val="en-GB" w:eastAsia="en-GB"/>
              </w:rPr>
              <w:t>ments, URL redirect or equivale</w:t>
            </w:r>
            <w:r w:rsidRPr="00985D46">
              <w:rPr>
                <w:rFonts w:ascii="Calibri" w:eastAsia="Times New Roman" w:hAnsi="Calibri" w:cs="Calibri"/>
                <w:sz w:val="20"/>
                <w:szCs w:val="20"/>
                <w:lang w:val="en-GB" w:eastAsia="en-GB"/>
              </w:rPr>
              <w:t>nt.</w:t>
            </w:r>
          </w:p>
        </w:tc>
        <w:tc>
          <w:tcPr>
            <w:tcW w:w="638" w:type="pct"/>
            <w:tcBorders>
              <w:top w:val="nil"/>
              <w:left w:val="nil"/>
              <w:bottom w:val="single" w:sz="4" w:space="0" w:color="auto"/>
              <w:right w:val="single" w:sz="4" w:space="0" w:color="auto"/>
            </w:tcBorders>
            <w:shd w:val="clear" w:color="auto" w:fill="auto"/>
            <w:hideMark/>
          </w:tcPr>
          <w:p w14:paraId="378A3EBC"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4D957129"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61974043" w14:textId="77777777" w:rsidTr="00E73613">
        <w:trPr>
          <w:trHeight w:val="255"/>
        </w:trPr>
        <w:tc>
          <w:tcPr>
            <w:tcW w:w="176" w:type="pct"/>
            <w:tcBorders>
              <w:top w:val="nil"/>
              <w:left w:val="single" w:sz="4" w:space="0" w:color="auto"/>
              <w:bottom w:val="single" w:sz="4" w:space="0" w:color="auto"/>
              <w:right w:val="single" w:sz="4" w:space="0" w:color="auto"/>
            </w:tcBorders>
            <w:shd w:val="clear" w:color="000000" w:fill="auto"/>
            <w:noWrap/>
            <w:hideMark/>
          </w:tcPr>
          <w:p w14:paraId="52CD82B7"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17</w:t>
            </w:r>
          </w:p>
        </w:tc>
        <w:tc>
          <w:tcPr>
            <w:tcW w:w="3493" w:type="pct"/>
            <w:tcBorders>
              <w:top w:val="nil"/>
              <w:left w:val="nil"/>
              <w:bottom w:val="single" w:sz="4" w:space="0" w:color="auto"/>
              <w:right w:val="single" w:sz="4" w:space="0" w:color="auto"/>
            </w:tcBorders>
            <w:shd w:val="clear" w:color="000000" w:fill="auto"/>
            <w:hideMark/>
          </w:tcPr>
          <w:p w14:paraId="311C875D"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should support the following endpoint checks for compliance for windows endpoints</w:t>
            </w:r>
          </w:p>
        </w:tc>
        <w:tc>
          <w:tcPr>
            <w:tcW w:w="638" w:type="pct"/>
            <w:tcBorders>
              <w:top w:val="nil"/>
              <w:left w:val="nil"/>
              <w:bottom w:val="single" w:sz="4" w:space="0" w:color="auto"/>
              <w:right w:val="single" w:sz="4" w:space="0" w:color="auto"/>
            </w:tcBorders>
            <w:shd w:val="clear" w:color="auto" w:fill="auto"/>
            <w:hideMark/>
          </w:tcPr>
          <w:p w14:paraId="2E81CF4E"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44FAB8FB"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5D4D8149" w14:textId="77777777" w:rsidTr="00E73613">
        <w:trPr>
          <w:trHeight w:val="255"/>
        </w:trPr>
        <w:tc>
          <w:tcPr>
            <w:tcW w:w="176" w:type="pct"/>
            <w:tcBorders>
              <w:top w:val="nil"/>
              <w:left w:val="single" w:sz="4" w:space="0" w:color="auto"/>
              <w:bottom w:val="single" w:sz="4" w:space="0" w:color="auto"/>
              <w:right w:val="single" w:sz="4" w:space="0" w:color="auto"/>
            </w:tcBorders>
            <w:shd w:val="clear" w:color="000000" w:fill="auto"/>
            <w:noWrap/>
            <w:hideMark/>
          </w:tcPr>
          <w:p w14:paraId="02892455"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a</w:t>
            </w:r>
          </w:p>
        </w:tc>
        <w:tc>
          <w:tcPr>
            <w:tcW w:w="3493" w:type="pct"/>
            <w:tcBorders>
              <w:top w:val="nil"/>
              <w:left w:val="nil"/>
              <w:bottom w:val="single" w:sz="4" w:space="0" w:color="auto"/>
              <w:right w:val="single" w:sz="4" w:space="0" w:color="auto"/>
            </w:tcBorders>
            <w:shd w:val="clear" w:color="000000" w:fill="auto"/>
            <w:hideMark/>
          </w:tcPr>
          <w:p w14:paraId="62438A1F"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Check operating system/service packs/hotfixes .</w:t>
            </w:r>
          </w:p>
        </w:tc>
        <w:tc>
          <w:tcPr>
            <w:tcW w:w="638" w:type="pct"/>
            <w:tcBorders>
              <w:top w:val="nil"/>
              <w:left w:val="nil"/>
              <w:bottom w:val="single" w:sz="4" w:space="0" w:color="auto"/>
              <w:right w:val="single" w:sz="4" w:space="0" w:color="auto"/>
            </w:tcBorders>
            <w:shd w:val="clear" w:color="auto" w:fill="auto"/>
            <w:hideMark/>
          </w:tcPr>
          <w:p w14:paraId="5416BEC6"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07A197E9"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2A5C23B8" w14:textId="77777777" w:rsidTr="00E73613">
        <w:trPr>
          <w:trHeight w:val="510"/>
        </w:trPr>
        <w:tc>
          <w:tcPr>
            <w:tcW w:w="176" w:type="pct"/>
            <w:tcBorders>
              <w:top w:val="nil"/>
              <w:left w:val="single" w:sz="4" w:space="0" w:color="auto"/>
              <w:bottom w:val="single" w:sz="4" w:space="0" w:color="auto"/>
              <w:right w:val="single" w:sz="4" w:space="0" w:color="auto"/>
            </w:tcBorders>
            <w:shd w:val="clear" w:color="000000" w:fill="auto"/>
            <w:noWrap/>
            <w:hideMark/>
          </w:tcPr>
          <w:p w14:paraId="0165BDD7"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b</w:t>
            </w:r>
          </w:p>
        </w:tc>
        <w:tc>
          <w:tcPr>
            <w:tcW w:w="3493" w:type="pct"/>
            <w:tcBorders>
              <w:top w:val="nil"/>
              <w:left w:val="nil"/>
              <w:bottom w:val="single" w:sz="4" w:space="0" w:color="auto"/>
              <w:right w:val="single" w:sz="4" w:space="0" w:color="auto"/>
            </w:tcBorders>
            <w:shd w:val="clear" w:color="000000" w:fill="auto"/>
            <w:hideMark/>
          </w:tcPr>
          <w:p w14:paraId="37309F4C"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Check process, registry, file &amp; application .</w:t>
            </w:r>
          </w:p>
        </w:tc>
        <w:tc>
          <w:tcPr>
            <w:tcW w:w="638" w:type="pct"/>
            <w:tcBorders>
              <w:top w:val="nil"/>
              <w:left w:val="nil"/>
              <w:bottom w:val="single" w:sz="4" w:space="0" w:color="auto"/>
              <w:right w:val="single" w:sz="4" w:space="0" w:color="auto"/>
            </w:tcBorders>
            <w:shd w:val="clear" w:color="auto" w:fill="auto"/>
            <w:hideMark/>
          </w:tcPr>
          <w:p w14:paraId="5F5BF74F"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662B68B0"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7F0E22D9" w14:textId="77777777" w:rsidTr="00E73613">
        <w:trPr>
          <w:trHeight w:val="255"/>
        </w:trPr>
        <w:tc>
          <w:tcPr>
            <w:tcW w:w="176" w:type="pct"/>
            <w:tcBorders>
              <w:top w:val="nil"/>
              <w:left w:val="single" w:sz="4" w:space="0" w:color="auto"/>
              <w:bottom w:val="single" w:sz="4" w:space="0" w:color="auto"/>
              <w:right w:val="single" w:sz="4" w:space="0" w:color="auto"/>
            </w:tcBorders>
            <w:shd w:val="clear" w:color="000000" w:fill="auto"/>
            <w:noWrap/>
            <w:hideMark/>
          </w:tcPr>
          <w:p w14:paraId="2BD32662"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c</w:t>
            </w:r>
          </w:p>
        </w:tc>
        <w:tc>
          <w:tcPr>
            <w:tcW w:w="3493" w:type="pct"/>
            <w:tcBorders>
              <w:top w:val="nil"/>
              <w:left w:val="nil"/>
              <w:bottom w:val="single" w:sz="4" w:space="0" w:color="auto"/>
              <w:right w:val="single" w:sz="4" w:space="0" w:color="auto"/>
            </w:tcBorders>
            <w:shd w:val="clear" w:color="000000" w:fill="auto"/>
            <w:hideMark/>
          </w:tcPr>
          <w:p w14:paraId="5E743D97"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Check for Anti-malware installation/Version/ Anti-malware signature Definition Date</w:t>
            </w:r>
          </w:p>
        </w:tc>
        <w:tc>
          <w:tcPr>
            <w:tcW w:w="638" w:type="pct"/>
            <w:tcBorders>
              <w:top w:val="nil"/>
              <w:left w:val="nil"/>
              <w:bottom w:val="single" w:sz="4" w:space="0" w:color="auto"/>
              <w:right w:val="single" w:sz="4" w:space="0" w:color="auto"/>
            </w:tcBorders>
            <w:shd w:val="clear" w:color="auto" w:fill="auto"/>
            <w:hideMark/>
          </w:tcPr>
          <w:p w14:paraId="2C6BA857"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3925ED52"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45AD0AA5" w14:textId="77777777" w:rsidTr="00E73613">
        <w:trPr>
          <w:trHeight w:val="255"/>
        </w:trPr>
        <w:tc>
          <w:tcPr>
            <w:tcW w:w="176" w:type="pct"/>
            <w:tcBorders>
              <w:top w:val="nil"/>
              <w:left w:val="single" w:sz="4" w:space="0" w:color="auto"/>
              <w:bottom w:val="single" w:sz="4" w:space="0" w:color="auto"/>
              <w:right w:val="single" w:sz="4" w:space="0" w:color="auto"/>
            </w:tcBorders>
            <w:shd w:val="clear" w:color="000000" w:fill="auto"/>
            <w:noWrap/>
            <w:hideMark/>
          </w:tcPr>
          <w:p w14:paraId="5C5BEAA6"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d</w:t>
            </w:r>
          </w:p>
        </w:tc>
        <w:tc>
          <w:tcPr>
            <w:tcW w:w="3493" w:type="pct"/>
            <w:tcBorders>
              <w:top w:val="nil"/>
              <w:left w:val="nil"/>
              <w:bottom w:val="single" w:sz="4" w:space="0" w:color="auto"/>
              <w:right w:val="single" w:sz="4" w:space="0" w:color="auto"/>
            </w:tcBorders>
            <w:shd w:val="clear" w:color="000000" w:fill="auto"/>
            <w:hideMark/>
          </w:tcPr>
          <w:p w14:paraId="4D45BA0C"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Check for windows update running &amp; configuration</w:t>
            </w:r>
          </w:p>
        </w:tc>
        <w:tc>
          <w:tcPr>
            <w:tcW w:w="638" w:type="pct"/>
            <w:tcBorders>
              <w:top w:val="nil"/>
              <w:left w:val="nil"/>
              <w:bottom w:val="single" w:sz="4" w:space="0" w:color="auto"/>
              <w:right w:val="single" w:sz="4" w:space="0" w:color="auto"/>
            </w:tcBorders>
            <w:shd w:val="clear" w:color="auto" w:fill="auto"/>
            <w:hideMark/>
          </w:tcPr>
          <w:p w14:paraId="06FF2CBD"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066401FD"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175C0D3A" w14:textId="77777777" w:rsidTr="00E73613">
        <w:trPr>
          <w:trHeight w:val="255"/>
        </w:trPr>
        <w:tc>
          <w:tcPr>
            <w:tcW w:w="176" w:type="pct"/>
            <w:tcBorders>
              <w:top w:val="nil"/>
              <w:left w:val="single" w:sz="4" w:space="0" w:color="auto"/>
              <w:bottom w:val="single" w:sz="4" w:space="0" w:color="auto"/>
              <w:right w:val="single" w:sz="4" w:space="0" w:color="auto"/>
            </w:tcBorders>
            <w:shd w:val="clear" w:color="000000" w:fill="auto"/>
            <w:noWrap/>
            <w:hideMark/>
          </w:tcPr>
          <w:p w14:paraId="1A7E3D93"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e</w:t>
            </w:r>
          </w:p>
        </w:tc>
        <w:tc>
          <w:tcPr>
            <w:tcW w:w="3493" w:type="pct"/>
            <w:tcBorders>
              <w:top w:val="nil"/>
              <w:left w:val="nil"/>
              <w:bottom w:val="single" w:sz="4" w:space="0" w:color="auto"/>
              <w:right w:val="single" w:sz="4" w:space="0" w:color="auto"/>
            </w:tcBorders>
            <w:shd w:val="clear" w:color="000000" w:fill="auto"/>
            <w:hideMark/>
          </w:tcPr>
          <w:p w14:paraId="780CFDE0"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Check domain joined or not</w:t>
            </w:r>
          </w:p>
        </w:tc>
        <w:tc>
          <w:tcPr>
            <w:tcW w:w="638" w:type="pct"/>
            <w:tcBorders>
              <w:top w:val="nil"/>
              <w:left w:val="nil"/>
              <w:bottom w:val="single" w:sz="4" w:space="0" w:color="auto"/>
              <w:right w:val="single" w:sz="4" w:space="0" w:color="auto"/>
            </w:tcBorders>
            <w:shd w:val="clear" w:color="auto" w:fill="auto"/>
            <w:hideMark/>
          </w:tcPr>
          <w:p w14:paraId="25747389"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7F811DAA"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47A528EE" w14:textId="77777777" w:rsidTr="00E73613">
        <w:trPr>
          <w:trHeight w:val="255"/>
        </w:trPr>
        <w:tc>
          <w:tcPr>
            <w:tcW w:w="176" w:type="pct"/>
            <w:tcBorders>
              <w:top w:val="nil"/>
              <w:left w:val="single" w:sz="4" w:space="0" w:color="auto"/>
              <w:bottom w:val="single" w:sz="4" w:space="0" w:color="auto"/>
              <w:right w:val="single" w:sz="4" w:space="0" w:color="auto"/>
            </w:tcBorders>
            <w:shd w:val="clear" w:color="000000" w:fill="auto"/>
            <w:noWrap/>
            <w:hideMark/>
          </w:tcPr>
          <w:p w14:paraId="41743752"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f</w:t>
            </w:r>
          </w:p>
        </w:tc>
        <w:tc>
          <w:tcPr>
            <w:tcW w:w="3493" w:type="pct"/>
            <w:tcBorders>
              <w:top w:val="nil"/>
              <w:left w:val="nil"/>
              <w:bottom w:val="single" w:sz="4" w:space="0" w:color="auto"/>
              <w:right w:val="single" w:sz="4" w:space="0" w:color="auto"/>
            </w:tcBorders>
            <w:shd w:val="clear" w:color="000000" w:fill="auto"/>
            <w:hideMark/>
          </w:tcPr>
          <w:p w14:paraId="227B290C"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Execute custom scripts</w:t>
            </w:r>
          </w:p>
        </w:tc>
        <w:tc>
          <w:tcPr>
            <w:tcW w:w="638" w:type="pct"/>
            <w:tcBorders>
              <w:top w:val="nil"/>
              <w:left w:val="nil"/>
              <w:bottom w:val="single" w:sz="4" w:space="0" w:color="auto"/>
              <w:right w:val="single" w:sz="4" w:space="0" w:color="auto"/>
            </w:tcBorders>
            <w:shd w:val="clear" w:color="auto" w:fill="auto"/>
            <w:hideMark/>
          </w:tcPr>
          <w:p w14:paraId="69E2662E"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2D76F516"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5EBAA593" w14:textId="77777777" w:rsidTr="00E73613">
        <w:trPr>
          <w:trHeight w:val="255"/>
        </w:trPr>
        <w:tc>
          <w:tcPr>
            <w:tcW w:w="176" w:type="pct"/>
            <w:tcBorders>
              <w:top w:val="nil"/>
              <w:left w:val="single" w:sz="4" w:space="0" w:color="auto"/>
              <w:bottom w:val="single" w:sz="4" w:space="0" w:color="auto"/>
              <w:right w:val="single" w:sz="4" w:space="0" w:color="auto"/>
            </w:tcBorders>
            <w:shd w:val="clear" w:color="000000" w:fill="auto"/>
            <w:noWrap/>
            <w:hideMark/>
          </w:tcPr>
          <w:p w14:paraId="2620076E"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g</w:t>
            </w:r>
          </w:p>
        </w:tc>
        <w:tc>
          <w:tcPr>
            <w:tcW w:w="3493" w:type="pct"/>
            <w:tcBorders>
              <w:top w:val="nil"/>
              <w:left w:val="nil"/>
              <w:bottom w:val="single" w:sz="4" w:space="0" w:color="auto"/>
              <w:right w:val="single" w:sz="4" w:space="0" w:color="auto"/>
            </w:tcBorders>
            <w:shd w:val="clear" w:color="000000" w:fill="auto"/>
            <w:hideMark/>
          </w:tcPr>
          <w:p w14:paraId="35C9E00D"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Check Vulnerable applications installed</w:t>
            </w:r>
          </w:p>
        </w:tc>
        <w:tc>
          <w:tcPr>
            <w:tcW w:w="638" w:type="pct"/>
            <w:tcBorders>
              <w:top w:val="nil"/>
              <w:left w:val="nil"/>
              <w:bottom w:val="single" w:sz="4" w:space="0" w:color="auto"/>
              <w:right w:val="single" w:sz="4" w:space="0" w:color="auto"/>
            </w:tcBorders>
            <w:shd w:val="clear" w:color="auto" w:fill="auto"/>
            <w:hideMark/>
          </w:tcPr>
          <w:p w14:paraId="1CA52B71"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078043EE"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1E55033F" w14:textId="77777777" w:rsidTr="00E73613">
        <w:trPr>
          <w:trHeight w:val="255"/>
        </w:trPr>
        <w:tc>
          <w:tcPr>
            <w:tcW w:w="176" w:type="pct"/>
            <w:tcBorders>
              <w:top w:val="nil"/>
              <w:left w:val="single" w:sz="4" w:space="0" w:color="auto"/>
              <w:bottom w:val="single" w:sz="4" w:space="0" w:color="auto"/>
              <w:right w:val="single" w:sz="4" w:space="0" w:color="auto"/>
            </w:tcBorders>
            <w:shd w:val="clear" w:color="000000" w:fill="auto"/>
            <w:noWrap/>
            <w:hideMark/>
          </w:tcPr>
          <w:p w14:paraId="396EE75F"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18</w:t>
            </w:r>
          </w:p>
        </w:tc>
        <w:tc>
          <w:tcPr>
            <w:tcW w:w="3493" w:type="pct"/>
            <w:tcBorders>
              <w:top w:val="nil"/>
              <w:left w:val="nil"/>
              <w:bottom w:val="single" w:sz="4" w:space="0" w:color="auto"/>
              <w:right w:val="single" w:sz="4" w:space="0" w:color="auto"/>
            </w:tcBorders>
            <w:shd w:val="clear" w:color="000000" w:fill="auto"/>
            <w:hideMark/>
          </w:tcPr>
          <w:p w14:paraId="6EAF01B9"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should provide Deep Compliance checks on  from Day one.</w:t>
            </w:r>
          </w:p>
        </w:tc>
        <w:tc>
          <w:tcPr>
            <w:tcW w:w="638" w:type="pct"/>
            <w:tcBorders>
              <w:top w:val="nil"/>
              <w:left w:val="nil"/>
              <w:bottom w:val="single" w:sz="4" w:space="0" w:color="auto"/>
              <w:right w:val="single" w:sz="4" w:space="0" w:color="auto"/>
            </w:tcBorders>
            <w:shd w:val="clear" w:color="auto" w:fill="auto"/>
            <w:hideMark/>
          </w:tcPr>
          <w:p w14:paraId="4AE20AB8"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5CC22011"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066DCB2C" w14:textId="77777777" w:rsidTr="00E73613">
        <w:trPr>
          <w:trHeight w:val="255"/>
        </w:trPr>
        <w:tc>
          <w:tcPr>
            <w:tcW w:w="176" w:type="pct"/>
            <w:tcBorders>
              <w:top w:val="nil"/>
              <w:left w:val="single" w:sz="4" w:space="0" w:color="auto"/>
              <w:bottom w:val="single" w:sz="4" w:space="0" w:color="auto"/>
              <w:right w:val="single" w:sz="4" w:space="0" w:color="auto"/>
            </w:tcBorders>
            <w:shd w:val="clear" w:color="000000" w:fill="auto"/>
            <w:noWrap/>
            <w:hideMark/>
          </w:tcPr>
          <w:p w14:paraId="3E6A3DE9"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a</w:t>
            </w:r>
          </w:p>
        </w:tc>
        <w:tc>
          <w:tcPr>
            <w:tcW w:w="3493" w:type="pct"/>
            <w:tcBorders>
              <w:top w:val="nil"/>
              <w:left w:val="nil"/>
              <w:bottom w:val="single" w:sz="4" w:space="0" w:color="auto"/>
              <w:right w:val="single" w:sz="4" w:space="0" w:color="auto"/>
            </w:tcBorders>
            <w:shd w:val="clear" w:color="000000" w:fill="auto"/>
            <w:hideMark/>
          </w:tcPr>
          <w:p w14:paraId="0CD5EC10"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 xml:space="preserve">Check Specific Anti-malware product version and last signature update date </w:t>
            </w:r>
          </w:p>
        </w:tc>
        <w:tc>
          <w:tcPr>
            <w:tcW w:w="638" w:type="pct"/>
            <w:tcBorders>
              <w:top w:val="nil"/>
              <w:left w:val="nil"/>
              <w:bottom w:val="single" w:sz="4" w:space="0" w:color="auto"/>
              <w:right w:val="single" w:sz="4" w:space="0" w:color="auto"/>
            </w:tcBorders>
            <w:shd w:val="clear" w:color="auto" w:fill="auto"/>
            <w:hideMark/>
          </w:tcPr>
          <w:p w14:paraId="05CDE22E" w14:textId="77777777" w:rsidR="00985D46" w:rsidRPr="00985D46" w:rsidRDefault="00985D46" w:rsidP="00985D46">
            <w:pPr>
              <w:spacing w:after="0" w:line="240" w:lineRule="auto"/>
              <w:rPr>
                <w:rFonts w:ascii="Calibri" w:eastAsia="Times New Roman" w:hAnsi="Calibri" w:cs="Calibri"/>
                <w:color w:val="FF0000"/>
                <w:sz w:val="20"/>
                <w:szCs w:val="20"/>
                <w:lang w:val="en-GB" w:eastAsia="en-GB"/>
              </w:rPr>
            </w:pPr>
            <w:r w:rsidRPr="00985D46">
              <w:rPr>
                <w:rFonts w:ascii="Calibri" w:eastAsia="Times New Roman" w:hAnsi="Calibri" w:cs="Calibri"/>
                <w:color w:val="FF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466AB34F" w14:textId="77777777" w:rsidR="00985D46" w:rsidRPr="00985D46" w:rsidRDefault="00985D46" w:rsidP="00985D46">
            <w:pPr>
              <w:spacing w:after="0" w:line="240" w:lineRule="auto"/>
              <w:rPr>
                <w:rFonts w:ascii="Calibri" w:eastAsia="Times New Roman" w:hAnsi="Calibri" w:cs="Calibri"/>
                <w:color w:val="FF0000"/>
                <w:sz w:val="20"/>
                <w:szCs w:val="20"/>
                <w:lang w:val="en-GB" w:eastAsia="en-GB"/>
              </w:rPr>
            </w:pPr>
            <w:r w:rsidRPr="00985D46">
              <w:rPr>
                <w:rFonts w:ascii="Calibri" w:eastAsia="Times New Roman" w:hAnsi="Calibri" w:cs="Calibri"/>
                <w:color w:val="FF0000"/>
                <w:sz w:val="20"/>
                <w:szCs w:val="20"/>
                <w:lang w:val="en-GB" w:eastAsia="en-GB"/>
              </w:rPr>
              <w:t> </w:t>
            </w:r>
          </w:p>
        </w:tc>
      </w:tr>
      <w:tr w:rsidR="00985D46" w:rsidRPr="00985D46" w14:paraId="462CB140" w14:textId="77777777" w:rsidTr="00E73613">
        <w:trPr>
          <w:trHeight w:val="255"/>
        </w:trPr>
        <w:tc>
          <w:tcPr>
            <w:tcW w:w="176" w:type="pct"/>
            <w:tcBorders>
              <w:top w:val="nil"/>
              <w:left w:val="single" w:sz="4" w:space="0" w:color="auto"/>
              <w:bottom w:val="single" w:sz="4" w:space="0" w:color="auto"/>
              <w:right w:val="single" w:sz="4" w:space="0" w:color="auto"/>
            </w:tcBorders>
            <w:shd w:val="clear" w:color="000000" w:fill="auto"/>
            <w:noWrap/>
            <w:hideMark/>
          </w:tcPr>
          <w:p w14:paraId="3D1818EC"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b</w:t>
            </w:r>
          </w:p>
        </w:tc>
        <w:tc>
          <w:tcPr>
            <w:tcW w:w="3493" w:type="pct"/>
            <w:tcBorders>
              <w:top w:val="nil"/>
              <w:left w:val="nil"/>
              <w:bottom w:val="single" w:sz="4" w:space="0" w:color="auto"/>
              <w:right w:val="single" w:sz="4" w:space="0" w:color="auto"/>
            </w:tcBorders>
            <w:shd w:val="clear" w:color="000000" w:fill="auto"/>
            <w:hideMark/>
          </w:tcPr>
          <w:p w14:paraId="6080E994"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 xml:space="preserve">Threats detected by the installed Anti-malware product with option to configure threat exclusion. </w:t>
            </w:r>
          </w:p>
        </w:tc>
        <w:tc>
          <w:tcPr>
            <w:tcW w:w="638" w:type="pct"/>
            <w:tcBorders>
              <w:top w:val="nil"/>
              <w:left w:val="nil"/>
              <w:bottom w:val="single" w:sz="4" w:space="0" w:color="auto"/>
              <w:right w:val="single" w:sz="4" w:space="0" w:color="auto"/>
            </w:tcBorders>
            <w:shd w:val="clear" w:color="auto" w:fill="auto"/>
            <w:hideMark/>
          </w:tcPr>
          <w:p w14:paraId="4C8DB66B" w14:textId="77777777" w:rsidR="00985D46" w:rsidRPr="00985D46" w:rsidRDefault="00985D46" w:rsidP="00985D46">
            <w:pPr>
              <w:spacing w:after="0" w:line="240" w:lineRule="auto"/>
              <w:rPr>
                <w:rFonts w:ascii="Calibri" w:eastAsia="Times New Roman" w:hAnsi="Calibri" w:cs="Calibri"/>
                <w:color w:val="FF0000"/>
                <w:sz w:val="20"/>
                <w:szCs w:val="20"/>
                <w:lang w:val="en-GB" w:eastAsia="en-GB"/>
              </w:rPr>
            </w:pPr>
            <w:r w:rsidRPr="00985D46">
              <w:rPr>
                <w:rFonts w:ascii="Calibri" w:eastAsia="Times New Roman" w:hAnsi="Calibri" w:cs="Calibri"/>
                <w:color w:val="FF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739C1709" w14:textId="77777777" w:rsidR="00985D46" w:rsidRPr="00985D46" w:rsidRDefault="00985D46" w:rsidP="00985D46">
            <w:pPr>
              <w:spacing w:after="0" w:line="240" w:lineRule="auto"/>
              <w:rPr>
                <w:rFonts w:ascii="Calibri" w:eastAsia="Times New Roman" w:hAnsi="Calibri" w:cs="Calibri"/>
                <w:color w:val="FF0000"/>
                <w:sz w:val="20"/>
                <w:szCs w:val="20"/>
                <w:lang w:val="en-GB" w:eastAsia="en-GB"/>
              </w:rPr>
            </w:pPr>
            <w:r w:rsidRPr="00985D46">
              <w:rPr>
                <w:rFonts w:ascii="Calibri" w:eastAsia="Times New Roman" w:hAnsi="Calibri" w:cs="Calibri"/>
                <w:color w:val="FF0000"/>
                <w:sz w:val="20"/>
                <w:szCs w:val="20"/>
                <w:lang w:val="en-GB" w:eastAsia="en-GB"/>
              </w:rPr>
              <w:t> </w:t>
            </w:r>
          </w:p>
        </w:tc>
      </w:tr>
      <w:tr w:rsidR="00985D46" w:rsidRPr="00985D46" w14:paraId="635B87FE" w14:textId="77777777" w:rsidTr="00E73613">
        <w:trPr>
          <w:trHeight w:val="255"/>
        </w:trPr>
        <w:tc>
          <w:tcPr>
            <w:tcW w:w="176" w:type="pct"/>
            <w:tcBorders>
              <w:top w:val="nil"/>
              <w:left w:val="single" w:sz="4" w:space="0" w:color="auto"/>
              <w:bottom w:val="single" w:sz="4" w:space="0" w:color="auto"/>
              <w:right w:val="single" w:sz="4" w:space="0" w:color="auto"/>
            </w:tcBorders>
            <w:shd w:val="clear" w:color="000000" w:fill="auto"/>
            <w:noWrap/>
            <w:hideMark/>
          </w:tcPr>
          <w:p w14:paraId="3B98BD31"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c</w:t>
            </w:r>
          </w:p>
        </w:tc>
        <w:tc>
          <w:tcPr>
            <w:tcW w:w="3493" w:type="pct"/>
            <w:tcBorders>
              <w:top w:val="nil"/>
              <w:left w:val="nil"/>
              <w:bottom w:val="single" w:sz="4" w:space="0" w:color="auto"/>
              <w:right w:val="single" w:sz="4" w:space="0" w:color="auto"/>
            </w:tcBorders>
            <w:shd w:val="clear" w:color="000000" w:fill="auto"/>
            <w:hideMark/>
          </w:tcPr>
          <w:p w14:paraId="6D9ECB94"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 xml:space="preserve">Disk Encryption status of System &amp; Local volume Encryption tool &amp; its version. </w:t>
            </w:r>
          </w:p>
        </w:tc>
        <w:tc>
          <w:tcPr>
            <w:tcW w:w="638" w:type="pct"/>
            <w:tcBorders>
              <w:top w:val="nil"/>
              <w:left w:val="nil"/>
              <w:bottom w:val="single" w:sz="4" w:space="0" w:color="auto"/>
              <w:right w:val="single" w:sz="4" w:space="0" w:color="auto"/>
            </w:tcBorders>
            <w:shd w:val="clear" w:color="auto" w:fill="auto"/>
            <w:hideMark/>
          </w:tcPr>
          <w:p w14:paraId="7FF4D13E" w14:textId="77777777" w:rsidR="00985D46" w:rsidRPr="00985D46" w:rsidRDefault="00985D46" w:rsidP="00985D46">
            <w:pPr>
              <w:spacing w:after="0" w:line="240" w:lineRule="auto"/>
              <w:rPr>
                <w:rFonts w:ascii="Calibri" w:eastAsia="Times New Roman" w:hAnsi="Calibri" w:cs="Calibri"/>
                <w:color w:val="FF0000"/>
                <w:sz w:val="20"/>
                <w:szCs w:val="20"/>
                <w:lang w:val="en-GB" w:eastAsia="en-GB"/>
              </w:rPr>
            </w:pPr>
            <w:r w:rsidRPr="00985D46">
              <w:rPr>
                <w:rFonts w:ascii="Calibri" w:eastAsia="Times New Roman" w:hAnsi="Calibri" w:cs="Calibri"/>
                <w:color w:val="FF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6E0C27B0" w14:textId="77777777" w:rsidR="00985D46" w:rsidRPr="00985D46" w:rsidRDefault="00985D46" w:rsidP="00985D46">
            <w:pPr>
              <w:spacing w:after="0" w:line="240" w:lineRule="auto"/>
              <w:rPr>
                <w:rFonts w:ascii="Calibri" w:eastAsia="Times New Roman" w:hAnsi="Calibri" w:cs="Calibri"/>
                <w:color w:val="FF0000"/>
                <w:sz w:val="20"/>
                <w:szCs w:val="20"/>
                <w:lang w:val="en-GB" w:eastAsia="en-GB"/>
              </w:rPr>
            </w:pPr>
            <w:r w:rsidRPr="00985D46">
              <w:rPr>
                <w:rFonts w:ascii="Calibri" w:eastAsia="Times New Roman" w:hAnsi="Calibri" w:cs="Calibri"/>
                <w:color w:val="FF0000"/>
                <w:sz w:val="20"/>
                <w:szCs w:val="20"/>
                <w:lang w:val="en-GB" w:eastAsia="en-GB"/>
              </w:rPr>
              <w:t> </w:t>
            </w:r>
          </w:p>
        </w:tc>
      </w:tr>
      <w:tr w:rsidR="00985D46" w:rsidRPr="00985D46" w14:paraId="6F9C12A1" w14:textId="77777777" w:rsidTr="00E73613">
        <w:trPr>
          <w:trHeight w:val="255"/>
        </w:trPr>
        <w:tc>
          <w:tcPr>
            <w:tcW w:w="176" w:type="pct"/>
            <w:tcBorders>
              <w:top w:val="nil"/>
              <w:left w:val="single" w:sz="4" w:space="0" w:color="auto"/>
              <w:bottom w:val="single" w:sz="4" w:space="0" w:color="auto"/>
              <w:right w:val="single" w:sz="4" w:space="0" w:color="auto"/>
            </w:tcBorders>
            <w:shd w:val="clear" w:color="000000" w:fill="auto"/>
            <w:noWrap/>
            <w:hideMark/>
          </w:tcPr>
          <w:p w14:paraId="497CFB42"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d</w:t>
            </w:r>
          </w:p>
        </w:tc>
        <w:tc>
          <w:tcPr>
            <w:tcW w:w="3493" w:type="pct"/>
            <w:tcBorders>
              <w:top w:val="nil"/>
              <w:left w:val="nil"/>
              <w:bottom w:val="single" w:sz="4" w:space="0" w:color="auto"/>
              <w:right w:val="single" w:sz="4" w:space="0" w:color="auto"/>
            </w:tcBorders>
            <w:shd w:val="clear" w:color="000000" w:fill="auto"/>
            <w:hideMark/>
          </w:tcPr>
          <w:p w14:paraId="5ABFE09A"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DLP application status</w:t>
            </w:r>
          </w:p>
        </w:tc>
        <w:tc>
          <w:tcPr>
            <w:tcW w:w="638" w:type="pct"/>
            <w:tcBorders>
              <w:top w:val="nil"/>
              <w:left w:val="nil"/>
              <w:bottom w:val="single" w:sz="4" w:space="0" w:color="auto"/>
              <w:right w:val="single" w:sz="4" w:space="0" w:color="auto"/>
            </w:tcBorders>
            <w:shd w:val="clear" w:color="auto" w:fill="auto"/>
            <w:hideMark/>
          </w:tcPr>
          <w:p w14:paraId="0E1854AE" w14:textId="77777777" w:rsidR="00985D46" w:rsidRPr="00985D46" w:rsidRDefault="00985D46" w:rsidP="00985D46">
            <w:pPr>
              <w:spacing w:after="0" w:line="240" w:lineRule="auto"/>
              <w:rPr>
                <w:rFonts w:ascii="Calibri" w:eastAsia="Times New Roman" w:hAnsi="Calibri" w:cs="Calibri"/>
                <w:color w:val="FF0000"/>
                <w:sz w:val="20"/>
                <w:szCs w:val="20"/>
                <w:lang w:val="en-GB" w:eastAsia="en-GB"/>
              </w:rPr>
            </w:pPr>
            <w:r w:rsidRPr="00985D46">
              <w:rPr>
                <w:rFonts w:ascii="Calibri" w:eastAsia="Times New Roman" w:hAnsi="Calibri" w:cs="Calibri"/>
                <w:color w:val="FF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56755DCB" w14:textId="77777777" w:rsidR="00985D46" w:rsidRPr="00985D46" w:rsidRDefault="00985D46" w:rsidP="00985D46">
            <w:pPr>
              <w:spacing w:after="0" w:line="240" w:lineRule="auto"/>
              <w:rPr>
                <w:rFonts w:ascii="Calibri" w:eastAsia="Times New Roman" w:hAnsi="Calibri" w:cs="Calibri"/>
                <w:color w:val="FF0000"/>
                <w:sz w:val="20"/>
                <w:szCs w:val="20"/>
                <w:lang w:val="en-GB" w:eastAsia="en-GB"/>
              </w:rPr>
            </w:pPr>
            <w:r w:rsidRPr="00985D46">
              <w:rPr>
                <w:rFonts w:ascii="Calibri" w:eastAsia="Times New Roman" w:hAnsi="Calibri" w:cs="Calibri"/>
                <w:color w:val="FF0000"/>
                <w:sz w:val="20"/>
                <w:szCs w:val="20"/>
                <w:lang w:val="en-GB" w:eastAsia="en-GB"/>
              </w:rPr>
              <w:t> </w:t>
            </w:r>
          </w:p>
        </w:tc>
      </w:tr>
      <w:tr w:rsidR="00985D46" w:rsidRPr="00985D46" w14:paraId="1111BAD3" w14:textId="77777777" w:rsidTr="00E73613">
        <w:trPr>
          <w:trHeight w:val="255"/>
        </w:trPr>
        <w:tc>
          <w:tcPr>
            <w:tcW w:w="176" w:type="pct"/>
            <w:tcBorders>
              <w:top w:val="nil"/>
              <w:left w:val="single" w:sz="4" w:space="0" w:color="auto"/>
              <w:bottom w:val="single" w:sz="4" w:space="0" w:color="auto"/>
              <w:right w:val="single" w:sz="4" w:space="0" w:color="auto"/>
            </w:tcBorders>
            <w:shd w:val="clear" w:color="000000" w:fill="auto"/>
            <w:noWrap/>
            <w:hideMark/>
          </w:tcPr>
          <w:p w14:paraId="51839B2E"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e</w:t>
            </w:r>
          </w:p>
        </w:tc>
        <w:tc>
          <w:tcPr>
            <w:tcW w:w="3493" w:type="pct"/>
            <w:tcBorders>
              <w:top w:val="nil"/>
              <w:left w:val="nil"/>
              <w:bottom w:val="single" w:sz="4" w:space="0" w:color="auto"/>
              <w:right w:val="single" w:sz="4" w:space="0" w:color="auto"/>
            </w:tcBorders>
            <w:shd w:val="clear" w:color="000000" w:fill="auto"/>
            <w:hideMark/>
          </w:tcPr>
          <w:p w14:paraId="40E514BE"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Local firewall status</w:t>
            </w:r>
          </w:p>
        </w:tc>
        <w:tc>
          <w:tcPr>
            <w:tcW w:w="638" w:type="pct"/>
            <w:tcBorders>
              <w:top w:val="nil"/>
              <w:left w:val="nil"/>
              <w:bottom w:val="single" w:sz="4" w:space="0" w:color="auto"/>
              <w:right w:val="single" w:sz="4" w:space="0" w:color="auto"/>
            </w:tcBorders>
            <w:shd w:val="clear" w:color="auto" w:fill="auto"/>
            <w:hideMark/>
          </w:tcPr>
          <w:p w14:paraId="2F599F7B" w14:textId="77777777" w:rsidR="00985D46" w:rsidRPr="00985D46" w:rsidRDefault="00985D46" w:rsidP="00985D46">
            <w:pPr>
              <w:spacing w:after="0" w:line="240" w:lineRule="auto"/>
              <w:rPr>
                <w:rFonts w:ascii="Calibri" w:eastAsia="Times New Roman" w:hAnsi="Calibri" w:cs="Calibri"/>
                <w:color w:val="FF0000"/>
                <w:sz w:val="20"/>
                <w:szCs w:val="20"/>
                <w:lang w:val="en-GB" w:eastAsia="en-GB"/>
              </w:rPr>
            </w:pPr>
            <w:r w:rsidRPr="00985D46">
              <w:rPr>
                <w:rFonts w:ascii="Calibri" w:eastAsia="Times New Roman" w:hAnsi="Calibri" w:cs="Calibri"/>
                <w:color w:val="FF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1C47FF16" w14:textId="77777777" w:rsidR="00985D46" w:rsidRPr="00985D46" w:rsidRDefault="00985D46" w:rsidP="00985D46">
            <w:pPr>
              <w:spacing w:after="0" w:line="240" w:lineRule="auto"/>
              <w:rPr>
                <w:rFonts w:ascii="Calibri" w:eastAsia="Times New Roman" w:hAnsi="Calibri" w:cs="Calibri"/>
                <w:color w:val="FF0000"/>
                <w:sz w:val="20"/>
                <w:szCs w:val="20"/>
                <w:lang w:val="en-GB" w:eastAsia="en-GB"/>
              </w:rPr>
            </w:pPr>
            <w:r w:rsidRPr="00985D46">
              <w:rPr>
                <w:rFonts w:ascii="Calibri" w:eastAsia="Times New Roman" w:hAnsi="Calibri" w:cs="Calibri"/>
                <w:color w:val="FF0000"/>
                <w:sz w:val="20"/>
                <w:szCs w:val="20"/>
                <w:lang w:val="en-GB" w:eastAsia="en-GB"/>
              </w:rPr>
              <w:t> </w:t>
            </w:r>
          </w:p>
        </w:tc>
      </w:tr>
      <w:tr w:rsidR="00985D46" w:rsidRPr="00985D46" w14:paraId="49EF4279" w14:textId="77777777" w:rsidTr="00E73613">
        <w:trPr>
          <w:trHeight w:val="255"/>
        </w:trPr>
        <w:tc>
          <w:tcPr>
            <w:tcW w:w="176" w:type="pct"/>
            <w:tcBorders>
              <w:top w:val="nil"/>
              <w:left w:val="single" w:sz="4" w:space="0" w:color="auto"/>
              <w:bottom w:val="single" w:sz="4" w:space="0" w:color="auto"/>
              <w:right w:val="single" w:sz="4" w:space="0" w:color="auto"/>
            </w:tcBorders>
            <w:shd w:val="clear" w:color="000000" w:fill="auto"/>
            <w:noWrap/>
            <w:hideMark/>
          </w:tcPr>
          <w:p w14:paraId="7038DD3B"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f</w:t>
            </w:r>
          </w:p>
        </w:tc>
        <w:tc>
          <w:tcPr>
            <w:tcW w:w="3493" w:type="pct"/>
            <w:tcBorders>
              <w:top w:val="nil"/>
              <w:left w:val="nil"/>
              <w:bottom w:val="single" w:sz="4" w:space="0" w:color="auto"/>
              <w:right w:val="single" w:sz="4" w:space="0" w:color="auto"/>
            </w:tcBorders>
            <w:shd w:val="clear" w:color="000000" w:fill="auto"/>
            <w:hideMark/>
          </w:tcPr>
          <w:p w14:paraId="508C238F"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EOL status of device operating system and last operating system update. Enforce policies based on the update availability</w:t>
            </w:r>
          </w:p>
        </w:tc>
        <w:tc>
          <w:tcPr>
            <w:tcW w:w="638" w:type="pct"/>
            <w:tcBorders>
              <w:top w:val="nil"/>
              <w:left w:val="nil"/>
              <w:bottom w:val="single" w:sz="4" w:space="0" w:color="auto"/>
              <w:right w:val="single" w:sz="4" w:space="0" w:color="auto"/>
            </w:tcBorders>
            <w:shd w:val="clear" w:color="auto" w:fill="auto"/>
            <w:hideMark/>
          </w:tcPr>
          <w:p w14:paraId="2B3CF9FF" w14:textId="77777777" w:rsidR="00985D46" w:rsidRPr="00985D46" w:rsidRDefault="00985D46" w:rsidP="00985D46">
            <w:pPr>
              <w:spacing w:after="0" w:line="240" w:lineRule="auto"/>
              <w:rPr>
                <w:rFonts w:ascii="Calibri" w:eastAsia="Times New Roman" w:hAnsi="Calibri" w:cs="Calibri"/>
                <w:color w:val="FF0000"/>
                <w:sz w:val="20"/>
                <w:szCs w:val="20"/>
                <w:lang w:val="en-GB" w:eastAsia="en-GB"/>
              </w:rPr>
            </w:pPr>
            <w:r w:rsidRPr="00985D46">
              <w:rPr>
                <w:rFonts w:ascii="Calibri" w:eastAsia="Times New Roman" w:hAnsi="Calibri" w:cs="Calibri"/>
                <w:color w:val="FF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5D4F6554" w14:textId="77777777" w:rsidR="00985D46" w:rsidRPr="00985D46" w:rsidRDefault="00985D46" w:rsidP="00985D46">
            <w:pPr>
              <w:spacing w:after="0" w:line="240" w:lineRule="auto"/>
              <w:rPr>
                <w:rFonts w:ascii="Calibri" w:eastAsia="Times New Roman" w:hAnsi="Calibri" w:cs="Calibri"/>
                <w:color w:val="FF0000"/>
                <w:sz w:val="20"/>
                <w:szCs w:val="20"/>
                <w:lang w:val="en-GB" w:eastAsia="en-GB"/>
              </w:rPr>
            </w:pPr>
            <w:r w:rsidRPr="00985D46">
              <w:rPr>
                <w:rFonts w:ascii="Calibri" w:eastAsia="Times New Roman" w:hAnsi="Calibri" w:cs="Calibri"/>
                <w:color w:val="FF0000"/>
                <w:sz w:val="20"/>
                <w:szCs w:val="20"/>
                <w:lang w:val="en-GB" w:eastAsia="en-GB"/>
              </w:rPr>
              <w:t> </w:t>
            </w:r>
          </w:p>
        </w:tc>
      </w:tr>
      <w:tr w:rsidR="00985D46" w:rsidRPr="00985D46" w14:paraId="21EF78A9" w14:textId="77777777" w:rsidTr="00E73613">
        <w:trPr>
          <w:trHeight w:val="255"/>
        </w:trPr>
        <w:tc>
          <w:tcPr>
            <w:tcW w:w="176" w:type="pct"/>
            <w:tcBorders>
              <w:top w:val="nil"/>
              <w:left w:val="single" w:sz="4" w:space="0" w:color="auto"/>
              <w:bottom w:val="single" w:sz="4" w:space="0" w:color="auto"/>
              <w:right w:val="single" w:sz="4" w:space="0" w:color="auto"/>
            </w:tcBorders>
            <w:shd w:val="clear" w:color="000000" w:fill="auto"/>
            <w:noWrap/>
            <w:hideMark/>
          </w:tcPr>
          <w:p w14:paraId="7AD5F891"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g</w:t>
            </w:r>
          </w:p>
        </w:tc>
        <w:tc>
          <w:tcPr>
            <w:tcW w:w="3493" w:type="pct"/>
            <w:tcBorders>
              <w:top w:val="nil"/>
              <w:left w:val="nil"/>
              <w:bottom w:val="single" w:sz="4" w:space="0" w:color="auto"/>
              <w:right w:val="single" w:sz="4" w:space="0" w:color="auto"/>
            </w:tcBorders>
            <w:shd w:val="clear" w:color="000000" w:fill="auto"/>
            <w:hideMark/>
          </w:tcPr>
          <w:p w14:paraId="7DADBFFE"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Detect Browser extensions</w:t>
            </w:r>
          </w:p>
        </w:tc>
        <w:tc>
          <w:tcPr>
            <w:tcW w:w="638" w:type="pct"/>
            <w:tcBorders>
              <w:top w:val="nil"/>
              <w:left w:val="nil"/>
              <w:bottom w:val="single" w:sz="4" w:space="0" w:color="auto"/>
              <w:right w:val="single" w:sz="4" w:space="0" w:color="auto"/>
            </w:tcBorders>
            <w:shd w:val="clear" w:color="auto" w:fill="auto"/>
            <w:hideMark/>
          </w:tcPr>
          <w:p w14:paraId="0DAB7414" w14:textId="77777777" w:rsidR="00985D46" w:rsidRPr="00985D46" w:rsidRDefault="00985D46" w:rsidP="00985D46">
            <w:pPr>
              <w:spacing w:after="0" w:line="240" w:lineRule="auto"/>
              <w:rPr>
                <w:rFonts w:ascii="Calibri" w:eastAsia="Times New Roman" w:hAnsi="Calibri" w:cs="Calibri"/>
                <w:color w:val="FF0000"/>
                <w:sz w:val="20"/>
                <w:szCs w:val="20"/>
                <w:lang w:val="en-GB" w:eastAsia="en-GB"/>
              </w:rPr>
            </w:pPr>
            <w:r w:rsidRPr="00985D46">
              <w:rPr>
                <w:rFonts w:ascii="Calibri" w:eastAsia="Times New Roman" w:hAnsi="Calibri" w:cs="Calibri"/>
                <w:color w:val="FF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0590E009" w14:textId="77777777" w:rsidR="00985D46" w:rsidRPr="00985D46" w:rsidRDefault="00985D46" w:rsidP="00985D46">
            <w:pPr>
              <w:spacing w:after="0" w:line="240" w:lineRule="auto"/>
              <w:rPr>
                <w:rFonts w:ascii="Calibri" w:eastAsia="Times New Roman" w:hAnsi="Calibri" w:cs="Calibri"/>
                <w:color w:val="FF0000"/>
                <w:sz w:val="20"/>
                <w:szCs w:val="20"/>
                <w:lang w:val="en-GB" w:eastAsia="en-GB"/>
              </w:rPr>
            </w:pPr>
            <w:r w:rsidRPr="00985D46">
              <w:rPr>
                <w:rFonts w:ascii="Calibri" w:eastAsia="Times New Roman" w:hAnsi="Calibri" w:cs="Calibri"/>
                <w:color w:val="FF0000"/>
                <w:sz w:val="20"/>
                <w:szCs w:val="20"/>
                <w:lang w:val="en-GB" w:eastAsia="en-GB"/>
              </w:rPr>
              <w:t> </w:t>
            </w:r>
          </w:p>
        </w:tc>
      </w:tr>
      <w:tr w:rsidR="00985D46" w:rsidRPr="00985D46" w14:paraId="7C3573F3" w14:textId="77777777" w:rsidTr="00E73613">
        <w:trPr>
          <w:trHeight w:val="255"/>
        </w:trPr>
        <w:tc>
          <w:tcPr>
            <w:tcW w:w="176" w:type="pct"/>
            <w:tcBorders>
              <w:top w:val="nil"/>
              <w:left w:val="single" w:sz="4" w:space="0" w:color="auto"/>
              <w:bottom w:val="single" w:sz="4" w:space="0" w:color="auto"/>
              <w:right w:val="single" w:sz="4" w:space="0" w:color="auto"/>
            </w:tcBorders>
            <w:shd w:val="clear" w:color="000000" w:fill="auto"/>
            <w:noWrap/>
            <w:hideMark/>
          </w:tcPr>
          <w:p w14:paraId="7AF4B87E"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h</w:t>
            </w:r>
          </w:p>
        </w:tc>
        <w:tc>
          <w:tcPr>
            <w:tcW w:w="3493" w:type="pct"/>
            <w:tcBorders>
              <w:top w:val="nil"/>
              <w:left w:val="nil"/>
              <w:bottom w:val="single" w:sz="4" w:space="0" w:color="auto"/>
              <w:right w:val="single" w:sz="4" w:space="0" w:color="auto"/>
            </w:tcBorders>
            <w:shd w:val="clear" w:color="000000" w:fill="auto"/>
            <w:hideMark/>
          </w:tcPr>
          <w:p w14:paraId="1956B675"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Maintain a inbuilt database of list of Potentially unwanted Application( PUA) and detect them</w:t>
            </w:r>
          </w:p>
        </w:tc>
        <w:tc>
          <w:tcPr>
            <w:tcW w:w="638" w:type="pct"/>
            <w:tcBorders>
              <w:top w:val="nil"/>
              <w:left w:val="nil"/>
              <w:bottom w:val="single" w:sz="4" w:space="0" w:color="auto"/>
              <w:right w:val="single" w:sz="4" w:space="0" w:color="auto"/>
            </w:tcBorders>
            <w:shd w:val="clear" w:color="auto" w:fill="auto"/>
            <w:hideMark/>
          </w:tcPr>
          <w:p w14:paraId="2EA26392" w14:textId="77777777" w:rsidR="00985D46" w:rsidRPr="00985D46" w:rsidRDefault="00985D46" w:rsidP="00985D46">
            <w:pPr>
              <w:spacing w:after="0" w:line="240" w:lineRule="auto"/>
              <w:rPr>
                <w:rFonts w:ascii="Calibri" w:eastAsia="Times New Roman" w:hAnsi="Calibri" w:cs="Calibri"/>
                <w:color w:val="FF0000"/>
                <w:sz w:val="20"/>
                <w:szCs w:val="20"/>
                <w:lang w:val="en-GB" w:eastAsia="en-GB"/>
              </w:rPr>
            </w:pPr>
            <w:r w:rsidRPr="00985D46">
              <w:rPr>
                <w:rFonts w:ascii="Calibri" w:eastAsia="Times New Roman" w:hAnsi="Calibri" w:cs="Calibri"/>
                <w:color w:val="FF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26D2B34E" w14:textId="77777777" w:rsidR="00985D46" w:rsidRPr="00985D46" w:rsidRDefault="00985D46" w:rsidP="00985D46">
            <w:pPr>
              <w:spacing w:after="0" w:line="240" w:lineRule="auto"/>
              <w:rPr>
                <w:rFonts w:ascii="Calibri" w:eastAsia="Times New Roman" w:hAnsi="Calibri" w:cs="Calibri"/>
                <w:color w:val="FF0000"/>
                <w:sz w:val="20"/>
                <w:szCs w:val="20"/>
                <w:lang w:val="en-GB" w:eastAsia="en-GB"/>
              </w:rPr>
            </w:pPr>
            <w:r w:rsidRPr="00985D46">
              <w:rPr>
                <w:rFonts w:ascii="Calibri" w:eastAsia="Times New Roman" w:hAnsi="Calibri" w:cs="Calibri"/>
                <w:color w:val="FF0000"/>
                <w:sz w:val="20"/>
                <w:szCs w:val="20"/>
                <w:lang w:val="en-GB" w:eastAsia="en-GB"/>
              </w:rPr>
              <w:t> </w:t>
            </w:r>
          </w:p>
        </w:tc>
      </w:tr>
      <w:tr w:rsidR="00985D46" w:rsidRPr="00985D46" w14:paraId="7F5C7A26" w14:textId="77777777" w:rsidTr="00E73613">
        <w:trPr>
          <w:trHeight w:val="255"/>
        </w:trPr>
        <w:tc>
          <w:tcPr>
            <w:tcW w:w="176" w:type="pct"/>
            <w:tcBorders>
              <w:top w:val="nil"/>
              <w:left w:val="single" w:sz="4" w:space="0" w:color="auto"/>
              <w:bottom w:val="single" w:sz="4" w:space="0" w:color="auto"/>
              <w:right w:val="single" w:sz="4" w:space="0" w:color="auto"/>
            </w:tcBorders>
            <w:shd w:val="clear" w:color="000000" w:fill="auto"/>
            <w:noWrap/>
            <w:hideMark/>
          </w:tcPr>
          <w:p w14:paraId="29AE2F75"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i</w:t>
            </w:r>
          </w:p>
        </w:tc>
        <w:tc>
          <w:tcPr>
            <w:tcW w:w="3493" w:type="pct"/>
            <w:tcBorders>
              <w:top w:val="nil"/>
              <w:left w:val="nil"/>
              <w:bottom w:val="single" w:sz="4" w:space="0" w:color="auto"/>
              <w:right w:val="single" w:sz="4" w:space="0" w:color="auto"/>
            </w:tcBorders>
            <w:shd w:val="clear" w:color="000000" w:fill="auto"/>
            <w:hideMark/>
          </w:tcPr>
          <w:p w14:paraId="1A5F70DA"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Ability to create playbooks to run specific tasks on endpoint and assign compliance status</w:t>
            </w:r>
          </w:p>
        </w:tc>
        <w:tc>
          <w:tcPr>
            <w:tcW w:w="638" w:type="pct"/>
            <w:tcBorders>
              <w:top w:val="nil"/>
              <w:left w:val="nil"/>
              <w:bottom w:val="single" w:sz="4" w:space="0" w:color="auto"/>
              <w:right w:val="single" w:sz="4" w:space="0" w:color="auto"/>
            </w:tcBorders>
            <w:shd w:val="clear" w:color="auto" w:fill="auto"/>
            <w:hideMark/>
          </w:tcPr>
          <w:p w14:paraId="5A790A66" w14:textId="77777777" w:rsidR="00985D46" w:rsidRPr="00985D46" w:rsidRDefault="00985D46" w:rsidP="00985D46">
            <w:pPr>
              <w:spacing w:after="0" w:line="240" w:lineRule="auto"/>
              <w:rPr>
                <w:rFonts w:ascii="Calibri" w:eastAsia="Times New Roman" w:hAnsi="Calibri" w:cs="Calibri"/>
                <w:color w:val="FF0000"/>
                <w:sz w:val="20"/>
                <w:szCs w:val="20"/>
                <w:lang w:val="en-GB" w:eastAsia="en-GB"/>
              </w:rPr>
            </w:pPr>
            <w:r w:rsidRPr="00985D46">
              <w:rPr>
                <w:rFonts w:ascii="Calibri" w:eastAsia="Times New Roman" w:hAnsi="Calibri" w:cs="Calibri"/>
                <w:color w:val="FF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7090D586" w14:textId="77777777" w:rsidR="00985D46" w:rsidRPr="00985D46" w:rsidRDefault="00985D46" w:rsidP="00985D46">
            <w:pPr>
              <w:spacing w:after="0" w:line="240" w:lineRule="auto"/>
              <w:rPr>
                <w:rFonts w:ascii="Calibri" w:eastAsia="Times New Roman" w:hAnsi="Calibri" w:cs="Calibri"/>
                <w:color w:val="FF0000"/>
                <w:sz w:val="20"/>
                <w:szCs w:val="20"/>
                <w:lang w:val="en-GB" w:eastAsia="en-GB"/>
              </w:rPr>
            </w:pPr>
            <w:r w:rsidRPr="00985D46">
              <w:rPr>
                <w:rFonts w:ascii="Calibri" w:eastAsia="Times New Roman" w:hAnsi="Calibri" w:cs="Calibri"/>
                <w:color w:val="FF0000"/>
                <w:sz w:val="20"/>
                <w:szCs w:val="20"/>
                <w:lang w:val="en-GB" w:eastAsia="en-GB"/>
              </w:rPr>
              <w:t> </w:t>
            </w:r>
          </w:p>
        </w:tc>
      </w:tr>
      <w:tr w:rsidR="00985D46" w:rsidRPr="00985D46" w14:paraId="5034451A" w14:textId="77777777" w:rsidTr="00E73613">
        <w:trPr>
          <w:trHeight w:val="255"/>
        </w:trPr>
        <w:tc>
          <w:tcPr>
            <w:tcW w:w="176" w:type="pct"/>
            <w:tcBorders>
              <w:top w:val="nil"/>
              <w:left w:val="single" w:sz="4" w:space="0" w:color="auto"/>
              <w:bottom w:val="single" w:sz="4" w:space="0" w:color="auto"/>
              <w:right w:val="single" w:sz="4" w:space="0" w:color="auto"/>
            </w:tcBorders>
            <w:shd w:val="clear" w:color="000000" w:fill="auto"/>
            <w:noWrap/>
            <w:hideMark/>
          </w:tcPr>
          <w:p w14:paraId="19C70968"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j</w:t>
            </w:r>
          </w:p>
        </w:tc>
        <w:tc>
          <w:tcPr>
            <w:tcW w:w="3493" w:type="pct"/>
            <w:tcBorders>
              <w:top w:val="nil"/>
              <w:left w:val="nil"/>
              <w:bottom w:val="single" w:sz="4" w:space="0" w:color="auto"/>
              <w:right w:val="single" w:sz="4" w:space="0" w:color="auto"/>
            </w:tcBorders>
            <w:shd w:val="clear" w:color="000000" w:fill="auto"/>
            <w:hideMark/>
          </w:tcPr>
          <w:p w14:paraId="03C0892A"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Anti-phishing protection setting on default or all web browser installed</w:t>
            </w:r>
          </w:p>
        </w:tc>
        <w:tc>
          <w:tcPr>
            <w:tcW w:w="638" w:type="pct"/>
            <w:tcBorders>
              <w:top w:val="nil"/>
              <w:left w:val="nil"/>
              <w:bottom w:val="single" w:sz="4" w:space="0" w:color="auto"/>
              <w:right w:val="single" w:sz="4" w:space="0" w:color="auto"/>
            </w:tcBorders>
            <w:shd w:val="clear" w:color="auto" w:fill="auto"/>
            <w:hideMark/>
          </w:tcPr>
          <w:p w14:paraId="0C5AD472" w14:textId="77777777" w:rsidR="00985D46" w:rsidRPr="00985D46" w:rsidRDefault="00985D46" w:rsidP="00985D46">
            <w:pPr>
              <w:spacing w:after="0" w:line="240" w:lineRule="auto"/>
              <w:rPr>
                <w:rFonts w:ascii="Calibri" w:eastAsia="Times New Roman" w:hAnsi="Calibri" w:cs="Calibri"/>
                <w:color w:val="FF0000"/>
                <w:sz w:val="20"/>
                <w:szCs w:val="20"/>
                <w:lang w:val="en-GB" w:eastAsia="en-GB"/>
              </w:rPr>
            </w:pPr>
            <w:r w:rsidRPr="00985D46">
              <w:rPr>
                <w:rFonts w:ascii="Calibri" w:eastAsia="Times New Roman" w:hAnsi="Calibri" w:cs="Calibri"/>
                <w:color w:val="FF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1394D822" w14:textId="77777777" w:rsidR="00985D46" w:rsidRPr="00985D46" w:rsidRDefault="00985D46" w:rsidP="00985D46">
            <w:pPr>
              <w:spacing w:after="0" w:line="240" w:lineRule="auto"/>
              <w:rPr>
                <w:rFonts w:ascii="Calibri" w:eastAsia="Times New Roman" w:hAnsi="Calibri" w:cs="Calibri"/>
                <w:color w:val="FF0000"/>
                <w:sz w:val="20"/>
                <w:szCs w:val="20"/>
                <w:lang w:val="en-GB" w:eastAsia="en-GB"/>
              </w:rPr>
            </w:pPr>
            <w:r w:rsidRPr="00985D46">
              <w:rPr>
                <w:rFonts w:ascii="Calibri" w:eastAsia="Times New Roman" w:hAnsi="Calibri" w:cs="Calibri"/>
                <w:color w:val="FF0000"/>
                <w:sz w:val="20"/>
                <w:szCs w:val="20"/>
                <w:lang w:val="en-GB" w:eastAsia="en-GB"/>
              </w:rPr>
              <w:t> </w:t>
            </w:r>
          </w:p>
        </w:tc>
      </w:tr>
      <w:tr w:rsidR="00985D46" w:rsidRPr="00985D46" w14:paraId="3E9BA8B8" w14:textId="77777777" w:rsidTr="00E73613">
        <w:trPr>
          <w:trHeight w:val="510"/>
        </w:trPr>
        <w:tc>
          <w:tcPr>
            <w:tcW w:w="176" w:type="pct"/>
            <w:tcBorders>
              <w:top w:val="nil"/>
              <w:left w:val="single" w:sz="4" w:space="0" w:color="auto"/>
              <w:bottom w:val="single" w:sz="4" w:space="0" w:color="auto"/>
              <w:right w:val="single" w:sz="4" w:space="0" w:color="auto"/>
            </w:tcBorders>
            <w:shd w:val="clear" w:color="auto" w:fill="auto"/>
            <w:noWrap/>
            <w:hideMark/>
          </w:tcPr>
          <w:p w14:paraId="004BCB7E"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19</w:t>
            </w:r>
          </w:p>
        </w:tc>
        <w:tc>
          <w:tcPr>
            <w:tcW w:w="3493" w:type="pct"/>
            <w:tcBorders>
              <w:top w:val="nil"/>
              <w:left w:val="nil"/>
              <w:bottom w:val="single" w:sz="4" w:space="0" w:color="auto"/>
              <w:right w:val="single" w:sz="4" w:space="0" w:color="auto"/>
            </w:tcBorders>
            <w:shd w:val="clear" w:color="auto" w:fill="auto"/>
            <w:hideMark/>
          </w:tcPr>
          <w:p w14:paraId="76CA5A77" w14:textId="0ABC7748"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should provide  the enduser to request for tempor</w:t>
            </w:r>
            <w:r w:rsidR="00426FCC">
              <w:rPr>
                <w:rFonts w:ascii="Calibri" w:eastAsia="Times New Roman" w:hAnsi="Calibri" w:cs="Calibri"/>
                <w:sz w:val="20"/>
                <w:szCs w:val="20"/>
                <w:lang w:val="en-GB" w:eastAsia="en-GB"/>
              </w:rPr>
              <w:t>ar</w:t>
            </w:r>
            <w:r w:rsidRPr="00985D46">
              <w:rPr>
                <w:rFonts w:ascii="Calibri" w:eastAsia="Times New Roman" w:hAnsi="Calibri" w:cs="Calibri"/>
                <w:sz w:val="20"/>
                <w:szCs w:val="20"/>
                <w:lang w:val="en-GB" w:eastAsia="en-GB"/>
              </w:rPr>
              <w:t>y access  incase of authentication/authorization failure that can be approved by a admin</w:t>
            </w:r>
          </w:p>
        </w:tc>
        <w:tc>
          <w:tcPr>
            <w:tcW w:w="638" w:type="pct"/>
            <w:tcBorders>
              <w:top w:val="nil"/>
              <w:left w:val="nil"/>
              <w:bottom w:val="single" w:sz="4" w:space="0" w:color="auto"/>
              <w:right w:val="single" w:sz="4" w:space="0" w:color="auto"/>
            </w:tcBorders>
            <w:shd w:val="clear" w:color="auto" w:fill="auto"/>
            <w:hideMark/>
          </w:tcPr>
          <w:p w14:paraId="4BFD8230"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57785682"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71EFF37C" w14:textId="77777777" w:rsidTr="00E73613">
        <w:trPr>
          <w:trHeight w:val="255"/>
        </w:trPr>
        <w:tc>
          <w:tcPr>
            <w:tcW w:w="176" w:type="pct"/>
            <w:tcBorders>
              <w:top w:val="nil"/>
              <w:left w:val="single" w:sz="4" w:space="0" w:color="auto"/>
              <w:bottom w:val="single" w:sz="4" w:space="0" w:color="auto"/>
              <w:right w:val="single" w:sz="4" w:space="0" w:color="auto"/>
            </w:tcBorders>
            <w:shd w:val="clear" w:color="auto" w:fill="auto"/>
            <w:noWrap/>
            <w:hideMark/>
          </w:tcPr>
          <w:p w14:paraId="74A47F78"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20</w:t>
            </w:r>
          </w:p>
        </w:tc>
        <w:tc>
          <w:tcPr>
            <w:tcW w:w="3493" w:type="pct"/>
            <w:tcBorders>
              <w:top w:val="nil"/>
              <w:left w:val="nil"/>
              <w:bottom w:val="single" w:sz="4" w:space="0" w:color="auto"/>
              <w:right w:val="single" w:sz="4" w:space="0" w:color="auto"/>
            </w:tcBorders>
            <w:shd w:val="clear" w:color="auto" w:fill="auto"/>
            <w:hideMark/>
          </w:tcPr>
          <w:p w14:paraId="65BB1C9F"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shall provide self-enrollment of devices</w:t>
            </w:r>
          </w:p>
        </w:tc>
        <w:tc>
          <w:tcPr>
            <w:tcW w:w="638" w:type="pct"/>
            <w:tcBorders>
              <w:top w:val="nil"/>
              <w:left w:val="nil"/>
              <w:bottom w:val="single" w:sz="4" w:space="0" w:color="auto"/>
              <w:right w:val="single" w:sz="4" w:space="0" w:color="auto"/>
            </w:tcBorders>
            <w:shd w:val="clear" w:color="auto" w:fill="auto"/>
            <w:hideMark/>
          </w:tcPr>
          <w:p w14:paraId="5645EDAE"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53BC17F5"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073A946F" w14:textId="77777777" w:rsidTr="00E73613">
        <w:trPr>
          <w:trHeight w:val="255"/>
        </w:trPr>
        <w:tc>
          <w:tcPr>
            <w:tcW w:w="176" w:type="pct"/>
            <w:tcBorders>
              <w:top w:val="nil"/>
              <w:left w:val="single" w:sz="4" w:space="0" w:color="auto"/>
              <w:bottom w:val="single" w:sz="4" w:space="0" w:color="auto"/>
              <w:right w:val="single" w:sz="4" w:space="0" w:color="auto"/>
            </w:tcBorders>
            <w:shd w:val="clear" w:color="auto" w:fill="auto"/>
            <w:noWrap/>
            <w:hideMark/>
          </w:tcPr>
          <w:p w14:paraId="1D5CC1F4"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21</w:t>
            </w:r>
          </w:p>
        </w:tc>
        <w:tc>
          <w:tcPr>
            <w:tcW w:w="3493" w:type="pct"/>
            <w:tcBorders>
              <w:top w:val="nil"/>
              <w:left w:val="nil"/>
              <w:bottom w:val="single" w:sz="4" w:space="0" w:color="auto"/>
              <w:right w:val="single" w:sz="4" w:space="0" w:color="auto"/>
            </w:tcBorders>
            <w:shd w:val="clear" w:color="auto" w:fill="auto"/>
            <w:hideMark/>
          </w:tcPr>
          <w:p w14:paraId="0A896252"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should allow endpoint details to be added to a group manually or by bulk upload using csv file type</w:t>
            </w:r>
          </w:p>
        </w:tc>
        <w:tc>
          <w:tcPr>
            <w:tcW w:w="638" w:type="pct"/>
            <w:tcBorders>
              <w:top w:val="nil"/>
              <w:left w:val="nil"/>
              <w:bottom w:val="single" w:sz="4" w:space="0" w:color="auto"/>
              <w:right w:val="single" w:sz="4" w:space="0" w:color="auto"/>
            </w:tcBorders>
            <w:shd w:val="clear" w:color="auto" w:fill="auto"/>
            <w:hideMark/>
          </w:tcPr>
          <w:p w14:paraId="538D8B80"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782D91AD"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402B58D7" w14:textId="77777777" w:rsidTr="00E73613">
        <w:trPr>
          <w:trHeight w:val="255"/>
        </w:trPr>
        <w:tc>
          <w:tcPr>
            <w:tcW w:w="176" w:type="pct"/>
            <w:tcBorders>
              <w:top w:val="nil"/>
              <w:left w:val="single" w:sz="4" w:space="0" w:color="auto"/>
              <w:bottom w:val="single" w:sz="4" w:space="0" w:color="auto"/>
              <w:right w:val="single" w:sz="4" w:space="0" w:color="auto"/>
            </w:tcBorders>
            <w:shd w:val="clear" w:color="auto" w:fill="auto"/>
            <w:noWrap/>
            <w:hideMark/>
          </w:tcPr>
          <w:p w14:paraId="6D5D2017"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22</w:t>
            </w:r>
          </w:p>
        </w:tc>
        <w:tc>
          <w:tcPr>
            <w:tcW w:w="3493" w:type="pct"/>
            <w:tcBorders>
              <w:top w:val="nil"/>
              <w:left w:val="nil"/>
              <w:bottom w:val="single" w:sz="4" w:space="0" w:color="auto"/>
              <w:right w:val="single" w:sz="4" w:space="0" w:color="auto"/>
            </w:tcBorders>
            <w:shd w:val="clear" w:color="auto" w:fill="auto"/>
            <w:hideMark/>
          </w:tcPr>
          <w:p w14:paraId="28A51448"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should provide Guest onboarding both self and sponsored</w:t>
            </w:r>
          </w:p>
        </w:tc>
        <w:tc>
          <w:tcPr>
            <w:tcW w:w="638" w:type="pct"/>
            <w:tcBorders>
              <w:top w:val="nil"/>
              <w:left w:val="nil"/>
              <w:bottom w:val="single" w:sz="4" w:space="0" w:color="auto"/>
              <w:right w:val="single" w:sz="4" w:space="0" w:color="auto"/>
            </w:tcBorders>
            <w:shd w:val="clear" w:color="auto" w:fill="auto"/>
            <w:hideMark/>
          </w:tcPr>
          <w:p w14:paraId="6007E6CB"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2A2DF561"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50B317A1" w14:textId="77777777" w:rsidTr="00E73613">
        <w:trPr>
          <w:trHeight w:val="255"/>
        </w:trPr>
        <w:tc>
          <w:tcPr>
            <w:tcW w:w="176" w:type="pct"/>
            <w:tcBorders>
              <w:top w:val="nil"/>
              <w:left w:val="single" w:sz="4" w:space="0" w:color="auto"/>
              <w:bottom w:val="single" w:sz="4" w:space="0" w:color="auto"/>
              <w:right w:val="single" w:sz="4" w:space="0" w:color="auto"/>
            </w:tcBorders>
            <w:shd w:val="clear" w:color="auto" w:fill="auto"/>
            <w:noWrap/>
            <w:hideMark/>
          </w:tcPr>
          <w:p w14:paraId="59FBF856"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24</w:t>
            </w:r>
          </w:p>
        </w:tc>
        <w:tc>
          <w:tcPr>
            <w:tcW w:w="3493" w:type="pct"/>
            <w:tcBorders>
              <w:top w:val="nil"/>
              <w:left w:val="nil"/>
              <w:bottom w:val="single" w:sz="4" w:space="0" w:color="auto"/>
              <w:right w:val="single" w:sz="4" w:space="0" w:color="auto"/>
            </w:tcBorders>
            <w:shd w:val="clear" w:color="auto" w:fill="auto"/>
            <w:hideMark/>
          </w:tcPr>
          <w:p w14:paraId="3272D8FB"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should be able to publish contextual intelligence to 3rd party devices</w:t>
            </w:r>
          </w:p>
        </w:tc>
        <w:tc>
          <w:tcPr>
            <w:tcW w:w="638" w:type="pct"/>
            <w:tcBorders>
              <w:top w:val="nil"/>
              <w:left w:val="nil"/>
              <w:bottom w:val="single" w:sz="4" w:space="0" w:color="auto"/>
              <w:right w:val="single" w:sz="4" w:space="0" w:color="auto"/>
            </w:tcBorders>
            <w:shd w:val="clear" w:color="auto" w:fill="auto"/>
            <w:hideMark/>
          </w:tcPr>
          <w:p w14:paraId="7AFAD193"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0346DDAE"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5CDBD962" w14:textId="77777777" w:rsidTr="00E73613">
        <w:trPr>
          <w:trHeight w:val="510"/>
        </w:trPr>
        <w:tc>
          <w:tcPr>
            <w:tcW w:w="176" w:type="pct"/>
            <w:tcBorders>
              <w:top w:val="nil"/>
              <w:left w:val="single" w:sz="4" w:space="0" w:color="auto"/>
              <w:bottom w:val="single" w:sz="4" w:space="0" w:color="auto"/>
              <w:right w:val="single" w:sz="4" w:space="0" w:color="auto"/>
            </w:tcBorders>
            <w:shd w:val="clear" w:color="auto" w:fill="auto"/>
            <w:noWrap/>
            <w:hideMark/>
          </w:tcPr>
          <w:p w14:paraId="019E56E8"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25</w:t>
            </w:r>
          </w:p>
        </w:tc>
        <w:tc>
          <w:tcPr>
            <w:tcW w:w="3493" w:type="pct"/>
            <w:tcBorders>
              <w:top w:val="nil"/>
              <w:left w:val="nil"/>
              <w:bottom w:val="single" w:sz="4" w:space="0" w:color="auto"/>
              <w:right w:val="single" w:sz="4" w:space="0" w:color="auto"/>
            </w:tcBorders>
            <w:shd w:val="clear" w:color="auto" w:fill="auto"/>
            <w:hideMark/>
          </w:tcPr>
          <w:p w14:paraId="3278BD7A" w14:textId="7B38B209" w:rsidR="00985D46" w:rsidRPr="00985D46" w:rsidRDefault="00426FCC" w:rsidP="00985D46">
            <w:pPr>
              <w:spacing w:after="0" w:line="240" w:lineRule="auto"/>
              <w:rPr>
                <w:rFonts w:ascii="Calibri" w:eastAsia="Times New Roman" w:hAnsi="Calibri" w:cs="Calibri"/>
                <w:sz w:val="20"/>
                <w:szCs w:val="20"/>
                <w:lang w:val="en-GB" w:eastAsia="en-GB"/>
              </w:rPr>
            </w:pPr>
            <w:r>
              <w:rPr>
                <w:rFonts w:ascii="Calibri" w:eastAsia="Times New Roman" w:hAnsi="Calibri" w:cs="Calibri"/>
                <w:sz w:val="20"/>
                <w:szCs w:val="20"/>
                <w:lang w:val="en-GB" w:eastAsia="en-GB"/>
              </w:rPr>
              <w:t>The solution should provi</w:t>
            </w:r>
            <w:r w:rsidR="00985D46" w:rsidRPr="00985D46">
              <w:rPr>
                <w:rFonts w:ascii="Calibri" w:eastAsia="Times New Roman" w:hAnsi="Calibri" w:cs="Calibri"/>
                <w:sz w:val="20"/>
                <w:szCs w:val="20"/>
                <w:lang w:val="en-GB" w:eastAsia="en-GB"/>
              </w:rPr>
              <w:t>de threat enforcement based on the threats detected by external systems without  any additional agents &amp; quarantine the endpoints</w:t>
            </w:r>
          </w:p>
        </w:tc>
        <w:tc>
          <w:tcPr>
            <w:tcW w:w="638" w:type="pct"/>
            <w:tcBorders>
              <w:top w:val="nil"/>
              <w:left w:val="nil"/>
              <w:bottom w:val="single" w:sz="4" w:space="0" w:color="auto"/>
              <w:right w:val="single" w:sz="4" w:space="0" w:color="auto"/>
            </w:tcBorders>
            <w:shd w:val="clear" w:color="auto" w:fill="auto"/>
            <w:hideMark/>
          </w:tcPr>
          <w:p w14:paraId="5D09B7D4"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58DE226F"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29E14F04" w14:textId="77777777" w:rsidTr="00E73613">
        <w:trPr>
          <w:trHeight w:val="255"/>
        </w:trPr>
        <w:tc>
          <w:tcPr>
            <w:tcW w:w="176" w:type="pct"/>
            <w:tcBorders>
              <w:top w:val="nil"/>
              <w:left w:val="single" w:sz="4" w:space="0" w:color="auto"/>
              <w:bottom w:val="single" w:sz="4" w:space="0" w:color="auto"/>
              <w:right w:val="single" w:sz="4" w:space="0" w:color="auto"/>
            </w:tcBorders>
            <w:shd w:val="clear" w:color="auto" w:fill="auto"/>
            <w:noWrap/>
            <w:hideMark/>
          </w:tcPr>
          <w:p w14:paraId="792F755E"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26</w:t>
            </w:r>
          </w:p>
        </w:tc>
        <w:tc>
          <w:tcPr>
            <w:tcW w:w="3493" w:type="pct"/>
            <w:tcBorders>
              <w:top w:val="nil"/>
              <w:left w:val="nil"/>
              <w:bottom w:val="single" w:sz="4" w:space="0" w:color="auto"/>
              <w:right w:val="single" w:sz="4" w:space="0" w:color="auto"/>
            </w:tcBorders>
            <w:shd w:val="clear" w:color="auto" w:fill="auto"/>
            <w:hideMark/>
          </w:tcPr>
          <w:p w14:paraId="2CB67F27"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 xml:space="preserve">The solution should support  distributed deployment options with clustering of nodes with a central management </w:t>
            </w:r>
          </w:p>
        </w:tc>
        <w:tc>
          <w:tcPr>
            <w:tcW w:w="638" w:type="pct"/>
            <w:tcBorders>
              <w:top w:val="nil"/>
              <w:left w:val="nil"/>
              <w:bottom w:val="single" w:sz="4" w:space="0" w:color="auto"/>
              <w:right w:val="single" w:sz="4" w:space="0" w:color="auto"/>
            </w:tcBorders>
            <w:shd w:val="clear" w:color="auto" w:fill="auto"/>
            <w:hideMark/>
          </w:tcPr>
          <w:p w14:paraId="7038B323"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4A3D39DA"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74747936" w14:textId="77777777" w:rsidTr="00E73613">
        <w:trPr>
          <w:trHeight w:val="255"/>
        </w:trPr>
        <w:tc>
          <w:tcPr>
            <w:tcW w:w="176" w:type="pct"/>
            <w:tcBorders>
              <w:top w:val="nil"/>
              <w:left w:val="single" w:sz="4" w:space="0" w:color="auto"/>
              <w:bottom w:val="single" w:sz="4" w:space="0" w:color="auto"/>
              <w:right w:val="single" w:sz="4" w:space="0" w:color="auto"/>
            </w:tcBorders>
            <w:shd w:val="clear" w:color="auto" w:fill="auto"/>
            <w:noWrap/>
            <w:hideMark/>
          </w:tcPr>
          <w:p w14:paraId="43A118BB"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27</w:t>
            </w:r>
          </w:p>
        </w:tc>
        <w:tc>
          <w:tcPr>
            <w:tcW w:w="3493" w:type="pct"/>
            <w:tcBorders>
              <w:top w:val="nil"/>
              <w:left w:val="nil"/>
              <w:bottom w:val="single" w:sz="4" w:space="0" w:color="auto"/>
              <w:right w:val="single" w:sz="4" w:space="0" w:color="auto"/>
            </w:tcBorders>
            <w:shd w:val="clear" w:color="auto" w:fill="auto"/>
            <w:hideMark/>
          </w:tcPr>
          <w:p w14:paraId="163E9454"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 xml:space="preserve">The solution should provide detail endpoint &amp; authentication details </w:t>
            </w:r>
          </w:p>
        </w:tc>
        <w:tc>
          <w:tcPr>
            <w:tcW w:w="638" w:type="pct"/>
            <w:tcBorders>
              <w:top w:val="nil"/>
              <w:left w:val="nil"/>
              <w:bottom w:val="single" w:sz="4" w:space="0" w:color="auto"/>
              <w:right w:val="single" w:sz="4" w:space="0" w:color="auto"/>
            </w:tcBorders>
            <w:shd w:val="clear" w:color="auto" w:fill="auto"/>
            <w:hideMark/>
          </w:tcPr>
          <w:p w14:paraId="79CD1E8C"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4D19DE5D"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679AE08F" w14:textId="77777777" w:rsidTr="00E73613">
        <w:trPr>
          <w:trHeight w:val="255"/>
        </w:trPr>
        <w:tc>
          <w:tcPr>
            <w:tcW w:w="176" w:type="pct"/>
            <w:tcBorders>
              <w:top w:val="nil"/>
              <w:left w:val="single" w:sz="4" w:space="0" w:color="auto"/>
              <w:bottom w:val="single" w:sz="4" w:space="0" w:color="auto"/>
              <w:right w:val="single" w:sz="4" w:space="0" w:color="auto"/>
            </w:tcBorders>
            <w:shd w:val="clear" w:color="auto" w:fill="auto"/>
            <w:noWrap/>
            <w:hideMark/>
          </w:tcPr>
          <w:p w14:paraId="335B0E3F"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28</w:t>
            </w:r>
          </w:p>
        </w:tc>
        <w:tc>
          <w:tcPr>
            <w:tcW w:w="3493" w:type="pct"/>
            <w:tcBorders>
              <w:top w:val="nil"/>
              <w:left w:val="nil"/>
              <w:bottom w:val="single" w:sz="4" w:space="0" w:color="auto"/>
              <w:right w:val="single" w:sz="4" w:space="0" w:color="auto"/>
            </w:tcBorders>
            <w:shd w:val="clear" w:color="auto" w:fill="auto"/>
            <w:hideMark/>
          </w:tcPr>
          <w:p w14:paraId="473E43A7"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should provide role-based administrative access with dedicated roles for administrator, helpdesk operators etc.</w:t>
            </w:r>
          </w:p>
        </w:tc>
        <w:tc>
          <w:tcPr>
            <w:tcW w:w="638" w:type="pct"/>
            <w:tcBorders>
              <w:top w:val="nil"/>
              <w:left w:val="nil"/>
              <w:bottom w:val="single" w:sz="4" w:space="0" w:color="auto"/>
              <w:right w:val="single" w:sz="4" w:space="0" w:color="auto"/>
            </w:tcBorders>
            <w:shd w:val="clear" w:color="auto" w:fill="auto"/>
            <w:hideMark/>
          </w:tcPr>
          <w:p w14:paraId="3AB6436C"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7D455355"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17C03FD9" w14:textId="77777777" w:rsidTr="00E73613">
        <w:trPr>
          <w:trHeight w:val="255"/>
        </w:trPr>
        <w:tc>
          <w:tcPr>
            <w:tcW w:w="176" w:type="pct"/>
            <w:tcBorders>
              <w:top w:val="nil"/>
              <w:left w:val="single" w:sz="4" w:space="0" w:color="auto"/>
              <w:bottom w:val="single" w:sz="4" w:space="0" w:color="auto"/>
              <w:right w:val="single" w:sz="4" w:space="0" w:color="auto"/>
            </w:tcBorders>
            <w:shd w:val="clear" w:color="auto" w:fill="auto"/>
            <w:noWrap/>
            <w:hideMark/>
          </w:tcPr>
          <w:p w14:paraId="3BA5B161"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29</w:t>
            </w:r>
          </w:p>
        </w:tc>
        <w:tc>
          <w:tcPr>
            <w:tcW w:w="3493" w:type="pct"/>
            <w:tcBorders>
              <w:top w:val="nil"/>
              <w:left w:val="nil"/>
              <w:bottom w:val="single" w:sz="4" w:space="0" w:color="auto"/>
              <w:right w:val="single" w:sz="4" w:space="0" w:color="auto"/>
            </w:tcBorders>
            <w:shd w:val="clear" w:color="auto" w:fill="auto"/>
            <w:hideMark/>
          </w:tcPr>
          <w:p w14:paraId="5E92B180"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should have http and SNI proxy based remediation options</w:t>
            </w:r>
          </w:p>
        </w:tc>
        <w:tc>
          <w:tcPr>
            <w:tcW w:w="638" w:type="pct"/>
            <w:tcBorders>
              <w:top w:val="nil"/>
              <w:left w:val="nil"/>
              <w:bottom w:val="single" w:sz="4" w:space="0" w:color="auto"/>
              <w:right w:val="single" w:sz="4" w:space="0" w:color="auto"/>
            </w:tcBorders>
            <w:shd w:val="clear" w:color="auto" w:fill="auto"/>
            <w:hideMark/>
          </w:tcPr>
          <w:p w14:paraId="3CB05E7B" w14:textId="77777777" w:rsidR="00985D46" w:rsidRPr="00985D46" w:rsidRDefault="00985D46" w:rsidP="00985D46">
            <w:pPr>
              <w:spacing w:after="0" w:line="240" w:lineRule="auto"/>
              <w:rPr>
                <w:rFonts w:ascii="Calibri" w:eastAsia="Times New Roman" w:hAnsi="Calibri" w:cs="Calibri"/>
                <w:color w:val="FF0000"/>
                <w:sz w:val="20"/>
                <w:szCs w:val="20"/>
                <w:lang w:val="en-GB" w:eastAsia="en-GB"/>
              </w:rPr>
            </w:pPr>
            <w:r w:rsidRPr="00985D46">
              <w:rPr>
                <w:rFonts w:ascii="Calibri" w:eastAsia="Times New Roman" w:hAnsi="Calibri" w:cs="Calibri"/>
                <w:color w:val="FF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55256C80" w14:textId="77777777" w:rsidR="00985D46" w:rsidRPr="00985D46" w:rsidRDefault="00985D46" w:rsidP="00985D46">
            <w:pPr>
              <w:spacing w:after="0" w:line="240" w:lineRule="auto"/>
              <w:rPr>
                <w:rFonts w:ascii="Calibri" w:eastAsia="Times New Roman" w:hAnsi="Calibri" w:cs="Calibri"/>
                <w:color w:val="FF0000"/>
                <w:sz w:val="20"/>
                <w:szCs w:val="20"/>
                <w:lang w:val="en-GB" w:eastAsia="en-GB"/>
              </w:rPr>
            </w:pPr>
            <w:r w:rsidRPr="00985D46">
              <w:rPr>
                <w:rFonts w:ascii="Calibri" w:eastAsia="Times New Roman" w:hAnsi="Calibri" w:cs="Calibri"/>
                <w:color w:val="FF0000"/>
                <w:sz w:val="20"/>
                <w:szCs w:val="20"/>
                <w:lang w:val="en-GB" w:eastAsia="en-GB"/>
              </w:rPr>
              <w:t> </w:t>
            </w:r>
          </w:p>
        </w:tc>
      </w:tr>
      <w:tr w:rsidR="00985D46" w:rsidRPr="00985D46" w14:paraId="1EB56F2A" w14:textId="77777777" w:rsidTr="00E73613">
        <w:trPr>
          <w:trHeight w:val="1320"/>
        </w:trPr>
        <w:tc>
          <w:tcPr>
            <w:tcW w:w="176" w:type="pct"/>
            <w:tcBorders>
              <w:top w:val="nil"/>
              <w:left w:val="single" w:sz="4" w:space="0" w:color="auto"/>
              <w:bottom w:val="single" w:sz="4" w:space="0" w:color="auto"/>
              <w:right w:val="single" w:sz="4" w:space="0" w:color="auto"/>
            </w:tcBorders>
            <w:shd w:val="clear" w:color="auto" w:fill="auto"/>
            <w:noWrap/>
            <w:hideMark/>
          </w:tcPr>
          <w:p w14:paraId="455E1709"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30</w:t>
            </w:r>
          </w:p>
        </w:tc>
        <w:tc>
          <w:tcPr>
            <w:tcW w:w="3493" w:type="pct"/>
            <w:tcBorders>
              <w:top w:val="nil"/>
              <w:left w:val="nil"/>
              <w:bottom w:val="single" w:sz="4" w:space="0" w:color="auto"/>
              <w:right w:val="single" w:sz="4" w:space="0" w:color="auto"/>
            </w:tcBorders>
            <w:shd w:val="clear" w:color="auto" w:fill="auto"/>
            <w:hideMark/>
          </w:tcPr>
          <w:p w14:paraId="45A69EBE"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should offer comprehensive visibility by automatically discovering, classifying, and controlling endpoints connected to the network to enable the appropriate services per endpoint of each &amp; every device coming in to, getting out of and connected with the Bank 's network.  Visibility must not only be limited to IP address, MAC address and Operating System but it should also include OS version, service running, process running, application version, application installed etc. to achieve 100% device visibility.</w:t>
            </w:r>
          </w:p>
        </w:tc>
        <w:tc>
          <w:tcPr>
            <w:tcW w:w="638" w:type="pct"/>
            <w:tcBorders>
              <w:top w:val="nil"/>
              <w:left w:val="nil"/>
              <w:bottom w:val="single" w:sz="4" w:space="0" w:color="auto"/>
              <w:right w:val="single" w:sz="4" w:space="0" w:color="auto"/>
            </w:tcBorders>
            <w:shd w:val="clear" w:color="auto" w:fill="auto"/>
            <w:hideMark/>
          </w:tcPr>
          <w:p w14:paraId="2424BD23"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3078A096"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2FFD0B27" w14:textId="77777777" w:rsidTr="00E73613">
        <w:trPr>
          <w:trHeight w:val="510"/>
        </w:trPr>
        <w:tc>
          <w:tcPr>
            <w:tcW w:w="176" w:type="pct"/>
            <w:tcBorders>
              <w:top w:val="nil"/>
              <w:left w:val="single" w:sz="4" w:space="0" w:color="auto"/>
              <w:bottom w:val="single" w:sz="4" w:space="0" w:color="auto"/>
              <w:right w:val="single" w:sz="4" w:space="0" w:color="auto"/>
            </w:tcBorders>
            <w:shd w:val="clear" w:color="auto" w:fill="auto"/>
            <w:noWrap/>
            <w:hideMark/>
          </w:tcPr>
          <w:p w14:paraId="31765B7A"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31</w:t>
            </w:r>
          </w:p>
        </w:tc>
        <w:tc>
          <w:tcPr>
            <w:tcW w:w="3493" w:type="pct"/>
            <w:tcBorders>
              <w:top w:val="nil"/>
              <w:left w:val="nil"/>
              <w:bottom w:val="single" w:sz="4" w:space="0" w:color="auto"/>
              <w:right w:val="single" w:sz="4" w:space="0" w:color="auto"/>
            </w:tcBorders>
            <w:shd w:val="clear" w:color="auto" w:fill="auto"/>
            <w:hideMark/>
          </w:tcPr>
          <w:p w14:paraId="24A01A29"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Solution should support auto-remediation of PC clients as well as periodic reassessment to make sure the endpoint is not in violation of company policies and must check the end device compliance before permitting access to the network.</w:t>
            </w:r>
          </w:p>
        </w:tc>
        <w:tc>
          <w:tcPr>
            <w:tcW w:w="638" w:type="pct"/>
            <w:tcBorders>
              <w:top w:val="nil"/>
              <w:left w:val="nil"/>
              <w:bottom w:val="single" w:sz="4" w:space="0" w:color="auto"/>
              <w:right w:val="single" w:sz="4" w:space="0" w:color="auto"/>
            </w:tcBorders>
            <w:shd w:val="clear" w:color="auto" w:fill="auto"/>
            <w:hideMark/>
          </w:tcPr>
          <w:p w14:paraId="2D184B45"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180C6EA2"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771DB346" w14:textId="77777777" w:rsidTr="00E73613">
        <w:trPr>
          <w:trHeight w:val="1020"/>
        </w:trPr>
        <w:tc>
          <w:tcPr>
            <w:tcW w:w="176" w:type="pct"/>
            <w:tcBorders>
              <w:top w:val="nil"/>
              <w:left w:val="single" w:sz="4" w:space="0" w:color="auto"/>
              <w:bottom w:val="single" w:sz="4" w:space="0" w:color="auto"/>
              <w:right w:val="single" w:sz="4" w:space="0" w:color="auto"/>
            </w:tcBorders>
            <w:shd w:val="clear" w:color="auto" w:fill="auto"/>
            <w:noWrap/>
            <w:hideMark/>
          </w:tcPr>
          <w:p w14:paraId="19A1A9E4"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32</w:t>
            </w:r>
          </w:p>
        </w:tc>
        <w:tc>
          <w:tcPr>
            <w:tcW w:w="3493" w:type="pct"/>
            <w:tcBorders>
              <w:top w:val="nil"/>
              <w:left w:val="nil"/>
              <w:bottom w:val="single" w:sz="4" w:space="0" w:color="auto"/>
              <w:right w:val="single" w:sz="4" w:space="0" w:color="auto"/>
            </w:tcBorders>
            <w:shd w:val="clear" w:color="auto" w:fill="auto"/>
            <w:hideMark/>
          </w:tcPr>
          <w:p w14:paraId="69FF57AF"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Should have predefined device templates for a wide range of endpoints, such as IP phones, printers, IP cameras, smartphones, tablets and configurable templates. These templates can be used to automatically detect, classify, and associate administrative-defined identities when endpoints connect to the network. Administrators can also associate endpoint-specific authorization policies based on device type.</w:t>
            </w:r>
          </w:p>
        </w:tc>
        <w:tc>
          <w:tcPr>
            <w:tcW w:w="638" w:type="pct"/>
            <w:tcBorders>
              <w:top w:val="nil"/>
              <w:left w:val="nil"/>
              <w:bottom w:val="single" w:sz="4" w:space="0" w:color="auto"/>
              <w:right w:val="single" w:sz="4" w:space="0" w:color="auto"/>
            </w:tcBorders>
            <w:shd w:val="clear" w:color="auto" w:fill="auto"/>
            <w:hideMark/>
          </w:tcPr>
          <w:p w14:paraId="03D3B5D6"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6BF37D60"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3682216F" w14:textId="77777777" w:rsidTr="00E73613">
        <w:trPr>
          <w:trHeight w:val="765"/>
        </w:trPr>
        <w:tc>
          <w:tcPr>
            <w:tcW w:w="176" w:type="pct"/>
            <w:tcBorders>
              <w:top w:val="nil"/>
              <w:left w:val="single" w:sz="4" w:space="0" w:color="auto"/>
              <w:bottom w:val="single" w:sz="4" w:space="0" w:color="auto"/>
              <w:right w:val="single" w:sz="4" w:space="0" w:color="auto"/>
            </w:tcBorders>
            <w:shd w:val="clear" w:color="auto" w:fill="auto"/>
            <w:noWrap/>
            <w:hideMark/>
          </w:tcPr>
          <w:p w14:paraId="497377BE"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33</w:t>
            </w:r>
          </w:p>
        </w:tc>
        <w:tc>
          <w:tcPr>
            <w:tcW w:w="3493" w:type="pct"/>
            <w:tcBorders>
              <w:top w:val="nil"/>
              <w:left w:val="nil"/>
              <w:bottom w:val="single" w:sz="4" w:space="0" w:color="auto"/>
              <w:right w:val="single" w:sz="4" w:space="0" w:color="auto"/>
            </w:tcBorders>
            <w:shd w:val="clear" w:color="auto" w:fill="auto"/>
            <w:hideMark/>
          </w:tcPr>
          <w:p w14:paraId="6DC5A2D7"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Solution must support   functionality in both managed and un-managed switches. Solution must help in uncovering of unmanaged &amp; unknown Switches through number of hosts detection, etc. and block non-compliant endpoints which are connected to un-managed switches.</w:t>
            </w:r>
          </w:p>
        </w:tc>
        <w:tc>
          <w:tcPr>
            <w:tcW w:w="638" w:type="pct"/>
            <w:tcBorders>
              <w:top w:val="nil"/>
              <w:left w:val="nil"/>
              <w:bottom w:val="single" w:sz="4" w:space="0" w:color="auto"/>
              <w:right w:val="single" w:sz="4" w:space="0" w:color="auto"/>
            </w:tcBorders>
            <w:shd w:val="clear" w:color="auto" w:fill="auto"/>
            <w:hideMark/>
          </w:tcPr>
          <w:p w14:paraId="520504BF"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2593E9EE"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57954C1D" w14:textId="77777777" w:rsidTr="00E73613">
        <w:trPr>
          <w:trHeight w:val="255"/>
        </w:trPr>
        <w:tc>
          <w:tcPr>
            <w:tcW w:w="176" w:type="pct"/>
            <w:tcBorders>
              <w:top w:val="nil"/>
              <w:left w:val="single" w:sz="4" w:space="0" w:color="auto"/>
              <w:bottom w:val="single" w:sz="4" w:space="0" w:color="auto"/>
              <w:right w:val="single" w:sz="4" w:space="0" w:color="auto"/>
            </w:tcBorders>
            <w:shd w:val="clear" w:color="auto" w:fill="auto"/>
            <w:noWrap/>
            <w:hideMark/>
          </w:tcPr>
          <w:p w14:paraId="39496E39"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34</w:t>
            </w:r>
          </w:p>
        </w:tc>
        <w:tc>
          <w:tcPr>
            <w:tcW w:w="3493" w:type="pct"/>
            <w:tcBorders>
              <w:top w:val="nil"/>
              <w:left w:val="nil"/>
              <w:bottom w:val="single" w:sz="4" w:space="0" w:color="auto"/>
              <w:right w:val="single" w:sz="4" w:space="0" w:color="auto"/>
            </w:tcBorders>
            <w:shd w:val="clear" w:color="auto" w:fill="auto"/>
            <w:hideMark/>
          </w:tcPr>
          <w:p w14:paraId="511664CF"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Solution must be able to detect all users (domain as well as local) including local admin across all endpoints.</w:t>
            </w:r>
          </w:p>
        </w:tc>
        <w:tc>
          <w:tcPr>
            <w:tcW w:w="638" w:type="pct"/>
            <w:tcBorders>
              <w:top w:val="nil"/>
              <w:left w:val="nil"/>
              <w:bottom w:val="single" w:sz="4" w:space="0" w:color="auto"/>
              <w:right w:val="single" w:sz="4" w:space="0" w:color="auto"/>
            </w:tcBorders>
            <w:shd w:val="clear" w:color="auto" w:fill="auto"/>
            <w:hideMark/>
          </w:tcPr>
          <w:p w14:paraId="63264CD0"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4F5DABD1"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41E2D0C6" w14:textId="77777777" w:rsidTr="00E73613">
        <w:trPr>
          <w:trHeight w:val="885"/>
        </w:trPr>
        <w:tc>
          <w:tcPr>
            <w:tcW w:w="176" w:type="pct"/>
            <w:tcBorders>
              <w:top w:val="nil"/>
              <w:left w:val="single" w:sz="4" w:space="0" w:color="auto"/>
              <w:bottom w:val="single" w:sz="4" w:space="0" w:color="auto"/>
              <w:right w:val="single" w:sz="4" w:space="0" w:color="auto"/>
            </w:tcBorders>
            <w:shd w:val="clear" w:color="auto" w:fill="auto"/>
            <w:noWrap/>
            <w:hideMark/>
          </w:tcPr>
          <w:p w14:paraId="1595D08D"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35</w:t>
            </w:r>
          </w:p>
        </w:tc>
        <w:tc>
          <w:tcPr>
            <w:tcW w:w="3493" w:type="pct"/>
            <w:tcBorders>
              <w:top w:val="nil"/>
              <w:left w:val="nil"/>
              <w:bottom w:val="single" w:sz="4" w:space="0" w:color="auto"/>
              <w:right w:val="single" w:sz="4" w:space="0" w:color="auto"/>
            </w:tcBorders>
            <w:shd w:val="clear" w:color="auto" w:fill="auto"/>
            <w:hideMark/>
          </w:tcPr>
          <w:p w14:paraId="2F6E66CC"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Provides the ability to create powerful posture assessments policies by checking availability of latest OS patches, antivirus and antispyware software packages with current definition file variables (version, date, etc.), registries (key, value, etc.), and applications.</w:t>
            </w:r>
          </w:p>
        </w:tc>
        <w:tc>
          <w:tcPr>
            <w:tcW w:w="638" w:type="pct"/>
            <w:tcBorders>
              <w:top w:val="nil"/>
              <w:left w:val="nil"/>
              <w:bottom w:val="single" w:sz="4" w:space="0" w:color="auto"/>
              <w:right w:val="single" w:sz="4" w:space="0" w:color="auto"/>
            </w:tcBorders>
            <w:shd w:val="clear" w:color="auto" w:fill="auto"/>
            <w:hideMark/>
          </w:tcPr>
          <w:p w14:paraId="396A7514"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441A595B"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40D34357" w14:textId="77777777" w:rsidTr="00E73613">
        <w:trPr>
          <w:trHeight w:val="510"/>
        </w:trPr>
        <w:tc>
          <w:tcPr>
            <w:tcW w:w="176" w:type="pct"/>
            <w:tcBorders>
              <w:top w:val="nil"/>
              <w:left w:val="single" w:sz="4" w:space="0" w:color="auto"/>
              <w:bottom w:val="single" w:sz="4" w:space="0" w:color="auto"/>
              <w:right w:val="single" w:sz="4" w:space="0" w:color="auto"/>
            </w:tcBorders>
            <w:shd w:val="clear" w:color="auto" w:fill="auto"/>
            <w:noWrap/>
            <w:hideMark/>
          </w:tcPr>
          <w:p w14:paraId="3570182B"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36</w:t>
            </w:r>
          </w:p>
        </w:tc>
        <w:tc>
          <w:tcPr>
            <w:tcW w:w="3493" w:type="pct"/>
            <w:tcBorders>
              <w:top w:val="nil"/>
              <w:left w:val="nil"/>
              <w:bottom w:val="single" w:sz="4" w:space="0" w:color="auto"/>
              <w:right w:val="single" w:sz="4" w:space="0" w:color="auto"/>
            </w:tcBorders>
            <w:shd w:val="clear" w:color="auto" w:fill="auto"/>
            <w:hideMark/>
          </w:tcPr>
          <w:p w14:paraId="285BF41A"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should support Bank ‘s existing network infrastructure i.e. managed &amp; unmanaged switches to block or limit the non-complied and rogue devices behind that.</w:t>
            </w:r>
          </w:p>
        </w:tc>
        <w:tc>
          <w:tcPr>
            <w:tcW w:w="638" w:type="pct"/>
            <w:tcBorders>
              <w:top w:val="nil"/>
              <w:left w:val="nil"/>
              <w:bottom w:val="single" w:sz="4" w:space="0" w:color="auto"/>
              <w:right w:val="single" w:sz="4" w:space="0" w:color="auto"/>
            </w:tcBorders>
            <w:shd w:val="clear" w:color="auto" w:fill="auto"/>
            <w:hideMark/>
          </w:tcPr>
          <w:p w14:paraId="6AB0520C"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094896F1"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6E767D14" w14:textId="77777777" w:rsidTr="00E73613">
        <w:trPr>
          <w:trHeight w:val="510"/>
        </w:trPr>
        <w:tc>
          <w:tcPr>
            <w:tcW w:w="176" w:type="pct"/>
            <w:tcBorders>
              <w:top w:val="nil"/>
              <w:left w:val="single" w:sz="4" w:space="0" w:color="auto"/>
              <w:bottom w:val="single" w:sz="4" w:space="0" w:color="auto"/>
              <w:right w:val="single" w:sz="4" w:space="0" w:color="auto"/>
            </w:tcBorders>
            <w:shd w:val="clear" w:color="auto" w:fill="auto"/>
            <w:noWrap/>
            <w:hideMark/>
          </w:tcPr>
          <w:p w14:paraId="03CB2565"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37</w:t>
            </w:r>
          </w:p>
        </w:tc>
        <w:tc>
          <w:tcPr>
            <w:tcW w:w="3493" w:type="pct"/>
            <w:tcBorders>
              <w:top w:val="nil"/>
              <w:left w:val="nil"/>
              <w:bottom w:val="single" w:sz="4" w:space="0" w:color="auto"/>
              <w:right w:val="single" w:sz="4" w:space="0" w:color="auto"/>
            </w:tcBorders>
            <w:shd w:val="clear" w:color="auto" w:fill="auto"/>
            <w:hideMark/>
          </w:tcPr>
          <w:p w14:paraId="23663D6E"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should enforce security policies by blocking, isolating, and repairing non-compliant machines in a quarantine area without requiring administrator attention.</w:t>
            </w:r>
          </w:p>
        </w:tc>
        <w:tc>
          <w:tcPr>
            <w:tcW w:w="638" w:type="pct"/>
            <w:tcBorders>
              <w:top w:val="nil"/>
              <w:left w:val="nil"/>
              <w:bottom w:val="single" w:sz="4" w:space="0" w:color="auto"/>
              <w:right w:val="single" w:sz="4" w:space="0" w:color="auto"/>
            </w:tcBorders>
            <w:shd w:val="clear" w:color="auto" w:fill="auto"/>
            <w:hideMark/>
          </w:tcPr>
          <w:p w14:paraId="244F5F1B"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140066DA"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147C6D08" w14:textId="77777777" w:rsidTr="00E73613">
        <w:trPr>
          <w:trHeight w:val="510"/>
        </w:trPr>
        <w:tc>
          <w:tcPr>
            <w:tcW w:w="176" w:type="pct"/>
            <w:tcBorders>
              <w:top w:val="nil"/>
              <w:left w:val="single" w:sz="4" w:space="0" w:color="auto"/>
              <w:bottom w:val="single" w:sz="4" w:space="0" w:color="auto"/>
              <w:right w:val="single" w:sz="4" w:space="0" w:color="auto"/>
            </w:tcBorders>
            <w:shd w:val="clear" w:color="auto" w:fill="auto"/>
            <w:noWrap/>
            <w:hideMark/>
          </w:tcPr>
          <w:p w14:paraId="52A957D5"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38</w:t>
            </w:r>
          </w:p>
        </w:tc>
        <w:tc>
          <w:tcPr>
            <w:tcW w:w="3493" w:type="pct"/>
            <w:tcBorders>
              <w:top w:val="nil"/>
              <w:left w:val="nil"/>
              <w:bottom w:val="single" w:sz="4" w:space="0" w:color="auto"/>
              <w:right w:val="single" w:sz="4" w:space="0" w:color="auto"/>
            </w:tcBorders>
            <w:shd w:val="clear" w:color="auto" w:fill="auto"/>
            <w:hideMark/>
          </w:tcPr>
          <w:p w14:paraId="459B720D"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Solution must support auto-remediation on all the non- compliant end point like Update AV automatically, Update Patches automatically, Start Antivirus/ Patch Endpoint agent, Kill/ Uninstall blacklisted application/ Service/ process etc.</w:t>
            </w:r>
          </w:p>
        </w:tc>
        <w:tc>
          <w:tcPr>
            <w:tcW w:w="638" w:type="pct"/>
            <w:tcBorders>
              <w:top w:val="nil"/>
              <w:left w:val="nil"/>
              <w:bottom w:val="single" w:sz="4" w:space="0" w:color="auto"/>
              <w:right w:val="single" w:sz="4" w:space="0" w:color="auto"/>
            </w:tcBorders>
            <w:shd w:val="clear" w:color="auto" w:fill="auto"/>
            <w:hideMark/>
          </w:tcPr>
          <w:p w14:paraId="7773373C"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1A1AE2D3"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782D6E6E" w14:textId="77777777" w:rsidTr="00E73613">
        <w:trPr>
          <w:trHeight w:val="765"/>
        </w:trPr>
        <w:tc>
          <w:tcPr>
            <w:tcW w:w="176" w:type="pct"/>
            <w:tcBorders>
              <w:top w:val="nil"/>
              <w:left w:val="single" w:sz="4" w:space="0" w:color="auto"/>
              <w:bottom w:val="single" w:sz="4" w:space="0" w:color="auto"/>
              <w:right w:val="single" w:sz="4" w:space="0" w:color="auto"/>
            </w:tcBorders>
            <w:shd w:val="clear" w:color="auto" w:fill="auto"/>
            <w:noWrap/>
            <w:hideMark/>
          </w:tcPr>
          <w:p w14:paraId="046F7E1D"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39</w:t>
            </w:r>
          </w:p>
        </w:tc>
        <w:tc>
          <w:tcPr>
            <w:tcW w:w="3493" w:type="pct"/>
            <w:tcBorders>
              <w:top w:val="nil"/>
              <w:left w:val="nil"/>
              <w:bottom w:val="single" w:sz="4" w:space="0" w:color="auto"/>
              <w:right w:val="single" w:sz="4" w:space="0" w:color="auto"/>
            </w:tcBorders>
            <w:shd w:val="clear" w:color="auto" w:fill="auto"/>
            <w:hideMark/>
          </w:tcPr>
          <w:p w14:paraId="4445C679"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Solution must detect and containment outbreak of known Virus/ Ransomware attacks based on custom IOC's shared by different regulatory body in different format like (CnC Address (Command and Control URL), Process (Process Name, Process Hash, Process Hash Type), File Exists (File Name, File Path), Mutex (Mutex Name), Registry Key (Path, Value), Service (Service name)).</w:t>
            </w:r>
          </w:p>
        </w:tc>
        <w:tc>
          <w:tcPr>
            <w:tcW w:w="638" w:type="pct"/>
            <w:tcBorders>
              <w:top w:val="nil"/>
              <w:left w:val="nil"/>
              <w:bottom w:val="single" w:sz="4" w:space="0" w:color="auto"/>
              <w:right w:val="single" w:sz="4" w:space="0" w:color="auto"/>
            </w:tcBorders>
            <w:shd w:val="clear" w:color="auto" w:fill="auto"/>
            <w:hideMark/>
          </w:tcPr>
          <w:p w14:paraId="43DBE2AE"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6593F511"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060DEBF3" w14:textId="77777777" w:rsidTr="00E73613">
        <w:trPr>
          <w:trHeight w:val="510"/>
        </w:trPr>
        <w:tc>
          <w:tcPr>
            <w:tcW w:w="176" w:type="pct"/>
            <w:tcBorders>
              <w:top w:val="nil"/>
              <w:left w:val="single" w:sz="4" w:space="0" w:color="auto"/>
              <w:bottom w:val="single" w:sz="4" w:space="0" w:color="auto"/>
              <w:right w:val="single" w:sz="4" w:space="0" w:color="auto"/>
            </w:tcBorders>
            <w:shd w:val="clear" w:color="auto" w:fill="auto"/>
            <w:noWrap/>
            <w:hideMark/>
          </w:tcPr>
          <w:p w14:paraId="01F26953"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40</w:t>
            </w:r>
          </w:p>
        </w:tc>
        <w:tc>
          <w:tcPr>
            <w:tcW w:w="3493" w:type="pct"/>
            <w:tcBorders>
              <w:top w:val="nil"/>
              <w:left w:val="nil"/>
              <w:bottom w:val="single" w:sz="4" w:space="0" w:color="auto"/>
              <w:right w:val="single" w:sz="4" w:space="0" w:color="auto"/>
            </w:tcBorders>
            <w:shd w:val="clear" w:color="auto" w:fill="auto"/>
            <w:hideMark/>
          </w:tcPr>
          <w:p w14:paraId="4BBF5644"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proposed   solution should be able to reflect immediate endpoint change, and automatically trigger configured host or network actions (e.g. user disables AV – automate immediate actions like notify user, force restart, etc.)</w:t>
            </w:r>
          </w:p>
        </w:tc>
        <w:tc>
          <w:tcPr>
            <w:tcW w:w="638" w:type="pct"/>
            <w:tcBorders>
              <w:top w:val="nil"/>
              <w:left w:val="nil"/>
              <w:bottom w:val="single" w:sz="4" w:space="0" w:color="auto"/>
              <w:right w:val="single" w:sz="4" w:space="0" w:color="auto"/>
            </w:tcBorders>
            <w:shd w:val="clear" w:color="auto" w:fill="auto"/>
            <w:hideMark/>
          </w:tcPr>
          <w:p w14:paraId="065D42A1"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42D1CF63"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21861861" w14:textId="77777777" w:rsidTr="00E73613">
        <w:trPr>
          <w:trHeight w:val="255"/>
        </w:trPr>
        <w:tc>
          <w:tcPr>
            <w:tcW w:w="176" w:type="pct"/>
            <w:tcBorders>
              <w:top w:val="nil"/>
              <w:left w:val="single" w:sz="4" w:space="0" w:color="auto"/>
              <w:bottom w:val="single" w:sz="4" w:space="0" w:color="auto"/>
              <w:right w:val="single" w:sz="4" w:space="0" w:color="auto"/>
            </w:tcBorders>
            <w:shd w:val="clear" w:color="auto" w:fill="auto"/>
            <w:noWrap/>
            <w:hideMark/>
          </w:tcPr>
          <w:p w14:paraId="5F217ABA"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41</w:t>
            </w:r>
          </w:p>
        </w:tc>
        <w:tc>
          <w:tcPr>
            <w:tcW w:w="3493" w:type="pct"/>
            <w:tcBorders>
              <w:top w:val="nil"/>
              <w:left w:val="nil"/>
              <w:bottom w:val="single" w:sz="4" w:space="0" w:color="auto"/>
              <w:right w:val="single" w:sz="4" w:space="0" w:color="auto"/>
            </w:tcBorders>
            <w:shd w:val="clear" w:color="auto" w:fill="auto"/>
            <w:hideMark/>
          </w:tcPr>
          <w:p w14:paraId="226E2D47"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Solution should have ability to generate reports in different formats, such as CSV/ PDF/ Excel, etc.</w:t>
            </w:r>
          </w:p>
        </w:tc>
        <w:tc>
          <w:tcPr>
            <w:tcW w:w="638" w:type="pct"/>
            <w:tcBorders>
              <w:top w:val="nil"/>
              <w:left w:val="nil"/>
              <w:bottom w:val="single" w:sz="4" w:space="0" w:color="auto"/>
              <w:right w:val="single" w:sz="4" w:space="0" w:color="auto"/>
            </w:tcBorders>
            <w:shd w:val="clear" w:color="auto" w:fill="auto"/>
            <w:hideMark/>
          </w:tcPr>
          <w:p w14:paraId="77CBD25C"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6151FDE5"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69CD88FB" w14:textId="77777777" w:rsidTr="00E73613">
        <w:trPr>
          <w:trHeight w:val="510"/>
        </w:trPr>
        <w:tc>
          <w:tcPr>
            <w:tcW w:w="176" w:type="pct"/>
            <w:tcBorders>
              <w:top w:val="nil"/>
              <w:left w:val="single" w:sz="4" w:space="0" w:color="auto"/>
              <w:bottom w:val="single" w:sz="4" w:space="0" w:color="auto"/>
              <w:right w:val="single" w:sz="4" w:space="0" w:color="auto"/>
            </w:tcBorders>
            <w:shd w:val="clear" w:color="auto" w:fill="auto"/>
            <w:noWrap/>
            <w:hideMark/>
          </w:tcPr>
          <w:p w14:paraId="30620114"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42</w:t>
            </w:r>
          </w:p>
        </w:tc>
        <w:tc>
          <w:tcPr>
            <w:tcW w:w="3493" w:type="pct"/>
            <w:tcBorders>
              <w:top w:val="nil"/>
              <w:left w:val="nil"/>
              <w:bottom w:val="single" w:sz="4" w:space="0" w:color="auto"/>
              <w:right w:val="single" w:sz="4" w:space="0" w:color="auto"/>
            </w:tcBorders>
            <w:shd w:val="clear" w:color="auto" w:fill="auto"/>
            <w:hideMark/>
          </w:tcPr>
          <w:p w14:paraId="3AD02CD0"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proposed   solution should allow authorized administrator to, in case of emergency, bypass PC/Branch from the central manager/ management console.</w:t>
            </w:r>
          </w:p>
        </w:tc>
        <w:tc>
          <w:tcPr>
            <w:tcW w:w="638" w:type="pct"/>
            <w:tcBorders>
              <w:top w:val="nil"/>
              <w:left w:val="nil"/>
              <w:bottom w:val="single" w:sz="4" w:space="0" w:color="auto"/>
              <w:right w:val="single" w:sz="4" w:space="0" w:color="auto"/>
            </w:tcBorders>
            <w:shd w:val="clear" w:color="auto" w:fill="auto"/>
            <w:hideMark/>
          </w:tcPr>
          <w:p w14:paraId="5F540B84"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364AACA2"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60074479" w14:textId="77777777" w:rsidTr="00E73613">
        <w:trPr>
          <w:trHeight w:val="510"/>
        </w:trPr>
        <w:tc>
          <w:tcPr>
            <w:tcW w:w="176" w:type="pct"/>
            <w:tcBorders>
              <w:top w:val="nil"/>
              <w:left w:val="single" w:sz="4" w:space="0" w:color="auto"/>
              <w:bottom w:val="single" w:sz="4" w:space="0" w:color="auto"/>
              <w:right w:val="single" w:sz="4" w:space="0" w:color="auto"/>
            </w:tcBorders>
            <w:shd w:val="clear" w:color="auto" w:fill="auto"/>
            <w:noWrap/>
            <w:hideMark/>
          </w:tcPr>
          <w:p w14:paraId="0D0D05FD"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43</w:t>
            </w:r>
          </w:p>
        </w:tc>
        <w:tc>
          <w:tcPr>
            <w:tcW w:w="3493" w:type="pct"/>
            <w:tcBorders>
              <w:top w:val="nil"/>
              <w:left w:val="nil"/>
              <w:bottom w:val="single" w:sz="4" w:space="0" w:color="auto"/>
              <w:right w:val="single" w:sz="4" w:space="0" w:color="auto"/>
            </w:tcBorders>
            <w:shd w:val="clear" w:color="auto" w:fill="auto"/>
            <w:hideMark/>
          </w:tcPr>
          <w:p w14:paraId="47AB779A"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Proposed   solution should able to restrict communication to a  non-compliant  device  which  is connected to a hub/unmanaged switch, while another compliant device which should remain functional.</w:t>
            </w:r>
          </w:p>
        </w:tc>
        <w:tc>
          <w:tcPr>
            <w:tcW w:w="638" w:type="pct"/>
            <w:tcBorders>
              <w:top w:val="nil"/>
              <w:left w:val="nil"/>
              <w:bottom w:val="single" w:sz="4" w:space="0" w:color="auto"/>
              <w:right w:val="single" w:sz="4" w:space="0" w:color="auto"/>
            </w:tcBorders>
            <w:shd w:val="clear" w:color="auto" w:fill="auto"/>
            <w:hideMark/>
          </w:tcPr>
          <w:p w14:paraId="18182DBB"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729F3027"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3EACF930" w14:textId="77777777" w:rsidTr="00E73613">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11DABCFD"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44</w:t>
            </w:r>
          </w:p>
        </w:tc>
        <w:tc>
          <w:tcPr>
            <w:tcW w:w="3493" w:type="pct"/>
            <w:tcBorders>
              <w:top w:val="nil"/>
              <w:left w:val="nil"/>
              <w:bottom w:val="single" w:sz="4" w:space="0" w:color="auto"/>
              <w:right w:val="single" w:sz="4" w:space="0" w:color="auto"/>
            </w:tcBorders>
            <w:shd w:val="clear" w:color="auto" w:fill="auto"/>
            <w:hideMark/>
          </w:tcPr>
          <w:p w14:paraId="0F90E006"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 xml:space="preserve">The proposed   solution should be able to provide complete software/application visibility for all windows endpoints i.e. all applications installed with exact version details, all processes running, all services running, etc. </w:t>
            </w:r>
          </w:p>
        </w:tc>
        <w:tc>
          <w:tcPr>
            <w:tcW w:w="638" w:type="pct"/>
            <w:tcBorders>
              <w:top w:val="nil"/>
              <w:left w:val="nil"/>
              <w:bottom w:val="single" w:sz="4" w:space="0" w:color="auto"/>
              <w:right w:val="single" w:sz="4" w:space="0" w:color="auto"/>
            </w:tcBorders>
            <w:shd w:val="clear" w:color="auto" w:fill="auto"/>
            <w:hideMark/>
          </w:tcPr>
          <w:p w14:paraId="43EEFCCD"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42652E46"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3827DF08" w14:textId="77777777" w:rsidTr="00E73613">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0CE08467"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45</w:t>
            </w:r>
          </w:p>
        </w:tc>
        <w:tc>
          <w:tcPr>
            <w:tcW w:w="3493" w:type="pct"/>
            <w:tcBorders>
              <w:top w:val="nil"/>
              <w:left w:val="nil"/>
              <w:bottom w:val="single" w:sz="4" w:space="0" w:color="auto"/>
              <w:right w:val="single" w:sz="4" w:space="0" w:color="auto"/>
            </w:tcBorders>
            <w:shd w:val="clear" w:color="auto" w:fill="auto"/>
            <w:hideMark/>
          </w:tcPr>
          <w:p w14:paraId="1C440E5B"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proposed solution should support to monitor traffic from multiple segments simultaneously on a single appliance. Solution should have built in capabilities to add exceptions.</w:t>
            </w:r>
          </w:p>
        </w:tc>
        <w:tc>
          <w:tcPr>
            <w:tcW w:w="638" w:type="pct"/>
            <w:tcBorders>
              <w:top w:val="nil"/>
              <w:left w:val="nil"/>
              <w:bottom w:val="single" w:sz="4" w:space="0" w:color="auto"/>
              <w:right w:val="single" w:sz="4" w:space="0" w:color="auto"/>
            </w:tcBorders>
            <w:shd w:val="clear" w:color="auto" w:fill="auto"/>
            <w:hideMark/>
          </w:tcPr>
          <w:p w14:paraId="79E76F9A"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3EB17024"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361C9A29" w14:textId="77777777" w:rsidTr="00E73613">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6CA41A75" w14:textId="77777777" w:rsidR="00985D46" w:rsidRPr="00985D46" w:rsidRDefault="00985D46" w:rsidP="00985D46">
            <w:pPr>
              <w:spacing w:after="0" w:line="240" w:lineRule="auto"/>
              <w:jc w:val="center"/>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46</w:t>
            </w:r>
          </w:p>
        </w:tc>
        <w:tc>
          <w:tcPr>
            <w:tcW w:w="3493" w:type="pct"/>
            <w:tcBorders>
              <w:top w:val="nil"/>
              <w:left w:val="nil"/>
              <w:bottom w:val="single" w:sz="4" w:space="0" w:color="auto"/>
              <w:right w:val="single" w:sz="4" w:space="0" w:color="auto"/>
            </w:tcBorders>
            <w:shd w:val="clear" w:color="auto" w:fill="auto"/>
            <w:hideMark/>
          </w:tcPr>
          <w:p w14:paraId="6E97F190"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should provide a powerful and flexible attribute-based access control that combines authentication, authorization, posture, profiling, and guest management services on a single platform.</w:t>
            </w:r>
          </w:p>
        </w:tc>
        <w:tc>
          <w:tcPr>
            <w:tcW w:w="638" w:type="pct"/>
            <w:tcBorders>
              <w:top w:val="nil"/>
              <w:left w:val="nil"/>
              <w:bottom w:val="single" w:sz="4" w:space="0" w:color="auto"/>
              <w:right w:val="single" w:sz="4" w:space="0" w:color="auto"/>
            </w:tcBorders>
            <w:shd w:val="clear" w:color="auto" w:fill="auto"/>
            <w:hideMark/>
          </w:tcPr>
          <w:p w14:paraId="561B1347"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67BF6F45"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78668A4B" w14:textId="77777777" w:rsidTr="00E73613">
        <w:trPr>
          <w:trHeight w:val="1005"/>
        </w:trPr>
        <w:tc>
          <w:tcPr>
            <w:tcW w:w="176" w:type="pct"/>
            <w:tcBorders>
              <w:top w:val="nil"/>
              <w:left w:val="single" w:sz="4" w:space="0" w:color="auto"/>
              <w:bottom w:val="single" w:sz="4" w:space="0" w:color="auto"/>
              <w:right w:val="single" w:sz="4" w:space="0" w:color="auto"/>
            </w:tcBorders>
            <w:shd w:val="clear" w:color="auto" w:fill="auto"/>
            <w:hideMark/>
          </w:tcPr>
          <w:p w14:paraId="0252E68C"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47</w:t>
            </w:r>
          </w:p>
        </w:tc>
        <w:tc>
          <w:tcPr>
            <w:tcW w:w="3493" w:type="pct"/>
            <w:tcBorders>
              <w:top w:val="nil"/>
              <w:left w:val="nil"/>
              <w:bottom w:val="single" w:sz="4" w:space="0" w:color="auto"/>
              <w:right w:val="single" w:sz="4" w:space="0" w:color="auto"/>
            </w:tcBorders>
            <w:shd w:val="clear" w:color="auto" w:fill="auto"/>
            <w:hideMark/>
          </w:tcPr>
          <w:p w14:paraId="41633F8F"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Solution must detect and containment outbreak of known Virus/ Ransomware attacks based on custom IOC's shared by different regulatory body in different format like (CnC Address (Command and Control URL), Process (Process Name, Process Hash, Process Hash Type), File Exists (File Name, File Path), Mutex (Mutex Name), Registry Key (Path, Value), Service (Service name)).</w:t>
            </w:r>
          </w:p>
        </w:tc>
        <w:tc>
          <w:tcPr>
            <w:tcW w:w="638" w:type="pct"/>
            <w:tcBorders>
              <w:top w:val="nil"/>
              <w:left w:val="nil"/>
              <w:bottom w:val="single" w:sz="4" w:space="0" w:color="auto"/>
              <w:right w:val="single" w:sz="4" w:space="0" w:color="auto"/>
            </w:tcBorders>
            <w:shd w:val="clear" w:color="auto" w:fill="auto"/>
            <w:hideMark/>
          </w:tcPr>
          <w:p w14:paraId="178A1B5C"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28484AB3"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610B9F70" w14:textId="77777777" w:rsidTr="00E73613">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10D45436"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48</w:t>
            </w:r>
          </w:p>
        </w:tc>
        <w:tc>
          <w:tcPr>
            <w:tcW w:w="3493" w:type="pct"/>
            <w:tcBorders>
              <w:top w:val="nil"/>
              <w:left w:val="nil"/>
              <w:bottom w:val="single" w:sz="4" w:space="0" w:color="auto"/>
              <w:right w:val="single" w:sz="4" w:space="0" w:color="auto"/>
            </w:tcBorders>
            <w:shd w:val="clear" w:color="auto" w:fill="auto"/>
            <w:hideMark/>
          </w:tcPr>
          <w:p w14:paraId="3CAF63EC"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Solution should be capable to detect the behaviour of state-change on endpoints after authenticating and authorizing. Like after granting the access   has to monitor the endpoint for any state change with respect to compliance requirement.</w:t>
            </w:r>
          </w:p>
        </w:tc>
        <w:tc>
          <w:tcPr>
            <w:tcW w:w="638" w:type="pct"/>
            <w:tcBorders>
              <w:top w:val="nil"/>
              <w:left w:val="nil"/>
              <w:bottom w:val="single" w:sz="4" w:space="0" w:color="auto"/>
              <w:right w:val="single" w:sz="4" w:space="0" w:color="auto"/>
            </w:tcBorders>
            <w:shd w:val="clear" w:color="auto" w:fill="auto"/>
            <w:hideMark/>
          </w:tcPr>
          <w:p w14:paraId="2F993970"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243D5C53"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5F414E50" w14:textId="77777777" w:rsidTr="00E73613">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15F069E0"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49</w:t>
            </w:r>
          </w:p>
        </w:tc>
        <w:tc>
          <w:tcPr>
            <w:tcW w:w="3493" w:type="pct"/>
            <w:tcBorders>
              <w:top w:val="nil"/>
              <w:left w:val="nil"/>
              <w:bottom w:val="single" w:sz="4" w:space="0" w:color="auto"/>
              <w:right w:val="single" w:sz="4" w:space="0" w:color="auto"/>
            </w:tcBorders>
            <w:shd w:val="clear" w:color="auto" w:fill="auto"/>
            <w:hideMark/>
          </w:tcPr>
          <w:p w14:paraId="431A7637"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Must collect and keep forensic evidence on any unauthorized access activity within the network as follow: Event timestamp, network events in sequence, host info, IP address, MAC address, switch info, etc.</w:t>
            </w:r>
          </w:p>
        </w:tc>
        <w:tc>
          <w:tcPr>
            <w:tcW w:w="638" w:type="pct"/>
            <w:tcBorders>
              <w:top w:val="nil"/>
              <w:left w:val="nil"/>
              <w:bottom w:val="single" w:sz="4" w:space="0" w:color="auto"/>
              <w:right w:val="single" w:sz="4" w:space="0" w:color="auto"/>
            </w:tcBorders>
            <w:shd w:val="clear" w:color="auto" w:fill="auto"/>
            <w:hideMark/>
          </w:tcPr>
          <w:p w14:paraId="6935EC87"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54BFDAFF"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51A1632B" w14:textId="77777777" w:rsidTr="00E73613">
        <w:trPr>
          <w:trHeight w:val="255"/>
        </w:trPr>
        <w:tc>
          <w:tcPr>
            <w:tcW w:w="176" w:type="pct"/>
            <w:tcBorders>
              <w:top w:val="nil"/>
              <w:left w:val="single" w:sz="4" w:space="0" w:color="auto"/>
              <w:bottom w:val="single" w:sz="4" w:space="0" w:color="auto"/>
              <w:right w:val="single" w:sz="4" w:space="0" w:color="auto"/>
            </w:tcBorders>
            <w:shd w:val="clear" w:color="auto" w:fill="auto"/>
            <w:hideMark/>
          </w:tcPr>
          <w:p w14:paraId="67663F8E"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50</w:t>
            </w:r>
          </w:p>
        </w:tc>
        <w:tc>
          <w:tcPr>
            <w:tcW w:w="3493" w:type="pct"/>
            <w:tcBorders>
              <w:top w:val="nil"/>
              <w:left w:val="nil"/>
              <w:bottom w:val="single" w:sz="4" w:space="0" w:color="auto"/>
              <w:right w:val="single" w:sz="4" w:space="0" w:color="auto"/>
            </w:tcBorders>
            <w:shd w:val="clear" w:color="auto" w:fill="auto"/>
            <w:vAlign w:val="center"/>
            <w:hideMark/>
          </w:tcPr>
          <w:p w14:paraId="58A12B63"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OEM of the solution must have its own support presence in India</w:t>
            </w:r>
          </w:p>
        </w:tc>
        <w:tc>
          <w:tcPr>
            <w:tcW w:w="638" w:type="pct"/>
            <w:tcBorders>
              <w:top w:val="nil"/>
              <w:left w:val="nil"/>
              <w:bottom w:val="single" w:sz="4" w:space="0" w:color="auto"/>
              <w:right w:val="single" w:sz="4" w:space="0" w:color="auto"/>
            </w:tcBorders>
            <w:shd w:val="clear" w:color="auto" w:fill="auto"/>
            <w:hideMark/>
          </w:tcPr>
          <w:p w14:paraId="3A0A5805"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39DF969A"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40A24BD9" w14:textId="77777777" w:rsidTr="00E73613">
        <w:trPr>
          <w:trHeight w:val="1275"/>
        </w:trPr>
        <w:tc>
          <w:tcPr>
            <w:tcW w:w="176" w:type="pct"/>
            <w:tcBorders>
              <w:top w:val="nil"/>
              <w:left w:val="single" w:sz="4" w:space="0" w:color="auto"/>
              <w:bottom w:val="single" w:sz="4" w:space="0" w:color="auto"/>
              <w:right w:val="single" w:sz="4" w:space="0" w:color="auto"/>
            </w:tcBorders>
            <w:shd w:val="clear" w:color="auto" w:fill="auto"/>
            <w:hideMark/>
          </w:tcPr>
          <w:p w14:paraId="37663E91"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51</w:t>
            </w:r>
          </w:p>
        </w:tc>
        <w:tc>
          <w:tcPr>
            <w:tcW w:w="3493" w:type="pct"/>
            <w:tcBorders>
              <w:top w:val="nil"/>
              <w:left w:val="nil"/>
              <w:bottom w:val="single" w:sz="4" w:space="0" w:color="auto"/>
              <w:right w:val="single" w:sz="4" w:space="0" w:color="auto"/>
            </w:tcBorders>
            <w:shd w:val="clear" w:color="auto" w:fill="auto"/>
            <w:hideMark/>
          </w:tcPr>
          <w:p w14:paraId="687B0143" w14:textId="77777777" w:rsidR="00985D46" w:rsidRPr="00985D46" w:rsidRDefault="00985D46" w:rsidP="00985D46">
            <w:pPr>
              <w:spacing w:after="24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The solution should integrate with VM infrastructure to provide out of the box visibility to Virtual Machine properties such as Boot Time, Virtual Machine Hardware, Virtual Machine is Orphan, Virtual Machine Peripheral Devices info, Virtual Machine Port Group, Virtual Machine Power State, Virtual Machine Usage CPU (one thousandth), Virtual Machine Usage Network I/O (KBps), etc.</w:t>
            </w:r>
          </w:p>
        </w:tc>
        <w:tc>
          <w:tcPr>
            <w:tcW w:w="638" w:type="pct"/>
            <w:tcBorders>
              <w:top w:val="nil"/>
              <w:left w:val="nil"/>
              <w:bottom w:val="single" w:sz="4" w:space="0" w:color="auto"/>
              <w:right w:val="single" w:sz="4" w:space="0" w:color="auto"/>
            </w:tcBorders>
            <w:shd w:val="clear" w:color="auto" w:fill="auto"/>
            <w:hideMark/>
          </w:tcPr>
          <w:p w14:paraId="51EC5735"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72DA6D5C"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r w:rsidR="00985D46" w:rsidRPr="00985D46" w14:paraId="2A1026F1" w14:textId="77777777" w:rsidTr="00E73613">
        <w:trPr>
          <w:trHeight w:val="510"/>
        </w:trPr>
        <w:tc>
          <w:tcPr>
            <w:tcW w:w="176" w:type="pct"/>
            <w:tcBorders>
              <w:top w:val="nil"/>
              <w:left w:val="single" w:sz="4" w:space="0" w:color="auto"/>
              <w:bottom w:val="single" w:sz="4" w:space="0" w:color="auto"/>
              <w:right w:val="single" w:sz="4" w:space="0" w:color="auto"/>
            </w:tcBorders>
            <w:shd w:val="clear" w:color="auto" w:fill="auto"/>
            <w:hideMark/>
          </w:tcPr>
          <w:p w14:paraId="2D448D30" w14:textId="77777777" w:rsidR="00985D46" w:rsidRPr="00985D46" w:rsidRDefault="00985D46" w:rsidP="00985D46">
            <w:pPr>
              <w:spacing w:after="0" w:line="240" w:lineRule="auto"/>
              <w:jc w:val="center"/>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52</w:t>
            </w:r>
          </w:p>
        </w:tc>
        <w:tc>
          <w:tcPr>
            <w:tcW w:w="3493" w:type="pct"/>
            <w:tcBorders>
              <w:top w:val="nil"/>
              <w:left w:val="nil"/>
              <w:bottom w:val="single" w:sz="4" w:space="0" w:color="auto"/>
              <w:right w:val="single" w:sz="4" w:space="0" w:color="auto"/>
            </w:tcBorders>
            <w:shd w:val="clear" w:color="auto" w:fill="auto"/>
            <w:hideMark/>
          </w:tcPr>
          <w:p w14:paraId="39E93D9C" w14:textId="77777777" w:rsidR="00985D46" w:rsidRPr="00985D46" w:rsidRDefault="00985D46" w:rsidP="00985D46">
            <w:pPr>
              <w:spacing w:after="0" w:line="240" w:lineRule="auto"/>
              <w:rPr>
                <w:rFonts w:ascii="Calibri" w:eastAsia="Times New Roman" w:hAnsi="Calibri" w:cs="Calibri"/>
                <w:sz w:val="20"/>
                <w:szCs w:val="20"/>
                <w:lang w:val="en-GB" w:eastAsia="en-GB"/>
              </w:rPr>
            </w:pPr>
            <w:r w:rsidRPr="00985D46">
              <w:rPr>
                <w:rFonts w:ascii="Calibri" w:eastAsia="Times New Roman" w:hAnsi="Calibri" w:cs="Calibri"/>
                <w:sz w:val="20"/>
                <w:szCs w:val="20"/>
                <w:lang w:val="en-GB" w:eastAsia="en-GB"/>
              </w:rPr>
              <w:t>NAC solution must support out of box monitoring dashboard for all NAC server like CPU load , Device HDD , Device managed endpoints , Total Memory , Appliance traffic etc</w:t>
            </w:r>
          </w:p>
        </w:tc>
        <w:tc>
          <w:tcPr>
            <w:tcW w:w="638" w:type="pct"/>
            <w:tcBorders>
              <w:top w:val="nil"/>
              <w:left w:val="nil"/>
              <w:bottom w:val="single" w:sz="4" w:space="0" w:color="auto"/>
              <w:right w:val="single" w:sz="4" w:space="0" w:color="auto"/>
            </w:tcBorders>
            <w:shd w:val="clear" w:color="auto" w:fill="auto"/>
            <w:hideMark/>
          </w:tcPr>
          <w:p w14:paraId="43ED54FA"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c>
          <w:tcPr>
            <w:tcW w:w="693" w:type="pct"/>
            <w:tcBorders>
              <w:top w:val="nil"/>
              <w:left w:val="nil"/>
              <w:bottom w:val="single" w:sz="4" w:space="0" w:color="auto"/>
              <w:right w:val="single" w:sz="4" w:space="0" w:color="auto"/>
            </w:tcBorders>
            <w:shd w:val="clear" w:color="auto" w:fill="auto"/>
            <w:hideMark/>
          </w:tcPr>
          <w:p w14:paraId="02E1C35B" w14:textId="77777777" w:rsidR="00985D46" w:rsidRPr="00985D46" w:rsidRDefault="00985D46" w:rsidP="00985D46">
            <w:pPr>
              <w:spacing w:after="0" w:line="240" w:lineRule="auto"/>
              <w:rPr>
                <w:rFonts w:ascii="Calibri" w:eastAsia="Times New Roman" w:hAnsi="Calibri" w:cs="Calibri"/>
                <w:color w:val="000000"/>
                <w:sz w:val="20"/>
                <w:szCs w:val="20"/>
                <w:lang w:val="en-GB" w:eastAsia="en-GB"/>
              </w:rPr>
            </w:pPr>
            <w:r w:rsidRPr="00985D46">
              <w:rPr>
                <w:rFonts w:ascii="Calibri" w:eastAsia="Times New Roman" w:hAnsi="Calibri" w:cs="Calibri"/>
                <w:color w:val="000000"/>
                <w:sz w:val="20"/>
                <w:szCs w:val="20"/>
                <w:lang w:val="en-GB" w:eastAsia="en-GB"/>
              </w:rPr>
              <w:t> </w:t>
            </w:r>
          </w:p>
        </w:tc>
      </w:tr>
    </w:tbl>
    <w:p w14:paraId="0C292311" w14:textId="77777777" w:rsidR="00985D46" w:rsidRDefault="00985D46">
      <w:pPr>
        <w:rPr>
          <w:rFonts w:cstheme="minorHAnsi"/>
        </w:rPr>
      </w:pPr>
    </w:p>
    <w:p w14:paraId="4F7C4CDA" w14:textId="77777777" w:rsidR="00426FCC" w:rsidRDefault="00426FCC">
      <w:pPr>
        <w:rPr>
          <w:rFonts w:cstheme="minorHAnsi"/>
        </w:rPr>
      </w:pPr>
      <w:r>
        <w:rPr>
          <w:rFonts w:cstheme="minorHAnsi"/>
        </w:rPr>
        <w:br w:type="page"/>
      </w:r>
    </w:p>
    <w:p w14:paraId="3EA28E82" w14:textId="6E9D2959" w:rsidR="00985D46" w:rsidRPr="00426FCC" w:rsidRDefault="00426FCC">
      <w:pPr>
        <w:rPr>
          <w:rFonts w:cstheme="minorHAnsi"/>
          <w:b/>
        </w:rPr>
      </w:pPr>
      <w:r w:rsidRPr="00426FCC">
        <w:rPr>
          <w:rFonts w:cstheme="minorHAnsi"/>
          <w:b/>
        </w:rPr>
        <w:t>Sizing Document</w:t>
      </w:r>
    </w:p>
    <w:tbl>
      <w:tblPr>
        <w:tblW w:w="5000" w:type="pct"/>
        <w:tblLook w:val="04A0" w:firstRow="1" w:lastRow="0" w:firstColumn="1" w:lastColumn="0" w:noHBand="0" w:noVBand="1"/>
      </w:tblPr>
      <w:tblGrid>
        <w:gridCol w:w="355"/>
        <w:gridCol w:w="440"/>
        <w:gridCol w:w="4626"/>
        <w:gridCol w:w="8315"/>
        <w:gridCol w:w="222"/>
      </w:tblGrid>
      <w:tr w:rsidR="00985D46" w:rsidRPr="00985D46" w14:paraId="12731D05" w14:textId="77777777" w:rsidTr="00E73613">
        <w:trPr>
          <w:trHeight w:val="300"/>
        </w:trPr>
        <w:tc>
          <w:tcPr>
            <w:tcW w:w="273" w:type="pct"/>
            <w:tcBorders>
              <w:top w:val="nil"/>
              <w:left w:val="nil"/>
              <w:bottom w:val="nil"/>
              <w:right w:val="nil"/>
            </w:tcBorders>
            <w:shd w:val="clear" w:color="auto" w:fill="auto"/>
            <w:noWrap/>
            <w:vAlign w:val="bottom"/>
            <w:hideMark/>
          </w:tcPr>
          <w:p w14:paraId="6119219E" w14:textId="77777777" w:rsidR="00985D46" w:rsidRPr="00985D46" w:rsidRDefault="00985D46" w:rsidP="00985D46">
            <w:pPr>
              <w:spacing w:after="0" w:line="240" w:lineRule="auto"/>
              <w:rPr>
                <w:rFonts w:ascii="Times New Roman" w:eastAsia="Times New Roman" w:hAnsi="Times New Roman" w:cs="Times New Roman"/>
                <w:sz w:val="24"/>
                <w:szCs w:val="24"/>
                <w:lang w:val="en-GB" w:eastAsia="en-GB"/>
              </w:rPr>
            </w:pPr>
          </w:p>
        </w:tc>
        <w:tc>
          <w:tcPr>
            <w:tcW w:w="182" w:type="pct"/>
            <w:tcBorders>
              <w:top w:val="nil"/>
              <w:left w:val="nil"/>
              <w:bottom w:val="nil"/>
              <w:right w:val="nil"/>
            </w:tcBorders>
            <w:shd w:val="clear" w:color="auto" w:fill="auto"/>
            <w:noWrap/>
            <w:vAlign w:val="bottom"/>
            <w:hideMark/>
          </w:tcPr>
          <w:p w14:paraId="1C2B8A3C" w14:textId="7856B7D6" w:rsidR="00985D46" w:rsidRPr="00985D46" w:rsidRDefault="00985D46" w:rsidP="00985D46">
            <w:pPr>
              <w:spacing w:after="0" w:line="240" w:lineRule="auto"/>
              <w:rPr>
                <w:rFonts w:ascii="Times New Roman" w:eastAsia="Times New Roman" w:hAnsi="Times New Roman" w:cs="Times New Roman"/>
                <w:sz w:val="20"/>
                <w:szCs w:val="20"/>
                <w:lang w:val="en-GB" w:eastAsia="en-GB"/>
              </w:rPr>
            </w:pPr>
          </w:p>
        </w:tc>
        <w:tc>
          <w:tcPr>
            <w:tcW w:w="1261" w:type="pct"/>
            <w:tcBorders>
              <w:top w:val="nil"/>
              <w:left w:val="nil"/>
              <w:bottom w:val="nil"/>
              <w:right w:val="nil"/>
            </w:tcBorders>
            <w:shd w:val="clear" w:color="auto" w:fill="auto"/>
            <w:noWrap/>
            <w:vAlign w:val="bottom"/>
            <w:hideMark/>
          </w:tcPr>
          <w:p w14:paraId="4D62DF7C" w14:textId="77777777" w:rsidR="00985D46" w:rsidRPr="00985D46" w:rsidRDefault="00985D46" w:rsidP="00985D46">
            <w:pPr>
              <w:spacing w:after="0" w:line="240" w:lineRule="auto"/>
              <w:rPr>
                <w:rFonts w:ascii="Times New Roman" w:eastAsia="Times New Roman" w:hAnsi="Times New Roman" w:cs="Times New Roman"/>
                <w:sz w:val="20"/>
                <w:szCs w:val="20"/>
                <w:lang w:val="en-GB" w:eastAsia="en-GB"/>
              </w:rPr>
            </w:pPr>
          </w:p>
        </w:tc>
        <w:tc>
          <w:tcPr>
            <w:tcW w:w="3011" w:type="pct"/>
            <w:tcBorders>
              <w:top w:val="nil"/>
              <w:left w:val="nil"/>
              <w:bottom w:val="nil"/>
              <w:right w:val="nil"/>
            </w:tcBorders>
            <w:shd w:val="clear" w:color="auto" w:fill="auto"/>
            <w:noWrap/>
            <w:hideMark/>
          </w:tcPr>
          <w:p w14:paraId="65248105" w14:textId="77777777" w:rsidR="00985D46" w:rsidRPr="00985D46" w:rsidRDefault="00985D46" w:rsidP="00985D46">
            <w:pPr>
              <w:spacing w:after="0" w:line="240" w:lineRule="auto"/>
              <w:rPr>
                <w:rFonts w:ascii="Times New Roman" w:eastAsia="Times New Roman" w:hAnsi="Times New Roman" w:cs="Times New Roman"/>
                <w:sz w:val="20"/>
                <w:szCs w:val="20"/>
                <w:lang w:val="en-GB" w:eastAsia="en-GB"/>
              </w:rPr>
            </w:pPr>
          </w:p>
        </w:tc>
        <w:tc>
          <w:tcPr>
            <w:tcW w:w="273" w:type="pct"/>
            <w:tcBorders>
              <w:top w:val="nil"/>
              <w:left w:val="nil"/>
              <w:bottom w:val="nil"/>
              <w:right w:val="nil"/>
            </w:tcBorders>
            <w:shd w:val="clear" w:color="auto" w:fill="auto"/>
            <w:noWrap/>
            <w:vAlign w:val="bottom"/>
            <w:hideMark/>
          </w:tcPr>
          <w:p w14:paraId="44768903" w14:textId="77777777" w:rsidR="00985D46" w:rsidRPr="00985D46" w:rsidRDefault="00985D46" w:rsidP="00985D46">
            <w:pPr>
              <w:spacing w:after="0" w:line="240" w:lineRule="auto"/>
              <w:rPr>
                <w:rFonts w:ascii="Times New Roman" w:eastAsia="Times New Roman" w:hAnsi="Times New Roman" w:cs="Times New Roman"/>
                <w:sz w:val="20"/>
                <w:szCs w:val="20"/>
                <w:lang w:val="en-GB" w:eastAsia="en-GB"/>
              </w:rPr>
            </w:pPr>
          </w:p>
        </w:tc>
      </w:tr>
      <w:tr w:rsidR="00985D46" w:rsidRPr="00985D46" w14:paraId="18491F39" w14:textId="77777777" w:rsidTr="00E73613">
        <w:trPr>
          <w:trHeight w:val="300"/>
        </w:trPr>
        <w:tc>
          <w:tcPr>
            <w:tcW w:w="273" w:type="pct"/>
            <w:tcBorders>
              <w:top w:val="nil"/>
              <w:left w:val="nil"/>
              <w:bottom w:val="nil"/>
              <w:right w:val="nil"/>
            </w:tcBorders>
            <w:shd w:val="clear" w:color="auto" w:fill="auto"/>
            <w:noWrap/>
            <w:vAlign w:val="bottom"/>
            <w:hideMark/>
          </w:tcPr>
          <w:p w14:paraId="652D15FE" w14:textId="77777777" w:rsidR="00985D46" w:rsidRPr="00985D46" w:rsidRDefault="00985D46" w:rsidP="00985D46">
            <w:pPr>
              <w:spacing w:after="0" w:line="240" w:lineRule="auto"/>
              <w:rPr>
                <w:rFonts w:ascii="Times New Roman" w:eastAsia="Times New Roman" w:hAnsi="Times New Roman" w:cs="Times New Roman"/>
                <w:sz w:val="20"/>
                <w:szCs w:val="20"/>
                <w:lang w:val="en-GB" w:eastAsia="en-GB"/>
              </w:rPr>
            </w:pPr>
          </w:p>
        </w:tc>
        <w:tc>
          <w:tcPr>
            <w:tcW w:w="182" w:type="pct"/>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0DB18E90" w14:textId="77777777" w:rsidR="00985D46" w:rsidRPr="00985D46" w:rsidRDefault="00985D46" w:rsidP="00985D46">
            <w:pPr>
              <w:spacing w:after="0" w:line="240" w:lineRule="auto"/>
              <w:jc w:val="center"/>
              <w:rPr>
                <w:rFonts w:ascii="Calibri" w:eastAsia="Times New Roman" w:hAnsi="Calibri" w:cs="Calibri"/>
                <w:b/>
                <w:bCs/>
                <w:color w:val="000000"/>
                <w:lang w:val="en-GB" w:eastAsia="en-GB"/>
              </w:rPr>
            </w:pPr>
            <w:r w:rsidRPr="00985D46">
              <w:rPr>
                <w:rFonts w:ascii="Calibri" w:eastAsia="Times New Roman" w:hAnsi="Calibri" w:cs="Calibri"/>
                <w:b/>
                <w:bCs/>
                <w:color w:val="000000"/>
                <w:lang w:val="en-GB" w:eastAsia="en-GB"/>
              </w:rPr>
              <w:t>#</w:t>
            </w:r>
          </w:p>
        </w:tc>
        <w:tc>
          <w:tcPr>
            <w:tcW w:w="1261" w:type="pct"/>
            <w:tcBorders>
              <w:top w:val="single" w:sz="4" w:space="0" w:color="auto"/>
              <w:left w:val="nil"/>
              <w:bottom w:val="single" w:sz="4" w:space="0" w:color="auto"/>
              <w:right w:val="single" w:sz="4" w:space="0" w:color="auto"/>
            </w:tcBorders>
            <w:shd w:val="clear" w:color="000000" w:fill="D9E1F2"/>
            <w:noWrap/>
            <w:vAlign w:val="bottom"/>
            <w:hideMark/>
          </w:tcPr>
          <w:p w14:paraId="6FB6E341" w14:textId="77777777" w:rsidR="00985D46" w:rsidRPr="00985D46" w:rsidRDefault="00985D46" w:rsidP="00985D46">
            <w:pPr>
              <w:spacing w:after="0" w:line="240" w:lineRule="auto"/>
              <w:jc w:val="center"/>
              <w:rPr>
                <w:rFonts w:ascii="Calibri" w:eastAsia="Times New Roman" w:hAnsi="Calibri" w:cs="Calibri"/>
                <w:b/>
                <w:bCs/>
                <w:color w:val="000000"/>
                <w:lang w:val="en-GB" w:eastAsia="en-GB"/>
              </w:rPr>
            </w:pPr>
            <w:r w:rsidRPr="00985D46">
              <w:rPr>
                <w:rFonts w:ascii="Calibri" w:eastAsia="Times New Roman" w:hAnsi="Calibri" w:cs="Calibri"/>
                <w:b/>
                <w:bCs/>
                <w:color w:val="000000"/>
                <w:lang w:val="en-GB" w:eastAsia="en-GB"/>
              </w:rPr>
              <w:t xml:space="preserve">Solutions </w:t>
            </w:r>
          </w:p>
        </w:tc>
        <w:tc>
          <w:tcPr>
            <w:tcW w:w="3011" w:type="pct"/>
            <w:tcBorders>
              <w:top w:val="single" w:sz="4" w:space="0" w:color="auto"/>
              <w:left w:val="nil"/>
              <w:bottom w:val="single" w:sz="4" w:space="0" w:color="auto"/>
              <w:right w:val="single" w:sz="4" w:space="0" w:color="auto"/>
            </w:tcBorders>
            <w:shd w:val="clear" w:color="000000" w:fill="D9E1F2"/>
            <w:noWrap/>
            <w:hideMark/>
          </w:tcPr>
          <w:p w14:paraId="5639369D" w14:textId="77777777" w:rsidR="00985D46" w:rsidRPr="00985D46" w:rsidRDefault="00985D46" w:rsidP="00985D46">
            <w:pPr>
              <w:spacing w:after="0" w:line="240" w:lineRule="auto"/>
              <w:rPr>
                <w:rFonts w:ascii="Calibri" w:eastAsia="Times New Roman" w:hAnsi="Calibri" w:cs="Calibri"/>
                <w:b/>
                <w:bCs/>
                <w:color w:val="000000"/>
                <w:lang w:val="en-GB" w:eastAsia="en-GB"/>
              </w:rPr>
            </w:pPr>
            <w:r w:rsidRPr="00985D46">
              <w:rPr>
                <w:rFonts w:ascii="Calibri" w:eastAsia="Times New Roman" w:hAnsi="Calibri" w:cs="Calibri"/>
                <w:b/>
                <w:bCs/>
                <w:color w:val="000000"/>
                <w:lang w:val="en-GB" w:eastAsia="en-GB"/>
              </w:rPr>
              <w:t>Sizing Parameter</w:t>
            </w:r>
          </w:p>
        </w:tc>
        <w:tc>
          <w:tcPr>
            <w:tcW w:w="273" w:type="pct"/>
            <w:tcBorders>
              <w:top w:val="nil"/>
              <w:left w:val="nil"/>
              <w:bottom w:val="nil"/>
              <w:right w:val="nil"/>
            </w:tcBorders>
            <w:shd w:val="clear" w:color="auto" w:fill="auto"/>
            <w:noWrap/>
            <w:vAlign w:val="bottom"/>
            <w:hideMark/>
          </w:tcPr>
          <w:p w14:paraId="6BF10491" w14:textId="77777777" w:rsidR="00985D46" w:rsidRPr="00985D46" w:rsidRDefault="00985D46" w:rsidP="00985D46">
            <w:pPr>
              <w:spacing w:after="0" w:line="240" w:lineRule="auto"/>
              <w:rPr>
                <w:rFonts w:ascii="Calibri" w:eastAsia="Times New Roman" w:hAnsi="Calibri" w:cs="Calibri"/>
                <w:b/>
                <w:bCs/>
                <w:color w:val="000000"/>
                <w:lang w:val="en-GB" w:eastAsia="en-GB"/>
              </w:rPr>
            </w:pPr>
          </w:p>
        </w:tc>
      </w:tr>
      <w:tr w:rsidR="00985D46" w:rsidRPr="00985D46" w14:paraId="3CD011C0" w14:textId="77777777" w:rsidTr="00E73613">
        <w:trPr>
          <w:trHeight w:val="900"/>
        </w:trPr>
        <w:tc>
          <w:tcPr>
            <w:tcW w:w="273" w:type="pct"/>
            <w:tcBorders>
              <w:top w:val="nil"/>
              <w:left w:val="nil"/>
              <w:bottom w:val="nil"/>
              <w:right w:val="nil"/>
            </w:tcBorders>
            <w:shd w:val="clear" w:color="auto" w:fill="auto"/>
            <w:noWrap/>
            <w:vAlign w:val="bottom"/>
            <w:hideMark/>
          </w:tcPr>
          <w:p w14:paraId="483F7A97" w14:textId="77777777" w:rsidR="00985D46" w:rsidRPr="00985D46" w:rsidRDefault="00985D46" w:rsidP="00985D46">
            <w:pPr>
              <w:spacing w:after="0" w:line="240" w:lineRule="auto"/>
              <w:rPr>
                <w:rFonts w:ascii="Times New Roman" w:eastAsia="Times New Roman" w:hAnsi="Times New Roman" w:cs="Times New Roman"/>
                <w:sz w:val="20"/>
                <w:szCs w:val="20"/>
                <w:lang w:val="en-GB" w:eastAsia="en-GB"/>
              </w:rPr>
            </w:pPr>
          </w:p>
        </w:tc>
        <w:tc>
          <w:tcPr>
            <w:tcW w:w="182" w:type="pct"/>
            <w:tcBorders>
              <w:top w:val="nil"/>
              <w:left w:val="single" w:sz="4" w:space="0" w:color="auto"/>
              <w:bottom w:val="single" w:sz="4" w:space="0" w:color="auto"/>
              <w:right w:val="single" w:sz="4" w:space="0" w:color="auto"/>
            </w:tcBorders>
            <w:shd w:val="clear" w:color="auto" w:fill="auto"/>
            <w:noWrap/>
            <w:vAlign w:val="bottom"/>
            <w:hideMark/>
          </w:tcPr>
          <w:p w14:paraId="464EC520" w14:textId="77777777" w:rsidR="00985D46" w:rsidRPr="00985D46" w:rsidRDefault="00985D46" w:rsidP="00985D46">
            <w:pPr>
              <w:spacing w:after="0" w:line="240" w:lineRule="auto"/>
              <w:jc w:val="center"/>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w:t>
            </w:r>
          </w:p>
        </w:tc>
        <w:tc>
          <w:tcPr>
            <w:tcW w:w="1261" w:type="pct"/>
            <w:tcBorders>
              <w:top w:val="nil"/>
              <w:left w:val="nil"/>
              <w:bottom w:val="single" w:sz="4" w:space="0" w:color="auto"/>
              <w:right w:val="single" w:sz="4" w:space="0" w:color="auto"/>
            </w:tcBorders>
            <w:shd w:val="clear" w:color="auto" w:fill="auto"/>
            <w:noWrap/>
            <w:vAlign w:val="center"/>
            <w:hideMark/>
          </w:tcPr>
          <w:p w14:paraId="56ED4766" w14:textId="77777777" w:rsidR="00985D46" w:rsidRPr="00985D46" w:rsidRDefault="00985D46" w:rsidP="00985D46">
            <w:pPr>
              <w:spacing w:after="0" w:line="240" w:lineRule="auto"/>
              <w:jc w:val="both"/>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Data Discovery &amp; Classification</w:t>
            </w:r>
          </w:p>
        </w:tc>
        <w:tc>
          <w:tcPr>
            <w:tcW w:w="3011" w:type="pct"/>
            <w:tcBorders>
              <w:top w:val="nil"/>
              <w:left w:val="nil"/>
              <w:bottom w:val="single" w:sz="4" w:space="0" w:color="auto"/>
              <w:right w:val="single" w:sz="4" w:space="0" w:color="auto"/>
            </w:tcBorders>
            <w:shd w:val="clear" w:color="auto" w:fill="auto"/>
            <w:hideMark/>
          </w:tcPr>
          <w:p w14:paraId="67D8E7AC"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 No. of File server - 3000</w:t>
            </w:r>
            <w:r w:rsidRPr="00985D46">
              <w:rPr>
                <w:rFonts w:ascii="Calibri" w:eastAsia="Times New Roman" w:hAnsi="Calibri" w:cs="Calibri"/>
                <w:color w:val="000000"/>
                <w:lang w:val="en-GB" w:eastAsia="en-GB"/>
              </w:rPr>
              <w:br/>
              <w:t>2. No. of databases - 100</w:t>
            </w:r>
            <w:r w:rsidRPr="00985D46">
              <w:rPr>
                <w:rFonts w:ascii="Calibri" w:eastAsia="Times New Roman" w:hAnsi="Calibri" w:cs="Calibri"/>
                <w:color w:val="000000"/>
                <w:lang w:val="en-GB" w:eastAsia="en-GB"/>
              </w:rPr>
              <w:br/>
              <w:t>3. No. of Users (Laptops / Desktops) - 39000</w:t>
            </w:r>
          </w:p>
        </w:tc>
        <w:tc>
          <w:tcPr>
            <w:tcW w:w="273" w:type="pct"/>
            <w:tcBorders>
              <w:top w:val="nil"/>
              <w:left w:val="nil"/>
              <w:bottom w:val="nil"/>
              <w:right w:val="nil"/>
            </w:tcBorders>
            <w:shd w:val="clear" w:color="auto" w:fill="auto"/>
            <w:noWrap/>
            <w:vAlign w:val="bottom"/>
            <w:hideMark/>
          </w:tcPr>
          <w:p w14:paraId="073CA69A" w14:textId="77777777" w:rsidR="00985D46" w:rsidRPr="00985D46" w:rsidRDefault="00985D46" w:rsidP="00985D46">
            <w:pPr>
              <w:spacing w:after="0" w:line="240" w:lineRule="auto"/>
              <w:rPr>
                <w:rFonts w:ascii="Calibri" w:eastAsia="Times New Roman" w:hAnsi="Calibri" w:cs="Calibri"/>
                <w:color w:val="000000"/>
                <w:lang w:val="en-GB" w:eastAsia="en-GB"/>
              </w:rPr>
            </w:pPr>
          </w:p>
        </w:tc>
      </w:tr>
      <w:tr w:rsidR="00985D46" w:rsidRPr="00985D46" w14:paraId="4FB01839" w14:textId="77777777" w:rsidTr="00E73613">
        <w:trPr>
          <w:trHeight w:val="2700"/>
        </w:trPr>
        <w:tc>
          <w:tcPr>
            <w:tcW w:w="273" w:type="pct"/>
            <w:tcBorders>
              <w:top w:val="nil"/>
              <w:left w:val="nil"/>
              <w:bottom w:val="nil"/>
              <w:right w:val="nil"/>
            </w:tcBorders>
            <w:shd w:val="clear" w:color="auto" w:fill="auto"/>
            <w:noWrap/>
            <w:vAlign w:val="bottom"/>
            <w:hideMark/>
          </w:tcPr>
          <w:p w14:paraId="1545C83F" w14:textId="77777777" w:rsidR="00985D46" w:rsidRPr="00985D46" w:rsidRDefault="00985D46" w:rsidP="00985D46">
            <w:pPr>
              <w:spacing w:after="0" w:line="240" w:lineRule="auto"/>
              <w:rPr>
                <w:rFonts w:ascii="Times New Roman" w:eastAsia="Times New Roman" w:hAnsi="Times New Roman" w:cs="Times New Roman"/>
                <w:sz w:val="20"/>
                <w:szCs w:val="20"/>
                <w:lang w:val="en-GB" w:eastAsia="en-GB"/>
              </w:rPr>
            </w:pPr>
          </w:p>
        </w:tc>
        <w:tc>
          <w:tcPr>
            <w:tcW w:w="182" w:type="pct"/>
            <w:tcBorders>
              <w:top w:val="nil"/>
              <w:left w:val="single" w:sz="4" w:space="0" w:color="auto"/>
              <w:bottom w:val="single" w:sz="4" w:space="0" w:color="auto"/>
              <w:right w:val="single" w:sz="4" w:space="0" w:color="auto"/>
            </w:tcBorders>
            <w:shd w:val="clear" w:color="auto" w:fill="auto"/>
            <w:noWrap/>
            <w:vAlign w:val="bottom"/>
            <w:hideMark/>
          </w:tcPr>
          <w:p w14:paraId="311FD608" w14:textId="77777777" w:rsidR="00985D46" w:rsidRPr="00985D46" w:rsidRDefault="00985D46" w:rsidP="00985D46">
            <w:pPr>
              <w:spacing w:after="0" w:line="240" w:lineRule="auto"/>
              <w:jc w:val="center"/>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2</w:t>
            </w:r>
          </w:p>
        </w:tc>
        <w:tc>
          <w:tcPr>
            <w:tcW w:w="1261" w:type="pct"/>
            <w:tcBorders>
              <w:top w:val="nil"/>
              <w:left w:val="nil"/>
              <w:bottom w:val="single" w:sz="4" w:space="0" w:color="auto"/>
              <w:right w:val="single" w:sz="4" w:space="0" w:color="auto"/>
            </w:tcBorders>
            <w:shd w:val="clear" w:color="auto" w:fill="auto"/>
            <w:noWrap/>
            <w:vAlign w:val="center"/>
            <w:hideMark/>
          </w:tcPr>
          <w:p w14:paraId="2D62ACC7" w14:textId="77777777" w:rsidR="00985D46" w:rsidRPr="00985D46" w:rsidRDefault="00985D46" w:rsidP="00985D46">
            <w:pPr>
              <w:spacing w:after="0" w:line="240" w:lineRule="auto"/>
              <w:jc w:val="both"/>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File Upload Security</w:t>
            </w:r>
          </w:p>
        </w:tc>
        <w:tc>
          <w:tcPr>
            <w:tcW w:w="3011" w:type="pct"/>
            <w:tcBorders>
              <w:top w:val="nil"/>
              <w:left w:val="nil"/>
              <w:bottom w:val="single" w:sz="4" w:space="0" w:color="auto"/>
              <w:right w:val="single" w:sz="4" w:space="0" w:color="auto"/>
            </w:tcBorders>
            <w:shd w:val="clear" w:color="auto" w:fill="auto"/>
            <w:hideMark/>
          </w:tcPr>
          <w:p w14:paraId="3D8B06CA"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Sizing requirements for FIle Upload Security:</w:t>
            </w:r>
            <w:r w:rsidRPr="00985D46">
              <w:rPr>
                <w:rFonts w:ascii="Calibri" w:eastAsia="Times New Roman" w:hAnsi="Calibri" w:cs="Calibri"/>
                <w:color w:val="000000"/>
                <w:lang w:val="en-GB" w:eastAsia="en-GB"/>
              </w:rPr>
              <w:br/>
            </w:r>
            <w:r w:rsidRPr="00985D46">
              <w:rPr>
                <w:rFonts w:ascii="Calibri" w:eastAsia="Times New Roman" w:hAnsi="Calibri" w:cs="Calibri"/>
                <w:color w:val="000000"/>
                <w:lang w:val="en-GB" w:eastAsia="en-GB"/>
              </w:rPr>
              <w:br/>
              <w:t>1. Number of web applications which is accepting files uploaded to it from internet/external network - 10</w:t>
            </w:r>
            <w:r w:rsidRPr="00985D46">
              <w:rPr>
                <w:rFonts w:ascii="Calibri" w:eastAsia="Times New Roman" w:hAnsi="Calibri" w:cs="Calibri"/>
                <w:color w:val="000000"/>
                <w:lang w:val="en-GB" w:eastAsia="en-GB"/>
              </w:rPr>
              <w:br/>
              <w:t>2. Number of web application protected by WAF which has files being uploaded  - 15</w:t>
            </w:r>
            <w:r w:rsidRPr="00985D46">
              <w:rPr>
                <w:rFonts w:ascii="Calibri" w:eastAsia="Times New Roman" w:hAnsi="Calibri" w:cs="Calibri"/>
                <w:color w:val="000000"/>
                <w:lang w:val="en-GB" w:eastAsia="en-GB"/>
              </w:rPr>
              <w:br/>
              <w:t>3. Minimum &amp; Maximum size of files uploaded to the application - 1KB to 250MB</w:t>
            </w:r>
            <w:r w:rsidRPr="00985D46">
              <w:rPr>
                <w:rFonts w:ascii="Calibri" w:eastAsia="Times New Roman" w:hAnsi="Calibri" w:cs="Calibri"/>
                <w:color w:val="000000"/>
                <w:lang w:val="en-GB" w:eastAsia="en-GB"/>
              </w:rPr>
              <w:br/>
              <w:t>4. Number of concurrent files uploaded to the application (approx) during peak hours - 10</w:t>
            </w:r>
            <w:r w:rsidRPr="00985D46">
              <w:rPr>
                <w:rFonts w:ascii="Calibri" w:eastAsia="Times New Roman" w:hAnsi="Calibri" w:cs="Calibri"/>
                <w:color w:val="000000"/>
                <w:lang w:val="en-GB" w:eastAsia="en-GB"/>
              </w:rPr>
              <w:br/>
              <w:t>5. Number of files  to uploaded to MFT at peak hours - 10</w:t>
            </w:r>
            <w:r w:rsidRPr="00985D46">
              <w:rPr>
                <w:rFonts w:ascii="Calibri" w:eastAsia="Times New Roman" w:hAnsi="Calibri" w:cs="Calibri"/>
                <w:color w:val="000000"/>
                <w:lang w:val="en-GB" w:eastAsia="en-GB"/>
              </w:rPr>
              <w:br/>
              <w:t>6. Minimum and Maximum size of files uploaded to MFT - 1KB to 250MB</w:t>
            </w:r>
            <w:r w:rsidRPr="00985D46">
              <w:rPr>
                <w:rFonts w:ascii="Calibri" w:eastAsia="Times New Roman" w:hAnsi="Calibri" w:cs="Calibri"/>
                <w:color w:val="000000"/>
                <w:lang w:val="en-GB" w:eastAsia="en-GB"/>
              </w:rPr>
              <w:br/>
              <w:t>7. Number of sites ( Eg. DC, DR,NDR etc.) which has WAF, MFT, Web applications - 2 (DC and DR)</w:t>
            </w:r>
          </w:p>
        </w:tc>
        <w:tc>
          <w:tcPr>
            <w:tcW w:w="273" w:type="pct"/>
            <w:tcBorders>
              <w:top w:val="nil"/>
              <w:left w:val="nil"/>
              <w:bottom w:val="nil"/>
              <w:right w:val="nil"/>
            </w:tcBorders>
            <w:shd w:val="clear" w:color="auto" w:fill="auto"/>
            <w:noWrap/>
            <w:vAlign w:val="bottom"/>
            <w:hideMark/>
          </w:tcPr>
          <w:p w14:paraId="19904B93" w14:textId="77777777" w:rsidR="00985D46" w:rsidRPr="00985D46" w:rsidRDefault="00985D46" w:rsidP="00985D46">
            <w:pPr>
              <w:spacing w:after="0" w:line="240" w:lineRule="auto"/>
              <w:rPr>
                <w:rFonts w:ascii="Calibri" w:eastAsia="Times New Roman" w:hAnsi="Calibri" w:cs="Calibri"/>
                <w:color w:val="000000"/>
                <w:lang w:val="en-GB" w:eastAsia="en-GB"/>
              </w:rPr>
            </w:pPr>
          </w:p>
        </w:tc>
      </w:tr>
      <w:tr w:rsidR="00985D46" w:rsidRPr="00985D46" w14:paraId="44C23DC6" w14:textId="77777777" w:rsidTr="00E73613">
        <w:trPr>
          <w:trHeight w:val="600"/>
        </w:trPr>
        <w:tc>
          <w:tcPr>
            <w:tcW w:w="273" w:type="pct"/>
            <w:tcBorders>
              <w:top w:val="nil"/>
              <w:left w:val="nil"/>
              <w:bottom w:val="nil"/>
              <w:right w:val="nil"/>
            </w:tcBorders>
            <w:shd w:val="clear" w:color="auto" w:fill="auto"/>
            <w:noWrap/>
            <w:vAlign w:val="bottom"/>
            <w:hideMark/>
          </w:tcPr>
          <w:p w14:paraId="319E2A09" w14:textId="77777777" w:rsidR="00985D46" w:rsidRPr="00985D46" w:rsidRDefault="00985D46" w:rsidP="00985D46">
            <w:pPr>
              <w:spacing w:after="0" w:line="240" w:lineRule="auto"/>
              <w:rPr>
                <w:rFonts w:ascii="Times New Roman" w:eastAsia="Times New Roman" w:hAnsi="Times New Roman" w:cs="Times New Roman"/>
                <w:sz w:val="20"/>
                <w:szCs w:val="20"/>
                <w:lang w:val="en-GB" w:eastAsia="en-GB"/>
              </w:rPr>
            </w:pPr>
          </w:p>
        </w:tc>
        <w:tc>
          <w:tcPr>
            <w:tcW w:w="182" w:type="pct"/>
            <w:tcBorders>
              <w:top w:val="nil"/>
              <w:left w:val="single" w:sz="4" w:space="0" w:color="auto"/>
              <w:bottom w:val="single" w:sz="4" w:space="0" w:color="auto"/>
              <w:right w:val="single" w:sz="4" w:space="0" w:color="auto"/>
            </w:tcBorders>
            <w:shd w:val="clear" w:color="auto" w:fill="auto"/>
            <w:noWrap/>
            <w:vAlign w:val="bottom"/>
            <w:hideMark/>
          </w:tcPr>
          <w:p w14:paraId="1BBF6141" w14:textId="77777777" w:rsidR="00985D46" w:rsidRPr="00985D46" w:rsidRDefault="00985D46" w:rsidP="00985D46">
            <w:pPr>
              <w:spacing w:after="0" w:line="240" w:lineRule="auto"/>
              <w:jc w:val="center"/>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3</w:t>
            </w:r>
          </w:p>
        </w:tc>
        <w:tc>
          <w:tcPr>
            <w:tcW w:w="1261" w:type="pct"/>
            <w:tcBorders>
              <w:top w:val="nil"/>
              <w:left w:val="nil"/>
              <w:bottom w:val="single" w:sz="4" w:space="0" w:color="auto"/>
              <w:right w:val="single" w:sz="4" w:space="0" w:color="auto"/>
            </w:tcBorders>
            <w:shd w:val="clear" w:color="auto" w:fill="auto"/>
            <w:noWrap/>
            <w:vAlign w:val="center"/>
            <w:hideMark/>
          </w:tcPr>
          <w:p w14:paraId="1802C71E" w14:textId="77777777" w:rsidR="00985D46" w:rsidRPr="00985D46" w:rsidRDefault="00985D46" w:rsidP="00985D46">
            <w:pPr>
              <w:spacing w:after="0" w:line="240" w:lineRule="auto"/>
              <w:jc w:val="both"/>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Attack Surface Management (ASM)</w:t>
            </w:r>
          </w:p>
        </w:tc>
        <w:tc>
          <w:tcPr>
            <w:tcW w:w="3011" w:type="pct"/>
            <w:tcBorders>
              <w:top w:val="nil"/>
              <w:left w:val="nil"/>
              <w:bottom w:val="single" w:sz="4" w:space="0" w:color="auto"/>
              <w:right w:val="single" w:sz="4" w:space="0" w:color="auto"/>
            </w:tcBorders>
            <w:shd w:val="clear" w:color="auto" w:fill="auto"/>
            <w:hideMark/>
          </w:tcPr>
          <w:p w14:paraId="3D9D8ED5"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 No. of Assets - 1000</w:t>
            </w:r>
            <w:r w:rsidRPr="00985D46">
              <w:rPr>
                <w:rFonts w:ascii="Calibri" w:eastAsia="Times New Roman" w:hAnsi="Calibri" w:cs="Calibri"/>
                <w:color w:val="000000"/>
                <w:lang w:val="en-GB" w:eastAsia="en-GB"/>
              </w:rPr>
              <w:br/>
              <w:t>2. Digital Footprint - No. of URLs, domain, Public Ips - 1000</w:t>
            </w:r>
          </w:p>
        </w:tc>
        <w:tc>
          <w:tcPr>
            <w:tcW w:w="273" w:type="pct"/>
            <w:tcBorders>
              <w:top w:val="nil"/>
              <w:left w:val="nil"/>
              <w:bottom w:val="nil"/>
              <w:right w:val="nil"/>
            </w:tcBorders>
            <w:shd w:val="clear" w:color="auto" w:fill="auto"/>
            <w:noWrap/>
            <w:vAlign w:val="bottom"/>
            <w:hideMark/>
          </w:tcPr>
          <w:p w14:paraId="607D5F6A" w14:textId="77777777" w:rsidR="00985D46" w:rsidRPr="00985D46" w:rsidRDefault="00985D46" w:rsidP="00985D46">
            <w:pPr>
              <w:spacing w:after="0" w:line="240" w:lineRule="auto"/>
              <w:rPr>
                <w:rFonts w:ascii="Calibri" w:eastAsia="Times New Roman" w:hAnsi="Calibri" w:cs="Calibri"/>
                <w:color w:val="000000"/>
                <w:lang w:val="en-GB" w:eastAsia="en-GB"/>
              </w:rPr>
            </w:pPr>
          </w:p>
        </w:tc>
      </w:tr>
      <w:tr w:rsidR="00985D46" w:rsidRPr="00985D46" w14:paraId="72CCC4B1" w14:textId="77777777" w:rsidTr="00E73613">
        <w:trPr>
          <w:trHeight w:val="4800"/>
        </w:trPr>
        <w:tc>
          <w:tcPr>
            <w:tcW w:w="273" w:type="pct"/>
            <w:tcBorders>
              <w:top w:val="nil"/>
              <w:left w:val="nil"/>
              <w:bottom w:val="nil"/>
              <w:right w:val="nil"/>
            </w:tcBorders>
            <w:shd w:val="clear" w:color="auto" w:fill="auto"/>
            <w:noWrap/>
            <w:vAlign w:val="bottom"/>
            <w:hideMark/>
          </w:tcPr>
          <w:p w14:paraId="6AC8ADB8" w14:textId="77777777" w:rsidR="00985D46" w:rsidRPr="00985D46" w:rsidRDefault="00985D46" w:rsidP="00985D46">
            <w:pPr>
              <w:spacing w:after="0" w:line="240" w:lineRule="auto"/>
              <w:rPr>
                <w:rFonts w:ascii="Times New Roman" w:eastAsia="Times New Roman" w:hAnsi="Times New Roman" w:cs="Times New Roman"/>
                <w:sz w:val="20"/>
                <w:szCs w:val="20"/>
                <w:lang w:val="en-GB" w:eastAsia="en-GB"/>
              </w:rPr>
            </w:pPr>
          </w:p>
        </w:tc>
        <w:tc>
          <w:tcPr>
            <w:tcW w:w="182" w:type="pct"/>
            <w:tcBorders>
              <w:top w:val="nil"/>
              <w:left w:val="single" w:sz="4" w:space="0" w:color="auto"/>
              <w:bottom w:val="single" w:sz="4" w:space="0" w:color="auto"/>
              <w:right w:val="single" w:sz="4" w:space="0" w:color="auto"/>
            </w:tcBorders>
            <w:shd w:val="clear" w:color="auto" w:fill="auto"/>
            <w:noWrap/>
            <w:vAlign w:val="bottom"/>
            <w:hideMark/>
          </w:tcPr>
          <w:p w14:paraId="2FBD4F0D" w14:textId="77777777" w:rsidR="00985D46" w:rsidRPr="00985D46" w:rsidRDefault="00985D46" w:rsidP="00985D46">
            <w:pPr>
              <w:spacing w:after="0" w:line="240" w:lineRule="auto"/>
              <w:jc w:val="center"/>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4</w:t>
            </w:r>
          </w:p>
        </w:tc>
        <w:tc>
          <w:tcPr>
            <w:tcW w:w="1261" w:type="pct"/>
            <w:tcBorders>
              <w:top w:val="nil"/>
              <w:left w:val="nil"/>
              <w:bottom w:val="single" w:sz="4" w:space="0" w:color="auto"/>
              <w:right w:val="single" w:sz="4" w:space="0" w:color="auto"/>
            </w:tcBorders>
            <w:shd w:val="clear" w:color="auto" w:fill="auto"/>
            <w:noWrap/>
            <w:vAlign w:val="center"/>
            <w:hideMark/>
          </w:tcPr>
          <w:p w14:paraId="0C8E6C15" w14:textId="77777777" w:rsidR="00985D46" w:rsidRPr="00985D46" w:rsidRDefault="00985D46" w:rsidP="00985D46">
            <w:pPr>
              <w:spacing w:after="0" w:line="240" w:lineRule="auto"/>
              <w:jc w:val="both"/>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Breach and Attack Simulation (BAS)</w:t>
            </w:r>
          </w:p>
        </w:tc>
        <w:tc>
          <w:tcPr>
            <w:tcW w:w="3011" w:type="pct"/>
            <w:tcBorders>
              <w:top w:val="nil"/>
              <w:left w:val="nil"/>
              <w:bottom w:val="single" w:sz="4" w:space="0" w:color="auto"/>
              <w:right w:val="single" w:sz="4" w:space="0" w:color="auto"/>
            </w:tcBorders>
            <w:shd w:val="clear" w:color="auto" w:fill="auto"/>
            <w:hideMark/>
          </w:tcPr>
          <w:p w14:paraId="4ED52A9C"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br/>
              <w:t>1. Number of Hosts in the environment - Endpoints + Server- 1000+5000</w:t>
            </w:r>
            <w:r w:rsidRPr="00985D46">
              <w:rPr>
                <w:rFonts w:ascii="Calibri" w:eastAsia="Times New Roman" w:hAnsi="Calibri" w:cs="Calibri"/>
                <w:color w:val="000000"/>
                <w:lang w:val="en-GB" w:eastAsia="en-GB"/>
              </w:rPr>
              <w:br/>
              <w:t>3. All attack vectors do they need, form the below list:</w:t>
            </w:r>
            <w:r w:rsidRPr="00985D46">
              <w:rPr>
                <w:rFonts w:ascii="Calibri" w:eastAsia="Times New Roman" w:hAnsi="Calibri" w:cs="Calibri"/>
                <w:color w:val="000000"/>
                <w:lang w:val="en-GB" w:eastAsia="en-GB"/>
              </w:rPr>
              <w:br/>
              <w:t>a. Network Infiltration</w:t>
            </w:r>
            <w:r w:rsidRPr="00985D46">
              <w:rPr>
                <w:rFonts w:ascii="Calibri" w:eastAsia="Times New Roman" w:hAnsi="Calibri" w:cs="Calibri"/>
                <w:color w:val="000000"/>
                <w:lang w:val="en-GB" w:eastAsia="en-GB"/>
              </w:rPr>
              <w:br/>
              <w:t>b. URL Filtering</w:t>
            </w:r>
            <w:r w:rsidRPr="00985D46">
              <w:rPr>
                <w:rFonts w:ascii="Calibri" w:eastAsia="Times New Roman" w:hAnsi="Calibri" w:cs="Calibri"/>
                <w:color w:val="000000"/>
                <w:lang w:val="en-GB" w:eastAsia="en-GB"/>
              </w:rPr>
              <w:br/>
              <w:t>c. Endpoint - Windows, Linux, Mac (which one)</w:t>
            </w:r>
            <w:r w:rsidRPr="00985D46">
              <w:rPr>
                <w:rFonts w:ascii="Calibri" w:eastAsia="Times New Roman" w:hAnsi="Calibri" w:cs="Calibri"/>
                <w:color w:val="000000"/>
                <w:lang w:val="en-GB" w:eastAsia="en-GB"/>
              </w:rPr>
              <w:br/>
              <w:t>d. Email Infiltration</w:t>
            </w:r>
            <w:r w:rsidRPr="00985D46">
              <w:rPr>
                <w:rFonts w:ascii="Calibri" w:eastAsia="Times New Roman" w:hAnsi="Calibri" w:cs="Calibri"/>
                <w:color w:val="000000"/>
                <w:lang w:val="en-GB" w:eastAsia="en-GB"/>
              </w:rPr>
              <w:br/>
              <w:t>e. WAF</w:t>
            </w:r>
            <w:r w:rsidRPr="00985D46">
              <w:rPr>
                <w:rFonts w:ascii="Calibri" w:eastAsia="Times New Roman" w:hAnsi="Calibri" w:cs="Calibri"/>
                <w:color w:val="000000"/>
                <w:lang w:val="en-GB" w:eastAsia="en-GB"/>
              </w:rPr>
              <w:br/>
              <w:t>f. Data Exfiltration</w:t>
            </w:r>
            <w:r w:rsidRPr="00985D46">
              <w:rPr>
                <w:rFonts w:ascii="Calibri" w:eastAsia="Times New Roman" w:hAnsi="Calibri" w:cs="Calibri"/>
                <w:color w:val="000000"/>
                <w:lang w:val="en-GB" w:eastAsia="en-GB"/>
              </w:rPr>
              <w:br/>
            </w:r>
            <w:r w:rsidRPr="00985D46">
              <w:rPr>
                <w:rFonts w:ascii="Calibri" w:eastAsia="Times New Roman" w:hAnsi="Calibri" w:cs="Calibri"/>
                <w:color w:val="000000"/>
                <w:lang w:val="en-GB" w:eastAsia="en-GB"/>
              </w:rPr>
              <w:br/>
              <w:t xml:space="preserve">4. Existing OEMs for  - </w:t>
            </w:r>
            <w:r w:rsidRPr="00985D46">
              <w:rPr>
                <w:rFonts w:ascii="Calibri" w:eastAsia="Times New Roman" w:hAnsi="Calibri" w:cs="Calibri"/>
                <w:color w:val="000000"/>
                <w:lang w:val="en-GB" w:eastAsia="en-GB"/>
              </w:rPr>
              <w:br/>
              <w:t>a. 1. NGFW – Checkpoint, Cisco, Palo Alto, Fortinet</w:t>
            </w:r>
            <w:r w:rsidRPr="00985D46">
              <w:rPr>
                <w:rFonts w:ascii="Calibri" w:eastAsia="Times New Roman" w:hAnsi="Calibri" w:cs="Calibri"/>
                <w:color w:val="000000"/>
                <w:lang w:val="en-GB" w:eastAsia="en-GB"/>
              </w:rPr>
              <w:br/>
              <w:t>b. 2. IPS – Cisco</w:t>
            </w:r>
            <w:r w:rsidRPr="00985D46">
              <w:rPr>
                <w:rFonts w:ascii="Calibri" w:eastAsia="Times New Roman" w:hAnsi="Calibri" w:cs="Calibri"/>
                <w:color w:val="000000"/>
                <w:lang w:val="en-GB" w:eastAsia="en-GB"/>
              </w:rPr>
              <w:br/>
              <w:t>c. 3. WAF – F5, Citrix</w:t>
            </w:r>
            <w:r w:rsidRPr="00985D46">
              <w:rPr>
                <w:rFonts w:ascii="Calibri" w:eastAsia="Times New Roman" w:hAnsi="Calibri" w:cs="Calibri"/>
                <w:color w:val="000000"/>
                <w:lang w:val="en-GB" w:eastAsia="en-GB"/>
              </w:rPr>
              <w:br/>
              <w:t>d. 4. SIEM – RSA NetWitness</w:t>
            </w:r>
            <w:r w:rsidRPr="00985D46">
              <w:rPr>
                <w:rFonts w:ascii="Calibri" w:eastAsia="Times New Roman" w:hAnsi="Calibri" w:cs="Calibri"/>
                <w:color w:val="000000"/>
                <w:lang w:val="en-GB" w:eastAsia="en-GB"/>
              </w:rPr>
              <w:br/>
              <w:t>e. 5. EDR – TrendMicro</w:t>
            </w:r>
          </w:p>
        </w:tc>
        <w:tc>
          <w:tcPr>
            <w:tcW w:w="273" w:type="pct"/>
            <w:tcBorders>
              <w:top w:val="nil"/>
              <w:left w:val="nil"/>
              <w:bottom w:val="nil"/>
              <w:right w:val="nil"/>
            </w:tcBorders>
            <w:shd w:val="clear" w:color="auto" w:fill="auto"/>
            <w:noWrap/>
            <w:vAlign w:val="bottom"/>
            <w:hideMark/>
          </w:tcPr>
          <w:p w14:paraId="62D0795D" w14:textId="77777777" w:rsidR="00985D46" w:rsidRPr="00985D46" w:rsidRDefault="00985D46" w:rsidP="00985D46">
            <w:pPr>
              <w:spacing w:after="0" w:line="240" w:lineRule="auto"/>
              <w:rPr>
                <w:rFonts w:ascii="Calibri" w:eastAsia="Times New Roman" w:hAnsi="Calibri" w:cs="Calibri"/>
                <w:color w:val="000000"/>
                <w:lang w:val="en-GB" w:eastAsia="en-GB"/>
              </w:rPr>
            </w:pPr>
          </w:p>
        </w:tc>
      </w:tr>
      <w:tr w:rsidR="00985D46" w:rsidRPr="00985D46" w14:paraId="3E0549C0" w14:textId="77777777" w:rsidTr="00E73613">
        <w:trPr>
          <w:trHeight w:val="3300"/>
        </w:trPr>
        <w:tc>
          <w:tcPr>
            <w:tcW w:w="273" w:type="pct"/>
            <w:tcBorders>
              <w:top w:val="nil"/>
              <w:left w:val="nil"/>
              <w:bottom w:val="nil"/>
              <w:right w:val="nil"/>
            </w:tcBorders>
            <w:shd w:val="clear" w:color="auto" w:fill="auto"/>
            <w:noWrap/>
            <w:vAlign w:val="bottom"/>
            <w:hideMark/>
          </w:tcPr>
          <w:p w14:paraId="34A2A753" w14:textId="77777777" w:rsidR="00985D46" w:rsidRPr="00985D46" w:rsidRDefault="00985D46" w:rsidP="00985D46">
            <w:pPr>
              <w:spacing w:after="0" w:line="240" w:lineRule="auto"/>
              <w:rPr>
                <w:rFonts w:ascii="Times New Roman" w:eastAsia="Times New Roman" w:hAnsi="Times New Roman" w:cs="Times New Roman"/>
                <w:sz w:val="20"/>
                <w:szCs w:val="20"/>
                <w:lang w:val="en-GB" w:eastAsia="en-GB"/>
              </w:rPr>
            </w:pPr>
          </w:p>
        </w:tc>
        <w:tc>
          <w:tcPr>
            <w:tcW w:w="182" w:type="pct"/>
            <w:tcBorders>
              <w:top w:val="nil"/>
              <w:left w:val="single" w:sz="4" w:space="0" w:color="auto"/>
              <w:bottom w:val="single" w:sz="4" w:space="0" w:color="auto"/>
              <w:right w:val="single" w:sz="4" w:space="0" w:color="auto"/>
            </w:tcBorders>
            <w:shd w:val="clear" w:color="auto" w:fill="auto"/>
            <w:noWrap/>
            <w:vAlign w:val="bottom"/>
            <w:hideMark/>
          </w:tcPr>
          <w:p w14:paraId="5EF9D9B7" w14:textId="77777777" w:rsidR="00985D46" w:rsidRPr="00985D46" w:rsidRDefault="00985D46" w:rsidP="00985D46">
            <w:pPr>
              <w:spacing w:after="0" w:line="240" w:lineRule="auto"/>
              <w:jc w:val="center"/>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5</w:t>
            </w:r>
          </w:p>
        </w:tc>
        <w:tc>
          <w:tcPr>
            <w:tcW w:w="1261" w:type="pct"/>
            <w:tcBorders>
              <w:top w:val="nil"/>
              <w:left w:val="nil"/>
              <w:bottom w:val="single" w:sz="4" w:space="0" w:color="auto"/>
              <w:right w:val="single" w:sz="4" w:space="0" w:color="auto"/>
            </w:tcBorders>
            <w:shd w:val="clear" w:color="auto" w:fill="auto"/>
            <w:noWrap/>
            <w:vAlign w:val="center"/>
            <w:hideMark/>
          </w:tcPr>
          <w:p w14:paraId="32223505" w14:textId="77777777" w:rsidR="00985D46" w:rsidRPr="00985D46" w:rsidRDefault="00985D46" w:rsidP="00985D46">
            <w:pPr>
              <w:spacing w:after="0" w:line="240" w:lineRule="auto"/>
              <w:jc w:val="both"/>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Phishing Simulation</w:t>
            </w:r>
          </w:p>
        </w:tc>
        <w:tc>
          <w:tcPr>
            <w:tcW w:w="3011" w:type="pct"/>
            <w:tcBorders>
              <w:top w:val="nil"/>
              <w:left w:val="nil"/>
              <w:bottom w:val="single" w:sz="4" w:space="0" w:color="auto"/>
              <w:right w:val="single" w:sz="4" w:space="0" w:color="auto"/>
            </w:tcBorders>
            <w:shd w:val="clear" w:color="auto" w:fill="auto"/>
            <w:hideMark/>
          </w:tcPr>
          <w:p w14:paraId="6558DE1A"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br/>
              <w:t>1. Number of users / employees - 20000</w:t>
            </w:r>
            <w:r w:rsidRPr="00985D46">
              <w:rPr>
                <w:rFonts w:ascii="Calibri" w:eastAsia="Times New Roman" w:hAnsi="Calibri" w:cs="Calibri"/>
                <w:color w:val="000000"/>
                <w:lang w:val="en-GB" w:eastAsia="en-GB"/>
              </w:rPr>
              <w:br/>
              <w:t>2. No. of Attack Vector of simulation</w:t>
            </w:r>
            <w:r w:rsidRPr="00985D46">
              <w:rPr>
                <w:rFonts w:ascii="Calibri" w:eastAsia="Times New Roman" w:hAnsi="Calibri" w:cs="Calibri"/>
                <w:color w:val="000000"/>
                <w:lang w:val="en-GB" w:eastAsia="en-GB"/>
              </w:rPr>
              <w:br/>
              <w:t xml:space="preserve">a. Phishng, </w:t>
            </w:r>
            <w:r w:rsidRPr="00985D46">
              <w:rPr>
                <w:rFonts w:ascii="Calibri" w:eastAsia="Times New Roman" w:hAnsi="Calibri" w:cs="Calibri"/>
                <w:color w:val="000000"/>
                <w:lang w:val="en-GB" w:eastAsia="en-GB"/>
              </w:rPr>
              <w:br/>
              <w:t xml:space="preserve">b. Ransomware, </w:t>
            </w:r>
            <w:r w:rsidRPr="00985D46">
              <w:rPr>
                <w:rFonts w:ascii="Calibri" w:eastAsia="Times New Roman" w:hAnsi="Calibri" w:cs="Calibri"/>
                <w:color w:val="000000"/>
                <w:lang w:val="en-GB" w:eastAsia="en-GB"/>
              </w:rPr>
              <w:br/>
              <w:t xml:space="preserve">c. Vishing, </w:t>
            </w:r>
            <w:r w:rsidRPr="00985D46">
              <w:rPr>
                <w:rFonts w:ascii="Calibri" w:eastAsia="Times New Roman" w:hAnsi="Calibri" w:cs="Calibri"/>
                <w:color w:val="000000"/>
                <w:lang w:val="en-GB" w:eastAsia="en-GB"/>
              </w:rPr>
              <w:br/>
              <w:t xml:space="preserve">d. Smshing, </w:t>
            </w:r>
            <w:r w:rsidRPr="00985D46">
              <w:rPr>
                <w:rFonts w:ascii="Calibri" w:eastAsia="Times New Roman" w:hAnsi="Calibri" w:cs="Calibri"/>
                <w:color w:val="000000"/>
                <w:lang w:val="en-GB" w:eastAsia="en-GB"/>
              </w:rPr>
              <w:br/>
              <w:t xml:space="preserve">e. Whatsapp, </w:t>
            </w:r>
            <w:r w:rsidRPr="00985D46">
              <w:rPr>
                <w:rFonts w:ascii="Calibri" w:eastAsia="Times New Roman" w:hAnsi="Calibri" w:cs="Calibri"/>
                <w:color w:val="000000"/>
                <w:lang w:val="en-GB" w:eastAsia="en-GB"/>
              </w:rPr>
              <w:br/>
              <w:t xml:space="preserve">f. QR Code, </w:t>
            </w:r>
            <w:r w:rsidRPr="00985D46">
              <w:rPr>
                <w:rFonts w:ascii="Calibri" w:eastAsia="Times New Roman" w:hAnsi="Calibri" w:cs="Calibri"/>
                <w:color w:val="000000"/>
                <w:lang w:val="en-GB" w:eastAsia="en-GB"/>
              </w:rPr>
              <w:br/>
              <w:t xml:space="preserve">g. Attachment </w:t>
            </w:r>
            <w:r w:rsidRPr="00985D46">
              <w:rPr>
                <w:rFonts w:ascii="Calibri" w:eastAsia="Times New Roman" w:hAnsi="Calibri" w:cs="Calibri"/>
                <w:color w:val="000000"/>
                <w:lang w:val="en-GB" w:eastAsia="en-GB"/>
              </w:rPr>
              <w:br/>
              <w:t>3</w:t>
            </w:r>
            <w:r w:rsidRPr="00985D46">
              <w:rPr>
                <w:rFonts w:ascii="Calibri" w:eastAsia="Times New Roman" w:hAnsi="Calibri" w:cs="Calibri"/>
                <w:lang w:val="en-GB" w:eastAsia="en-GB"/>
              </w:rPr>
              <w:t>. Number of iteration (quarterly) - 3</w:t>
            </w:r>
          </w:p>
        </w:tc>
        <w:tc>
          <w:tcPr>
            <w:tcW w:w="273" w:type="pct"/>
            <w:tcBorders>
              <w:top w:val="nil"/>
              <w:left w:val="nil"/>
              <w:bottom w:val="nil"/>
              <w:right w:val="nil"/>
            </w:tcBorders>
            <w:shd w:val="clear" w:color="auto" w:fill="auto"/>
            <w:noWrap/>
            <w:vAlign w:val="bottom"/>
            <w:hideMark/>
          </w:tcPr>
          <w:p w14:paraId="1D4D6AC2" w14:textId="77777777" w:rsidR="00985D46" w:rsidRPr="00985D46" w:rsidRDefault="00985D46" w:rsidP="00985D46">
            <w:pPr>
              <w:spacing w:after="0" w:line="240" w:lineRule="auto"/>
              <w:rPr>
                <w:rFonts w:ascii="Calibri" w:eastAsia="Times New Roman" w:hAnsi="Calibri" w:cs="Calibri"/>
                <w:color w:val="000000"/>
                <w:lang w:val="en-GB" w:eastAsia="en-GB"/>
              </w:rPr>
            </w:pPr>
          </w:p>
        </w:tc>
      </w:tr>
      <w:tr w:rsidR="00985D46" w:rsidRPr="00985D46" w14:paraId="63CFA2FB" w14:textId="77777777" w:rsidTr="00E73613">
        <w:trPr>
          <w:trHeight w:val="300"/>
        </w:trPr>
        <w:tc>
          <w:tcPr>
            <w:tcW w:w="273" w:type="pct"/>
            <w:tcBorders>
              <w:top w:val="nil"/>
              <w:left w:val="nil"/>
              <w:bottom w:val="nil"/>
              <w:right w:val="nil"/>
            </w:tcBorders>
            <w:shd w:val="clear" w:color="auto" w:fill="auto"/>
            <w:noWrap/>
            <w:vAlign w:val="bottom"/>
            <w:hideMark/>
          </w:tcPr>
          <w:p w14:paraId="6BEB2A35" w14:textId="77777777" w:rsidR="00985D46" w:rsidRPr="00985D46" w:rsidRDefault="00985D46" w:rsidP="00985D46">
            <w:pPr>
              <w:spacing w:after="0" w:line="240" w:lineRule="auto"/>
              <w:rPr>
                <w:rFonts w:ascii="Times New Roman" w:eastAsia="Times New Roman" w:hAnsi="Times New Roman" w:cs="Times New Roman"/>
                <w:sz w:val="20"/>
                <w:szCs w:val="20"/>
                <w:lang w:val="en-GB" w:eastAsia="en-GB"/>
              </w:rPr>
            </w:pPr>
          </w:p>
        </w:tc>
        <w:tc>
          <w:tcPr>
            <w:tcW w:w="182" w:type="pct"/>
            <w:tcBorders>
              <w:top w:val="nil"/>
              <w:left w:val="single" w:sz="4" w:space="0" w:color="auto"/>
              <w:bottom w:val="single" w:sz="4" w:space="0" w:color="auto"/>
              <w:right w:val="single" w:sz="4" w:space="0" w:color="auto"/>
            </w:tcBorders>
            <w:shd w:val="clear" w:color="auto" w:fill="auto"/>
            <w:noWrap/>
            <w:vAlign w:val="bottom"/>
            <w:hideMark/>
          </w:tcPr>
          <w:p w14:paraId="37BF1CD4" w14:textId="77777777" w:rsidR="00985D46" w:rsidRPr="00985D46" w:rsidRDefault="00985D46" w:rsidP="00985D46">
            <w:pPr>
              <w:spacing w:after="0" w:line="240" w:lineRule="auto"/>
              <w:jc w:val="center"/>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6</w:t>
            </w:r>
          </w:p>
        </w:tc>
        <w:tc>
          <w:tcPr>
            <w:tcW w:w="1261" w:type="pct"/>
            <w:tcBorders>
              <w:top w:val="nil"/>
              <w:left w:val="nil"/>
              <w:bottom w:val="single" w:sz="4" w:space="0" w:color="auto"/>
              <w:right w:val="single" w:sz="4" w:space="0" w:color="auto"/>
            </w:tcBorders>
            <w:shd w:val="clear" w:color="auto" w:fill="auto"/>
            <w:noWrap/>
            <w:vAlign w:val="center"/>
            <w:hideMark/>
          </w:tcPr>
          <w:p w14:paraId="39C1C84F" w14:textId="77777777" w:rsidR="00985D46" w:rsidRPr="00985D46" w:rsidRDefault="00985D46" w:rsidP="00985D46">
            <w:pPr>
              <w:spacing w:after="0" w:line="240" w:lineRule="auto"/>
              <w:jc w:val="both"/>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AD Security</w:t>
            </w:r>
          </w:p>
        </w:tc>
        <w:tc>
          <w:tcPr>
            <w:tcW w:w="3011" w:type="pct"/>
            <w:tcBorders>
              <w:top w:val="nil"/>
              <w:left w:val="nil"/>
              <w:bottom w:val="single" w:sz="4" w:space="0" w:color="auto"/>
              <w:right w:val="single" w:sz="4" w:space="0" w:color="auto"/>
            </w:tcBorders>
            <w:shd w:val="clear" w:color="auto" w:fill="auto"/>
            <w:noWrap/>
            <w:hideMark/>
          </w:tcPr>
          <w:p w14:paraId="5A2E49A0"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No. of Computer Systems - 45000</w:t>
            </w:r>
          </w:p>
        </w:tc>
        <w:tc>
          <w:tcPr>
            <w:tcW w:w="273" w:type="pct"/>
            <w:tcBorders>
              <w:top w:val="nil"/>
              <w:left w:val="nil"/>
              <w:bottom w:val="nil"/>
              <w:right w:val="nil"/>
            </w:tcBorders>
            <w:shd w:val="clear" w:color="auto" w:fill="auto"/>
            <w:noWrap/>
            <w:vAlign w:val="bottom"/>
            <w:hideMark/>
          </w:tcPr>
          <w:p w14:paraId="3CCB718B" w14:textId="77777777" w:rsidR="00985D46" w:rsidRPr="00985D46" w:rsidRDefault="00985D46" w:rsidP="00985D46">
            <w:pPr>
              <w:spacing w:after="0" w:line="240" w:lineRule="auto"/>
              <w:rPr>
                <w:rFonts w:ascii="Calibri" w:eastAsia="Times New Roman" w:hAnsi="Calibri" w:cs="Calibri"/>
                <w:color w:val="000000"/>
                <w:lang w:val="en-GB" w:eastAsia="en-GB"/>
              </w:rPr>
            </w:pPr>
          </w:p>
        </w:tc>
      </w:tr>
      <w:tr w:rsidR="00985D46" w:rsidRPr="00985D46" w14:paraId="4DA84185" w14:textId="77777777" w:rsidTr="00E73613">
        <w:trPr>
          <w:trHeight w:val="2100"/>
        </w:trPr>
        <w:tc>
          <w:tcPr>
            <w:tcW w:w="273" w:type="pct"/>
            <w:tcBorders>
              <w:top w:val="nil"/>
              <w:left w:val="nil"/>
              <w:bottom w:val="nil"/>
              <w:right w:val="nil"/>
            </w:tcBorders>
            <w:shd w:val="clear" w:color="auto" w:fill="auto"/>
            <w:noWrap/>
            <w:vAlign w:val="bottom"/>
            <w:hideMark/>
          </w:tcPr>
          <w:p w14:paraId="2FAC6DF2" w14:textId="77777777" w:rsidR="00985D46" w:rsidRPr="00985D46" w:rsidRDefault="00985D46" w:rsidP="00985D46">
            <w:pPr>
              <w:spacing w:after="0" w:line="240" w:lineRule="auto"/>
              <w:rPr>
                <w:rFonts w:ascii="Times New Roman" w:eastAsia="Times New Roman" w:hAnsi="Times New Roman" w:cs="Times New Roman"/>
                <w:sz w:val="20"/>
                <w:szCs w:val="20"/>
                <w:lang w:val="en-GB" w:eastAsia="en-GB"/>
              </w:rPr>
            </w:pPr>
          </w:p>
        </w:tc>
        <w:tc>
          <w:tcPr>
            <w:tcW w:w="182" w:type="pct"/>
            <w:tcBorders>
              <w:top w:val="nil"/>
              <w:left w:val="single" w:sz="4" w:space="0" w:color="auto"/>
              <w:bottom w:val="single" w:sz="4" w:space="0" w:color="auto"/>
              <w:right w:val="single" w:sz="4" w:space="0" w:color="auto"/>
            </w:tcBorders>
            <w:shd w:val="clear" w:color="auto" w:fill="auto"/>
            <w:noWrap/>
            <w:vAlign w:val="bottom"/>
            <w:hideMark/>
          </w:tcPr>
          <w:p w14:paraId="0502B2F0" w14:textId="77777777" w:rsidR="00985D46" w:rsidRPr="00985D46" w:rsidRDefault="00985D46" w:rsidP="00985D46">
            <w:pPr>
              <w:spacing w:after="0" w:line="240" w:lineRule="auto"/>
              <w:jc w:val="center"/>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7</w:t>
            </w:r>
          </w:p>
        </w:tc>
        <w:tc>
          <w:tcPr>
            <w:tcW w:w="1261" w:type="pct"/>
            <w:tcBorders>
              <w:top w:val="nil"/>
              <w:left w:val="nil"/>
              <w:bottom w:val="single" w:sz="4" w:space="0" w:color="auto"/>
              <w:right w:val="single" w:sz="4" w:space="0" w:color="auto"/>
            </w:tcBorders>
            <w:shd w:val="clear" w:color="auto" w:fill="auto"/>
            <w:noWrap/>
            <w:vAlign w:val="center"/>
            <w:hideMark/>
          </w:tcPr>
          <w:p w14:paraId="53974261" w14:textId="77777777" w:rsidR="00985D46" w:rsidRPr="00985D46" w:rsidRDefault="00985D46" w:rsidP="00985D46">
            <w:pPr>
              <w:spacing w:after="0" w:line="240" w:lineRule="auto"/>
              <w:jc w:val="both"/>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Governance, Risk and Compliance</w:t>
            </w:r>
          </w:p>
        </w:tc>
        <w:tc>
          <w:tcPr>
            <w:tcW w:w="3011" w:type="pct"/>
            <w:tcBorders>
              <w:top w:val="nil"/>
              <w:left w:val="nil"/>
              <w:bottom w:val="single" w:sz="4" w:space="0" w:color="auto"/>
              <w:right w:val="single" w:sz="4" w:space="0" w:color="auto"/>
            </w:tcBorders>
            <w:shd w:val="clear" w:color="auto" w:fill="auto"/>
            <w:hideMark/>
          </w:tcPr>
          <w:p w14:paraId="6CDA6EFC"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HA in DC and DRC</w:t>
            </w:r>
            <w:r w:rsidRPr="00985D46">
              <w:rPr>
                <w:rFonts w:ascii="Calibri" w:eastAsia="Times New Roman" w:hAnsi="Calibri" w:cs="Calibri"/>
                <w:color w:val="000000"/>
                <w:lang w:val="en-GB" w:eastAsia="en-GB"/>
              </w:rPr>
              <w:br/>
              <w:t>• Module ITSM, Audit, Compliance, Business Continuity &amp; 3rd party risk management.</w:t>
            </w:r>
            <w:r w:rsidRPr="00985D46">
              <w:rPr>
                <w:rFonts w:ascii="Calibri" w:eastAsia="Times New Roman" w:hAnsi="Calibri" w:cs="Calibri"/>
                <w:color w:val="000000"/>
                <w:lang w:val="en-GB" w:eastAsia="en-GB"/>
              </w:rPr>
              <w:br/>
              <w:t>• Enterprise wide</w:t>
            </w:r>
            <w:r w:rsidRPr="00985D46">
              <w:rPr>
                <w:rFonts w:ascii="Calibri" w:eastAsia="Times New Roman" w:hAnsi="Calibri" w:cs="Calibri"/>
                <w:color w:val="000000"/>
                <w:lang w:val="en-GB" w:eastAsia="en-GB"/>
              </w:rPr>
              <w:br/>
              <w:t>• Bank may further extend the quantity  on similar rates</w:t>
            </w:r>
            <w:r w:rsidRPr="00985D46">
              <w:rPr>
                <w:rFonts w:ascii="Calibri" w:eastAsia="Times New Roman" w:hAnsi="Calibri" w:cs="Calibri"/>
                <w:color w:val="000000"/>
                <w:lang w:val="en-GB" w:eastAsia="en-GB"/>
              </w:rPr>
              <w:br/>
              <w:t>• The licenses for all solutions should be perpetual in the name of ― Central Bank of India. The OEMs should certify the same on their letterhead.</w:t>
            </w:r>
            <w:r w:rsidRPr="00985D46">
              <w:rPr>
                <w:rFonts w:ascii="Calibri" w:eastAsia="Times New Roman" w:hAnsi="Calibri" w:cs="Calibri"/>
                <w:color w:val="000000"/>
                <w:lang w:val="en-GB" w:eastAsia="en-GB"/>
              </w:rPr>
              <w:br/>
              <w:t>• Total Number of users - 1000</w:t>
            </w:r>
          </w:p>
        </w:tc>
        <w:tc>
          <w:tcPr>
            <w:tcW w:w="273" w:type="pct"/>
            <w:tcBorders>
              <w:top w:val="nil"/>
              <w:left w:val="nil"/>
              <w:bottom w:val="nil"/>
              <w:right w:val="nil"/>
            </w:tcBorders>
            <w:shd w:val="clear" w:color="auto" w:fill="auto"/>
            <w:noWrap/>
            <w:vAlign w:val="bottom"/>
            <w:hideMark/>
          </w:tcPr>
          <w:p w14:paraId="12E09B08" w14:textId="77777777" w:rsidR="00985D46" w:rsidRPr="00985D46" w:rsidRDefault="00985D46" w:rsidP="00985D46">
            <w:pPr>
              <w:spacing w:after="0" w:line="240" w:lineRule="auto"/>
              <w:rPr>
                <w:rFonts w:ascii="Calibri" w:eastAsia="Times New Roman" w:hAnsi="Calibri" w:cs="Calibri"/>
                <w:color w:val="000000"/>
                <w:lang w:val="en-GB" w:eastAsia="en-GB"/>
              </w:rPr>
            </w:pPr>
          </w:p>
        </w:tc>
      </w:tr>
      <w:tr w:rsidR="00985D46" w:rsidRPr="00985D46" w14:paraId="23AE57C9" w14:textId="77777777" w:rsidTr="00E73613">
        <w:trPr>
          <w:trHeight w:val="1200"/>
        </w:trPr>
        <w:tc>
          <w:tcPr>
            <w:tcW w:w="273" w:type="pct"/>
            <w:tcBorders>
              <w:top w:val="nil"/>
              <w:left w:val="nil"/>
              <w:bottom w:val="nil"/>
              <w:right w:val="nil"/>
            </w:tcBorders>
            <w:shd w:val="clear" w:color="auto" w:fill="auto"/>
            <w:noWrap/>
            <w:vAlign w:val="bottom"/>
            <w:hideMark/>
          </w:tcPr>
          <w:p w14:paraId="4AE66D53" w14:textId="77777777" w:rsidR="00985D46" w:rsidRPr="00985D46" w:rsidRDefault="00985D46" w:rsidP="00985D46">
            <w:pPr>
              <w:spacing w:after="0" w:line="240" w:lineRule="auto"/>
              <w:rPr>
                <w:rFonts w:ascii="Times New Roman" w:eastAsia="Times New Roman" w:hAnsi="Times New Roman" w:cs="Times New Roman"/>
                <w:sz w:val="20"/>
                <w:szCs w:val="20"/>
                <w:lang w:val="en-GB" w:eastAsia="en-GB"/>
              </w:rPr>
            </w:pPr>
          </w:p>
        </w:tc>
        <w:tc>
          <w:tcPr>
            <w:tcW w:w="182" w:type="pct"/>
            <w:tcBorders>
              <w:top w:val="nil"/>
              <w:left w:val="single" w:sz="4" w:space="0" w:color="auto"/>
              <w:bottom w:val="single" w:sz="4" w:space="0" w:color="auto"/>
              <w:right w:val="single" w:sz="4" w:space="0" w:color="auto"/>
            </w:tcBorders>
            <w:shd w:val="clear" w:color="auto" w:fill="auto"/>
            <w:noWrap/>
            <w:vAlign w:val="bottom"/>
            <w:hideMark/>
          </w:tcPr>
          <w:p w14:paraId="04FCD31C" w14:textId="77777777" w:rsidR="00985D46" w:rsidRPr="00985D46" w:rsidRDefault="00985D46" w:rsidP="00985D46">
            <w:pPr>
              <w:spacing w:after="0" w:line="240" w:lineRule="auto"/>
              <w:jc w:val="center"/>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8</w:t>
            </w:r>
          </w:p>
        </w:tc>
        <w:tc>
          <w:tcPr>
            <w:tcW w:w="1261" w:type="pct"/>
            <w:tcBorders>
              <w:top w:val="nil"/>
              <w:left w:val="nil"/>
              <w:bottom w:val="single" w:sz="4" w:space="0" w:color="auto"/>
              <w:right w:val="single" w:sz="4" w:space="0" w:color="auto"/>
            </w:tcBorders>
            <w:shd w:val="clear" w:color="auto" w:fill="auto"/>
            <w:noWrap/>
            <w:vAlign w:val="center"/>
            <w:hideMark/>
          </w:tcPr>
          <w:p w14:paraId="723B975C" w14:textId="77777777" w:rsidR="00985D46" w:rsidRPr="00985D46" w:rsidRDefault="00985D46" w:rsidP="00985D46">
            <w:pPr>
              <w:spacing w:after="0" w:line="240" w:lineRule="auto"/>
              <w:jc w:val="both"/>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Decoy (Honeypot)</w:t>
            </w:r>
          </w:p>
        </w:tc>
        <w:tc>
          <w:tcPr>
            <w:tcW w:w="3011" w:type="pct"/>
            <w:tcBorders>
              <w:top w:val="nil"/>
              <w:left w:val="nil"/>
              <w:bottom w:val="single" w:sz="4" w:space="0" w:color="auto"/>
              <w:right w:val="single" w:sz="4" w:space="0" w:color="auto"/>
            </w:tcBorders>
            <w:shd w:val="clear" w:color="auto" w:fill="auto"/>
            <w:hideMark/>
          </w:tcPr>
          <w:p w14:paraId="732A9B7B"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 Standalone in DC and Standalone in DR</w:t>
            </w:r>
            <w:r w:rsidRPr="00985D46">
              <w:rPr>
                <w:rFonts w:ascii="Calibri" w:eastAsia="Times New Roman" w:hAnsi="Calibri" w:cs="Calibri"/>
                <w:color w:val="000000"/>
                <w:lang w:val="en-GB" w:eastAsia="en-GB"/>
              </w:rPr>
              <w:br/>
              <w:t>• 200 Vlan in DC, 200 Vlan in DR, 10 Vlan in DMZ in DC, 10Vlan in DMZ in DR</w:t>
            </w:r>
            <w:r w:rsidRPr="00985D46">
              <w:rPr>
                <w:rFonts w:ascii="Calibri" w:eastAsia="Times New Roman" w:hAnsi="Calibri" w:cs="Calibri"/>
                <w:color w:val="000000"/>
                <w:lang w:val="en-GB" w:eastAsia="en-GB"/>
              </w:rPr>
              <w:br/>
              <w:t>• External threat intelligence decoy 5</w:t>
            </w:r>
            <w:r w:rsidRPr="00985D46">
              <w:rPr>
                <w:rFonts w:ascii="Calibri" w:eastAsia="Times New Roman" w:hAnsi="Calibri" w:cs="Calibri"/>
                <w:color w:val="000000"/>
                <w:lang w:val="en-GB" w:eastAsia="en-GB"/>
              </w:rPr>
              <w:br/>
              <w:t>• Bank may further extend the quantity to on similar rates during the contract tenure</w:t>
            </w:r>
          </w:p>
        </w:tc>
        <w:tc>
          <w:tcPr>
            <w:tcW w:w="273" w:type="pct"/>
            <w:tcBorders>
              <w:top w:val="nil"/>
              <w:left w:val="nil"/>
              <w:bottom w:val="nil"/>
              <w:right w:val="nil"/>
            </w:tcBorders>
            <w:shd w:val="clear" w:color="auto" w:fill="auto"/>
            <w:noWrap/>
            <w:vAlign w:val="bottom"/>
            <w:hideMark/>
          </w:tcPr>
          <w:p w14:paraId="449BAFA6" w14:textId="77777777" w:rsidR="00985D46" w:rsidRPr="00985D46" w:rsidRDefault="00985D46" w:rsidP="00985D46">
            <w:pPr>
              <w:spacing w:after="0" w:line="240" w:lineRule="auto"/>
              <w:rPr>
                <w:rFonts w:ascii="Calibri" w:eastAsia="Times New Roman" w:hAnsi="Calibri" w:cs="Calibri"/>
                <w:color w:val="000000"/>
                <w:lang w:val="en-GB" w:eastAsia="en-GB"/>
              </w:rPr>
            </w:pPr>
          </w:p>
        </w:tc>
      </w:tr>
      <w:tr w:rsidR="00985D46" w:rsidRPr="00985D46" w14:paraId="0DD4F0E3" w14:textId="77777777" w:rsidTr="00E73613">
        <w:trPr>
          <w:trHeight w:val="3000"/>
        </w:trPr>
        <w:tc>
          <w:tcPr>
            <w:tcW w:w="273" w:type="pct"/>
            <w:tcBorders>
              <w:top w:val="nil"/>
              <w:left w:val="nil"/>
              <w:bottom w:val="nil"/>
              <w:right w:val="nil"/>
            </w:tcBorders>
            <w:shd w:val="clear" w:color="auto" w:fill="auto"/>
            <w:noWrap/>
            <w:vAlign w:val="bottom"/>
            <w:hideMark/>
          </w:tcPr>
          <w:p w14:paraId="726A83BF" w14:textId="77777777" w:rsidR="00985D46" w:rsidRPr="00985D46" w:rsidRDefault="00985D46" w:rsidP="00985D46">
            <w:pPr>
              <w:spacing w:after="0" w:line="240" w:lineRule="auto"/>
              <w:rPr>
                <w:rFonts w:ascii="Times New Roman" w:eastAsia="Times New Roman" w:hAnsi="Times New Roman" w:cs="Times New Roman"/>
                <w:sz w:val="20"/>
                <w:szCs w:val="20"/>
                <w:lang w:val="en-GB" w:eastAsia="en-GB"/>
              </w:rPr>
            </w:pPr>
          </w:p>
        </w:tc>
        <w:tc>
          <w:tcPr>
            <w:tcW w:w="182" w:type="pct"/>
            <w:tcBorders>
              <w:top w:val="nil"/>
              <w:left w:val="single" w:sz="4" w:space="0" w:color="auto"/>
              <w:bottom w:val="single" w:sz="4" w:space="0" w:color="auto"/>
              <w:right w:val="single" w:sz="4" w:space="0" w:color="auto"/>
            </w:tcBorders>
            <w:shd w:val="clear" w:color="auto" w:fill="auto"/>
            <w:noWrap/>
            <w:vAlign w:val="bottom"/>
            <w:hideMark/>
          </w:tcPr>
          <w:p w14:paraId="7B4D2C65" w14:textId="77777777" w:rsidR="00985D46" w:rsidRPr="00985D46" w:rsidRDefault="00985D46" w:rsidP="00985D46">
            <w:pPr>
              <w:spacing w:after="0" w:line="240" w:lineRule="auto"/>
              <w:jc w:val="center"/>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9</w:t>
            </w:r>
          </w:p>
        </w:tc>
        <w:tc>
          <w:tcPr>
            <w:tcW w:w="1261" w:type="pct"/>
            <w:tcBorders>
              <w:top w:val="nil"/>
              <w:left w:val="nil"/>
              <w:bottom w:val="single" w:sz="4" w:space="0" w:color="auto"/>
              <w:right w:val="single" w:sz="4" w:space="0" w:color="auto"/>
            </w:tcBorders>
            <w:shd w:val="clear" w:color="auto" w:fill="auto"/>
            <w:noWrap/>
            <w:vAlign w:val="center"/>
            <w:hideMark/>
          </w:tcPr>
          <w:p w14:paraId="5AAD2230" w14:textId="77777777" w:rsidR="00985D46" w:rsidRPr="00985D46" w:rsidRDefault="00985D46" w:rsidP="00985D46">
            <w:pPr>
              <w:spacing w:after="0" w:line="240" w:lineRule="auto"/>
              <w:jc w:val="both"/>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Mobile Device Management</w:t>
            </w:r>
          </w:p>
        </w:tc>
        <w:tc>
          <w:tcPr>
            <w:tcW w:w="3011" w:type="pct"/>
            <w:tcBorders>
              <w:top w:val="nil"/>
              <w:left w:val="nil"/>
              <w:bottom w:val="single" w:sz="4" w:space="0" w:color="auto"/>
              <w:right w:val="single" w:sz="4" w:space="0" w:color="auto"/>
            </w:tcBorders>
            <w:shd w:val="clear" w:color="auto" w:fill="auto"/>
            <w:hideMark/>
          </w:tcPr>
          <w:p w14:paraId="3F058340"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2 at DC and 2 at DR</w:t>
            </w:r>
            <w:r w:rsidRPr="00985D46">
              <w:rPr>
                <w:rFonts w:ascii="Calibri" w:eastAsia="Times New Roman" w:hAnsi="Calibri" w:cs="Calibri"/>
                <w:color w:val="000000"/>
                <w:lang w:val="en-GB" w:eastAsia="en-GB"/>
              </w:rPr>
              <w:br/>
            </w:r>
            <w:r w:rsidRPr="00985D46">
              <w:rPr>
                <w:rFonts w:ascii="Calibri" w:eastAsia="Times New Roman" w:hAnsi="Calibri" w:cs="Calibri"/>
                <w:color w:val="000000"/>
                <w:lang w:val="en-GB" w:eastAsia="en-GB"/>
              </w:rPr>
              <w:br/>
              <w:t>• Mobile Device Management - 7500 Devices</w:t>
            </w:r>
            <w:r w:rsidRPr="00985D46">
              <w:rPr>
                <w:rFonts w:ascii="Calibri" w:eastAsia="Times New Roman" w:hAnsi="Calibri" w:cs="Calibri"/>
                <w:color w:val="000000"/>
                <w:lang w:val="en-GB" w:eastAsia="en-GB"/>
              </w:rPr>
              <w:br/>
              <w:t xml:space="preserve">- 7500 MDM License for mobile, laptop, tab etc </w:t>
            </w:r>
            <w:r w:rsidRPr="00985D46">
              <w:rPr>
                <w:rFonts w:ascii="Calibri" w:eastAsia="Times New Roman" w:hAnsi="Calibri" w:cs="Calibri"/>
                <w:color w:val="000000"/>
                <w:lang w:val="en-GB" w:eastAsia="en-GB"/>
              </w:rPr>
              <w:br/>
              <w:t xml:space="preserve">- Mobile Threat Management - 7500 Devices </w:t>
            </w:r>
            <w:r w:rsidRPr="00985D46">
              <w:rPr>
                <w:rFonts w:ascii="Calibri" w:eastAsia="Times New Roman" w:hAnsi="Calibri" w:cs="Calibri"/>
                <w:color w:val="000000"/>
                <w:lang w:val="en-GB" w:eastAsia="en-GB"/>
              </w:rPr>
              <w:br/>
              <w:t>- Additional 5500 MDM Licenses including Mobile Threat Management for tabs that are customized for Biometric authentication, Face recognition and print receipts. These tabs will be loaded with multiple apps as part of Digital Transformation</w:t>
            </w:r>
            <w:r w:rsidRPr="00985D46">
              <w:rPr>
                <w:rFonts w:ascii="Calibri" w:eastAsia="Times New Roman" w:hAnsi="Calibri" w:cs="Calibri"/>
                <w:color w:val="000000"/>
                <w:lang w:val="en-GB" w:eastAsia="en-GB"/>
              </w:rPr>
              <w:br/>
            </w:r>
            <w:r w:rsidRPr="00985D46">
              <w:rPr>
                <w:rFonts w:ascii="Calibri" w:eastAsia="Times New Roman" w:hAnsi="Calibri" w:cs="Calibri"/>
                <w:color w:val="000000"/>
                <w:lang w:val="en-GB" w:eastAsia="en-GB"/>
              </w:rPr>
              <w:br/>
              <w:t>• Bank may further extend the quantity to on similar rates during the tenure of the contract</w:t>
            </w:r>
          </w:p>
        </w:tc>
        <w:tc>
          <w:tcPr>
            <w:tcW w:w="273" w:type="pct"/>
            <w:tcBorders>
              <w:top w:val="nil"/>
              <w:left w:val="nil"/>
              <w:bottom w:val="nil"/>
              <w:right w:val="nil"/>
            </w:tcBorders>
            <w:shd w:val="clear" w:color="auto" w:fill="auto"/>
            <w:noWrap/>
            <w:vAlign w:val="bottom"/>
            <w:hideMark/>
          </w:tcPr>
          <w:p w14:paraId="5188F2BC" w14:textId="77777777" w:rsidR="00985D46" w:rsidRPr="00985D46" w:rsidRDefault="00985D46" w:rsidP="00985D46">
            <w:pPr>
              <w:spacing w:after="0" w:line="240" w:lineRule="auto"/>
              <w:rPr>
                <w:rFonts w:ascii="Calibri" w:eastAsia="Times New Roman" w:hAnsi="Calibri" w:cs="Calibri"/>
                <w:color w:val="000000"/>
                <w:lang w:val="en-GB" w:eastAsia="en-GB"/>
              </w:rPr>
            </w:pPr>
          </w:p>
        </w:tc>
      </w:tr>
      <w:tr w:rsidR="00985D46" w:rsidRPr="00985D46" w14:paraId="7DB96D34" w14:textId="77777777" w:rsidTr="00E73613">
        <w:trPr>
          <w:trHeight w:val="600"/>
        </w:trPr>
        <w:tc>
          <w:tcPr>
            <w:tcW w:w="273" w:type="pct"/>
            <w:tcBorders>
              <w:top w:val="nil"/>
              <w:left w:val="nil"/>
              <w:bottom w:val="nil"/>
              <w:right w:val="nil"/>
            </w:tcBorders>
            <w:shd w:val="clear" w:color="auto" w:fill="auto"/>
            <w:noWrap/>
            <w:vAlign w:val="bottom"/>
            <w:hideMark/>
          </w:tcPr>
          <w:p w14:paraId="3D29FF18" w14:textId="77777777" w:rsidR="00985D46" w:rsidRPr="00985D46" w:rsidRDefault="00985D46" w:rsidP="00985D46">
            <w:pPr>
              <w:spacing w:after="0" w:line="240" w:lineRule="auto"/>
              <w:rPr>
                <w:rFonts w:ascii="Times New Roman" w:eastAsia="Times New Roman" w:hAnsi="Times New Roman" w:cs="Times New Roman"/>
                <w:sz w:val="20"/>
                <w:szCs w:val="20"/>
                <w:lang w:val="en-GB" w:eastAsia="en-GB"/>
              </w:rPr>
            </w:pPr>
          </w:p>
        </w:tc>
        <w:tc>
          <w:tcPr>
            <w:tcW w:w="182" w:type="pct"/>
            <w:tcBorders>
              <w:top w:val="nil"/>
              <w:left w:val="single" w:sz="4" w:space="0" w:color="auto"/>
              <w:bottom w:val="single" w:sz="4" w:space="0" w:color="auto"/>
              <w:right w:val="single" w:sz="4" w:space="0" w:color="auto"/>
            </w:tcBorders>
            <w:shd w:val="clear" w:color="auto" w:fill="auto"/>
            <w:noWrap/>
            <w:vAlign w:val="bottom"/>
            <w:hideMark/>
          </w:tcPr>
          <w:p w14:paraId="0F2C1244" w14:textId="77777777" w:rsidR="00985D46" w:rsidRPr="00985D46" w:rsidRDefault="00985D46" w:rsidP="00985D46">
            <w:pPr>
              <w:spacing w:after="0" w:line="240" w:lineRule="auto"/>
              <w:jc w:val="center"/>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10</w:t>
            </w:r>
          </w:p>
        </w:tc>
        <w:tc>
          <w:tcPr>
            <w:tcW w:w="1261" w:type="pct"/>
            <w:tcBorders>
              <w:top w:val="nil"/>
              <w:left w:val="nil"/>
              <w:bottom w:val="single" w:sz="4" w:space="0" w:color="auto"/>
              <w:right w:val="single" w:sz="4" w:space="0" w:color="auto"/>
            </w:tcBorders>
            <w:shd w:val="clear" w:color="auto" w:fill="auto"/>
            <w:noWrap/>
            <w:vAlign w:val="center"/>
            <w:hideMark/>
          </w:tcPr>
          <w:p w14:paraId="28C56650" w14:textId="77777777" w:rsidR="00985D46" w:rsidRPr="00985D46" w:rsidRDefault="00985D46" w:rsidP="00985D46">
            <w:pPr>
              <w:spacing w:after="0" w:line="240" w:lineRule="auto"/>
              <w:jc w:val="both"/>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Database Recovery and Ransomeware Protection</w:t>
            </w:r>
          </w:p>
        </w:tc>
        <w:tc>
          <w:tcPr>
            <w:tcW w:w="3011" w:type="pct"/>
            <w:tcBorders>
              <w:top w:val="nil"/>
              <w:left w:val="nil"/>
              <w:bottom w:val="single" w:sz="4" w:space="0" w:color="auto"/>
              <w:right w:val="single" w:sz="4" w:space="0" w:color="auto"/>
            </w:tcBorders>
            <w:shd w:val="clear" w:color="auto" w:fill="auto"/>
            <w:noWrap/>
            <w:hideMark/>
          </w:tcPr>
          <w:p w14:paraId="37F2D9F6"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The solution should be sized for the Database at 500 TB and should be  expandable to 1PB.</w:t>
            </w:r>
          </w:p>
        </w:tc>
        <w:tc>
          <w:tcPr>
            <w:tcW w:w="273" w:type="pct"/>
            <w:tcBorders>
              <w:top w:val="nil"/>
              <w:left w:val="nil"/>
              <w:bottom w:val="nil"/>
              <w:right w:val="nil"/>
            </w:tcBorders>
            <w:shd w:val="clear" w:color="auto" w:fill="auto"/>
            <w:noWrap/>
            <w:vAlign w:val="bottom"/>
            <w:hideMark/>
          </w:tcPr>
          <w:p w14:paraId="7AA09678" w14:textId="77777777" w:rsidR="00985D46" w:rsidRPr="00985D46" w:rsidRDefault="00985D46" w:rsidP="00985D46">
            <w:pPr>
              <w:spacing w:after="0" w:line="240" w:lineRule="auto"/>
              <w:rPr>
                <w:rFonts w:ascii="Calibri" w:eastAsia="Times New Roman" w:hAnsi="Calibri" w:cs="Calibri"/>
                <w:color w:val="000000"/>
                <w:lang w:val="en-GB" w:eastAsia="en-GB"/>
              </w:rPr>
            </w:pPr>
          </w:p>
        </w:tc>
      </w:tr>
      <w:tr w:rsidR="00985D46" w:rsidRPr="00985D46" w14:paraId="62D78146" w14:textId="77777777" w:rsidTr="00E73613">
        <w:trPr>
          <w:trHeight w:val="1800"/>
        </w:trPr>
        <w:tc>
          <w:tcPr>
            <w:tcW w:w="273" w:type="pct"/>
            <w:tcBorders>
              <w:top w:val="nil"/>
              <w:left w:val="nil"/>
              <w:bottom w:val="nil"/>
              <w:right w:val="nil"/>
            </w:tcBorders>
            <w:shd w:val="clear" w:color="auto" w:fill="auto"/>
            <w:noWrap/>
            <w:vAlign w:val="bottom"/>
            <w:hideMark/>
          </w:tcPr>
          <w:p w14:paraId="4D9F6E95" w14:textId="77777777" w:rsidR="00985D46" w:rsidRPr="00985D46" w:rsidRDefault="00985D46" w:rsidP="00985D46">
            <w:pPr>
              <w:spacing w:after="0" w:line="240" w:lineRule="auto"/>
              <w:rPr>
                <w:rFonts w:ascii="Times New Roman" w:eastAsia="Times New Roman" w:hAnsi="Times New Roman" w:cs="Times New Roman"/>
                <w:sz w:val="20"/>
                <w:szCs w:val="20"/>
                <w:lang w:val="en-GB" w:eastAsia="en-GB"/>
              </w:rPr>
            </w:pPr>
          </w:p>
        </w:tc>
        <w:tc>
          <w:tcPr>
            <w:tcW w:w="182" w:type="pct"/>
            <w:tcBorders>
              <w:top w:val="nil"/>
              <w:left w:val="single" w:sz="4" w:space="0" w:color="auto"/>
              <w:bottom w:val="single" w:sz="4" w:space="0" w:color="auto"/>
              <w:right w:val="single" w:sz="4" w:space="0" w:color="auto"/>
            </w:tcBorders>
            <w:shd w:val="clear" w:color="auto" w:fill="auto"/>
            <w:noWrap/>
            <w:vAlign w:val="bottom"/>
            <w:hideMark/>
          </w:tcPr>
          <w:p w14:paraId="78622C5B" w14:textId="77777777" w:rsidR="00985D46" w:rsidRPr="00985D46" w:rsidRDefault="00985D46" w:rsidP="00985D46">
            <w:pPr>
              <w:spacing w:after="0" w:line="240" w:lineRule="auto"/>
              <w:jc w:val="center"/>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11</w:t>
            </w:r>
          </w:p>
        </w:tc>
        <w:tc>
          <w:tcPr>
            <w:tcW w:w="1261" w:type="pct"/>
            <w:tcBorders>
              <w:top w:val="nil"/>
              <w:left w:val="nil"/>
              <w:bottom w:val="single" w:sz="4" w:space="0" w:color="auto"/>
              <w:right w:val="single" w:sz="4" w:space="0" w:color="auto"/>
            </w:tcBorders>
            <w:shd w:val="clear" w:color="auto" w:fill="auto"/>
            <w:noWrap/>
            <w:vAlign w:val="center"/>
            <w:hideMark/>
          </w:tcPr>
          <w:p w14:paraId="694CA447" w14:textId="77777777" w:rsidR="00985D46" w:rsidRPr="00985D46" w:rsidRDefault="00985D46" w:rsidP="00985D46">
            <w:pPr>
              <w:spacing w:after="0" w:line="240" w:lineRule="auto"/>
              <w:jc w:val="both"/>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Network Access Control</w:t>
            </w:r>
          </w:p>
        </w:tc>
        <w:tc>
          <w:tcPr>
            <w:tcW w:w="3011" w:type="pct"/>
            <w:tcBorders>
              <w:top w:val="nil"/>
              <w:left w:val="nil"/>
              <w:bottom w:val="single" w:sz="4" w:space="0" w:color="auto"/>
              <w:right w:val="single" w:sz="4" w:space="0" w:color="auto"/>
            </w:tcBorders>
            <w:shd w:val="clear" w:color="auto" w:fill="auto"/>
            <w:hideMark/>
          </w:tcPr>
          <w:p w14:paraId="3C47367F" w14:textId="77777777" w:rsidR="00985D46" w:rsidRPr="00985D46" w:rsidRDefault="00985D46" w:rsidP="00985D46">
            <w:pPr>
              <w:spacing w:after="0" w:line="240" w:lineRule="auto"/>
              <w:rPr>
                <w:rFonts w:ascii="Calibri" w:eastAsia="Times New Roman" w:hAnsi="Calibri" w:cs="Calibri"/>
                <w:color w:val="000000"/>
                <w:lang w:val="en-GB" w:eastAsia="en-GB"/>
              </w:rPr>
            </w:pPr>
            <w:r w:rsidRPr="00985D46">
              <w:rPr>
                <w:rFonts w:ascii="Calibri" w:eastAsia="Times New Roman" w:hAnsi="Calibri" w:cs="Calibri"/>
                <w:color w:val="000000"/>
                <w:lang w:val="en-GB" w:eastAsia="en-GB"/>
              </w:rPr>
              <w:t>2 at DC and 2 at DR</w:t>
            </w:r>
            <w:r w:rsidRPr="00985D46">
              <w:rPr>
                <w:rFonts w:ascii="Calibri" w:eastAsia="Times New Roman" w:hAnsi="Calibri" w:cs="Calibri"/>
                <w:color w:val="000000"/>
                <w:lang w:val="en-GB" w:eastAsia="en-GB"/>
              </w:rPr>
              <w:br/>
            </w:r>
            <w:r w:rsidRPr="00985D46">
              <w:rPr>
                <w:rFonts w:ascii="Calibri" w:eastAsia="Times New Roman" w:hAnsi="Calibri" w:cs="Calibri"/>
                <w:color w:val="000000"/>
                <w:lang w:val="en-GB" w:eastAsia="en-GB"/>
              </w:rPr>
              <w:br/>
              <w:t>• 45000 endpoints including desktops/ATMs/Kiosks</w:t>
            </w:r>
            <w:r w:rsidRPr="00985D46">
              <w:rPr>
                <w:rFonts w:ascii="Calibri" w:eastAsia="Times New Roman" w:hAnsi="Calibri" w:cs="Calibri"/>
                <w:color w:val="000000"/>
                <w:lang w:val="en-GB" w:eastAsia="en-GB"/>
              </w:rPr>
              <w:br/>
              <w:t>• The licenses for all solutions should be perpetual in the name of ―Central Bank of India. The OEMs should certify the same on their letterhead</w:t>
            </w:r>
            <w:r w:rsidRPr="00985D46">
              <w:rPr>
                <w:rFonts w:ascii="Calibri" w:eastAsia="Times New Roman" w:hAnsi="Calibri" w:cs="Calibri"/>
                <w:color w:val="000000"/>
                <w:lang w:val="en-GB" w:eastAsia="en-GB"/>
              </w:rPr>
              <w:br/>
              <w:t>• Bank may further extend the quantity to on similar rates during the tenure of the contract</w:t>
            </w:r>
          </w:p>
        </w:tc>
        <w:tc>
          <w:tcPr>
            <w:tcW w:w="273" w:type="pct"/>
            <w:tcBorders>
              <w:top w:val="nil"/>
              <w:left w:val="nil"/>
              <w:bottom w:val="nil"/>
              <w:right w:val="nil"/>
            </w:tcBorders>
            <w:shd w:val="clear" w:color="auto" w:fill="auto"/>
            <w:noWrap/>
            <w:vAlign w:val="bottom"/>
            <w:hideMark/>
          </w:tcPr>
          <w:p w14:paraId="130285E6" w14:textId="77777777" w:rsidR="00985D46" w:rsidRPr="00985D46" w:rsidRDefault="00985D46" w:rsidP="00985D46">
            <w:pPr>
              <w:spacing w:after="0" w:line="240" w:lineRule="auto"/>
              <w:rPr>
                <w:rFonts w:ascii="Calibri" w:eastAsia="Times New Roman" w:hAnsi="Calibri" w:cs="Calibri"/>
                <w:color w:val="000000"/>
                <w:lang w:val="en-GB" w:eastAsia="en-GB"/>
              </w:rPr>
            </w:pPr>
          </w:p>
        </w:tc>
      </w:tr>
      <w:tr w:rsidR="00985D46" w:rsidRPr="00985D46" w14:paraId="478E791C" w14:textId="77777777" w:rsidTr="00E73613">
        <w:trPr>
          <w:trHeight w:val="300"/>
        </w:trPr>
        <w:tc>
          <w:tcPr>
            <w:tcW w:w="273" w:type="pct"/>
            <w:tcBorders>
              <w:top w:val="nil"/>
              <w:left w:val="nil"/>
              <w:bottom w:val="nil"/>
              <w:right w:val="nil"/>
            </w:tcBorders>
            <w:shd w:val="clear" w:color="auto" w:fill="auto"/>
            <w:noWrap/>
            <w:vAlign w:val="bottom"/>
            <w:hideMark/>
          </w:tcPr>
          <w:p w14:paraId="00874788" w14:textId="77777777" w:rsidR="00985D46" w:rsidRPr="00985D46" w:rsidRDefault="00985D46" w:rsidP="00985D46">
            <w:pPr>
              <w:spacing w:after="0" w:line="240" w:lineRule="auto"/>
              <w:rPr>
                <w:rFonts w:ascii="Times New Roman" w:eastAsia="Times New Roman" w:hAnsi="Times New Roman" w:cs="Times New Roman"/>
                <w:sz w:val="20"/>
                <w:szCs w:val="20"/>
                <w:lang w:val="en-GB" w:eastAsia="en-GB"/>
              </w:rPr>
            </w:pPr>
          </w:p>
        </w:tc>
        <w:tc>
          <w:tcPr>
            <w:tcW w:w="182" w:type="pct"/>
            <w:tcBorders>
              <w:top w:val="nil"/>
              <w:left w:val="nil"/>
              <w:bottom w:val="nil"/>
              <w:right w:val="nil"/>
            </w:tcBorders>
            <w:shd w:val="clear" w:color="auto" w:fill="auto"/>
            <w:noWrap/>
            <w:vAlign w:val="bottom"/>
            <w:hideMark/>
          </w:tcPr>
          <w:p w14:paraId="60CFCB80" w14:textId="77777777" w:rsidR="00985D46" w:rsidRPr="00985D46" w:rsidRDefault="00985D46" w:rsidP="00985D46">
            <w:pPr>
              <w:spacing w:after="0" w:line="240" w:lineRule="auto"/>
              <w:rPr>
                <w:rFonts w:ascii="Times New Roman" w:eastAsia="Times New Roman" w:hAnsi="Times New Roman" w:cs="Times New Roman"/>
                <w:sz w:val="20"/>
                <w:szCs w:val="20"/>
                <w:lang w:val="en-GB" w:eastAsia="en-GB"/>
              </w:rPr>
            </w:pPr>
          </w:p>
        </w:tc>
        <w:tc>
          <w:tcPr>
            <w:tcW w:w="1261" w:type="pct"/>
            <w:tcBorders>
              <w:top w:val="nil"/>
              <w:left w:val="nil"/>
              <w:bottom w:val="nil"/>
              <w:right w:val="nil"/>
            </w:tcBorders>
            <w:shd w:val="clear" w:color="auto" w:fill="auto"/>
            <w:noWrap/>
            <w:vAlign w:val="center"/>
            <w:hideMark/>
          </w:tcPr>
          <w:p w14:paraId="1EBED5F4" w14:textId="77777777" w:rsidR="00985D46" w:rsidRPr="00985D46" w:rsidRDefault="00985D46" w:rsidP="00985D46">
            <w:pPr>
              <w:spacing w:after="0" w:line="240" w:lineRule="auto"/>
              <w:jc w:val="center"/>
              <w:rPr>
                <w:rFonts w:ascii="Times New Roman" w:eastAsia="Times New Roman" w:hAnsi="Times New Roman" w:cs="Times New Roman"/>
                <w:sz w:val="20"/>
                <w:szCs w:val="20"/>
                <w:lang w:val="en-GB" w:eastAsia="en-GB"/>
              </w:rPr>
            </w:pPr>
          </w:p>
        </w:tc>
        <w:tc>
          <w:tcPr>
            <w:tcW w:w="3011" w:type="pct"/>
            <w:tcBorders>
              <w:top w:val="nil"/>
              <w:left w:val="nil"/>
              <w:bottom w:val="nil"/>
              <w:right w:val="nil"/>
            </w:tcBorders>
            <w:shd w:val="clear" w:color="auto" w:fill="auto"/>
            <w:noWrap/>
            <w:vAlign w:val="center"/>
            <w:hideMark/>
          </w:tcPr>
          <w:p w14:paraId="1A22B887" w14:textId="77777777" w:rsidR="00985D46" w:rsidRPr="00985D46" w:rsidRDefault="00985D46" w:rsidP="00985D46">
            <w:pPr>
              <w:spacing w:after="0" w:line="240" w:lineRule="auto"/>
              <w:jc w:val="both"/>
              <w:rPr>
                <w:rFonts w:ascii="Times New Roman" w:eastAsia="Times New Roman" w:hAnsi="Times New Roman" w:cs="Times New Roman"/>
                <w:sz w:val="20"/>
                <w:szCs w:val="20"/>
                <w:lang w:val="en-GB" w:eastAsia="en-GB"/>
              </w:rPr>
            </w:pPr>
          </w:p>
        </w:tc>
        <w:tc>
          <w:tcPr>
            <w:tcW w:w="273" w:type="pct"/>
            <w:tcBorders>
              <w:top w:val="nil"/>
              <w:left w:val="nil"/>
              <w:bottom w:val="nil"/>
              <w:right w:val="nil"/>
            </w:tcBorders>
            <w:shd w:val="clear" w:color="auto" w:fill="auto"/>
            <w:noWrap/>
            <w:vAlign w:val="bottom"/>
            <w:hideMark/>
          </w:tcPr>
          <w:p w14:paraId="410DC013" w14:textId="77777777" w:rsidR="00985D46" w:rsidRPr="00985D46" w:rsidRDefault="00985D46" w:rsidP="00985D46">
            <w:pPr>
              <w:spacing w:after="0" w:line="240" w:lineRule="auto"/>
              <w:jc w:val="both"/>
              <w:rPr>
                <w:rFonts w:ascii="Times New Roman" w:eastAsia="Times New Roman" w:hAnsi="Times New Roman" w:cs="Times New Roman"/>
                <w:sz w:val="20"/>
                <w:szCs w:val="20"/>
                <w:lang w:val="en-GB" w:eastAsia="en-GB"/>
              </w:rPr>
            </w:pPr>
          </w:p>
        </w:tc>
      </w:tr>
    </w:tbl>
    <w:p w14:paraId="08DA3D76" w14:textId="77777777" w:rsidR="002F0054" w:rsidRDefault="000A1AD9">
      <w:pPr>
        <w:rPr>
          <w:rFonts w:cstheme="minorHAnsi"/>
        </w:rPr>
        <w:sectPr w:rsidR="002F0054" w:rsidSect="00985D46">
          <w:pgSz w:w="16838" w:h="11906" w:orient="landscape" w:code="9"/>
          <w:pgMar w:top="1440" w:right="1440" w:bottom="1440" w:left="1440" w:header="709" w:footer="709" w:gutter="0"/>
          <w:cols w:space="708"/>
          <w:titlePg/>
          <w:docGrid w:linePitch="360"/>
        </w:sectPr>
      </w:pPr>
      <w:r>
        <w:rPr>
          <w:rFonts w:cstheme="minorHAnsi"/>
        </w:rPr>
        <w:br w:type="page"/>
      </w:r>
    </w:p>
    <w:p w14:paraId="171C799E" w14:textId="6725C4FA" w:rsidR="00D720AC" w:rsidRPr="00A54361" w:rsidRDefault="00D720AC" w:rsidP="00A54361">
      <w:pPr>
        <w:pStyle w:val="Heading1"/>
        <w:numPr>
          <w:ilvl w:val="0"/>
          <w:numId w:val="48"/>
        </w:numPr>
        <w:jc w:val="both"/>
        <w:rPr>
          <w:rFonts w:asciiTheme="minorHAnsi" w:hAnsiTheme="minorHAnsi" w:cstheme="minorHAnsi"/>
          <w:color w:val="auto"/>
        </w:rPr>
      </w:pPr>
      <w:bookmarkStart w:id="264" w:name="_Toc182233409"/>
      <w:r w:rsidRPr="00A54361">
        <w:rPr>
          <w:rFonts w:asciiTheme="minorHAnsi" w:hAnsiTheme="minorHAnsi" w:cstheme="minorHAnsi"/>
          <w:color w:val="auto"/>
        </w:rPr>
        <w:t xml:space="preserve">Annexure </w:t>
      </w:r>
      <w:r w:rsidR="0056211A" w:rsidRPr="00A54361">
        <w:rPr>
          <w:rFonts w:asciiTheme="minorHAnsi" w:hAnsiTheme="minorHAnsi" w:cstheme="minorHAnsi"/>
          <w:color w:val="auto"/>
        </w:rPr>
        <w:t>3</w:t>
      </w:r>
      <w:r w:rsidRPr="00A54361">
        <w:rPr>
          <w:rFonts w:asciiTheme="minorHAnsi" w:hAnsiTheme="minorHAnsi" w:cstheme="minorHAnsi"/>
          <w:color w:val="auto"/>
        </w:rPr>
        <w:t>: Conformity Letter</w:t>
      </w:r>
      <w:bookmarkEnd w:id="259"/>
      <w:bookmarkEnd w:id="264"/>
    </w:p>
    <w:p w14:paraId="14AFD239" w14:textId="655D4AE2" w:rsidR="00D720AC" w:rsidRPr="00A54361" w:rsidRDefault="00D720AC" w:rsidP="00A54361">
      <w:pPr>
        <w:spacing w:before="120" w:after="120"/>
        <w:jc w:val="both"/>
        <w:rPr>
          <w:rFonts w:cstheme="minorHAnsi"/>
        </w:rPr>
      </w:pPr>
      <w:r w:rsidRPr="00A54361">
        <w:rPr>
          <w:rFonts w:cstheme="minorHAnsi"/>
        </w:rPr>
        <w:t>Date</w:t>
      </w:r>
    </w:p>
    <w:p w14:paraId="470EB477" w14:textId="7C39C439" w:rsidR="00D720AC" w:rsidRPr="00A54361" w:rsidRDefault="00D720AC" w:rsidP="00A54361">
      <w:pPr>
        <w:spacing w:before="120" w:after="120"/>
        <w:jc w:val="both"/>
        <w:rPr>
          <w:rFonts w:cstheme="minorHAnsi"/>
        </w:rPr>
      </w:pPr>
      <w:r w:rsidRPr="00A54361">
        <w:rPr>
          <w:rFonts w:cstheme="minorHAnsi"/>
        </w:rPr>
        <w:t>To,</w:t>
      </w:r>
    </w:p>
    <w:p w14:paraId="0CBCF39F" w14:textId="77777777" w:rsidR="00D720AC" w:rsidRPr="00A54361" w:rsidRDefault="00D720AC" w:rsidP="00A54361">
      <w:pPr>
        <w:spacing w:after="0"/>
        <w:jc w:val="both"/>
        <w:rPr>
          <w:rFonts w:cstheme="minorHAnsi"/>
        </w:rPr>
      </w:pPr>
      <w:r w:rsidRPr="00A54361">
        <w:rPr>
          <w:rFonts w:cstheme="minorHAnsi"/>
        </w:rPr>
        <w:t xml:space="preserve">General Manager (IT), </w:t>
      </w:r>
    </w:p>
    <w:p w14:paraId="2E2442FC" w14:textId="77777777" w:rsidR="00D720AC" w:rsidRPr="00A54361" w:rsidRDefault="00D720AC" w:rsidP="00A54361">
      <w:pPr>
        <w:spacing w:after="0"/>
        <w:jc w:val="both"/>
        <w:rPr>
          <w:rFonts w:cstheme="minorHAnsi"/>
        </w:rPr>
      </w:pPr>
      <w:r w:rsidRPr="00A54361">
        <w:rPr>
          <w:rFonts w:cstheme="minorHAnsi"/>
        </w:rPr>
        <w:t xml:space="preserve">Central Bank of India, </w:t>
      </w:r>
    </w:p>
    <w:p w14:paraId="387DD67F" w14:textId="77777777" w:rsidR="00D720AC" w:rsidRPr="00A54361" w:rsidRDefault="00D720AC" w:rsidP="00A54361">
      <w:pPr>
        <w:spacing w:after="0"/>
        <w:jc w:val="both"/>
        <w:rPr>
          <w:rFonts w:cstheme="minorHAnsi"/>
        </w:rPr>
      </w:pPr>
      <w:r w:rsidRPr="00A54361">
        <w:rPr>
          <w:rFonts w:cstheme="minorHAnsi"/>
        </w:rPr>
        <w:t xml:space="preserve">DIT, Sector 11, </w:t>
      </w:r>
    </w:p>
    <w:p w14:paraId="1D56E73A" w14:textId="77777777" w:rsidR="00D720AC" w:rsidRPr="00A54361" w:rsidRDefault="00D720AC" w:rsidP="00A54361">
      <w:pPr>
        <w:spacing w:after="0"/>
        <w:jc w:val="both"/>
        <w:rPr>
          <w:rFonts w:cstheme="minorHAnsi"/>
        </w:rPr>
      </w:pPr>
      <w:r w:rsidRPr="00A54361">
        <w:rPr>
          <w:rFonts w:cstheme="minorHAnsi"/>
        </w:rPr>
        <w:t xml:space="preserve">CBD Belapur, </w:t>
      </w:r>
    </w:p>
    <w:p w14:paraId="4F29B9BD" w14:textId="29F1608E" w:rsidR="00D720AC" w:rsidRPr="00A54361" w:rsidRDefault="00D720AC" w:rsidP="00A54361">
      <w:pPr>
        <w:spacing w:after="0"/>
        <w:jc w:val="both"/>
        <w:rPr>
          <w:rFonts w:cstheme="minorHAnsi"/>
        </w:rPr>
      </w:pPr>
      <w:r w:rsidRPr="00A54361">
        <w:rPr>
          <w:rFonts w:cstheme="minorHAnsi"/>
        </w:rPr>
        <w:t>Navi Mumbai – 400614</w:t>
      </w:r>
    </w:p>
    <w:p w14:paraId="2C12022D" w14:textId="5C27EFFA" w:rsidR="00D720AC" w:rsidRPr="00A54361" w:rsidRDefault="00D720AC" w:rsidP="00A54361">
      <w:pPr>
        <w:spacing w:before="120" w:after="120"/>
        <w:jc w:val="both"/>
        <w:rPr>
          <w:rFonts w:cstheme="minorHAnsi"/>
        </w:rPr>
      </w:pPr>
      <w:r w:rsidRPr="00A54361">
        <w:rPr>
          <w:rFonts w:cstheme="minorHAnsi"/>
        </w:rPr>
        <w:t>Sir,</w:t>
      </w:r>
    </w:p>
    <w:p w14:paraId="5A3FAC8F" w14:textId="59C553B1" w:rsidR="00A836BA" w:rsidRPr="00A54361" w:rsidRDefault="00D720AC" w:rsidP="00A54361">
      <w:pPr>
        <w:spacing w:before="120" w:after="120"/>
        <w:jc w:val="both"/>
        <w:rPr>
          <w:rFonts w:cstheme="minorHAnsi"/>
        </w:rPr>
      </w:pPr>
      <w:r w:rsidRPr="00A54361">
        <w:rPr>
          <w:rFonts w:cstheme="minorHAnsi"/>
        </w:rPr>
        <w:t xml:space="preserve">Sub: </w:t>
      </w:r>
      <w:r w:rsidR="001817A1" w:rsidRPr="00A54361">
        <w:rPr>
          <w:rFonts w:cstheme="minorHAnsi"/>
        </w:rPr>
        <w:t xml:space="preserve">RFP for Supply, Installation and Maintenance of </w:t>
      </w:r>
      <w:r w:rsidR="00A836BA" w:rsidRPr="00A54361">
        <w:rPr>
          <w:rFonts w:cstheme="minorHAnsi"/>
        </w:rPr>
        <w:t>Cybersecurity Solutions</w:t>
      </w:r>
      <w:r w:rsidR="00BD0761" w:rsidRPr="00A54361">
        <w:rPr>
          <w:rFonts w:cstheme="minorHAnsi"/>
        </w:rPr>
        <w:t xml:space="preserve"> </w:t>
      </w:r>
      <w:r w:rsidR="003369B8" w:rsidRPr="00A54361">
        <w:rPr>
          <w:rFonts w:cstheme="minorHAnsi"/>
        </w:rPr>
        <w:t xml:space="preserve">and associated hardware </w:t>
      </w:r>
      <w:r w:rsidR="00BD0761" w:rsidRPr="00A54361">
        <w:rPr>
          <w:rFonts w:cstheme="minorHAnsi"/>
        </w:rPr>
        <w:t xml:space="preserve">at </w:t>
      </w:r>
      <w:r w:rsidR="009417AB" w:rsidRPr="00A54361">
        <w:rPr>
          <w:rFonts w:cstheme="minorHAnsi"/>
        </w:rPr>
        <w:t>the Bank</w:t>
      </w:r>
    </w:p>
    <w:p w14:paraId="032E3D70" w14:textId="5FABBB5C" w:rsidR="00D720AC" w:rsidRPr="00A54361" w:rsidRDefault="00BD0761" w:rsidP="00A54361">
      <w:pPr>
        <w:spacing w:before="120" w:after="120"/>
        <w:jc w:val="both"/>
        <w:rPr>
          <w:rFonts w:cstheme="minorHAnsi"/>
        </w:rPr>
      </w:pPr>
      <w:r w:rsidRPr="00A54361">
        <w:rPr>
          <w:rFonts w:cstheme="minorHAnsi"/>
        </w:rPr>
        <w:t>Tender No. _____________________________</w:t>
      </w:r>
    </w:p>
    <w:p w14:paraId="2E615537" w14:textId="42F57B57" w:rsidR="00D720AC" w:rsidRPr="00A54361" w:rsidRDefault="00D720AC" w:rsidP="00A54361">
      <w:pPr>
        <w:spacing w:before="120" w:after="120"/>
        <w:jc w:val="both"/>
        <w:rPr>
          <w:rFonts w:cstheme="minorHAnsi"/>
        </w:rPr>
      </w:pPr>
      <w:r w:rsidRPr="00A54361">
        <w:rPr>
          <w:rFonts w:cstheme="minorHAnsi"/>
        </w:rPr>
        <w:t xml:space="preserve">Further to our proposal dated </w:t>
      </w:r>
      <w:r w:rsidR="00AA75FE" w:rsidRPr="00A54361">
        <w:rPr>
          <w:rFonts w:cstheme="minorHAnsi"/>
        </w:rPr>
        <w:t>_______________,</w:t>
      </w:r>
      <w:r w:rsidRPr="00A54361">
        <w:rPr>
          <w:rFonts w:cstheme="minorHAnsi"/>
        </w:rPr>
        <w:t xml:space="preserve"> in response to the RFP document (hereinafter referred to as “RFP DOCUMENT”) issued by Central Bank of India (“Bank”) we hereby covenant, warrant and confirm as follows:</w:t>
      </w:r>
    </w:p>
    <w:p w14:paraId="1F622FA7" w14:textId="521D4847" w:rsidR="00D720AC" w:rsidRPr="00A54361" w:rsidRDefault="00D720AC" w:rsidP="00A54361">
      <w:pPr>
        <w:spacing w:before="120" w:after="120"/>
        <w:jc w:val="both"/>
        <w:rPr>
          <w:rFonts w:cstheme="minorHAnsi"/>
        </w:rPr>
      </w:pPr>
      <w:r w:rsidRPr="00A54361">
        <w:rPr>
          <w:rFonts w:cstheme="minorHAnsi"/>
        </w:rPr>
        <w:t>We hereby agree to comply with all the terms and conditions / stipulations as contained in the RFP document and the related addendums and other documents including the changes made to the original tender documents issued by the Bank.</w:t>
      </w:r>
    </w:p>
    <w:p w14:paraId="486ABE35" w14:textId="55266657" w:rsidR="00D720AC" w:rsidRPr="00A54361" w:rsidRDefault="00D720AC" w:rsidP="00A54361">
      <w:pPr>
        <w:spacing w:before="120" w:after="120"/>
        <w:jc w:val="both"/>
        <w:rPr>
          <w:rFonts w:cstheme="minorHAnsi"/>
        </w:rPr>
      </w:pPr>
      <w:r w:rsidRPr="00A54361">
        <w:rPr>
          <w:rFonts w:cstheme="minorHAnsi"/>
        </w:rPr>
        <w:t>The Bank is not bound by any other extraneous matters or deviations, even if mentioned by us elsewhere either in our proposal or any subsequent deviations sought by us, whether orally or in writing, and the Bank’s decision not to accept any such extraneous conditions and deviations will be final and binding on us.</w:t>
      </w:r>
    </w:p>
    <w:p w14:paraId="1E78B913" w14:textId="274E4F46" w:rsidR="00D720AC" w:rsidRPr="00A54361" w:rsidRDefault="00D720AC" w:rsidP="00A54361">
      <w:pPr>
        <w:spacing w:before="120" w:after="120"/>
        <w:jc w:val="both"/>
        <w:rPr>
          <w:rFonts w:cstheme="minorHAnsi"/>
        </w:rPr>
      </w:pPr>
      <w:r w:rsidRPr="00A54361">
        <w:rPr>
          <w:rFonts w:cstheme="minorHAnsi"/>
        </w:rPr>
        <w:t>Yours faithfully,</w:t>
      </w:r>
    </w:p>
    <w:p w14:paraId="0243EBA1" w14:textId="02B31FA3" w:rsidR="00D720AC" w:rsidRPr="00A54361" w:rsidRDefault="00D720AC" w:rsidP="00A54361">
      <w:pPr>
        <w:spacing w:before="120" w:after="120"/>
        <w:jc w:val="both"/>
        <w:rPr>
          <w:rFonts w:cstheme="minorHAnsi"/>
        </w:rPr>
      </w:pPr>
    </w:p>
    <w:p w14:paraId="2CD160C6" w14:textId="26FE4C39" w:rsidR="00D720AC" w:rsidRPr="00A54361" w:rsidRDefault="00D720AC" w:rsidP="00A54361">
      <w:pPr>
        <w:spacing w:before="120" w:after="120"/>
        <w:jc w:val="both"/>
        <w:rPr>
          <w:rFonts w:cstheme="minorHAnsi"/>
        </w:rPr>
      </w:pPr>
      <w:r w:rsidRPr="00A54361">
        <w:rPr>
          <w:rFonts w:cstheme="minorHAnsi"/>
        </w:rPr>
        <w:t>Authorized Signatory</w:t>
      </w:r>
    </w:p>
    <w:p w14:paraId="04BEF11D" w14:textId="6C3B3DEA" w:rsidR="00D720AC" w:rsidRPr="00A54361" w:rsidRDefault="00D720AC" w:rsidP="00A54361">
      <w:pPr>
        <w:spacing w:before="120" w:after="120"/>
        <w:jc w:val="both"/>
        <w:rPr>
          <w:rFonts w:cstheme="minorHAnsi"/>
        </w:rPr>
      </w:pPr>
      <w:r w:rsidRPr="00A54361">
        <w:rPr>
          <w:rFonts w:cstheme="minorHAnsi"/>
        </w:rPr>
        <w:t>Designation</w:t>
      </w:r>
    </w:p>
    <w:p w14:paraId="37C32B26" w14:textId="20963C54" w:rsidR="00D720AC" w:rsidRPr="00A54361" w:rsidRDefault="00D720AC" w:rsidP="00A54361">
      <w:pPr>
        <w:spacing w:before="120" w:after="120"/>
        <w:jc w:val="both"/>
        <w:rPr>
          <w:rFonts w:cstheme="minorHAnsi"/>
        </w:rPr>
      </w:pPr>
      <w:r w:rsidRPr="00A54361">
        <w:rPr>
          <w:rFonts w:cstheme="minorHAnsi"/>
        </w:rPr>
        <w:t>Company Name</w:t>
      </w:r>
    </w:p>
    <w:p w14:paraId="3E951F82" w14:textId="79E69285" w:rsidR="00D720AC" w:rsidRPr="00A54361" w:rsidRDefault="00D720AC" w:rsidP="00A54361">
      <w:pPr>
        <w:jc w:val="both"/>
        <w:rPr>
          <w:rFonts w:cstheme="minorHAnsi"/>
        </w:rPr>
      </w:pPr>
      <w:r w:rsidRPr="00A54361">
        <w:rPr>
          <w:rFonts w:cstheme="minorHAnsi"/>
        </w:rPr>
        <w:br w:type="page"/>
      </w:r>
    </w:p>
    <w:p w14:paraId="3C92DD38" w14:textId="399C9D5D" w:rsidR="00236B30" w:rsidRPr="00A54361" w:rsidRDefault="00236B30" w:rsidP="00A54361">
      <w:pPr>
        <w:pStyle w:val="Heading1"/>
        <w:numPr>
          <w:ilvl w:val="0"/>
          <w:numId w:val="48"/>
        </w:numPr>
        <w:jc w:val="both"/>
        <w:rPr>
          <w:rFonts w:asciiTheme="minorHAnsi" w:hAnsiTheme="minorHAnsi" w:cstheme="minorHAnsi"/>
          <w:color w:val="auto"/>
        </w:rPr>
      </w:pPr>
      <w:bookmarkStart w:id="265" w:name="_Toc114656409"/>
      <w:bookmarkStart w:id="266" w:name="_Toc182233410"/>
      <w:r w:rsidRPr="00A54361">
        <w:rPr>
          <w:rFonts w:asciiTheme="minorHAnsi" w:hAnsiTheme="minorHAnsi" w:cstheme="minorHAnsi"/>
          <w:color w:val="auto"/>
        </w:rPr>
        <w:t xml:space="preserve">Annexure </w:t>
      </w:r>
      <w:r w:rsidR="0056211A" w:rsidRPr="00A54361">
        <w:rPr>
          <w:rFonts w:asciiTheme="minorHAnsi" w:hAnsiTheme="minorHAnsi" w:cstheme="minorHAnsi"/>
          <w:color w:val="auto"/>
        </w:rPr>
        <w:t>4</w:t>
      </w:r>
      <w:r w:rsidRPr="00A54361">
        <w:rPr>
          <w:rFonts w:asciiTheme="minorHAnsi" w:hAnsiTheme="minorHAnsi" w:cstheme="minorHAnsi"/>
          <w:color w:val="auto"/>
        </w:rPr>
        <w:t xml:space="preserve">: </w:t>
      </w:r>
      <w:r w:rsidR="0056211A" w:rsidRPr="00A54361">
        <w:rPr>
          <w:rFonts w:asciiTheme="minorHAnsi" w:hAnsiTheme="minorHAnsi" w:cstheme="minorHAnsi"/>
          <w:color w:val="auto"/>
        </w:rPr>
        <w:t xml:space="preserve">Masked </w:t>
      </w:r>
      <w:r w:rsidRPr="00A54361">
        <w:rPr>
          <w:rFonts w:asciiTheme="minorHAnsi" w:hAnsiTheme="minorHAnsi" w:cstheme="minorHAnsi"/>
          <w:color w:val="auto"/>
        </w:rPr>
        <w:t>Commercial Bill of Material</w:t>
      </w:r>
      <w:bookmarkEnd w:id="265"/>
      <w:bookmarkEnd w:id="266"/>
    </w:p>
    <w:p w14:paraId="1B08C17C" w14:textId="6D1D2FB7" w:rsidR="008072DA" w:rsidRPr="00A54361" w:rsidRDefault="0056211A" w:rsidP="00A54361">
      <w:pPr>
        <w:jc w:val="both"/>
        <w:rPr>
          <w:rFonts w:cstheme="minorHAnsi"/>
        </w:rPr>
      </w:pPr>
      <w:r w:rsidRPr="00A54361">
        <w:rPr>
          <w:rFonts w:cstheme="minorHAnsi"/>
        </w:rPr>
        <w:t>Bidder to Masked Commercials in Annexure 1- Bill of Material and attached here</w:t>
      </w:r>
    </w:p>
    <w:p w14:paraId="039A9EEC" w14:textId="60D222C3" w:rsidR="008072DA" w:rsidRPr="00A54361" w:rsidRDefault="008072DA" w:rsidP="00A54361">
      <w:pPr>
        <w:jc w:val="both"/>
        <w:rPr>
          <w:rFonts w:cstheme="minorHAnsi"/>
        </w:rPr>
      </w:pPr>
      <w:r w:rsidRPr="00A54361">
        <w:rPr>
          <w:rFonts w:cstheme="minorHAnsi"/>
        </w:rPr>
        <w:br w:type="page"/>
      </w:r>
    </w:p>
    <w:p w14:paraId="5EFBD604" w14:textId="6BF6E832" w:rsidR="00D720AC" w:rsidRPr="00A54361" w:rsidRDefault="00367038" w:rsidP="00A54361">
      <w:pPr>
        <w:pStyle w:val="Heading1"/>
        <w:numPr>
          <w:ilvl w:val="0"/>
          <w:numId w:val="48"/>
        </w:numPr>
        <w:jc w:val="both"/>
        <w:rPr>
          <w:rFonts w:asciiTheme="minorHAnsi" w:hAnsiTheme="minorHAnsi" w:cstheme="minorHAnsi"/>
          <w:color w:val="auto"/>
        </w:rPr>
      </w:pPr>
      <w:bookmarkStart w:id="267" w:name="_Toc129668530"/>
      <w:bookmarkStart w:id="268" w:name="_Toc182233411"/>
      <w:r w:rsidRPr="00A54361">
        <w:rPr>
          <w:rFonts w:asciiTheme="minorHAnsi" w:hAnsiTheme="minorHAnsi" w:cstheme="minorHAnsi"/>
          <w:color w:val="auto"/>
        </w:rPr>
        <w:t xml:space="preserve">Annexure </w:t>
      </w:r>
      <w:r w:rsidR="00C75323" w:rsidRPr="00A54361">
        <w:rPr>
          <w:rFonts w:asciiTheme="minorHAnsi" w:hAnsiTheme="minorHAnsi" w:cstheme="minorHAnsi"/>
          <w:color w:val="auto"/>
        </w:rPr>
        <w:t>5</w:t>
      </w:r>
      <w:r w:rsidRPr="00A54361">
        <w:rPr>
          <w:rFonts w:asciiTheme="minorHAnsi" w:hAnsiTheme="minorHAnsi" w:cstheme="minorHAnsi"/>
          <w:color w:val="auto"/>
        </w:rPr>
        <w:t>: Bidder’s Information</w:t>
      </w:r>
      <w:bookmarkEnd w:id="267"/>
      <w:bookmarkEnd w:id="26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394"/>
        <w:gridCol w:w="3918"/>
      </w:tblGrid>
      <w:tr w:rsidR="000D3DC1" w:rsidRPr="00A54361" w14:paraId="79695BFF" w14:textId="77777777" w:rsidTr="0078354F">
        <w:tc>
          <w:tcPr>
            <w:tcW w:w="704" w:type="dxa"/>
            <w:shd w:val="clear" w:color="auto" w:fill="D9D9D9" w:themeFill="background1" w:themeFillShade="D9"/>
          </w:tcPr>
          <w:p w14:paraId="67919945" w14:textId="3FC95A1F" w:rsidR="00367038" w:rsidRPr="00A54361" w:rsidRDefault="00367038" w:rsidP="00A54361">
            <w:pPr>
              <w:jc w:val="both"/>
              <w:rPr>
                <w:rFonts w:cstheme="minorHAnsi"/>
                <w:b/>
                <w:bCs/>
              </w:rPr>
            </w:pPr>
            <w:r w:rsidRPr="00A54361">
              <w:rPr>
                <w:rFonts w:cstheme="minorHAnsi"/>
                <w:b/>
                <w:bCs/>
              </w:rPr>
              <w:t>#</w:t>
            </w:r>
          </w:p>
        </w:tc>
        <w:tc>
          <w:tcPr>
            <w:tcW w:w="4394" w:type="dxa"/>
            <w:shd w:val="clear" w:color="auto" w:fill="D9D9D9" w:themeFill="background1" w:themeFillShade="D9"/>
          </w:tcPr>
          <w:p w14:paraId="57B1E573" w14:textId="51886759" w:rsidR="00367038" w:rsidRPr="00A54361" w:rsidRDefault="00367038" w:rsidP="00A54361">
            <w:pPr>
              <w:jc w:val="both"/>
              <w:rPr>
                <w:rFonts w:cstheme="minorHAnsi"/>
                <w:b/>
                <w:bCs/>
              </w:rPr>
            </w:pPr>
            <w:r w:rsidRPr="00A54361">
              <w:rPr>
                <w:rFonts w:cstheme="minorHAnsi"/>
                <w:b/>
                <w:bCs/>
              </w:rPr>
              <w:t>Particulars</w:t>
            </w:r>
          </w:p>
        </w:tc>
        <w:tc>
          <w:tcPr>
            <w:tcW w:w="3918" w:type="dxa"/>
            <w:shd w:val="clear" w:color="auto" w:fill="D9D9D9" w:themeFill="background1" w:themeFillShade="D9"/>
          </w:tcPr>
          <w:p w14:paraId="5EBC5081" w14:textId="17021635" w:rsidR="00367038" w:rsidRPr="00A54361" w:rsidRDefault="00367038" w:rsidP="00A54361">
            <w:pPr>
              <w:jc w:val="both"/>
              <w:rPr>
                <w:rFonts w:cstheme="minorHAnsi"/>
                <w:b/>
                <w:bCs/>
              </w:rPr>
            </w:pPr>
            <w:r w:rsidRPr="00A54361">
              <w:rPr>
                <w:rFonts w:cstheme="minorHAnsi"/>
                <w:b/>
                <w:bCs/>
              </w:rPr>
              <w:t>Details</w:t>
            </w:r>
          </w:p>
        </w:tc>
      </w:tr>
      <w:tr w:rsidR="000D3DC1" w:rsidRPr="00A54361" w14:paraId="35EA46D2" w14:textId="77777777" w:rsidTr="0078354F">
        <w:tc>
          <w:tcPr>
            <w:tcW w:w="704" w:type="dxa"/>
          </w:tcPr>
          <w:p w14:paraId="59FB3E7F" w14:textId="77777777" w:rsidR="00367038" w:rsidRPr="00A54361" w:rsidRDefault="00367038" w:rsidP="00A54361">
            <w:pPr>
              <w:pStyle w:val="ListParagraph"/>
              <w:numPr>
                <w:ilvl w:val="0"/>
                <w:numId w:val="24"/>
              </w:numPr>
              <w:jc w:val="both"/>
              <w:rPr>
                <w:rFonts w:cstheme="minorHAnsi"/>
              </w:rPr>
            </w:pPr>
          </w:p>
        </w:tc>
        <w:tc>
          <w:tcPr>
            <w:tcW w:w="4394" w:type="dxa"/>
          </w:tcPr>
          <w:p w14:paraId="16996787" w14:textId="09EA326C" w:rsidR="00367038" w:rsidRPr="00A54361" w:rsidRDefault="00367038" w:rsidP="00A54361">
            <w:pPr>
              <w:jc w:val="both"/>
              <w:rPr>
                <w:rFonts w:cstheme="minorHAnsi"/>
              </w:rPr>
            </w:pPr>
            <w:r w:rsidRPr="00A54361">
              <w:rPr>
                <w:rFonts w:cstheme="minorHAnsi"/>
              </w:rPr>
              <w:t>Name of bidder</w:t>
            </w:r>
          </w:p>
        </w:tc>
        <w:tc>
          <w:tcPr>
            <w:tcW w:w="3918" w:type="dxa"/>
          </w:tcPr>
          <w:p w14:paraId="16257445" w14:textId="77777777" w:rsidR="00367038" w:rsidRPr="00A54361" w:rsidRDefault="00367038" w:rsidP="00A54361">
            <w:pPr>
              <w:jc w:val="both"/>
              <w:rPr>
                <w:rFonts w:cstheme="minorHAnsi"/>
              </w:rPr>
            </w:pPr>
          </w:p>
        </w:tc>
      </w:tr>
      <w:tr w:rsidR="000D3DC1" w:rsidRPr="00A54361" w14:paraId="5FB1AE9A" w14:textId="77777777" w:rsidTr="0078354F">
        <w:tc>
          <w:tcPr>
            <w:tcW w:w="704" w:type="dxa"/>
          </w:tcPr>
          <w:p w14:paraId="77ABB243" w14:textId="77777777" w:rsidR="00367038" w:rsidRPr="00A54361" w:rsidRDefault="00367038" w:rsidP="00A54361">
            <w:pPr>
              <w:pStyle w:val="ListParagraph"/>
              <w:numPr>
                <w:ilvl w:val="0"/>
                <w:numId w:val="24"/>
              </w:numPr>
              <w:jc w:val="both"/>
              <w:rPr>
                <w:rFonts w:cstheme="minorHAnsi"/>
              </w:rPr>
            </w:pPr>
          </w:p>
        </w:tc>
        <w:tc>
          <w:tcPr>
            <w:tcW w:w="4394" w:type="dxa"/>
          </w:tcPr>
          <w:p w14:paraId="10E2BB97" w14:textId="2639F22C" w:rsidR="00367038" w:rsidRPr="00A54361" w:rsidRDefault="00367038" w:rsidP="00A54361">
            <w:pPr>
              <w:jc w:val="both"/>
              <w:rPr>
                <w:rFonts w:cstheme="minorHAnsi"/>
              </w:rPr>
            </w:pPr>
            <w:r w:rsidRPr="00A54361">
              <w:rPr>
                <w:rFonts w:cstheme="minorHAnsi"/>
              </w:rPr>
              <w:t>Constitution</w:t>
            </w:r>
          </w:p>
        </w:tc>
        <w:tc>
          <w:tcPr>
            <w:tcW w:w="3918" w:type="dxa"/>
          </w:tcPr>
          <w:p w14:paraId="65433E16" w14:textId="77777777" w:rsidR="00367038" w:rsidRPr="00A54361" w:rsidRDefault="00367038" w:rsidP="00A54361">
            <w:pPr>
              <w:jc w:val="both"/>
              <w:rPr>
                <w:rFonts w:cstheme="minorHAnsi"/>
              </w:rPr>
            </w:pPr>
          </w:p>
        </w:tc>
      </w:tr>
      <w:tr w:rsidR="000D3DC1" w:rsidRPr="00A54361" w14:paraId="0EE36B53" w14:textId="77777777" w:rsidTr="0078354F">
        <w:tc>
          <w:tcPr>
            <w:tcW w:w="704" w:type="dxa"/>
          </w:tcPr>
          <w:p w14:paraId="3E843744" w14:textId="77777777" w:rsidR="00367038" w:rsidRPr="00A54361" w:rsidRDefault="00367038" w:rsidP="00A54361">
            <w:pPr>
              <w:pStyle w:val="ListParagraph"/>
              <w:numPr>
                <w:ilvl w:val="0"/>
                <w:numId w:val="24"/>
              </w:numPr>
              <w:jc w:val="both"/>
              <w:rPr>
                <w:rFonts w:cstheme="minorHAnsi"/>
              </w:rPr>
            </w:pPr>
          </w:p>
        </w:tc>
        <w:tc>
          <w:tcPr>
            <w:tcW w:w="4394" w:type="dxa"/>
          </w:tcPr>
          <w:p w14:paraId="71490610" w14:textId="45FC0A78" w:rsidR="00367038" w:rsidRPr="00A54361" w:rsidRDefault="00367038" w:rsidP="00A54361">
            <w:pPr>
              <w:jc w:val="both"/>
              <w:rPr>
                <w:rFonts w:cstheme="minorHAnsi"/>
              </w:rPr>
            </w:pPr>
            <w:r w:rsidRPr="00A54361">
              <w:rPr>
                <w:rFonts w:cstheme="minorHAnsi"/>
              </w:rPr>
              <w:t>Address</w:t>
            </w:r>
            <w:r w:rsidR="009435B3" w:rsidRPr="00A54361">
              <w:rPr>
                <w:rFonts w:cstheme="minorHAnsi"/>
              </w:rPr>
              <w:t xml:space="preserve"> with Pin code</w:t>
            </w:r>
          </w:p>
        </w:tc>
        <w:tc>
          <w:tcPr>
            <w:tcW w:w="3918" w:type="dxa"/>
          </w:tcPr>
          <w:p w14:paraId="197A9644" w14:textId="77777777" w:rsidR="00367038" w:rsidRPr="00A54361" w:rsidRDefault="00367038" w:rsidP="00A54361">
            <w:pPr>
              <w:jc w:val="both"/>
              <w:rPr>
                <w:rFonts w:cstheme="minorHAnsi"/>
              </w:rPr>
            </w:pPr>
          </w:p>
        </w:tc>
      </w:tr>
      <w:tr w:rsidR="000D3DC1" w:rsidRPr="00A54361" w14:paraId="19DE9B46" w14:textId="77777777" w:rsidTr="0078354F">
        <w:tc>
          <w:tcPr>
            <w:tcW w:w="704" w:type="dxa"/>
          </w:tcPr>
          <w:p w14:paraId="4599009B" w14:textId="77777777" w:rsidR="00367038" w:rsidRPr="00A54361" w:rsidRDefault="00367038" w:rsidP="00A54361">
            <w:pPr>
              <w:pStyle w:val="ListParagraph"/>
              <w:numPr>
                <w:ilvl w:val="0"/>
                <w:numId w:val="24"/>
              </w:numPr>
              <w:jc w:val="both"/>
              <w:rPr>
                <w:rFonts w:cstheme="minorHAnsi"/>
              </w:rPr>
            </w:pPr>
          </w:p>
        </w:tc>
        <w:tc>
          <w:tcPr>
            <w:tcW w:w="4394" w:type="dxa"/>
          </w:tcPr>
          <w:p w14:paraId="19B90FA8" w14:textId="79954E85" w:rsidR="00367038" w:rsidRPr="00A54361" w:rsidRDefault="00367038" w:rsidP="00A54361">
            <w:pPr>
              <w:jc w:val="both"/>
              <w:rPr>
                <w:rFonts w:cstheme="minorHAnsi"/>
              </w:rPr>
            </w:pPr>
            <w:r w:rsidRPr="00A54361">
              <w:rPr>
                <w:rFonts w:cstheme="minorHAnsi"/>
              </w:rPr>
              <w:t>Authorized Person for bid</w:t>
            </w:r>
          </w:p>
        </w:tc>
        <w:tc>
          <w:tcPr>
            <w:tcW w:w="3918" w:type="dxa"/>
          </w:tcPr>
          <w:p w14:paraId="6B9A4F3C" w14:textId="77777777" w:rsidR="00367038" w:rsidRPr="00A54361" w:rsidRDefault="00367038" w:rsidP="00A54361">
            <w:pPr>
              <w:jc w:val="both"/>
              <w:rPr>
                <w:rFonts w:cstheme="minorHAnsi"/>
              </w:rPr>
            </w:pPr>
          </w:p>
        </w:tc>
      </w:tr>
      <w:tr w:rsidR="000D3DC1" w:rsidRPr="00A54361" w14:paraId="797226E3" w14:textId="77777777" w:rsidTr="0078354F">
        <w:tc>
          <w:tcPr>
            <w:tcW w:w="704" w:type="dxa"/>
          </w:tcPr>
          <w:p w14:paraId="0BF78441" w14:textId="77777777" w:rsidR="00367038" w:rsidRPr="00A54361" w:rsidRDefault="00367038" w:rsidP="00A54361">
            <w:pPr>
              <w:pStyle w:val="ListParagraph"/>
              <w:numPr>
                <w:ilvl w:val="0"/>
                <w:numId w:val="24"/>
              </w:numPr>
              <w:jc w:val="both"/>
              <w:rPr>
                <w:rFonts w:cstheme="minorHAnsi"/>
              </w:rPr>
            </w:pPr>
          </w:p>
        </w:tc>
        <w:tc>
          <w:tcPr>
            <w:tcW w:w="4394" w:type="dxa"/>
          </w:tcPr>
          <w:p w14:paraId="31997174" w14:textId="09926B92" w:rsidR="00367038" w:rsidRPr="00A54361" w:rsidRDefault="00367038" w:rsidP="00A54361">
            <w:pPr>
              <w:jc w:val="both"/>
              <w:rPr>
                <w:rFonts w:cstheme="minorHAnsi"/>
              </w:rPr>
            </w:pPr>
            <w:r w:rsidRPr="00A54361">
              <w:rPr>
                <w:rFonts w:cstheme="minorHAnsi"/>
              </w:rPr>
              <w:t xml:space="preserve">Contact </w:t>
            </w:r>
            <w:r w:rsidR="0000341A" w:rsidRPr="00A54361">
              <w:rPr>
                <w:rFonts w:cstheme="minorHAnsi"/>
              </w:rPr>
              <w:t>Details (</w:t>
            </w:r>
            <w:r w:rsidR="009435B3" w:rsidRPr="00A54361">
              <w:rPr>
                <w:rFonts w:cstheme="minorHAnsi"/>
              </w:rPr>
              <w:t>Mail id &amp; Mob No)</w:t>
            </w:r>
          </w:p>
        </w:tc>
        <w:tc>
          <w:tcPr>
            <w:tcW w:w="3918" w:type="dxa"/>
          </w:tcPr>
          <w:p w14:paraId="66A23FB0" w14:textId="77777777" w:rsidR="00367038" w:rsidRPr="00A54361" w:rsidRDefault="00367038" w:rsidP="00A54361">
            <w:pPr>
              <w:jc w:val="both"/>
              <w:rPr>
                <w:rFonts w:cstheme="minorHAnsi"/>
              </w:rPr>
            </w:pPr>
          </w:p>
        </w:tc>
      </w:tr>
      <w:tr w:rsidR="000D3DC1" w:rsidRPr="00A54361" w14:paraId="4189DADE" w14:textId="77777777" w:rsidTr="0078354F">
        <w:tc>
          <w:tcPr>
            <w:tcW w:w="704" w:type="dxa"/>
          </w:tcPr>
          <w:p w14:paraId="2B4ADE82" w14:textId="77777777" w:rsidR="00367038" w:rsidRPr="00A54361" w:rsidRDefault="00367038" w:rsidP="00A54361">
            <w:pPr>
              <w:pStyle w:val="ListParagraph"/>
              <w:numPr>
                <w:ilvl w:val="0"/>
                <w:numId w:val="24"/>
              </w:numPr>
              <w:jc w:val="both"/>
              <w:rPr>
                <w:rFonts w:cstheme="minorHAnsi"/>
              </w:rPr>
            </w:pPr>
          </w:p>
        </w:tc>
        <w:tc>
          <w:tcPr>
            <w:tcW w:w="4394" w:type="dxa"/>
          </w:tcPr>
          <w:p w14:paraId="7246E76E" w14:textId="7C3F719C" w:rsidR="00367038" w:rsidRPr="00A54361" w:rsidRDefault="00367038" w:rsidP="00A54361">
            <w:pPr>
              <w:jc w:val="both"/>
              <w:rPr>
                <w:rFonts w:cstheme="minorHAnsi"/>
              </w:rPr>
            </w:pPr>
            <w:r w:rsidRPr="00A54361">
              <w:rPr>
                <w:rFonts w:cstheme="minorHAnsi"/>
              </w:rPr>
              <w:t>Years of Incorporation</w:t>
            </w:r>
          </w:p>
        </w:tc>
        <w:tc>
          <w:tcPr>
            <w:tcW w:w="3918" w:type="dxa"/>
          </w:tcPr>
          <w:p w14:paraId="25296EBC" w14:textId="77777777" w:rsidR="00367038" w:rsidRPr="00A54361" w:rsidRDefault="00367038" w:rsidP="00A54361">
            <w:pPr>
              <w:jc w:val="both"/>
              <w:rPr>
                <w:rFonts w:cstheme="minorHAnsi"/>
              </w:rPr>
            </w:pPr>
          </w:p>
        </w:tc>
      </w:tr>
      <w:tr w:rsidR="000D3DC1" w:rsidRPr="00A54361" w14:paraId="0557B471" w14:textId="77777777" w:rsidTr="0078354F">
        <w:tc>
          <w:tcPr>
            <w:tcW w:w="704" w:type="dxa"/>
          </w:tcPr>
          <w:p w14:paraId="609E55CE" w14:textId="77777777" w:rsidR="00367038" w:rsidRPr="00A54361" w:rsidRDefault="00367038" w:rsidP="00A54361">
            <w:pPr>
              <w:pStyle w:val="ListParagraph"/>
              <w:numPr>
                <w:ilvl w:val="0"/>
                <w:numId w:val="24"/>
              </w:numPr>
              <w:jc w:val="both"/>
              <w:rPr>
                <w:rFonts w:cstheme="minorHAnsi"/>
              </w:rPr>
            </w:pPr>
          </w:p>
        </w:tc>
        <w:tc>
          <w:tcPr>
            <w:tcW w:w="4394" w:type="dxa"/>
          </w:tcPr>
          <w:p w14:paraId="354EB3E7" w14:textId="475EC7A6" w:rsidR="00367038" w:rsidRPr="00A54361" w:rsidRDefault="00367038" w:rsidP="00A54361">
            <w:pPr>
              <w:jc w:val="both"/>
              <w:rPr>
                <w:rFonts w:cstheme="minorHAnsi"/>
              </w:rPr>
            </w:pPr>
            <w:r w:rsidRPr="00A54361">
              <w:rPr>
                <w:rFonts w:cstheme="minorHAnsi"/>
              </w:rPr>
              <w:t>Number of years of experience in IT hardware items</w:t>
            </w:r>
          </w:p>
        </w:tc>
        <w:tc>
          <w:tcPr>
            <w:tcW w:w="3918" w:type="dxa"/>
          </w:tcPr>
          <w:p w14:paraId="27586642" w14:textId="77777777" w:rsidR="00367038" w:rsidRPr="00A54361" w:rsidRDefault="00367038" w:rsidP="00A54361">
            <w:pPr>
              <w:jc w:val="both"/>
              <w:rPr>
                <w:rFonts w:cstheme="minorHAnsi"/>
              </w:rPr>
            </w:pPr>
          </w:p>
        </w:tc>
      </w:tr>
      <w:tr w:rsidR="000D3DC1" w:rsidRPr="00A54361" w14:paraId="7E966853" w14:textId="77777777" w:rsidTr="0078354F">
        <w:tc>
          <w:tcPr>
            <w:tcW w:w="704" w:type="dxa"/>
          </w:tcPr>
          <w:p w14:paraId="40D47D34" w14:textId="77777777" w:rsidR="00367038" w:rsidRPr="00A54361" w:rsidRDefault="00367038" w:rsidP="00A54361">
            <w:pPr>
              <w:pStyle w:val="ListParagraph"/>
              <w:numPr>
                <w:ilvl w:val="0"/>
                <w:numId w:val="24"/>
              </w:numPr>
              <w:jc w:val="both"/>
              <w:rPr>
                <w:rFonts w:cstheme="minorHAnsi"/>
              </w:rPr>
            </w:pPr>
          </w:p>
        </w:tc>
        <w:tc>
          <w:tcPr>
            <w:tcW w:w="4394" w:type="dxa"/>
          </w:tcPr>
          <w:p w14:paraId="691828D8" w14:textId="0B220B30" w:rsidR="00426961" w:rsidRPr="00A54361" w:rsidRDefault="006A4C25" w:rsidP="00A54361">
            <w:pPr>
              <w:jc w:val="both"/>
              <w:rPr>
                <w:rFonts w:cstheme="minorHAnsi"/>
              </w:rPr>
            </w:pPr>
            <w:r w:rsidRPr="00A54361">
              <w:rPr>
                <w:rFonts w:cstheme="minorHAnsi"/>
              </w:rPr>
              <w:t xml:space="preserve">Annual </w:t>
            </w:r>
            <w:r w:rsidR="00426961" w:rsidRPr="00A54361">
              <w:rPr>
                <w:rFonts w:cstheme="minorHAnsi"/>
              </w:rPr>
              <w:t xml:space="preserve">Turnover (In Rs.) </w:t>
            </w:r>
          </w:p>
          <w:p w14:paraId="4D5A041B" w14:textId="652AC44A" w:rsidR="00367038" w:rsidRPr="00A54361" w:rsidRDefault="00C455F3" w:rsidP="00A54361">
            <w:pPr>
              <w:jc w:val="both"/>
              <w:rPr>
                <w:rFonts w:eastAsia="Times New Roman" w:cstheme="minorHAnsi"/>
                <w:lang w:val="en-US"/>
              </w:rPr>
            </w:pPr>
            <w:r w:rsidRPr="00A54361">
              <w:rPr>
                <w:rFonts w:eastAsia="Times New Roman" w:cstheme="minorHAnsi"/>
                <w:lang w:val="en-US"/>
              </w:rPr>
              <w:t>202</w:t>
            </w:r>
            <w:r w:rsidR="006A4C25" w:rsidRPr="00A54361">
              <w:rPr>
                <w:rFonts w:eastAsia="Times New Roman" w:cstheme="minorHAnsi"/>
                <w:lang w:val="en-US"/>
              </w:rPr>
              <w:t>1</w:t>
            </w:r>
            <w:r w:rsidRPr="00A54361">
              <w:rPr>
                <w:rFonts w:eastAsia="Times New Roman" w:cstheme="minorHAnsi"/>
                <w:spacing w:val="-4"/>
                <w:lang w:val="en-US"/>
              </w:rPr>
              <w:t>-</w:t>
            </w:r>
            <w:r w:rsidRPr="00A54361">
              <w:rPr>
                <w:rFonts w:eastAsia="Times New Roman" w:cstheme="minorHAnsi"/>
                <w:lang w:val="en-US"/>
              </w:rPr>
              <w:t>2</w:t>
            </w:r>
            <w:r w:rsidR="006A4C25" w:rsidRPr="00A54361">
              <w:rPr>
                <w:rFonts w:eastAsia="Times New Roman" w:cstheme="minorHAnsi"/>
                <w:lang w:val="en-US"/>
              </w:rPr>
              <w:t>2</w:t>
            </w:r>
            <w:r w:rsidR="005F0C4C" w:rsidRPr="00A54361">
              <w:rPr>
                <w:rFonts w:eastAsia="Times New Roman" w:cstheme="minorHAnsi"/>
                <w:lang w:val="en-US"/>
              </w:rPr>
              <w:t xml:space="preserve"> </w:t>
            </w:r>
            <w:r w:rsidR="005E6186" w:rsidRPr="00A54361">
              <w:rPr>
                <w:rFonts w:eastAsia="Times New Roman" w:cstheme="minorHAnsi"/>
                <w:lang w:val="en-US"/>
              </w:rPr>
              <w:t>–</w:t>
            </w:r>
          </w:p>
          <w:p w14:paraId="4F232036" w14:textId="7F5ABFAC" w:rsidR="002D4F7B" w:rsidRPr="00A54361" w:rsidRDefault="002D4F7B" w:rsidP="00A54361">
            <w:pPr>
              <w:jc w:val="both"/>
              <w:rPr>
                <w:rFonts w:eastAsia="Times New Roman" w:cstheme="minorHAnsi"/>
                <w:lang w:val="en-US"/>
              </w:rPr>
            </w:pPr>
            <w:r w:rsidRPr="00A54361">
              <w:rPr>
                <w:rFonts w:eastAsia="Times New Roman" w:cstheme="minorHAnsi"/>
                <w:lang w:val="en-US"/>
              </w:rPr>
              <w:t>202</w:t>
            </w:r>
            <w:r w:rsidR="006A4C25" w:rsidRPr="00A54361">
              <w:rPr>
                <w:rFonts w:eastAsia="Times New Roman" w:cstheme="minorHAnsi"/>
                <w:lang w:val="en-US"/>
              </w:rPr>
              <w:t>2</w:t>
            </w:r>
            <w:r w:rsidRPr="00A54361">
              <w:rPr>
                <w:rFonts w:eastAsia="Times New Roman" w:cstheme="minorHAnsi"/>
                <w:lang w:val="en-US"/>
              </w:rPr>
              <w:t>-2</w:t>
            </w:r>
            <w:r w:rsidR="006A4C25" w:rsidRPr="00A54361">
              <w:rPr>
                <w:rFonts w:eastAsia="Times New Roman" w:cstheme="minorHAnsi"/>
                <w:lang w:val="en-US"/>
              </w:rPr>
              <w:t>3</w:t>
            </w:r>
            <w:r w:rsidR="005F0C4C" w:rsidRPr="00A54361">
              <w:rPr>
                <w:rFonts w:eastAsia="Times New Roman" w:cstheme="minorHAnsi"/>
                <w:lang w:val="en-US"/>
              </w:rPr>
              <w:t xml:space="preserve"> </w:t>
            </w:r>
            <w:r w:rsidR="005E6186" w:rsidRPr="00A54361">
              <w:rPr>
                <w:rFonts w:eastAsia="Times New Roman" w:cstheme="minorHAnsi"/>
                <w:lang w:val="en-US"/>
              </w:rPr>
              <w:t>–</w:t>
            </w:r>
          </w:p>
          <w:p w14:paraId="32D41586" w14:textId="00C7699B" w:rsidR="005E6186" w:rsidRPr="00A54361" w:rsidRDefault="005E6186" w:rsidP="00A54361">
            <w:pPr>
              <w:jc w:val="both"/>
              <w:rPr>
                <w:rFonts w:cstheme="minorHAnsi"/>
              </w:rPr>
            </w:pPr>
            <w:r w:rsidRPr="00A54361">
              <w:rPr>
                <w:rFonts w:eastAsia="Times New Roman" w:cstheme="minorHAnsi"/>
                <w:lang w:val="en-US"/>
              </w:rPr>
              <w:t>2023-24 –</w:t>
            </w:r>
          </w:p>
        </w:tc>
        <w:tc>
          <w:tcPr>
            <w:tcW w:w="3918" w:type="dxa"/>
          </w:tcPr>
          <w:p w14:paraId="0D4A8329" w14:textId="77777777" w:rsidR="00367038" w:rsidRPr="00A54361" w:rsidRDefault="00367038" w:rsidP="00A54361">
            <w:pPr>
              <w:jc w:val="both"/>
              <w:rPr>
                <w:rFonts w:cstheme="minorHAnsi"/>
              </w:rPr>
            </w:pPr>
          </w:p>
        </w:tc>
      </w:tr>
      <w:tr w:rsidR="000D3DC1" w:rsidRPr="00A54361" w14:paraId="0604F9CD" w14:textId="77777777" w:rsidTr="0078354F">
        <w:tc>
          <w:tcPr>
            <w:tcW w:w="704" w:type="dxa"/>
          </w:tcPr>
          <w:p w14:paraId="14483F72" w14:textId="77777777" w:rsidR="00367038" w:rsidRPr="00A54361" w:rsidRDefault="00367038" w:rsidP="00A54361">
            <w:pPr>
              <w:pStyle w:val="ListParagraph"/>
              <w:numPr>
                <w:ilvl w:val="0"/>
                <w:numId w:val="24"/>
              </w:numPr>
              <w:jc w:val="both"/>
              <w:rPr>
                <w:rFonts w:cstheme="minorHAnsi"/>
              </w:rPr>
            </w:pPr>
          </w:p>
        </w:tc>
        <w:tc>
          <w:tcPr>
            <w:tcW w:w="4394" w:type="dxa"/>
          </w:tcPr>
          <w:p w14:paraId="4F3B12EC" w14:textId="584097A9" w:rsidR="00426961" w:rsidRPr="00A54361" w:rsidRDefault="006A4C25" w:rsidP="00A54361">
            <w:pPr>
              <w:jc w:val="both"/>
              <w:rPr>
                <w:rFonts w:cstheme="minorHAnsi"/>
              </w:rPr>
            </w:pPr>
            <w:r w:rsidRPr="00A54361">
              <w:rPr>
                <w:rFonts w:cstheme="minorHAnsi"/>
              </w:rPr>
              <w:t xml:space="preserve">Operating </w:t>
            </w:r>
            <w:r w:rsidR="00426961" w:rsidRPr="00A54361">
              <w:rPr>
                <w:rFonts w:cstheme="minorHAnsi"/>
              </w:rPr>
              <w:t xml:space="preserve">Profits (In Rs.) </w:t>
            </w:r>
          </w:p>
          <w:p w14:paraId="3BBC2CCD" w14:textId="77777777" w:rsidR="005E6186" w:rsidRPr="00A54361" w:rsidRDefault="005E6186" w:rsidP="00A54361">
            <w:pPr>
              <w:jc w:val="both"/>
              <w:rPr>
                <w:rFonts w:eastAsia="Times New Roman" w:cstheme="minorHAnsi"/>
                <w:lang w:val="en-US"/>
              </w:rPr>
            </w:pPr>
            <w:r w:rsidRPr="00A54361">
              <w:rPr>
                <w:rFonts w:eastAsia="Times New Roman" w:cstheme="minorHAnsi"/>
                <w:lang w:val="en-US"/>
              </w:rPr>
              <w:t>2021</w:t>
            </w:r>
            <w:r w:rsidRPr="00A54361">
              <w:rPr>
                <w:rFonts w:eastAsia="Times New Roman" w:cstheme="minorHAnsi"/>
                <w:spacing w:val="-4"/>
                <w:lang w:val="en-US"/>
              </w:rPr>
              <w:t>-</w:t>
            </w:r>
            <w:r w:rsidRPr="00A54361">
              <w:rPr>
                <w:rFonts w:eastAsia="Times New Roman" w:cstheme="minorHAnsi"/>
                <w:lang w:val="en-US"/>
              </w:rPr>
              <w:t>22 –</w:t>
            </w:r>
          </w:p>
          <w:p w14:paraId="3D0F779C" w14:textId="77777777" w:rsidR="005E6186" w:rsidRPr="00A54361" w:rsidRDefault="005E6186" w:rsidP="00A54361">
            <w:pPr>
              <w:jc w:val="both"/>
              <w:rPr>
                <w:rFonts w:eastAsia="Times New Roman" w:cstheme="minorHAnsi"/>
                <w:lang w:val="en-US"/>
              </w:rPr>
            </w:pPr>
            <w:r w:rsidRPr="00A54361">
              <w:rPr>
                <w:rFonts w:eastAsia="Times New Roman" w:cstheme="minorHAnsi"/>
                <w:lang w:val="en-US"/>
              </w:rPr>
              <w:t>2022-23 –</w:t>
            </w:r>
          </w:p>
          <w:p w14:paraId="32B6ACA4" w14:textId="156C6BEC" w:rsidR="002D4F7B" w:rsidRPr="00A54361" w:rsidRDefault="005E6186" w:rsidP="00A54361">
            <w:pPr>
              <w:jc w:val="both"/>
              <w:rPr>
                <w:rFonts w:cstheme="minorHAnsi"/>
              </w:rPr>
            </w:pPr>
            <w:r w:rsidRPr="00A54361">
              <w:rPr>
                <w:rFonts w:eastAsia="Times New Roman" w:cstheme="minorHAnsi"/>
                <w:lang w:val="en-US"/>
              </w:rPr>
              <w:t>2023-24 –</w:t>
            </w:r>
          </w:p>
        </w:tc>
        <w:tc>
          <w:tcPr>
            <w:tcW w:w="3918" w:type="dxa"/>
          </w:tcPr>
          <w:p w14:paraId="2509DA35" w14:textId="77777777" w:rsidR="00367038" w:rsidRPr="00A54361" w:rsidRDefault="00367038" w:rsidP="00A54361">
            <w:pPr>
              <w:jc w:val="both"/>
              <w:rPr>
                <w:rFonts w:cstheme="minorHAnsi"/>
              </w:rPr>
            </w:pPr>
          </w:p>
        </w:tc>
      </w:tr>
      <w:tr w:rsidR="000D3DC1" w:rsidRPr="00A54361" w14:paraId="1FB9365E" w14:textId="77777777" w:rsidTr="0078354F">
        <w:tc>
          <w:tcPr>
            <w:tcW w:w="704" w:type="dxa"/>
          </w:tcPr>
          <w:p w14:paraId="49800967" w14:textId="77777777" w:rsidR="006A4C25" w:rsidRPr="00A54361" w:rsidRDefault="006A4C25" w:rsidP="00A54361">
            <w:pPr>
              <w:pStyle w:val="ListParagraph"/>
              <w:numPr>
                <w:ilvl w:val="0"/>
                <w:numId w:val="24"/>
              </w:numPr>
              <w:jc w:val="both"/>
              <w:rPr>
                <w:rFonts w:cstheme="minorHAnsi"/>
              </w:rPr>
            </w:pPr>
          </w:p>
        </w:tc>
        <w:tc>
          <w:tcPr>
            <w:tcW w:w="4394" w:type="dxa"/>
          </w:tcPr>
          <w:p w14:paraId="3CEA5FBA" w14:textId="531E4735" w:rsidR="005F0C4C" w:rsidRPr="00A54361" w:rsidRDefault="005F0C4C" w:rsidP="00A54361">
            <w:pPr>
              <w:jc w:val="both"/>
              <w:rPr>
                <w:rFonts w:cstheme="minorHAnsi"/>
              </w:rPr>
            </w:pPr>
            <w:r w:rsidRPr="00A54361">
              <w:rPr>
                <w:rFonts w:cstheme="minorHAnsi"/>
              </w:rPr>
              <w:t xml:space="preserve">Net Worth (In Rs.) </w:t>
            </w:r>
          </w:p>
          <w:p w14:paraId="2241DA09" w14:textId="77777777" w:rsidR="005E6186" w:rsidRPr="00A54361" w:rsidRDefault="005E6186" w:rsidP="00A54361">
            <w:pPr>
              <w:jc w:val="both"/>
              <w:rPr>
                <w:rFonts w:eastAsia="Times New Roman" w:cstheme="minorHAnsi"/>
                <w:lang w:val="en-US"/>
              </w:rPr>
            </w:pPr>
            <w:r w:rsidRPr="00A54361">
              <w:rPr>
                <w:rFonts w:eastAsia="Times New Roman" w:cstheme="minorHAnsi"/>
                <w:lang w:val="en-US"/>
              </w:rPr>
              <w:t>2021</w:t>
            </w:r>
            <w:r w:rsidRPr="00A54361">
              <w:rPr>
                <w:rFonts w:eastAsia="Times New Roman" w:cstheme="minorHAnsi"/>
                <w:spacing w:val="-4"/>
                <w:lang w:val="en-US"/>
              </w:rPr>
              <w:t>-</w:t>
            </w:r>
            <w:r w:rsidRPr="00A54361">
              <w:rPr>
                <w:rFonts w:eastAsia="Times New Roman" w:cstheme="minorHAnsi"/>
                <w:lang w:val="en-US"/>
              </w:rPr>
              <w:t>22 –</w:t>
            </w:r>
          </w:p>
          <w:p w14:paraId="53565E10" w14:textId="45DD6BFD" w:rsidR="005E6186" w:rsidRPr="00A54361" w:rsidRDefault="001D6903" w:rsidP="00A54361">
            <w:pPr>
              <w:jc w:val="both"/>
              <w:rPr>
                <w:rFonts w:eastAsia="Times New Roman" w:cstheme="minorHAnsi"/>
                <w:lang w:val="en-US"/>
              </w:rPr>
            </w:pPr>
            <w:r w:rsidRPr="00A54361">
              <w:rPr>
                <w:rFonts w:eastAsia="Times New Roman" w:cstheme="minorHAnsi"/>
                <w:lang w:val="en-US"/>
              </w:rPr>
              <w:t>2022</w:t>
            </w:r>
            <w:r w:rsidR="005E6186" w:rsidRPr="00A54361">
              <w:rPr>
                <w:rFonts w:eastAsia="Times New Roman" w:cstheme="minorHAnsi"/>
                <w:lang w:val="en-US"/>
              </w:rPr>
              <w:t>-23 –</w:t>
            </w:r>
          </w:p>
          <w:p w14:paraId="4FF58E7B" w14:textId="33638100" w:rsidR="006A4C25" w:rsidRPr="00A54361" w:rsidRDefault="005E6186" w:rsidP="00A54361">
            <w:pPr>
              <w:jc w:val="both"/>
              <w:rPr>
                <w:rFonts w:cstheme="minorHAnsi"/>
              </w:rPr>
            </w:pPr>
            <w:r w:rsidRPr="00A54361">
              <w:rPr>
                <w:rFonts w:eastAsia="Times New Roman" w:cstheme="minorHAnsi"/>
                <w:lang w:val="en-US"/>
              </w:rPr>
              <w:t>2023-24 –</w:t>
            </w:r>
          </w:p>
        </w:tc>
        <w:tc>
          <w:tcPr>
            <w:tcW w:w="3918" w:type="dxa"/>
          </w:tcPr>
          <w:p w14:paraId="1A67EB43" w14:textId="77777777" w:rsidR="006A4C25" w:rsidRPr="00A54361" w:rsidRDefault="006A4C25" w:rsidP="00A54361">
            <w:pPr>
              <w:jc w:val="both"/>
              <w:rPr>
                <w:rFonts w:cstheme="minorHAnsi"/>
              </w:rPr>
            </w:pPr>
          </w:p>
        </w:tc>
      </w:tr>
      <w:tr w:rsidR="000D3DC1" w:rsidRPr="00A54361" w14:paraId="5FC19FC2" w14:textId="77777777" w:rsidTr="0078354F">
        <w:tc>
          <w:tcPr>
            <w:tcW w:w="704" w:type="dxa"/>
          </w:tcPr>
          <w:p w14:paraId="5796930E" w14:textId="32A0E6EE" w:rsidR="00367038" w:rsidRPr="00A54361" w:rsidRDefault="00367038" w:rsidP="00A54361">
            <w:pPr>
              <w:pStyle w:val="ListParagraph"/>
              <w:numPr>
                <w:ilvl w:val="0"/>
                <w:numId w:val="24"/>
              </w:numPr>
              <w:jc w:val="both"/>
              <w:rPr>
                <w:rFonts w:cstheme="minorHAnsi"/>
              </w:rPr>
            </w:pPr>
          </w:p>
        </w:tc>
        <w:tc>
          <w:tcPr>
            <w:tcW w:w="4394" w:type="dxa"/>
          </w:tcPr>
          <w:p w14:paraId="46946457" w14:textId="28F6E3BF" w:rsidR="00367038" w:rsidRPr="00A54361" w:rsidRDefault="00426961" w:rsidP="00A54361">
            <w:pPr>
              <w:jc w:val="both"/>
              <w:rPr>
                <w:rFonts w:cstheme="minorHAnsi"/>
              </w:rPr>
            </w:pPr>
            <w:r w:rsidRPr="00A54361">
              <w:rPr>
                <w:rFonts w:cstheme="minorHAnsi"/>
              </w:rPr>
              <w:t>Whether OEM or authorized distributor</w:t>
            </w:r>
          </w:p>
        </w:tc>
        <w:tc>
          <w:tcPr>
            <w:tcW w:w="3918" w:type="dxa"/>
          </w:tcPr>
          <w:p w14:paraId="45DA38CB" w14:textId="77777777" w:rsidR="00367038" w:rsidRPr="00A54361" w:rsidRDefault="00367038" w:rsidP="00A54361">
            <w:pPr>
              <w:jc w:val="both"/>
              <w:rPr>
                <w:rFonts w:cstheme="minorHAnsi"/>
              </w:rPr>
            </w:pPr>
          </w:p>
        </w:tc>
      </w:tr>
      <w:tr w:rsidR="000D3DC1" w:rsidRPr="00A54361" w14:paraId="498662B0" w14:textId="77777777" w:rsidTr="0078354F">
        <w:tc>
          <w:tcPr>
            <w:tcW w:w="704" w:type="dxa"/>
          </w:tcPr>
          <w:p w14:paraId="01C5B5F0" w14:textId="77777777" w:rsidR="00367038" w:rsidRPr="00A54361" w:rsidRDefault="00367038" w:rsidP="00A54361">
            <w:pPr>
              <w:pStyle w:val="ListParagraph"/>
              <w:numPr>
                <w:ilvl w:val="0"/>
                <w:numId w:val="24"/>
              </w:numPr>
              <w:jc w:val="both"/>
              <w:rPr>
                <w:rFonts w:cstheme="minorHAnsi"/>
              </w:rPr>
            </w:pPr>
          </w:p>
        </w:tc>
        <w:tc>
          <w:tcPr>
            <w:tcW w:w="4394" w:type="dxa"/>
          </w:tcPr>
          <w:p w14:paraId="18E17508" w14:textId="51FD0C0D" w:rsidR="00367038" w:rsidRPr="00A54361" w:rsidRDefault="00426961" w:rsidP="00A54361">
            <w:pPr>
              <w:jc w:val="both"/>
              <w:rPr>
                <w:rFonts w:cstheme="minorHAnsi"/>
              </w:rPr>
            </w:pPr>
            <w:r w:rsidRPr="00A54361">
              <w:rPr>
                <w:rFonts w:cstheme="minorHAnsi"/>
              </w:rPr>
              <w:t>Number of service outlets across India</w:t>
            </w:r>
          </w:p>
        </w:tc>
        <w:tc>
          <w:tcPr>
            <w:tcW w:w="3918" w:type="dxa"/>
          </w:tcPr>
          <w:p w14:paraId="1C537A45" w14:textId="77777777" w:rsidR="00367038" w:rsidRPr="00A54361" w:rsidRDefault="00367038" w:rsidP="00A54361">
            <w:pPr>
              <w:jc w:val="both"/>
              <w:rPr>
                <w:rFonts w:cstheme="minorHAnsi"/>
              </w:rPr>
            </w:pPr>
          </w:p>
        </w:tc>
      </w:tr>
      <w:tr w:rsidR="000D3DC1" w:rsidRPr="00A54361" w14:paraId="6C0A0D93" w14:textId="77777777" w:rsidTr="0078354F">
        <w:tc>
          <w:tcPr>
            <w:tcW w:w="704" w:type="dxa"/>
          </w:tcPr>
          <w:p w14:paraId="34A6C570" w14:textId="77777777" w:rsidR="00367038" w:rsidRPr="00A54361" w:rsidRDefault="00367038" w:rsidP="00A54361">
            <w:pPr>
              <w:pStyle w:val="ListParagraph"/>
              <w:numPr>
                <w:ilvl w:val="0"/>
                <w:numId w:val="24"/>
              </w:numPr>
              <w:jc w:val="both"/>
              <w:rPr>
                <w:rFonts w:cstheme="minorHAnsi"/>
              </w:rPr>
            </w:pPr>
          </w:p>
        </w:tc>
        <w:tc>
          <w:tcPr>
            <w:tcW w:w="4394" w:type="dxa"/>
          </w:tcPr>
          <w:p w14:paraId="7CF12403" w14:textId="40652224" w:rsidR="00367038" w:rsidRPr="00A54361" w:rsidRDefault="00426961" w:rsidP="00A54361">
            <w:pPr>
              <w:jc w:val="both"/>
              <w:rPr>
                <w:rFonts w:cstheme="minorHAnsi"/>
              </w:rPr>
            </w:pPr>
            <w:r w:rsidRPr="00A54361">
              <w:rPr>
                <w:rFonts w:cstheme="minorHAnsi"/>
              </w:rPr>
              <w:t>Good and Service Tax Number</w:t>
            </w:r>
          </w:p>
        </w:tc>
        <w:tc>
          <w:tcPr>
            <w:tcW w:w="3918" w:type="dxa"/>
          </w:tcPr>
          <w:p w14:paraId="49FF8E7C" w14:textId="77777777" w:rsidR="00367038" w:rsidRPr="00A54361" w:rsidRDefault="00367038" w:rsidP="00A54361">
            <w:pPr>
              <w:jc w:val="both"/>
              <w:rPr>
                <w:rFonts w:cstheme="minorHAnsi"/>
              </w:rPr>
            </w:pPr>
          </w:p>
        </w:tc>
      </w:tr>
      <w:tr w:rsidR="000D3DC1" w:rsidRPr="00A54361" w14:paraId="1CF1EBD0" w14:textId="77777777" w:rsidTr="0078354F">
        <w:tc>
          <w:tcPr>
            <w:tcW w:w="704" w:type="dxa"/>
          </w:tcPr>
          <w:p w14:paraId="0FC80B9C" w14:textId="77777777" w:rsidR="00367038" w:rsidRPr="00A54361" w:rsidRDefault="00367038" w:rsidP="00A54361">
            <w:pPr>
              <w:pStyle w:val="ListParagraph"/>
              <w:numPr>
                <w:ilvl w:val="0"/>
                <w:numId w:val="24"/>
              </w:numPr>
              <w:jc w:val="both"/>
              <w:rPr>
                <w:rFonts w:cstheme="minorHAnsi"/>
              </w:rPr>
            </w:pPr>
          </w:p>
        </w:tc>
        <w:tc>
          <w:tcPr>
            <w:tcW w:w="4394" w:type="dxa"/>
          </w:tcPr>
          <w:p w14:paraId="087220CA" w14:textId="23BAACC1" w:rsidR="00367038" w:rsidRPr="00A54361" w:rsidRDefault="00426961" w:rsidP="00A54361">
            <w:pPr>
              <w:jc w:val="both"/>
              <w:rPr>
                <w:rFonts w:cstheme="minorHAnsi"/>
              </w:rPr>
            </w:pPr>
            <w:r w:rsidRPr="00A54361">
              <w:rPr>
                <w:rFonts w:cstheme="minorHAnsi"/>
              </w:rPr>
              <w:t>Income Tax Number</w:t>
            </w:r>
          </w:p>
        </w:tc>
        <w:tc>
          <w:tcPr>
            <w:tcW w:w="3918" w:type="dxa"/>
          </w:tcPr>
          <w:p w14:paraId="1D6092F1" w14:textId="77777777" w:rsidR="00367038" w:rsidRPr="00A54361" w:rsidRDefault="00367038" w:rsidP="00A54361">
            <w:pPr>
              <w:jc w:val="both"/>
              <w:rPr>
                <w:rFonts w:cstheme="minorHAnsi"/>
              </w:rPr>
            </w:pPr>
          </w:p>
        </w:tc>
      </w:tr>
      <w:tr w:rsidR="000D3DC1" w:rsidRPr="00A54361" w14:paraId="2C959CC2" w14:textId="77777777" w:rsidTr="0078354F">
        <w:tc>
          <w:tcPr>
            <w:tcW w:w="704" w:type="dxa"/>
          </w:tcPr>
          <w:p w14:paraId="6A046311" w14:textId="77777777" w:rsidR="00367038" w:rsidRPr="00A54361" w:rsidRDefault="00367038" w:rsidP="00A54361">
            <w:pPr>
              <w:pStyle w:val="ListParagraph"/>
              <w:numPr>
                <w:ilvl w:val="0"/>
                <w:numId w:val="24"/>
              </w:numPr>
              <w:jc w:val="both"/>
              <w:rPr>
                <w:rFonts w:cstheme="minorHAnsi"/>
              </w:rPr>
            </w:pPr>
          </w:p>
        </w:tc>
        <w:tc>
          <w:tcPr>
            <w:tcW w:w="4394" w:type="dxa"/>
          </w:tcPr>
          <w:p w14:paraId="45596987" w14:textId="712B1976" w:rsidR="00367038" w:rsidRPr="00A54361" w:rsidRDefault="00426961" w:rsidP="00A54361">
            <w:pPr>
              <w:jc w:val="both"/>
              <w:rPr>
                <w:rFonts w:cstheme="minorHAnsi"/>
              </w:rPr>
            </w:pPr>
            <w:r w:rsidRPr="00A54361">
              <w:rPr>
                <w:rFonts w:cstheme="minorHAnsi"/>
              </w:rPr>
              <w:t>Whether direct manufacturer or authorized dealers</w:t>
            </w:r>
          </w:p>
        </w:tc>
        <w:tc>
          <w:tcPr>
            <w:tcW w:w="3918" w:type="dxa"/>
          </w:tcPr>
          <w:p w14:paraId="12323E88" w14:textId="77777777" w:rsidR="00367038" w:rsidRPr="00A54361" w:rsidRDefault="00367038" w:rsidP="00A54361">
            <w:pPr>
              <w:jc w:val="both"/>
              <w:rPr>
                <w:rFonts w:cstheme="minorHAnsi"/>
              </w:rPr>
            </w:pPr>
          </w:p>
        </w:tc>
      </w:tr>
      <w:tr w:rsidR="000D3DC1" w:rsidRPr="00A54361" w14:paraId="6C7EA453" w14:textId="77777777" w:rsidTr="0078354F">
        <w:tc>
          <w:tcPr>
            <w:tcW w:w="704" w:type="dxa"/>
          </w:tcPr>
          <w:p w14:paraId="22453BC7" w14:textId="77777777" w:rsidR="00426961" w:rsidRPr="00A54361" w:rsidRDefault="00426961" w:rsidP="00A54361">
            <w:pPr>
              <w:pStyle w:val="ListParagraph"/>
              <w:numPr>
                <w:ilvl w:val="0"/>
                <w:numId w:val="24"/>
              </w:numPr>
              <w:jc w:val="both"/>
              <w:rPr>
                <w:rFonts w:cstheme="minorHAnsi"/>
              </w:rPr>
            </w:pPr>
          </w:p>
        </w:tc>
        <w:tc>
          <w:tcPr>
            <w:tcW w:w="4394" w:type="dxa"/>
          </w:tcPr>
          <w:p w14:paraId="55130C38" w14:textId="02CC7CED" w:rsidR="00426961" w:rsidRPr="00A54361" w:rsidRDefault="00426961" w:rsidP="00A54361">
            <w:pPr>
              <w:jc w:val="both"/>
              <w:rPr>
                <w:rFonts w:cstheme="minorHAnsi"/>
              </w:rPr>
            </w:pPr>
            <w:r w:rsidRPr="00A54361">
              <w:rPr>
                <w:rFonts w:cstheme="minorHAnsi"/>
              </w:rPr>
              <w:t>Name and Address of OEM</w:t>
            </w:r>
            <w:r w:rsidR="00D72DB5" w:rsidRPr="00A54361">
              <w:rPr>
                <w:rFonts w:cstheme="minorHAnsi"/>
              </w:rPr>
              <w:t>s</w:t>
            </w:r>
          </w:p>
        </w:tc>
        <w:tc>
          <w:tcPr>
            <w:tcW w:w="3918" w:type="dxa"/>
          </w:tcPr>
          <w:p w14:paraId="56C8B2C2" w14:textId="77777777" w:rsidR="00426961" w:rsidRPr="00A54361" w:rsidRDefault="00426961" w:rsidP="00A54361">
            <w:pPr>
              <w:jc w:val="both"/>
              <w:rPr>
                <w:rFonts w:cstheme="minorHAnsi"/>
              </w:rPr>
            </w:pPr>
          </w:p>
        </w:tc>
      </w:tr>
      <w:tr w:rsidR="000D3DC1" w:rsidRPr="00A54361" w14:paraId="7D585E56" w14:textId="77777777" w:rsidTr="0078354F">
        <w:tc>
          <w:tcPr>
            <w:tcW w:w="704" w:type="dxa"/>
          </w:tcPr>
          <w:p w14:paraId="728B59B8" w14:textId="77777777" w:rsidR="00426961" w:rsidRPr="00A54361" w:rsidRDefault="00426961" w:rsidP="00A54361">
            <w:pPr>
              <w:pStyle w:val="ListParagraph"/>
              <w:numPr>
                <w:ilvl w:val="0"/>
                <w:numId w:val="24"/>
              </w:numPr>
              <w:jc w:val="both"/>
              <w:rPr>
                <w:rFonts w:cstheme="minorHAnsi"/>
              </w:rPr>
            </w:pPr>
          </w:p>
        </w:tc>
        <w:tc>
          <w:tcPr>
            <w:tcW w:w="4394" w:type="dxa"/>
          </w:tcPr>
          <w:p w14:paraId="66FDC9C6" w14:textId="21CBA56D" w:rsidR="00426961" w:rsidRPr="00A54361" w:rsidRDefault="00426961" w:rsidP="00A54361">
            <w:pPr>
              <w:jc w:val="both"/>
              <w:rPr>
                <w:rFonts w:cstheme="minorHAnsi"/>
              </w:rPr>
            </w:pPr>
            <w:r w:rsidRPr="00A54361">
              <w:rPr>
                <w:rFonts w:cstheme="minorHAnsi"/>
              </w:rPr>
              <w:t>Brief Description of after sales service facilities available with the bidder.</w:t>
            </w:r>
          </w:p>
        </w:tc>
        <w:tc>
          <w:tcPr>
            <w:tcW w:w="3918" w:type="dxa"/>
          </w:tcPr>
          <w:p w14:paraId="31329A5B" w14:textId="77777777" w:rsidR="00426961" w:rsidRPr="00A54361" w:rsidRDefault="00426961" w:rsidP="00A54361">
            <w:pPr>
              <w:jc w:val="both"/>
              <w:rPr>
                <w:rFonts w:cstheme="minorHAnsi"/>
              </w:rPr>
            </w:pPr>
          </w:p>
        </w:tc>
      </w:tr>
      <w:tr w:rsidR="000D3DC1" w:rsidRPr="00A54361" w14:paraId="31483B2D" w14:textId="77777777" w:rsidTr="0078354F">
        <w:tc>
          <w:tcPr>
            <w:tcW w:w="704" w:type="dxa"/>
          </w:tcPr>
          <w:p w14:paraId="1F51DFD1" w14:textId="77777777" w:rsidR="00426961" w:rsidRPr="00A54361" w:rsidRDefault="00426961" w:rsidP="00A54361">
            <w:pPr>
              <w:pStyle w:val="ListParagraph"/>
              <w:numPr>
                <w:ilvl w:val="0"/>
                <w:numId w:val="24"/>
              </w:numPr>
              <w:jc w:val="both"/>
              <w:rPr>
                <w:rFonts w:cstheme="minorHAnsi"/>
              </w:rPr>
            </w:pPr>
          </w:p>
        </w:tc>
        <w:tc>
          <w:tcPr>
            <w:tcW w:w="4394" w:type="dxa"/>
          </w:tcPr>
          <w:p w14:paraId="230415D1" w14:textId="39014521" w:rsidR="00426961" w:rsidRPr="00A54361" w:rsidRDefault="00426961" w:rsidP="00A54361">
            <w:pPr>
              <w:jc w:val="both"/>
              <w:rPr>
                <w:rFonts w:cstheme="minorHAnsi"/>
              </w:rPr>
            </w:pPr>
            <w:r w:rsidRPr="00A54361">
              <w:rPr>
                <w:rFonts w:cstheme="minorHAnsi"/>
              </w:rPr>
              <w:t>Whether all RFP terms &amp; conditions complied with.</w:t>
            </w:r>
          </w:p>
        </w:tc>
        <w:tc>
          <w:tcPr>
            <w:tcW w:w="3918" w:type="dxa"/>
          </w:tcPr>
          <w:p w14:paraId="6EC5B1F0" w14:textId="77777777" w:rsidR="00426961" w:rsidRPr="00A54361" w:rsidRDefault="00426961" w:rsidP="00A54361">
            <w:pPr>
              <w:jc w:val="both"/>
              <w:rPr>
                <w:rFonts w:cstheme="minorHAnsi"/>
              </w:rPr>
            </w:pPr>
          </w:p>
        </w:tc>
      </w:tr>
    </w:tbl>
    <w:p w14:paraId="763C3D7F" w14:textId="00C5CF6B" w:rsidR="00367038" w:rsidRPr="00A54361" w:rsidRDefault="00367038" w:rsidP="00A54361">
      <w:pPr>
        <w:spacing w:before="120" w:after="120"/>
        <w:jc w:val="both"/>
        <w:rPr>
          <w:rFonts w:cstheme="minorHAnsi"/>
        </w:rPr>
      </w:pPr>
    </w:p>
    <w:p w14:paraId="3FB2F9D6" w14:textId="049FC53F" w:rsidR="00426961" w:rsidRPr="00A54361" w:rsidRDefault="00426961" w:rsidP="00A54361">
      <w:pPr>
        <w:spacing w:before="120" w:after="120"/>
        <w:jc w:val="both"/>
        <w:rPr>
          <w:rFonts w:cstheme="minorHAnsi"/>
        </w:rPr>
      </w:pPr>
      <w:r w:rsidRPr="00A54361">
        <w:rPr>
          <w:rFonts w:cstheme="minorHAnsi"/>
        </w:rPr>
        <w:t>Signature</w:t>
      </w:r>
    </w:p>
    <w:p w14:paraId="6690235E" w14:textId="48E72D8F" w:rsidR="00426961" w:rsidRPr="00A54361" w:rsidRDefault="00426961" w:rsidP="00A54361">
      <w:pPr>
        <w:spacing w:after="0"/>
        <w:jc w:val="both"/>
        <w:rPr>
          <w:rFonts w:cstheme="minorHAnsi"/>
        </w:rPr>
      </w:pPr>
      <w:r w:rsidRPr="00A54361">
        <w:rPr>
          <w:rFonts w:cstheme="minorHAnsi"/>
        </w:rPr>
        <w:t>Name:</w:t>
      </w:r>
    </w:p>
    <w:p w14:paraId="67CBA5BB" w14:textId="1B531077" w:rsidR="00426961" w:rsidRPr="00A54361" w:rsidRDefault="00426961" w:rsidP="00A54361">
      <w:pPr>
        <w:spacing w:after="0"/>
        <w:jc w:val="both"/>
        <w:rPr>
          <w:rFonts w:cstheme="minorHAnsi"/>
        </w:rPr>
      </w:pPr>
      <w:r w:rsidRPr="00A54361">
        <w:rPr>
          <w:rFonts w:cstheme="minorHAnsi"/>
        </w:rPr>
        <w:t>Designation:</w:t>
      </w:r>
    </w:p>
    <w:p w14:paraId="5CAB5A94" w14:textId="154D750D" w:rsidR="00426961" w:rsidRPr="00A54361" w:rsidRDefault="00426961" w:rsidP="00A54361">
      <w:pPr>
        <w:spacing w:after="0"/>
        <w:jc w:val="both"/>
        <w:rPr>
          <w:rFonts w:cstheme="minorHAnsi"/>
        </w:rPr>
      </w:pPr>
      <w:r w:rsidRPr="00A54361">
        <w:rPr>
          <w:rFonts w:cstheme="minorHAnsi"/>
        </w:rPr>
        <w:t>Seal of Company</w:t>
      </w:r>
    </w:p>
    <w:p w14:paraId="3F299C4E" w14:textId="56F31B62" w:rsidR="00426961" w:rsidRPr="00A54361" w:rsidRDefault="00426961" w:rsidP="00A54361">
      <w:pPr>
        <w:spacing w:before="120" w:after="120"/>
        <w:jc w:val="both"/>
        <w:rPr>
          <w:rFonts w:cstheme="minorHAnsi"/>
        </w:rPr>
      </w:pPr>
      <w:r w:rsidRPr="00A54361">
        <w:rPr>
          <w:rFonts w:cstheme="minorHAnsi"/>
        </w:rPr>
        <w:t>Date:</w:t>
      </w:r>
    </w:p>
    <w:p w14:paraId="476E6CF9" w14:textId="77777777" w:rsidR="00426961" w:rsidRPr="00A54361" w:rsidRDefault="00426961" w:rsidP="00A54361">
      <w:pPr>
        <w:jc w:val="both"/>
        <w:rPr>
          <w:rFonts w:cstheme="minorHAnsi"/>
        </w:rPr>
      </w:pPr>
      <w:r w:rsidRPr="00A54361">
        <w:rPr>
          <w:rFonts w:cstheme="minorHAnsi"/>
        </w:rPr>
        <w:br w:type="page"/>
      </w:r>
    </w:p>
    <w:p w14:paraId="61DC2E8F" w14:textId="1D575018" w:rsidR="00426961" w:rsidRPr="00A54361" w:rsidRDefault="00426961" w:rsidP="00A54361">
      <w:pPr>
        <w:pStyle w:val="Heading1"/>
        <w:numPr>
          <w:ilvl w:val="0"/>
          <w:numId w:val="48"/>
        </w:numPr>
        <w:jc w:val="both"/>
        <w:rPr>
          <w:rFonts w:asciiTheme="minorHAnsi" w:hAnsiTheme="minorHAnsi" w:cstheme="minorHAnsi"/>
          <w:color w:val="auto"/>
        </w:rPr>
      </w:pPr>
      <w:bookmarkStart w:id="269" w:name="_Toc129668531"/>
      <w:bookmarkStart w:id="270" w:name="_Toc182233412"/>
      <w:r w:rsidRPr="00A54361">
        <w:rPr>
          <w:rFonts w:asciiTheme="minorHAnsi" w:hAnsiTheme="minorHAnsi" w:cstheme="minorHAnsi"/>
          <w:color w:val="auto"/>
        </w:rPr>
        <w:t xml:space="preserve">Annexure </w:t>
      </w:r>
      <w:r w:rsidR="00C75323" w:rsidRPr="00A54361">
        <w:rPr>
          <w:rFonts w:asciiTheme="minorHAnsi" w:hAnsiTheme="minorHAnsi" w:cstheme="minorHAnsi"/>
          <w:color w:val="auto"/>
        </w:rPr>
        <w:t>6</w:t>
      </w:r>
      <w:r w:rsidRPr="00A54361">
        <w:rPr>
          <w:rFonts w:asciiTheme="minorHAnsi" w:hAnsiTheme="minorHAnsi" w:cstheme="minorHAnsi"/>
          <w:color w:val="auto"/>
        </w:rPr>
        <w:t>: Letter for Conformity of Product as per RFP</w:t>
      </w:r>
      <w:bookmarkEnd w:id="269"/>
      <w:bookmarkEnd w:id="270"/>
    </w:p>
    <w:p w14:paraId="57269353" w14:textId="77777777" w:rsidR="003A68A6" w:rsidRPr="00A54361" w:rsidRDefault="003A68A6" w:rsidP="00A54361">
      <w:pPr>
        <w:spacing w:before="120" w:after="120"/>
        <w:jc w:val="both"/>
        <w:rPr>
          <w:rFonts w:cstheme="minorHAnsi"/>
        </w:rPr>
      </w:pPr>
      <w:r w:rsidRPr="00A54361">
        <w:rPr>
          <w:rFonts w:cstheme="minorHAnsi"/>
        </w:rPr>
        <w:t>Date</w:t>
      </w:r>
    </w:p>
    <w:p w14:paraId="7DEEAD8B" w14:textId="77777777" w:rsidR="003A68A6" w:rsidRPr="00A54361" w:rsidRDefault="003A68A6" w:rsidP="00A54361">
      <w:pPr>
        <w:spacing w:before="120" w:after="120"/>
        <w:jc w:val="both"/>
        <w:rPr>
          <w:rFonts w:cstheme="minorHAnsi"/>
        </w:rPr>
      </w:pPr>
      <w:r w:rsidRPr="00A54361">
        <w:rPr>
          <w:rFonts w:cstheme="minorHAnsi"/>
        </w:rPr>
        <w:t>To,</w:t>
      </w:r>
    </w:p>
    <w:p w14:paraId="488497E5" w14:textId="77777777" w:rsidR="003A68A6" w:rsidRPr="00A54361" w:rsidRDefault="003A68A6" w:rsidP="00A54361">
      <w:pPr>
        <w:spacing w:after="0"/>
        <w:jc w:val="both"/>
        <w:rPr>
          <w:rFonts w:cstheme="minorHAnsi"/>
        </w:rPr>
      </w:pPr>
      <w:r w:rsidRPr="00A54361">
        <w:rPr>
          <w:rFonts w:cstheme="minorHAnsi"/>
        </w:rPr>
        <w:t xml:space="preserve">General Manager (IT), </w:t>
      </w:r>
    </w:p>
    <w:p w14:paraId="21C40356" w14:textId="77777777" w:rsidR="003A68A6" w:rsidRPr="00A54361" w:rsidRDefault="003A68A6" w:rsidP="00A54361">
      <w:pPr>
        <w:spacing w:after="0"/>
        <w:jc w:val="both"/>
        <w:rPr>
          <w:rFonts w:cstheme="minorHAnsi"/>
        </w:rPr>
      </w:pPr>
      <w:r w:rsidRPr="00A54361">
        <w:rPr>
          <w:rFonts w:cstheme="minorHAnsi"/>
        </w:rPr>
        <w:t xml:space="preserve">Central Bank of India, </w:t>
      </w:r>
    </w:p>
    <w:p w14:paraId="77C0B73B" w14:textId="77777777" w:rsidR="003A68A6" w:rsidRPr="00A54361" w:rsidRDefault="003A68A6" w:rsidP="00A54361">
      <w:pPr>
        <w:spacing w:after="0"/>
        <w:jc w:val="both"/>
        <w:rPr>
          <w:rFonts w:cstheme="minorHAnsi"/>
        </w:rPr>
      </w:pPr>
      <w:r w:rsidRPr="00A54361">
        <w:rPr>
          <w:rFonts w:cstheme="minorHAnsi"/>
        </w:rPr>
        <w:t xml:space="preserve">DIT, Sector 11, </w:t>
      </w:r>
    </w:p>
    <w:p w14:paraId="37424D18" w14:textId="77777777" w:rsidR="003A68A6" w:rsidRPr="00A54361" w:rsidRDefault="003A68A6" w:rsidP="00A54361">
      <w:pPr>
        <w:spacing w:after="0"/>
        <w:jc w:val="both"/>
        <w:rPr>
          <w:rFonts w:cstheme="minorHAnsi"/>
        </w:rPr>
      </w:pPr>
      <w:r w:rsidRPr="00A54361">
        <w:rPr>
          <w:rFonts w:cstheme="minorHAnsi"/>
        </w:rPr>
        <w:t xml:space="preserve">CBD Belapur, </w:t>
      </w:r>
    </w:p>
    <w:p w14:paraId="05945289" w14:textId="77777777" w:rsidR="003A68A6" w:rsidRPr="00A54361" w:rsidRDefault="003A68A6" w:rsidP="00A54361">
      <w:pPr>
        <w:spacing w:after="0"/>
        <w:jc w:val="both"/>
        <w:rPr>
          <w:rFonts w:cstheme="minorHAnsi"/>
        </w:rPr>
      </w:pPr>
      <w:r w:rsidRPr="00A54361">
        <w:rPr>
          <w:rFonts w:cstheme="minorHAnsi"/>
        </w:rPr>
        <w:t>Navi Mumbai – 400614</w:t>
      </w:r>
    </w:p>
    <w:p w14:paraId="262F09D1" w14:textId="77777777" w:rsidR="003A68A6" w:rsidRPr="00A54361" w:rsidRDefault="003A68A6" w:rsidP="00A54361">
      <w:pPr>
        <w:spacing w:before="120" w:after="120"/>
        <w:jc w:val="both"/>
        <w:rPr>
          <w:rFonts w:cstheme="minorHAnsi"/>
        </w:rPr>
      </w:pPr>
      <w:r w:rsidRPr="00A54361">
        <w:rPr>
          <w:rFonts w:cstheme="minorHAnsi"/>
        </w:rPr>
        <w:t>Sir,</w:t>
      </w:r>
    </w:p>
    <w:p w14:paraId="1B345784" w14:textId="05AA63B9" w:rsidR="00A836BA" w:rsidRPr="00A54361" w:rsidRDefault="00A836BA" w:rsidP="00A54361">
      <w:pPr>
        <w:spacing w:before="120" w:after="120"/>
        <w:jc w:val="both"/>
        <w:rPr>
          <w:rFonts w:cstheme="minorHAnsi"/>
        </w:rPr>
      </w:pPr>
      <w:r w:rsidRPr="00A54361">
        <w:rPr>
          <w:rFonts w:cstheme="minorHAnsi"/>
        </w:rPr>
        <w:t>Sub: RFP for Supply, Installation and Maintenance of Cybersecurity Solutions</w:t>
      </w:r>
      <w:r w:rsidR="003369B8" w:rsidRPr="00A54361">
        <w:rPr>
          <w:rFonts w:cstheme="minorHAnsi"/>
        </w:rPr>
        <w:t xml:space="preserve"> and associated hardware</w:t>
      </w:r>
      <w:r w:rsidRPr="00A54361">
        <w:rPr>
          <w:rFonts w:cstheme="minorHAnsi"/>
        </w:rPr>
        <w:t xml:space="preserve"> at </w:t>
      </w:r>
      <w:r w:rsidR="009417AB" w:rsidRPr="00A54361">
        <w:rPr>
          <w:rFonts w:cstheme="minorHAnsi"/>
        </w:rPr>
        <w:t>the Bank</w:t>
      </w:r>
    </w:p>
    <w:p w14:paraId="2F9E441B" w14:textId="16E646BC" w:rsidR="00ED034A" w:rsidRPr="00A54361" w:rsidRDefault="00BD0761" w:rsidP="00A54361">
      <w:pPr>
        <w:spacing w:before="120" w:after="120"/>
        <w:jc w:val="both"/>
        <w:rPr>
          <w:rFonts w:cstheme="minorHAnsi"/>
        </w:rPr>
      </w:pPr>
      <w:r w:rsidRPr="00A54361">
        <w:rPr>
          <w:rFonts w:cstheme="minorHAnsi"/>
        </w:rPr>
        <w:t xml:space="preserve"> Tender No. _____________________________</w:t>
      </w:r>
    </w:p>
    <w:p w14:paraId="79EB0709" w14:textId="47098C5B" w:rsidR="00426961" w:rsidRPr="00A54361" w:rsidRDefault="003A68A6" w:rsidP="00A54361">
      <w:pPr>
        <w:spacing w:before="120" w:after="120"/>
        <w:jc w:val="both"/>
        <w:rPr>
          <w:rFonts w:cstheme="minorHAnsi"/>
        </w:rPr>
      </w:pPr>
      <w:r w:rsidRPr="00A54361">
        <w:rPr>
          <w:rFonts w:cstheme="minorHAnsi"/>
        </w:rPr>
        <w:t>We submit our Bid Document herewith. If our Bid for the above job is accepted, we undertake to enter into and execute at our cost, when called upon by the bank to do so, a contract in the prescribed form. Unless and until a formal contract is prepared and executed, this bid together with your written acceptance thereof shall constitute a binding contract between us.</w:t>
      </w:r>
    </w:p>
    <w:p w14:paraId="545A56F3" w14:textId="49E87944" w:rsidR="003A68A6" w:rsidRPr="00A54361" w:rsidRDefault="003A68A6" w:rsidP="00A54361">
      <w:pPr>
        <w:spacing w:before="120" w:after="120"/>
        <w:jc w:val="both"/>
        <w:rPr>
          <w:rFonts w:cstheme="minorHAnsi"/>
        </w:rPr>
      </w:pPr>
      <w:r w:rsidRPr="00A54361">
        <w:rPr>
          <w:rFonts w:cstheme="minorHAnsi"/>
        </w:rPr>
        <w:t>We understand that any deviations mentioned elsewhere in the bid will not be considered and evaluated by the Bank. We also agree that the Bank reserves its right to reject the bid, if the bid is not submitted in proper format as per subject RFP.</w:t>
      </w:r>
    </w:p>
    <w:p w14:paraId="76810888" w14:textId="76D3C4C4" w:rsidR="003A68A6" w:rsidRPr="00A54361" w:rsidRDefault="003A68A6" w:rsidP="00A54361">
      <w:pPr>
        <w:spacing w:before="120" w:after="120"/>
        <w:jc w:val="both"/>
        <w:rPr>
          <w:rFonts w:cstheme="minorHAnsi"/>
        </w:rPr>
      </w:pPr>
      <w:r w:rsidRPr="00A54361">
        <w:rPr>
          <w:rFonts w:cstheme="minorHAnsi"/>
        </w:rPr>
        <w:t>We undertake that product</w:t>
      </w:r>
      <w:r w:rsidR="00AB5822" w:rsidRPr="00A54361">
        <w:rPr>
          <w:rFonts w:cstheme="minorHAnsi"/>
        </w:rPr>
        <w:t xml:space="preserve"> and services</w:t>
      </w:r>
      <w:r w:rsidRPr="00A54361">
        <w:rPr>
          <w:rFonts w:cstheme="minorHAnsi"/>
        </w:rPr>
        <w:t xml:space="preserve"> supplied shall be as per the:-</w:t>
      </w:r>
    </w:p>
    <w:tbl>
      <w:tblPr>
        <w:tblW w:w="5000" w:type="pct"/>
        <w:tblLook w:val="04A0" w:firstRow="1" w:lastRow="0" w:firstColumn="1" w:lastColumn="0" w:noHBand="0" w:noVBand="1"/>
      </w:tblPr>
      <w:tblGrid>
        <w:gridCol w:w="3544"/>
        <w:gridCol w:w="2475"/>
        <w:gridCol w:w="3007"/>
      </w:tblGrid>
      <w:tr w:rsidR="000D3DC1" w:rsidRPr="00A54361" w14:paraId="11117159" w14:textId="77777777" w:rsidTr="003A68A6">
        <w:tc>
          <w:tcPr>
            <w:tcW w:w="1963" w:type="pct"/>
            <w:shd w:val="clear" w:color="auto" w:fill="1F3864" w:themeFill="accent1" w:themeFillShade="80"/>
          </w:tcPr>
          <w:p w14:paraId="5CDEF4BE" w14:textId="6C7AFB00" w:rsidR="003A68A6" w:rsidRPr="00A54361" w:rsidRDefault="003A68A6" w:rsidP="00A54361">
            <w:pPr>
              <w:jc w:val="both"/>
              <w:rPr>
                <w:rFonts w:cstheme="minorHAnsi"/>
                <w:b/>
                <w:bCs/>
              </w:rPr>
            </w:pPr>
            <w:r w:rsidRPr="00A54361">
              <w:rPr>
                <w:rFonts w:cstheme="minorHAnsi"/>
                <w:b/>
                <w:bCs/>
              </w:rPr>
              <w:t>Compliance</w:t>
            </w:r>
          </w:p>
        </w:tc>
        <w:tc>
          <w:tcPr>
            <w:tcW w:w="1371" w:type="pct"/>
            <w:shd w:val="clear" w:color="auto" w:fill="1F3864" w:themeFill="accent1" w:themeFillShade="80"/>
          </w:tcPr>
          <w:p w14:paraId="2D322696" w14:textId="21D34913" w:rsidR="003A68A6" w:rsidRPr="00A54361" w:rsidRDefault="003A68A6" w:rsidP="00A54361">
            <w:pPr>
              <w:jc w:val="both"/>
              <w:rPr>
                <w:rFonts w:cstheme="minorHAnsi"/>
                <w:b/>
                <w:bCs/>
              </w:rPr>
            </w:pPr>
            <w:r w:rsidRPr="00A54361">
              <w:rPr>
                <w:rFonts w:cstheme="minorHAnsi"/>
                <w:b/>
                <w:bCs/>
              </w:rPr>
              <w:t>Compliance (Yes/ No)</w:t>
            </w:r>
          </w:p>
        </w:tc>
        <w:tc>
          <w:tcPr>
            <w:tcW w:w="1666" w:type="pct"/>
            <w:shd w:val="clear" w:color="auto" w:fill="1F3864" w:themeFill="accent1" w:themeFillShade="80"/>
          </w:tcPr>
          <w:p w14:paraId="77FF1D3C" w14:textId="2C7C9899" w:rsidR="003A68A6" w:rsidRPr="00A54361" w:rsidRDefault="003A68A6" w:rsidP="00A54361">
            <w:pPr>
              <w:jc w:val="both"/>
              <w:rPr>
                <w:rFonts w:cstheme="minorHAnsi"/>
                <w:b/>
                <w:bCs/>
              </w:rPr>
            </w:pPr>
            <w:r w:rsidRPr="00A54361">
              <w:rPr>
                <w:rFonts w:cstheme="minorHAnsi"/>
                <w:b/>
                <w:bCs/>
              </w:rPr>
              <w:t>Remarks</w:t>
            </w:r>
          </w:p>
        </w:tc>
      </w:tr>
      <w:tr w:rsidR="000D3DC1" w:rsidRPr="00A54361" w14:paraId="1D8A16C9" w14:textId="77777777" w:rsidTr="003A68A6">
        <w:tc>
          <w:tcPr>
            <w:tcW w:w="1963" w:type="pct"/>
          </w:tcPr>
          <w:p w14:paraId="65362232" w14:textId="2917EF8F" w:rsidR="003A68A6" w:rsidRPr="00A54361" w:rsidRDefault="003A68A6" w:rsidP="00A54361">
            <w:pPr>
              <w:jc w:val="both"/>
              <w:rPr>
                <w:rFonts w:cstheme="minorHAnsi"/>
              </w:rPr>
            </w:pPr>
            <w:r w:rsidRPr="00A54361">
              <w:rPr>
                <w:rFonts w:cstheme="minorHAnsi"/>
              </w:rPr>
              <w:t>Terms &amp; Conditions</w:t>
            </w:r>
          </w:p>
        </w:tc>
        <w:tc>
          <w:tcPr>
            <w:tcW w:w="1371" w:type="pct"/>
          </w:tcPr>
          <w:p w14:paraId="456327C8" w14:textId="77777777" w:rsidR="003A68A6" w:rsidRPr="00A54361" w:rsidRDefault="003A68A6" w:rsidP="00A54361">
            <w:pPr>
              <w:jc w:val="both"/>
              <w:rPr>
                <w:rFonts w:cstheme="minorHAnsi"/>
              </w:rPr>
            </w:pPr>
          </w:p>
        </w:tc>
        <w:tc>
          <w:tcPr>
            <w:tcW w:w="1666" w:type="pct"/>
          </w:tcPr>
          <w:p w14:paraId="07FA0478" w14:textId="77777777" w:rsidR="003A68A6" w:rsidRPr="00A54361" w:rsidRDefault="003A68A6" w:rsidP="00A54361">
            <w:pPr>
              <w:jc w:val="both"/>
              <w:rPr>
                <w:rFonts w:cstheme="minorHAnsi"/>
              </w:rPr>
            </w:pPr>
          </w:p>
        </w:tc>
      </w:tr>
      <w:tr w:rsidR="000D3DC1" w:rsidRPr="00A54361" w14:paraId="2EB8C817" w14:textId="77777777" w:rsidTr="003A68A6">
        <w:tc>
          <w:tcPr>
            <w:tcW w:w="1963" w:type="pct"/>
          </w:tcPr>
          <w:p w14:paraId="5598D06B" w14:textId="7491C035" w:rsidR="003A68A6" w:rsidRPr="00A54361" w:rsidRDefault="003A68A6" w:rsidP="00A54361">
            <w:pPr>
              <w:jc w:val="both"/>
              <w:rPr>
                <w:rFonts w:cstheme="minorHAnsi"/>
              </w:rPr>
            </w:pPr>
            <w:r w:rsidRPr="00A54361">
              <w:rPr>
                <w:rFonts w:cstheme="minorHAnsi"/>
              </w:rPr>
              <w:t>Scope of Work</w:t>
            </w:r>
          </w:p>
        </w:tc>
        <w:tc>
          <w:tcPr>
            <w:tcW w:w="1371" w:type="pct"/>
          </w:tcPr>
          <w:p w14:paraId="783899B2" w14:textId="77777777" w:rsidR="003A68A6" w:rsidRPr="00A54361" w:rsidRDefault="003A68A6" w:rsidP="00A54361">
            <w:pPr>
              <w:jc w:val="both"/>
              <w:rPr>
                <w:rFonts w:cstheme="minorHAnsi"/>
              </w:rPr>
            </w:pPr>
          </w:p>
        </w:tc>
        <w:tc>
          <w:tcPr>
            <w:tcW w:w="1666" w:type="pct"/>
          </w:tcPr>
          <w:p w14:paraId="2E6D35E1" w14:textId="77777777" w:rsidR="003A68A6" w:rsidRPr="00A54361" w:rsidRDefault="003A68A6" w:rsidP="00A54361">
            <w:pPr>
              <w:jc w:val="both"/>
              <w:rPr>
                <w:rFonts w:cstheme="minorHAnsi"/>
              </w:rPr>
            </w:pPr>
          </w:p>
        </w:tc>
      </w:tr>
      <w:tr w:rsidR="000D3DC1" w:rsidRPr="00A54361" w14:paraId="510B8DCC" w14:textId="77777777" w:rsidTr="003A68A6">
        <w:tc>
          <w:tcPr>
            <w:tcW w:w="1963" w:type="pct"/>
          </w:tcPr>
          <w:p w14:paraId="2AA065C5" w14:textId="4DAB6BA8" w:rsidR="00A45123" w:rsidRPr="00A54361" w:rsidRDefault="00ED034A" w:rsidP="00A54361">
            <w:pPr>
              <w:jc w:val="both"/>
              <w:rPr>
                <w:rFonts w:cstheme="minorHAnsi"/>
              </w:rPr>
            </w:pPr>
            <w:r w:rsidRPr="00A54361">
              <w:rPr>
                <w:rFonts w:cstheme="minorHAnsi"/>
              </w:rPr>
              <w:t>Technical</w:t>
            </w:r>
            <w:r w:rsidR="00A45123" w:rsidRPr="00A54361">
              <w:rPr>
                <w:rFonts w:cstheme="minorHAnsi"/>
              </w:rPr>
              <w:t xml:space="preserve"> Specifications </w:t>
            </w:r>
          </w:p>
        </w:tc>
        <w:tc>
          <w:tcPr>
            <w:tcW w:w="1371" w:type="pct"/>
          </w:tcPr>
          <w:p w14:paraId="666D1247" w14:textId="77777777" w:rsidR="00A45123" w:rsidRPr="00A54361" w:rsidRDefault="00A45123" w:rsidP="00A54361">
            <w:pPr>
              <w:jc w:val="both"/>
              <w:rPr>
                <w:rFonts w:cstheme="minorHAnsi"/>
              </w:rPr>
            </w:pPr>
          </w:p>
        </w:tc>
        <w:tc>
          <w:tcPr>
            <w:tcW w:w="1666" w:type="pct"/>
          </w:tcPr>
          <w:p w14:paraId="01631439" w14:textId="77777777" w:rsidR="00A45123" w:rsidRPr="00A54361" w:rsidRDefault="00A45123" w:rsidP="00A54361">
            <w:pPr>
              <w:jc w:val="both"/>
              <w:rPr>
                <w:rFonts w:cstheme="minorHAnsi"/>
              </w:rPr>
            </w:pPr>
          </w:p>
        </w:tc>
      </w:tr>
    </w:tbl>
    <w:p w14:paraId="1350ABBE" w14:textId="6F44D6A6" w:rsidR="00426961" w:rsidRPr="00A54361" w:rsidRDefault="00426961" w:rsidP="00A54361">
      <w:pPr>
        <w:spacing w:before="120" w:after="120"/>
        <w:jc w:val="both"/>
        <w:rPr>
          <w:rFonts w:cstheme="minorHAnsi"/>
        </w:rPr>
      </w:pPr>
    </w:p>
    <w:p w14:paraId="297C8C56" w14:textId="2A207677" w:rsidR="003A68A6" w:rsidRPr="00A54361" w:rsidRDefault="003A68A6" w:rsidP="00A54361">
      <w:pPr>
        <w:spacing w:before="120" w:after="120"/>
        <w:jc w:val="both"/>
        <w:rPr>
          <w:rFonts w:cstheme="minorHAnsi"/>
        </w:rPr>
      </w:pPr>
    </w:p>
    <w:p w14:paraId="170925E1" w14:textId="77777777" w:rsidR="003A68A6" w:rsidRPr="00A54361" w:rsidRDefault="003A68A6" w:rsidP="00A54361">
      <w:pPr>
        <w:spacing w:before="120" w:after="120"/>
        <w:jc w:val="both"/>
        <w:rPr>
          <w:rFonts w:cstheme="minorHAnsi"/>
        </w:rPr>
      </w:pPr>
      <w:r w:rsidRPr="00A54361">
        <w:rPr>
          <w:rFonts w:cstheme="minorHAnsi"/>
        </w:rPr>
        <w:t>Signature</w:t>
      </w:r>
    </w:p>
    <w:p w14:paraId="54FEE355" w14:textId="77777777" w:rsidR="003A68A6" w:rsidRPr="00A54361" w:rsidRDefault="003A68A6" w:rsidP="00A54361">
      <w:pPr>
        <w:spacing w:after="0"/>
        <w:jc w:val="both"/>
        <w:rPr>
          <w:rFonts w:cstheme="minorHAnsi"/>
        </w:rPr>
      </w:pPr>
      <w:r w:rsidRPr="00A54361">
        <w:rPr>
          <w:rFonts w:cstheme="minorHAnsi"/>
        </w:rPr>
        <w:t>Name:</w:t>
      </w:r>
    </w:p>
    <w:p w14:paraId="51640F5E" w14:textId="77777777" w:rsidR="003A68A6" w:rsidRPr="00A54361" w:rsidRDefault="003A68A6" w:rsidP="00A54361">
      <w:pPr>
        <w:spacing w:after="0"/>
        <w:jc w:val="both"/>
        <w:rPr>
          <w:rFonts w:cstheme="minorHAnsi"/>
        </w:rPr>
      </w:pPr>
      <w:r w:rsidRPr="00A54361">
        <w:rPr>
          <w:rFonts w:cstheme="minorHAnsi"/>
        </w:rPr>
        <w:t>Designation:</w:t>
      </w:r>
    </w:p>
    <w:p w14:paraId="06AE5AAD" w14:textId="77777777" w:rsidR="003A68A6" w:rsidRPr="00A54361" w:rsidRDefault="003A68A6" w:rsidP="00A54361">
      <w:pPr>
        <w:spacing w:after="0"/>
        <w:jc w:val="both"/>
        <w:rPr>
          <w:rFonts w:cstheme="minorHAnsi"/>
        </w:rPr>
      </w:pPr>
      <w:r w:rsidRPr="00A54361">
        <w:rPr>
          <w:rFonts w:cstheme="minorHAnsi"/>
        </w:rPr>
        <w:t>Seal of Company</w:t>
      </w:r>
    </w:p>
    <w:p w14:paraId="69D943EF" w14:textId="07BC007E" w:rsidR="003A68A6" w:rsidRPr="00A54361" w:rsidRDefault="003A68A6" w:rsidP="00A54361">
      <w:pPr>
        <w:spacing w:before="120" w:after="120"/>
        <w:jc w:val="both"/>
        <w:rPr>
          <w:rFonts w:cstheme="minorHAnsi"/>
        </w:rPr>
      </w:pPr>
      <w:r w:rsidRPr="00A54361">
        <w:rPr>
          <w:rFonts w:cstheme="minorHAnsi"/>
        </w:rPr>
        <w:t>Date:</w:t>
      </w:r>
    </w:p>
    <w:p w14:paraId="6C7C74D9" w14:textId="77777777" w:rsidR="005347F1" w:rsidRPr="00A54361" w:rsidRDefault="005347F1" w:rsidP="00A54361">
      <w:pPr>
        <w:jc w:val="both"/>
        <w:rPr>
          <w:rFonts w:cstheme="minorHAnsi"/>
        </w:rPr>
      </w:pPr>
    </w:p>
    <w:p w14:paraId="7D9B872A" w14:textId="77777777" w:rsidR="005347F1" w:rsidRPr="00A54361" w:rsidRDefault="005347F1" w:rsidP="00A54361">
      <w:pPr>
        <w:jc w:val="both"/>
        <w:rPr>
          <w:rFonts w:cstheme="minorHAnsi"/>
        </w:rPr>
      </w:pPr>
    </w:p>
    <w:p w14:paraId="529D4A79" w14:textId="77777777" w:rsidR="005347F1" w:rsidRPr="00A54361" w:rsidRDefault="005347F1" w:rsidP="00A54361">
      <w:pPr>
        <w:jc w:val="both"/>
        <w:rPr>
          <w:rFonts w:cstheme="minorHAnsi"/>
        </w:rPr>
      </w:pPr>
    </w:p>
    <w:p w14:paraId="773ED34E" w14:textId="77777777" w:rsidR="005347F1" w:rsidRPr="00A54361" w:rsidRDefault="005347F1" w:rsidP="00A54361">
      <w:pPr>
        <w:jc w:val="both"/>
        <w:rPr>
          <w:rFonts w:cstheme="minorHAnsi"/>
        </w:rPr>
      </w:pPr>
    </w:p>
    <w:p w14:paraId="403D3EE3" w14:textId="77777777" w:rsidR="005347F1" w:rsidRPr="00A54361" w:rsidRDefault="005347F1" w:rsidP="00A54361">
      <w:pPr>
        <w:jc w:val="both"/>
        <w:rPr>
          <w:rFonts w:cstheme="minorHAnsi"/>
        </w:rPr>
      </w:pPr>
    </w:p>
    <w:p w14:paraId="48B69462" w14:textId="1B27238B" w:rsidR="003A68A6" w:rsidRPr="00A54361" w:rsidRDefault="003A68A6" w:rsidP="00A54361">
      <w:pPr>
        <w:pStyle w:val="Heading1"/>
        <w:numPr>
          <w:ilvl w:val="0"/>
          <w:numId w:val="48"/>
        </w:numPr>
        <w:jc w:val="both"/>
        <w:rPr>
          <w:rFonts w:asciiTheme="minorHAnsi" w:hAnsiTheme="minorHAnsi" w:cstheme="minorHAnsi"/>
          <w:color w:val="auto"/>
        </w:rPr>
      </w:pPr>
      <w:bookmarkStart w:id="271" w:name="_Toc129668534"/>
      <w:bookmarkStart w:id="272" w:name="_Toc182233413"/>
      <w:r w:rsidRPr="00A54361">
        <w:rPr>
          <w:rFonts w:asciiTheme="minorHAnsi" w:hAnsiTheme="minorHAnsi" w:cstheme="minorHAnsi"/>
          <w:color w:val="auto"/>
        </w:rPr>
        <w:t xml:space="preserve">Annexure </w:t>
      </w:r>
      <w:r w:rsidR="003970B0" w:rsidRPr="00A54361">
        <w:rPr>
          <w:rFonts w:asciiTheme="minorHAnsi" w:hAnsiTheme="minorHAnsi" w:cstheme="minorHAnsi"/>
          <w:color w:val="auto"/>
        </w:rPr>
        <w:t>7</w:t>
      </w:r>
      <w:r w:rsidRPr="00A54361">
        <w:rPr>
          <w:rFonts w:asciiTheme="minorHAnsi" w:hAnsiTheme="minorHAnsi" w:cstheme="minorHAnsi"/>
          <w:color w:val="auto"/>
        </w:rPr>
        <w:t>: Undertaking for Acceptance of Terms of RFP</w:t>
      </w:r>
      <w:bookmarkEnd w:id="271"/>
      <w:bookmarkEnd w:id="272"/>
    </w:p>
    <w:p w14:paraId="68DAB45A" w14:textId="77777777" w:rsidR="00CA7091" w:rsidRPr="00A54361" w:rsidRDefault="00CA7091" w:rsidP="00A54361">
      <w:pPr>
        <w:spacing w:before="120" w:after="120"/>
        <w:jc w:val="both"/>
        <w:rPr>
          <w:rFonts w:cstheme="minorHAnsi"/>
        </w:rPr>
      </w:pPr>
      <w:r w:rsidRPr="00A54361">
        <w:rPr>
          <w:rFonts w:cstheme="minorHAnsi"/>
        </w:rPr>
        <w:t>Date</w:t>
      </w:r>
    </w:p>
    <w:p w14:paraId="2945C567" w14:textId="77777777" w:rsidR="00CA7091" w:rsidRPr="00A54361" w:rsidRDefault="00CA7091" w:rsidP="00A54361">
      <w:pPr>
        <w:spacing w:before="120" w:after="120"/>
        <w:jc w:val="both"/>
        <w:rPr>
          <w:rFonts w:cstheme="minorHAnsi"/>
        </w:rPr>
      </w:pPr>
      <w:r w:rsidRPr="00A54361">
        <w:rPr>
          <w:rFonts w:cstheme="minorHAnsi"/>
        </w:rPr>
        <w:t>To,</w:t>
      </w:r>
    </w:p>
    <w:p w14:paraId="74B2B8B0" w14:textId="77777777" w:rsidR="00CA7091" w:rsidRPr="00A54361" w:rsidRDefault="00CA7091" w:rsidP="00A54361">
      <w:pPr>
        <w:spacing w:after="0"/>
        <w:jc w:val="both"/>
        <w:rPr>
          <w:rFonts w:cstheme="minorHAnsi"/>
        </w:rPr>
      </w:pPr>
      <w:r w:rsidRPr="00A54361">
        <w:rPr>
          <w:rFonts w:cstheme="minorHAnsi"/>
        </w:rPr>
        <w:t xml:space="preserve">General Manager (IT), </w:t>
      </w:r>
    </w:p>
    <w:p w14:paraId="07642197" w14:textId="77777777" w:rsidR="00CA7091" w:rsidRPr="00A54361" w:rsidRDefault="00CA7091" w:rsidP="00A54361">
      <w:pPr>
        <w:spacing w:after="0"/>
        <w:jc w:val="both"/>
        <w:rPr>
          <w:rFonts w:cstheme="minorHAnsi"/>
        </w:rPr>
      </w:pPr>
      <w:r w:rsidRPr="00A54361">
        <w:rPr>
          <w:rFonts w:cstheme="minorHAnsi"/>
        </w:rPr>
        <w:t xml:space="preserve">Central Bank of India, </w:t>
      </w:r>
    </w:p>
    <w:p w14:paraId="276955D4" w14:textId="77777777" w:rsidR="00CA7091" w:rsidRPr="00A54361" w:rsidRDefault="00CA7091" w:rsidP="00A54361">
      <w:pPr>
        <w:spacing w:after="0"/>
        <w:jc w:val="both"/>
        <w:rPr>
          <w:rFonts w:cstheme="minorHAnsi"/>
        </w:rPr>
      </w:pPr>
      <w:r w:rsidRPr="00A54361">
        <w:rPr>
          <w:rFonts w:cstheme="minorHAnsi"/>
        </w:rPr>
        <w:t xml:space="preserve">DIT, Sector 11, </w:t>
      </w:r>
    </w:p>
    <w:p w14:paraId="0F0E73CB" w14:textId="77777777" w:rsidR="00CA7091" w:rsidRPr="00A54361" w:rsidRDefault="00CA7091" w:rsidP="00A54361">
      <w:pPr>
        <w:spacing w:after="0"/>
        <w:jc w:val="both"/>
        <w:rPr>
          <w:rFonts w:cstheme="minorHAnsi"/>
        </w:rPr>
      </w:pPr>
      <w:r w:rsidRPr="00A54361">
        <w:rPr>
          <w:rFonts w:cstheme="minorHAnsi"/>
        </w:rPr>
        <w:t xml:space="preserve">CBD Belapur, </w:t>
      </w:r>
    </w:p>
    <w:p w14:paraId="387CFB0D" w14:textId="77777777" w:rsidR="00CA7091" w:rsidRPr="00A54361" w:rsidRDefault="00CA7091" w:rsidP="00A54361">
      <w:pPr>
        <w:spacing w:after="0"/>
        <w:jc w:val="both"/>
        <w:rPr>
          <w:rFonts w:cstheme="minorHAnsi"/>
        </w:rPr>
      </w:pPr>
      <w:r w:rsidRPr="00A54361">
        <w:rPr>
          <w:rFonts w:cstheme="minorHAnsi"/>
        </w:rPr>
        <w:t>Navi Mumbai – 400614</w:t>
      </w:r>
    </w:p>
    <w:p w14:paraId="2DB8066D" w14:textId="77777777" w:rsidR="00CA7091" w:rsidRPr="00A54361" w:rsidRDefault="00CA7091" w:rsidP="00A54361">
      <w:pPr>
        <w:spacing w:before="120" w:after="120"/>
        <w:jc w:val="both"/>
        <w:rPr>
          <w:rFonts w:cstheme="minorHAnsi"/>
        </w:rPr>
      </w:pPr>
      <w:r w:rsidRPr="00A54361">
        <w:rPr>
          <w:rFonts w:cstheme="minorHAnsi"/>
        </w:rPr>
        <w:t>Sir,</w:t>
      </w:r>
    </w:p>
    <w:p w14:paraId="04998EE5" w14:textId="145D0319" w:rsidR="00A836BA" w:rsidRPr="00A54361" w:rsidRDefault="00A836BA" w:rsidP="00A54361">
      <w:pPr>
        <w:spacing w:before="120" w:after="120"/>
        <w:jc w:val="both"/>
        <w:rPr>
          <w:rFonts w:cstheme="minorHAnsi"/>
        </w:rPr>
      </w:pPr>
      <w:r w:rsidRPr="00A54361">
        <w:rPr>
          <w:rFonts w:cstheme="minorHAnsi"/>
        </w:rPr>
        <w:t xml:space="preserve">Sub: RFP for Supply, Installation and Maintenance of Cybersecurity Solutions </w:t>
      </w:r>
      <w:r w:rsidR="003369B8" w:rsidRPr="00A54361">
        <w:rPr>
          <w:rFonts w:cstheme="minorHAnsi"/>
        </w:rPr>
        <w:t xml:space="preserve">and associated hardware </w:t>
      </w:r>
      <w:r w:rsidRPr="00A54361">
        <w:rPr>
          <w:rFonts w:cstheme="minorHAnsi"/>
        </w:rPr>
        <w:t xml:space="preserve">at </w:t>
      </w:r>
      <w:r w:rsidR="009417AB" w:rsidRPr="00A54361">
        <w:rPr>
          <w:rFonts w:cstheme="minorHAnsi"/>
        </w:rPr>
        <w:t>the Bank</w:t>
      </w:r>
    </w:p>
    <w:p w14:paraId="57276334" w14:textId="2066034E" w:rsidR="00FC5B80" w:rsidRPr="00A54361" w:rsidRDefault="00BD0761" w:rsidP="00A54361">
      <w:pPr>
        <w:spacing w:before="120" w:after="120"/>
        <w:jc w:val="both"/>
        <w:rPr>
          <w:rFonts w:cstheme="minorHAnsi"/>
        </w:rPr>
      </w:pPr>
      <w:r w:rsidRPr="00A54361">
        <w:rPr>
          <w:rFonts w:cstheme="minorHAnsi"/>
        </w:rPr>
        <w:t xml:space="preserve"> Tender No. _____________________________</w:t>
      </w:r>
    </w:p>
    <w:p w14:paraId="06545B16" w14:textId="70FC8731" w:rsidR="00CA7091" w:rsidRPr="00A54361" w:rsidRDefault="00CA7091" w:rsidP="00A54361">
      <w:pPr>
        <w:jc w:val="both"/>
        <w:rPr>
          <w:rFonts w:cstheme="minorHAnsi"/>
          <w:b/>
          <w:bCs/>
        </w:rPr>
      </w:pPr>
      <w:r w:rsidRPr="00A54361">
        <w:rPr>
          <w:rFonts w:cstheme="minorHAnsi"/>
        </w:rPr>
        <w:t>With reference to RFP for</w:t>
      </w:r>
      <w:r w:rsidR="00C11D4A" w:rsidRPr="00A54361">
        <w:rPr>
          <w:rFonts w:cstheme="minorHAnsi"/>
        </w:rPr>
        <w:t xml:space="preserve"> Supply, Installation and Maintenance of </w:t>
      </w:r>
      <w:r w:rsidR="009E6197" w:rsidRPr="00A54361">
        <w:rPr>
          <w:rFonts w:cstheme="minorHAnsi"/>
        </w:rPr>
        <w:t>Cybersecurity Solutions</w:t>
      </w:r>
      <w:r w:rsidR="003369B8" w:rsidRPr="00A54361">
        <w:rPr>
          <w:rFonts w:cstheme="minorHAnsi"/>
        </w:rPr>
        <w:t xml:space="preserve"> and associated hardware</w:t>
      </w:r>
      <w:r w:rsidR="009E6197" w:rsidRPr="00A54361">
        <w:rPr>
          <w:rFonts w:cstheme="minorHAnsi"/>
        </w:rPr>
        <w:t xml:space="preserve"> </w:t>
      </w:r>
      <w:r w:rsidR="00C11D4A" w:rsidRPr="00A54361">
        <w:rPr>
          <w:rFonts w:cstheme="minorHAnsi"/>
        </w:rPr>
        <w:t xml:space="preserve">at </w:t>
      </w:r>
      <w:r w:rsidR="009417AB" w:rsidRPr="00A54361">
        <w:rPr>
          <w:rFonts w:cstheme="minorHAnsi"/>
        </w:rPr>
        <w:t>the Bank</w:t>
      </w:r>
      <w:r w:rsidR="00506FA9" w:rsidRPr="00A54361" w:rsidDel="00C11D4A">
        <w:rPr>
          <w:rFonts w:cstheme="minorHAnsi"/>
        </w:rPr>
        <w:t>:</w:t>
      </w:r>
    </w:p>
    <w:p w14:paraId="74D99BC3" w14:textId="2B7A4487" w:rsidR="00CA7091" w:rsidRPr="00A54361" w:rsidRDefault="00CA7091" w:rsidP="00A54361">
      <w:pPr>
        <w:spacing w:before="120" w:after="120"/>
        <w:jc w:val="both"/>
        <w:rPr>
          <w:rFonts w:cstheme="minorHAnsi"/>
        </w:rPr>
      </w:pPr>
      <w:r w:rsidRPr="00A54361">
        <w:rPr>
          <w:rFonts w:cstheme="minorHAnsi"/>
        </w:rPr>
        <w:t>We understand that Bank shall be placing Order to the Successful Bidder exclusive of taxes only.</w:t>
      </w:r>
    </w:p>
    <w:p w14:paraId="0CE249FE" w14:textId="73CC3B9B" w:rsidR="00CA7091" w:rsidRPr="00A54361" w:rsidRDefault="00CA7091" w:rsidP="00A54361">
      <w:pPr>
        <w:pStyle w:val="ListParagraph"/>
        <w:numPr>
          <w:ilvl w:val="0"/>
          <w:numId w:val="25"/>
        </w:numPr>
        <w:spacing w:before="120" w:after="120"/>
        <w:jc w:val="both"/>
        <w:rPr>
          <w:rFonts w:cstheme="minorHAnsi"/>
        </w:rPr>
      </w:pPr>
      <w:r w:rsidRPr="00A54361">
        <w:rPr>
          <w:rFonts w:cstheme="minorHAnsi"/>
        </w:rPr>
        <w:t xml:space="preserve">We confirm that in case of invocation of any Bank Guarantees submitted to the Bank, we will pay applicable GST on Bank Guarantee amount. </w:t>
      </w:r>
    </w:p>
    <w:p w14:paraId="71670D6E" w14:textId="3BCB078D" w:rsidR="00CA7091" w:rsidRPr="00A54361" w:rsidRDefault="00CA7091" w:rsidP="00A54361">
      <w:pPr>
        <w:pStyle w:val="ListParagraph"/>
        <w:numPr>
          <w:ilvl w:val="0"/>
          <w:numId w:val="25"/>
        </w:numPr>
        <w:spacing w:before="120" w:after="120"/>
        <w:jc w:val="both"/>
        <w:rPr>
          <w:rFonts w:cstheme="minorHAnsi"/>
        </w:rPr>
      </w:pPr>
      <w:r w:rsidRPr="00A54361">
        <w:rPr>
          <w:rFonts w:cstheme="minorHAnsi"/>
        </w:rPr>
        <w:t xml:space="preserve">We are agreeable to the payment schedule as per "Payment Terms" of the RFP. </w:t>
      </w:r>
    </w:p>
    <w:p w14:paraId="2A72FB8B" w14:textId="2BF1E413" w:rsidR="00CA7091" w:rsidRPr="00A54361" w:rsidRDefault="00CA7091" w:rsidP="00A54361">
      <w:pPr>
        <w:pStyle w:val="ListParagraph"/>
        <w:numPr>
          <w:ilvl w:val="0"/>
          <w:numId w:val="25"/>
        </w:numPr>
        <w:spacing w:before="120" w:after="120"/>
        <w:jc w:val="both"/>
        <w:rPr>
          <w:rFonts w:cstheme="minorHAnsi"/>
        </w:rPr>
      </w:pPr>
      <w:r w:rsidRPr="00A54361">
        <w:rPr>
          <w:rFonts w:cstheme="minorHAnsi"/>
        </w:rPr>
        <w:t xml:space="preserve">We here by confirm to undertake the ownership of the subject RFP. </w:t>
      </w:r>
    </w:p>
    <w:p w14:paraId="0CA3CC1B" w14:textId="4A64264F" w:rsidR="00CA7091" w:rsidRPr="00A54361" w:rsidRDefault="00CA7091" w:rsidP="00A54361">
      <w:pPr>
        <w:pStyle w:val="ListParagraph"/>
        <w:numPr>
          <w:ilvl w:val="0"/>
          <w:numId w:val="25"/>
        </w:numPr>
        <w:spacing w:before="120" w:after="120"/>
        <w:jc w:val="both"/>
        <w:rPr>
          <w:rFonts w:cstheme="minorHAnsi"/>
        </w:rPr>
      </w:pPr>
      <w:r w:rsidRPr="00A54361">
        <w:rPr>
          <w:rFonts w:cstheme="minorHAnsi"/>
        </w:rPr>
        <w:t>We hereby undertake to provide latest product/ software with latest version. The charges for the above have been factored in Bill of Material (BOM), otherwise the Bid is liable for rejection. We also confirm that we have not changed the format of BOM.</w:t>
      </w:r>
    </w:p>
    <w:p w14:paraId="7F1E7DC9" w14:textId="200CD61C" w:rsidR="00CA7091" w:rsidRPr="00A54361" w:rsidRDefault="00CA7091" w:rsidP="00A54361">
      <w:pPr>
        <w:spacing w:before="120" w:after="120"/>
        <w:jc w:val="both"/>
        <w:rPr>
          <w:rFonts w:cstheme="minorHAnsi"/>
        </w:rPr>
      </w:pPr>
    </w:p>
    <w:p w14:paraId="277EC3A5" w14:textId="30FB025E" w:rsidR="00CA7091" w:rsidRPr="00A54361" w:rsidRDefault="00CA7091" w:rsidP="00A54361">
      <w:pPr>
        <w:spacing w:before="120" w:after="120"/>
        <w:jc w:val="both"/>
        <w:rPr>
          <w:rFonts w:cstheme="minorHAnsi"/>
        </w:rPr>
      </w:pPr>
    </w:p>
    <w:p w14:paraId="32A5F2E4" w14:textId="77777777" w:rsidR="00CA7091" w:rsidRPr="00A54361" w:rsidRDefault="00CA7091" w:rsidP="00A54361">
      <w:pPr>
        <w:spacing w:before="120" w:after="120"/>
        <w:jc w:val="both"/>
        <w:rPr>
          <w:rFonts w:cstheme="minorHAnsi"/>
        </w:rPr>
      </w:pPr>
      <w:r w:rsidRPr="00A54361">
        <w:rPr>
          <w:rFonts w:cstheme="minorHAnsi"/>
        </w:rPr>
        <w:t>Signature</w:t>
      </w:r>
    </w:p>
    <w:p w14:paraId="2363E60D" w14:textId="77777777" w:rsidR="00CA7091" w:rsidRPr="00A54361" w:rsidRDefault="00CA7091" w:rsidP="00A54361">
      <w:pPr>
        <w:spacing w:after="0"/>
        <w:jc w:val="both"/>
        <w:rPr>
          <w:rFonts w:cstheme="minorHAnsi"/>
        </w:rPr>
      </w:pPr>
      <w:r w:rsidRPr="00A54361">
        <w:rPr>
          <w:rFonts w:cstheme="minorHAnsi"/>
        </w:rPr>
        <w:t>Name:</w:t>
      </w:r>
    </w:p>
    <w:p w14:paraId="4A7D56AA" w14:textId="77777777" w:rsidR="00CA7091" w:rsidRPr="00A54361" w:rsidRDefault="00CA7091" w:rsidP="00A54361">
      <w:pPr>
        <w:spacing w:after="0"/>
        <w:jc w:val="both"/>
        <w:rPr>
          <w:rFonts w:cstheme="minorHAnsi"/>
        </w:rPr>
      </w:pPr>
      <w:r w:rsidRPr="00A54361">
        <w:rPr>
          <w:rFonts w:cstheme="minorHAnsi"/>
        </w:rPr>
        <w:t>Designation:</w:t>
      </w:r>
    </w:p>
    <w:p w14:paraId="45729EB6" w14:textId="77777777" w:rsidR="00CA7091" w:rsidRPr="00A54361" w:rsidRDefault="00CA7091" w:rsidP="00A54361">
      <w:pPr>
        <w:spacing w:after="0"/>
        <w:jc w:val="both"/>
        <w:rPr>
          <w:rFonts w:cstheme="minorHAnsi"/>
        </w:rPr>
      </w:pPr>
      <w:r w:rsidRPr="00A54361">
        <w:rPr>
          <w:rFonts w:cstheme="minorHAnsi"/>
        </w:rPr>
        <w:t>Seal of Company</w:t>
      </w:r>
    </w:p>
    <w:p w14:paraId="593F759F" w14:textId="77777777" w:rsidR="00CA7091" w:rsidRPr="00A54361" w:rsidRDefault="00CA7091" w:rsidP="00A54361">
      <w:pPr>
        <w:spacing w:before="120" w:after="120"/>
        <w:jc w:val="both"/>
        <w:rPr>
          <w:rFonts w:cstheme="minorHAnsi"/>
        </w:rPr>
      </w:pPr>
      <w:r w:rsidRPr="00A54361">
        <w:rPr>
          <w:rFonts w:cstheme="minorHAnsi"/>
        </w:rPr>
        <w:t>Date:</w:t>
      </w:r>
    </w:p>
    <w:p w14:paraId="28968CD8" w14:textId="1985FDE7" w:rsidR="001B1DC7" w:rsidRPr="00A54361" w:rsidRDefault="001B1DC7" w:rsidP="00A54361">
      <w:pPr>
        <w:jc w:val="both"/>
        <w:rPr>
          <w:rFonts w:cstheme="minorHAnsi"/>
        </w:rPr>
      </w:pPr>
      <w:r w:rsidRPr="00A54361">
        <w:rPr>
          <w:rFonts w:cstheme="minorHAnsi"/>
        </w:rPr>
        <w:br w:type="page"/>
      </w:r>
    </w:p>
    <w:p w14:paraId="446A5033" w14:textId="4637AE65" w:rsidR="00CA7091" w:rsidRPr="00A54361" w:rsidRDefault="00606C32" w:rsidP="00A54361">
      <w:pPr>
        <w:pStyle w:val="Heading1"/>
        <w:numPr>
          <w:ilvl w:val="0"/>
          <w:numId w:val="48"/>
        </w:numPr>
        <w:jc w:val="both"/>
        <w:rPr>
          <w:rFonts w:asciiTheme="minorHAnsi" w:hAnsiTheme="minorHAnsi" w:cstheme="minorHAnsi"/>
          <w:color w:val="auto"/>
        </w:rPr>
      </w:pPr>
      <w:bookmarkStart w:id="273" w:name="_Toc129668535"/>
      <w:bookmarkStart w:id="274" w:name="_Toc182233414"/>
      <w:r w:rsidRPr="00A54361">
        <w:rPr>
          <w:rFonts w:asciiTheme="minorHAnsi" w:hAnsiTheme="minorHAnsi" w:cstheme="minorHAnsi"/>
          <w:color w:val="auto"/>
        </w:rPr>
        <w:t xml:space="preserve">Annexure </w:t>
      </w:r>
      <w:r w:rsidR="003970B0" w:rsidRPr="00A54361">
        <w:rPr>
          <w:rFonts w:asciiTheme="minorHAnsi" w:hAnsiTheme="minorHAnsi" w:cstheme="minorHAnsi"/>
          <w:color w:val="auto"/>
        </w:rPr>
        <w:t>8</w:t>
      </w:r>
      <w:r w:rsidR="001B1DC7" w:rsidRPr="00A54361">
        <w:rPr>
          <w:rFonts w:asciiTheme="minorHAnsi" w:hAnsiTheme="minorHAnsi" w:cstheme="minorHAnsi"/>
          <w:color w:val="auto"/>
        </w:rPr>
        <w:t>: Manufacturer’s Authorization Form</w:t>
      </w:r>
      <w:bookmarkEnd w:id="273"/>
      <w:bookmarkEnd w:id="274"/>
    </w:p>
    <w:p w14:paraId="7592C813" w14:textId="77777777" w:rsidR="001B1DC7" w:rsidRPr="00A54361" w:rsidRDefault="001B1DC7" w:rsidP="00A54361">
      <w:pPr>
        <w:spacing w:before="120" w:after="120"/>
        <w:jc w:val="both"/>
        <w:rPr>
          <w:rFonts w:cstheme="minorHAnsi"/>
        </w:rPr>
      </w:pPr>
      <w:r w:rsidRPr="00A54361">
        <w:rPr>
          <w:rFonts w:cstheme="minorHAnsi"/>
        </w:rPr>
        <w:t>Date</w:t>
      </w:r>
    </w:p>
    <w:p w14:paraId="1B12756B" w14:textId="77777777" w:rsidR="001B1DC7" w:rsidRPr="00A54361" w:rsidRDefault="001B1DC7" w:rsidP="00A54361">
      <w:pPr>
        <w:spacing w:before="120" w:after="120"/>
        <w:jc w:val="both"/>
        <w:rPr>
          <w:rFonts w:cstheme="minorHAnsi"/>
        </w:rPr>
      </w:pPr>
      <w:r w:rsidRPr="00A54361">
        <w:rPr>
          <w:rFonts w:cstheme="minorHAnsi"/>
        </w:rPr>
        <w:t>To,</w:t>
      </w:r>
    </w:p>
    <w:p w14:paraId="2E2F4EBB" w14:textId="77777777" w:rsidR="001B1DC7" w:rsidRPr="00A54361" w:rsidRDefault="001B1DC7" w:rsidP="00A54361">
      <w:pPr>
        <w:spacing w:after="0"/>
        <w:jc w:val="both"/>
        <w:rPr>
          <w:rFonts w:cstheme="minorHAnsi"/>
        </w:rPr>
      </w:pPr>
      <w:r w:rsidRPr="00A54361">
        <w:rPr>
          <w:rFonts w:cstheme="minorHAnsi"/>
        </w:rPr>
        <w:t xml:space="preserve">General Manager (IT), </w:t>
      </w:r>
    </w:p>
    <w:p w14:paraId="67EC3300" w14:textId="77777777" w:rsidR="001B1DC7" w:rsidRPr="00A54361" w:rsidRDefault="001B1DC7" w:rsidP="00A54361">
      <w:pPr>
        <w:spacing w:after="0"/>
        <w:jc w:val="both"/>
        <w:rPr>
          <w:rFonts w:cstheme="minorHAnsi"/>
        </w:rPr>
      </w:pPr>
      <w:r w:rsidRPr="00A54361">
        <w:rPr>
          <w:rFonts w:cstheme="minorHAnsi"/>
        </w:rPr>
        <w:t xml:space="preserve">Central Bank of India, </w:t>
      </w:r>
    </w:p>
    <w:p w14:paraId="6B6D6362" w14:textId="77777777" w:rsidR="001B1DC7" w:rsidRPr="00A54361" w:rsidRDefault="001B1DC7" w:rsidP="00A54361">
      <w:pPr>
        <w:spacing w:after="0"/>
        <w:jc w:val="both"/>
        <w:rPr>
          <w:rFonts w:cstheme="minorHAnsi"/>
        </w:rPr>
      </w:pPr>
      <w:r w:rsidRPr="00A54361">
        <w:rPr>
          <w:rFonts w:cstheme="minorHAnsi"/>
        </w:rPr>
        <w:t xml:space="preserve">DIT, Sector 11, </w:t>
      </w:r>
    </w:p>
    <w:p w14:paraId="5E8AA561" w14:textId="77777777" w:rsidR="001B1DC7" w:rsidRPr="00A54361" w:rsidRDefault="001B1DC7" w:rsidP="00A54361">
      <w:pPr>
        <w:spacing w:after="0"/>
        <w:jc w:val="both"/>
        <w:rPr>
          <w:rFonts w:cstheme="minorHAnsi"/>
        </w:rPr>
      </w:pPr>
      <w:r w:rsidRPr="00A54361">
        <w:rPr>
          <w:rFonts w:cstheme="minorHAnsi"/>
        </w:rPr>
        <w:t xml:space="preserve">CBD Belapur, </w:t>
      </w:r>
    </w:p>
    <w:p w14:paraId="07F760F8" w14:textId="77777777" w:rsidR="001B1DC7" w:rsidRPr="00A54361" w:rsidRDefault="001B1DC7" w:rsidP="00A54361">
      <w:pPr>
        <w:spacing w:after="0"/>
        <w:jc w:val="both"/>
        <w:rPr>
          <w:rFonts w:cstheme="minorHAnsi"/>
        </w:rPr>
      </w:pPr>
      <w:r w:rsidRPr="00A54361">
        <w:rPr>
          <w:rFonts w:cstheme="minorHAnsi"/>
        </w:rPr>
        <w:t>Navi Mumbai – 400614</w:t>
      </w:r>
    </w:p>
    <w:p w14:paraId="6D228BBA" w14:textId="77777777" w:rsidR="001D3916" w:rsidRPr="00A54361" w:rsidRDefault="001D3916" w:rsidP="00A54361">
      <w:pPr>
        <w:jc w:val="both"/>
        <w:rPr>
          <w:rFonts w:cstheme="minorHAnsi"/>
        </w:rPr>
      </w:pPr>
    </w:p>
    <w:p w14:paraId="4E427544" w14:textId="68736E00" w:rsidR="000B2568" w:rsidRPr="00A54361" w:rsidRDefault="000B2568" w:rsidP="00A54361">
      <w:pPr>
        <w:jc w:val="both"/>
        <w:rPr>
          <w:rFonts w:cstheme="minorHAnsi"/>
        </w:rPr>
      </w:pPr>
      <w:r w:rsidRPr="00A54361">
        <w:rPr>
          <w:rFonts w:cstheme="minorHAnsi"/>
        </w:rPr>
        <w:t>Tender No. _____________________________</w:t>
      </w:r>
    </w:p>
    <w:p w14:paraId="669E55A9" w14:textId="4893E770" w:rsidR="00157A11" w:rsidRPr="00A54361" w:rsidRDefault="00157A11" w:rsidP="00A54361">
      <w:pPr>
        <w:jc w:val="both"/>
        <w:rPr>
          <w:rFonts w:cstheme="minorHAnsi"/>
        </w:rPr>
      </w:pPr>
      <w:r w:rsidRPr="00A54361">
        <w:rPr>
          <w:rFonts w:cstheme="minorHAnsi"/>
        </w:rPr>
        <w:t>Dear Sir,</w:t>
      </w:r>
    </w:p>
    <w:p w14:paraId="059B9B30" w14:textId="7DA53A9E" w:rsidR="00157A11" w:rsidRPr="00A54361" w:rsidRDefault="00A45123" w:rsidP="00A54361">
      <w:pPr>
        <w:jc w:val="both"/>
        <w:rPr>
          <w:rFonts w:cstheme="minorHAnsi"/>
        </w:rPr>
      </w:pPr>
      <w:r w:rsidRPr="00A54361">
        <w:t>We_________________ (OEM Vendor) of _________________ product / service / solution hereby authorize M/s.___________________ (Selected Bidder / Vendor Name) to offer their quotation, negotiate and conclude the contract with you against the above invitation for the Bid. We hereby extend our full guarantee and comprehensive warranty and AMC</w:t>
      </w:r>
      <w:r w:rsidR="004B6565" w:rsidRPr="00A54361">
        <w:t xml:space="preserve"> &amp; </w:t>
      </w:r>
      <w:r w:rsidR="00472D3F" w:rsidRPr="00A54361">
        <w:t>ATS</w:t>
      </w:r>
      <w:r w:rsidRPr="00A54361">
        <w:t xml:space="preserve"> (post expiry of warranty) as per terms and conditions of the tender and the contract for our product / application solution / services offered against this invitation for Bid by the above firm. We also extend our </w:t>
      </w:r>
      <w:r w:rsidR="004B6565" w:rsidRPr="00A54361">
        <w:t>back-to-back</w:t>
      </w:r>
      <w:r w:rsidRPr="00A54361">
        <w:t xml:space="preserve"> service support and assurance of availability of our equipment</w:t>
      </w:r>
      <w:r w:rsidR="0028493A" w:rsidRPr="00A54361">
        <w:t xml:space="preserve"> (Hardware and Software </w:t>
      </w:r>
      <w:r w:rsidR="001F7CBC" w:rsidRPr="00A54361">
        <w:t xml:space="preserve">as </w:t>
      </w:r>
      <w:r w:rsidR="0028493A" w:rsidRPr="00A54361">
        <w:t xml:space="preserve">part of the </w:t>
      </w:r>
      <w:r w:rsidR="001F7CBC" w:rsidRPr="00A54361">
        <w:t>Bill of Material</w:t>
      </w:r>
      <w:r w:rsidR="0028493A" w:rsidRPr="00A54361">
        <w:t>)</w:t>
      </w:r>
      <w:r w:rsidRPr="00A54361">
        <w:t xml:space="preserve"> and their components as per terms and conditions of the tender, to M/s. </w:t>
      </w:r>
      <w:r w:rsidR="001F7CBC" w:rsidRPr="00A54361">
        <w:t>_____________</w:t>
      </w:r>
      <w:r w:rsidRPr="00A54361">
        <w:t>(Vendor Nam</w:t>
      </w:r>
      <w:r w:rsidR="00655602" w:rsidRPr="00A54361">
        <w:t>e) for a period of five years</w:t>
      </w:r>
    </w:p>
    <w:p w14:paraId="3D9D31AA" w14:textId="77777777" w:rsidR="00157A11" w:rsidRPr="00A54361" w:rsidRDefault="00157A11" w:rsidP="00A54361">
      <w:pPr>
        <w:jc w:val="both"/>
        <w:rPr>
          <w:rFonts w:cstheme="minorHAnsi"/>
        </w:rPr>
      </w:pPr>
      <w:r w:rsidRPr="00A54361">
        <w:rPr>
          <w:rFonts w:cstheme="minorHAnsi"/>
        </w:rPr>
        <w:t>Yours Faithfully,</w:t>
      </w:r>
    </w:p>
    <w:p w14:paraId="52872D8F" w14:textId="77777777" w:rsidR="00157A11" w:rsidRPr="00A54361" w:rsidRDefault="00157A11" w:rsidP="00A54361">
      <w:pPr>
        <w:jc w:val="both"/>
        <w:rPr>
          <w:rFonts w:cstheme="minorHAnsi"/>
        </w:rPr>
      </w:pPr>
    </w:p>
    <w:p w14:paraId="26EBA8E2" w14:textId="77777777" w:rsidR="00157A11" w:rsidRPr="00A54361" w:rsidRDefault="00157A11" w:rsidP="00A54361">
      <w:pPr>
        <w:jc w:val="both"/>
        <w:rPr>
          <w:rFonts w:cstheme="minorHAnsi"/>
        </w:rPr>
      </w:pPr>
    </w:p>
    <w:p w14:paraId="39BAA917" w14:textId="77777777" w:rsidR="00157A11" w:rsidRPr="00A54361" w:rsidRDefault="00157A11" w:rsidP="00A54361">
      <w:pPr>
        <w:jc w:val="both"/>
        <w:rPr>
          <w:rFonts w:cstheme="minorHAnsi"/>
        </w:rPr>
      </w:pPr>
      <w:r w:rsidRPr="00A54361">
        <w:rPr>
          <w:rFonts w:cstheme="minorHAnsi"/>
        </w:rPr>
        <w:t xml:space="preserve">Authorized Signatory </w:t>
      </w:r>
    </w:p>
    <w:p w14:paraId="48F599AB" w14:textId="77777777" w:rsidR="00157A11" w:rsidRPr="00A54361" w:rsidRDefault="00157A11" w:rsidP="00A54361">
      <w:pPr>
        <w:jc w:val="both"/>
        <w:rPr>
          <w:rFonts w:cstheme="minorHAnsi"/>
          <w:lang w:val="de-DE"/>
        </w:rPr>
      </w:pPr>
      <w:r w:rsidRPr="00A54361">
        <w:rPr>
          <w:rFonts w:cstheme="minorHAnsi"/>
        </w:rPr>
        <w:t>(Name, Phone No.,</w:t>
      </w:r>
      <w:r w:rsidRPr="00A54361">
        <w:rPr>
          <w:rFonts w:cstheme="minorHAnsi"/>
          <w:lang w:val="de-DE"/>
        </w:rPr>
        <w:t xml:space="preserve"> Fax, E-mail)</w:t>
      </w:r>
    </w:p>
    <w:p w14:paraId="11150573" w14:textId="77777777" w:rsidR="00157A11" w:rsidRPr="00A54361" w:rsidRDefault="00157A11" w:rsidP="00A54361">
      <w:pPr>
        <w:jc w:val="both"/>
        <w:rPr>
          <w:rFonts w:cstheme="minorHAnsi"/>
        </w:rPr>
      </w:pPr>
    </w:p>
    <w:p w14:paraId="6E7EB576" w14:textId="77777777" w:rsidR="00157A11" w:rsidRPr="00A54361" w:rsidRDefault="00157A11" w:rsidP="00A54361">
      <w:pPr>
        <w:jc w:val="both"/>
        <w:rPr>
          <w:rFonts w:cstheme="minorHAnsi"/>
        </w:rPr>
      </w:pPr>
      <w:r w:rsidRPr="00A54361">
        <w:rPr>
          <w:rFonts w:cstheme="minorHAnsi"/>
          <w:i/>
          <w:iCs/>
        </w:rPr>
        <w:t>(This letter should be on the letterhead of the Manufacturer duly signed &amp; seal by an authorized signatory)</w:t>
      </w:r>
    </w:p>
    <w:p w14:paraId="063791E1" w14:textId="1CE4294D" w:rsidR="001B1DC7" w:rsidRPr="00A54361" w:rsidRDefault="001B1DC7" w:rsidP="00A54361">
      <w:pPr>
        <w:jc w:val="both"/>
        <w:rPr>
          <w:rFonts w:cstheme="minorHAnsi"/>
        </w:rPr>
      </w:pPr>
      <w:r w:rsidRPr="00A54361">
        <w:rPr>
          <w:rFonts w:cstheme="minorHAnsi"/>
        </w:rPr>
        <w:br w:type="page"/>
      </w:r>
    </w:p>
    <w:p w14:paraId="78112A2A" w14:textId="6A005169" w:rsidR="001B1DC7" w:rsidRPr="00A54361" w:rsidRDefault="001B1DC7" w:rsidP="00A54361">
      <w:pPr>
        <w:pStyle w:val="Heading1"/>
        <w:numPr>
          <w:ilvl w:val="0"/>
          <w:numId w:val="48"/>
        </w:numPr>
        <w:jc w:val="both"/>
        <w:rPr>
          <w:rFonts w:asciiTheme="minorHAnsi" w:hAnsiTheme="minorHAnsi" w:cstheme="minorHAnsi"/>
          <w:color w:val="auto"/>
        </w:rPr>
      </w:pPr>
      <w:bookmarkStart w:id="275" w:name="_Toc129668536"/>
      <w:bookmarkStart w:id="276" w:name="_Toc182233415"/>
      <w:r w:rsidRPr="00A54361">
        <w:rPr>
          <w:rFonts w:asciiTheme="minorHAnsi" w:hAnsiTheme="minorHAnsi" w:cstheme="minorHAnsi"/>
          <w:color w:val="auto"/>
        </w:rPr>
        <w:t xml:space="preserve">Annexure </w:t>
      </w:r>
      <w:r w:rsidR="003970B0" w:rsidRPr="00A54361">
        <w:rPr>
          <w:rFonts w:asciiTheme="minorHAnsi" w:hAnsiTheme="minorHAnsi" w:cstheme="minorHAnsi"/>
          <w:color w:val="auto"/>
        </w:rPr>
        <w:t>9</w:t>
      </w:r>
      <w:r w:rsidRPr="00A54361">
        <w:rPr>
          <w:rFonts w:asciiTheme="minorHAnsi" w:hAnsiTheme="minorHAnsi" w:cstheme="minorHAnsi"/>
          <w:color w:val="auto"/>
        </w:rPr>
        <w:t>: Integrity Pact</w:t>
      </w:r>
      <w:bookmarkEnd w:id="275"/>
      <w:bookmarkEnd w:id="276"/>
    </w:p>
    <w:p w14:paraId="6DCD0EE6" w14:textId="77777777" w:rsidR="00B70E22" w:rsidRPr="00A54361" w:rsidRDefault="00B70E22" w:rsidP="00A54361">
      <w:pPr>
        <w:spacing w:before="120" w:after="120"/>
        <w:ind w:left="360"/>
        <w:jc w:val="both"/>
        <w:rPr>
          <w:rFonts w:cstheme="minorHAnsi"/>
        </w:rPr>
      </w:pPr>
      <w:r w:rsidRPr="00A54361">
        <w:rPr>
          <w:rFonts w:cstheme="minorHAnsi"/>
        </w:rPr>
        <w:t>Integrity Pact</w:t>
      </w:r>
    </w:p>
    <w:p w14:paraId="6EC17195" w14:textId="138F94B8" w:rsidR="00B70E22" w:rsidRPr="00A54361" w:rsidRDefault="00B70E22" w:rsidP="00A54361">
      <w:pPr>
        <w:spacing w:before="120" w:after="120"/>
        <w:ind w:left="360"/>
        <w:jc w:val="both"/>
        <w:rPr>
          <w:rFonts w:cstheme="minorHAnsi"/>
        </w:rPr>
      </w:pPr>
      <w:r w:rsidRPr="00A54361">
        <w:rPr>
          <w:rFonts w:cstheme="minorHAnsi"/>
        </w:rPr>
        <w:t>Between</w:t>
      </w:r>
    </w:p>
    <w:p w14:paraId="0E2F4DDA" w14:textId="77777777" w:rsidR="00B70E22" w:rsidRPr="00A54361" w:rsidRDefault="00B70E22" w:rsidP="00A54361">
      <w:pPr>
        <w:spacing w:before="120" w:after="120"/>
        <w:ind w:left="360"/>
        <w:jc w:val="both"/>
        <w:rPr>
          <w:rFonts w:cstheme="minorHAnsi"/>
        </w:rPr>
      </w:pPr>
      <w:r w:rsidRPr="00A54361">
        <w:rPr>
          <w:rFonts w:cstheme="minorHAnsi"/>
        </w:rPr>
        <w:t>Central Bank of India hereinafter referred to as “The Principal”,</w:t>
      </w:r>
    </w:p>
    <w:p w14:paraId="47CA6D40" w14:textId="064904DB" w:rsidR="00B70E22" w:rsidRPr="00A54361" w:rsidRDefault="00B70E22" w:rsidP="00A54361">
      <w:pPr>
        <w:spacing w:before="120" w:after="120"/>
        <w:ind w:left="360"/>
        <w:jc w:val="both"/>
        <w:rPr>
          <w:rFonts w:cstheme="minorHAnsi"/>
        </w:rPr>
      </w:pPr>
      <w:r w:rsidRPr="00A54361">
        <w:rPr>
          <w:rFonts w:cstheme="minorHAnsi"/>
        </w:rPr>
        <w:t>And</w:t>
      </w:r>
    </w:p>
    <w:p w14:paraId="3BCE0DE9" w14:textId="77777777" w:rsidR="00B70E22" w:rsidRPr="00A54361" w:rsidRDefault="00B70E22" w:rsidP="00A54361">
      <w:pPr>
        <w:spacing w:before="120" w:after="120"/>
        <w:ind w:left="360"/>
        <w:jc w:val="both"/>
        <w:rPr>
          <w:rFonts w:cstheme="minorHAnsi"/>
        </w:rPr>
      </w:pPr>
      <w:r w:rsidRPr="00A54361">
        <w:rPr>
          <w:rFonts w:cstheme="minorHAnsi"/>
        </w:rPr>
        <w:t>…………………………………………… hereinafter referred to as “The Bidder/ Contractor”</w:t>
      </w:r>
    </w:p>
    <w:p w14:paraId="6AF87F6E" w14:textId="77777777" w:rsidR="00B70E22" w:rsidRPr="00A54361" w:rsidRDefault="00B70E22" w:rsidP="00A54361">
      <w:pPr>
        <w:spacing w:before="120" w:after="120"/>
        <w:ind w:left="360"/>
        <w:jc w:val="both"/>
        <w:rPr>
          <w:rFonts w:cstheme="minorHAnsi"/>
          <w:b/>
          <w:bCs/>
        </w:rPr>
      </w:pPr>
      <w:r w:rsidRPr="00A54361">
        <w:rPr>
          <w:rFonts w:cstheme="minorHAnsi"/>
          <w:b/>
          <w:bCs/>
        </w:rPr>
        <w:t>Preamble</w:t>
      </w:r>
    </w:p>
    <w:p w14:paraId="5A3D8C5B" w14:textId="77777777" w:rsidR="00B70E22" w:rsidRPr="00A54361" w:rsidRDefault="00B70E22" w:rsidP="00A54361">
      <w:pPr>
        <w:spacing w:before="120" w:after="120"/>
        <w:ind w:left="360"/>
        <w:jc w:val="both"/>
        <w:rPr>
          <w:rFonts w:cstheme="minorHAnsi"/>
        </w:rPr>
      </w:pPr>
      <w:r w:rsidRPr="00A54361">
        <w:rPr>
          <w:rFonts w:cstheme="minorHAnsi"/>
        </w:rPr>
        <w:t>The Principal intends to award, under laid down organizational procedures, contract/s for………………………………………The Principal values full compliance with all relevant laws of the land, rules, regulations, economic use of resources and of fairness / transparency in its relations with its Bidder(s) and / or Contractor(s).</w:t>
      </w:r>
    </w:p>
    <w:p w14:paraId="063E6065" w14:textId="77777777" w:rsidR="00B70E22" w:rsidRPr="00A54361" w:rsidRDefault="00B70E22" w:rsidP="00A54361">
      <w:pPr>
        <w:spacing w:before="120" w:after="120"/>
        <w:ind w:left="360"/>
        <w:jc w:val="both"/>
        <w:rPr>
          <w:rFonts w:cstheme="minorHAnsi"/>
        </w:rPr>
      </w:pPr>
      <w:r w:rsidRPr="00A54361">
        <w:rPr>
          <w:rFonts w:cstheme="minorHAnsi"/>
        </w:rPr>
        <w:t>In order to achieve these goals, the Principal will appoint an Independent External Monitor (IEM), who will monitor the tender process and the execution of the contract for compliance with the principles mentioned above.</w:t>
      </w:r>
    </w:p>
    <w:p w14:paraId="2204B44C" w14:textId="77777777" w:rsidR="00B70E22" w:rsidRPr="00A54361" w:rsidRDefault="00B70E22" w:rsidP="00A54361">
      <w:pPr>
        <w:spacing w:before="120" w:after="120"/>
        <w:ind w:left="360"/>
        <w:jc w:val="both"/>
        <w:rPr>
          <w:rFonts w:cstheme="minorHAnsi"/>
          <w:b/>
          <w:bCs/>
        </w:rPr>
      </w:pPr>
      <w:r w:rsidRPr="00A54361">
        <w:rPr>
          <w:rFonts w:cstheme="minorHAnsi"/>
          <w:b/>
          <w:bCs/>
        </w:rPr>
        <w:t>Section 1 – Commitments of the Principal</w:t>
      </w:r>
    </w:p>
    <w:p w14:paraId="29858487" w14:textId="77777777" w:rsidR="00B70E22" w:rsidRPr="00A54361" w:rsidRDefault="00B70E22" w:rsidP="00A54361">
      <w:pPr>
        <w:spacing w:before="120" w:after="120"/>
        <w:ind w:left="360"/>
        <w:jc w:val="both"/>
        <w:rPr>
          <w:rFonts w:cstheme="minorHAnsi"/>
        </w:rPr>
      </w:pPr>
      <w:r w:rsidRPr="00A54361">
        <w:rPr>
          <w:rFonts w:cstheme="minorHAnsi"/>
        </w:rPr>
        <w:t xml:space="preserve">(1.) The Principal commits itself to take all measures necessary to prevent corruption and to observe the following principles:- </w:t>
      </w:r>
    </w:p>
    <w:p w14:paraId="0239FC60" w14:textId="77777777" w:rsidR="00B70E22" w:rsidRPr="00A54361" w:rsidRDefault="00B70E22" w:rsidP="00A54361">
      <w:pPr>
        <w:spacing w:before="120" w:after="120"/>
        <w:ind w:left="360"/>
        <w:jc w:val="both"/>
        <w:rPr>
          <w:rFonts w:cstheme="minorHAnsi"/>
        </w:rPr>
      </w:pPr>
      <w:r w:rsidRPr="00A54361">
        <w:rPr>
          <w:rFonts w:cstheme="minorHAnsi"/>
        </w:rPr>
        <w:t xml:space="preserve">a. No employee of the Principal, personally or through family members, will in connection with the tender for , or the execution of a contract, demand, take a promise for or accept, for self or third person, any material or immaterial benefit which the person is not legally entitled to. </w:t>
      </w:r>
    </w:p>
    <w:p w14:paraId="05938D60" w14:textId="77777777" w:rsidR="00B70E22" w:rsidRPr="00A54361" w:rsidRDefault="00B70E22" w:rsidP="00A54361">
      <w:pPr>
        <w:spacing w:before="120" w:after="120"/>
        <w:ind w:left="360"/>
        <w:jc w:val="both"/>
        <w:rPr>
          <w:rFonts w:cstheme="minorHAnsi"/>
        </w:rPr>
      </w:pPr>
      <w:r w:rsidRPr="00A54361">
        <w:rPr>
          <w:rFonts w:cstheme="minorHAnsi"/>
        </w:rPr>
        <w:t xml:space="preserve">b. The Principal will, during the tender process treat all Bidder(s) with equity and reason. The Principal will in particular, before and during the tender process, provide to all Bidder(s) the same information and will not provide to any Bidder(s) confidential / additional information through which the Bidder(s) could obtain an advantage in relation to the tender process or the contract execution. </w:t>
      </w:r>
    </w:p>
    <w:p w14:paraId="08A34C96" w14:textId="77777777" w:rsidR="00B70E22" w:rsidRPr="00A54361" w:rsidRDefault="00B70E22" w:rsidP="00A54361">
      <w:pPr>
        <w:spacing w:before="120" w:after="120"/>
        <w:ind w:left="360"/>
        <w:jc w:val="both"/>
        <w:rPr>
          <w:rFonts w:cstheme="minorHAnsi"/>
        </w:rPr>
      </w:pPr>
      <w:r w:rsidRPr="00A54361">
        <w:rPr>
          <w:rFonts w:cstheme="minorHAnsi"/>
        </w:rPr>
        <w:t xml:space="preserve">c. The Principal will exclude from the process all known prejudiced persons. </w:t>
      </w:r>
    </w:p>
    <w:p w14:paraId="7BBDBD24" w14:textId="77777777" w:rsidR="00B70E22" w:rsidRPr="00A54361" w:rsidRDefault="00B70E22" w:rsidP="00A54361">
      <w:pPr>
        <w:spacing w:before="120" w:after="120"/>
        <w:ind w:left="360"/>
        <w:jc w:val="both"/>
        <w:rPr>
          <w:rFonts w:cstheme="minorHAnsi"/>
        </w:rPr>
      </w:pPr>
      <w:r w:rsidRPr="00A54361">
        <w:rPr>
          <w:rFonts w:cstheme="minorHAnsi"/>
        </w:rPr>
        <w:t>(2) If the Principal obtains information on the conduct of any of its employees which is a criminal offence under the IPC/PC Act, or if there be a substantive suspicion in this regard, the Principal will inform the Chief Vigilance Officer and in addition can initiate disciplinary actions.</w:t>
      </w:r>
    </w:p>
    <w:p w14:paraId="390E1AE6" w14:textId="77777777" w:rsidR="00B70E22" w:rsidRPr="00A54361" w:rsidRDefault="00B70E22" w:rsidP="00A54361">
      <w:pPr>
        <w:spacing w:before="120" w:after="120"/>
        <w:ind w:left="360"/>
        <w:jc w:val="both"/>
        <w:rPr>
          <w:rFonts w:cstheme="minorHAnsi"/>
          <w:b/>
          <w:bCs/>
        </w:rPr>
      </w:pPr>
      <w:r w:rsidRPr="00A54361">
        <w:rPr>
          <w:rFonts w:cstheme="minorHAnsi"/>
          <w:b/>
          <w:bCs/>
        </w:rPr>
        <w:t>Section 2 – Commitments of the Bidder(s)/ contractor(s)</w:t>
      </w:r>
    </w:p>
    <w:p w14:paraId="6D2AB00F" w14:textId="77777777" w:rsidR="00B70E22" w:rsidRPr="00A54361" w:rsidRDefault="00B70E22" w:rsidP="00A54361">
      <w:pPr>
        <w:spacing w:before="120" w:after="120"/>
        <w:ind w:left="360"/>
        <w:jc w:val="both"/>
        <w:rPr>
          <w:rFonts w:cstheme="minorHAnsi"/>
        </w:rPr>
      </w:pPr>
      <w:r w:rsidRPr="00A54361">
        <w:rPr>
          <w:rFonts w:cstheme="minorHAnsi"/>
        </w:rPr>
        <w:t xml:space="preserve">(1) The Bidder(s)/ Contractor(s) commit themselves to take all measures necessary to prevent corruption. He commits himself to observe the following principles during his participation in the tender process and during the contract execution. </w:t>
      </w:r>
    </w:p>
    <w:p w14:paraId="19B12CBB" w14:textId="77777777" w:rsidR="00B70E22" w:rsidRPr="00A54361" w:rsidRDefault="00B70E22" w:rsidP="00A54361">
      <w:pPr>
        <w:spacing w:before="120" w:after="120"/>
        <w:ind w:left="360"/>
        <w:jc w:val="both"/>
        <w:rPr>
          <w:rFonts w:cstheme="minorHAnsi"/>
        </w:rPr>
      </w:pPr>
      <w:r w:rsidRPr="00A54361">
        <w:rPr>
          <w:rFonts w:cstheme="minorHAnsi"/>
        </w:rPr>
        <w:t xml:space="preserve">a. The Bidder(s)/ Contractor(s) will not, directly or through any other person or firm, offer, promise or give to any of the Principal’s employees involved in the tender process or the execution of the contract or to any third person any material or other benefit which he/she is not legally entitled to, in order to obtain in exchange any advantage of any kind whatsoever during the tender process or during the execution of the contract. </w:t>
      </w:r>
    </w:p>
    <w:p w14:paraId="3D0DD062" w14:textId="77777777" w:rsidR="00B70E22" w:rsidRPr="00A54361" w:rsidRDefault="00B70E22" w:rsidP="00A54361">
      <w:pPr>
        <w:spacing w:before="120" w:after="120"/>
        <w:ind w:left="360"/>
        <w:jc w:val="both"/>
        <w:rPr>
          <w:rFonts w:cstheme="minorHAnsi"/>
        </w:rPr>
      </w:pPr>
      <w:r w:rsidRPr="00A54361">
        <w:rPr>
          <w:rFonts w:cstheme="minorHAnsi"/>
        </w:rPr>
        <w:t>b. The Bidder(s)/ Contractor(s) will not enter with other Bidders into any undisclosed agreement or understanding, whether formal or informal. This applies in particular to prices, specifications, certifications, subsidiary contracts, submission or non-submission of bids or any other actions to restrict competitiveness or to introduce cartelisation in the bidding process.</w:t>
      </w:r>
    </w:p>
    <w:p w14:paraId="56002042" w14:textId="77777777" w:rsidR="00B70E22" w:rsidRPr="00A54361" w:rsidRDefault="00B70E22" w:rsidP="00A54361">
      <w:pPr>
        <w:spacing w:before="120" w:after="120"/>
        <w:ind w:left="360"/>
        <w:jc w:val="both"/>
        <w:rPr>
          <w:rFonts w:cstheme="minorHAnsi"/>
        </w:rPr>
      </w:pPr>
      <w:r w:rsidRPr="00A54361">
        <w:rPr>
          <w:rFonts w:cstheme="minorHAnsi"/>
        </w:rPr>
        <w:t>c. The Bidder(s)/ Contractor(s) will not commit any offence under the relevant IPC/PC Act; further the Bidder(s)/ Contractor(s) will not use improperly, for purposes of competition or personal gain, or pass on to others, any information or document provided by the Principal as part of the business relationship, regarding plans, technical proposals and business details, including information contained or transmitted electronically.</w:t>
      </w:r>
    </w:p>
    <w:p w14:paraId="5DE269F4" w14:textId="4D64FE99" w:rsidR="00B70E22" w:rsidRPr="00A54361" w:rsidRDefault="00B70E22" w:rsidP="00A54361">
      <w:pPr>
        <w:spacing w:before="120" w:after="120"/>
        <w:ind w:left="360"/>
        <w:jc w:val="both"/>
        <w:rPr>
          <w:rFonts w:cstheme="minorHAnsi"/>
        </w:rPr>
      </w:pPr>
      <w:r w:rsidRPr="00A54361">
        <w:rPr>
          <w:rFonts w:cstheme="minorHAnsi"/>
        </w:rPr>
        <w:t xml:space="preserve">d. The Bidder(s)/Contractors(s) of foreign origin shall disclose the name and address of the Agents/representatives in India, if any. Similarly the Bidder(s)/Contractors(s) of Indian Nationality shall furnish the name and address of the foreign principals, if any. Further details as mentioned in the “Guidelines on Indian Agents of Foreign Suppliers” shall be disclosed by the Bidder(s)/Contractor(s).Further, as mentioned in the Guidelines all the payments made to the Indian agent/representative have to be in Indian Rupees only. </w:t>
      </w:r>
    </w:p>
    <w:p w14:paraId="520797A5" w14:textId="77777777" w:rsidR="00B70E22" w:rsidRPr="00A54361" w:rsidRDefault="00B70E22" w:rsidP="00A54361">
      <w:pPr>
        <w:spacing w:before="120" w:after="120"/>
        <w:ind w:left="360"/>
        <w:jc w:val="both"/>
        <w:rPr>
          <w:rFonts w:cstheme="minorHAnsi"/>
        </w:rPr>
      </w:pPr>
      <w:r w:rsidRPr="00A54361">
        <w:rPr>
          <w:rFonts w:cstheme="minorHAnsi"/>
        </w:rPr>
        <w:t>e. The Bidder(s)/ Contractor(s) will, when presenting his bid, disclose any and all payments he has made, is committed to or intends to make to agents, brokers or any other intermediaries in connection with the award of the contract.</w:t>
      </w:r>
    </w:p>
    <w:p w14:paraId="08518543" w14:textId="77777777" w:rsidR="00B70E22" w:rsidRPr="00A54361" w:rsidRDefault="00B70E22" w:rsidP="00A54361">
      <w:pPr>
        <w:spacing w:before="120" w:after="120"/>
        <w:ind w:left="360"/>
        <w:jc w:val="both"/>
        <w:rPr>
          <w:rFonts w:cstheme="minorHAnsi"/>
        </w:rPr>
      </w:pPr>
      <w:r w:rsidRPr="00A54361">
        <w:rPr>
          <w:rFonts w:cstheme="minorHAnsi"/>
        </w:rPr>
        <w:t>(2) The Bidder(s)/ Contractor(s) will not instigate third persons to commit offences outlined above or be an accessory to such offences.</w:t>
      </w:r>
    </w:p>
    <w:p w14:paraId="3A721988" w14:textId="77777777" w:rsidR="00B70E22" w:rsidRPr="00A54361" w:rsidRDefault="00B70E22" w:rsidP="00A54361">
      <w:pPr>
        <w:spacing w:before="120" w:after="120"/>
        <w:ind w:left="360"/>
        <w:jc w:val="both"/>
        <w:rPr>
          <w:rFonts w:cstheme="minorHAnsi"/>
          <w:b/>
          <w:bCs/>
        </w:rPr>
      </w:pPr>
      <w:r w:rsidRPr="00A54361">
        <w:rPr>
          <w:rFonts w:cstheme="minorHAnsi"/>
          <w:b/>
          <w:bCs/>
        </w:rPr>
        <w:t>Section 3- Disqualification from tender process and exclusion from future contracts</w:t>
      </w:r>
    </w:p>
    <w:p w14:paraId="464A471B" w14:textId="248996A5" w:rsidR="00B70E22" w:rsidRPr="00A54361" w:rsidRDefault="00B70E22" w:rsidP="00A54361">
      <w:pPr>
        <w:spacing w:before="120" w:after="120"/>
        <w:ind w:left="360"/>
        <w:jc w:val="both"/>
        <w:rPr>
          <w:rFonts w:cstheme="minorHAnsi"/>
        </w:rPr>
      </w:pPr>
      <w:r w:rsidRPr="00A54361">
        <w:rPr>
          <w:rFonts w:cstheme="minorHAnsi"/>
        </w:rPr>
        <w:t xml:space="preserve">If the Bidder(s)/Contractor(s), before award or during execution has committed a transgression through a violation of Section 2, above or in any other form such as to put his reliability or credibility in question, the Principal is entitled to disqualify the Bidder(s)/Contractor(s) from the tender process or take action as per the procedure mentioned in the “Guidelines on Banning of business dealings”. </w:t>
      </w:r>
    </w:p>
    <w:p w14:paraId="2A96A257" w14:textId="77777777" w:rsidR="00B70E22" w:rsidRPr="00A54361" w:rsidRDefault="00B70E22" w:rsidP="00A54361">
      <w:pPr>
        <w:spacing w:before="120" w:after="120"/>
        <w:ind w:left="360"/>
        <w:jc w:val="both"/>
        <w:rPr>
          <w:rFonts w:cstheme="minorHAnsi"/>
          <w:b/>
          <w:bCs/>
        </w:rPr>
      </w:pPr>
      <w:r w:rsidRPr="00A54361">
        <w:rPr>
          <w:rFonts w:cstheme="minorHAnsi"/>
          <w:b/>
          <w:bCs/>
        </w:rPr>
        <w:t>Section 4 – Compensation for Damages</w:t>
      </w:r>
    </w:p>
    <w:p w14:paraId="6FDE9AAD" w14:textId="77777777" w:rsidR="00B70E22" w:rsidRPr="00A54361" w:rsidRDefault="00B70E22" w:rsidP="00A54361">
      <w:pPr>
        <w:spacing w:before="120" w:after="120"/>
        <w:ind w:left="360"/>
        <w:jc w:val="both"/>
        <w:rPr>
          <w:rFonts w:cstheme="minorHAnsi"/>
        </w:rPr>
      </w:pPr>
      <w:r w:rsidRPr="00A54361">
        <w:rPr>
          <w:rFonts w:cstheme="minorHAnsi"/>
        </w:rPr>
        <w:t xml:space="preserve">(1) If the Principal has disqualified the Bidder(s) from the tender process prior to the award according to Section 3, the Principal is entitled to demand and recover the damages equivalent to Earnest Money Deposit/ Bid Security. </w:t>
      </w:r>
    </w:p>
    <w:p w14:paraId="49E0CC18" w14:textId="77777777" w:rsidR="00B70E22" w:rsidRPr="00A54361" w:rsidRDefault="00B70E22" w:rsidP="00A54361">
      <w:pPr>
        <w:spacing w:before="120" w:after="120"/>
        <w:ind w:left="360"/>
        <w:jc w:val="both"/>
        <w:rPr>
          <w:rFonts w:cstheme="minorHAnsi"/>
        </w:rPr>
      </w:pPr>
      <w:r w:rsidRPr="00A54361">
        <w:rPr>
          <w:rFonts w:cstheme="minorHAnsi"/>
        </w:rPr>
        <w:t>(2) If the Principal has terminated the contract according to Section 3, or if the Principal is entitled to terminate the contract according to Section 3, the Principal shall be entitled to demand and recover from the Contractor liquidated damages of the Contract value or the amount equivalent to Performance Bank Guarantee.</w:t>
      </w:r>
    </w:p>
    <w:p w14:paraId="50028843" w14:textId="77777777" w:rsidR="00B70E22" w:rsidRPr="00A54361" w:rsidRDefault="00B70E22" w:rsidP="00A54361">
      <w:pPr>
        <w:spacing w:before="120" w:after="120"/>
        <w:ind w:left="360"/>
        <w:jc w:val="both"/>
        <w:rPr>
          <w:rFonts w:cstheme="minorHAnsi"/>
          <w:b/>
          <w:bCs/>
        </w:rPr>
      </w:pPr>
      <w:r w:rsidRPr="00A54361">
        <w:rPr>
          <w:rFonts w:cstheme="minorHAnsi"/>
          <w:b/>
          <w:bCs/>
        </w:rPr>
        <w:t>Section 5 – Previous Transgression</w:t>
      </w:r>
    </w:p>
    <w:p w14:paraId="0C32607D" w14:textId="77777777" w:rsidR="00B70E22" w:rsidRPr="00A54361" w:rsidRDefault="00B70E22" w:rsidP="00A54361">
      <w:pPr>
        <w:spacing w:before="120" w:after="120"/>
        <w:ind w:left="360"/>
        <w:jc w:val="both"/>
        <w:rPr>
          <w:rFonts w:cstheme="minorHAnsi"/>
        </w:rPr>
      </w:pPr>
      <w:r w:rsidRPr="00A54361">
        <w:rPr>
          <w:rFonts w:cstheme="minorHAnsi"/>
        </w:rPr>
        <w:t xml:space="preserve">(1) The Bidder declares that no previous transgressions occurred in the last three years with any other Bank in any country conforming to the anti-corruption approach or with any Public Sector Enterprise in India that could justify his exclusion from the tender process. </w:t>
      </w:r>
    </w:p>
    <w:p w14:paraId="03AC4F57" w14:textId="77777777" w:rsidR="00B70E22" w:rsidRPr="00A54361" w:rsidRDefault="00B70E22" w:rsidP="00A54361">
      <w:pPr>
        <w:spacing w:before="120" w:after="120"/>
        <w:ind w:left="360"/>
        <w:jc w:val="both"/>
        <w:rPr>
          <w:rFonts w:cstheme="minorHAnsi"/>
        </w:rPr>
      </w:pPr>
      <w:r w:rsidRPr="00A54361">
        <w:rPr>
          <w:rFonts w:cstheme="minorHAnsi"/>
        </w:rPr>
        <w:t>(2) If the Bidder makes incorrect statement on this subject, he can be disqualified from the tender process or action can be taken as per the procedure mentioned in “Guidelines on Banning of business dealings”.</w:t>
      </w:r>
    </w:p>
    <w:p w14:paraId="046C6B5D" w14:textId="77777777" w:rsidR="00B70E22" w:rsidRPr="00A54361" w:rsidRDefault="00B70E22" w:rsidP="00A54361">
      <w:pPr>
        <w:spacing w:before="120" w:after="120"/>
        <w:ind w:left="360"/>
        <w:jc w:val="both"/>
        <w:rPr>
          <w:rFonts w:cstheme="minorHAnsi"/>
          <w:b/>
          <w:bCs/>
        </w:rPr>
      </w:pPr>
      <w:r w:rsidRPr="00A54361">
        <w:rPr>
          <w:rFonts w:cstheme="minorHAnsi"/>
          <w:b/>
          <w:bCs/>
        </w:rPr>
        <w:t xml:space="preserve">Section 6 – Equal treatment of all Bidders / Contractors / Subcontractors </w:t>
      </w:r>
    </w:p>
    <w:p w14:paraId="4E5F8F73" w14:textId="77777777" w:rsidR="00B70E22" w:rsidRPr="00A54361" w:rsidRDefault="00B70E22" w:rsidP="00A54361">
      <w:pPr>
        <w:spacing w:before="120" w:after="120"/>
        <w:ind w:left="360"/>
        <w:jc w:val="both"/>
        <w:rPr>
          <w:rFonts w:cstheme="minorHAnsi"/>
        </w:rPr>
      </w:pPr>
      <w:r w:rsidRPr="00A54361">
        <w:rPr>
          <w:rFonts w:cstheme="minorHAnsi"/>
        </w:rPr>
        <w:t xml:space="preserve">(1) The Bidder(s)/ Contractor(s) undertake(s) to demand from his subcontractors a commitment in conformity with this Integrity Pact. </w:t>
      </w:r>
    </w:p>
    <w:p w14:paraId="430EFF40" w14:textId="77777777" w:rsidR="00B70E22" w:rsidRPr="00A54361" w:rsidRDefault="00B70E22" w:rsidP="00A54361">
      <w:pPr>
        <w:spacing w:before="120" w:after="120"/>
        <w:ind w:left="360"/>
        <w:jc w:val="both"/>
        <w:rPr>
          <w:rFonts w:cstheme="minorHAnsi"/>
        </w:rPr>
      </w:pPr>
      <w:r w:rsidRPr="00A54361">
        <w:rPr>
          <w:rFonts w:cstheme="minorHAnsi"/>
        </w:rPr>
        <w:t xml:space="preserve">(2) The Principal will enter into agreements with identical conditions as this one with all Bidders and Contractors. </w:t>
      </w:r>
    </w:p>
    <w:p w14:paraId="3163173D" w14:textId="77777777" w:rsidR="00B70E22" w:rsidRPr="00A54361" w:rsidRDefault="00B70E22" w:rsidP="00A54361">
      <w:pPr>
        <w:spacing w:before="120" w:after="120"/>
        <w:ind w:left="360"/>
        <w:jc w:val="both"/>
        <w:rPr>
          <w:rFonts w:cstheme="minorHAnsi"/>
        </w:rPr>
      </w:pPr>
      <w:r w:rsidRPr="00A54361">
        <w:rPr>
          <w:rFonts w:cstheme="minorHAnsi"/>
        </w:rPr>
        <w:t>(3) The Principal will disqualify from the tender process all bidders who do not sign this Pact or violate its provisions.</w:t>
      </w:r>
    </w:p>
    <w:p w14:paraId="417F4299" w14:textId="77777777" w:rsidR="00B70E22" w:rsidRPr="00A54361" w:rsidRDefault="00B70E22" w:rsidP="00A54361">
      <w:pPr>
        <w:spacing w:before="120" w:after="120"/>
        <w:ind w:left="360"/>
        <w:jc w:val="both"/>
        <w:rPr>
          <w:rFonts w:cstheme="minorHAnsi"/>
          <w:b/>
          <w:bCs/>
        </w:rPr>
      </w:pPr>
      <w:r w:rsidRPr="00A54361">
        <w:rPr>
          <w:rFonts w:cstheme="minorHAnsi"/>
          <w:b/>
          <w:bCs/>
        </w:rPr>
        <w:t>Section 7 – Criminal charges against violating Bidder(s) / Contractor(s) / Subcontractor(s)</w:t>
      </w:r>
    </w:p>
    <w:p w14:paraId="4A2AAD57" w14:textId="77777777" w:rsidR="00B70E22" w:rsidRPr="00A54361" w:rsidRDefault="00B70E22" w:rsidP="00A54361">
      <w:pPr>
        <w:spacing w:before="120" w:after="120"/>
        <w:ind w:left="360"/>
        <w:jc w:val="both"/>
        <w:rPr>
          <w:rFonts w:cstheme="minorHAnsi"/>
        </w:rPr>
      </w:pPr>
      <w:r w:rsidRPr="00A54361">
        <w:rPr>
          <w:rFonts w:cstheme="minorHAnsi"/>
        </w:rPr>
        <w:t>If the Principal obtains knowledge of conduct of a Bidder, Contractor or Subcontractor, or of an employee or a representative or an associate of a Bidder, Contractor or Subcontractor which constitutes corruption, or if the Principal has substantive suspicion in this regard, the Principal will inform the same to the Chief Vigilance Officer.</w:t>
      </w:r>
    </w:p>
    <w:p w14:paraId="6248C090" w14:textId="77777777" w:rsidR="00B70E22" w:rsidRPr="00A54361" w:rsidRDefault="00B70E22" w:rsidP="00A54361">
      <w:pPr>
        <w:spacing w:before="120" w:after="120"/>
        <w:ind w:left="360"/>
        <w:jc w:val="both"/>
        <w:rPr>
          <w:rFonts w:cstheme="minorHAnsi"/>
          <w:b/>
          <w:bCs/>
        </w:rPr>
      </w:pPr>
      <w:r w:rsidRPr="00A54361">
        <w:rPr>
          <w:rFonts w:cstheme="minorHAnsi"/>
          <w:b/>
          <w:bCs/>
        </w:rPr>
        <w:t>Section 8 – Independent External Monitor / Monitors</w:t>
      </w:r>
    </w:p>
    <w:p w14:paraId="1C104BFA" w14:textId="77777777" w:rsidR="00B70E22" w:rsidRPr="00A54361" w:rsidRDefault="00B70E22" w:rsidP="00A54361">
      <w:pPr>
        <w:spacing w:before="120" w:after="120"/>
        <w:ind w:left="360"/>
        <w:jc w:val="both"/>
        <w:rPr>
          <w:rFonts w:cstheme="minorHAnsi"/>
        </w:rPr>
      </w:pPr>
      <w:r w:rsidRPr="00A54361">
        <w:rPr>
          <w:rFonts w:cstheme="minorHAnsi"/>
        </w:rPr>
        <w:t xml:space="preserve">(1) The Principal appoints competent and credible Independent External Monitor for this Pact. The task of the Monitor is to review independently and objectively, whether and to what extent the parties comply with the obligations under this agreement. </w:t>
      </w:r>
    </w:p>
    <w:p w14:paraId="383F6C5E" w14:textId="77777777" w:rsidR="00B70E22" w:rsidRPr="00A54361" w:rsidRDefault="00B70E22" w:rsidP="00A54361">
      <w:pPr>
        <w:spacing w:before="120" w:after="120"/>
        <w:ind w:left="360"/>
        <w:jc w:val="both"/>
        <w:rPr>
          <w:rFonts w:cstheme="minorHAnsi"/>
        </w:rPr>
      </w:pPr>
      <w:r w:rsidRPr="00A54361">
        <w:rPr>
          <w:rFonts w:cstheme="minorHAnsi"/>
        </w:rPr>
        <w:t xml:space="preserve">(2) The Monitor is not subject to instructions by the representatives of the parties and performs his functions neutrally and independently. It will be obligatory for him to treat the information and documents of the Bidders/Contractors as confidential. He reports to the Chairman &amp; Managing Director, CENTRAL BANK OF INDIA. </w:t>
      </w:r>
    </w:p>
    <w:p w14:paraId="742D34FA" w14:textId="77777777" w:rsidR="00B70E22" w:rsidRPr="00A54361" w:rsidRDefault="00B70E22" w:rsidP="00A54361">
      <w:pPr>
        <w:spacing w:before="120" w:after="120"/>
        <w:ind w:left="360"/>
        <w:jc w:val="both"/>
        <w:rPr>
          <w:rFonts w:cstheme="minorHAnsi"/>
        </w:rPr>
      </w:pPr>
      <w:r w:rsidRPr="00A54361">
        <w:rPr>
          <w:rFonts w:cstheme="minorHAnsi"/>
        </w:rPr>
        <w:t xml:space="preserve">(3) The Bidder(s)/Contractor(s) accepts that the Monitor has the right to access without restriction to all Project documentation of the Principal including that provided by the Contractor. The Contractor will also grant the Monitor, upon his request and demonstration of a valid interest, unrestricted and unconditional access to his project documentation. The same is applicable to Subcontractors. The Monitor is under contractual obligation to treat the information and documents of the Bidder(s)/ Contractor(s)/ Subcontractor(s) with confidentiality. In case of sub-contracting, the Principal Contractor shall take all responsibility of the adoption of Integrity Pact by the sub-contractor. </w:t>
      </w:r>
      <w:r w:rsidRPr="00A54361">
        <w:rPr>
          <w:rFonts w:eastAsia="Calibri" w:cstheme="minorHAnsi"/>
        </w:rPr>
        <w:t>In case of sub-contracting, the Principal Contractor shall take the responsibility of the adoption of the Integrity Pact by the sub-contractor.</w:t>
      </w:r>
    </w:p>
    <w:p w14:paraId="05564B11" w14:textId="77777777" w:rsidR="00B70E22" w:rsidRPr="00A54361" w:rsidRDefault="00B70E22" w:rsidP="00A54361">
      <w:pPr>
        <w:spacing w:before="120" w:after="120"/>
        <w:ind w:left="360"/>
        <w:jc w:val="both"/>
        <w:rPr>
          <w:rFonts w:cstheme="minorHAnsi"/>
        </w:rPr>
      </w:pPr>
      <w:r w:rsidRPr="00A54361">
        <w:rPr>
          <w:rFonts w:cstheme="minorHAnsi"/>
        </w:rPr>
        <w:t xml:space="preserve">(4) The Principal will provide to the Monitor sufficient information about all meetings among the parties related to the Project provided such meetings could have an impact on the contractual relations between the Principal and the Contractor. The parties offer to the Monitor the option to participate in such meetings. </w:t>
      </w:r>
    </w:p>
    <w:p w14:paraId="5A8A828C" w14:textId="77777777" w:rsidR="00B70E22" w:rsidRPr="00A54361" w:rsidRDefault="00B70E22" w:rsidP="00A54361">
      <w:pPr>
        <w:spacing w:before="120" w:after="120"/>
        <w:ind w:left="360"/>
        <w:jc w:val="both"/>
        <w:rPr>
          <w:rFonts w:cstheme="minorHAnsi"/>
        </w:rPr>
      </w:pPr>
      <w:r w:rsidRPr="00A54361">
        <w:rPr>
          <w:rFonts w:cstheme="minorHAnsi"/>
        </w:rPr>
        <w:t xml:space="preserve">(5) As soon as the Monitor notices, or believes to notice, a violation of this agreement, he will so inform the Management of the Principal and request the Management to discontinue or take corrective action, or to take other relevant action. The monitor can in this regard submit nonbinding recommendations. Beyond this, the Monitor has no right to demand from the parties that they act in a specific manner, refrain from action or tolerate action. Parties to this agreement agree that they shall not approach the courts while representing the matter to IEM and will await IEM’s decision in the matter. </w:t>
      </w:r>
      <w:r w:rsidRPr="00A54361">
        <w:rPr>
          <w:rFonts w:eastAsia="Calibri" w:cstheme="minorHAnsi"/>
        </w:rPr>
        <w:t>Parties to this agreement agree that they shall not approach the courts while representing the matter to IEM and will await IEM’s decision in the matter.</w:t>
      </w:r>
    </w:p>
    <w:p w14:paraId="0EBF179E" w14:textId="77777777" w:rsidR="00B70E22" w:rsidRPr="00A54361" w:rsidRDefault="00B70E22" w:rsidP="00A54361">
      <w:pPr>
        <w:spacing w:before="120" w:after="120"/>
        <w:ind w:left="360"/>
        <w:jc w:val="both"/>
        <w:rPr>
          <w:rFonts w:cstheme="minorHAnsi"/>
        </w:rPr>
      </w:pPr>
      <w:r w:rsidRPr="00A54361">
        <w:rPr>
          <w:rFonts w:cstheme="minorHAnsi"/>
        </w:rPr>
        <w:t xml:space="preserve">(6) The Monitor will submit a written report to the Chairman &amp; Managing Director, CENTRAL BANK OF INDIA within 8 to 10 weeks from the date of reference or intimation to him by the Principal and, should the occasion arise, submit proposals for correcting problematic situations. </w:t>
      </w:r>
    </w:p>
    <w:p w14:paraId="53F9CB4F" w14:textId="77777777" w:rsidR="00B70E22" w:rsidRPr="00A54361" w:rsidRDefault="00B70E22" w:rsidP="00A54361">
      <w:pPr>
        <w:spacing w:before="120" w:after="120"/>
        <w:ind w:left="360"/>
        <w:jc w:val="both"/>
        <w:rPr>
          <w:rFonts w:cstheme="minorHAnsi"/>
        </w:rPr>
      </w:pPr>
      <w:r w:rsidRPr="00A54361">
        <w:rPr>
          <w:rFonts w:cstheme="minorHAnsi"/>
        </w:rPr>
        <w:t xml:space="preserve">(7) If the Monitor has reported to the Chairman &amp; Managing Director CENTRAL BANK OF INDIA, a substantiated suspicion of an offence under relevant IPC/ PC Act, and the Chairman &amp; Managing Director CENTRAL BANK OF INDIA has not, within the reasonable time taken visible action to proceed against such offence or reported it to the Chief Vigilance Officer, the Monitor may also transmit this information directly to the Central Vigilance Commissioner. </w:t>
      </w:r>
    </w:p>
    <w:p w14:paraId="30F97768" w14:textId="77777777" w:rsidR="00B70E22" w:rsidRPr="00A54361" w:rsidRDefault="00B70E22" w:rsidP="00A54361">
      <w:pPr>
        <w:spacing w:before="120" w:after="120"/>
        <w:ind w:left="360"/>
        <w:jc w:val="both"/>
        <w:rPr>
          <w:rFonts w:cstheme="minorHAnsi"/>
        </w:rPr>
      </w:pPr>
      <w:r w:rsidRPr="00A54361">
        <w:rPr>
          <w:rFonts w:cstheme="minorHAnsi"/>
        </w:rPr>
        <w:t>(8) The word „Monitor‟ would include both singular and plural.</w:t>
      </w:r>
    </w:p>
    <w:p w14:paraId="6D66A539" w14:textId="77777777" w:rsidR="00B70E22" w:rsidRPr="00A54361" w:rsidRDefault="00B70E22" w:rsidP="00A54361">
      <w:pPr>
        <w:spacing w:before="120" w:after="120"/>
        <w:ind w:left="360"/>
        <w:jc w:val="both"/>
        <w:rPr>
          <w:rFonts w:cstheme="minorHAnsi"/>
          <w:b/>
          <w:bCs/>
        </w:rPr>
      </w:pPr>
      <w:r w:rsidRPr="00A54361">
        <w:rPr>
          <w:rFonts w:cstheme="minorHAnsi"/>
          <w:b/>
          <w:bCs/>
        </w:rPr>
        <w:t>Section 9 – Pact Duration</w:t>
      </w:r>
    </w:p>
    <w:p w14:paraId="15DD70BF" w14:textId="77777777" w:rsidR="00B70E22" w:rsidRPr="00A54361" w:rsidRDefault="00B70E22" w:rsidP="00A54361">
      <w:pPr>
        <w:spacing w:before="120" w:after="120"/>
        <w:ind w:left="360"/>
        <w:jc w:val="both"/>
        <w:rPr>
          <w:rFonts w:cstheme="minorHAnsi"/>
        </w:rPr>
      </w:pPr>
      <w:r w:rsidRPr="00A54361">
        <w:rPr>
          <w:rFonts w:cstheme="minorHAnsi"/>
        </w:rPr>
        <w:t xml:space="preserve">This Pact begins when both parties have legally signed it. It expires for the Contractor 12 months after the last payment under the contract, and for all other Bidders 6 months after the contract has been awarded. </w:t>
      </w:r>
    </w:p>
    <w:p w14:paraId="6B3B1EBC" w14:textId="77777777" w:rsidR="00B70E22" w:rsidRPr="00A54361" w:rsidRDefault="00B70E22" w:rsidP="00A54361">
      <w:pPr>
        <w:spacing w:before="120" w:after="120"/>
        <w:ind w:left="360"/>
        <w:jc w:val="both"/>
        <w:rPr>
          <w:rFonts w:cstheme="minorHAnsi"/>
        </w:rPr>
      </w:pPr>
      <w:r w:rsidRPr="00A54361">
        <w:rPr>
          <w:rFonts w:cstheme="minorHAnsi"/>
        </w:rPr>
        <w:t>If any claim is made / lodged during this time, the same shall be binding and continue to be valid despite the lapse of this pact as specified above, unless it is discharged / determined by Chairman &amp; Managing Director of CENTRAL BANK OF INDIA.</w:t>
      </w:r>
    </w:p>
    <w:p w14:paraId="5616F9D9" w14:textId="77777777" w:rsidR="00B70E22" w:rsidRPr="00A54361" w:rsidRDefault="00B70E22" w:rsidP="00A54361">
      <w:pPr>
        <w:spacing w:before="120" w:after="120"/>
        <w:ind w:left="360"/>
        <w:jc w:val="both"/>
        <w:rPr>
          <w:rFonts w:cstheme="minorHAnsi"/>
          <w:b/>
          <w:bCs/>
        </w:rPr>
      </w:pPr>
      <w:r w:rsidRPr="00A54361">
        <w:rPr>
          <w:rFonts w:cstheme="minorHAnsi"/>
          <w:b/>
          <w:bCs/>
        </w:rPr>
        <w:t>Section 10 – Other provisions</w:t>
      </w:r>
    </w:p>
    <w:p w14:paraId="4A7BD4DF" w14:textId="77777777" w:rsidR="00B70E22" w:rsidRPr="00A54361" w:rsidRDefault="00B70E22" w:rsidP="00A54361">
      <w:pPr>
        <w:spacing w:before="120" w:after="120"/>
        <w:ind w:left="360"/>
        <w:jc w:val="both"/>
        <w:rPr>
          <w:rFonts w:cstheme="minorHAnsi"/>
        </w:rPr>
      </w:pPr>
      <w:r w:rsidRPr="00A54361">
        <w:rPr>
          <w:rFonts w:cstheme="minorHAnsi"/>
        </w:rPr>
        <w:t xml:space="preserve">(1) This agreement is subject to Indian Law. Place of performance and jurisdiction is the Registered Office of the Principal, i.e. Mumbai. </w:t>
      </w:r>
    </w:p>
    <w:p w14:paraId="0BA23D17" w14:textId="77777777" w:rsidR="00B70E22" w:rsidRPr="00A54361" w:rsidRDefault="00B70E22" w:rsidP="00A54361">
      <w:pPr>
        <w:spacing w:before="120" w:after="120"/>
        <w:ind w:left="360"/>
        <w:jc w:val="both"/>
        <w:rPr>
          <w:rFonts w:cstheme="minorHAnsi"/>
        </w:rPr>
      </w:pPr>
      <w:r w:rsidRPr="00A54361">
        <w:rPr>
          <w:rFonts w:cstheme="minorHAnsi"/>
        </w:rPr>
        <w:t xml:space="preserve">(2) Changes and supplements as well as termination notices need to be made in writing. Side agreements have not been made. </w:t>
      </w:r>
    </w:p>
    <w:p w14:paraId="6A0E592B" w14:textId="77777777" w:rsidR="00B70E22" w:rsidRPr="00A54361" w:rsidRDefault="00B70E22" w:rsidP="00A54361">
      <w:pPr>
        <w:spacing w:before="120" w:after="120"/>
        <w:ind w:left="360"/>
        <w:jc w:val="both"/>
        <w:rPr>
          <w:rFonts w:cstheme="minorHAnsi"/>
        </w:rPr>
      </w:pPr>
      <w:r w:rsidRPr="00A54361">
        <w:rPr>
          <w:rFonts w:cstheme="minorHAnsi"/>
        </w:rPr>
        <w:t xml:space="preserve">(3) If the Contractor is a partnership or a consortium, this agreement must be signed by all partners or consortium members. </w:t>
      </w:r>
    </w:p>
    <w:p w14:paraId="437FC134" w14:textId="77777777" w:rsidR="00B70E22" w:rsidRPr="00A54361" w:rsidRDefault="00B70E22" w:rsidP="00A54361">
      <w:pPr>
        <w:spacing w:before="120" w:after="120"/>
        <w:ind w:left="360"/>
        <w:jc w:val="both"/>
        <w:rPr>
          <w:rFonts w:cstheme="minorHAnsi"/>
        </w:rPr>
      </w:pPr>
      <w:r w:rsidRPr="00A54361">
        <w:rPr>
          <w:rFonts w:cstheme="minorHAnsi"/>
        </w:rPr>
        <w:t xml:space="preserve">(4) Should one or several provisions of this agreement turn out to be invalid, the remainder of this agreement remains valid. In this case, the parties will strive to come to an agreement to their original intentions. </w:t>
      </w:r>
    </w:p>
    <w:p w14:paraId="1723C807" w14:textId="77777777" w:rsidR="00B70E22" w:rsidRPr="00A54361" w:rsidRDefault="00B70E22" w:rsidP="00A54361">
      <w:pPr>
        <w:spacing w:before="120" w:after="120"/>
        <w:ind w:left="360"/>
        <w:jc w:val="both"/>
        <w:rPr>
          <w:rFonts w:cstheme="minorHAnsi"/>
        </w:rPr>
      </w:pPr>
      <w:r w:rsidRPr="00A54361">
        <w:rPr>
          <w:rFonts w:cstheme="minorHAnsi"/>
        </w:rPr>
        <w:t>(5) In the event of any contradiction between the Integrity Pact and its Annexure, the Clause in the Integrity Pact will prevail.”</w:t>
      </w:r>
    </w:p>
    <w:p w14:paraId="52BD69BE" w14:textId="77777777" w:rsidR="00B70E22" w:rsidRPr="00A54361" w:rsidRDefault="00B70E22" w:rsidP="00A54361">
      <w:pPr>
        <w:autoSpaceDE w:val="0"/>
        <w:autoSpaceDN w:val="0"/>
        <w:adjustRightInd w:val="0"/>
        <w:spacing w:after="120" w:line="240" w:lineRule="auto"/>
        <w:ind w:left="360"/>
        <w:jc w:val="both"/>
        <w:rPr>
          <w:rFonts w:cstheme="minorHAnsi"/>
          <w:b/>
          <w:bCs/>
        </w:rPr>
      </w:pPr>
      <w:r w:rsidRPr="00A54361">
        <w:rPr>
          <w:rFonts w:cstheme="minorHAnsi"/>
          <w:b/>
          <w:bCs/>
        </w:rPr>
        <w:t>Section 11- FALL CLAUSE</w:t>
      </w:r>
    </w:p>
    <w:p w14:paraId="3F656D49" w14:textId="3266F8FF" w:rsidR="00B70E22" w:rsidRPr="00A54361" w:rsidRDefault="00B70E22" w:rsidP="00A54361">
      <w:pPr>
        <w:autoSpaceDE w:val="0"/>
        <w:autoSpaceDN w:val="0"/>
        <w:adjustRightInd w:val="0"/>
        <w:spacing w:after="120" w:line="240" w:lineRule="auto"/>
        <w:ind w:left="360"/>
        <w:jc w:val="both"/>
        <w:rPr>
          <w:rFonts w:cstheme="minorHAnsi"/>
        </w:rPr>
      </w:pPr>
      <w:r w:rsidRPr="00A54361">
        <w:rPr>
          <w:rFonts w:cstheme="minorHAnsi"/>
          <w:b/>
          <w:bCs/>
        </w:rPr>
        <w:t xml:space="preserve">11.1. </w:t>
      </w:r>
      <w:r w:rsidRPr="00A54361">
        <w:rPr>
          <w:rFonts w:cstheme="minorHAnsi"/>
        </w:rPr>
        <w:t>The BIDDER/SELLER/CONTRACTOR/SERVICE PROVIDER undertakes that it has not supplied/is not supplying same/exact product/systems or subsystems/services (i.e. same scope, deliverables, timelines, SLAs &amp; pricing terms) at a price lower than that offered in the present bid to any other Bank or PSU or Government Department or to any other organization/entity whether or not constituted under any law and if it is found at any stage that similar product/systems or sub systems/services was supplied by the BIDDER/SELLER/CONTRACTOR/SERVICE PROVIDER to any other Bank or PSU or Government Department or to any other organization/entity whether or not constituted under any law, at a lower price, then that very price, with due allowance for elapsed time, will be applicable to the present case and the difference in the cost would be refunded by the BIDDER/SELLER/CONTRACTOR/SERVICE PROVIDER to the BUYER, if the contract has already been concluded.</w:t>
      </w:r>
    </w:p>
    <w:p w14:paraId="3D9D0400" w14:textId="77777777" w:rsidR="006E251B" w:rsidRPr="00A54361" w:rsidRDefault="006E251B" w:rsidP="00A54361">
      <w:pPr>
        <w:autoSpaceDE w:val="0"/>
        <w:autoSpaceDN w:val="0"/>
        <w:adjustRightInd w:val="0"/>
        <w:spacing w:after="120" w:line="240" w:lineRule="auto"/>
        <w:ind w:left="360"/>
        <w:jc w:val="both"/>
        <w:rPr>
          <w:rFonts w:cstheme="minorHAnsi"/>
        </w:rPr>
      </w:pPr>
    </w:p>
    <w:p w14:paraId="4BAF375C" w14:textId="77777777" w:rsidR="006E251B" w:rsidRPr="00A54361" w:rsidRDefault="006E251B" w:rsidP="00A54361">
      <w:pPr>
        <w:autoSpaceDE w:val="0"/>
        <w:autoSpaceDN w:val="0"/>
        <w:adjustRightInd w:val="0"/>
        <w:spacing w:after="120" w:line="240" w:lineRule="auto"/>
        <w:ind w:left="360"/>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0D3DC1" w:rsidRPr="00A54361" w14:paraId="08AEF07C" w14:textId="77777777" w:rsidTr="000F2F51">
        <w:tc>
          <w:tcPr>
            <w:tcW w:w="4675" w:type="dxa"/>
            <w:shd w:val="clear" w:color="auto" w:fill="auto"/>
          </w:tcPr>
          <w:p w14:paraId="311E605D" w14:textId="77777777" w:rsidR="00B70E22" w:rsidRPr="00A54361" w:rsidRDefault="00B70E22" w:rsidP="00A54361">
            <w:pPr>
              <w:autoSpaceDE w:val="0"/>
              <w:autoSpaceDN w:val="0"/>
              <w:adjustRightInd w:val="0"/>
              <w:spacing w:after="0"/>
              <w:jc w:val="both"/>
              <w:rPr>
                <w:rFonts w:cstheme="minorHAnsi"/>
                <w:b/>
                <w:bCs/>
              </w:rPr>
            </w:pPr>
            <w:r w:rsidRPr="00A54361">
              <w:rPr>
                <w:rFonts w:cstheme="minorHAnsi"/>
                <w:b/>
                <w:bCs/>
              </w:rPr>
              <w:t>Signed, Sealed and Delivered for the Principal</w:t>
            </w:r>
          </w:p>
        </w:tc>
        <w:tc>
          <w:tcPr>
            <w:tcW w:w="4675" w:type="dxa"/>
            <w:shd w:val="clear" w:color="auto" w:fill="auto"/>
          </w:tcPr>
          <w:p w14:paraId="75639744" w14:textId="77777777" w:rsidR="00B70E22" w:rsidRPr="00A54361" w:rsidRDefault="00B70E22" w:rsidP="00A54361">
            <w:pPr>
              <w:autoSpaceDE w:val="0"/>
              <w:autoSpaceDN w:val="0"/>
              <w:adjustRightInd w:val="0"/>
              <w:spacing w:after="0"/>
              <w:jc w:val="both"/>
              <w:rPr>
                <w:rFonts w:cstheme="minorHAnsi"/>
                <w:b/>
                <w:bCs/>
              </w:rPr>
            </w:pPr>
            <w:r w:rsidRPr="00A54361">
              <w:rPr>
                <w:rFonts w:cstheme="minorHAnsi"/>
                <w:b/>
                <w:bCs/>
              </w:rPr>
              <w:t>Signed, Sealed and Delivered for the Bidder</w:t>
            </w:r>
          </w:p>
        </w:tc>
      </w:tr>
      <w:tr w:rsidR="000D3DC1" w:rsidRPr="00A54361" w14:paraId="5BA445BC" w14:textId="77777777" w:rsidTr="000F2F51">
        <w:trPr>
          <w:trHeight w:val="576"/>
        </w:trPr>
        <w:tc>
          <w:tcPr>
            <w:tcW w:w="4675" w:type="dxa"/>
            <w:shd w:val="clear" w:color="auto" w:fill="auto"/>
          </w:tcPr>
          <w:p w14:paraId="3A4C845D" w14:textId="77777777" w:rsidR="00B70E22" w:rsidRPr="00A54361" w:rsidRDefault="00B70E22" w:rsidP="00A54361">
            <w:pPr>
              <w:autoSpaceDE w:val="0"/>
              <w:autoSpaceDN w:val="0"/>
              <w:adjustRightInd w:val="0"/>
              <w:spacing w:after="0"/>
              <w:jc w:val="both"/>
              <w:rPr>
                <w:rFonts w:cstheme="minorHAnsi"/>
              </w:rPr>
            </w:pPr>
          </w:p>
          <w:p w14:paraId="247EA9EC" w14:textId="77777777" w:rsidR="00B70E22" w:rsidRPr="00A54361" w:rsidRDefault="00B70E22" w:rsidP="00A54361">
            <w:pPr>
              <w:autoSpaceDE w:val="0"/>
              <w:autoSpaceDN w:val="0"/>
              <w:adjustRightInd w:val="0"/>
              <w:spacing w:after="0"/>
              <w:jc w:val="both"/>
              <w:rPr>
                <w:rFonts w:cstheme="minorHAnsi"/>
              </w:rPr>
            </w:pPr>
          </w:p>
          <w:p w14:paraId="2A4976D0" w14:textId="77777777" w:rsidR="00B70E22" w:rsidRPr="00A54361" w:rsidRDefault="00B70E22" w:rsidP="00A54361">
            <w:pPr>
              <w:autoSpaceDE w:val="0"/>
              <w:autoSpaceDN w:val="0"/>
              <w:adjustRightInd w:val="0"/>
              <w:spacing w:after="0"/>
              <w:jc w:val="both"/>
              <w:rPr>
                <w:rFonts w:cstheme="minorHAnsi"/>
              </w:rPr>
            </w:pPr>
            <w:r w:rsidRPr="00A54361">
              <w:rPr>
                <w:rFonts w:cstheme="minorHAnsi"/>
              </w:rPr>
              <w:t>Signature: ___________________________</w:t>
            </w:r>
          </w:p>
        </w:tc>
        <w:tc>
          <w:tcPr>
            <w:tcW w:w="4675" w:type="dxa"/>
            <w:shd w:val="clear" w:color="auto" w:fill="auto"/>
          </w:tcPr>
          <w:p w14:paraId="5F5FC641" w14:textId="77777777" w:rsidR="00B70E22" w:rsidRPr="00A54361" w:rsidRDefault="00B70E22" w:rsidP="00A54361">
            <w:pPr>
              <w:autoSpaceDE w:val="0"/>
              <w:autoSpaceDN w:val="0"/>
              <w:adjustRightInd w:val="0"/>
              <w:spacing w:after="0"/>
              <w:jc w:val="both"/>
              <w:rPr>
                <w:rFonts w:cstheme="minorHAnsi"/>
              </w:rPr>
            </w:pPr>
          </w:p>
          <w:p w14:paraId="78458A65" w14:textId="77777777" w:rsidR="00B70E22" w:rsidRPr="00A54361" w:rsidRDefault="00B70E22" w:rsidP="00A54361">
            <w:pPr>
              <w:autoSpaceDE w:val="0"/>
              <w:autoSpaceDN w:val="0"/>
              <w:adjustRightInd w:val="0"/>
              <w:spacing w:after="0"/>
              <w:jc w:val="both"/>
              <w:rPr>
                <w:rFonts w:cstheme="minorHAnsi"/>
              </w:rPr>
            </w:pPr>
          </w:p>
          <w:p w14:paraId="1EDB3C48" w14:textId="77777777" w:rsidR="00B70E22" w:rsidRPr="00A54361" w:rsidRDefault="00B70E22" w:rsidP="00A54361">
            <w:pPr>
              <w:autoSpaceDE w:val="0"/>
              <w:autoSpaceDN w:val="0"/>
              <w:adjustRightInd w:val="0"/>
              <w:spacing w:after="0"/>
              <w:jc w:val="both"/>
              <w:rPr>
                <w:rFonts w:cstheme="minorHAnsi"/>
              </w:rPr>
            </w:pPr>
            <w:r w:rsidRPr="00A54361">
              <w:rPr>
                <w:rFonts w:cstheme="minorHAnsi"/>
              </w:rPr>
              <w:t>Signature: ___________________________</w:t>
            </w:r>
          </w:p>
        </w:tc>
      </w:tr>
      <w:tr w:rsidR="000D3DC1" w:rsidRPr="00A54361" w14:paraId="16EEF139" w14:textId="77777777" w:rsidTr="000F2F51">
        <w:tc>
          <w:tcPr>
            <w:tcW w:w="4675" w:type="dxa"/>
            <w:shd w:val="clear" w:color="auto" w:fill="auto"/>
          </w:tcPr>
          <w:p w14:paraId="48142440" w14:textId="77777777" w:rsidR="00B70E22" w:rsidRPr="00A54361" w:rsidRDefault="00B70E22" w:rsidP="00A54361">
            <w:pPr>
              <w:autoSpaceDE w:val="0"/>
              <w:autoSpaceDN w:val="0"/>
              <w:adjustRightInd w:val="0"/>
              <w:spacing w:after="0"/>
              <w:jc w:val="both"/>
              <w:rPr>
                <w:rFonts w:cstheme="minorHAnsi"/>
              </w:rPr>
            </w:pPr>
            <w:r w:rsidRPr="00A54361">
              <w:rPr>
                <w:rFonts w:cstheme="minorHAnsi"/>
              </w:rPr>
              <w:t>Name: ______________________________</w:t>
            </w:r>
          </w:p>
        </w:tc>
        <w:tc>
          <w:tcPr>
            <w:tcW w:w="4675" w:type="dxa"/>
            <w:shd w:val="clear" w:color="auto" w:fill="auto"/>
          </w:tcPr>
          <w:p w14:paraId="47BF74C1" w14:textId="77777777" w:rsidR="00B70E22" w:rsidRPr="00A54361" w:rsidRDefault="00B70E22" w:rsidP="00A54361">
            <w:pPr>
              <w:autoSpaceDE w:val="0"/>
              <w:autoSpaceDN w:val="0"/>
              <w:adjustRightInd w:val="0"/>
              <w:spacing w:after="0"/>
              <w:jc w:val="both"/>
              <w:rPr>
                <w:rFonts w:cstheme="minorHAnsi"/>
              </w:rPr>
            </w:pPr>
            <w:r w:rsidRPr="00A54361">
              <w:rPr>
                <w:rFonts w:cstheme="minorHAnsi"/>
              </w:rPr>
              <w:t>Name: ______________________________</w:t>
            </w:r>
          </w:p>
        </w:tc>
      </w:tr>
      <w:tr w:rsidR="000D3DC1" w:rsidRPr="00A54361" w14:paraId="73A4D108" w14:textId="77777777" w:rsidTr="000F2F51">
        <w:tc>
          <w:tcPr>
            <w:tcW w:w="4675" w:type="dxa"/>
            <w:shd w:val="clear" w:color="auto" w:fill="auto"/>
          </w:tcPr>
          <w:p w14:paraId="67A8DAC4" w14:textId="77777777" w:rsidR="00B70E22" w:rsidRPr="00A54361" w:rsidRDefault="00B70E22" w:rsidP="00A54361">
            <w:pPr>
              <w:autoSpaceDE w:val="0"/>
              <w:autoSpaceDN w:val="0"/>
              <w:adjustRightInd w:val="0"/>
              <w:spacing w:after="0"/>
              <w:jc w:val="both"/>
              <w:rPr>
                <w:rFonts w:cstheme="minorHAnsi"/>
              </w:rPr>
            </w:pPr>
            <w:r w:rsidRPr="00A54361">
              <w:rPr>
                <w:rFonts w:cstheme="minorHAnsi"/>
              </w:rPr>
              <w:t>Designation: _________________________</w:t>
            </w:r>
          </w:p>
        </w:tc>
        <w:tc>
          <w:tcPr>
            <w:tcW w:w="4675" w:type="dxa"/>
            <w:shd w:val="clear" w:color="auto" w:fill="auto"/>
          </w:tcPr>
          <w:p w14:paraId="53DD80D8" w14:textId="77777777" w:rsidR="00B70E22" w:rsidRPr="00A54361" w:rsidRDefault="00B70E22" w:rsidP="00A54361">
            <w:pPr>
              <w:autoSpaceDE w:val="0"/>
              <w:autoSpaceDN w:val="0"/>
              <w:adjustRightInd w:val="0"/>
              <w:spacing w:after="0"/>
              <w:jc w:val="both"/>
              <w:rPr>
                <w:rFonts w:cstheme="minorHAnsi"/>
              </w:rPr>
            </w:pPr>
            <w:r w:rsidRPr="00A54361">
              <w:rPr>
                <w:rFonts w:cstheme="minorHAnsi"/>
              </w:rPr>
              <w:t>Designation: _________________________</w:t>
            </w:r>
          </w:p>
        </w:tc>
      </w:tr>
      <w:tr w:rsidR="000D3DC1" w:rsidRPr="00A54361" w14:paraId="25DEF00F" w14:textId="77777777" w:rsidTr="000F2F51">
        <w:tc>
          <w:tcPr>
            <w:tcW w:w="4675" w:type="dxa"/>
            <w:shd w:val="clear" w:color="auto" w:fill="auto"/>
          </w:tcPr>
          <w:p w14:paraId="14F415B2" w14:textId="77777777" w:rsidR="00B70E22" w:rsidRPr="00A54361" w:rsidRDefault="00B70E22" w:rsidP="00A54361">
            <w:pPr>
              <w:autoSpaceDE w:val="0"/>
              <w:autoSpaceDN w:val="0"/>
              <w:adjustRightInd w:val="0"/>
              <w:spacing w:after="0"/>
              <w:jc w:val="both"/>
              <w:rPr>
                <w:rFonts w:cstheme="minorHAnsi"/>
              </w:rPr>
            </w:pPr>
            <w:r w:rsidRPr="00A54361">
              <w:rPr>
                <w:rFonts w:cstheme="minorHAnsi"/>
              </w:rPr>
              <w:t>Address: ____________________________</w:t>
            </w:r>
          </w:p>
        </w:tc>
        <w:tc>
          <w:tcPr>
            <w:tcW w:w="4675" w:type="dxa"/>
            <w:shd w:val="clear" w:color="auto" w:fill="auto"/>
          </w:tcPr>
          <w:p w14:paraId="72F115D1" w14:textId="77777777" w:rsidR="00B70E22" w:rsidRPr="00A54361" w:rsidRDefault="00B70E22" w:rsidP="00A54361">
            <w:pPr>
              <w:autoSpaceDE w:val="0"/>
              <w:autoSpaceDN w:val="0"/>
              <w:adjustRightInd w:val="0"/>
              <w:spacing w:after="0"/>
              <w:jc w:val="both"/>
              <w:rPr>
                <w:rFonts w:cstheme="minorHAnsi"/>
              </w:rPr>
            </w:pPr>
            <w:r w:rsidRPr="00A54361">
              <w:rPr>
                <w:rFonts w:cstheme="minorHAnsi"/>
              </w:rPr>
              <w:t>Address: ____________________________</w:t>
            </w:r>
          </w:p>
        </w:tc>
      </w:tr>
      <w:tr w:rsidR="000D3DC1" w:rsidRPr="00A54361" w14:paraId="0700BEDE" w14:textId="77777777" w:rsidTr="000F2F51">
        <w:tc>
          <w:tcPr>
            <w:tcW w:w="4675" w:type="dxa"/>
            <w:shd w:val="clear" w:color="auto" w:fill="auto"/>
          </w:tcPr>
          <w:p w14:paraId="74AC301C" w14:textId="77777777" w:rsidR="00B70E22" w:rsidRPr="00A54361" w:rsidRDefault="00B70E22" w:rsidP="00A54361">
            <w:pPr>
              <w:autoSpaceDE w:val="0"/>
              <w:autoSpaceDN w:val="0"/>
              <w:adjustRightInd w:val="0"/>
              <w:spacing w:after="0"/>
              <w:jc w:val="both"/>
              <w:rPr>
                <w:rFonts w:cstheme="minorHAnsi"/>
              </w:rPr>
            </w:pPr>
            <w:r w:rsidRPr="00A54361">
              <w:rPr>
                <w:rFonts w:cstheme="minorHAnsi"/>
              </w:rPr>
              <w:t>Company: ___________________________</w:t>
            </w:r>
          </w:p>
        </w:tc>
        <w:tc>
          <w:tcPr>
            <w:tcW w:w="4675" w:type="dxa"/>
            <w:shd w:val="clear" w:color="auto" w:fill="auto"/>
          </w:tcPr>
          <w:p w14:paraId="0CBE9903" w14:textId="77777777" w:rsidR="00B70E22" w:rsidRPr="00A54361" w:rsidRDefault="00B70E22" w:rsidP="00A54361">
            <w:pPr>
              <w:autoSpaceDE w:val="0"/>
              <w:autoSpaceDN w:val="0"/>
              <w:adjustRightInd w:val="0"/>
              <w:spacing w:after="0"/>
              <w:jc w:val="both"/>
              <w:rPr>
                <w:rFonts w:cstheme="minorHAnsi"/>
              </w:rPr>
            </w:pPr>
            <w:r w:rsidRPr="00A54361">
              <w:rPr>
                <w:rFonts w:cstheme="minorHAnsi"/>
              </w:rPr>
              <w:t>Company: ___________________________</w:t>
            </w:r>
          </w:p>
        </w:tc>
      </w:tr>
      <w:tr w:rsidR="000D3DC1" w:rsidRPr="00A54361" w14:paraId="015AF65C" w14:textId="77777777" w:rsidTr="000F2F51">
        <w:tc>
          <w:tcPr>
            <w:tcW w:w="4675" w:type="dxa"/>
            <w:shd w:val="clear" w:color="auto" w:fill="auto"/>
          </w:tcPr>
          <w:p w14:paraId="42A6F5A8" w14:textId="77777777" w:rsidR="00B70E22" w:rsidRPr="00A54361" w:rsidRDefault="00B70E22" w:rsidP="00A54361">
            <w:pPr>
              <w:autoSpaceDE w:val="0"/>
              <w:autoSpaceDN w:val="0"/>
              <w:adjustRightInd w:val="0"/>
              <w:spacing w:after="0"/>
              <w:jc w:val="both"/>
              <w:rPr>
                <w:rFonts w:cstheme="minorHAnsi"/>
              </w:rPr>
            </w:pPr>
            <w:r w:rsidRPr="00A54361">
              <w:rPr>
                <w:rFonts w:cstheme="minorHAnsi"/>
              </w:rPr>
              <w:t>Date: _______________________________</w:t>
            </w:r>
          </w:p>
        </w:tc>
        <w:tc>
          <w:tcPr>
            <w:tcW w:w="4675" w:type="dxa"/>
            <w:shd w:val="clear" w:color="auto" w:fill="auto"/>
          </w:tcPr>
          <w:p w14:paraId="1A2B11EA" w14:textId="77777777" w:rsidR="00B70E22" w:rsidRPr="00A54361" w:rsidRDefault="00B70E22" w:rsidP="00A54361">
            <w:pPr>
              <w:autoSpaceDE w:val="0"/>
              <w:autoSpaceDN w:val="0"/>
              <w:adjustRightInd w:val="0"/>
              <w:spacing w:after="0"/>
              <w:jc w:val="both"/>
              <w:rPr>
                <w:rFonts w:cstheme="minorHAnsi"/>
              </w:rPr>
            </w:pPr>
            <w:r w:rsidRPr="00A54361">
              <w:rPr>
                <w:rFonts w:cstheme="minorHAnsi"/>
              </w:rPr>
              <w:t>Date: _______________________________</w:t>
            </w:r>
          </w:p>
        </w:tc>
      </w:tr>
      <w:tr w:rsidR="000D3DC1" w:rsidRPr="00A54361" w14:paraId="19313BB5" w14:textId="77777777" w:rsidTr="000F2F51">
        <w:tc>
          <w:tcPr>
            <w:tcW w:w="4675" w:type="dxa"/>
            <w:shd w:val="clear" w:color="auto" w:fill="auto"/>
          </w:tcPr>
          <w:p w14:paraId="19A9CB51" w14:textId="77777777" w:rsidR="00B70E22" w:rsidRPr="00A54361" w:rsidRDefault="00B70E22" w:rsidP="00A54361">
            <w:pPr>
              <w:autoSpaceDE w:val="0"/>
              <w:autoSpaceDN w:val="0"/>
              <w:adjustRightInd w:val="0"/>
              <w:spacing w:after="0"/>
              <w:jc w:val="both"/>
              <w:rPr>
                <w:rFonts w:cstheme="minorHAnsi"/>
                <w:b/>
                <w:bCs/>
              </w:rPr>
            </w:pPr>
            <w:r w:rsidRPr="00A54361">
              <w:rPr>
                <w:rFonts w:cstheme="minorHAnsi"/>
                <w:b/>
                <w:bCs/>
              </w:rPr>
              <w:t>Company Seal</w:t>
            </w:r>
          </w:p>
        </w:tc>
        <w:tc>
          <w:tcPr>
            <w:tcW w:w="4675" w:type="dxa"/>
            <w:shd w:val="clear" w:color="auto" w:fill="auto"/>
          </w:tcPr>
          <w:p w14:paraId="21E99621" w14:textId="77777777" w:rsidR="00B70E22" w:rsidRPr="00A54361" w:rsidRDefault="00B70E22" w:rsidP="00A54361">
            <w:pPr>
              <w:autoSpaceDE w:val="0"/>
              <w:autoSpaceDN w:val="0"/>
              <w:adjustRightInd w:val="0"/>
              <w:spacing w:after="0"/>
              <w:jc w:val="both"/>
              <w:rPr>
                <w:rFonts w:cstheme="minorHAnsi"/>
                <w:b/>
                <w:bCs/>
              </w:rPr>
            </w:pPr>
            <w:r w:rsidRPr="00A54361">
              <w:rPr>
                <w:rFonts w:cstheme="minorHAnsi"/>
                <w:b/>
                <w:bCs/>
              </w:rPr>
              <w:t>Company Seal</w:t>
            </w:r>
          </w:p>
        </w:tc>
      </w:tr>
      <w:tr w:rsidR="000D3DC1" w:rsidRPr="00A54361" w14:paraId="71DC3E84" w14:textId="77777777" w:rsidTr="000F2F51">
        <w:tc>
          <w:tcPr>
            <w:tcW w:w="4675" w:type="dxa"/>
            <w:shd w:val="clear" w:color="auto" w:fill="auto"/>
          </w:tcPr>
          <w:p w14:paraId="10CC4412" w14:textId="77777777" w:rsidR="00B70E22" w:rsidRPr="00A54361" w:rsidRDefault="00B70E22" w:rsidP="00A54361">
            <w:pPr>
              <w:autoSpaceDE w:val="0"/>
              <w:autoSpaceDN w:val="0"/>
              <w:adjustRightInd w:val="0"/>
              <w:spacing w:after="0"/>
              <w:jc w:val="both"/>
              <w:rPr>
                <w:rFonts w:cstheme="minorHAnsi"/>
                <w:b/>
                <w:bCs/>
              </w:rPr>
            </w:pPr>
            <w:r w:rsidRPr="00A54361">
              <w:rPr>
                <w:rFonts w:cstheme="minorHAnsi"/>
                <w:b/>
                <w:bCs/>
              </w:rPr>
              <w:t>Witness I</w:t>
            </w:r>
          </w:p>
        </w:tc>
        <w:tc>
          <w:tcPr>
            <w:tcW w:w="4675" w:type="dxa"/>
            <w:shd w:val="clear" w:color="auto" w:fill="auto"/>
          </w:tcPr>
          <w:p w14:paraId="075C0FF1" w14:textId="77777777" w:rsidR="00B70E22" w:rsidRPr="00A54361" w:rsidRDefault="00B70E22" w:rsidP="00A54361">
            <w:pPr>
              <w:autoSpaceDE w:val="0"/>
              <w:autoSpaceDN w:val="0"/>
              <w:adjustRightInd w:val="0"/>
              <w:spacing w:after="0"/>
              <w:jc w:val="both"/>
              <w:rPr>
                <w:rFonts w:cstheme="minorHAnsi"/>
                <w:b/>
                <w:bCs/>
              </w:rPr>
            </w:pPr>
            <w:r w:rsidRPr="00A54361">
              <w:rPr>
                <w:rFonts w:cstheme="minorHAnsi"/>
                <w:b/>
                <w:bCs/>
              </w:rPr>
              <w:t>Witness II</w:t>
            </w:r>
          </w:p>
        </w:tc>
      </w:tr>
      <w:tr w:rsidR="000D3DC1" w:rsidRPr="00A54361" w14:paraId="6C19297D" w14:textId="77777777" w:rsidTr="000F2F51">
        <w:trPr>
          <w:trHeight w:val="576"/>
        </w:trPr>
        <w:tc>
          <w:tcPr>
            <w:tcW w:w="4675" w:type="dxa"/>
            <w:shd w:val="clear" w:color="auto" w:fill="auto"/>
          </w:tcPr>
          <w:p w14:paraId="29574BB9" w14:textId="77777777" w:rsidR="00B70E22" w:rsidRPr="00A54361" w:rsidRDefault="00B70E22" w:rsidP="00A54361">
            <w:pPr>
              <w:autoSpaceDE w:val="0"/>
              <w:autoSpaceDN w:val="0"/>
              <w:adjustRightInd w:val="0"/>
              <w:spacing w:after="0"/>
              <w:jc w:val="both"/>
              <w:rPr>
                <w:rFonts w:cstheme="minorHAnsi"/>
              </w:rPr>
            </w:pPr>
          </w:p>
          <w:p w14:paraId="1500BA86" w14:textId="77777777" w:rsidR="00B70E22" w:rsidRPr="00A54361" w:rsidRDefault="00B70E22" w:rsidP="00A54361">
            <w:pPr>
              <w:autoSpaceDE w:val="0"/>
              <w:autoSpaceDN w:val="0"/>
              <w:adjustRightInd w:val="0"/>
              <w:spacing w:after="0"/>
              <w:jc w:val="both"/>
              <w:rPr>
                <w:rFonts w:cstheme="minorHAnsi"/>
              </w:rPr>
            </w:pPr>
          </w:p>
          <w:p w14:paraId="580050A3" w14:textId="77777777" w:rsidR="00B70E22" w:rsidRPr="00A54361" w:rsidRDefault="00B70E22" w:rsidP="00A54361">
            <w:pPr>
              <w:autoSpaceDE w:val="0"/>
              <w:autoSpaceDN w:val="0"/>
              <w:adjustRightInd w:val="0"/>
              <w:spacing w:after="0"/>
              <w:jc w:val="both"/>
              <w:rPr>
                <w:rFonts w:cstheme="minorHAnsi"/>
              </w:rPr>
            </w:pPr>
            <w:r w:rsidRPr="00A54361">
              <w:rPr>
                <w:rFonts w:cstheme="minorHAnsi"/>
              </w:rPr>
              <w:t>Signature: ___________________________</w:t>
            </w:r>
          </w:p>
        </w:tc>
        <w:tc>
          <w:tcPr>
            <w:tcW w:w="4675" w:type="dxa"/>
            <w:shd w:val="clear" w:color="auto" w:fill="auto"/>
          </w:tcPr>
          <w:p w14:paraId="1F2272A1" w14:textId="77777777" w:rsidR="00B70E22" w:rsidRPr="00A54361" w:rsidRDefault="00B70E22" w:rsidP="00A54361">
            <w:pPr>
              <w:autoSpaceDE w:val="0"/>
              <w:autoSpaceDN w:val="0"/>
              <w:adjustRightInd w:val="0"/>
              <w:spacing w:after="0"/>
              <w:jc w:val="both"/>
              <w:rPr>
                <w:rFonts w:cstheme="minorHAnsi"/>
              </w:rPr>
            </w:pPr>
          </w:p>
          <w:p w14:paraId="0794562B" w14:textId="77777777" w:rsidR="00B70E22" w:rsidRPr="00A54361" w:rsidRDefault="00B70E22" w:rsidP="00A54361">
            <w:pPr>
              <w:autoSpaceDE w:val="0"/>
              <w:autoSpaceDN w:val="0"/>
              <w:adjustRightInd w:val="0"/>
              <w:spacing w:after="0"/>
              <w:jc w:val="both"/>
              <w:rPr>
                <w:rFonts w:cstheme="minorHAnsi"/>
              </w:rPr>
            </w:pPr>
          </w:p>
          <w:p w14:paraId="60BA74A1" w14:textId="77777777" w:rsidR="00B70E22" w:rsidRPr="00A54361" w:rsidRDefault="00B70E22" w:rsidP="00A54361">
            <w:pPr>
              <w:autoSpaceDE w:val="0"/>
              <w:autoSpaceDN w:val="0"/>
              <w:adjustRightInd w:val="0"/>
              <w:spacing w:after="0"/>
              <w:jc w:val="both"/>
              <w:rPr>
                <w:rFonts w:cstheme="minorHAnsi"/>
              </w:rPr>
            </w:pPr>
            <w:r w:rsidRPr="00A54361">
              <w:rPr>
                <w:rFonts w:cstheme="minorHAnsi"/>
              </w:rPr>
              <w:t>Signature: ___________________________</w:t>
            </w:r>
          </w:p>
        </w:tc>
      </w:tr>
      <w:tr w:rsidR="000D3DC1" w:rsidRPr="00A54361" w14:paraId="6D060152" w14:textId="77777777" w:rsidTr="000F2F51">
        <w:tc>
          <w:tcPr>
            <w:tcW w:w="4675" w:type="dxa"/>
            <w:shd w:val="clear" w:color="auto" w:fill="auto"/>
          </w:tcPr>
          <w:p w14:paraId="1C599AEC" w14:textId="77777777" w:rsidR="00B70E22" w:rsidRPr="00A54361" w:rsidRDefault="00B70E22" w:rsidP="00A54361">
            <w:pPr>
              <w:autoSpaceDE w:val="0"/>
              <w:autoSpaceDN w:val="0"/>
              <w:adjustRightInd w:val="0"/>
              <w:spacing w:after="0"/>
              <w:jc w:val="both"/>
              <w:rPr>
                <w:rFonts w:cstheme="minorHAnsi"/>
              </w:rPr>
            </w:pPr>
            <w:r w:rsidRPr="00A54361">
              <w:rPr>
                <w:rFonts w:cstheme="minorHAnsi"/>
              </w:rPr>
              <w:t>Name: ______________________________</w:t>
            </w:r>
          </w:p>
        </w:tc>
        <w:tc>
          <w:tcPr>
            <w:tcW w:w="4675" w:type="dxa"/>
            <w:shd w:val="clear" w:color="auto" w:fill="auto"/>
          </w:tcPr>
          <w:p w14:paraId="3499029D" w14:textId="77777777" w:rsidR="00B70E22" w:rsidRPr="00A54361" w:rsidRDefault="00B70E22" w:rsidP="00A54361">
            <w:pPr>
              <w:autoSpaceDE w:val="0"/>
              <w:autoSpaceDN w:val="0"/>
              <w:adjustRightInd w:val="0"/>
              <w:spacing w:after="0"/>
              <w:jc w:val="both"/>
              <w:rPr>
                <w:rFonts w:cstheme="minorHAnsi"/>
              </w:rPr>
            </w:pPr>
            <w:r w:rsidRPr="00A54361">
              <w:rPr>
                <w:rFonts w:cstheme="minorHAnsi"/>
              </w:rPr>
              <w:t>Name: ______________________________</w:t>
            </w:r>
          </w:p>
        </w:tc>
      </w:tr>
      <w:tr w:rsidR="000D3DC1" w:rsidRPr="00A54361" w14:paraId="7E46CCB3" w14:textId="77777777" w:rsidTr="000F2F51">
        <w:tc>
          <w:tcPr>
            <w:tcW w:w="4675" w:type="dxa"/>
            <w:shd w:val="clear" w:color="auto" w:fill="auto"/>
          </w:tcPr>
          <w:p w14:paraId="1A6DA126" w14:textId="77777777" w:rsidR="00B70E22" w:rsidRPr="00A54361" w:rsidRDefault="00B70E22" w:rsidP="00A54361">
            <w:pPr>
              <w:autoSpaceDE w:val="0"/>
              <w:autoSpaceDN w:val="0"/>
              <w:adjustRightInd w:val="0"/>
              <w:spacing w:after="0"/>
              <w:jc w:val="both"/>
              <w:rPr>
                <w:rFonts w:cstheme="minorHAnsi"/>
              </w:rPr>
            </w:pPr>
            <w:r w:rsidRPr="00A54361">
              <w:rPr>
                <w:rFonts w:cstheme="minorHAnsi"/>
              </w:rPr>
              <w:t>Designation: _________________________</w:t>
            </w:r>
          </w:p>
        </w:tc>
        <w:tc>
          <w:tcPr>
            <w:tcW w:w="4675" w:type="dxa"/>
            <w:shd w:val="clear" w:color="auto" w:fill="auto"/>
          </w:tcPr>
          <w:p w14:paraId="7ACBFA1B" w14:textId="77777777" w:rsidR="00B70E22" w:rsidRPr="00A54361" w:rsidRDefault="00B70E22" w:rsidP="00A54361">
            <w:pPr>
              <w:autoSpaceDE w:val="0"/>
              <w:autoSpaceDN w:val="0"/>
              <w:adjustRightInd w:val="0"/>
              <w:spacing w:after="0"/>
              <w:jc w:val="both"/>
              <w:rPr>
                <w:rFonts w:cstheme="minorHAnsi"/>
              </w:rPr>
            </w:pPr>
            <w:r w:rsidRPr="00A54361">
              <w:rPr>
                <w:rFonts w:cstheme="minorHAnsi"/>
              </w:rPr>
              <w:t>Designation: _________________________</w:t>
            </w:r>
          </w:p>
        </w:tc>
      </w:tr>
      <w:tr w:rsidR="000D3DC1" w:rsidRPr="00A54361" w14:paraId="51A16AC4" w14:textId="77777777" w:rsidTr="000F2F51">
        <w:tc>
          <w:tcPr>
            <w:tcW w:w="4675" w:type="dxa"/>
            <w:shd w:val="clear" w:color="auto" w:fill="auto"/>
          </w:tcPr>
          <w:p w14:paraId="7D27E8A2" w14:textId="77777777" w:rsidR="00B70E22" w:rsidRPr="00A54361" w:rsidRDefault="00B70E22" w:rsidP="00A54361">
            <w:pPr>
              <w:autoSpaceDE w:val="0"/>
              <w:autoSpaceDN w:val="0"/>
              <w:adjustRightInd w:val="0"/>
              <w:spacing w:after="0"/>
              <w:jc w:val="both"/>
              <w:rPr>
                <w:rFonts w:cstheme="minorHAnsi"/>
              </w:rPr>
            </w:pPr>
            <w:r w:rsidRPr="00A54361">
              <w:rPr>
                <w:rFonts w:cstheme="minorHAnsi"/>
              </w:rPr>
              <w:t>Address: ____________________________</w:t>
            </w:r>
          </w:p>
        </w:tc>
        <w:tc>
          <w:tcPr>
            <w:tcW w:w="4675" w:type="dxa"/>
            <w:shd w:val="clear" w:color="auto" w:fill="auto"/>
          </w:tcPr>
          <w:p w14:paraId="7F14878F" w14:textId="77777777" w:rsidR="00B70E22" w:rsidRPr="00A54361" w:rsidRDefault="00B70E22" w:rsidP="00A54361">
            <w:pPr>
              <w:autoSpaceDE w:val="0"/>
              <w:autoSpaceDN w:val="0"/>
              <w:adjustRightInd w:val="0"/>
              <w:spacing w:after="0"/>
              <w:jc w:val="both"/>
              <w:rPr>
                <w:rFonts w:cstheme="minorHAnsi"/>
              </w:rPr>
            </w:pPr>
            <w:r w:rsidRPr="00A54361">
              <w:rPr>
                <w:rFonts w:cstheme="minorHAnsi"/>
              </w:rPr>
              <w:t>Address: ____________________________</w:t>
            </w:r>
          </w:p>
        </w:tc>
      </w:tr>
      <w:tr w:rsidR="000D3DC1" w:rsidRPr="00A54361" w14:paraId="392A5452" w14:textId="77777777" w:rsidTr="000F2F51">
        <w:tc>
          <w:tcPr>
            <w:tcW w:w="4675" w:type="dxa"/>
            <w:shd w:val="clear" w:color="auto" w:fill="auto"/>
          </w:tcPr>
          <w:p w14:paraId="3889B7BF" w14:textId="77777777" w:rsidR="00B70E22" w:rsidRPr="00A54361" w:rsidRDefault="00B70E22" w:rsidP="00A54361">
            <w:pPr>
              <w:autoSpaceDE w:val="0"/>
              <w:autoSpaceDN w:val="0"/>
              <w:adjustRightInd w:val="0"/>
              <w:spacing w:after="0"/>
              <w:jc w:val="both"/>
              <w:rPr>
                <w:rFonts w:cstheme="minorHAnsi"/>
              </w:rPr>
            </w:pPr>
            <w:r w:rsidRPr="00A54361">
              <w:rPr>
                <w:rFonts w:cstheme="minorHAnsi"/>
              </w:rPr>
              <w:t>Company: ___________________________</w:t>
            </w:r>
          </w:p>
        </w:tc>
        <w:tc>
          <w:tcPr>
            <w:tcW w:w="4675" w:type="dxa"/>
            <w:shd w:val="clear" w:color="auto" w:fill="auto"/>
          </w:tcPr>
          <w:p w14:paraId="165AEC5C" w14:textId="77777777" w:rsidR="00B70E22" w:rsidRPr="00A54361" w:rsidRDefault="00B70E22" w:rsidP="00A54361">
            <w:pPr>
              <w:autoSpaceDE w:val="0"/>
              <w:autoSpaceDN w:val="0"/>
              <w:adjustRightInd w:val="0"/>
              <w:spacing w:after="0"/>
              <w:jc w:val="both"/>
              <w:rPr>
                <w:rFonts w:cstheme="minorHAnsi"/>
              </w:rPr>
            </w:pPr>
            <w:r w:rsidRPr="00A54361">
              <w:rPr>
                <w:rFonts w:cstheme="minorHAnsi"/>
              </w:rPr>
              <w:t>Company: ___________________________</w:t>
            </w:r>
          </w:p>
        </w:tc>
      </w:tr>
      <w:tr w:rsidR="000D3DC1" w:rsidRPr="00A54361" w14:paraId="5520B24E" w14:textId="77777777" w:rsidTr="000F2F51">
        <w:tc>
          <w:tcPr>
            <w:tcW w:w="4675" w:type="dxa"/>
            <w:shd w:val="clear" w:color="auto" w:fill="auto"/>
          </w:tcPr>
          <w:p w14:paraId="27F1B1E5" w14:textId="77777777" w:rsidR="00B70E22" w:rsidRPr="00A54361" w:rsidRDefault="00B70E22" w:rsidP="00A54361">
            <w:pPr>
              <w:autoSpaceDE w:val="0"/>
              <w:autoSpaceDN w:val="0"/>
              <w:adjustRightInd w:val="0"/>
              <w:spacing w:after="0"/>
              <w:jc w:val="both"/>
              <w:rPr>
                <w:rFonts w:cstheme="minorHAnsi"/>
              </w:rPr>
            </w:pPr>
            <w:r w:rsidRPr="00A54361">
              <w:rPr>
                <w:rFonts w:cstheme="minorHAnsi"/>
              </w:rPr>
              <w:t>Date: _______________________________</w:t>
            </w:r>
          </w:p>
        </w:tc>
        <w:tc>
          <w:tcPr>
            <w:tcW w:w="4675" w:type="dxa"/>
            <w:shd w:val="clear" w:color="auto" w:fill="auto"/>
          </w:tcPr>
          <w:p w14:paraId="7E426B70" w14:textId="77777777" w:rsidR="00B70E22" w:rsidRPr="00A54361" w:rsidRDefault="00B70E22" w:rsidP="00A54361">
            <w:pPr>
              <w:autoSpaceDE w:val="0"/>
              <w:autoSpaceDN w:val="0"/>
              <w:adjustRightInd w:val="0"/>
              <w:spacing w:after="0"/>
              <w:jc w:val="both"/>
              <w:rPr>
                <w:rFonts w:cstheme="minorHAnsi"/>
              </w:rPr>
            </w:pPr>
            <w:r w:rsidRPr="00A54361">
              <w:rPr>
                <w:rFonts w:cstheme="minorHAnsi"/>
              </w:rPr>
              <w:t>Date: _______________________________</w:t>
            </w:r>
          </w:p>
        </w:tc>
      </w:tr>
    </w:tbl>
    <w:p w14:paraId="0AC62EE1" w14:textId="77777777" w:rsidR="007C45FB" w:rsidRPr="00A54361" w:rsidRDefault="007C45FB" w:rsidP="00A54361">
      <w:pPr>
        <w:jc w:val="both"/>
        <w:rPr>
          <w:rFonts w:cstheme="minorHAnsi"/>
        </w:rPr>
      </w:pPr>
      <w:r w:rsidRPr="00A54361">
        <w:rPr>
          <w:rFonts w:cstheme="minorHAnsi"/>
        </w:rPr>
        <w:br w:type="page"/>
      </w:r>
    </w:p>
    <w:p w14:paraId="319AF3B5" w14:textId="1C14DD4D" w:rsidR="00563F7D" w:rsidRPr="00A54361" w:rsidRDefault="007C45FB" w:rsidP="00A54361">
      <w:pPr>
        <w:pStyle w:val="Heading1"/>
        <w:numPr>
          <w:ilvl w:val="0"/>
          <w:numId w:val="48"/>
        </w:numPr>
        <w:jc w:val="both"/>
        <w:rPr>
          <w:rFonts w:asciiTheme="minorHAnsi" w:hAnsiTheme="minorHAnsi" w:cstheme="minorHAnsi"/>
          <w:color w:val="auto"/>
        </w:rPr>
      </w:pPr>
      <w:bookmarkStart w:id="277" w:name="_Toc129668537"/>
      <w:bookmarkStart w:id="278" w:name="_Toc182233416"/>
      <w:r w:rsidRPr="00A54361">
        <w:rPr>
          <w:rFonts w:asciiTheme="minorHAnsi" w:hAnsiTheme="minorHAnsi" w:cstheme="minorHAnsi"/>
          <w:color w:val="auto"/>
        </w:rPr>
        <w:t xml:space="preserve">Annexure </w:t>
      </w:r>
      <w:r w:rsidR="00292718" w:rsidRPr="00A54361">
        <w:rPr>
          <w:rFonts w:asciiTheme="minorHAnsi" w:hAnsiTheme="minorHAnsi" w:cstheme="minorHAnsi"/>
          <w:color w:val="auto"/>
        </w:rPr>
        <w:t>1</w:t>
      </w:r>
      <w:r w:rsidR="003970B0" w:rsidRPr="00A54361">
        <w:rPr>
          <w:rFonts w:asciiTheme="minorHAnsi" w:hAnsiTheme="minorHAnsi" w:cstheme="minorHAnsi"/>
          <w:color w:val="auto"/>
        </w:rPr>
        <w:t>0</w:t>
      </w:r>
      <w:r w:rsidRPr="00A54361">
        <w:rPr>
          <w:rFonts w:asciiTheme="minorHAnsi" w:hAnsiTheme="minorHAnsi" w:cstheme="minorHAnsi"/>
          <w:color w:val="auto"/>
        </w:rPr>
        <w:t>: Non-Disclosure Agreement</w:t>
      </w:r>
      <w:bookmarkEnd w:id="277"/>
      <w:bookmarkEnd w:id="278"/>
    </w:p>
    <w:p w14:paraId="4247441E" w14:textId="2AD6AFFF" w:rsidR="007C45FB" w:rsidRPr="00A54361" w:rsidRDefault="007C45FB" w:rsidP="00A54361">
      <w:pPr>
        <w:jc w:val="both"/>
        <w:rPr>
          <w:rFonts w:cstheme="minorHAnsi"/>
        </w:rPr>
      </w:pPr>
      <w:r w:rsidRPr="00A54361">
        <w:rPr>
          <w:rFonts w:cstheme="minorHAnsi"/>
        </w:rPr>
        <w:t>This Agreement made at _______________, on this _____ day of __________________ 202</w:t>
      </w:r>
      <w:r w:rsidR="00EA4E48" w:rsidRPr="00A54361">
        <w:rPr>
          <w:rFonts w:cstheme="minorHAnsi"/>
        </w:rPr>
        <w:t>4</w:t>
      </w:r>
    </w:p>
    <w:p w14:paraId="606E05EA" w14:textId="4E8FCFF7" w:rsidR="007C45FB" w:rsidRPr="00A54361" w:rsidRDefault="007C45FB" w:rsidP="00A54361">
      <w:pPr>
        <w:jc w:val="both"/>
        <w:rPr>
          <w:rFonts w:cstheme="minorHAnsi"/>
        </w:rPr>
      </w:pPr>
      <w:r w:rsidRPr="00A54361">
        <w:rPr>
          <w:rFonts w:cstheme="minorHAnsi"/>
        </w:rPr>
        <w:t>Between</w:t>
      </w:r>
    </w:p>
    <w:p w14:paraId="7E2A0DB8" w14:textId="6F67148A" w:rsidR="007C45FB" w:rsidRPr="00A54361" w:rsidRDefault="007C45FB" w:rsidP="00A54361">
      <w:pPr>
        <w:jc w:val="both"/>
        <w:rPr>
          <w:rFonts w:cstheme="minorHAnsi"/>
        </w:rPr>
      </w:pPr>
      <w:r w:rsidRPr="00A54361">
        <w:rPr>
          <w:rFonts w:cstheme="minorHAnsi"/>
        </w:rPr>
        <w:t>________________________________ a company incorporated under the Companies Act, 1956/2013 having its registered office at ___________________________ (hereinafter referred to as “-----” which expression unless repugnant to the context or meaning thereof be deemed to include its successors and assigns) of the ONE PART;</w:t>
      </w:r>
    </w:p>
    <w:p w14:paraId="608BF45B" w14:textId="006AD806" w:rsidR="007C45FB" w:rsidRPr="00A54361" w:rsidRDefault="007C45FB" w:rsidP="00A54361">
      <w:pPr>
        <w:spacing w:before="120" w:after="120"/>
        <w:jc w:val="both"/>
        <w:rPr>
          <w:rFonts w:cstheme="minorHAnsi"/>
        </w:rPr>
      </w:pPr>
      <w:r w:rsidRPr="00A54361">
        <w:rPr>
          <w:rFonts w:cstheme="minorHAnsi"/>
        </w:rPr>
        <w:t>AND</w:t>
      </w:r>
    </w:p>
    <w:p w14:paraId="1DEE079E" w14:textId="1A966755" w:rsidR="007C45FB" w:rsidRPr="00A54361" w:rsidRDefault="007C45FB" w:rsidP="00A54361">
      <w:pPr>
        <w:spacing w:before="120" w:after="120"/>
        <w:jc w:val="both"/>
        <w:rPr>
          <w:rFonts w:cstheme="minorHAnsi"/>
        </w:rPr>
      </w:pPr>
      <w:r w:rsidRPr="00A54361">
        <w:rPr>
          <w:rFonts w:cstheme="minorHAnsi"/>
        </w:rPr>
        <w:t>CENTRAL BANK OF INDIA, a body corporate constituted under the Banking Companies (Acquisition &amp; Transfer of Undertakings) Act, 1970 and having its head Office at Central Office, Chander Mukhi, Nariman Point, Mumbai – 400 021 (hereinafter referred to as “BANK” which expression unless repugnant to the context or meaning thereof be deemed to include its successors and assigns) of the OTHER PART</w:t>
      </w:r>
    </w:p>
    <w:p w14:paraId="1706E519" w14:textId="4EA06A01" w:rsidR="007C45FB" w:rsidRPr="00A54361" w:rsidRDefault="007C45FB" w:rsidP="00A54361">
      <w:pPr>
        <w:spacing w:before="120" w:after="120"/>
        <w:jc w:val="both"/>
        <w:rPr>
          <w:rFonts w:cstheme="minorHAnsi"/>
        </w:rPr>
      </w:pPr>
      <w:r w:rsidRPr="00A54361">
        <w:rPr>
          <w:rFonts w:cstheme="minorHAnsi"/>
        </w:rPr>
        <w:t>The ………..bidder and BANK are hereinafter individually referred to as party and collectively referred to as “the Parties”. Either of the parties which discloses or receives the confidential information is respectively referred to herein as Disclosing Party and Receiving Party.</w:t>
      </w:r>
    </w:p>
    <w:p w14:paraId="7B0F7B9B" w14:textId="67037FBC" w:rsidR="007C45FB" w:rsidRPr="00A54361" w:rsidRDefault="007C45FB" w:rsidP="00A54361">
      <w:pPr>
        <w:spacing w:before="120" w:after="120"/>
        <w:jc w:val="both"/>
        <w:rPr>
          <w:rFonts w:cstheme="minorHAnsi"/>
        </w:rPr>
      </w:pPr>
      <w:r w:rsidRPr="00A54361">
        <w:rPr>
          <w:rFonts w:cstheme="minorHAnsi"/>
        </w:rPr>
        <w:t>WHEREAS:</w:t>
      </w:r>
    </w:p>
    <w:p w14:paraId="0C4846D0" w14:textId="470FC63E" w:rsidR="007C45FB" w:rsidRPr="00A54361" w:rsidRDefault="007C45FB" w:rsidP="00A54361">
      <w:pPr>
        <w:spacing w:before="120" w:after="120"/>
        <w:jc w:val="both"/>
        <w:rPr>
          <w:rFonts w:cstheme="minorHAnsi"/>
        </w:rPr>
      </w:pPr>
      <w:r w:rsidRPr="00A54361">
        <w:rPr>
          <w:rFonts w:cstheme="minorHAnsi"/>
        </w:rPr>
        <w:t>The Parties intend to engage in discussions and negotiations concerning the establishment of a business relationship between them. In the course of such discussions and negotiations, it is anticipated that both the parties may disclose or deliver to either of the Parties certain or some of its trade secrets or confidential or proprietary information, for the purpose of enabling the other party to evaluate the feasibility of such business relationship (hereinafter referred to as “the Purpose”).</w:t>
      </w:r>
    </w:p>
    <w:p w14:paraId="43351C41" w14:textId="693A4FC0" w:rsidR="007C45FB" w:rsidRPr="00A54361" w:rsidRDefault="007C45FB" w:rsidP="00A54361">
      <w:pPr>
        <w:spacing w:before="120" w:after="120"/>
        <w:jc w:val="both"/>
        <w:rPr>
          <w:rFonts w:cstheme="minorHAnsi"/>
        </w:rPr>
      </w:pPr>
      <w:r w:rsidRPr="00A54361">
        <w:rPr>
          <w:rFonts w:cstheme="minorHAnsi"/>
        </w:rPr>
        <w:t>NOW, THEREFORE, THIS AGREEMENT WITNESSETH AND IT IS HEREBY AGREED BY AND BETWEEN THE PARTIES HERETO AS FOLLOWS:</w:t>
      </w:r>
    </w:p>
    <w:p w14:paraId="7D12611F" w14:textId="2D4D8F08" w:rsidR="007C45FB" w:rsidRPr="00A54361" w:rsidRDefault="007C45FB" w:rsidP="00A54361">
      <w:pPr>
        <w:spacing w:before="120" w:after="120"/>
        <w:jc w:val="both"/>
        <w:rPr>
          <w:rFonts w:cstheme="minorHAnsi"/>
          <w:b/>
          <w:bCs/>
        </w:rPr>
      </w:pPr>
      <w:r w:rsidRPr="00A54361">
        <w:rPr>
          <w:rFonts w:cstheme="minorHAnsi"/>
          <w:b/>
          <w:bCs/>
        </w:rPr>
        <w:t>1. Confidential Information</w:t>
      </w:r>
    </w:p>
    <w:p w14:paraId="1374E839" w14:textId="4731CA47" w:rsidR="007C45FB" w:rsidRPr="00A54361" w:rsidRDefault="007C45FB" w:rsidP="00A54361">
      <w:pPr>
        <w:spacing w:before="120" w:after="120"/>
        <w:jc w:val="both"/>
        <w:rPr>
          <w:rFonts w:cstheme="minorHAnsi"/>
        </w:rPr>
      </w:pPr>
      <w:r w:rsidRPr="00A54361">
        <w:rPr>
          <w:rFonts w:cstheme="minorHAnsi"/>
        </w:rPr>
        <w:t>“Confidential Information” means all information disclosed/ furnished by either of the parties to another Party in connection with the business transacted/to be transacted between the Parties and/or in the course of discussions and negotiations between them in connection with the Purpose. Confidential Information shall include customer data, any copy, abstract, extract, sample, note or module thereof.</w:t>
      </w:r>
    </w:p>
    <w:p w14:paraId="5C29F37D" w14:textId="5FC53295" w:rsidR="007C45FB" w:rsidRPr="00A54361" w:rsidRDefault="007C45FB" w:rsidP="00A54361">
      <w:pPr>
        <w:spacing w:before="120" w:after="120"/>
        <w:jc w:val="both"/>
        <w:rPr>
          <w:rFonts w:cstheme="minorHAnsi"/>
        </w:rPr>
      </w:pPr>
      <w:r w:rsidRPr="00A54361">
        <w:rPr>
          <w:rFonts w:cstheme="minorHAnsi"/>
        </w:rPr>
        <w:t>Either of the Parties may use the Confidential Information solely for and in connection with the Purpose.</w:t>
      </w:r>
    </w:p>
    <w:p w14:paraId="2B327617" w14:textId="3900B8D4" w:rsidR="007C45FB" w:rsidRPr="00A54361" w:rsidRDefault="007C45FB" w:rsidP="00A54361">
      <w:pPr>
        <w:spacing w:before="120" w:after="120"/>
        <w:jc w:val="both"/>
        <w:rPr>
          <w:rFonts w:cstheme="minorHAnsi"/>
        </w:rPr>
      </w:pPr>
      <w:r w:rsidRPr="00A54361">
        <w:rPr>
          <w:rFonts w:cstheme="minorHAnsi"/>
        </w:rPr>
        <w:t>Notwithstanding the foregoing, “Confidential Information” shall not include any information which the Receiving Party can show: (a) is now or subsequently becomes legally and publicly available without breach of this Agreement by the Receiving Party, (b) was rightfully in the possession of the Receiving Party without any obligation of confidentiality prior to receiving it from the Disclosing Party, (c) was rightfully obtained by the Receiving Party from a source other than the Disclosing Party without any obligation of confidentiality, or (d) was developed by or for the Receiving Party independently and without reference to any Confidential Information and such independent development can be shown by documentary evidence.</w:t>
      </w:r>
    </w:p>
    <w:p w14:paraId="6BBF5E47" w14:textId="1A646F7F" w:rsidR="007C45FB" w:rsidRPr="00A54361" w:rsidRDefault="00D76F1F" w:rsidP="00A54361">
      <w:pPr>
        <w:spacing w:before="120" w:after="120"/>
        <w:jc w:val="both"/>
        <w:rPr>
          <w:rFonts w:cstheme="minorHAnsi"/>
          <w:b/>
          <w:bCs/>
        </w:rPr>
      </w:pPr>
      <w:r w:rsidRPr="00A54361">
        <w:rPr>
          <w:rFonts w:cstheme="minorHAnsi"/>
          <w:b/>
          <w:bCs/>
        </w:rPr>
        <w:t>2. Non-Disclosure</w:t>
      </w:r>
    </w:p>
    <w:p w14:paraId="1A160AA5" w14:textId="56B4D1E3" w:rsidR="00D76F1F" w:rsidRPr="00A54361" w:rsidRDefault="00D76F1F" w:rsidP="00A54361">
      <w:pPr>
        <w:spacing w:before="120" w:after="120"/>
        <w:jc w:val="both"/>
        <w:rPr>
          <w:rFonts w:cstheme="minorHAnsi"/>
        </w:rPr>
      </w:pPr>
      <w:r w:rsidRPr="00A54361">
        <w:rPr>
          <w:rFonts w:cstheme="minorHAnsi"/>
        </w:rPr>
        <w:t xml:space="preserve">The Receiving Party shall not commercially use or disclose any Confidential Information or any materials derived there from to any other person or entity other than persons in the direct employment of the Receiving Party who have a need to have access to and knowledge of the Confidential Information solely for the Purpose authorized above. The Receiving Party may disclose Confidential Information to </w:t>
      </w:r>
      <w:r w:rsidR="009D340B" w:rsidRPr="00A54361">
        <w:rPr>
          <w:rFonts w:cstheme="minorHAnsi"/>
        </w:rPr>
        <w:t>its employees,</w:t>
      </w:r>
      <w:r w:rsidR="000353F1" w:rsidRPr="00A54361">
        <w:rPr>
          <w:rFonts w:cstheme="minorHAnsi"/>
        </w:rPr>
        <w:t xml:space="preserve"> </w:t>
      </w:r>
      <w:r w:rsidR="009D340B" w:rsidRPr="00A54361">
        <w:rPr>
          <w:rFonts w:cstheme="minorHAnsi"/>
        </w:rPr>
        <w:t>consultants,</w:t>
      </w:r>
      <w:r w:rsidR="00D946CA" w:rsidRPr="00A54361">
        <w:rPr>
          <w:rFonts w:cstheme="minorHAnsi"/>
        </w:rPr>
        <w:t xml:space="preserve"> </w:t>
      </w:r>
      <w:r w:rsidR="009D340B" w:rsidRPr="00A54361">
        <w:rPr>
          <w:rFonts w:cstheme="minorHAnsi"/>
        </w:rPr>
        <w:t>auditors,</w:t>
      </w:r>
      <w:r w:rsidR="000353F1" w:rsidRPr="00A54361">
        <w:rPr>
          <w:rFonts w:cstheme="minorHAnsi"/>
        </w:rPr>
        <w:t xml:space="preserve"> </w:t>
      </w:r>
      <w:r w:rsidR="009D340B" w:rsidRPr="00A54361">
        <w:rPr>
          <w:rFonts w:cstheme="minorHAnsi"/>
        </w:rPr>
        <w:t>sub-contractors (“Representatives”</w:t>
      </w:r>
      <w:r w:rsidR="006A0D8A" w:rsidRPr="00A54361">
        <w:rPr>
          <w:rFonts w:cstheme="minorHAnsi"/>
        </w:rPr>
        <w:t>) consultants</w:t>
      </w:r>
      <w:r w:rsidRPr="00A54361">
        <w:rPr>
          <w:rFonts w:cstheme="minorHAnsi"/>
        </w:rPr>
        <w:t xml:space="preserve"> only if </w:t>
      </w:r>
      <w:r w:rsidR="009D340B" w:rsidRPr="00A54361">
        <w:rPr>
          <w:rFonts w:cstheme="minorHAnsi"/>
        </w:rPr>
        <w:t>such representatives</w:t>
      </w:r>
      <w:r w:rsidRPr="00A54361">
        <w:rPr>
          <w:rFonts w:cstheme="minorHAnsi"/>
        </w:rPr>
        <w:t xml:space="preserve"> has executed a Non-disclosure Agreement with the Receiving Party that contains terms and conditions that are no less restrictive than these. The Receiving Party shall take appropriate measures by instruction and written agreement prior to disclosure to such employees to assure against unauthorized use or disclosure. The Receiving Party agrees to notify the Disclosing Party immediately if it learns of any use or disclosure of the Disclosing Party’s Confidential Information in violation of the terms of this Agreement. Further, any breach of non-disclosure obligations by such employees or consultants shall be deemed to be a breach of this Agreement by the Receiving Party and the Receiving Party shall be accordingly liable therefor.</w:t>
      </w:r>
    </w:p>
    <w:p w14:paraId="7F724C90" w14:textId="4D116D01" w:rsidR="00D76F1F" w:rsidRPr="00A54361" w:rsidRDefault="00D76F1F" w:rsidP="00A54361">
      <w:pPr>
        <w:spacing w:before="120" w:after="120"/>
        <w:jc w:val="both"/>
        <w:rPr>
          <w:rFonts w:cstheme="minorHAnsi"/>
        </w:rPr>
      </w:pPr>
      <w:r w:rsidRPr="00A54361">
        <w:rPr>
          <w:rFonts w:cstheme="minorHAnsi"/>
        </w:rPr>
        <w:t>Provided that the Receiving Party may disclose Confidential information to a court or governmental agency pursuant to an order of such court or governmental agency as so required by such order, provided that the Receiving Party shall, unless prohibited by law or regulation, promptly notify the Disclosing Party of such order and afford the Disclosing Party the opportunity to seek appropriate protective order relating to such disclosure.</w:t>
      </w:r>
    </w:p>
    <w:p w14:paraId="308F9AA1" w14:textId="44FC4B88" w:rsidR="00D76F1F" w:rsidRPr="00A54361" w:rsidRDefault="00D76F1F" w:rsidP="00A54361">
      <w:pPr>
        <w:spacing w:before="120" w:after="120"/>
        <w:jc w:val="both"/>
        <w:rPr>
          <w:rFonts w:cstheme="minorHAnsi"/>
          <w:b/>
          <w:bCs/>
        </w:rPr>
      </w:pPr>
      <w:r w:rsidRPr="00A54361">
        <w:rPr>
          <w:rFonts w:cstheme="minorHAnsi"/>
          <w:b/>
          <w:bCs/>
        </w:rPr>
        <w:t>3. Publications</w:t>
      </w:r>
    </w:p>
    <w:p w14:paraId="1DEA7078" w14:textId="39CFE9F8" w:rsidR="00D76F1F" w:rsidRPr="00A54361" w:rsidRDefault="00D76F1F" w:rsidP="00A54361">
      <w:pPr>
        <w:spacing w:before="120" w:after="120"/>
        <w:jc w:val="both"/>
        <w:rPr>
          <w:rFonts w:cstheme="minorHAnsi"/>
        </w:rPr>
      </w:pPr>
      <w:r w:rsidRPr="00A54361">
        <w:rPr>
          <w:rFonts w:cstheme="minorHAnsi"/>
        </w:rPr>
        <w:t>Neither Party shall make news releases, public announcements, give interviews, issue or publish advertisements or publicize in any other manner whatsoever in connection with this Agreement, the contents / provisions thereof, other information relating to this Agreement, the Purpose, the Confidential Information or other matter of this Agreement, without the prior written approval of the other Party.</w:t>
      </w:r>
    </w:p>
    <w:p w14:paraId="784FB046" w14:textId="1D49F0D0" w:rsidR="00D76F1F" w:rsidRPr="00A54361" w:rsidRDefault="00D76F1F" w:rsidP="00A54361">
      <w:pPr>
        <w:spacing w:before="120" w:after="120"/>
        <w:jc w:val="both"/>
        <w:rPr>
          <w:rFonts w:cstheme="minorHAnsi"/>
          <w:b/>
          <w:bCs/>
        </w:rPr>
      </w:pPr>
      <w:r w:rsidRPr="00A54361">
        <w:rPr>
          <w:rFonts w:cstheme="minorHAnsi"/>
          <w:b/>
          <w:bCs/>
        </w:rPr>
        <w:t>4. Term</w:t>
      </w:r>
    </w:p>
    <w:p w14:paraId="38A80CF1" w14:textId="2BC7D0CB" w:rsidR="00D76F1F" w:rsidRPr="00A54361" w:rsidRDefault="00D76F1F" w:rsidP="00A54361">
      <w:pPr>
        <w:spacing w:before="120" w:after="120"/>
        <w:jc w:val="both"/>
        <w:rPr>
          <w:rFonts w:cstheme="minorHAnsi"/>
        </w:rPr>
      </w:pPr>
      <w:r w:rsidRPr="00A54361">
        <w:rPr>
          <w:rFonts w:cstheme="minorHAnsi"/>
        </w:rPr>
        <w:t>This Agreement shall be effective from the date hereof and shall continue till establishment of business relationship between the Parties and execution of definitive agreements thereafter. Upon expiration or termination as contemplated herein the Receiving Party shall immediately cease rights to any and all disclosures or uses of Confidential Information; and at the request of the Disclosing Party, the Receiving Party shall promptly return or destroy all written, graphic or other tangible forms of the Confidential Information and all copies, abstracts, extracts, samples, notes or modules thereof.</w:t>
      </w:r>
    </w:p>
    <w:p w14:paraId="2BAB2EAA" w14:textId="77777777" w:rsidR="00325796" w:rsidRPr="00A54361" w:rsidRDefault="00D76F1F" w:rsidP="00A54361">
      <w:pPr>
        <w:spacing w:before="120" w:after="120"/>
        <w:jc w:val="both"/>
        <w:rPr>
          <w:rFonts w:cstheme="minorHAnsi"/>
        </w:rPr>
      </w:pPr>
      <w:r w:rsidRPr="00A54361">
        <w:rPr>
          <w:rFonts w:cstheme="minorHAnsi"/>
        </w:rPr>
        <w:t xml:space="preserve">Notwithstanding anything to the contrary contained herein, the confidential information shall continue to remain confidential </w:t>
      </w:r>
      <w:r w:rsidR="003A4C3E" w:rsidRPr="00A54361">
        <w:rPr>
          <w:rFonts w:cstheme="minorHAnsi"/>
        </w:rPr>
        <w:t>u</w:t>
      </w:r>
      <w:r w:rsidR="007450AE" w:rsidRPr="00A54361">
        <w:rPr>
          <w:rFonts w:cstheme="minorHAnsi"/>
        </w:rPr>
        <w:t>n</w:t>
      </w:r>
      <w:r w:rsidR="003A4C3E" w:rsidRPr="00A54361">
        <w:rPr>
          <w:rFonts w:cstheme="minorHAnsi"/>
        </w:rPr>
        <w:t xml:space="preserve">til </w:t>
      </w:r>
      <w:r w:rsidR="007450AE" w:rsidRPr="00A54361">
        <w:rPr>
          <w:rFonts w:cstheme="minorHAnsi"/>
        </w:rPr>
        <w:t>it</w:t>
      </w:r>
      <w:r w:rsidR="003A4C3E" w:rsidRPr="00A54361">
        <w:rPr>
          <w:rFonts w:cstheme="minorHAnsi"/>
        </w:rPr>
        <w:t xml:space="preserve"> reaches</w:t>
      </w:r>
      <w:r w:rsidR="007450AE" w:rsidRPr="00A54361">
        <w:rPr>
          <w:rFonts w:cstheme="minorHAnsi"/>
        </w:rPr>
        <w:t xml:space="preserve"> the public domain </w:t>
      </w:r>
      <w:r w:rsidR="00325796" w:rsidRPr="00A54361">
        <w:rPr>
          <w:rFonts w:cstheme="minorHAnsi"/>
        </w:rPr>
        <w:t>in the normal course.</w:t>
      </w:r>
    </w:p>
    <w:p w14:paraId="5E33D98C" w14:textId="694FC7D3" w:rsidR="00D76F1F" w:rsidRPr="00A54361" w:rsidRDefault="00D76F1F" w:rsidP="00A54361">
      <w:pPr>
        <w:pStyle w:val="ListParagraph"/>
        <w:numPr>
          <w:ilvl w:val="0"/>
          <w:numId w:val="25"/>
        </w:numPr>
        <w:spacing w:before="120" w:after="120"/>
        <w:jc w:val="both"/>
        <w:rPr>
          <w:rFonts w:cstheme="minorHAnsi"/>
          <w:b/>
          <w:bCs/>
        </w:rPr>
      </w:pPr>
      <w:r w:rsidRPr="00A54361">
        <w:rPr>
          <w:rFonts w:cstheme="minorHAnsi"/>
          <w:b/>
          <w:bCs/>
        </w:rPr>
        <w:t>Title &amp; Proprietary Rights</w:t>
      </w:r>
    </w:p>
    <w:p w14:paraId="41D19154" w14:textId="2EC8DB23" w:rsidR="00D76F1F" w:rsidRPr="00A54361" w:rsidRDefault="00D76F1F" w:rsidP="00A54361">
      <w:pPr>
        <w:spacing w:before="120" w:after="120"/>
        <w:jc w:val="both"/>
        <w:rPr>
          <w:rFonts w:cstheme="minorHAnsi"/>
        </w:rPr>
      </w:pPr>
      <w:r w:rsidRPr="00A54361">
        <w:rPr>
          <w:rFonts w:cstheme="minorHAnsi"/>
        </w:rPr>
        <w:t>Notwithstanding the disclosure of any Confidential Information by the Disclosing Party to the Receiving Party, the Disclosing Party shall retain title and all intellectual property and proprietary rights in the Confidential Information. No license under any trademark, patent or copyright, or application for same which are now or thereafter may be obtained by such Party is either granted or implied by the conveying of Confidential Information. The Receiving Party shall not conceal, alter, obliterate, mutilate, deface or otherwise interfere with any trademark, trademark notice, copyright notice, confidentiality notice or any notice of any other proprietary right of the Disclosing Party on any copy of the Confidential Information, and shall reproduce any such mark or notice on all copies of such Confidential Information. Likewise, the Receiving Party shall not add or emboss its own or any other any mark, symbol or logo on such Confidential Information.</w:t>
      </w:r>
    </w:p>
    <w:p w14:paraId="6A8BA00F" w14:textId="56EA63DC" w:rsidR="00D76F1F" w:rsidRPr="00A54361" w:rsidRDefault="00D76F1F" w:rsidP="00A54361">
      <w:pPr>
        <w:pStyle w:val="ListParagraph"/>
        <w:numPr>
          <w:ilvl w:val="0"/>
          <w:numId w:val="25"/>
        </w:numPr>
        <w:spacing w:before="120" w:after="120"/>
        <w:jc w:val="both"/>
        <w:rPr>
          <w:rFonts w:cstheme="minorHAnsi"/>
          <w:b/>
          <w:bCs/>
        </w:rPr>
      </w:pPr>
      <w:r w:rsidRPr="00A54361">
        <w:rPr>
          <w:rFonts w:cstheme="minorHAnsi"/>
          <w:b/>
          <w:bCs/>
        </w:rPr>
        <w:t>Return of Confidential Information</w:t>
      </w:r>
    </w:p>
    <w:p w14:paraId="77117FE2" w14:textId="75640426" w:rsidR="00575374" w:rsidRPr="00A54361" w:rsidRDefault="00D76F1F" w:rsidP="00A54361">
      <w:pPr>
        <w:spacing w:before="120" w:after="120"/>
        <w:jc w:val="both"/>
        <w:rPr>
          <w:rFonts w:cstheme="minorHAnsi"/>
        </w:rPr>
      </w:pPr>
      <w:r w:rsidRPr="00A54361">
        <w:rPr>
          <w:rFonts w:cstheme="minorHAnsi"/>
        </w:rPr>
        <w:t>Upon written demand of the Disclosing Party, the Receiving Party shall (i) cease using the Confidential Information, (ii) return the Confidential Information and all copies, abstract, extracts, samples, notes or modules thereof to the Disclosing Party within seven (7) days after receipt of notice, and (iii) upon request of the Disclosing Party, certify in writing that the Receiving Party has complied with the obligations set forth in this paragraph.</w:t>
      </w:r>
      <w:r w:rsidR="00575374" w:rsidRPr="00A54361">
        <w:rPr>
          <w:rFonts w:cstheme="minorHAnsi"/>
        </w:rPr>
        <w:t xml:space="preserve"> The obligation under this clause will not apply where it is necessary to retain any confidential information for the purpose as required by the law or for internal auditing purposes or electronic data stored due to automatic archiving or backup procedures.</w:t>
      </w:r>
    </w:p>
    <w:p w14:paraId="1C0B3DF7" w14:textId="677723B5" w:rsidR="00D76F1F" w:rsidRPr="00A54361" w:rsidRDefault="00D76F1F" w:rsidP="00A54361">
      <w:pPr>
        <w:pStyle w:val="ListParagraph"/>
        <w:numPr>
          <w:ilvl w:val="0"/>
          <w:numId w:val="25"/>
        </w:numPr>
        <w:spacing w:before="120" w:after="120"/>
        <w:jc w:val="both"/>
        <w:rPr>
          <w:rFonts w:cstheme="minorHAnsi"/>
          <w:b/>
          <w:bCs/>
        </w:rPr>
      </w:pPr>
      <w:r w:rsidRPr="00A54361">
        <w:rPr>
          <w:rFonts w:cstheme="minorHAnsi"/>
          <w:b/>
          <w:bCs/>
        </w:rPr>
        <w:t>Remedies</w:t>
      </w:r>
    </w:p>
    <w:p w14:paraId="60A1C007" w14:textId="360F3F9E" w:rsidR="00D76F1F" w:rsidRPr="00A54361" w:rsidRDefault="00D76F1F" w:rsidP="00A54361">
      <w:pPr>
        <w:spacing w:before="120" w:after="120"/>
        <w:jc w:val="both"/>
        <w:rPr>
          <w:rFonts w:cstheme="minorHAnsi"/>
        </w:rPr>
      </w:pPr>
      <w:r w:rsidRPr="00A54361">
        <w:rPr>
          <w:rFonts w:cstheme="minorHAnsi"/>
        </w:rPr>
        <w:t>The Receiving Party acknowledges that if the Receiving Party fails to comply with any of its obligations hereunder, the Disclosing Party may suffer immediate, irreparable harm for which monetary damages may not be adequate. The Receiving Party agrees that, in addition to all other remedies provided at law or in equity, the Disclosing Party shall be entitled to injunctive relief hereunder.</w:t>
      </w:r>
    </w:p>
    <w:p w14:paraId="020853FD" w14:textId="146D44AD" w:rsidR="00D76F1F" w:rsidRPr="00A54361" w:rsidRDefault="00D76F1F" w:rsidP="00A54361">
      <w:pPr>
        <w:pStyle w:val="ListParagraph"/>
        <w:numPr>
          <w:ilvl w:val="0"/>
          <w:numId w:val="25"/>
        </w:numPr>
        <w:spacing w:before="120" w:after="120"/>
        <w:jc w:val="both"/>
        <w:rPr>
          <w:rFonts w:cstheme="minorHAnsi"/>
          <w:b/>
          <w:bCs/>
        </w:rPr>
      </w:pPr>
      <w:r w:rsidRPr="00A54361">
        <w:rPr>
          <w:rFonts w:cstheme="minorHAnsi"/>
          <w:b/>
          <w:bCs/>
        </w:rPr>
        <w:t>Entire Agreement, Amendment and Assignment</w:t>
      </w:r>
    </w:p>
    <w:p w14:paraId="3EF057FF" w14:textId="578D0C1D" w:rsidR="00D76F1F" w:rsidRPr="00A54361" w:rsidRDefault="00D76F1F" w:rsidP="00A54361">
      <w:pPr>
        <w:spacing w:before="120" w:after="120"/>
        <w:jc w:val="both"/>
        <w:rPr>
          <w:rFonts w:cstheme="minorHAnsi"/>
        </w:rPr>
      </w:pPr>
      <w:r w:rsidRPr="00A54361">
        <w:rPr>
          <w:rFonts w:cstheme="minorHAnsi"/>
        </w:rPr>
        <w:t>This Agreement constitutes the entire agreement between the parties relating to the matters discussed herein and supersedes any and all prior oral discussions and/or written correspondence or agreements between the parties. This Agreement may be amended or modified only with the mutual written consent of the parties. Neither this Agreement nor any right granted hereunder shall be assignable or otherwise transferable.</w:t>
      </w:r>
    </w:p>
    <w:p w14:paraId="5916A826" w14:textId="21ACE444" w:rsidR="00D76F1F" w:rsidRPr="00A54361" w:rsidRDefault="00D76F1F" w:rsidP="00A54361">
      <w:pPr>
        <w:pStyle w:val="ListParagraph"/>
        <w:numPr>
          <w:ilvl w:val="0"/>
          <w:numId w:val="25"/>
        </w:numPr>
        <w:spacing w:before="120" w:after="120"/>
        <w:jc w:val="both"/>
        <w:rPr>
          <w:rFonts w:cstheme="minorHAnsi"/>
        </w:rPr>
      </w:pPr>
      <w:r w:rsidRPr="00A54361">
        <w:rPr>
          <w:rFonts w:cstheme="minorHAnsi"/>
          <w:b/>
          <w:bCs/>
        </w:rPr>
        <w:t>Governing Law and Jurisdiction</w:t>
      </w:r>
    </w:p>
    <w:p w14:paraId="00BDC200" w14:textId="1A9E32A1" w:rsidR="00D76F1F" w:rsidRPr="00A54361" w:rsidRDefault="00D76F1F" w:rsidP="00A54361">
      <w:pPr>
        <w:spacing w:before="120" w:after="120"/>
        <w:jc w:val="both"/>
        <w:rPr>
          <w:rFonts w:cstheme="minorHAnsi"/>
        </w:rPr>
      </w:pPr>
      <w:r w:rsidRPr="00A54361">
        <w:rPr>
          <w:rFonts w:cstheme="minorHAnsi"/>
        </w:rPr>
        <w:t>The provisions of this Agreement shall be governed by the laws of India. The disputes, if any, arising out of this Agreement shall be submitted to the jurisdiction of the courts/tribunals in Mumbai.</w:t>
      </w:r>
    </w:p>
    <w:p w14:paraId="4208F952" w14:textId="04EE2B5C" w:rsidR="00D76F1F" w:rsidRPr="00A54361" w:rsidRDefault="00D76F1F" w:rsidP="00A54361">
      <w:pPr>
        <w:pStyle w:val="ListParagraph"/>
        <w:numPr>
          <w:ilvl w:val="0"/>
          <w:numId w:val="25"/>
        </w:numPr>
        <w:spacing w:before="120" w:after="120"/>
        <w:jc w:val="both"/>
        <w:rPr>
          <w:rFonts w:cstheme="minorHAnsi"/>
          <w:b/>
          <w:bCs/>
        </w:rPr>
      </w:pPr>
      <w:r w:rsidRPr="00A54361">
        <w:rPr>
          <w:rFonts w:cstheme="minorHAnsi"/>
          <w:b/>
          <w:bCs/>
        </w:rPr>
        <w:t>General</w:t>
      </w:r>
    </w:p>
    <w:p w14:paraId="40021C59" w14:textId="1D578567" w:rsidR="00D76F1F" w:rsidRPr="00A54361" w:rsidRDefault="00D76F1F" w:rsidP="00A54361">
      <w:pPr>
        <w:spacing w:before="120" w:after="120"/>
        <w:jc w:val="both"/>
        <w:rPr>
          <w:rFonts w:cstheme="minorHAnsi"/>
        </w:rPr>
      </w:pPr>
      <w:r w:rsidRPr="00A54361">
        <w:rPr>
          <w:rFonts w:cstheme="minorHAnsi"/>
        </w:rPr>
        <w:t>The Receiving Party shall not reverse-engineer, decompile, disassemble or otherwise interfere with any software disclosed hereunder. All Confidential Information is provided “as is”. In no event shall the Disclosing Party be liable for the inaccuracy or incompleteness of the Confidential Information. None of the Confidential Information disclosed by the parties constitutes any representation, warranty, assurance, guarantee or inducement by either party to the other with respect to the fitness of such Confidential Information for any particular purpose or infringement of trademarks, patents, copyrights or any right of third persons.</w:t>
      </w:r>
    </w:p>
    <w:p w14:paraId="41A58534" w14:textId="005DD137" w:rsidR="00D76F1F" w:rsidRPr="00A54361" w:rsidRDefault="00D76F1F" w:rsidP="00A54361">
      <w:pPr>
        <w:pStyle w:val="ListParagraph"/>
        <w:numPr>
          <w:ilvl w:val="0"/>
          <w:numId w:val="25"/>
        </w:numPr>
        <w:spacing w:before="120" w:after="120"/>
        <w:jc w:val="both"/>
        <w:rPr>
          <w:rFonts w:cstheme="minorHAnsi"/>
          <w:b/>
          <w:bCs/>
        </w:rPr>
      </w:pPr>
      <w:r w:rsidRPr="00A54361">
        <w:rPr>
          <w:rFonts w:cstheme="minorHAnsi"/>
          <w:b/>
          <w:bCs/>
        </w:rPr>
        <w:t>Indemnity</w:t>
      </w:r>
    </w:p>
    <w:p w14:paraId="2A2FD458" w14:textId="63A8400F" w:rsidR="00D76F1F" w:rsidRPr="00A54361" w:rsidRDefault="00D76F1F" w:rsidP="00A54361">
      <w:pPr>
        <w:spacing w:before="120" w:after="120"/>
        <w:jc w:val="both"/>
        <w:rPr>
          <w:rFonts w:cstheme="minorHAnsi"/>
        </w:rPr>
      </w:pPr>
      <w:r w:rsidRPr="00A54361">
        <w:rPr>
          <w:rFonts w:cstheme="minorHAnsi"/>
        </w:rPr>
        <w:t>The receiving party should indemnify and keep indemnified, saved, defended, harmless against any loss, damage, costs etc. incurred and / or suffered by the disclosing party arising out of breach of confidentiality obligations under this agreement by the receiving party, its officers, employees, agents or consultants.</w:t>
      </w:r>
    </w:p>
    <w:p w14:paraId="48AE7A08" w14:textId="7E221767" w:rsidR="00D76F1F" w:rsidRPr="00A54361" w:rsidRDefault="00D76F1F" w:rsidP="00A54361">
      <w:pPr>
        <w:spacing w:before="120" w:after="120"/>
        <w:jc w:val="both"/>
        <w:rPr>
          <w:rFonts w:cstheme="minorHAnsi"/>
        </w:rPr>
      </w:pPr>
      <w:r w:rsidRPr="00A54361">
        <w:rPr>
          <w:rFonts w:cstheme="minorHAnsi"/>
        </w:rPr>
        <w:t xml:space="preserve">In WITNESS THEREOF, </w:t>
      </w:r>
      <w:r w:rsidR="00A1092C" w:rsidRPr="00A54361">
        <w:rPr>
          <w:rFonts w:cstheme="minorHAnsi"/>
        </w:rPr>
        <w:t>the Parties hereto have executed these presents the day, month and year first hereinabove written: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0D3DC1" w:rsidRPr="00A54361" w14:paraId="5EE6B56E" w14:textId="77777777" w:rsidTr="00D23770">
        <w:tc>
          <w:tcPr>
            <w:tcW w:w="4675" w:type="dxa"/>
            <w:shd w:val="clear" w:color="auto" w:fill="auto"/>
          </w:tcPr>
          <w:p w14:paraId="74FF8723" w14:textId="77777777" w:rsidR="00A1092C" w:rsidRPr="00A54361" w:rsidRDefault="00A1092C" w:rsidP="00A54361">
            <w:pPr>
              <w:autoSpaceDE w:val="0"/>
              <w:autoSpaceDN w:val="0"/>
              <w:adjustRightInd w:val="0"/>
              <w:spacing w:after="0"/>
              <w:jc w:val="both"/>
              <w:rPr>
                <w:rFonts w:cstheme="minorHAnsi"/>
                <w:b/>
                <w:bCs/>
              </w:rPr>
            </w:pPr>
            <w:r w:rsidRPr="00A54361">
              <w:rPr>
                <w:rFonts w:cstheme="minorHAnsi"/>
                <w:b/>
                <w:bCs/>
              </w:rPr>
              <w:t>Signed, Sealed and Delivered for the Principal</w:t>
            </w:r>
          </w:p>
        </w:tc>
        <w:tc>
          <w:tcPr>
            <w:tcW w:w="4675" w:type="dxa"/>
            <w:shd w:val="clear" w:color="auto" w:fill="auto"/>
          </w:tcPr>
          <w:p w14:paraId="09F03325" w14:textId="77777777" w:rsidR="00A1092C" w:rsidRPr="00A54361" w:rsidRDefault="00A1092C" w:rsidP="00A54361">
            <w:pPr>
              <w:autoSpaceDE w:val="0"/>
              <w:autoSpaceDN w:val="0"/>
              <w:adjustRightInd w:val="0"/>
              <w:spacing w:after="0"/>
              <w:jc w:val="both"/>
              <w:rPr>
                <w:rFonts w:cstheme="minorHAnsi"/>
                <w:b/>
                <w:bCs/>
              </w:rPr>
            </w:pPr>
            <w:r w:rsidRPr="00A54361">
              <w:rPr>
                <w:rFonts w:cstheme="minorHAnsi"/>
                <w:b/>
                <w:bCs/>
              </w:rPr>
              <w:t>Signed, Sealed and Delivered for the Bidder</w:t>
            </w:r>
          </w:p>
        </w:tc>
      </w:tr>
      <w:tr w:rsidR="000D3DC1" w:rsidRPr="00A54361" w14:paraId="70FF1357" w14:textId="77777777" w:rsidTr="00D23770">
        <w:trPr>
          <w:trHeight w:val="576"/>
        </w:trPr>
        <w:tc>
          <w:tcPr>
            <w:tcW w:w="4675" w:type="dxa"/>
            <w:shd w:val="clear" w:color="auto" w:fill="auto"/>
          </w:tcPr>
          <w:p w14:paraId="53CB367E" w14:textId="77777777" w:rsidR="00A1092C" w:rsidRPr="00A54361" w:rsidRDefault="00A1092C" w:rsidP="00A54361">
            <w:pPr>
              <w:autoSpaceDE w:val="0"/>
              <w:autoSpaceDN w:val="0"/>
              <w:adjustRightInd w:val="0"/>
              <w:spacing w:after="0"/>
              <w:jc w:val="both"/>
              <w:rPr>
                <w:rFonts w:cstheme="minorHAnsi"/>
              </w:rPr>
            </w:pPr>
          </w:p>
          <w:p w14:paraId="35F67171" w14:textId="77777777" w:rsidR="00A1092C" w:rsidRPr="00A54361" w:rsidRDefault="00A1092C" w:rsidP="00A54361">
            <w:pPr>
              <w:autoSpaceDE w:val="0"/>
              <w:autoSpaceDN w:val="0"/>
              <w:adjustRightInd w:val="0"/>
              <w:spacing w:after="0"/>
              <w:jc w:val="both"/>
              <w:rPr>
                <w:rFonts w:cstheme="minorHAnsi"/>
              </w:rPr>
            </w:pPr>
          </w:p>
          <w:p w14:paraId="4A6AC495" w14:textId="77777777" w:rsidR="00A1092C" w:rsidRPr="00A54361" w:rsidRDefault="00A1092C" w:rsidP="00A54361">
            <w:pPr>
              <w:autoSpaceDE w:val="0"/>
              <w:autoSpaceDN w:val="0"/>
              <w:adjustRightInd w:val="0"/>
              <w:spacing w:after="0"/>
              <w:jc w:val="both"/>
              <w:rPr>
                <w:rFonts w:cstheme="minorHAnsi"/>
              </w:rPr>
            </w:pPr>
            <w:r w:rsidRPr="00A54361">
              <w:rPr>
                <w:rFonts w:cstheme="minorHAnsi"/>
              </w:rPr>
              <w:t>Signature: ___________________________</w:t>
            </w:r>
          </w:p>
        </w:tc>
        <w:tc>
          <w:tcPr>
            <w:tcW w:w="4675" w:type="dxa"/>
            <w:shd w:val="clear" w:color="auto" w:fill="auto"/>
          </w:tcPr>
          <w:p w14:paraId="7D045B5F" w14:textId="77777777" w:rsidR="00A1092C" w:rsidRPr="00A54361" w:rsidRDefault="00A1092C" w:rsidP="00A54361">
            <w:pPr>
              <w:autoSpaceDE w:val="0"/>
              <w:autoSpaceDN w:val="0"/>
              <w:adjustRightInd w:val="0"/>
              <w:spacing w:after="0"/>
              <w:jc w:val="both"/>
              <w:rPr>
                <w:rFonts w:cstheme="minorHAnsi"/>
              </w:rPr>
            </w:pPr>
          </w:p>
          <w:p w14:paraId="2B324426" w14:textId="77777777" w:rsidR="00A1092C" w:rsidRPr="00A54361" w:rsidRDefault="00A1092C" w:rsidP="00A54361">
            <w:pPr>
              <w:autoSpaceDE w:val="0"/>
              <w:autoSpaceDN w:val="0"/>
              <w:adjustRightInd w:val="0"/>
              <w:spacing w:after="0"/>
              <w:jc w:val="both"/>
              <w:rPr>
                <w:rFonts w:cstheme="minorHAnsi"/>
              </w:rPr>
            </w:pPr>
          </w:p>
          <w:p w14:paraId="426D2A5D" w14:textId="77777777" w:rsidR="00A1092C" w:rsidRPr="00A54361" w:rsidRDefault="00A1092C" w:rsidP="00A54361">
            <w:pPr>
              <w:autoSpaceDE w:val="0"/>
              <w:autoSpaceDN w:val="0"/>
              <w:adjustRightInd w:val="0"/>
              <w:spacing w:after="0"/>
              <w:jc w:val="both"/>
              <w:rPr>
                <w:rFonts w:cstheme="minorHAnsi"/>
              </w:rPr>
            </w:pPr>
            <w:r w:rsidRPr="00A54361">
              <w:rPr>
                <w:rFonts w:cstheme="minorHAnsi"/>
              </w:rPr>
              <w:t>Signature: ___________________________</w:t>
            </w:r>
          </w:p>
        </w:tc>
      </w:tr>
      <w:tr w:rsidR="000D3DC1" w:rsidRPr="00A54361" w14:paraId="34D49A7B" w14:textId="77777777" w:rsidTr="00D23770">
        <w:tc>
          <w:tcPr>
            <w:tcW w:w="4675" w:type="dxa"/>
            <w:shd w:val="clear" w:color="auto" w:fill="auto"/>
          </w:tcPr>
          <w:p w14:paraId="0495DD7B" w14:textId="77777777" w:rsidR="00A1092C" w:rsidRPr="00A54361" w:rsidRDefault="00A1092C" w:rsidP="00A54361">
            <w:pPr>
              <w:autoSpaceDE w:val="0"/>
              <w:autoSpaceDN w:val="0"/>
              <w:adjustRightInd w:val="0"/>
              <w:spacing w:after="0"/>
              <w:jc w:val="both"/>
              <w:rPr>
                <w:rFonts w:cstheme="minorHAnsi"/>
              </w:rPr>
            </w:pPr>
            <w:r w:rsidRPr="00A54361">
              <w:rPr>
                <w:rFonts w:cstheme="minorHAnsi"/>
              </w:rPr>
              <w:t>Name: ______________________________</w:t>
            </w:r>
          </w:p>
        </w:tc>
        <w:tc>
          <w:tcPr>
            <w:tcW w:w="4675" w:type="dxa"/>
            <w:shd w:val="clear" w:color="auto" w:fill="auto"/>
          </w:tcPr>
          <w:p w14:paraId="045E6851" w14:textId="77777777" w:rsidR="00A1092C" w:rsidRPr="00A54361" w:rsidRDefault="00A1092C" w:rsidP="00A54361">
            <w:pPr>
              <w:autoSpaceDE w:val="0"/>
              <w:autoSpaceDN w:val="0"/>
              <w:adjustRightInd w:val="0"/>
              <w:spacing w:after="0"/>
              <w:jc w:val="both"/>
              <w:rPr>
                <w:rFonts w:cstheme="minorHAnsi"/>
              </w:rPr>
            </w:pPr>
            <w:r w:rsidRPr="00A54361">
              <w:rPr>
                <w:rFonts w:cstheme="minorHAnsi"/>
              </w:rPr>
              <w:t>Name: ______________________________</w:t>
            </w:r>
          </w:p>
        </w:tc>
      </w:tr>
      <w:tr w:rsidR="000D3DC1" w:rsidRPr="00A54361" w14:paraId="04475227" w14:textId="77777777" w:rsidTr="00D23770">
        <w:tc>
          <w:tcPr>
            <w:tcW w:w="4675" w:type="dxa"/>
            <w:shd w:val="clear" w:color="auto" w:fill="auto"/>
          </w:tcPr>
          <w:p w14:paraId="5B373D38" w14:textId="77777777" w:rsidR="00A1092C" w:rsidRPr="00A54361" w:rsidRDefault="00A1092C" w:rsidP="00A54361">
            <w:pPr>
              <w:autoSpaceDE w:val="0"/>
              <w:autoSpaceDN w:val="0"/>
              <w:adjustRightInd w:val="0"/>
              <w:spacing w:after="0"/>
              <w:jc w:val="both"/>
              <w:rPr>
                <w:rFonts w:cstheme="minorHAnsi"/>
              </w:rPr>
            </w:pPr>
            <w:r w:rsidRPr="00A54361">
              <w:rPr>
                <w:rFonts w:cstheme="minorHAnsi"/>
              </w:rPr>
              <w:t>Designation: _________________________</w:t>
            </w:r>
          </w:p>
        </w:tc>
        <w:tc>
          <w:tcPr>
            <w:tcW w:w="4675" w:type="dxa"/>
            <w:shd w:val="clear" w:color="auto" w:fill="auto"/>
          </w:tcPr>
          <w:p w14:paraId="713473B1" w14:textId="77777777" w:rsidR="00A1092C" w:rsidRPr="00A54361" w:rsidRDefault="00A1092C" w:rsidP="00A54361">
            <w:pPr>
              <w:autoSpaceDE w:val="0"/>
              <w:autoSpaceDN w:val="0"/>
              <w:adjustRightInd w:val="0"/>
              <w:spacing w:after="0"/>
              <w:jc w:val="both"/>
              <w:rPr>
                <w:rFonts w:cstheme="minorHAnsi"/>
              </w:rPr>
            </w:pPr>
            <w:r w:rsidRPr="00A54361">
              <w:rPr>
                <w:rFonts w:cstheme="minorHAnsi"/>
              </w:rPr>
              <w:t>Designation: _________________________</w:t>
            </w:r>
          </w:p>
        </w:tc>
      </w:tr>
      <w:tr w:rsidR="000D3DC1" w:rsidRPr="00A54361" w14:paraId="48335D95" w14:textId="77777777" w:rsidTr="00D23770">
        <w:tc>
          <w:tcPr>
            <w:tcW w:w="4675" w:type="dxa"/>
            <w:shd w:val="clear" w:color="auto" w:fill="auto"/>
          </w:tcPr>
          <w:p w14:paraId="3F275798" w14:textId="77777777" w:rsidR="00A1092C" w:rsidRPr="00A54361" w:rsidRDefault="00A1092C" w:rsidP="00A54361">
            <w:pPr>
              <w:autoSpaceDE w:val="0"/>
              <w:autoSpaceDN w:val="0"/>
              <w:adjustRightInd w:val="0"/>
              <w:spacing w:after="0"/>
              <w:jc w:val="both"/>
              <w:rPr>
                <w:rFonts w:cstheme="minorHAnsi"/>
              </w:rPr>
            </w:pPr>
            <w:r w:rsidRPr="00A54361">
              <w:rPr>
                <w:rFonts w:cstheme="minorHAnsi"/>
              </w:rPr>
              <w:t>Address: ____________________________</w:t>
            </w:r>
          </w:p>
        </w:tc>
        <w:tc>
          <w:tcPr>
            <w:tcW w:w="4675" w:type="dxa"/>
            <w:shd w:val="clear" w:color="auto" w:fill="auto"/>
          </w:tcPr>
          <w:p w14:paraId="63582940" w14:textId="77777777" w:rsidR="00A1092C" w:rsidRPr="00A54361" w:rsidRDefault="00A1092C" w:rsidP="00A54361">
            <w:pPr>
              <w:autoSpaceDE w:val="0"/>
              <w:autoSpaceDN w:val="0"/>
              <w:adjustRightInd w:val="0"/>
              <w:spacing w:after="0"/>
              <w:jc w:val="both"/>
              <w:rPr>
                <w:rFonts w:cstheme="minorHAnsi"/>
              </w:rPr>
            </w:pPr>
            <w:r w:rsidRPr="00A54361">
              <w:rPr>
                <w:rFonts w:cstheme="minorHAnsi"/>
              </w:rPr>
              <w:t>Address: ____________________________</w:t>
            </w:r>
          </w:p>
        </w:tc>
      </w:tr>
      <w:tr w:rsidR="000D3DC1" w:rsidRPr="00A54361" w14:paraId="2D343667" w14:textId="77777777" w:rsidTr="00D23770">
        <w:tc>
          <w:tcPr>
            <w:tcW w:w="4675" w:type="dxa"/>
            <w:shd w:val="clear" w:color="auto" w:fill="auto"/>
          </w:tcPr>
          <w:p w14:paraId="7599F517" w14:textId="77777777" w:rsidR="00A1092C" w:rsidRPr="00A54361" w:rsidRDefault="00A1092C" w:rsidP="00A54361">
            <w:pPr>
              <w:autoSpaceDE w:val="0"/>
              <w:autoSpaceDN w:val="0"/>
              <w:adjustRightInd w:val="0"/>
              <w:spacing w:after="0"/>
              <w:jc w:val="both"/>
              <w:rPr>
                <w:rFonts w:cstheme="minorHAnsi"/>
              </w:rPr>
            </w:pPr>
            <w:r w:rsidRPr="00A54361">
              <w:rPr>
                <w:rFonts w:cstheme="minorHAnsi"/>
              </w:rPr>
              <w:t>Company: ___________________________</w:t>
            </w:r>
          </w:p>
        </w:tc>
        <w:tc>
          <w:tcPr>
            <w:tcW w:w="4675" w:type="dxa"/>
            <w:shd w:val="clear" w:color="auto" w:fill="auto"/>
          </w:tcPr>
          <w:p w14:paraId="2E5C7D00" w14:textId="77777777" w:rsidR="00A1092C" w:rsidRPr="00A54361" w:rsidRDefault="00A1092C" w:rsidP="00A54361">
            <w:pPr>
              <w:autoSpaceDE w:val="0"/>
              <w:autoSpaceDN w:val="0"/>
              <w:adjustRightInd w:val="0"/>
              <w:spacing w:after="0"/>
              <w:jc w:val="both"/>
              <w:rPr>
                <w:rFonts w:cstheme="minorHAnsi"/>
              </w:rPr>
            </w:pPr>
            <w:r w:rsidRPr="00A54361">
              <w:rPr>
                <w:rFonts w:cstheme="minorHAnsi"/>
              </w:rPr>
              <w:t>Company: ___________________________</w:t>
            </w:r>
          </w:p>
        </w:tc>
      </w:tr>
      <w:tr w:rsidR="000D3DC1" w:rsidRPr="00A54361" w14:paraId="14238025" w14:textId="77777777" w:rsidTr="00D23770">
        <w:tc>
          <w:tcPr>
            <w:tcW w:w="4675" w:type="dxa"/>
            <w:shd w:val="clear" w:color="auto" w:fill="auto"/>
          </w:tcPr>
          <w:p w14:paraId="4717D93F" w14:textId="77777777" w:rsidR="00A1092C" w:rsidRPr="00A54361" w:rsidRDefault="00A1092C" w:rsidP="00A54361">
            <w:pPr>
              <w:autoSpaceDE w:val="0"/>
              <w:autoSpaceDN w:val="0"/>
              <w:adjustRightInd w:val="0"/>
              <w:spacing w:after="0"/>
              <w:jc w:val="both"/>
              <w:rPr>
                <w:rFonts w:cstheme="minorHAnsi"/>
              </w:rPr>
            </w:pPr>
            <w:r w:rsidRPr="00A54361">
              <w:rPr>
                <w:rFonts w:cstheme="minorHAnsi"/>
              </w:rPr>
              <w:t>Date: _______________________________</w:t>
            </w:r>
          </w:p>
        </w:tc>
        <w:tc>
          <w:tcPr>
            <w:tcW w:w="4675" w:type="dxa"/>
            <w:shd w:val="clear" w:color="auto" w:fill="auto"/>
          </w:tcPr>
          <w:p w14:paraId="78F618D4" w14:textId="77777777" w:rsidR="00A1092C" w:rsidRPr="00A54361" w:rsidRDefault="00A1092C" w:rsidP="00A54361">
            <w:pPr>
              <w:autoSpaceDE w:val="0"/>
              <w:autoSpaceDN w:val="0"/>
              <w:adjustRightInd w:val="0"/>
              <w:spacing w:after="0"/>
              <w:jc w:val="both"/>
              <w:rPr>
                <w:rFonts w:cstheme="minorHAnsi"/>
              </w:rPr>
            </w:pPr>
            <w:r w:rsidRPr="00A54361">
              <w:rPr>
                <w:rFonts w:cstheme="minorHAnsi"/>
              </w:rPr>
              <w:t>Date: _______________________________</w:t>
            </w:r>
          </w:p>
        </w:tc>
      </w:tr>
      <w:tr w:rsidR="000D3DC1" w:rsidRPr="00A54361" w14:paraId="27077963" w14:textId="77777777" w:rsidTr="00D23770">
        <w:tc>
          <w:tcPr>
            <w:tcW w:w="4675" w:type="dxa"/>
            <w:shd w:val="clear" w:color="auto" w:fill="auto"/>
          </w:tcPr>
          <w:p w14:paraId="30F7BA1F" w14:textId="77777777" w:rsidR="00A1092C" w:rsidRPr="00A54361" w:rsidRDefault="00A1092C" w:rsidP="00A54361">
            <w:pPr>
              <w:autoSpaceDE w:val="0"/>
              <w:autoSpaceDN w:val="0"/>
              <w:adjustRightInd w:val="0"/>
              <w:spacing w:after="0"/>
              <w:jc w:val="both"/>
              <w:rPr>
                <w:rFonts w:cstheme="minorHAnsi"/>
                <w:b/>
                <w:bCs/>
              </w:rPr>
            </w:pPr>
            <w:r w:rsidRPr="00A54361">
              <w:rPr>
                <w:rFonts w:cstheme="minorHAnsi"/>
                <w:b/>
                <w:bCs/>
              </w:rPr>
              <w:t>Company Seal</w:t>
            </w:r>
          </w:p>
        </w:tc>
        <w:tc>
          <w:tcPr>
            <w:tcW w:w="4675" w:type="dxa"/>
            <w:shd w:val="clear" w:color="auto" w:fill="auto"/>
          </w:tcPr>
          <w:p w14:paraId="2AAC1752" w14:textId="77777777" w:rsidR="00A1092C" w:rsidRPr="00A54361" w:rsidRDefault="00A1092C" w:rsidP="00A54361">
            <w:pPr>
              <w:autoSpaceDE w:val="0"/>
              <w:autoSpaceDN w:val="0"/>
              <w:adjustRightInd w:val="0"/>
              <w:spacing w:after="0"/>
              <w:jc w:val="both"/>
              <w:rPr>
                <w:rFonts w:cstheme="minorHAnsi"/>
                <w:b/>
                <w:bCs/>
              </w:rPr>
            </w:pPr>
            <w:r w:rsidRPr="00A54361">
              <w:rPr>
                <w:rFonts w:cstheme="minorHAnsi"/>
                <w:b/>
                <w:bCs/>
              </w:rPr>
              <w:t>Company Seal</w:t>
            </w:r>
          </w:p>
        </w:tc>
      </w:tr>
      <w:tr w:rsidR="000D3DC1" w:rsidRPr="00A54361" w14:paraId="78158E8C" w14:textId="77777777" w:rsidTr="00D23770">
        <w:tc>
          <w:tcPr>
            <w:tcW w:w="4675" w:type="dxa"/>
            <w:shd w:val="clear" w:color="auto" w:fill="auto"/>
          </w:tcPr>
          <w:p w14:paraId="64C88136" w14:textId="77777777" w:rsidR="00A1092C" w:rsidRPr="00A54361" w:rsidRDefault="00A1092C" w:rsidP="00A54361">
            <w:pPr>
              <w:autoSpaceDE w:val="0"/>
              <w:autoSpaceDN w:val="0"/>
              <w:adjustRightInd w:val="0"/>
              <w:spacing w:after="0"/>
              <w:jc w:val="both"/>
              <w:rPr>
                <w:rFonts w:cstheme="minorHAnsi"/>
                <w:b/>
                <w:bCs/>
              </w:rPr>
            </w:pPr>
            <w:r w:rsidRPr="00A54361">
              <w:rPr>
                <w:rFonts w:cstheme="minorHAnsi"/>
                <w:b/>
                <w:bCs/>
              </w:rPr>
              <w:t>Witness I</w:t>
            </w:r>
          </w:p>
        </w:tc>
        <w:tc>
          <w:tcPr>
            <w:tcW w:w="4675" w:type="dxa"/>
            <w:shd w:val="clear" w:color="auto" w:fill="auto"/>
          </w:tcPr>
          <w:p w14:paraId="7B11E1EF" w14:textId="77777777" w:rsidR="00A1092C" w:rsidRPr="00A54361" w:rsidRDefault="00A1092C" w:rsidP="00A54361">
            <w:pPr>
              <w:autoSpaceDE w:val="0"/>
              <w:autoSpaceDN w:val="0"/>
              <w:adjustRightInd w:val="0"/>
              <w:spacing w:after="0"/>
              <w:jc w:val="both"/>
              <w:rPr>
                <w:rFonts w:cstheme="minorHAnsi"/>
                <w:b/>
                <w:bCs/>
              </w:rPr>
            </w:pPr>
            <w:r w:rsidRPr="00A54361">
              <w:rPr>
                <w:rFonts w:cstheme="minorHAnsi"/>
                <w:b/>
                <w:bCs/>
              </w:rPr>
              <w:t>Witness II</w:t>
            </w:r>
          </w:p>
        </w:tc>
      </w:tr>
      <w:tr w:rsidR="000D3DC1" w:rsidRPr="00A54361" w14:paraId="4FA75207" w14:textId="77777777" w:rsidTr="00D23770">
        <w:trPr>
          <w:trHeight w:val="576"/>
        </w:trPr>
        <w:tc>
          <w:tcPr>
            <w:tcW w:w="4675" w:type="dxa"/>
            <w:shd w:val="clear" w:color="auto" w:fill="auto"/>
          </w:tcPr>
          <w:p w14:paraId="6E0A9375" w14:textId="77777777" w:rsidR="00A1092C" w:rsidRPr="00A54361" w:rsidRDefault="00A1092C" w:rsidP="00A54361">
            <w:pPr>
              <w:autoSpaceDE w:val="0"/>
              <w:autoSpaceDN w:val="0"/>
              <w:adjustRightInd w:val="0"/>
              <w:spacing w:after="0"/>
              <w:jc w:val="both"/>
              <w:rPr>
                <w:rFonts w:cstheme="minorHAnsi"/>
              </w:rPr>
            </w:pPr>
          </w:p>
          <w:p w14:paraId="26C7E06C" w14:textId="77777777" w:rsidR="00A1092C" w:rsidRPr="00A54361" w:rsidRDefault="00A1092C" w:rsidP="00A54361">
            <w:pPr>
              <w:autoSpaceDE w:val="0"/>
              <w:autoSpaceDN w:val="0"/>
              <w:adjustRightInd w:val="0"/>
              <w:spacing w:after="0"/>
              <w:jc w:val="both"/>
              <w:rPr>
                <w:rFonts w:cstheme="minorHAnsi"/>
              </w:rPr>
            </w:pPr>
          </w:p>
          <w:p w14:paraId="5CF95EE2" w14:textId="77777777" w:rsidR="00A1092C" w:rsidRPr="00A54361" w:rsidRDefault="00A1092C" w:rsidP="00A54361">
            <w:pPr>
              <w:autoSpaceDE w:val="0"/>
              <w:autoSpaceDN w:val="0"/>
              <w:adjustRightInd w:val="0"/>
              <w:spacing w:after="0"/>
              <w:jc w:val="both"/>
              <w:rPr>
                <w:rFonts w:cstheme="minorHAnsi"/>
              </w:rPr>
            </w:pPr>
            <w:r w:rsidRPr="00A54361">
              <w:rPr>
                <w:rFonts w:cstheme="minorHAnsi"/>
              </w:rPr>
              <w:t>Signature: ___________________________</w:t>
            </w:r>
          </w:p>
        </w:tc>
        <w:tc>
          <w:tcPr>
            <w:tcW w:w="4675" w:type="dxa"/>
            <w:shd w:val="clear" w:color="auto" w:fill="auto"/>
          </w:tcPr>
          <w:p w14:paraId="65B9E129" w14:textId="77777777" w:rsidR="00A1092C" w:rsidRPr="00A54361" w:rsidRDefault="00A1092C" w:rsidP="00A54361">
            <w:pPr>
              <w:autoSpaceDE w:val="0"/>
              <w:autoSpaceDN w:val="0"/>
              <w:adjustRightInd w:val="0"/>
              <w:spacing w:after="0"/>
              <w:jc w:val="both"/>
              <w:rPr>
                <w:rFonts w:cstheme="minorHAnsi"/>
              </w:rPr>
            </w:pPr>
          </w:p>
          <w:p w14:paraId="26FFD2AA" w14:textId="77777777" w:rsidR="00A1092C" w:rsidRPr="00A54361" w:rsidRDefault="00A1092C" w:rsidP="00A54361">
            <w:pPr>
              <w:autoSpaceDE w:val="0"/>
              <w:autoSpaceDN w:val="0"/>
              <w:adjustRightInd w:val="0"/>
              <w:spacing w:after="0"/>
              <w:jc w:val="both"/>
              <w:rPr>
                <w:rFonts w:cstheme="minorHAnsi"/>
              </w:rPr>
            </w:pPr>
          </w:p>
          <w:p w14:paraId="3F418565" w14:textId="77777777" w:rsidR="00A1092C" w:rsidRPr="00A54361" w:rsidRDefault="00A1092C" w:rsidP="00A54361">
            <w:pPr>
              <w:autoSpaceDE w:val="0"/>
              <w:autoSpaceDN w:val="0"/>
              <w:adjustRightInd w:val="0"/>
              <w:spacing w:after="0"/>
              <w:jc w:val="both"/>
              <w:rPr>
                <w:rFonts w:cstheme="minorHAnsi"/>
              </w:rPr>
            </w:pPr>
            <w:r w:rsidRPr="00A54361">
              <w:rPr>
                <w:rFonts w:cstheme="minorHAnsi"/>
              </w:rPr>
              <w:t>Signature: ___________________________</w:t>
            </w:r>
          </w:p>
        </w:tc>
      </w:tr>
      <w:tr w:rsidR="000D3DC1" w:rsidRPr="00A54361" w14:paraId="25FECB6D" w14:textId="77777777" w:rsidTr="00D23770">
        <w:tc>
          <w:tcPr>
            <w:tcW w:w="4675" w:type="dxa"/>
            <w:shd w:val="clear" w:color="auto" w:fill="auto"/>
          </w:tcPr>
          <w:p w14:paraId="6102A451" w14:textId="77777777" w:rsidR="00A1092C" w:rsidRPr="00A54361" w:rsidRDefault="00A1092C" w:rsidP="00A54361">
            <w:pPr>
              <w:autoSpaceDE w:val="0"/>
              <w:autoSpaceDN w:val="0"/>
              <w:adjustRightInd w:val="0"/>
              <w:spacing w:after="0"/>
              <w:jc w:val="both"/>
              <w:rPr>
                <w:rFonts w:cstheme="minorHAnsi"/>
              </w:rPr>
            </w:pPr>
            <w:r w:rsidRPr="00A54361">
              <w:rPr>
                <w:rFonts w:cstheme="minorHAnsi"/>
              </w:rPr>
              <w:t>Name: ______________________________</w:t>
            </w:r>
          </w:p>
        </w:tc>
        <w:tc>
          <w:tcPr>
            <w:tcW w:w="4675" w:type="dxa"/>
            <w:shd w:val="clear" w:color="auto" w:fill="auto"/>
          </w:tcPr>
          <w:p w14:paraId="3D66A618" w14:textId="77777777" w:rsidR="00A1092C" w:rsidRPr="00A54361" w:rsidRDefault="00A1092C" w:rsidP="00A54361">
            <w:pPr>
              <w:autoSpaceDE w:val="0"/>
              <w:autoSpaceDN w:val="0"/>
              <w:adjustRightInd w:val="0"/>
              <w:spacing w:after="0"/>
              <w:jc w:val="both"/>
              <w:rPr>
                <w:rFonts w:cstheme="minorHAnsi"/>
              </w:rPr>
            </w:pPr>
            <w:r w:rsidRPr="00A54361">
              <w:rPr>
                <w:rFonts w:cstheme="minorHAnsi"/>
              </w:rPr>
              <w:t>Name: ______________________________</w:t>
            </w:r>
          </w:p>
        </w:tc>
      </w:tr>
      <w:tr w:rsidR="000D3DC1" w:rsidRPr="00A54361" w14:paraId="62AD23CB" w14:textId="77777777" w:rsidTr="00D23770">
        <w:tc>
          <w:tcPr>
            <w:tcW w:w="4675" w:type="dxa"/>
            <w:shd w:val="clear" w:color="auto" w:fill="auto"/>
          </w:tcPr>
          <w:p w14:paraId="3ACECCDF" w14:textId="77777777" w:rsidR="00A1092C" w:rsidRPr="00A54361" w:rsidRDefault="00A1092C" w:rsidP="00A54361">
            <w:pPr>
              <w:autoSpaceDE w:val="0"/>
              <w:autoSpaceDN w:val="0"/>
              <w:adjustRightInd w:val="0"/>
              <w:spacing w:after="0"/>
              <w:jc w:val="both"/>
              <w:rPr>
                <w:rFonts w:cstheme="minorHAnsi"/>
              </w:rPr>
            </w:pPr>
            <w:r w:rsidRPr="00A54361">
              <w:rPr>
                <w:rFonts w:cstheme="minorHAnsi"/>
              </w:rPr>
              <w:t>Designation: _________________________</w:t>
            </w:r>
          </w:p>
        </w:tc>
        <w:tc>
          <w:tcPr>
            <w:tcW w:w="4675" w:type="dxa"/>
            <w:shd w:val="clear" w:color="auto" w:fill="auto"/>
          </w:tcPr>
          <w:p w14:paraId="2A964A4D" w14:textId="77777777" w:rsidR="00A1092C" w:rsidRPr="00A54361" w:rsidRDefault="00A1092C" w:rsidP="00A54361">
            <w:pPr>
              <w:autoSpaceDE w:val="0"/>
              <w:autoSpaceDN w:val="0"/>
              <w:adjustRightInd w:val="0"/>
              <w:spacing w:after="0"/>
              <w:jc w:val="both"/>
              <w:rPr>
                <w:rFonts w:cstheme="minorHAnsi"/>
              </w:rPr>
            </w:pPr>
            <w:r w:rsidRPr="00A54361">
              <w:rPr>
                <w:rFonts w:cstheme="minorHAnsi"/>
              </w:rPr>
              <w:t>Designation: _________________________</w:t>
            </w:r>
          </w:p>
        </w:tc>
      </w:tr>
      <w:tr w:rsidR="000D3DC1" w:rsidRPr="00A54361" w14:paraId="1333DC9C" w14:textId="77777777" w:rsidTr="00D23770">
        <w:tc>
          <w:tcPr>
            <w:tcW w:w="4675" w:type="dxa"/>
            <w:shd w:val="clear" w:color="auto" w:fill="auto"/>
          </w:tcPr>
          <w:p w14:paraId="274308F3" w14:textId="77777777" w:rsidR="00A1092C" w:rsidRPr="00A54361" w:rsidRDefault="00A1092C" w:rsidP="00A54361">
            <w:pPr>
              <w:autoSpaceDE w:val="0"/>
              <w:autoSpaceDN w:val="0"/>
              <w:adjustRightInd w:val="0"/>
              <w:spacing w:after="0"/>
              <w:jc w:val="both"/>
              <w:rPr>
                <w:rFonts w:cstheme="minorHAnsi"/>
              </w:rPr>
            </w:pPr>
            <w:r w:rsidRPr="00A54361">
              <w:rPr>
                <w:rFonts w:cstheme="minorHAnsi"/>
              </w:rPr>
              <w:t>Address: ____________________________</w:t>
            </w:r>
          </w:p>
        </w:tc>
        <w:tc>
          <w:tcPr>
            <w:tcW w:w="4675" w:type="dxa"/>
            <w:shd w:val="clear" w:color="auto" w:fill="auto"/>
          </w:tcPr>
          <w:p w14:paraId="51BB22D3" w14:textId="77777777" w:rsidR="00A1092C" w:rsidRPr="00A54361" w:rsidRDefault="00A1092C" w:rsidP="00A54361">
            <w:pPr>
              <w:autoSpaceDE w:val="0"/>
              <w:autoSpaceDN w:val="0"/>
              <w:adjustRightInd w:val="0"/>
              <w:spacing w:after="0"/>
              <w:jc w:val="both"/>
              <w:rPr>
                <w:rFonts w:cstheme="minorHAnsi"/>
              </w:rPr>
            </w:pPr>
            <w:r w:rsidRPr="00A54361">
              <w:rPr>
                <w:rFonts w:cstheme="minorHAnsi"/>
              </w:rPr>
              <w:t>Address: ____________________________</w:t>
            </w:r>
          </w:p>
        </w:tc>
      </w:tr>
      <w:tr w:rsidR="000D3DC1" w:rsidRPr="00A54361" w14:paraId="55BB136F" w14:textId="77777777" w:rsidTr="00D23770">
        <w:tc>
          <w:tcPr>
            <w:tcW w:w="4675" w:type="dxa"/>
            <w:shd w:val="clear" w:color="auto" w:fill="auto"/>
          </w:tcPr>
          <w:p w14:paraId="47A30BFC" w14:textId="77777777" w:rsidR="00A1092C" w:rsidRPr="00A54361" w:rsidRDefault="00A1092C" w:rsidP="00A54361">
            <w:pPr>
              <w:autoSpaceDE w:val="0"/>
              <w:autoSpaceDN w:val="0"/>
              <w:adjustRightInd w:val="0"/>
              <w:spacing w:after="0"/>
              <w:jc w:val="both"/>
              <w:rPr>
                <w:rFonts w:cstheme="minorHAnsi"/>
              </w:rPr>
            </w:pPr>
            <w:r w:rsidRPr="00A54361">
              <w:rPr>
                <w:rFonts w:cstheme="minorHAnsi"/>
              </w:rPr>
              <w:t>Company: ___________________________</w:t>
            </w:r>
          </w:p>
        </w:tc>
        <w:tc>
          <w:tcPr>
            <w:tcW w:w="4675" w:type="dxa"/>
            <w:shd w:val="clear" w:color="auto" w:fill="auto"/>
          </w:tcPr>
          <w:p w14:paraId="550FAF0B" w14:textId="77777777" w:rsidR="00A1092C" w:rsidRPr="00A54361" w:rsidRDefault="00A1092C" w:rsidP="00A54361">
            <w:pPr>
              <w:autoSpaceDE w:val="0"/>
              <w:autoSpaceDN w:val="0"/>
              <w:adjustRightInd w:val="0"/>
              <w:spacing w:after="0"/>
              <w:jc w:val="both"/>
              <w:rPr>
                <w:rFonts w:cstheme="minorHAnsi"/>
              </w:rPr>
            </w:pPr>
            <w:r w:rsidRPr="00A54361">
              <w:rPr>
                <w:rFonts w:cstheme="minorHAnsi"/>
              </w:rPr>
              <w:t>Company: ___________________________</w:t>
            </w:r>
          </w:p>
        </w:tc>
      </w:tr>
      <w:tr w:rsidR="000D3DC1" w:rsidRPr="00A54361" w14:paraId="52504B67" w14:textId="77777777" w:rsidTr="00D23770">
        <w:tc>
          <w:tcPr>
            <w:tcW w:w="4675" w:type="dxa"/>
            <w:shd w:val="clear" w:color="auto" w:fill="auto"/>
          </w:tcPr>
          <w:p w14:paraId="04E56C62" w14:textId="77777777" w:rsidR="00A1092C" w:rsidRPr="00A54361" w:rsidRDefault="00A1092C" w:rsidP="00A54361">
            <w:pPr>
              <w:autoSpaceDE w:val="0"/>
              <w:autoSpaceDN w:val="0"/>
              <w:adjustRightInd w:val="0"/>
              <w:spacing w:after="0"/>
              <w:jc w:val="both"/>
              <w:rPr>
                <w:rFonts w:cstheme="minorHAnsi"/>
              </w:rPr>
            </w:pPr>
            <w:r w:rsidRPr="00A54361">
              <w:rPr>
                <w:rFonts w:cstheme="minorHAnsi"/>
              </w:rPr>
              <w:t>Date: _______________________________</w:t>
            </w:r>
          </w:p>
        </w:tc>
        <w:tc>
          <w:tcPr>
            <w:tcW w:w="4675" w:type="dxa"/>
            <w:shd w:val="clear" w:color="auto" w:fill="auto"/>
          </w:tcPr>
          <w:p w14:paraId="707BA405" w14:textId="77777777" w:rsidR="00A1092C" w:rsidRPr="00A54361" w:rsidRDefault="00A1092C" w:rsidP="00A54361">
            <w:pPr>
              <w:autoSpaceDE w:val="0"/>
              <w:autoSpaceDN w:val="0"/>
              <w:adjustRightInd w:val="0"/>
              <w:spacing w:after="0"/>
              <w:jc w:val="both"/>
              <w:rPr>
                <w:rFonts w:cstheme="minorHAnsi"/>
              </w:rPr>
            </w:pPr>
            <w:r w:rsidRPr="00A54361">
              <w:rPr>
                <w:rFonts w:cstheme="minorHAnsi"/>
              </w:rPr>
              <w:t>Date: _______________________________</w:t>
            </w:r>
          </w:p>
        </w:tc>
      </w:tr>
    </w:tbl>
    <w:p w14:paraId="7CE8BEC7" w14:textId="77777777" w:rsidR="00A1092C" w:rsidRPr="00A54361" w:rsidRDefault="00A1092C" w:rsidP="00A54361">
      <w:pPr>
        <w:spacing w:before="120" w:after="120"/>
        <w:jc w:val="both"/>
        <w:rPr>
          <w:rFonts w:cstheme="minorHAnsi"/>
        </w:rPr>
      </w:pPr>
    </w:p>
    <w:p w14:paraId="02F4A848" w14:textId="6D69845C" w:rsidR="00A1092C" w:rsidRPr="00A54361" w:rsidRDefault="00A1092C" w:rsidP="00A54361">
      <w:pPr>
        <w:jc w:val="both"/>
        <w:rPr>
          <w:rFonts w:cstheme="minorHAnsi"/>
        </w:rPr>
      </w:pPr>
      <w:r w:rsidRPr="00A54361">
        <w:rPr>
          <w:rFonts w:cstheme="minorHAnsi"/>
        </w:rPr>
        <w:br w:type="page"/>
      </w:r>
    </w:p>
    <w:p w14:paraId="0407A461" w14:textId="658718CA" w:rsidR="00A1092C" w:rsidRPr="00A54361" w:rsidRDefault="00A1092C" w:rsidP="00A54361">
      <w:pPr>
        <w:pStyle w:val="Heading1"/>
        <w:numPr>
          <w:ilvl w:val="0"/>
          <w:numId w:val="48"/>
        </w:numPr>
        <w:jc w:val="both"/>
        <w:rPr>
          <w:rFonts w:asciiTheme="minorHAnsi" w:hAnsiTheme="minorHAnsi" w:cstheme="minorHAnsi"/>
          <w:color w:val="auto"/>
        </w:rPr>
      </w:pPr>
      <w:bookmarkStart w:id="279" w:name="_Toc129668538"/>
      <w:bookmarkStart w:id="280" w:name="_Toc182233417"/>
      <w:r w:rsidRPr="00A54361">
        <w:rPr>
          <w:rFonts w:asciiTheme="minorHAnsi" w:hAnsiTheme="minorHAnsi" w:cstheme="minorHAnsi"/>
          <w:color w:val="auto"/>
        </w:rPr>
        <w:t xml:space="preserve">Annexure </w:t>
      </w:r>
      <w:r w:rsidR="00B66D79" w:rsidRPr="00A54361">
        <w:rPr>
          <w:rFonts w:asciiTheme="minorHAnsi" w:hAnsiTheme="minorHAnsi" w:cstheme="minorHAnsi"/>
          <w:color w:val="auto"/>
        </w:rPr>
        <w:t>1</w:t>
      </w:r>
      <w:r w:rsidR="003970B0" w:rsidRPr="00A54361">
        <w:rPr>
          <w:rFonts w:asciiTheme="minorHAnsi" w:hAnsiTheme="minorHAnsi" w:cstheme="minorHAnsi"/>
          <w:color w:val="auto"/>
        </w:rPr>
        <w:t>1</w:t>
      </w:r>
      <w:r w:rsidRPr="00A54361">
        <w:rPr>
          <w:rFonts w:asciiTheme="minorHAnsi" w:hAnsiTheme="minorHAnsi" w:cstheme="minorHAnsi"/>
          <w:color w:val="auto"/>
        </w:rPr>
        <w:t>: Performance Bank Guarantee</w:t>
      </w:r>
      <w:bookmarkEnd w:id="279"/>
      <w:bookmarkEnd w:id="280"/>
    </w:p>
    <w:p w14:paraId="72EBFE4C" w14:textId="321B8B9B" w:rsidR="00A1092C" w:rsidRPr="00A54361" w:rsidRDefault="00A1092C" w:rsidP="00A54361">
      <w:pPr>
        <w:spacing w:before="120" w:after="120"/>
        <w:jc w:val="both"/>
        <w:rPr>
          <w:rFonts w:cstheme="minorHAnsi"/>
        </w:rPr>
      </w:pPr>
      <w:r w:rsidRPr="00A54361">
        <w:rPr>
          <w:rFonts w:cstheme="minorHAnsi"/>
        </w:rPr>
        <w:t>To,</w:t>
      </w:r>
    </w:p>
    <w:p w14:paraId="65C783C9" w14:textId="407C07C1" w:rsidR="00A1092C" w:rsidRPr="00A54361" w:rsidRDefault="00A1092C" w:rsidP="00A54361">
      <w:pPr>
        <w:spacing w:before="120" w:after="120"/>
        <w:jc w:val="both"/>
        <w:rPr>
          <w:rFonts w:cstheme="minorHAnsi"/>
        </w:rPr>
      </w:pPr>
      <w:r w:rsidRPr="00A54361">
        <w:rPr>
          <w:rFonts w:cstheme="minorHAnsi"/>
        </w:rPr>
        <w:t>Central Bank of India</w:t>
      </w:r>
    </w:p>
    <w:p w14:paraId="71426089" w14:textId="200392BF" w:rsidR="00A1092C" w:rsidRPr="00A54361" w:rsidRDefault="00A1092C" w:rsidP="00A54361">
      <w:pPr>
        <w:spacing w:before="120" w:after="120"/>
        <w:jc w:val="both"/>
        <w:rPr>
          <w:rFonts w:cstheme="minorHAnsi"/>
        </w:rPr>
      </w:pPr>
      <w:r w:rsidRPr="00A54361">
        <w:rPr>
          <w:rFonts w:cstheme="minorHAnsi"/>
        </w:rPr>
        <w:t>Mumbai</w:t>
      </w:r>
    </w:p>
    <w:p w14:paraId="442160C2" w14:textId="3DAF9689" w:rsidR="00A1092C" w:rsidRPr="00A54361" w:rsidRDefault="00A1092C" w:rsidP="00A54361">
      <w:pPr>
        <w:spacing w:before="120" w:after="120"/>
        <w:jc w:val="both"/>
        <w:rPr>
          <w:rFonts w:cstheme="minorHAnsi"/>
        </w:rPr>
      </w:pPr>
      <w:r w:rsidRPr="00A54361">
        <w:rPr>
          <w:rFonts w:cstheme="minorHAnsi"/>
        </w:rPr>
        <w:t xml:space="preserve">In consideration of Central Bank of India having Registered Office at Chandermukhi Building, Nariman Point, Mumbai 400 021 (hereinafter referred to as “Purchaser”) having agreed to purchase </w:t>
      </w:r>
      <w:r w:rsidR="00286631" w:rsidRPr="00A54361">
        <w:rPr>
          <w:rFonts w:cstheme="minorHAnsi"/>
        </w:rPr>
        <w:t xml:space="preserve">of software, </w:t>
      </w:r>
      <w:r w:rsidRPr="00A54361">
        <w:rPr>
          <w:rFonts w:cstheme="minorHAnsi"/>
        </w:rPr>
        <w:t xml:space="preserve">hardware </w:t>
      </w:r>
      <w:r w:rsidR="00286631" w:rsidRPr="00A54361">
        <w:rPr>
          <w:rFonts w:cstheme="minorHAnsi"/>
        </w:rPr>
        <w:t xml:space="preserve">&amp; other components &amp; services </w:t>
      </w:r>
      <w:r w:rsidRPr="00A54361">
        <w:rPr>
          <w:rFonts w:cstheme="minorHAnsi"/>
        </w:rPr>
        <w:t>(hereinafter referred to as “Goods”) from M/s ----------------------------- (hereinafter referred to as “Contractor”) on the terms and conditions contained in their agreement/purchase order No------- dt.------------ (hereinafter referred to as the “Contract”) subject to the contractor furnishing a Bank Guarantee to the purchaser as to the due performance of the computer hardware, as per the terms and conditions of the said contract, to be supplied by the contractor and also guaranteeing the maintenance, by the contractor, of the computer hardware and systems as per the terms and conditions of the said contract;</w:t>
      </w:r>
    </w:p>
    <w:p w14:paraId="025EED34" w14:textId="3DD06DC2" w:rsidR="00A1092C" w:rsidRPr="00A54361" w:rsidRDefault="00A1092C" w:rsidP="00A54361">
      <w:pPr>
        <w:spacing w:before="120" w:after="120"/>
        <w:jc w:val="both"/>
        <w:rPr>
          <w:rFonts w:cstheme="minorHAnsi"/>
        </w:rPr>
      </w:pPr>
      <w:r w:rsidRPr="00A54361">
        <w:rPr>
          <w:rFonts w:cstheme="minorHAnsi"/>
        </w:rPr>
        <w:t>1) We, --------------------------- (Bank) (hereinafter called “the Bank”), in consideration of the premises and at the request of the contractor, do hereby guarantee and undertake to pay to the purchaser, forthwith on mere demand and without any demur, at any time up to --------------------- any money or moneys not exceeding a total sum of Rs---------(Rupees-----------only) as may be claimed by the purchaser to be due from the contractor by way of loss or damage caused to or that would be caused to or suffered by the purchaser by reason of failure of computer hardware to perform as per the said contract, and also failure of the contractor to maintain the computer hardware and systems as per the terms and conditions of the said contract.</w:t>
      </w:r>
    </w:p>
    <w:p w14:paraId="000F8BD7" w14:textId="684DAF2A" w:rsidR="00A1092C" w:rsidRPr="00A54361" w:rsidRDefault="00A1092C" w:rsidP="00A54361">
      <w:pPr>
        <w:spacing w:before="120" w:after="120"/>
        <w:jc w:val="both"/>
        <w:rPr>
          <w:rFonts w:cstheme="minorHAnsi"/>
        </w:rPr>
      </w:pPr>
      <w:r w:rsidRPr="00A54361">
        <w:rPr>
          <w:rFonts w:cstheme="minorHAnsi"/>
        </w:rPr>
        <w:t>2) Notwithstanding anything to the contrary, the decision of the purchaser as to whether computer hardware has failed to perform as per the said contract, and also as to whether the contractor has failed to maintain the computer hardware and systems as per the terms and conditions of the said contract will be final and binding on the Bank and the Bank shall not be entitled to ask the purchaser to establish its claim or claims under this Guarantee but shall pay the same to the purchaser forthwith on mere demand without any demur, reservation, recourse, contest or protest and/or without any reference to the contractor. Any such demand made by the purchaser on the Bank shall be conclusive and binding notwithstanding any difference between the purchaser and the contractor or any dispute pending before any Court, Tribunal, Arbitrator or any other authority.</w:t>
      </w:r>
    </w:p>
    <w:p w14:paraId="0745D480" w14:textId="709A2FAA" w:rsidR="00A1092C" w:rsidRPr="00A54361" w:rsidRDefault="00A1092C" w:rsidP="00A54361">
      <w:pPr>
        <w:spacing w:before="120" w:after="120"/>
        <w:jc w:val="both"/>
        <w:rPr>
          <w:rFonts w:cstheme="minorHAnsi"/>
        </w:rPr>
      </w:pPr>
      <w:r w:rsidRPr="00A54361">
        <w:rPr>
          <w:rFonts w:cstheme="minorHAnsi"/>
        </w:rPr>
        <w:t>3) This Guarantee shall expire on -----------------; without prejudice to the purchaser’s claim or claims demanded from or otherwise notified to the Bank in writing on or before the said date i.e. --------- (this date should be date of expiry of Guarantee).</w:t>
      </w:r>
    </w:p>
    <w:p w14:paraId="66239114" w14:textId="42F87EF0" w:rsidR="00A1092C" w:rsidRPr="00A54361" w:rsidRDefault="00A1092C" w:rsidP="00A54361">
      <w:pPr>
        <w:spacing w:before="120" w:after="120"/>
        <w:jc w:val="both"/>
        <w:rPr>
          <w:rFonts w:cstheme="minorHAnsi"/>
        </w:rPr>
      </w:pPr>
      <w:r w:rsidRPr="00A54361">
        <w:rPr>
          <w:rFonts w:cstheme="minorHAnsi"/>
        </w:rPr>
        <w:t>4) The Bank further undertakes not to revoke this Guarantee during its currency except with the previous consent of the purchaser in writing and this Guarantee shall continue to be enforceable till the aforesaid date of expiry or the last date of the extended period of expiry of Guarantee agreed upon by all the parties to this Guarantee, as the case may be, unless during the currency of this Guarantee all the dues of the purchaser under or by virtue of the said contract have been duly paid and its claims satisfied or discharged or the purchaser certifies that the terms and conditions of the said contract have been fully carried out by the contractor and accordingly discharges the Guarantee.</w:t>
      </w:r>
    </w:p>
    <w:p w14:paraId="522A8D6F" w14:textId="7C8F7A30" w:rsidR="00A1092C" w:rsidRPr="00A54361" w:rsidRDefault="00A1092C" w:rsidP="00A54361">
      <w:pPr>
        <w:spacing w:before="120" w:after="120"/>
        <w:jc w:val="both"/>
        <w:rPr>
          <w:rFonts w:cstheme="minorHAnsi"/>
        </w:rPr>
      </w:pPr>
      <w:r w:rsidRPr="00A54361">
        <w:rPr>
          <w:rFonts w:cstheme="minorHAnsi"/>
        </w:rPr>
        <w:t xml:space="preserve">5) In order to give full effect to the Guarantee herein contained, you shall be entitled to act as if we are your principal debtors in respect of all your claims against the contractor hereby Guaranteed by us as aforesaid and we hereby expressly waive all our rights of </w:t>
      </w:r>
      <w:r w:rsidR="00D946CA" w:rsidRPr="00A54361">
        <w:rPr>
          <w:rFonts w:cstheme="minorHAnsi"/>
        </w:rPr>
        <w:t>surety ship</w:t>
      </w:r>
      <w:r w:rsidRPr="00A54361">
        <w:rPr>
          <w:rFonts w:cstheme="minorHAnsi"/>
        </w:rPr>
        <w:t xml:space="preserve"> and other rights if any which are in any way inconsistent with the above or any other provisions of this Guarantee.</w:t>
      </w:r>
    </w:p>
    <w:p w14:paraId="71B89266" w14:textId="5E7F07A2" w:rsidR="00A1092C" w:rsidRPr="00A54361" w:rsidRDefault="00A1092C" w:rsidP="00A54361">
      <w:pPr>
        <w:spacing w:before="120" w:after="120"/>
        <w:jc w:val="both"/>
        <w:rPr>
          <w:rFonts w:cstheme="minorHAnsi"/>
        </w:rPr>
      </w:pPr>
      <w:r w:rsidRPr="00A54361">
        <w:rPr>
          <w:rFonts w:cstheme="minorHAnsi"/>
        </w:rPr>
        <w:t>6) The Bank agrees with the purchaser that the purchaser shall have the fullest liberty without affecting in any manner the Bank’s obligations under this Guarantee to extend the time of performance by the contractor from time to time or to postpone for any time or from time to time any of the rights or powers exercisable by the purchaser against the contractor and either to enforce or forbear to enforce any of the terms and conditions of the said contract, and the Bank shall not be released from its liability for the reasons of any such extensions being granted to the contractor for any forbearance, act or omission on the part of the purchaser or any other indulgence shown by the purchaser or by any other matter or thing whatsoever which under the law relating to sureties would, but for this provision have the effect of so relieving the Bank.</w:t>
      </w:r>
    </w:p>
    <w:p w14:paraId="4A54A94B" w14:textId="019FC1A5" w:rsidR="00A1092C" w:rsidRPr="00A54361" w:rsidRDefault="00A1092C" w:rsidP="00A54361">
      <w:pPr>
        <w:spacing w:before="120" w:after="120"/>
        <w:jc w:val="both"/>
        <w:rPr>
          <w:rFonts w:cstheme="minorHAnsi"/>
        </w:rPr>
      </w:pPr>
      <w:r w:rsidRPr="00A54361">
        <w:rPr>
          <w:rFonts w:cstheme="minorHAnsi"/>
        </w:rPr>
        <w:t>7) The Guarantee shall not be affected by any change in the constitution of the contractor or the Bank nor shall it be affected by any change in the constitution of the purchaser by any amalgamation or absorption or with the contractor, Bank or the purchaser, but will ensure for and be available to and enforceable by the absorbing or amalgamated company or concern.</w:t>
      </w:r>
    </w:p>
    <w:p w14:paraId="68D481A6" w14:textId="43645DD6" w:rsidR="00A1092C" w:rsidRPr="00A54361" w:rsidRDefault="00A1092C" w:rsidP="00A54361">
      <w:pPr>
        <w:spacing w:before="120" w:after="120"/>
        <w:jc w:val="both"/>
        <w:rPr>
          <w:rFonts w:cstheme="minorHAnsi"/>
        </w:rPr>
      </w:pPr>
      <w:r w:rsidRPr="00A54361">
        <w:rPr>
          <w:rFonts w:cstheme="minorHAnsi"/>
        </w:rPr>
        <w:t>8) This guarantee and the powers and provisions herein contained are in addition to and not by way of limitation or in substitution of any other guarantee or guarantees heretofore issued by us (whether singly or jointly with other banks) on behalf of the contractor heretofore mentioned for the same contract referred to heretofore and also for the same purpose for which this guarantee is issued, and now existing un-cancelled and we further mention that this guarantee is not intended to and shall not revoke or limit such guarantee or guarantees heretofore issued by us on behalf of the contractor heretofore mentioned for the same contract referred to heretofore and for the same purpose for which this guarantee is issued.</w:t>
      </w:r>
    </w:p>
    <w:p w14:paraId="7C70B2C8" w14:textId="01E80D92" w:rsidR="00A1092C" w:rsidRPr="00A54361" w:rsidRDefault="00A1092C" w:rsidP="00A54361">
      <w:pPr>
        <w:spacing w:before="120" w:after="120"/>
        <w:jc w:val="both"/>
        <w:rPr>
          <w:rFonts w:cstheme="minorHAnsi"/>
        </w:rPr>
      </w:pPr>
      <w:r w:rsidRPr="00A54361">
        <w:rPr>
          <w:rFonts w:cstheme="minorHAnsi"/>
        </w:rPr>
        <w:t>9) Any notice by way of demand or otherwise under this guarantee may be sent by special courier, telex, fax or registered post to our local address as mentioned in this guarantee.</w:t>
      </w:r>
    </w:p>
    <w:p w14:paraId="3E5D5DB3" w14:textId="01925F57" w:rsidR="00A1092C" w:rsidRPr="00A54361" w:rsidRDefault="00A1092C" w:rsidP="00A54361">
      <w:pPr>
        <w:spacing w:before="120" w:after="120"/>
        <w:jc w:val="both"/>
        <w:rPr>
          <w:rFonts w:cstheme="minorHAnsi"/>
        </w:rPr>
      </w:pPr>
      <w:r w:rsidRPr="00A54361">
        <w:rPr>
          <w:rFonts w:cstheme="minorHAnsi"/>
        </w:rPr>
        <w:t>10) Notwithstanding anything contained herein:-</w:t>
      </w:r>
    </w:p>
    <w:p w14:paraId="5A09190D" w14:textId="174AAB77" w:rsidR="00A1092C" w:rsidRPr="00A54361" w:rsidRDefault="00A1092C" w:rsidP="00A54361">
      <w:pPr>
        <w:spacing w:before="120" w:after="120"/>
        <w:jc w:val="both"/>
        <w:rPr>
          <w:rFonts w:cstheme="minorHAnsi"/>
        </w:rPr>
      </w:pPr>
      <w:r w:rsidRPr="00A54361">
        <w:rPr>
          <w:rFonts w:cstheme="minorHAnsi"/>
        </w:rPr>
        <w:t xml:space="preserve">i) Our liability under this Bank Guarantee shall not exceed </w:t>
      </w:r>
      <w:r w:rsidR="003D0BF7" w:rsidRPr="00A54361">
        <w:rPr>
          <w:rFonts w:cstheme="minorHAnsi"/>
        </w:rPr>
        <w:t>₹</w:t>
      </w:r>
      <w:r w:rsidRPr="00A54361">
        <w:rPr>
          <w:rFonts w:cstheme="minorHAnsi"/>
        </w:rPr>
        <w:t xml:space="preserve">--------(Rupees---------only); </w:t>
      </w:r>
    </w:p>
    <w:p w14:paraId="4059C085" w14:textId="2B80E47D" w:rsidR="00A1092C" w:rsidRPr="00A54361" w:rsidRDefault="00A1092C" w:rsidP="00A54361">
      <w:pPr>
        <w:spacing w:before="120" w:after="120"/>
        <w:jc w:val="both"/>
        <w:rPr>
          <w:rFonts w:cstheme="minorHAnsi"/>
        </w:rPr>
      </w:pPr>
      <w:r w:rsidRPr="00A54361">
        <w:rPr>
          <w:rFonts w:cstheme="minorHAnsi"/>
        </w:rPr>
        <w:t>ii) This Bank Guarantee shall be valid up to ----------------------;</w:t>
      </w:r>
      <w:r w:rsidR="002E277F" w:rsidRPr="00A54361">
        <w:rPr>
          <w:rFonts w:cstheme="minorHAnsi"/>
        </w:rPr>
        <w:t>(date of expiry)</w:t>
      </w:r>
      <w:r w:rsidRPr="00A54361">
        <w:rPr>
          <w:rFonts w:cstheme="minorHAnsi"/>
        </w:rPr>
        <w:t xml:space="preserve"> and </w:t>
      </w:r>
    </w:p>
    <w:p w14:paraId="67603810" w14:textId="7BAF7BC0" w:rsidR="00A1092C" w:rsidRPr="00A54361" w:rsidRDefault="00A1092C" w:rsidP="00A54361">
      <w:pPr>
        <w:spacing w:before="120" w:after="120"/>
        <w:jc w:val="both"/>
        <w:rPr>
          <w:rFonts w:cstheme="minorHAnsi"/>
        </w:rPr>
      </w:pPr>
      <w:r w:rsidRPr="00A54361">
        <w:rPr>
          <w:rFonts w:cstheme="minorHAnsi"/>
        </w:rPr>
        <w:t>iii) We are liable to pay the Guaranteed amount or any part thereof under this Bank Guarantee only and only if you serve upon us a written claim or demand on or before--- -------------- (date of expiry of Guarantee</w:t>
      </w:r>
      <w:r w:rsidR="008054C5" w:rsidRPr="00A54361">
        <w:rPr>
          <w:rFonts w:cstheme="minorHAnsi"/>
        </w:rPr>
        <w:t xml:space="preserve"> plus claim period , if any</w:t>
      </w:r>
      <w:r w:rsidRPr="00A54361">
        <w:rPr>
          <w:rFonts w:cstheme="minorHAnsi"/>
        </w:rPr>
        <w:t>)</w:t>
      </w:r>
    </w:p>
    <w:p w14:paraId="24C6F92C" w14:textId="77777777" w:rsidR="008054C5" w:rsidRPr="00A54361" w:rsidRDefault="008054C5" w:rsidP="00A54361">
      <w:pPr>
        <w:spacing w:before="120" w:after="120"/>
        <w:jc w:val="both"/>
        <w:rPr>
          <w:rFonts w:cstheme="minorHAnsi"/>
        </w:rPr>
      </w:pPr>
      <w:r w:rsidRPr="00A54361">
        <w:rPr>
          <w:rFonts w:cstheme="minorHAnsi"/>
        </w:rPr>
        <w:t>iv) All your rights to bring legal action under this guarantee shall extinguish on…………………… ( date one year from the date mentioned in point no. iii above )</w:t>
      </w:r>
    </w:p>
    <w:p w14:paraId="32F690E1" w14:textId="02A1F007" w:rsidR="00A1092C" w:rsidRPr="00A54361" w:rsidRDefault="00A1092C" w:rsidP="00A54361">
      <w:pPr>
        <w:spacing w:before="120" w:after="120"/>
        <w:jc w:val="both"/>
        <w:rPr>
          <w:rFonts w:cstheme="minorHAnsi"/>
        </w:rPr>
      </w:pPr>
      <w:r w:rsidRPr="00A54361">
        <w:rPr>
          <w:rFonts w:cstheme="minorHAnsi"/>
        </w:rPr>
        <w:t>11) The Bank has power to issue this Guarantee under the statute/constitution and the undersigned has full power to sign this Guarantee on behalf of the Bank.</w:t>
      </w:r>
    </w:p>
    <w:p w14:paraId="1981E84E" w14:textId="4075B788" w:rsidR="00A1092C" w:rsidRPr="00A54361" w:rsidRDefault="00A1092C" w:rsidP="00A54361">
      <w:pPr>
        <w:spacing w:before="120" w:after="120"/>
        <w:jc w:val="both"/>
        <w:rPr>
          <w:rFonts w:cstheme="minorHAnsi"/>
        </w:rPr>
      </w:pPr>
      <w:r w:rsidRPr="00A54361">
        <w:rPr>
          <w:rFonts w:cstheme="minorHAnsi"/>
        </w:rPr>
        <w:t>Date this -------------------- day of ------------------ 202</w:t>
      </w:r>
      <w:r w:rsidR="00EA4E48" w:rsidRPr="00A54361">
        <w:rPr>
          <w:rFonts w:cstheme="minorHAnsi"/>
        </w:rPr>
        <w:t>4</w:t>
      </w:r>
      <w:r w:rsidRPr="00A54361">
        <w:rPr>
          <w:rFonts w:cstheme="minorHAnsi"/>
        </w:rPr>
        <w:t xml:space="preserve"> at ---------</w:t>
      </w:r>
    </w:p>
    <w:p w14:paraId="0DA051FB" w14:textId="38840C85" w:rsidR="00A1092C" w:rsidRPr="00A54361" w:rsidRDefault="00A1092C" w:rsidP="00A54361">
      <w:pPr>
        <w:spacing w:before="120" w:after="120"/>
        <w:jc w:val="both"/>
        <w:rPr>
          <w:rFonts w:cstheme="minorHAnsi"/>
        </w:rPr>
      </w:pPr>
      <w:r w:rsidRPr="00A54361">
        <w:rPr>
          <w:rFonts w:cstheme="minorHAnsi"/>
        </w:rPr>
        <w:t>For and on behalf of -------------------------- Bank.</w:t>
      </w:r>
    </w:p>
    <w:p w14:paraId="3CE12BF3" w14:textId="358E276F" w:rsidR="00A1092C" w:rsidRPr="00A54361" w:rsidRDefault="00A1092C" w:rsidP="00A54361">
      <w:pPr>
        <w:spacing w:before="120" w:after="120"/>
        <w:jc w:val="both"/>
        <w:rPr>
          <w:rFonts w:cstheme="minorHAnsi"/>
        </w:rPr>
      </w:pPr>
      <w:r w:rsidRPr="00A54361">
        <w:rPr>
          <w:rFonts w:cstheme="minorHAnsi"/>
        </w:rPr>
        <w:t>sd/- ----------------------------------------</w:t>
      </w:r>
    </w:p>
    <w:p w14:paraId="298B9269" w14:textId="6A7C8BC0" w:rsidR="00A1092C" w:rsidRPr="00A54361" w:rsidRDefault="00A1092C" w:rsidP="00A54361">
      <w:pPr>
        <w:jc w:val="both"/>
        <w:rPr>
          <w:rFonts w:cstheme="minorHAnsi"/>
        </w:rPr>
      </w:pPr>
      <w:r w:rsidRPr="00A54361">
        <w:rPr>
          <w:rFonts w:cstheme="minorHAnsi"/>
        </w:rPr>
        <w:br w:type="page"/>
      </w:r>
    </w:p>
    <w:p w14:paraId="47AC8723" w14:textId="3D48AA30" w:rsidR="006156BF" w:rsidRPr="00A54361" w:rsidRDefault="006734CD" w:rsidP="00A54361">
      <w:pPr>
        <w:pStyle w:val="Heading1"/>
        <w:numPr>
          <w:ilvl w:val="0"/>
          <w:numId w:val="48"/>
        </w:numPr>
        <w:jc w:val="both"/>
        <w:rPr>
          <w:rFonts w:asciiTheme="minorHAnsi" w:hAnsiTheme="minorHAnsi" w:cstheme="minorHAnsi"/>
          <w:color w:val="auto"/>
        </w:rPr>
      </w:pPr>
      <w:bookmarkStart w:id="281" w:name="_Toc129668539"/>
      <w:bookmarkStart w:id="282" w:name="_Toc182233418"/>
      <w:r w:rsidRPr="00A54361">
        <w:rPr>
          <w:rFonts w:asciiTheme="minorHAnsi" w:hAnsiTheme="minorHAnsi" w:cstheme="minorHAnsi"/>
          <w:color w:val="auto"/>
        </w:rPr>
        <w:t xml:space="preserve">Annexure </w:t>
      </w:r>
      <w:r w:rsidR="00B66D79" w:rsidRPr="00A54361">
        <w:rPr>
          <w:rFonts w:asciiTheme="minorHAnsi" w:hAnsiTheme="minorHAnsi" w:cstheme="minorHAnsi"/>
          <w:color w:val="auto"/>
        </w:rPr>
        <w:t>1</w:t>
      </w:r>
      <w:r w:rsidR="003970B0" w:rsidRPr="00A54361">
        <w:rPr>
          <w:rFonts w:asciiTheme="minorHAnsi" w:hAnsiTheme="minorHAnsi" w:cstheme="minorHAnsi"/>
          <w:color w:val="auto"/>
        </w:rPr>
        <w:t>2</w:t>
      </w:r>
      <w:r w:rsidRPr="00A54361">
        <w:rPr>
          <w:rFonts w:asciiTheme="minorHAnsi" w:hAnsiTheme="minorHAnsi" w:cstheme="minorHAnsi"/>
          <w:color w:val="auto"/>
        </w:rPr>
        <w:t>: Bid Security (Earnest Money Deposit)</w:t>
      </w:r>
      <w:bookmarkEnd w:id="281"/>
      <w:bookmarkEnd w:id="282"/>
    </w:p>
    <w:p w14:paraId="0103BDA4" w14:textId="77777777" w:rsidR="006156BF" w:rsidRPr="00A54361" w:rsidRDefault="006156BF" w:rsidP="00A54361">
      <w:pPr>
        <w:autoSpaceDE w:val="0"/>
        <w:autoSpaceDN w:val="0"/>
        <w:adjustRightInd w:val="0"/>
        <w:ind w:right="1468" w:firstLine="360"/>
        <w:jc w:val="both"/>
        <w:rPr>
          <w:rFonts w:cstheme="minorHAnsi"/>
        </w:rPr>
      </w:pPr>
      <w:r w:rsidRPr="00A54361">
        <w:rPr>
          <w:rFonts w:cstheme="minorHAnsi"/>
        </w:rPr>
        <w:t>To,</w:t>
      </w:r>
    </w:p>
    <w:p w14:paraId="45A8BFC7" w14:textId="75D2198B" w:rsidR="006156BF" w:rsidRPr="00A54361" w:rsidRDefault="006156BF" w:rsidP="00A54361">
      <w:pPr>
        <w:pStyle w:val="NoSpacing"/>
        <w:jc w:val="both"/>
        <w:rPr>
          <w:rFonts w:asciiTheme="minorHAnsi" w:hAnsiTheme="minorHAnsi" w:cstheme="minorHAnsi"/>
        </w:rPr>
      </w:pPr>
      <w:r w:rsidRPr="00A54361">
        <w:rPr>
          <w:rFonts w:asciiTheme="minorHAnsi" w:hAnsiTheme="minorHAnsi" w:cstheme="minorHAnsi"/>
        </w:rPr>
        <w:t>General Manager-IT</w:t>
      </w:r>
    </w:p>
    <w:p w14:paraId="078EDDA0" w14:textId="29314F69" w:rsidR="006156BF" w:rsidRPr="00A54361" w:rsidRDefault="006156BF" w:rsidP="00A54361">
      <w:pPr>
        <w:pStyle w:val="NoSpacing"/>
        <w:jc w:val="both"/>
        <w:rPr>
          <w:rFonts w:asciiTheme="minorHAnsi" w:hAnsiTheme="minorHAnsi" w:cstheme="minorHAnsi"/>
        </w:rPr>
      </w:pPr>
      <w:r w:rsidRPr="00A54361">
        <w:rPr>
          <w:rFonts w:asciiTheme="minorHAnsi" w:hAnsiTheme="minorHAnsi" w:cstheme="minorHAnsi"/>
        </w:rPr>
        <w:t>Central Bank of India,</w:t>
      </w:r>
    </w:p>
    <w:p w14:paraId="0ED8FA94" w14:textId="77777777" w:rsidR="006156BF" w:rsidRPr="00A54361" w:rsidRDefault="006156BF" w:rsidP="00A54361">
      <w:pPr>
        <w:pStyle w:val="NoSpacing"/>
        <w:jc w:val="both"/>
        <w:rPr>
          <w:rFonts w:asciiTheme="minorHAnsi" w:hAnsiTheme="minorHAnsi" w:cstheme="minorHAnsi"/>
        </w:rPr>
      </w:pPr>
      <w:r w:rsidRPr="00A54361">
        <w:rPr>
          <w:rFonts w:asciiTheme="minorHAnsi" w:hAnsiTheme="minorHAnsi" w:cstheme="minorHAnsi"/>
        </w:rPr>
        <w:t>DIT, 1st Floor,</w:t>
      </w:r>
    </w:p>
    <w:p w14:paraId="3511A844" w14:textId="77777777" w:rsidR="006156BF" w:rsidRPr="00A54361" w:rsidRDefault="006156BF" w:rsidP="00A54361">
      <w:pPr>
        <w:pStyle w:val="NoSpacing"/>
        <w:jc w:val="both"/>
        <w:rPr>
          <w:rFonts w:asciiTheme="minorHAnsi" w:hAnsiTheme="minorHAnsi" w:cstheme="minorHAnsi"/>
        </w:rPr>
      </w:pPr>
      <w:r w:rsidRPr="00A54361">
        <w:rPr>
          <w:rFonts w:asciiTheme="minorHAnsi" w:hAnsiTheme="minorHAnsi" w:cstheme="minorHAnsi"/>
        </w:rPr>
        <w:t>CBD Belapur,</w:t>
      </w:r>
    </w:p>
    <w:p w14:paraId="68057592" w14:textId="26DD71FF" w:rsidR="006156BF" w:rsidRPr="00A54361" w:rsidRDefault="006156BF" w:rsidP="00A54361">
      <w:pPr>
        <w:pStyle w:val="NoSpacing"/>
        <w:jc w:val="both"/>
        <w:rPr>
          <w:rFonts w:asciiTheme="minorHAnsi" w:hAnsiTheme="minorHAnsi" w:cstheme="minorHAnsi"/>
        </w:rPr>
      </w:pPr>
      <w:r w:rsidRPr="00A54361">
        <w:rPr>
          <w:rFonts w:asciiTheme="minorHAnsi" w:hAnsiTheme="minorHAnsi" w:cstheme="minorHAnsi"/>
        </w:rPr>
        <w:t>Navi Mumbai -400 614</w:t>
      </w:r>
    </w:p>
    <w:p w14:paraId="347C461C" w14:textId="77777777" w:rsidR="006156BF" w:rsidRPr="00A54361" w:rsidRDefault="006156BF" w:rsidP="00A54361">
      <w:pPr>
        <w:autoSpaceDE w:val="0"/>
        <w:autoSpaceDN w:val="0"/>
        <w:adjustRightInd w:val="0"/>
        <w:spacing w:before="120" w:after="120"/>
        <w:ind w:right="1468"/>
        <w:jc w:val="both"/>
        <w:rPr>
          <w:rFonts w:cstheme="minorHAnsi"/>
        </w:rPr>
      </w:pPr>
      <w:r w:rsidRPr="00A54361">
        <w:rPr>
          <w:rFonts w:cstheme="minorHAnsi"/>
        </w:rPr>
        <w:t xml:space="preserve">Dear Sir, </w:t>
      </w:r>
    </w:p>
    <w:p w14:paraId="23B85FC3" w14:textId="456D3125" w:rsidR="006156BF" w:rsidRPr="00A54361" w:rsidRDefault="006156BF" w:rsidP="00A54361">
      <w:pPr>
        <w:autoSpaceDE w:val="0"/>
        <w:autoSpaceDN w:val="0"/>
        <w:adjustRightInd w:val="0"/>
        <w:spacing w:before="120" w:after="120"/>
        <w:ind w:right="-46"/>
        <w:jc w:val="both"/>
        <w:rPr>
          <w:rFonts w:cstheme="minorHAnsi"/>
        </w:rPr>
      </w:pPr>
      <w:r w:rsidRPr="00A54361">
        <w:rPr>
          <w:rFonts w:cstheme="minorHAnsi"/>
        </w:rPr>
        <w:t xml:space="preserve"> In response to your invitation to respond to your </w:t>
      </w:r>
      <w:r w:rsidR="00A836BA" w:rsidRPr="00A54361">
        <w:rPr>
          <w:rFonts w:cstheme="minorHAnsi"/>
        </w:rPr>
        <w:t>RFP for Supply, Installation and Maintenance of Cybersecurity Solutions</w:t>
      </w:r>
      <w:r w:rsidR="003369B8" w:rsidRPr="00A54361">
        <w:rPr>
          <w:rFonts w:cstheme="minorHAnsi"/>
        </w:rPr>
        <w:t xml:space="preserve"> and associated hardware</w:t>
      </w:r>
      <w:r w:rsidR="00A836BA" w:rsidRPr="00A54361">
        <w:rPr>
          <w:rFonts w:cstheme="minorHAnsi"/>
        </w:rPr>
        <w:t xml:space="preserve"> at </w:t>
      </w:r>
      <w:r w:rsidR="009417AB" w:rsidRPr="00A54361">
        <w:rPr>
          <w:rFonts w:cstheme="minorHAnsi"/>
        </w:rPr>
        <w:t>the Bank</w:t>
      </w:r>
      <w:r w:rsidRPr="00A54361">
        <w:rPr>
          <w:rFonts w:cstheme="minorHAnsi"/>
        </w:rPr>
        <w:t xml:space="preserve">, M/s _____having their registered office at _______ (hereinafter called the </w:t>
      </w:r>
      <w:r w:rsidR="003D0BF7" w:rsidRPr="00A54361">
        <w:rPr>
          <w:rFonts w:cstheme="minorHAnsi"/>
        </w:rPr>
        <w:t>“</w:t>
      </w:r>
      <w:r w:rsidRPr="00A54361">
        <w:rPr>
          <w:rFonts w:cstheme="minorHAnsi"/>
        </w:rPr>
        <w:t>Bidder</w:t>
      </w:r>
      <w:r w:rsidR="003D0BF7" w:rsidRPr="00A54361">
        <w:rPr>
          <w:rFonts w:cstheme="minorHAnsi"/>
        </w:rPr>
        <w:t>”</w:t>
      </w:r>
      <w:r w:rsidRPr="00A54361">
        <w:rPr>
          <w:rFonts w:cstheme="minorHAnsi"/>
        </w:rPr>
        <w:t xml:space="preserve">) wishes to respond to the said Request for Proposal (RFP) and submit the proposal for as listed in the RFP document.  </w:t>
      </w:r>
    </w:p>
    <w:p w14:paraId="733E70E3" w14:textId="2D0E2F09" w:rsidR="006156BF" w:rsidRPr="00A54361" w:rsidRDefault="006156BF" w:rsidP="00A54361">
      <w:pPr>
        <w:autoSpaceDE w:val="0"/>
        <w:autoSpaceDN w:val="0"/>
        <w:adjustRightInd w:val="0"/>
        <w:spacing w:before="120" w:after="120"/>
        <w:ind w:right="43"/>
        <w:jc w:val="both"/>
        <w:rPr>
          <w:rFonts w:cstheme="minorHAnsi"/>
        </w:rPr>
      </w:pPr>
      <w:r w:rsidRPr="00A54361">
        <w:rPr>
          <w:rFonts w:cstheme="minorHAnsi"/>
        </w:rPr>
        <w:t xml:space="preserve">Whereas the </w:t>
      </w:r>
      <w:r w:rsidR="003D0BF7" w:rsidRPr="00A54361">
        <w:rPr>
          <w:rFonts w:cstheme="minorHAnsi"/>
        </w:rPr>
        <w:t>“</w:t>
      </w:r>
      <w:r w:rsidRPr="00A54361">
        <w:rPr>
          <w:rFonts w:cstheme="minorHAnsi"/>
        </w:rPr>
        <w:t>Bidder</w:t>
      </w:r>
      <w:r w:rsidR="003D0BF7" w:rsidRPr="00A54361">
        <w:rPr>
          <w:rFonts w:cstheme="minorHAnsi"/>
        </w:rPr>
        <w:t>”</w:t>
      </w:r>
      <w:r w:rsidRPr="00A54361">
        <w:rPr>
          <w:rFonts w:cstheme="minorHAnsi"/>
        </w:rPr>
        <w:t xml:space="preserve"> has submitted the proposal in response to RFP, we, the ______ Bank having our head office ______ hereby irrevocably guarantee an amount of </w:t>
      </w:r>
      <w:r w:rsidR="003D0BF7" w:rsidRPr="00A54361">
        <w:rPr>
          <w:rFonts w:cstheme="minorHAnsi"/>
        </w:rPr>
        <w:t>₹</w:t>
      </w:r>
      <w:r w:rsidRPr="00A54361">
        <w:rPr>
          <w:rFonts w:cstheme="minorHAnsi"/>
        </w:rPr>
        <w:t xml:space="preserve"> </w:t>
      </w:r>
      <w:r w:rsidR="00BE0AED" w:rsidRPr="00A54361">
        <w:rPr>
          <w:rFonts w:cstheme="minorHAnsi"/>
        </w:rPr>
        <w:t>___________</w:t>
      </w:r>
      <w:r w:rsidR="00606C32" w:rsidRPr="00A54361">
        <w:rPr>
          <w:rFonts w:cstheme="minorHAnsi"/>
        </w:rPr>
        <w:t>/-</w:t>
      </w:r>
      <w:r w:rsidRPr="00A54361">
        <w:rPr>
          <w:rFonts w:cstheme="minorHAnsi"/>
        </w:rPr>
        <w:t xml:space="preserve"> (Rupees </w:t>
      </w:r>
      <w:r w:rsidR="00BF5B69" w:rsidRPr="00A54361">
        <w:rPr>
          <w:rFonts w:cstheme="minorHAnsi"/>
        </w:rPr>
        <w:t>________________</w:t>
      </w:r>
      <w:r w:rsidRPr="00A54361">
        <w:rPr>
          <w:rFonts w:cstheme="minorHAnsi"/>
        </w:rPr>
        <w:t xml:space="preserve">Only) as bid security as required to be submitted by the, </w:t>
      </w:r>
      <w:r w:rsidR="003D0BF7" w:rsidRPr="00A54361">
        <w:rPr>
          <w:rFonts w:cstheme="minorHAnsi"/>
        </w:rPr>
        <w:t>“</w:t>
      </w:r>
      <w:r w:rsidRPr="00A54361">
        <w:rPr>
          <w:rFonts w:cstheme="minorHAnsi"/>
        </w:rPr>
        <w:t>Bidder</w:t>
      </w:r>
      <w:r w:rsidR="003D0BF7" w:rsidRPr="00A54361">
        <w:rPr>
          <w:rFonts w:cstheme="minorHAnsi"/>
        </w:rPr>
        <w:t>”</w:t>
      </w:r>
      <w:r w:rsidRPr="00A54361">
        <w:rPr>
          <w:rFonts w:cstheme="minorHAnsi"/>
        </w:rPr>
        <w:t xml:space="preserve"> as a condition for participation in the said process of RFQ. </w:t>
      </w:r>
    </w:p>
    <w:p w14:paraId="183E7041" w14:textId="63C0276A" w:rsidR="006156BF" w:rsidRPr="00A54361" w:rsidRDefault="006156BF" w:rsidP="00A54361">
      <w:pPr>
        <w:autoSpaceDE w:val="0"/>
        <w:autoSpaceDN w:val="0"/>
        <w:adjustRightInd w:val="0"/>
        <w:spacing w:before="120" w:after="120"/>
        <w:ind w:right="43"/>
        <w:jc w:val="both"/>
        <w:rPr>
          <w:rFonts w:cstheme="minorHAnsi"/>
        </w:rPr>
      </w:pPr>
      <w:r w:rsidRPr="00A54361">
        <w:rPr>
          <w:rFonts w:cstheme="minorHAnsi"/>
        </w:rPr>
        <w:t xml:space="preserve"> The Bid security for which this guarantee is given is liable to be enforced/ invoked:</w:t>
      </w:r>
    </w:p>
    <w:p w14:paraId="792EDB77" w14:textId="5D0C68E2" w:rsidR="006156BF" w:rsidRPr="00A54361" w:rsidRDefault="006156BF" w:rsidP="00A54361">
      <w:pPr>
        <w:autoSpaceDE w:val="0"/>
        <w:autoSpaceDN w:val="0"/>
        <w:adjustRightInd w:val="0"/>
        <w:spacing w:before="120" w:after="120"/>
        <w:ind w:right="43"/>
        <w:jc w:val="both"/>
        <w:rPr>
          <w:rFonts w:cstheme="minorHAnsi"/>
        </w:rPr>
      </w:pPr>
      <w:r w:rsidRPr="00A54361">
        <w:rPr>
          <w:rFonts w:cstheme="minorHAnsi"/>
        </w:rPr>
        <w:t xml:space="preserve">1. If the Bidder withdraws his proposal during the period of the proposal validity; or </w:t>
      </w:r>
    </w:p>
    <w:p w14:paraId="15A64C3C" w14:textId="03EFB4CC" w:rsidR="006156BF" w:rsidRPr="00A54361" w:rsidRDefault="006156BF" w:rsidP="00A54361">
      <w:pPr>
        <w:autoSpaceDE w:val="0"/>
        <w:autoSpaceDN w:val="0"/>
        <w:adjustRightInd w:val="0"/>
        <w:spacing w:before="120" w:after="120"/>
        <w:ind w:right="43"/>
        <w:jc w:val="both"/>
        <w:rPr>
          <w:rFonts w:cstheme="minorHAnsi"/>
        </w:rPr>
      </w:pPr>
      <w:r w:rsidRPr="00A54361">
        <w:rPr>
          <w:rFonts w:cstheme="minorHAnsi"/>
        </w:rPr>
        <w:t>2. If the Bidder, having been notified of the acceptance of its proposal by the Bank during the period of the validity of the proposal fails or refuses to enter into the contract in accordance with the Terms and Conditions of the RFP or the terms and conditions mutually agreed subsequently. We undertake to pay immediately on demand to Central Bank of India the said amount without any reservation, protest, demur, or recourse. The said guarantee is liable to be invoked/ enforced on the happening of the contingencies as mentioned above and also in the RFP document and we shall pay the amount on any Demand made by Central Bank of India which shall be conclusive and binding on us irrespective of any dispute or difference raised by the Bidder.</w:t>
      </w:r>
    </w:p>
    <w:p w14:paraId="2498C058" w14:textId="402091B3" w:rsidR="006156BF" w:rsidRPr="00A54361" w:rsidRDefault="006156BF" w:rsidP="00A54361">
      <w:pPr>
        <w:autoSpaceDE w:val="0"/>
        <w:autoSpaceDN w:val="0"/>
        <w:adjustRightInd w:val="0"/>
        <w:spacing w:before="120" w:after="120"/>
        <w:ind w:right="43"/>
        <w:jc w:val="both"/>
        <w:rPr>
          <w:rFonts w:cstheme="minorHAnsi"/>
        </w:rPr>
      </w:pPr>
      <w:r w:rsidRPr="00A54361">
        <w:rPr>
          <w:rFonts w:cstheme="minorHAnsi"/>
        </w:rPr>
        <w:t>Notwithstanding anything contained herein:</w:t>
      </w:r>
    </w:p>
    <w:p w14:paraId="78DAD804" w14:textId="503FD4D6" w:rsidR="00606C32" w:rsidRPr="00A54361" w:rsidRDefault="006156BF" w:rsidP="00A54361">
      <w:pPr>
        <w:autoSpaceDE w:val="0"/>
        <w:autoSpaceDN w:val="0"/>
        <w:adjustRightInd w:val="0"/>
        <w:spacing w:before="120" w:after="0" w:line="240" w:lineRule="auto"/>
        <w:ind w:right="43"/>
        <w:jc w:val="both"/>
        <w:rPr>
          <w:rFonts w:cstheme="minorHAnsi"/>
        </w:rPr>
      </w:pPr>
      <w:r w:rsidRPr="00A54361">
        <w:rPr>
          <w:rFonts w:cstheme="minorHAnsi"/>
        </w:rPr>
        <w:t xml:space="preserve">1. Our liability under this Bank guarantee shall not exceed </w:t>
      </w:r>
      <w:r w:rsidR="00606C32" w:rsidRPr="00A54361">
        <w:rPr>
          <w:rFonts w:cstheme="minorHAnsi"/>
        </w:rPr>
        <w:t xml:space="preserve">₹ </w:t>
      </w:r>
      <w:r w:rsidR="00BF5B69" w:rsidRPr="00A54361">
        <w:rPr>
          <w:rFonts w:cstheme="minorHAnsi"/>
        </w:rPr>
        <w:t>_________</w:t>
      </w:r>
      <w:r w:rsidR="00606C32" w:rsidRPr="00A54361">
        <w:rPr>
          <w:rFonts w:cstheme="minorHAnsi"/>
        </w:rPr>
        <w:t xml:space="preserve">/- (Rupees </w:t>
      </w:r>
      <w:r w:rsidR="00BF5B69" w:rsidRPr="00A54361">
        <w:rPr>
          <w:rFonts w:cstheme="minorHAnsi"/>
        </w:rPr>
        <w:t>_______________</w:t>
      </w:r>
      <w:r w:rsidR="00606C32" w:rsidRPr="00A54361">
        <w:rPr>
          <w:rFonts w:cstheme="minorHAnsi"/>
        </w:rPr>
        <w:t xml:space="preserve">Only) </w:t>
      </w:r>
    </w:p>
    <w:p w14:paraId="339408FD" w14:textId="7E9E1433" w:rsidR="006156BF" w:rsidRPr="00A54361" w:rsidRDefault="006156BF" w:rsidP="00A54361">
      <w:pPr>
        <w:autoSpaceDE w:val="0"/>
        <w:autoSpaceDN w:val="0"/>
        <w:adjustRightInd w:val="0"/>
        <w:spacing w:before="120" w:after="0" w:line="240" w:lineRule="auto"/>
        <w:ind w:right="43"/>
        <w:jc w:val="both"/>
        <w:rPr>
          <w:rFonts w:cstheme="minorHAnsi"/>
        </w:rPr>
      </w:pPr>
      <w:r w:rsidRPr="00A54361">
        <w:rPr>
          <w:rFonts w:cstheme="minorHAnsi"/>
        </w:rPr>
        <w:t xml:space="preserve">2. This Bank guarantee will be valid up to ________; and </w:t>
      </w:r>
    </w:p>
    <w:p w14:paraId="51299532" w14:textId="77777777" w:rsidR="006156BF" w:rsidRPr="00A54361" w:rsidRDefault="006156BF" w:rsidP="00A54361">
      <w:pPr>
        <w:autoSpaceDE w:val="0"/>
        <w:autoSpaceDN w:val="0"/>
        <w:adjustRightInd w:val="0"/>
        <w:spacing w:before="120" w:after="0" w:line="240" w:lineRule="auto"/>
        <w:ind w:right="43"/>
        <w:jc w:val="both"/>
        <w:rPr>
          <w:rFonts w:cstheme="minorHAnsi"/>
        </w:rPr>
      </w:pPr>
      <w:r w:rsidRPr="00A54361">
        <w:rPr>
          <w:rFonts w:cstheme="minorHAnsi"/>
        </w:rPr>
        <w:t>3. We are liable to pay the guarantee amount or any part thereof under this Bank</w:t>
      </w:r>
    </w:p>
    <w:p w14:paraId="1FD3E6EC" w14:textId="77777777" w:rsidR="008054C5" w:rsidRPr="00A54361" w:rsidRDefault="006156BF" w:rsidP="00A54361">
      <w:pPr>
        <w:spacing w:before="120" w:after="0" w:line="240" w:lineRule="auto"/>
        <w:jc w:val="both"/>
        <w:rPr>
          <w:rFonts w:cstheme="minorHAnsi"/>
        </w:rPr>
      </w:pPr>
      <w:r w:rsidRPr="00A54361">
        <w:rPr>
          <w:rFonts w:cstheme="minorHAnsi"/>
        </w:rPr>
        <w:t>Guarantee only upon service of a written claim or demand by you on or</w:t>
      </w:r>
      <w:r w:rsidR="00BD7FF2" w:rsidRPr="00A54361">
        <w:rPr>
          <w:rFonts w:cstheme="minorHAnsi"/>
        </w:rPr>
        <w:t xml:space="preserve"> </w:t>
      </w:r>
      <w:r w:rsidRPr="00A54361">
        <w:rPr>
          <w:rFonts w:cstheme="minorHAnsi"/>
        </w:rPr>
        <w:t xml:space="preserve">before__________________ </w:t>
      </w:r>
      <w:r w:rsidR="008054C5" w:rsidRPr="00A54361">
        <w:rPr>
          <w:rFonts w:cstheme="minorHAnsi"/>
        </w:rPr>
        <w:t xml:space="preserve">(date of expiry of Guarantee plus claim period , if any ) </w:t>
      </w:r>
    </w:p>
    <w:p w14:paraId="1F4E9FF6" w14:textId="77777777" w:rsidR="008054C5" w:rsidRPr="00A54361" w:rsidRDefault="008054C5" w:rsidP="00A54361">
      <w:pPr>
        <w:spacing w:before="120" w:after="0" w:line="240" w:lineRule="auto"/>
        <w:jc w:val="both"/>
        <w:rPr>
          <w:rFonts w:cstheme="minorHAnsi"/>
        </w:rPr>
      </w:pPr>
      <w:r w:rsidRPr="00A54361">
        <w:rPr>
          <w:rFonts w:cstheme="minorHAnsi"/>
        </w:rPr>
        <w:t>4. All your rights to bring legal action under this guarantee shall extinguish on…………………… ( date one year from the date mentioned in point no. iii above )</w:t>
      </w:r>
    </w:p>
    <w:p w14:paraId="28B14952" w14:textId="3FDE1BFB" w:rsidR="006156BF" w:rsidRPr="00A54361" w:rsidRDefault="006156BF" w:rsidP="00A54361">
      <w:pPr>
        <w:autoSpaceDE w:val="0"/>
        <w:autoSpaceDN w:val="0"/>
        <w:adjustRightInd w:val="0"/>
        <w:spacing w:before="120" w:after="120"/>
        <w:ind w:right="-46"/>
        <w:jc w:val="both"/>
        <w:rPr>
          <w:rFonts w:cstheme="minorHAnsi"/>
        </w:rPr>
      </w:pPr>
      <w:r w:rsidRPr="00A54361">
        <w:rPr>
          <w:rFonts w:cstheme="minorHAnsi"/>
        </w:rPr>
        <w:t>In witness whereof the Bank, through the authorized officer has sets its hand and</w:t>
      </w:r>
      <w:r w:rsidR="00BD7FF2" w:rsidRPr="00A54361">
        <w:rPr>
          <w:rFonts w:cstheme="minorHAnsi"/>
        </w:rPr>
        <w:t xml:space="preserve"> </w:t>
      </w:r>
      <w:r w:rsidRPr="00A54361">
        <w:rPr>
          <w:rFonts w:cstheme="minorHAnsi"/>
        </w:rPr>
        <w:t>stamp on this _____day of _____ at .</w:t>
      </w:r>
    </w:p>
    <w:p w14:paraId="3AD54E7C" w14:textId="77777777" w:rsidR="006E251B" w:rsidRPr="00A54361" w:rsidRDefault="006156BF" w:rsidP="00A54361">
      <w:pPr>
        <w:autoSpaceDE w:val="0"/>
        <w:autoSpaceDN w:val="0"/>
        <w:adjustRightInd w:val="0"/>
        <w:ind w:right="1468"/>
        <w:jc w:val="both"/>
        <w:rPr>
          <w:rFonts w:cstheme="minorHAnsi"/>
        </w:rPr>
      </w:pPr>
      <w:r w:rsidRPr="00A54361">
        <w:rPr>
          <w:rFonts w:cstheme="minorHAnsi"/>
        </w:rPr>
        <w:t xml:space="preserve">Yours faithfully, </w:t>
      </w:r>
    </w:p>
    <w:p w14:paraId="72AF971A" w14:textId="2430BBF9" w:rsidR="006156BF" w:rsidRPr="00A54361" w:rsidRDefault="006156BF" w:rsidP="00A54361">
      <w:pPr>
        <w:autoSpaceDE w:val="0"/>
        <w:autoSpaceDN w:val="0"/>
        <w:adjustRightInd w:val="0"/>
        <w:ind w:right="1468"/>
        <w:jc w:val="both"/>
        <w:rPr>
          <w:rFonts w:cstheme="minorHAnsi"/>
        </w:rPr>
      </w:pPr>
      <w:r w:rsidRPr="00A54361">
        <w:rPr>
          <w:rFonts w:cstheme="minorHAnsi"/>
        </w:rPr>
        <w:t>For and on behalf of ____________________________</w:t>
      </w:r>
    </w:p>
    <w:p w14:paraId="5544A632" w14:textId="77777777" w:rsidR="006156BF" w:rsidRPr="00A54361" w:rsidRDefault="006156BF" w:rsidP="00A54361">
      <w:pPr>
        <w:autoSpaceDE w:val="0"/>
        <w:autoSpaceDN w:val="0"/>
        <w:adjustRightInd w:val="0"/>
        <w:ind w:right="1468"/>
        <w:jc w:val="both"/>
        <w:rPr>
          <w:rFonts w:cstheme="minorHAnsi"/>
        </w:rPr>
      </w:pPr>
      <w:r w:rsidRPr="00A54361">
        <w:rPr>
          <w:rFonts w:cstheme="minorHAnsi"/>
        </w:rPr>
        <w:t xml:space="preserve">Bank Authorised Official </w:t>
      </w:r>
    </w:p>
    <w:p w14:paraId="0D3A4AD3" w14:textId="04BEEC66" w:rsidR="008B1176" w:rsidRPr="00A54361" w:rsidRDefault="0092110B" w:rsidP="00A54361">
      <w:pPr>
        <w:pStyle w:val="Heading1"/>
        <w:numPr>
          <w:ilvl w:val="0"/>
          <w:numId w:val="48"/>
        </w:numPr>
        <w:jc w:val="both"/>
        <w:rPr>
          <w:rFonts w:cstheme="minorHAnsi"/>
          <w:color w:val="auto"/>
        </w:rPr>
      </w:pPr>
      <w:r w:rsidRPr="00A54361">
        <w:rPr>
          <w:rFonts w:cstheme="minorHAnsi"/>
          <w:color w:val="auto"/>
        </w:rPr>
        <w:br w:type="page"/>
      </w:r>
      <w:bookmarkStart w:id="283" w:name="_Toc129668540"/>
      <w:bookmarkStart w:id="284" w:name="_Toc182233419"/>
      <w:r w:rsidR="007A0FA8" w:rsidRPr="00A54361">
        <w:rPr>
          <w:rFonts w:asciiTheme="minorHAnsi" w:hAnsiTheme="minorHAnsi" w:cstheme="minorHAnsi"/>
          <w:color w:val="auto"/>
        </w:rPr>
        <w:t>Annexure 1</w:t>
      </w:r>
      <w:r w:rsidR="003970B0" w:rsidRPr="00A54361">
        <w:rPr>
          <w:rFonts w:asciiTheme="minorHAnsi" w:hAnsiTheme="minorHAnsi" w:cstheme="minorHAnsi"/>
          <w:color w:val="auto"/>
        </w:rPr>
        <w:t>3</w:t>
      </w:r>
      <w:r w:rsidR="007A0FA8" w:rsidRPr="00A54361">
        <w:rPr>
          <w:rFonts w:asciiTheme="minorHAnsi" w:hAnsiTheme="minorHAnsi" w:cstheme="minorHAnsi"/>
          <w:color w:val="auto"/>
        </w:rPr>
        <w:t>: Bidder’s Particulars</w:t>
      </w:r>
      <w:bookmarkEnd w:id="283"/>
      <w:bookmarkEnd w:id="284"/>
    </w:p>
    <w:tbl>
      <w:tblPr>
        <w:tblW w:w="0" w:type="auto"/>
        <w:tblLook w:val="04A0" w:firstRow="1" w:lastRow="0" w:firstColumn="1" w:lastColumn="0" w:noHBand="0" w:noVBand="1"/>
      </w:tblPr>
      <w:tblGrid>
        <w:gridCol w:w="704"/>
        <w:gridCol w:w="4536"/>
        <w:gridCol w:w="3776"/>
      </w:tblGrid>
      <w:tr w:rsidR="000D3DC1" w:rsidRPr="00A54361" w14:paraId="0D58374F" w14:textId="77777777" w:rsidTr="00BD7FF2">
        <w:tc>
          <w:tcPr>
            <w:tcW w:w="704" w:type="dxa"/>
            <w:shd w:val="clear" w:color="auto" w:fill="D9D9D9" w:themeFill="background1" w:themeFillShade="D9"/>
          </w:tcPr>
          <w:p w14:paraId="13ED0AA4" w14:textId="25FC2917" w:rsidR="007A0FA8" w:rsidRPr="00A54361" w:rsidRDefault="007A0FA8" w:rsidP="00A54361">
            <w:pPr>
              <w:jc w:val="both"/>
              <w:rPr>
                <w:rFonts w:cstheme="minorHAnsi"/>
                <w:b/>
                <w:bCs/>
              </w:rPr>
            </w:pPr>
            <w:r w:rsidRPr="00A54361">
              <w:rPr>
                <w:rFonts w:cstheme="minorHAnsi"/>
                <w:b/>
                <w:bCs/>
              </w:rPr>
              <w:t>#</w:t>
            </w:r>
          </w:p>
        </w:tc>
        <w:tc>
          <w:tcPr>
            <w:tcW w:w="4536" w:type="dxa"/>
            <w:shd w:val="clear" w:color="auto" w:fill="D9D9D9" w:themeFill="background1" w:themeFillShade="D9"/>
          </w:tcPr>
          <w:p w14:paraId="07BDE8C2" w14:textId="645452B6" w:rsidR="007A0FA8" w:rsidRPr="00A54361" w:rsidRDefault="007A0FA8" w:rsidP="00A54361">
            <w:pPr>
              <w:jc w:val="both"/>
              <w:rPr>
                <w:rFonts w:cstheme="minorHAnsi"/>
                <w:b/>
                <w:bCs/>
              </w:rPr>
            </w:pPr>
            <w:r w:rsidRPr="00A54361">
              <w:rPr>
                <w:rFonts w:cstheme="minorHAnsi"/>
                <w:b/>
                <w:bCs/>
              </w:rPr>
              <w:t>Particulars</w:t>
            </w:r>
          </w:p>
        </w:tc>
        <w:tc>
          <w:tcPr>
            <w:tcW w:w="3776" w:type="dxa"/>
            <w:shd w:val="clear" w:color="auto" w:fill="D9D9D9" w:themeFill="background1" w:themeFillShade="D9"/>
          </w:tcPr>
          <w:p w14:paraId="1B971047" w14:textId="77777777" w:rsidR="007A0FA8" w:rsidRPr="00A54361" w:rsidRDefault="007A0FA8" w:rsidP="00A54361">
            <w:pPr>
              <w:jc w:val="both"/>
              <w:rPr>
                <w:rFonts w:cstheme="minorHAnsi"/>
                <w:b/>
                <w:bCs/>
              </w:rPr>
            </w:pPr>
          </w:p>
        </w:tc>
      </w:tr>
      <w:tr w:rsidR="000D3DC1" w:rsidRPr="00A54361" w14:paraId="0AAD2A00" w14:textId="77777777" w:rsidTr="007A0FA8">
        <w:tc>
          <w:tcPr>
            <w:tcW w:w="704" w:type="dxa"/>
          </w:tcPr>
          <w:p w14:paraId="0C4E7811" w14:textId="77777777" w:rsidR="007A0FA8" w:rsidRPr="00A54361" w:rsidRDefault="007A0FA8" w:rsidP="00A54361">
            <w:pPr>
              <w:pStyle w:val="ListParagraph"/>
              <w:numPr>
                <w:ilvl w:val="0"/>
                <w:numId w:val="26"/>
              </w:numPr>
              <w:jc w:val="both"/>
              <w:rPr>
                <w:rFonts w:cstheme="minorHAnsi"/>
              </w:rPr>
            </w:pPr>
          </w:p>
        </w:tc>
        <w:tc>
          <w:tcPr>
            <w:tcW w:w="4536" w:type="dxa"/>
          </w:tcPr>
          <w:p w14:paraId="3960D7A7" w14:textId="12CB4B98" w:rsidR="007A0FA8" w:rsidRPr="00A54361" w:rsidRDefault="007A0FA8" w:rsidP="00A54361">
            <w:pPr>
              <w:jc w:val="both"/>
              <w:rPr>
                <w:rFonts w:cstheme="minorHAnsi"/>
              </w:rPr>
            </w:pPr>
            <w:r w:rsidRPr="00A54361">
              <w:rPr>
                <w:rFonts w:cstheme="minorHAnsi"/>
              </w:rPr>
              <w:t>Name of the Bidder</w:t>
            </w:r>
          </w:p>
        </w:tc>
        <w:tc>
          <w:tcPr>
            <w:tcW w:w="3776" w:type="dxa"/>
          </w:tcPr>
          <w:p w14:paraId="533DF357" w14:textId="77777777" w:rsidR="007A0FA8" w:rsidRPr="00A54361" w:rsidRDefault="007A0FA8" w:rsidP="00A54361">
            <w:pPr>
              <w:jc w:val="both"/>
              <w:rPr>
                <w:rFonts w:cstheme="minorHAnsi"/>
              </w:rPr>
            </w:pPr>
          </w:p>
        </w:tc>
      </w:tr>
      <w:tr w:rsidR="000D3DC1" w:rsidRPr="00A54361" w14:paraId="1342C78F" w14:textId="77777777" w:rsidTr="007A0FA8">
        <w:tc>
          <w:tcPr>
            <w:tcW w:w="704" w:type="dxa"/>
          </w:tcPr>
          <w:p w14:paraId="3030E9DD" w14:textId="77777777" w:rsidR="007A0FA8" w:rsidRPr="00A54361" w:rsidRDefault="007A0FA8" w:rsidP="00A54361">
            <w:pPr>
              <w:pStyle w:val="ListParagraph"/>
              <w:numPr>
                <w:ilvl w:val="0"/>
                <w:numId w:val="26"/>
              </w:numPr>
              <w:jc w:val="both"/>
              <w:rPr>
                <w:rFonts w:cstheme="minorHAnsi"/>
              </w:rPr>
            </w:pPr>
          </w:p>
        </w:tc>
        <w:tc>
          <w:tcPr>
            <w:tcW w:w="4536" w:type="dxa"/>
          </w:tcPr>
          <w:p w14:paraId="5F888F09" w14:textId="7F52AA50" w:rsidR="007A0FA8" w:rsidRPr="00A54361" w:rsidRDefault="007A0FA8" w:rsidP="00A54361">
            <w:pPr>
              <w:jc w:val="both"/>
              <w:rPr>
                <w:rFonts w:cstheme="minorHAnsi"/>
              </w:rPr>
            </w:pPr>
            <w:r w:rsidRPr="00A54361">
              <w:rPr>
                <w:rFonts w:cstheme="minorHAnsi"/>
              </w:rPr>
              <w:t>Address with E mail id, Mobile no. and Pin</w:t>
            </w:r>
            <w:r w:rsidR="00BD7FF2" w:rsidRPr="00A54361">
              <w:rPr>
                <w:rFonts w:cstheme="minorHAnsi"/>
              </w:rPr>
              <w:t xml:space="preserve"> </w:t>
            </w:r>
            <w:r w:rsidRPr="00A54361">
              <w:rPr>
                <w:rFonts w:cstheme="minorHAnsi"/>
              </w:rPr>
              <w:t>code</w:t>
            </w:r>
          </w:p>
        </w:tc>
        <w:tc>
          <w:tcPr>
            <w:tcW w:w="3776" w:type="dxa"/>
          </w:tcPr>
          <w:p w14:paraId="14E43E9D" w14:textId="77777777" w:rsidR="007A0FA8" w:rsidRPr="00A54361" w:rsidRDefault="007A0FA8" w:rsidP="00A54361">
            <w:pPr>
              <w:jc w:val="both"/>
              <w:rPr>
                <w:rFonts w:cstheme="minorHAnsi"/>
              </w:rPr>
            </w:pPr>
          </w:p>
        </w:tc>
      </w:tr>
      <w:tr w:rsidR="000D3DC1" w:rsidRPr="00A54361" w14:paraId="3E37437C" w14:textId="77777777" w:rsidTr="007A0FA8">
        <w:tc>
          <w:tcPr>
            <w:tcW w:w="704" w:type="dxa"/>
          </w:tcPr>
          <w:p w14:paraId="03EE671C" w14:textId="77777777" w:rsidR="007A0FA8" w:rsidRPr="00A54361" w:rsidRDefault="007A0FA8" w:rsidP="00A54361">
            <w:pPr>
              <w:pStyle w:val="ListParagraph"/>
              <w:numPr>
                <w:ilvl w:val="0"/>
                <w:numId w:val="26"/>
              </w:numPr>
              <w:jc w:val="both"/>
              <w:rPr>
                <w:rFonts w:cstheme="minorHAnsi"/>
              </w:rPr>
            </w:pPr>
          </w:p>
        </w:tc>
        <w:tc>
          <w:tcPr>
            <w:tcW w:w="4536" w:type="dxa"/>
          </w:tcPr>
          <w:p w14:paraId="6BF64C73" w14:textId="3E747B28" w:rsidR="007A0FA8" w:rsidRPr="00A54361" w:rsidRDefault="007A0FA8" w:rsidP="00A54361">
            <w:pPr>
              <w:jc w:val="both"/>
              <w:rPr>
                <w:rFonts w:cstheme="minorHAnsi"/>
              </w:rPr>
            </w:pPr>
            <w:r w:rsidRPr="00A54361">
              <w:rPr>
                <w:rFonts w:cstheme="minorHAnsi"/>
              </w:rPr>
              <w:t>GST Number</w:t>
            </w:r>
          </w:p>
        </w:tc>
        <w:tc>
          <w:tcPr>
            <w:tcW w:w="3776" w:type="dxa"/>
          </w:tcPr>
          <w:p w14:paraId="62DFC938" w14:textId="77777777" w:rsidR="007A0FA8" w:rsidRPr="00A54361" w:rsidRDefault="007A0FA8" w:rsidP="00A54361">
            <w:pPr>
              <w:jc w:val="both"/>
              <w:rPr>
                <w:rFonts w:cstheme="minorHAnsi"/>
              </w:rPr>
            </w:pPr>
          </w:p>
        </w:tc>
      </w:tr>
      <w:tr w:rsidR="000D3DC1" w:rsidRPr="00A54361" w14:paraId="275D6E8C" w14:textId="77777777" w:rsidTr="007A0FA8">
        <w:tc>
          <w:tcPr>
            <w:tcW w:w="704" w:type="dxa"/>
          </w:tcPr>
          <w:p w14:paraId="6924B33A" w14:textId="77777777" w:rsidR="007A0FA8" w:rsidRPr="00A54361" w:rsidRDefault="007A0FA8" w:rsidP="00A54361">
            <w:pPr>
              <w:pStyle w:val="ListParagraph"/>
              <w:numPr>
                <w:ilvl w:val="0"/>
                <w:numId w:val="26"/>
              </w:numPr>
              <w:jc w:val="both"/>
              <w:rPr>
                <w:rFonts w:cstheme="minorHAnsi"/>
              </w:rPr>
            </w:pPr>
          </w:p>
        </w:tc>
        <w:tc>
          <w:tcPr>
            <w:tcW w:w="4536" w:type="dxa"/>
          </w:tcPr>
          <w:p w14:paraId="3FFCA757" w14:textId="185D9219" w:rsidR="007A0FA8" w:rsidRPr="00A54361" w:rsidRDefault="007A0FA8" w:rsidP="00A54361">
            <w:pPr>
              <w:jc w:val="both"/>
              <w:rPr>
                <w:rFonts w:cstheme="minorHAnsi"/>
              </w:rPr>
            </w:pPr>
            <w:r w:rsidRPr="00A54361">
              <w:rPr>
                <w:rFonts w:cstheme="minorHAnsi"/>
              </w:rPr>
              <w:t>Bank Details</w:t>
            </w:r>
          </w:p>
        </w:tc>
        <w:tc>
          <w:tcPr>
            <w:tcW w:w="3776" w:type="dxa"/>
          </w:tcPr>
          <w:p w14:paraId="5AAC8454" w14:textId="77777777" w:rsidR="007A0FA8" w:rsidRPr="00A54361" w:rsidRDefault="007A0FA8" w:rsidP="00A54361">
            <w:pPr>
              <w:jc w:val="both"/>
              <w:rPr>
                <w:rFonts w:cstheme="minorHAnsi"/>
              </w:rPr>
            </w:pPr>
          </w:p>
        </w:tc>
      </w:tr>
      <w:tr w:rsidR="000D3DC1" w:rsidRPr="00A54361" w14:paraId="1D46442D" w14:textId="77777777" w:rsidTr="007A0FA8">
        <w:tc>
          <w:tcPr>
            <w:tcW w:w="704" w:type="dxa"/>
          </w:tcPr>
          <w:p w14:paraId="4666B724" w14:textId="77777777" w:rsidR="007A0FA8" w:rsidRPr="00A54361" w:rsidRDefault="007A0FA8" w:rsidP="00A54361">
            <w:pPr>
              <w:pStyle w:val="ListParagraph"/>
              <w:numPr>
                <w:ilvl w:val="0"/>
                <w:numId w:val="26"/>
              </w:numPr>
              <w:jc w:val="both"/>
              <w:rPr>
                <w:rFonts w:cstheme="minorHAnsi"/>
              </w:rPr>
            </w:pPr>
          </w:p>
        </w:tc>
        <w:tc>
          <w:tcPr>
            <w:tcW w:w="4536" w:type="dxa"/>
          </w:tcPr>
          <w:p w14:paraId="6D8CC873" w14:textId="49F9400F" w:rsidR="007A0FA8" w:rsidRPr="00A54361" w:rsidRDefault="007A0FA8" w:rsidP="00A54361">
            <w:pPr>
              <w:jc w:val="both"/>
              <w:rPr>
                <w:rFonts w:cstheme="minorHAnsi"/>
              </w:rPr>
            </w:pPr>
            <w:r w:rsidRPr="00A54361">
              <w:rPr>
                <w:rFonts w:cstheme="minorHAnsi"/>
              </w:rPr>
              <w:t>PAN Number</w:t>
            </w:r>
          </w:p>
        </w:tc>
        <w:tc>
          <w:tcPr>
            <w:tcW w:w="3776" w:type="dxa"/>
          </w:tcPr>
          <w:p w14:paraId="4CF2E4F4" w14:textId="77777777" w:rsidR="007A0FA8" w:rsidRPr="00A54361" w:rsidRDefault="007A0FA8" w:rsidP="00A54361">
            <w:pPr>
              <w:jc w:val="both"/>
              <w:rPr>
                <w:rFonts w:cstheme="minorHAnsi"/>
              </w:rPr>
            </w:pPr>
          </w:p>
        </w:tc>
      </w:tr>
      <w:tr w:rsidR="000D3DC1" w:rsidRPr="00A54361" w14:paraId="5670BE29" w14:textId="77777777" w:rsidTr="007A0FA8">
        <w:tc>
          <w:tcPr>
            <w:tcW w:w="704" w:type="dxa"/>
          </w:tcPr>
          <w:p w14:paraId="2BB23C87" w14:textId="77777777" w:rsidR="007A0FA8" w:rsidRPr="00A54361" w:rsidRDefault="007A0FA8" w:rsidP="00A54361">
            <w:pPr>
              <w:pStyle w:val="ListParagraph"/>
              <w:numPr>
                <w:ilvl w:val="0"/>
                <w:numId w:val="26"/>
              </w:numPr>
              <w:jc w:val="both"/>
              <w:rPr>
                <w:rFonts w:cstheme="minorHAnsi"/>
              </w:rPr>
            </w:pPr>
          </w:p>
        </w:tc>
        <w:tc>
          <w:tcPr>
            <w:tcW w:w="4536" w:type="dxa"/>
          </w:tcPr>
          <w:p w14:paraId="28E652BB" w14:textId="77777777" w:rsidR="007A0FA8" w:rsidRPr="00A54361" w:rsidRDefault="007A0FA8" w:rsidP="00A54361">
            <w:pPr>
              <w:jc w:val="both"/>
              <w:rPr>
                <w:rFonts w:cstheme="minorHAnsi"/>
              </w:rPr>
            </w:pPr>
            <w:r w:rsidRPr="00A54361">
              <w:rPr>
                <w:rFonts w:cstheme="minorHAnsi"/>
              </w:rPr>
              <w:t xml:space="preserve">Name of Authorised Person </w:t>
            </w:r>
          </w:p>
          <w:p w14:paraId="5E3BF116" w14:textId="77777777" w:rsidR="007A0FA8" w:rsidRPr="00A54361" w:rsidRDefault="007A0FA8" w:rsidP="00A54361">
            <w:pPr>
              <w:jc w:val="both"/>
              <w:rPr>
                <w:rFonts w:cstheme="minorHAnsi"/>
              </w:rPr>
            </w:pPr>
            <w:r w:rsidRPr="00A54361">
              <w:rPr>
                <w:rFonts w:cstheme="minorHAnsi"/>
              </w:rPr>
              <w:t xml:space="preserve">Mobile No: </w:t>
            </w:r>
          </w:p>
          <w:p w14:paraId="6FC8DA23" w14:textId="2700A162" w:rsidR="007A0FA8" w:rsidRPr="00A54361" w:rsidRDefault="007A0FA8" w:rsidP="00A54361">
            <w:pPr>
              <w:jc w:val="both"/>
              <w:rPr>
                <w:rFonts w:cstheme="minorHAnsi"/>
              </w:rPr>
            </w:pPr>
            <w:r w:rsidRPr="00A54361">
              <w:rPr>
                <w:rFonts w:cstheme="minorHAnsi"/>
              </w:rPr>
              <w:t>Landline No:</w:t>
            </w:r>
          </w:p>
        </w:tc>
        <w:tc>
          <w:tcPr>
            <w:tcW w:w="3776" w:type="dxa"/>
          </w:tcPr>
          <w:p w14:paraId="07655B6B" w14:textId="77777777" w:rsidR="007A0FA8" w:rsidRPr="00A54361" w:rsidRDefault="007A0FA8" w:rsidP="00A54361">
            <w:pPr>
              <w:jc w:val="both"/>
              <w:rPr>
                <w:rFonts w:cstheme="minorHAnsi"/>
              </w:rPr>
            </w:pPr>
          </w:p>
        </w:tc>
      </w:tr>
      <w:tr w:rsidR="000D3DC1" w:rsidRPr="00A54361" w14:paraId="75471069" w14:textId="77777777" w:rsidTr="007A0FA8">
        <w:tc>
          <w:tcPr>
            <w:tcW w:w="704" w:type="dxa"/>
          </w:tcPr>
          <w:p w14:paraId="3E3BFDC4" w14:textId="77777777" w:rsidR="007A0FA8" w:rsidRPr="00A54361" w:rsidRDefault="007A0FA8" w:rsidP="00A54361">
            <w:pPr>
              <w:pStyle w:val="ListParagraph"/>
              <w:numPr>
                <w:ilvl w:val="0"/>
                <w:numId w:val="26"/>
              </w:numPr>
              <w:jc w:val="both"/>
              <w:rPr>
                <w:rFonts w:cstheme="minorHAnsi"/>
              </w:rPr>
            </w:pPr>
          </w:p>
        </w:tc>
        <w:tc>
          <w:tcPr>
            <w:tcW w:w="4536" w:type="dxa"/>
          </w:tcPr>
          <w:p w14:paraId="0FECC945" w14:textId="77777777" w:rsidR="007A0FA8" w:rsidRPr="00A54361" w:rsidRDefault="007A0FA8" w:rsidP="00A54361">
            <w:pPr>
              <w:jc w:val="both"/>
              <w:rPr>
                <w:rFonts w:cstheme="minorHAnsi"/>
              </w:rPr>
            </w:pPr>
            <w:r w:rsidRPr="00A54361">
              <w:rPr>
                <w:rFonts w:cstheme="minorHAnsi"/>
              </w:rPr>
              <w:t xml:space="preserve">i. Email ID </w:t>
            </w:r>
          </w:p>
          <w:p w14:paraId="1E831E00" w14:textId="09940E14" w:rsidR="007A0FA8" w:rsidRPr="00A54361" w:rsidRDefault="007A0FA8" w:rsidP="00A54361">
            <w:pPr>
              <w:jc w:val="both"/>
              <w:rPr>
                <w:rFonts w:cstheme="minorHAnsi"/>
              </w:rPr>
            </w:pPr>
            <w:r w:rsidRPr="00A54361">
              <w:rPr>
                <w:rFonts w:cstheme="minorHAnsi"/>
              </w:rPr>
              <w:t>ii. Alternative Email ID</w:t>
            </w:r>
          </w:p>
        </w:tc>
        <w:tc>
          <w:tcPr>
            <w:tcW w:w="3776" w:type="dxa"/>
          </w:tcPr>
          <w:p w14:paraId="272298A7" w14:textId="77777777" w:rsidR="007A0FA8" w:rsidRPr="00A54361" w:rsidRDefault="007A0FA8" w:rsidP="00A54361">
            <w:pPr>
              <w:jc w:val="both"/>
              <w:rPr>
                <w:rFonts w:cstheme="minorHAnsi"/>
              </w:rPr>
            </w:pPr>
          </w:p>
        </w:tc>
      </w:tr>
      <w:tr w:rsidR="000D3DC1" w:rsidRPr="00A54361" w14:paraId="14BD0175" w14:textId="77777777" w:rsidTr="007A0FA8">
        <w:tc>
          <w:tcPr>
            <w:tcW w:w="704" w:type="dxa"/>
          </w:tcPr>
          <w:p w14:paraId="5A8E8766" w14:textId="77777777" w:rsidR="007A0FA8" w:rsidRPr="00A54361" w:rsidRDefault="007A0FA8" w:rsidP="00A54361">
            <w:pPr>
              <w:pStyle w:val="ListParagraph"/>
              <w:numPr>
                <w:ilvl w:val="0"/>
                <w:numId w:val="26"/>
              </w:numPr>
              <w:jc w:val="both"/>
              <w:rPr>
                <w:rFonts w:cstheme="minorHAnsi"/>
              </w:rPr>
            </w:pPr>
          </w:p>
        </w:tc>
        <w:tc>
          <w:tcPr>
            <w:tcW w:w="4536" w:type="dxa"/>
          </w:tcPr>
          <w:p w14:paraId="28ED2940" w14:textId="59351A88" w:rsidR="007A0FA8" w:rsidRPr="00A54361" w:rsidRDefault="007A0FA8" w:rsidP="00A54361">
            <w:pPr>
              <w:jc w:val="both"/>
              <w:rPr>
                <w:rFonts w:cstheme="minorHAnsi"/>
              </w:rPr>
            </w:pPr>
            <w:r w:rsidRPr="00A54361">
              <w:rPr>
                <w:rFonts w:cstheme="minorHAnsi"/>
              </w:rPr>
              <w:t>Details of Document cost / Tender fee</w:t>
            </w:r>
          </w:p>
        </w:tc>
        <w:tc>
          <w:tcPr>
            <w:tcW w:w="3776" w:type="dxa"/>
          </w:tcPr>
          <w:p w14:paraId="2D5443E2" w14:textId="5D4BCDBA" w:rsidR="007A0FA8" w:rsidRPr="00A54361" w:rsidRDefault="007A0FA8" w:rsidP="00A54361">
            <w:pPr>
              <w:jc w:val="both"/>
              <w:rPr>
                <w:rFonts w:cstheme="minorHAnsi"/>
              </w:rPr>
            </w:pPr>
            <w:r w:rsidRPr="00A54361">
              <w:rPr>
                <w:rFonts w:cstheme="minorHAnsi"/>
              </w:rPr>
              <w:t>UTR/Reference No. date &amp; Amount</w:t>
            </w:r>
          </w:p>
        </w:tc>
      </w:tr>
      <w:tr w:rsidR="000D3DC1" w:rsidRPr="00A54361" w14:paraId="2F893005" w14:textId="77777777" w:rsidTr="007A0FA8">
        <w:tc>
          <w:tcPr>
            <w:tcW w:w="704" w:type="dxa"/>
          </w:tcPr>
          <w:p w14:paraId="65390A08" w14:textId="77777777" w:rsidR="007A0FA8" w:rsidRPr="00A54361" w:rsidRDefault="007A0FA8" w:rsidP="00A54361">
            <w:pPr>
              <w:pStyle w:val="ListParagraph"/>
              <w:numPr>
                <w:ilvl w:val="0"/>
                <w:numId w:val="26"/>
              </w:numPr>
              <w:jc w:val="both"/>
              <w:rPr>
                <w:rFonts w:cstheme="minorHAnsi"/>
              </w:rPr>
            </w:pPr>
          </w:p>
        </w:tc>
        <w:tc>
          <w:tcPr>
            <w:tcW w:w="4536" w:type="dxa"/>
          </w:tcPr>
          <w:p w14:paraId="5842BAF5" w14:textId="4459F09C" w:rsidR="007A0FA8" w:rsidRPr="00A54361" w:rsidRDefault="007A0FA8" w:rsidP="00A54361">
            <w:pPr>
              <w:jc w:val="both"/>
              <w:rPr>
                <w:rFonts w:cstheme="minorHAnsi"/>
              </w:rPr>
            </w:pPr>
            <w:r w:rsidRPr="00A54361">
              <w:rPr>
                <w:rFonts w:cstheme="minorHAnsi"/>
              </w:rPr>
              <w:t>Details of EMD</w:t>
            </w:r>
          </w:p>
        </w:tc>
        <w:tc>
          <w:tcPr>
            <w:tcW w:w="3776" w:type="dxa"/>
          </w:tcPr>
          <w:p w14:paraId="130B31FB" w14:textId="7F9736A7" w:rsidR="007A0FA8" w:rsidRPr="00A54361" w:rsidRDefault="007A0FA8" w:rsidP="00A54361">
            <w:pPr>
              <w:jc w:val="both"/>
              <w:rPr>
                <w:rFonts w:cstheme="minorHAnsi"/>
              </w:rPr>
            </w:pPr>
            <w:r w:rsidRPr="00A54361">
              <w:rPr>
                <w:rFonts w:cstheme="minorHAnsi"/>
              </w:rPr>
              <w:t>BG/UTR/Reference No. date &amp; Amount</w:t>
            </w:r>
          </w:p>
        </w:tc>
      </w:tr>
      <w:tr w:rsidR="000D3DC1" w:rsidRPr="00A54361" w14:paraId="4BD74194" w14:textId="77777777" w:rsidTr="007A0FA8">
        <w:tc>
          <w:tcPr>
            <w:tcW w:w="704" w:type="dxa"/>
          </w:tcPr>
          <w:p w14:paraId="53C2A213" w14:textId="77777777" w:rsidR="007A0FA8" w:rsidRPr="00A54361" w:rsidRDefault="007A0FA8" w:rsidP="00A54361">
            <w:pPr>
              <w:pStyle w:val="ListParagraph"/>
              <w:numPr>
                <w:ilvl w:val="0"/>
                <w:numId w:val="26"/>
              </w:numPr>
              <w:jc w:val="both"/>
              <w:rPr>
                <w:rFonts w:cstheme="minorHAnsi"/>
              </w:rPr>
            </w:pPr>
          </w:p>
        </w:tc>
        <w:tc>
          <w:tcPr>
            <w:tcW w:w="4536" w:type="dxa"/>
          </w:tcPr>
          <w:p w14:paraId="6CD08E8A" w14:textId="71D6034E" w:rsidR="007A0FA8" w:rsidRPr="00A54361" w:rsidRDefault="007A0FA8" w:rsidP="00A54361">
            <w:pPr>
              <w:jc w:val="both"/>
              <w:rPr>
                <w:rFonts w:cstheme="minorHAnsi"/>
              </w:rPr>
            </w:pPr>
            <w:r w:rsidRPr="00A54361">
              <w:rPr>
                <w:rFonts w:cstheme="minorHAnsi"/>
              </w:rPr>
              <w:t>Exemption Certificate de</w:t>
            </w:r>
            <w:r w:rsidR="00C215BA" w:rsidRPr="00A54361">
              <w:rPr>
                <w:rFonts w:cstheme="minorHAnsi"/>
              </w:rPr>
              <w:t>tails (if applicable). Eg: MSE</w:t>
            </w:r>
            <w:r w:rsidRPr="00A54361">
              <w:rPr>
                <w:rFonts w:cstheme="minorHAnsi"/>
              </w:rPr>
              <w:t xml:space="preserve"> etc.</w:t>
            </w:r>
          </w:p>
        </w:tc>
        <w:tc>
          <w:tcPr>
            <w:tcW w:w="3776" w:type="dxa"/>
          </w:tcPr>
          <w:p w14:paraId="17F92398" w14:textId="0DA7FED4" w:rsidR="007A0FA8" w:rsidRPr="00A54361" w:rsidRDefault="007A0FA8" w:rsidP="00A54361">
            <w:pPr>
              <w:jc w:val="both"/>
              <w:rPr>
                <w:rFonts w:cstheme="minorHAnsi"/>
              </w:rPr>
            </w:pPr>
            <w:r w:rsidRPr="00A54361">
              <w:rPr>
                <w:rFonts w:cstheme="minorHAnsi"/>
              </w:rPr>
              <w:t>Please upload copy of the same along with details</w:t>
            </w:r>
          </w:p>
        </w:tc>
      </w:tr>
    </w:tbl>
    <w:p w14:paraId="5A6285F9" w14:textId="33DAE633" w:rsidR="007A0FA8" w:rsidRPr="00A54361" w:rsidRDefault="007A0FA8" w:rsidP="00A54361">
      <w:pPr>
        <w:spacing w:before="120" w:after="120"/>
        <w:jc w:val="both"/>
        <w:rPr>
          <w:rFonts w:cstheme="minorHAnsi"/>
        </w:rPr>
      </w:pPr>
    </w:p>
    <w:p w14:paraId="6826ECBE" w14:textId="77777777" w:rsidR="0066153D" w:rsidRPr="00A54361" w:rsidRDefault="0066153D" w:rsidP="00A54361">
      <w:pPr>
        <w:spacing w:before="120" w:after="120"/>
        <w:jc w:val="both"/>
        <w:rPr>
          <w:rFonts w:cstheme="minorHAnsi"/>
        </w:rPr>
      </w:pPr>
    </w:p>
    <w:p w14:paraId="38551E4C" w14:textId="77777777" w:rsidR="0066153D" w:rsidRPr="00A54361" w:rsidRDefault="0066153D" w:rsidP="00A54361">
      <w:pPr>
        <w:spacing w:before="120" w:after="120"/>
        <w:jc w:val="both"/>
        <w:rPr>
          <w:rFonts w:cstheme="minorHAnsi"/>
        </w:rPr>
      </w:pPr>
      <w:r w:rsidRPr="00A54361">
        <w:rPr>
          <w:rFonts w:cstheme="minorHAnsi"/>
        </w:rPr>
        <w:t>Signature</w:t>
      </w:r>
    </w:p>
    <w:p w14:paraId="34782B51" w14:textId="77777777" w:rsidR="0066153D" w:rsidRPr="00A54361" w:rsidRDefault="0066153D" w:rsidP="00A54361">
      <w:pPr>
        <w:spacing w:after="0"/>
        <w:jc w:val="both"/>
        <w:rPr>
          <w:rFonts w:cstheme="minorHAnsi"/>
        </w:rPr>
      </w:pPr>
      <w:r w:rsidRPr="00A54361">
        <w:rPr>
          <w:rFonts w:cstheme="minorHAnsi"/>
        </w:rPr>
        <w:t>Name:</w:t>
      </w:r>
    </w:p>
    <w:p w14:paraId="012296E0" w14:textId="77777777" w:rsidR="0066153D" w:rsidRPr="00A54361" w:rsidRDefault="0066153D" w:rsidP="00A54361">
      <w:pPr>
        <w:spacing w:after="0"/>
        <w:jc w:val="both"/>
        <w:rPr>
          <w:rFonts w:cstheme="minorHAnsi"/>
        </w:rPr>
      </w:pPr>
      <w:r w:rsidRPr="00A54361">
        <w:rPr>
          <w:rFonts w:cstheme="minorHAnsi"/>
        </w:rPr>
        <w:t>Designation:</w:t>
      </w:r>
    </w:p>
    <w:p w14:paraId="2702B7B0" w14:textId="77777777" w:rsidR="0066153D" w:rsidRPr="00A54361" w:rsidRDefault="0066153D" w:rsidP="00A54361">
      <w:pPr>
        <w:spacing w:after="0"/>
        <w:jc w:val="both"/>
        <w:rPr>
          <w:rFonts w:cstheme="minorHAnsi"/>
        </w:rPr>
      </w:pPr>
      <w:r w:rsidRPr="00A54361">
        <w:rPr>
          <w:rFonts w:cstheme="minorHAnsi"/>
        </w:rPr>
        <w:t>Seal of Company</w:t>
      </w:r>
    </w:p>
    <w:p w14:paraId="2E4DAA24" w14:textId="77777777" w:rsidR="0066153D" w:rsidRPr="00A54361" w:rsidRDefault="0066153D" w:rsidP="00A54361">
      <w:pPr>
        <w:spacing w:before="120" w:after="120"/>
        <w:jc w:val="both"/>
        <w:rPr>
          <w:rFonts w:cstheme="minorHAnsi"/>
        </w:rPr>
      </w:pPr>
      <w:r w:rsidRPr="00A54361">
        <w:rPr>
          <w:rFonts w:cstheme="minorHAnsi"/>
        </w:rPr>
        <w:t>Date:</w:t>
      </w:r>
    </w:p>
    <w:p w14:paraId="6FBE0732" w14:textId="77777777" w:rsidR="0066153D" w:rsidRPr="00A54361" w:rsidRDefault="0066153D" w:rsidP="00A54361">
      <w:pPr>
        <w:spacing w:before="120" w:after="120"/>
        <w:jc w:val="both"/>
        <w:rPr>
          <w:rFonts w:cstheme="minorHAnsi"/>
        </w:rPr>
      </w:pPr>
    </w:p>
    <w:p w14:paraId="70966F9A" w14:textId="77777777" w:rsidR="00D23770" w:rsidRPr="00A54361" w:rsidRDefault="00D23770" w:rsidP="00A54361">
      <w:pPr>
        <w:spacing w:before="120" w:after="120"/>
        <w:jc w:val="both"/>
        <w:rPr>
          <w:rFonts w:cstheme="minorHAnsi"/>
        </w:rPr>
      </w:pPr>
    </w:p>
    <w:p w14:paraId="5526BFC7" w14:textId="77777777" w:rsidR="00EE5030" w:rsidRPr="00A54361" w:rsidRDefault="00EE5030" w:rsidP="00A54361">
      <w:pPr>
        <w:spacing w:before="120" w:after="120"/>
        <w:jc w:val="both"/>
        <w:rPr>
          <w:rFonts w:cstheme="minorHAnsi"/>
        </w:rPr>
      </w:pPr>
    </w:p>
    <w:p w14:paraId="4A9807DD" w14:textId="77777777" w:rsidR="00EE5030" w:rsidRPr="00A54361" w:rsidRDefault="00EE5030" w:rsidP="00A54361">
      <w:pPr>
        <w:spacing w:before="120" w:after="120"/>
        <w:jc w:val="both"/>
        <w:rPr>
          <w:rFonts w:cstheme="minorHAnsi"/>
        </w:rPr>
      </w:pPr>
    </w:p>
    <w:p w14:paraId="45728991" w14:textId="77777777" w:rsidR="00EE5030" w:rsidRPr="00A54361" w:rsidRDefault="00EE5030" w:rsidP="00A54361">
      <w:pPr>
        <w:spacing w:before="120" w:after="120"/>
        <w:jc w:val="both"/>
        <w:rPr>
          <w:rFonts w:cstheme="minorHAnsi"/>
        </w:rPr>
      </w:pPr>
    </w:p>
    <w:p w14:paraId="5614692C" w14:textId="77777777" w:rsidR="00EE5030" w:rsidRPr="00A54361" w:rsidRDefault="00EE5030" w:rsidP="00A54361">
      <w:pPr>
        <w:spacing w:before="120" w:after="120"/>
        <w:jc w:val="both"/>
        <w:rPr>
          <w:rFonts w:cstheme="minorHAnsi"/>
        </w:rPr>
      </w:pPr>
    </w:p>
    <w:p w14:paraId="6813B398" w14:textId="77777777" w:rsidR="00EE5030" w:rsidRPr="00A54361" w:rsidRDefault="00EE5030" w:rsidP="00A54361">
      <w:pPr>
        <w:spacing w:before="120" w:after="120"/>
        <w:jc w:val="both"/>
        <w:rPr>
          <w:rFonts w:cstheme="minorHAnsi"/>
        </w:rPr>
      </w:pPr>
    </w:p>
    <w:p w14:paraId="56DDBCA9" w14:textId="77777777" w:rsidR="00EE5030" w:rsidRPr="00A54361" w:rsidRDefault="00EE5030" w:rsidP="00A54361">
      <w:pPr>
        <w:spacing w:before="120" w:after="120"/>
        <w:jc w:val="both"/>
        <w:rPr>
          <w:rFonts w:cstheme="minorHAnsi"/>
        </w:rPr>
      </w:pPr>
    </w:p>
    <w:p w14:paraId="139B958F" w14:textId="77777777" w:rsidR="00EE5030" w:rsidRPr="00A54361" w:rsidRDefault="00EE5030" w:rsidP="00A54361">
      <w:pPr>
        <w:spacing w:before="120" w:after="120"/>
        <w:jc w:val="both"/>
        <w:rPr>
          <w:rFonts w:cstheme="minorHAnsi"/>
        </w:rPr>
      </w:pPr>
    </w:p>
    <w:p w14:paraId="52C55395" w14:textId="77777777" w:rsidR="00EE5030" w:rsidRPr="00A54361" w:rsidRDefault="00EE5030" w:rsidP="00A54361">
      <w:pPr>
        <w:spacing w:before="120" w:after="120"/>
        <w:jc w:val="both"/>
        <w:rPr>
          <w:rFonts w:cstheme="minorHAnsi"/>
        </w:rPr>
      </w:pPr>
    </w:p>
    <w:p w14:paraId="03A4200A" w14:textId="61AB4277" w:rsidR="00EE5030" w:rsidRPr="00A54361" w:rsidRDefault="00EE5030" w:rsidP="00A54361">
      <w:pPr>
        <w:pStyle w:val="Heading1"/>
        <w:numPr>
          <w:ilvl w:val="0"/>
          <w:numId w:val="48"/>
        </w:numPr>
        <w:jc w:val="both"/>
        <w:rPr>
          <w:rFonts w:asciiTheme="minorHAnsi" w:hAnsiTheme="minorHAnsi" w:cstheme="minorHAnsi"/>
          <w:color w:val="auto"/>
        </w:rPr>
      </w:pPr>
      <w:bookmarkStart w:id="285" w:name="_Toc129668544"/>
      <w:bookmarkStart w:id="286" w:name="_Toc182233420"/>
      <w:r w:rsidRPr="00A54361">
        <w:rPr>
          <w:rFonts w:asciiTheme="minorHAnsi" w:hAnsiTheme="minorHAnsi" w:cstheme="minorHAnsi"/>
          <w:color w:val="auto"/>
        </w:rPr>
        <w:t>Annex</w:t>
      </w:r>
      <w:r w:rsidR="00B75AFC" w:rsidRPr="00A54361">
        <w:rPr>
          <w:rFonts w:asciiTheme="minorHAnsi" w:hAnsiTheme="minorHAnsi" w:cstheme="minorHAnsi"/>
          <w:color w:val="auto"/>
        </w:rPr>
        <w:t>ure 1</w:t>
      </w:r>
      <w:r w:rsidR="00463CED">
        <w:rPr>
          <w:rFonts w:asciiTheme="minorHAnsi" w:hAnsiTheme="minorHAnsi" w:cstheme="minorHAnsi"/>
          <w:color w:val="auto"/>
        </w:rPr>
        <w:t>4</w:t>
      </w:r>
      <w:r w:rsidRPr="00A54361">
        <w:rPr>
          <w:rFonts w:asciiTheme="minorHAnsi" w:hAnsiTheme="minorHAnsi" w:cstheme="minorHAnsi"/>
          <w:color w:val="auto"/>
        </w:rPr>
        <w:t>: NPA U</w:t>
      </w:r>
      <w:bookmarkEnd w:id="285"/>
      <w:r w:rsidR="006934CC" w:rsidRPr="00A54361">
        <w:rPr>
          <w:rFonts w:asciiTheme="minorHAnsi" w:hAnsiTheme="minorHAnsi" w:cstheme="minorHAnsi"/>
          <w:color w:val="auto"/>
        </w:rPr>
        <w:t>ndertaking</w:t>
      </w:r>
      <w:bookmarkEnd w:id="286"/>
    </w:p>
    <w:p w14:paraId="4A6DC339" w14:textId="533DDEA5" w:rsidR="00EE5030" w:rsidRPr="00A54361" w:rsidRDefault="00EE5030" w:rsidP="00A54361">
      <w:pPr>
        <w:spacing w:after="120"/>
        <w:jc w:val="both"/>
        <w:rPr>
          <w:rFonts w:cstheme="minorHAnsi"/>
        </w:rPr>
      </w:pPr>
      <w:r w:rsidRPr="00A54361">
        <w:rPr>
          <w:rFonts w:cstheme="minorHAnsi"/>
        </w:rPr>
        <w:t>Pro</w:t>
      </w:r>
      <w:r w:rsidR="00213198" w:rsidRPr="00A54361">
        <w:rPr>
          <w:rFonts w:cstheme="minorHAnsi"/>
        </w:rPr>
        <w:t xml:space="preserve"> </w:t>
      </w:r>
      <w:r w:rsidRPr="00A54361">
        <w:rPr>
          <w:rFonts w:cstheme="minorHAnsi"/>
        </w:rPr>
        <w:t xml:space="preserve">forma of letter to be given by all the </w:t>
      </w:r>
      <w:r w:rsidR="004742D6" w:rsidRPr="00A54361">
        <w:rPr>
          <w:rFonts w:cstheme="minorHAnsi"/>
        </w:rPr>
        <w:t>bidders</w:t>
      </w:r>
      <w:r w:rsidRPr="00A54361">
        <w:rPr>
          <w:rFonts w:cstheme="minorHAnsi"/>
        </w:rPr>
        <w:t xml:space="preserve"> participating</w:t>
      </w:r>
      <w:r w:rsidR="00C239EB" w:rsidRPr="00A54361">
        <w:rPr>
          <w:rFonts w:cstheme="minorHAnsi"/>
        </w:rPr>
        <w:t xml:space="preserve"> in RFP for</w:t>
      </w:r>
      <w:r w:rsidRPr="00A54361">
        <w:rPr>
          <w:rFonts w:cstheme="minorHAnsi"/>
        </w:rPr>
        <w:t xml:space="preserve"> </w:t>
      </w:r>
      <w:r w:rsidR="00C239EB" w:rsidRPr="00A54361">
        <w:rPr>
          <w:rFonts w:cstheme="minorHAnsi"/>
        </w:rPr>
        <w:t xml:space="preserve">Supply, Installation and Maintenance of </w:t>
      </w:r>
      <w:r w:rsidR="009E6197" w:rsidRPr="00A54361">
        <w:rPr>
          <w:rFonts w:cstheme="minorHAnsi"/>
        </w:rPr>
        <w:t>Cybersecurity Solutions</w:t>
      </w:r>
      <w:r w:rsidR="00296D4B" w:rsidRPr="00A54361">
        <w:rPr>
          <w:rFonts w:cstheme="minorHAnsi"/>
        </w:rPr>
        <w:t xml:space="preserve"> and associated hardware</w:t>
      </w:r>
      <w:r w:rsidR="009E6197" w:rsidRPr="00A54361">
        <w:rPr>
          <w:rFonts w:cstheme="minorHAnsi"/>
        </w:rPr>
        <w:t xml:space="preserve"> </w:t>
      </w:r>
      <w:r w:rsidR="00C239EB" w:rsidRPr="00A54361">
        <w:rPr>
          <w:rFonts w:cstheme="minorHAnsi"/>
        </w:rPr>
        <w:t xml:space="preserve">at </w:t>
      </w:r>
      <w:r w:rsidR="009417AB" w:rsidRPr="00A54361">
        <w:rPr>
          <w:rFonts w:cstheme="minorHAnsi"/>
        </w:rPr>
        <w:t xml:space="preserve">the Bank </w:t>
      </w:r>
      <w:r w:rsidRPr="00A54361">
        <w:rPr>
          <w:rFonts w:cstheme="minorHAnsi"/>
        </w:rPr>
        <w:t>on their official letter-head</w:t>
      </w:r>
    </w:p>
    <w:p w14:paraId="167F490A" w14:textId="52CD88F1" w:rsidR="00EE5030" w:rsidRPr="00A54361" w:rsidRDefault="00EE5030" w:rsidP="00A54361">
      <w:pPr>
        <w:jc w:val="both"/>
        <w:rPr>
          <w:rFonts w:cstheme="minorHAnsi"/>
        </w:rPr>
      </w:pPr>
      <w:r w:rsidRPr="00A54361">
        <w:rPr>
          <w:rFonts w:cstheme="minorHAnsi"/>
        </w:rPr>
        <w:t xml:space="preserve">Date: </w:t>
      </w:r>
    </w:p>
    <w:p w14:paraId="2C21D03D" w14:textId="77777777" w:rsidR="00EE5030" w:rsidRPr="00A54361" w:rsidRDefault="00EE5030" w:rsidP="00A54361">
      <w:pPr>
        <w:tabs>
          <w:tab w:val="left" w:pos="2250"/>
        </w:tabs>
        <w:spacing w:after="0"/>
        <w:jc w:val="both"/>
        <w:rPr>
          <w:rFonts w:cstheme="minorHAnsi"/>
        </w:rPr>
      </w:pPr>
      <w:r w:rsidRPr="00A54361">
        <w:rPr>
          <w:rFonts w:cstheme="minorHAnsi"/>
        </w:rPr>
        <w:t>To,</w:t>
      </w:r>
      <w:r w:rsidRPr="00A54361">
        <w:rPr>
          <w:rFonts w:cstheme="minorHAnsi"/>
        </w:rPr>
        <w:tab/>
      </w:r>
    </w:p>
    <w:p w14:paraId="283E7234" w14:textId="59CD2B09" w:rsidR="00EE5030" w:rsidRPr="00A54361" w:rsidRDefault="00EE5030" w:rsidP="00A54361">
      <w:pPr>
        <w:spacing w:after="0"/>
        <w:jc w:val="both"/>
        <w:rPr>
          <w:rFonts w:cstheme="minorHAnsi"/>
        </w:rPr>
      </w:pPr>
      <w:r w:rsidRPr="00A54361">
        <w:rPr>
          <w:rFonts w:cstheme="minorHAnsi"/>
        </w:rPr>
        <w:t>General Manager</w:t>
      </w:r>
      <w:r w:rsidR="00C439F0" w:rsidRPr="00A54361">
        <w:rPr>
          <w:rFonts w:cstheme="minorHAnsi"/>
        </w:rPr>
        <w:t>-IT</w:t>
      </w:r>
      <w:r w:rsidRPr="00A54361">
        <w:rPr>
          <w:rFonts w:cstheme="minorHAnsi"/>
        </w:rPr>
        <w:t xml:space="preserve">, </w:t>
      </w:r>
    </w:p>
    <w:p w14:paraId="7EAFF7A6" w14:textId="77777777" w:rsidR="00EE5030" w:rsidRPr="00A54361" w:rsidRDefault="00EE5030" w:rsidP="00A54361">
      <w:pPr>
        <w:spacing w:after="0"/>
        <w:jc w:val="both"/>
        <w:rPr>
          <w:rFonts w:cstheme="minorHAnsi"/>
        </w:rPr>
      </w:pPr>
      <w:r w:rsidRPr="00A54361">
        <w:rPr>
          <w:rFonts w:cstheme="minorHAnsi"/>
        </w:rPr>
        <w:t>Central Bank of India, Central Office,</w:t>
      </w:r>
    </w:p>
    <w:p w14:paraId="3FBC9570" w14:textId="77777777" w:rsidR="00EE5030" w:rsidRPr="00A54361" w:rsidRDefault="00EE5030" w:rsidP="00A54361">
      <w:pPr>
        <w:spacing w:after="0"/>
        <w:jc w:val="both"/>
        <w:rPr>
          <w:rFonts w:cstheme="minorHAnsi"/>
        </w:rPr>
      </w:pPr>
      <w:r w:rsidRPr="00A54361">
        <w:rPr>
          <w:rFonts w:cstheme="minorHAnsi"/>
        </w:rPr>
        <w:t>Sector 11, CBD Belapur,</w:t>
      </w:r>
    </w:p>
    <w:p w14:paraId="40BDC686" w14:textId="77777777" w:rsidR="00EE5030" w:rsidRPr="00A54361" w:rsidRDefault="00EE5030" w:rsidP="00A54361">
      <w:pPr>
        <w:spacing w:after="0"/>
        <w:jc w:val="both"/>
        <w:rPr>
          <w:rFonts w:cstheme="minorHAnsi"/>
        </w:rPr>
      </w:pPr>
      <w:r w:rsidRPr="00A54361">
        <w:rPr>
          <w:rFonts w:cstheme="minorHAnsi"/>
        </w:rPr>
        <w:t>Navi Mumbai - 400614</w:t>
      </w:r>
    </w:p>
    <w:p w14:paraId="4B75DE8B" w14:textId="77777777" w:rsidR="00EE5030" w:rsidRPr="00A54361" w:rsidRDefault="00EE5030" w:rsidP="00A54361">
      <w:pPr>
        <w:jc w:val="both"/>
        <w:rPr>
          <w:rFonts w:cstheme="minorHAnsi"/>
          <w:b/>
        </w:rPr>
      </w:pPr>
      <w:r w:rsidRPr="00A54361">
        <w:rPr>
          <w:rFonts w:cstheme="minorHAnsi"/>
          <w:b/>
        </w:rPr>
        <w:t>Sir,</w:t>
      </w:r>
    </w:p>
    <w:p w14:paraId="3EE03BB5" w14:textId="6E505501" w:rsidR="009417AB" w:rsidRPr="00A54361" w:rsidRDefault="00DC6309" w:rsidP="00A54361">
      <w:pPr>
        <w:spacing w:before="120" w:after="120"/>
        <w:jc w:val="both"/>
        <w:rPr>
          <w:rFonts w:cstheme="minorHAnsi"/>
        </w:rPr>
      </w:pPr>
      <w:r w:rsidRPr="00A54361">
        <w:rPr>
          <w:rFonts w:cstheme="minorHAnsi"/>
        </w:rPr>
        <w:t>Sub: RFP for</w:t>
      </w:r>
      <w:r w:rsidR="007C1309" w:rsidRPr="00A54361">
        <w:rPr>
          <w:rFonts w:cstheme="minorHAnsi"/>
        </w:rPr>
        <w:t xml:space="preserve"> Supply, Installation and Maintenance of Cybersecurity Solutions</w:t>
      </w:r>
      <w:r w:rsidR="00296D4B" w:rsidRPr="00A54361">
        <w:rPr>
          <w:rFonts w:cstheme="minorHAnsi"/>
        </w:rPr>
        <w:t xml:space="preserve"> and associated hardware</w:t>
      </w:r>
      <w:r w:rsidR="007C1309" w:rsidRPr="00A54361">
        <w:rPr>
          <w:rFonts w:cstheme="minorHAnsi"/>
        </w:rPr>
        <w:t xml:space="preserve"> at </w:t>
      </w:r>
      <w:r w:rsidR="009417AB" w:rsidRPr="00A54361">
        <w:rPr>
          <w:rFonts w:cstheme="minorHAnsi"/>
        </w:rPr>
        <w:t>the Bank</w:t>
      </w:r>
      <w:r w:rsidR="00BD0761" w:rsidRPr="00A54361">
        <w:rPr>
          <w:rFonts w:cstheme="minorHAnsi"/>
        </w:rPr>
        <w:t xml:space="preserve"> </w:t>
      </w:r>
    </w:p>
    <w:p w14:paraId="77D14C62" w14:textId="6E794F33" w:rsidR="00DC6309" w:rsidRPr="00A54361" w:rsidRDefault="00BD0761" w:rsidP="00A54361">
      <w:pPr>
        <w:spacing w:before="120" w:after="120"/>
        <w:jc w:val="both"/>
        <w:rPr>
          <w:rFonts w:cstheme="minorHAnsi"/>
        </w:rPr>
      </w:pPr>
      <w:r w:rsidRPr="00A54361">
        <w:rPr>
          <w:rFonts w:cstheme="minorHAnsi"/>
        </w:rPr>
        <w:t>Tender No. _____________________________</w:t>
      </w:r>
    </w:p>
    <w:p w14:paraId="71684B1B" w14:textId="77777777" w:rsidR="00DC6309" w:rsidRPr="00A54361" w:rsidRDefault="00DC6309" w:rsidP="00A54361">
      <w:pPr>
        <w:autoSpaceDE w:val="0"/>
        <w:autoSpaceDN w:val="0"/>
        <w:adjustRightInd w:val="0"/>
        <w:spacing w:after="120"/>
        <w:jc w:val="both"/>
        <w:rPr>
          <w:rFonts w:cstheme="minorHAnsi"/>
        </w:rPr>
      </w:pPr>
    </w:p>
    <w:p w14:paraId="255D913F" w14:textId="654A6096" w:rsidR="00EE5030" w:rsidRPr="00A54361" w:rsidRDefault="00EE5030" w:rsidP="00A54361">
      <w:pPr>
        <w:autoSpaceDE w:val="0"/>
        <w:autoSpaceDN w:val="0"/>
        <w:adjustRightInd w:val="0"/>
        <w:spacing w:after="120"/>
        <w:jc w:val="both"/>
        <w:rPr>
          <w:rFonts w:cstheme="minorHAnsi"/>
        </w:rPr>
      </w:pPr>
      <w:r w:rsidRPr="00A54361">
        <w:rPr>
          <w:rFonts w:cstheme="minorHAnsi"/>
        </w:rPr>
        <w:t>We ___________________________________(bidder name), hereby undertake that-</w:t>
      </w:r>
    </w:p>
    <w:p w14:paraId="1199D69C" w14:textId="77777777" w:rsidR="00EE5030" w:rsidRPr="00A54361" w:rsidRDefault="00EE5030" w:rsidP="00A54361">
      <w:pPr>
        <w:numPr>
          <w:ilvl w:val="0"/>
          <w:numId w:val="32"/>
        </w:numPr>
        <w:autoSpaceDE w:val="0"/>
        <w:autoSpaceDN w:val="0"/>
        <w:adjustRightInd w:val="0"/>
        <w:spacing w:after="120" w:line="240" w:lineRule="auto"/>
        <w:jc w:val="both"/>
        <w:rPr>
          <w:rFonts w:cstheme="minorHAnsi"/>
        </w:rPr>
      </w:pPr>
      <w:r w:rsidRPr="00A54361">
        <w:rPr>
          <w:rFonts w:cstheme="minorHAnsi"/>
        </w:rPr>
        <w:t>We have not have been declared NPA by any Bank in India.</w:t>
      </w:r>
    </w:p>
    <w:p w14:paraId="55CAE567" w14:textId="77777777" w:rsidR="00EE5030" w:rsidRPr="00A54361" w:rsidRDefault="00EE5030" w:rsidP="00A54361">
      <w:pPr>
        <w:numPr>
          <w:ilvl w:val="0"/>
          <w:numId w:val="32"/>
        </w:numPr>
        <w:autoSpaceDE w:val="0"/>
        <w:autoSpaceDN w:val="0"/>
        <w:adjustRightInd w:val="0"/>
        <w:spacing w:after="120" w:line="240" w:lineRule="auto"/>
        <w:jc w:val="both"/>
        <w:rPr>
          <w:rFonts w:cstheme="minorHAnsi"/>
        </w:rPr>
      </w:pPr>
      <w:r w:rsidRPr="00A54361">
        <w:rPr>
          <w:rFonts w:cstheme="minorHAnsi"/>
        </w:rPr>
        <w:t>Further, we do not have any pending case with any organization across the globe which affects our credibility to service the bank.</w:t>
      </w:r>
    </w:p>
    <w:p w14:paraId="63CF8C3D" w14:textId="77777777" w:rsidR="00EE5030" w:rsidRPr="00A54361" w:rsidRDefault="00EE5030" w:rsidP="00A54361">
      <w:pPr>
        <w:jc w:val="both"/>
        <w:rPr>
          <w:rFonts w:cstheme="minorHAnsi"/>
        </w:rPr>
      </w:pPr>
    </w:p>
    <w:p w14:paraId="2C43E89D" w14:textId="77777777" w:rsidR="00EE5030" w:rsidRPr="00A54361" w:rsidRDefault="00EE5030" w:rsidP="00A54361">
      <w:pPr>
        <w:jc w:val="both"/>
        <w:rPr>
          <w:rFonts w:cstheme="minorHAnsi"/>
        </w:rPr>
      </w:pPr>
      <w:r w:rsidRPr="00A54361">
        <w:rPr>
          <w:rFonts w:cstheme="minorHAnsi"/>
        </w:rPr>
        <w:t>Yours faithfully,</w:t>
      </w:r>
    </w:p>
    <w:p w14:paraId="54AF5F8D" w14:textId="77777777" w:rsidR="00EE5030" w:rsidRPr="00A54361" w:rsidRDefault="00EE5030" w:rsidP="00A54361">
      <w:pPr>
        <w:jc w:val="both"/>
        <w:rPr>
          <w:rFonts w:cstheme="minorHAnsi"/>
        </w:rPr>
      </w:pPr>
    </w:p>
    <w:p w14:paraId="66F19523" w14:textId="77777777" w:rsidR="00EE5030" w:rsidRPr="00A54361" w:rsidRDefault="00EE5030" w:rsidP="00A54361">
      <w:pPr>
        <w:jc w:val="both"/>
        <w:rPr>
          <w:rFonts w:cstheme="minorHAnsi"/>
        </w:rPr>
      </w:pPr>
      <w:r w:rsidRPr="00A54361">
        <w:rPr>
          <w:rFonts w:cstheme="minorHAnsi"/>
        </w:rPr>
        <w:t>Authorised Signatory</w:t>
      </w:r>
    </w:p>
    <w:p w14:paraId="5CF355A7" w14:textId="77777777" w:rsidR="00EE5030" w:rsidRPr="00A54361" w:rsidRDefault="00EE5030" w:rsidP="00A54361">
      <w:pPr>
        <w:jc w:val="both"/>
        <w:rPr>
          <w:rFonts w:cstheme="minorHAnsi"/>
        </w:rPr>
      </w:pPr>
      <w:r w:rsidRPr="00A54361">
        <w:rPr>
          <w:rFonts w:cstheme="minorHAnsi"/>
        </w:rPr>
        <w:t>Designation</w:t>
      </w:r>
    </w:p>
    <w:p w14:paraId="7E29BDC2" w14:textId="77777777" w:rsidR="00EE5030" w:rsidRPr="00A54361" w:rsidRDefault="00EE5030" w:rsidP="00A54361">
      <w:pPr>
        <w:jc w:val="both"/>
        <w:rPr>
          <w:rFonts w:cstheme="minorHAnsi"/>
        </w:rPr>
      </w:pPr>
      <w:r w:rsidRPr="00A54361">
        <w:rPr>
          <w:rFonts w:cstheme="minorHAnsi"/>
        </w:rPr>
        <w:t>Bidder’s corporate name</w:t>
      </w:r>
    </w:p>
    <w:p w14:paraId="6165A179" w14:textId="77777777" w:rsidR="00EE5030" w:rsidRPr="00A54361" w:rsidRDefault="00EE5030" w:rsidP="00A54361">
      <w:pPr>
        <w:spacing w:before="120" w:after="120"/>
        <w:jc w:val="both"/>
        <w:rPr>
          <w:rFonts w:cstheme="minorHAnsi"/>
        </w:rPr>
      </w:pPr>
    </w:p>
    <w:p w14:paraId="36CE5FEC" w14:textId="77777777" w:rsidR="00EE5030" w:rsidRPr="00A54361" w:rsidRDefault="00EE5030" w:rsidP="00A54361">
      <w:pPr>
        <w:spacing w:before="120" w:after="120"/>
        <w:jc w:val="both"/>
        <w:rPr>
          <w:rFonts w:cstheme="minorHAnsi"/>
        </w:rPr>
      </w:pPr>
    </w:p>
    <w:p w14:paraId="2642B2C8" w14:textId="77777777" w:rsidR="00EE5030" w:rsidRPr="00A54361" w:rsidRDefault="00EE5030" w:rsidP="00A54361">
      <w:pPr>
        <w:spacing w:before="120" w:after="120"/>
        <w:jc w:val="both"/>
        <w:rPr>
          <w:rFonts w:cstheme="minorHAnsi"/>
        </w:rPr>
      </w:pPr>
    </w:p>
    <w:p w14:paraId="67D17886" w14:textId="77777777" w:rsidR="00EE5030" w:rsidRPr="00A54361" w:rsidRDefault="00EE5030" w:rsidP="00A54361">
      <w:pPr>
        <w:spacing w:before="120" w:after="120"/>
        <w:jc w:val="both"/>
        <w:rPr>
          <w:rFonts w:cstheme="minorHAnsi"/>
        </w:rPr>
      </w:pPr>
    </w:p>
    <w:p w14:paraId="6A098CA9" w14:textId="77777777" w:rsidR="00EE5030" w:rsidRPr="00A54361" w:rsidRDefault="00EE5030" w:rsidP="00A54361">
      <w:pPr>
        <w:spacing w:before="120" w:after="120"/>
        <w:jc w:val="both"/>
        <w:rPr>
          <w:rFonts w:cstheme="minorHAnsi"/>
        </w:rPr>
      </w:pPr>
    </w:p>
    <w:p w14:paraId="0B662363" w14:textId="77777777" w:rsidR="00EE5030" w:rsidRPr="00A54361" w:rsidRDefault="00EE5030" w:rsidP="00A54361">
      <w:pPr>
        <w:spacing w:before="120" w:after="120"/>
        <w:jc w:val="both"/>
        <w:rPr>
          <w:rFonts w:cstheme="minorHAnsi"/>
        </w:rPr>
      </w:pPr>
    </w:p>
    <w:p w14:paraId="68684755" w14:textId="77777777" w:rsidR="00EE5030" w:rsidRPr="00A54361" w:rsidRDefault="00EE5030" w:rsidP="00A54361">
      <w:pPr>
        <w:spacing w:before="120" w:after="120"/>
        <w:jc w:val="both"/>
        <w:rPr>
          <w:rFonts w:cstheme="minorHAnsi"/>
        </w:rPr>
      </w:pPr>
    </w:p>
    <w:p w14:paraId="038574D4" w14:textId="4776ABA7" w:rsidR="00BD7FF2" w:rsidRPr="00A54361" w:rsidRDefault="00BD7FF2" w:rsidP="00A54361">
      <w:pPr>
        <w:jc w:val="both"/>
        <w:rPr>
          <w:rFonts w:cstheme="minorHAnsi"/>
        </w:rPr>
      </w:pPr>
      <w:r w:rsidRPr="00A54361">
        <w:rPr>
          <w:rFonts w:cstheme="minorHAnsi"/>
        </w:rPr>
        <w:br w:type="page"/>
      </w:r>
    </w:p>
    <w:p w14:paraId="0FCBC7E7" w14:textId="61657D71" w:rsidR="00EE5030" w:rsidRPr="00A54361" w:rsidRDefault="00EE5030" w:rsidP="00A54361">
      <w:pPr>
        <w:pStyle w:val="Heading1"/>
        <w:numPr>
          <w:ilvl w:val="0"/>
          <w:numId w:val="48"/>
        </w:numPr>
        <w:jc w:val="both"/>
        <w:rPr>
          <w:rFonts w:asciiTheme="minorHAnsi" w:hAnsiTheme="minorHAnsi" w:cstheme="minorHAnsi"/>
          <w:color w:val="auto"/>
        </w:rPr>
      </w:pPr>
      <w:bookmarkStart w:id="287" w:name="_Toc129668545"/>
      <w:bookmarkStart w:id="288" w:name="_Toc182233421"/>
      <w:r w:rsidRPr="00A54361">
        <w:rPr>
          <w:rFonts w:asciiTheme="minorHAnsi" w:hAnsiTheme="minorHAnsi" w:cstheme="minorHAnsi"/>
          <w:color w:val="auto"/>
        </w:rPr>
        <w:t>Annexure</w:t>
      </w:r>
      <w:r w:rsidR="00B75AFC" w:rsidRPr="00A54361">
        <w:rPr>
          <w:rFonts w:asciiTheme="minorHAnsi" w:hAnsiTheme="minorHAnsi" w:cstheme="minorHAnsi"/>
          <w:color w:val="auto"/>
        </w:rPr>
        <w:t xml:space="preserve"> </w:t>
      </w:r>
      <w:r w:rsidR="00606C32" w:rsidRPr="00A54361">
        <w:rPr>
          <w:rFonts w:asciiTheme="minorHAnsi" w:hAnsiTheme="minorHAnsi" w:cstheme="minorHAnsi"/>
          <w:color w:val="auto"/>
        </w:rPr>
        <w:t>1</w:t>
      </w:r>
      <w:r w:rsidR="00463CED">
        <w:rPr>
          <w:rFonts w:asciiTheme="minorHAnsi" w:hAnsiTheme="minorHAnsi" w:cstheme="minorHAnsi"/>
          <w:color w:val="auto"/>
        </w:rPr>
        <w:t>5</w:t>
      </w:r>
      <w:r w:rsidR="00C8384C" w:rsidRPr="00A54361">
        <w:rPr>
          <w:rFonts w:asciiTheme="minorHAnsi" w:hAnsiTheme="minorHAnsi" w:cstheme="minorHAnsi"/>
          <w:color w:val="auto"/>
        </w:rPr>
        <w:t>:</w:t>
      </w:r>
      <w:r w:rsidRPr="00A54361">
        <w:rPr>
          <w:rFonts w:asciiTheme="minorHAnsi" w:hAnsiTheme="minorHAnsi" w:cstheme="minorHAnsi"/>
          <w:color w:val="auto"/>
        </w:rPr>
        <w:t xml:space="preserve"> Undertaking letter (Land Border Sharing)</w:t>
      </w:r>
      <w:bookmarkEnd w:id="287"/>
      <w:bookmarkEnd w:id="288"/>
    </w:p>
    <w:p w14:paraId="17C0A517" w14:textId="2006A2BE" w:rsidR="00EE5030" w:rsidRPr="00A54361" w:rsidRDefault="00EE5030" w:rsidP="00A54361">
      <w:pPr>
        <w:spacing w:after="120"/>
        <w:jc w:val="both"/>
        <w:rPr>
          <w:rFonts w:cstheme="minorHAnsi"/>
        </w:rPr>
      </w:pPr>
      <w:r w:rsidRPr="00A54361">
        <w:rPr>
          <w:rFonts w:cstheme="minorHAnsi"/>
        </w:rPr>
        <w:t xml:space="preserve">Pro forma of letter to be given by all the </w:t>
      </w:r>
      <w:r w:rsidR="004742D6" w:rsidRPr="00A54361">
        <w:rPr>
          <w:rFonts w:cstheme="minorHAnsi"/>
        </w:rPr>
        <w:t xml:space="preserve">bidders </w:t>
      </w:r>
      <w:r w:rsidRPr="00A54361">
        <w:rPr>
          <w:rFonts w:cstheme="minorHAnsi"/>
        </w:rPr>
        <w:t>participating in</w:t>
      </w:r>
      <w:r w:rsidR="00C239EB" w:rsidRPr="00A54361">
        <w:rPr>
          <w:rFonts w:cstheme="minorHAnsi"/>
        </w:rPr>
        <w:t xml:space="preserve"> RFP for</w:t>
      </w:r>
      <w:r w:rsidRPr="00A54361">
        <w:rPr>
          <w:rFonts w:cstheme="minorHAnsi"/>
        </w:rPr>
        <w:t xml:space="preserve"> the </w:t>
      </w:r>
      <w:r w:rsidR="00C239EB" w:rsidRPr="00A54361">
        <w:rPr>
          <w:rFonts w:cstheme="minorHAnsi"/>
        </w:rPr>
        <w:t xml:space="preserve">Supply, Installation and Maintenance of </w:t>
      </w:r>
      <w:r w:rsidR="009E6197" w:rsidRPr="00A54361">
        <w:rPr>
          <w:rFonts w:cstheme="minorHAnsi"/>
        </w:rPr>
        <w:t>Cybersecurity Solutions</w:t>
      </w:r>
      <w:r w:rsidR="00296D4B" w:rsidRPr="00A54361">
        <w:rPr>
          <w:rFonts w:cstheme="minorHAnsi"/>
        </w:rPr>
        <w:t xml:space="preserve"> and associated hardware</w:t>
      </w:r>
      <w:r w:rsidR="009E6197" w:rsidRPr="00A54361">
        <w:rPr>
          <w:rFonts w:cstheme="minorHAnsi"/>
        </w:rPr>
        <w:t xml:space="preserve"> </w:t>
      </w:r>
      <w:r w:rsidR="00C239EB" w:rsidRPr="00A54361">
        <w:rPr>
          <w:rFonts w:cstheme="minorHAnsi"/>
        </w:rPr>
        <w:t xml:space="preserve">at </w:t>
      </w:r>
      <w:r w:rsidR="009417AB" w:rsidRPr="00A54361">
        <w:rPr>
          <w:rFonts w:cstheme="minorHAnsi"/>
        </w:rPr>
        <w:t xml:space="preserve">the Bank </w:t>
      </w:r>
      <w:r w:rsidRPr="00A54361">
        <w:rPr>
          <w:rFonts w:cstheme="minorHAnsi"/>
        </w:rPr>
        <w:t>on their official letter-head</w:t>
      </w:r>
    </w:p>
    <w:p w14:paraId="548A115C" w14:textId="77777777" w:rsidR="00EE5030" w:rsidRPr="00A54361" w:rsidRDefault="00EE5030" w:rsidP="00A54361">
      <w:pPr>
        <w:jc w:val="both"/>
        <w:rPr>
          <w:rFonts w:cstheme="minorHAnsi"/>
        </w:rPr>
      </w:pPr>
    </w:p>
    <w:p w14:paraId="4D3CFE67" w14:textId="77777777" w:rsidR="00BD7FF2" w:rsidRPr="00A54361" w:rsidRDefault="00EE5030" w:rsidP="00A54361">
      <w:pPr>
        <w:jc w:val="both"/>
        <w:rPr>
          <w:rFonts w:cstheme="minorHAnsi"/>
        </w:rPr>
      </w:pPr>
      <w:r w:rsidRPr="00A54361">
        <w:rPr>
          <w:rFonts w:cstheme="minorHAnsi"/>
        </w:rPr>
        <w:t>To</w:t>
      </w:r>
      <w:r w:rsidRPr="00A54361">
        <w:rPr>
          <w:rFonts w:cstheme="minorHAnsi"/>
        </w:rPr>
        <w:tab/>
      </w:r>
      <w:r w:rsidRPr="00A54361">
        <w:rPr>
          <w:rFonts w:cstheme="minorHAnsi"/>
        </w:rPr>
        <w:tab/>
      </w:r>
      <w:r w:rsidRPr="00A54361">
        <w:rPr>
          <w:rFonts w:cstheme="minorHAnsi"/>
        </w:rPr>
        <w:tab/>
      </w:r>
      <w:r w:rsidRPr="00A54361">
        <w:rPr>
          <w:rFonts w:cstheme="minorHAnsi"/>
        </w:rPr>
        <w:tab/>
      </w:r>
      <w:r w:rsidRPr="00A54361">
        <w:rPr>
          <w:rFonts w:cstheme="minorHAnsi"/>
        </w:rPr>
        <w:tab/>
      </w:r>
      <w:r w:rsidRPr="00A54361">
        <w:rPr>
          <w:rFonts w:cstheme="minorHAnsi"/>
        </w:rPr>
        <w:tab/>
      </w:r>
      <w:r w:rsidRPr="00A54361">
        <w:rPr>
          <w:rFonts w:cstheme="minorHAnsi"/>
        </w:rPr>
        <w:tab/>
      </w:r>
      <w:r w:rsidRPr="00A54361">
        <w:rPr>
          <w:rFonts w:cstheme="minorHAnsi"/>
        </w:rPr>
        <w:tab/>
      </w:r>
      <w:r w:rsidRPr="00A54361">
        <w:rPr>
          <w:rFonts w:cstheme="minorHAnsi"/>
        </w:rPr>
        <w:tab/>
      </w:r>
      <w:r w:rsidRPr="00A54361">
        <w:rPr>
          <w:rFonts w:cstheme="minorHAnsi"/>
        </w:rPr>
        <w:tab/>
      </w:r>
      <w:r w:rsidRPr="00A54361">
        <w:rPr>
          <w:rFonts w:cstheme="minorHAnsi"/>
        </w:rPr>
        <w:tab/>
      </w:r>
    </w:p>
    <w:p w14:paraId="4FC8E47E" w14:textId="56671FD4" w:rsidR="00EE5030" w:rsidRPr="00A54361" w:rsidRDefault="00EE5030" w:rsidP="00A54361">
      <w:pPr>
        <w:jc w:val="both"/>
        <w:rPr>
          <w:rFonts w:cstheme="minorHAnsi"/>
        </w:rPr>
      </w:pPr>
      <w:r w:rsidRPr="00A54361">
        <w:rPr>
          <w:rFonts w:cstheme="minorHAnsi"/>
        </w:rPr>
        <w:t>Date:</w:t>
      </w:r>
    </w:p>
    <w:p w14:paraId="68F28917" w14:textId="2EF8DAA7" w:rsidR="00EE5030" w:rsidRPr="00A54361" w:rsidRDefault="00EE5030" w:rsidP="00A54361">
      <w:pPr>
        <w:spacing w:after="0"/>
        <w:jc w:val="both"/>
        <w:rPr>
          <w:rFonts w:cstheme="minorHAnsi"/>
        </w:rPr>
      </w:pPr>
      <w:r w:rsidRPr="00A54361">
        <w:rPr>
          <w:rFonts w:cstheme="minorHAnsi"/>
        </w:rPr>
        <w:t xml:space="preserve">General Manager –IT, </w:t>
      </w:r>
    </w:p>
    <w:p w14:paraId="3B8236F5" w14:textId="77777777" w:rsidR="00EE5030" w:rsidRPr="00A54361" w:rsidRDefault="00EE5030" w:rsidP="00A54361">
      <w:pPr>
        <w:spacing w:after="0"/>
        <w:jc w:val="both"/>
        <w:rPr>
          <w:rFonts w:cstheme="minorHAnsi"/>
        </w:rPr>
      </w:pPr>
      <w:r w:rsidRPr="00A54361">
        <w:rPr>
          <w:rFonts w:cstheme="minorHAnsi"/>
        </w:rPr>
        <w:t>Central Bank of India, Central Office,</w:t>
      </w:r>
    </w:p>
    <w:p w14:paraId="0D833BA9" w14:textId="77777777" w:rsidR="00EE5030" w:rsidRPr="00A54361" w:rsidRDefault="00EE5030" w:rsidP="00A54361">
      <w:pPr>
        <w:spacing w:after="0"/>
        <w:jc w:val="both"/>
        <w:rPr>
          <w:rFonts w:cstheme="minorHAnsi"/>
        </w:rPr>
      </w:pPr>
      <w:r w:rsidRPr="00A54361">
        <w:rPr>
          <w:rFonts w:cstheme="minorHAnsi"/>
        </w:rPr>
        <w:t>Sector 11,</w:t>
      </w:r>
    </w:p>
    <w:p w14:paraId="7E947006" w14:textId="77777777" w:rsidR="00EE5030" w:rsidRPr="00A54361" w:rsidRDefault="00EE5030" w:rsidP="00A54361">
      <w:pPr>
        <w:spacing w:after="0"/>
        <w:jc w:val="both"/>
        <w:rPr>
          <w:rFonts w:cstheme="minorHAnsi"/>
        </w:rPr>
      </w:pPr>
      <w:r w:rsidRPr="00A54361">
        <w:rPr>
          <w:rFonts w:cstheme="minorHAnsi"/>
        </w:rPr>
        <w:t>CBD Belapur,</w:t>
      </w:r>
    </w:p>
    <w:p w14:paraId="1F9A87C6" w14:textId="77777777" w:rsidR="00EE5030" w:rsidRPr="00A54361" w:rsidRDefault="00EE5030" w:rsidP="00A54361">
      <w:pPr>
        <w:jc w:val="both"/>
        <w:rPr>
          <w:rFonts w:cstheme="minorHAnsi"/>
        </w:rPr>
      </w:pPr>
      <w:r w:rsidRPr="00A54361">
        <w:rPr>
          <w:rFonts w:cstheme="minorHAnsi"/>
        </w:rPr>
        <w:t>Navi Mumbai – 400614</w:t>
      </w:r>
    </w:p>
    <w:p w14:paraId="0657787F" w14:textId="77777777" w:rsidR="00EE5030" w:rsidRPr="00A54361" w:rsidRDefault="00EE5030" w:rsidP="00A54361">
      <w:pPr>
        <w:jc w:val="both"/>
        <w:rPr>
          <w:rFonts w:cstheme="minorHAnsi"/>
          <w:b/>
        </w:rPr>
      </w:pPr>
      <w:r w:rsidRPr="00A54361">
        <w:rPr>
          <w:rFonts w:cstheme="minorHAnsi"/>
          <w:b/>
        </w:rPr>
        <w:t>Sir,</w:t>
      </w:r>
    </w:p>
    <w:p w14:paraId="5B65FA4E" w14:textId="59EA1959" w:rsidR="007A0C3C" w:rsidRPr="00A54361" w:rsidRDefault="00DC6309" w:rsidP="00A54361">
      <w:pPr>
        <w:spacing w:before="120" w:after="120"/>
        <w:jc w:val="both"/>
        <w:rPr>
          <w:rFonts w:cstheme="minorHAnsi"/>
        </w:rPr>
      </w:pPr>
      <w:r w:rsidRPr="00A54361">
        <w:rPr>
          <w:rFonts w:cstheme="minorHAnsi"/>
        </w:rPr>
        <w:t xml:space="preserve">Sub: RFP for </w:t>
      </w:r>
      <w:r w:rsidR="007A0C3C" w:rsidRPr="00A54361">
        <w:rPr>
          <w:rFonts w:cstheme="minorHAnsi"/>
        </w:rPr>
        <w:t>Supply, Installation and Maintenance of Cybersecurity Solutions</w:t>
      </w:r>
      <w:r w:rsidR="00296D4B" w:rsidRPr="00A54361">
        <w:rPr>
          <w:rFonts w:cstheme="minorHAnsi"/>
        </w:rPr>
        <w:t xml:space="preserve"> and associated hardware</w:t>
      </w:r>
      <w:r w:rsidR="007A0C3C" w:rsidRPr="00A54361">
        <w:rPr>
          <w:rFonts w:cstheme="minorHAnsi"/>
        </w:rPr>
        <w:t xml:space="preserve"> at </w:t>
      </w:r>
      <w:r w:rsidR="009417AB" w:rsidRPr="00A54361">
        <w:rPr>
          <w:rFonts w:cstheme="minorHAnsi"/>
        </w:rPr>
        <w:t>the Bank</w:t>
      </w:r>
    </w:p>
    <w:p w14:paraId="7ECCA6A4" w14:textId="1E206240" w:rsidR="00DC6309" w:rsidRPr="00A54361" w:rsidRDefault="00BD0761" w:rsidP="00A54361">
      <w:pPr>
        <w:spacing w:before="120" w:after="120"/>
        <w:jc w:val="both"/>
        <w:rPr>
          <w:rFonts w:cstheme="minorHAnsi"/>
        </w:rPr>
      </w:pPr>
      <w:r w:rsidRPr="00A54361">
        <w:rPr>
          <w:rFonts w:cstheme="minorHAnsi"/>
        </w:rPr>
        <w:t>Tender No. _____________________________</w:t>
      </w:r>
    </w:p>
    <w:p w14:paraId="52F58C36" w14:textId="14ABC8CB" w:rsidR="00120C01" w:rsidRPr="00A54361" w:rsidRDefault="00120C01" w:rsidP="00A54361">
      <w:pPr>
        <w:jc w:val="both"/>
        <w:rPr>
          <w:rFonts w:cstheme="minorHAnsi"/>
          <w:b/>
        </w:rPr>
      </w:pPr>
      <w:r w:rsidRPr="00A54361">
        <w:rPr>
          <w:rFonts w:cstheme="minorHAnsi"/>
          <w:b/>
        </w:rPr>
        <w:t>Dear Sir/Madam,</w:t>
      </w:r>
    </w:p>
    <w:p w14:paraId="3110E0B7" w14:textId="77777777" w:rsidR="00120C01" w:rsidRPr="00A54361" w:rsidRDefault="00120C01" w:rsidP="00A54361">
      <w:pPr>
        <w:spacing w:before="120" w:after="120"/>
        <w:jc w:val="both"/>
        <w:rPr>
          <w:rFonts w:cstheme="minorHAnsi"/>
        </w:rPr>
      </w:pPr>
      <w:r w:rsidRPr="00A54361">
        <w:rPr>
          <w:rFonts w:cstheme="minorHAnsi"/>
        </w:rPr>
        <w:t>We, M/s_____________________________ are a private/ public limited company/ LLP/ firm &lt;strike off whichever is not applicable&gt; incorporated under the provisions of the Companies Act, 1956/2013, Limited Liability Partnership Act 2008/ Indian Partnership Act 1932, having our registered office at ________________________ (referred to as the “Bidder”) are desirous of participating in the Tender Process in response to our captioned RFP and in this connection we hereby declare, confirm and agree as follows:</w:t>
      </w:r>
    </w:p>
    <w:p w14:paraId="6F8991F0" w14:textId="77777777" w:rsidR="00120C01" w:rsidRPr="00A54361" w:rsidRDefault="00120C01" w:rsidP="00A54361">
      <w:pPr>
        <w:spacing w:before="120" w:after="120"/>
        <w:jc w:val="both"/>
        <w:rPr>
          <w:rFonts w:cstheme="minorHAnsi"/>
        </w:rPr>
      </w:pPr>
      <w:r w:rsidRPr="00A54361">
        <w:rPr>
          <w:rFonts w:cstheme="minorHAnsi"/>
        </w:rPr>
        <w:t>We, the Bidder have read and understood the contents of the RFP and Office Memorandum &amp; the Order (Public Procurement No.1) both bearing no.F.No.6/18/2019/PPD of 23</w:t>
      </w:r>
      <w:r w:rsidRPr="00A54361">
        <w:rPr>
          <w:rFonts w:cstheme="minorHAnsi"/>
          <w:vertAlign w:val="superscript"/>
        </w:rPr>
        <w:t>rd</w:t>
      </w:r>
      <w:r w:rsidRPr="00A54361">
        <w:rPr>
          <w:rFonts w:cstheme="minorHAnsi"/>
        </w:rPr>
        <w:t xml:space="preserve"> July 2020 issued by Ministry of Finance, Government of India on insertion of Rule 144 (xi) in the General Financial Rules (GFRs) 2017 and the amendments &amp; clarifications thereto, regarding restrictions on availing/ procurement of goods and services, of any Bidder from a country which shares a land border with India and/ or sub-contracting to contractors from such countries.</w:t>
      </w:r>
    </w:p>
    <w:p w14:paraId="0BB08CA4" w14:textId="77777777" w:rsidR="00120C01" w:rsidRPr="00A54361" w:rsidRDefault="00120C01" w:rsidP="00A54361">
      <w:pPr>
        <w:spacing w:before="120" w:after="120"/>
        <w:jc w:val="both"/>
        <w:rPr>
          <w:rFonts w:cstheme="minorHAnsi"/>
        </w:rPr>
      </w:pPr>
      <w:r w:rsidRPr="00A54361">
        <w:rPr>
          <w:rFonts w:cstheme="minorHAnsi"/>
        </w:rPr>
        <w:t>In terms of the above and after having gone through the said amendments including in particular the words defined therein (which shall have the same meaning for the purpose of this Declaration cum Undertaking), we, the Bidder hereby declare and confirm that:</w:t>
      </w:r>
    </w:p>
    <w:p w14:paraId="0F102B26" w14:textId="77777777" w:rsidR="00120C01" w:rsidRPr="00A54361" w:rsidRDefault="00120C01" w:rsidP="00A54361">
      <w:pPr>
        <w:spacing w:before="120" w:after="120"/>
        <w:jc w:val="both"/>
        <w:rPr>
          <w:rFonts w:cstheme="minorHAnsi"/>
        </w:rPr>
      </w:pPr>
      <w:r w:rsidRPr="00A54361">
        <w:rPr>
          <w:rFonts w:cstheme="minorHAnsi"/>
        </w:rPr>
        <w:t>Strike off whichever is not applicable</w:t>
      </w:r>
    </w:p>
    <w:p w14:paraId="7A5413CA" w14:textId="77777777" w:rsidR="00120C01" w:rsidRPr="00A54361" w:rsidRDefault="00120C01" w:rsidP="00A54361">
      <w:pPr>
        <w:pStyle w:val="ListParagraph"/>
        <w:numPr>
          <w:ilvl w:val="0"/>
          <w:numId w:val="38"/>
        </w:numPr>
        <w:spacing w:before="120" w:after="120"/>
        <w:jc w:val="both"/>
        <w:rPr>
          <w:rFonts w:cstheme="minorHAnsi"/>
        </w:rPr>
      </w:pPr>
      <w:r w:rsidRPr="00A54361">
        <w:rPr>
          <w:rFonts w:cstheme="minorHAnsi"/>
        </w:rPr>
        <w:t>“I/we have read the clause regarding restrictions on procurement from a bidder of the country which shares a land border with India; I/ we certify that _______________________ is not from such a country.</w:t>
      </w:r>
    </w:p>
    <w:p w14:paraId="06881510" w14:textId="77777777" w:rsidR="00120C01" w:rsidRPr="00A54361" w:rsidRDefault="00120C01" w:rsidP="00A54361">
      <w:pPr>
        <w:pStyle w:val="ListParagraph"/>
        <w:numPr>
          <w:ilvl w:val="0"/>
          <w:numId w:val="38"/>
        </w:numPr>
        <w:spacing w:before="120" w:after="120"/>
        <w:jc w:val="both"/>
        <w:rPr>
          <w:rFonts w:cstheme="minorHAnsi"/>
        </w:rPr>
      </w:pPr>
      <w:r w:rsidRPr="00A54361">
        <w:rPr>
          <w:rFonts w:cstheme="minorHAnsi"/>
        </w:rPr>
        <w:t>“I/we have read the clause regarding restrictions on procurement from a Bidder of a country which shares a land border with India; I/we certify that _______________________ is from such a country. I hereby certify that _____________________ fulfils all requirements in this regard and is eligible to be considered. [Valid registration by the Competent Authority is attached]”</w:t>
      </w:r>
    </w:p>
    <w:p w14:paraId="2D9CB0D9" w14:textId="77777777" w:rsidR="00120C01" w:rsidRPr="00A54361" w:rsidRDefault="00120C01" w:rsidP="00A54361">
      <w:pPr>
        <w:spacing w:before="120" w:after="120"/>
        <w:jc w:val="both"/>
        <w:rPr>
          <w:rFonts w:cstheme="minorHAnsi"/>
        </w:rPr>
      </w:pPr>
      <w:r w:rsidRPr="00A54361">
        <w:rPr>
          <w:rFonts w:cstheme="minorHAnsi"/>
        </w:rPr>
        <w:t>Further, in case the work awarded to us, I/we undertake that I/we shall not subcontract any of assigned work under this engagement without the prior permission of Bank.</w:t>
      </w:r>
    </w:p>
    <w:p w14:paraId="6F394AD9" w14:textId="6EFBD0E9" w:rsidR="00120C01" w:rsidRPr="00A54361" w:rsidRDefault="00120C01" w:rsidP="00A54361">
      <w:pPr>
        <w:spacing w:before="120" w:after="120"/>
        <w:jc w:val="both"/>
        <w:rPr>
          <w:rFonts w:cstheme="minorHAnsi"/>
        </w:rPr>
      </w:pPr>
      <w:r w:rsidRPr="00A54361">
        <w:rPr>
          <w:rFonts w:cstheme="minorHAnsi"/>
        </w:rPr>
        <w:t xml:space="preserve">Further, we undertake that I/we have read the clause </w:t>
      </w:r>
      <w:r w:rsidR="00213198" w:rsidRPr="00A54361">
        <w:rPr>
          <w:rFonts w:cstheme="minorHAnsi"/>
        </w:rPr>
        <w:t>regarding</w:t>
      </w:r>
      <w:r w:rsidRPr="00A54361">
        <w:rPr>
          <w:rFonts w:cstheme="minorHAnsi"/>
        </w:rPr>
        <w:t xml:space="preserve"> restrictions on procurement from a bidder of a country which shares a land border with India and on sub-contracting to contractors from such countries; I certify that our subcontractor is not from such a country or, if from such a country, has been registered with the Competent Authority and will not sub-contract any work to a contractor from such countries unless such contractor is registered with the Competent Authority. I hereby certify that our sub-contractor fulfils all requirements in this regard and is eligible to be considered. [Valid registration by the Competent Authority]”</w:t>
      </w:r>
    </w:p>
    <w:p w14:paraId="03F954C1" w14:textId="77777777" w:rsidR="00120C01" w:rsidRPr="00A54361" w:rsidRDefault="00120C01" w:rsidP="00A54361">
      <w:pPr>
        <w:spacing w:before="120" w:after="120"/>
        <w:jc w:val="both"/>
        <w:rPr>
          <w:rFonts w:cstheme="minorHAnsi"/>
        </w:rPr>
      </w:pPr>
      <w:r w:rsidRPr="00A54361">
        <w:rPr>
          <w:rFonts w:cstheme="minorHAnsi"/>
        </w:rPr>
        <w:t>We, hereby confirm that we fulfil all the eligibility criteria as per the office memorandum/ order mentioned above and RFP and we are eligible to participate in the Tender process. We also agree and accept that if our declaration and confirmation is found to be false at any point of time including after awarding the contract, Bank shall be within its rights to forthwith terminate the contract/ bid without notice to us and initiate such action including legal action in accordance with law. Bank shall also be within its right to forfeit the security deposits/ earnest money provided by us and also recover from us the loss and damages sustained by the Bank on account of the above.</w:t>
      </w:r>
    </w:p>
    <w:p w14:paraId="0F353593" w14:textId="77777777" w:rsidR="00120C01" w:rsidRPr="00A54361" w:rsidRDefault="00120C01" w:rsidP="00A54361">
      <w:pPr>
        <w:spacing w:before="120" w:after="120"/>
        <w:jc w:val="both"/>
        <w:rPr>
          <w:rFonts w:cstheme="minorHAnsi"/>
        </w:rPr>
      </w:pPr>
      <w:r w:rsidRPr="00A54361">
        <w:rPr>
          <w:rFonts w:cstheme="minorHAnsi"/>
        </w:rPr>
        <w:t>This declaration cum Undertaking is executed by us through our Authorized signatory/ ies after having read and understood the Office Memorandum and Order including the words defined in the said order.</w:t>
      </w:r>
    </w:p>
    <w:p w14:paraId="07550A7E" w14:textId="77777777" w:rsidR="00120C01" w:rsidRPr="00A54361" w:rsidRDefault="00120C01" w:rsidP="00A54361">
      <w:pPr>
        <w:spacing w:before="120" w:after="120"/>
        <w:jc w:val="both"/>
        <w:rPr>
          <w:rFonts w:cstheme="minorHAnsi"/>
        </w:rPr>
      </w:pPr>
      <w:r w:rsidRPr="00A54361">
        <w:rPr>
          <w:rFonts w:cstheme="minorHAnsi"/>
        </w:rPr>
        <w:t>Dated this _____________ by ___________20__</w:t>
      </w:r>
    </w:p>
    <w:p w14:paraId="64803F31" w14:textId="77777777" w:rsidR="00120C01" w:rsidRPr="00A54361" w:rsidRDefault="00120C01" w:rsidP="00A54361">
      <w:pPr>
        <w:spacing w:before="120" w:after="120"/>
        <w:jc w:val="both"/>
        <w:rPr>
          <w:rFonts w:cstheme="minorHAnsi"/>
        </w:rPr>
      </w:pPr>
      <w:r w:rsidRPr="00A54361">
        <w:rPr>
          <w:rFonts w:cstheme="minorHAnsi"/>
        </w:rPr>
        <w:t>Yours faithfully,</w:t>
      </w:r>
    </w:p>
    <w:p w14:paraId="27051637" w14:textId="77777777" w:rsidR="00120C01" w:rsidRPr="00A54361" w:rsidRDefault="00120C01" w:rsidP="00A54361">
      <w:pPr>
        <w:spacing w:before="120" w:after="120"/>
        <w:jc w:val="both"/>
        <w:rPr>
          <w:rFonts w:cstheme="minorHAnsi"/>
        </w:rPr>
      </w:pPr>
    </w:p>
    <w:p w14:paraId="0932068A" w14:textId="77777777" w:rsidR="00120C01" w:rsidRPr="00A54361" w:rsidRDefault="00120C01" w:rsidP="00A54361">
      <w:pPr>
        <w:spacing w:before="120" w:after="120"/>
        <w:jc w:val="both"/>
        <w:rPr>
          <w:rFonts w:cstheme="minorHAnsi"/>
        </w:rPr>
      </w:pPr>
    </w:p>
    <w:p w14:paraId="5F318558" w14:textId="77777777" w:rsidR="00120C01" w:rsidRPr="00A54361" w:rsidRDefault="00120C01" w:rsidP="00A54361">
      <w:pPr>
        <w:spacing w:after="0"/>
        <w:jc w:val="both"/>
        <w:rPr>
          <w:rFonts w:cstheme="minorHAnsi"/>
        </w:rPr>
      </w:pPr>
      <w:r w:rsidRPr="00A54361">
        <w:rPr>
          <w:rFonts w:cstheme="minorHAnsi"/>
        </w:rPr>
        <w:t>Authorized Signatory</w:t>
      </w:r>
    </w:p>
    <w:p w14:paraId="09D55711" w14:textId="77777777" w:rsidR="00120C01" w:rsidRPr="00A54361" w:rsidRDefault="00120C01" w:rsidP="00A54361">
      <w:pPr>
        <w:spacing w:after="0"/>
        <w:jc w:val="both"/>
        <w:rPr>
          <w:rFonts w:cstheme="minorHAnsi"/>
        </w:rPr>
      </w:pPr>
      <w:r w:rsidRPr="00A54361">
        <w:rPr>
          <w:rFonts w:cstheme="minorHAnsi"/>
        </w:rPr>
        <w:t>Name:</w:t>
      </w:r>
    </w:p>
    <w:p w14:paraId="5879CF56" w14:textId="77777777" w:rsidR="00120C01" w:rsidRPr="00A54361" w:rsidRDefault="00120C01" w:rsidP="00A54361">
      <w:pPr>
        <w:spacing w:after="0"/>
        <w:jc w:val="both"/>
        <w:rPr>
          <w:rFonts w:cstheme="minorHAnsi"/>
        </w:rPr>
      </w:pPr>
      <w:r w:rsidRPr="00A54361">
        <w:rPr>
          <w:rFonts w:cstheme="minorHAnsi"/>
        </w:rPr>
        <w:t>Designation:</w:t>
      </w:r>
    </w:p>
    <w:p w14:paraId="5413FDDE" w14:textId="77777777" w:rsidR="00120C01" w:rsidRPr="00A54361" w:rsidRDefault="00120C01" w:rsidP="00A54361">
      <w:pPr>
        <w:spacing w:after="0"/>
        <w:jc w:val="both"/>
        <w:rPr>
          <w:rFonts w:cstheme="minorHAnsi"/>
        </w:rPr>
      </w:pPr>
      <w:r w:rsidRPr="00A54361">
        <w:rPr>
          <w:rFonts w:cstheme="minorHAnsi"/>
        </w:rPr>
        <w:t>Bidder’s Corporate Name:</w:t>
      </w:r>
    </w:p>
    <w:p w14:paraId="1DFF0F82" w14:textId="77777777" w:rsidR="00120C01" w:rsidRPr="00A54361" w:rsidRDefault="00120C01" w:rsidP="00A54361">
      <w:pPr>
        <w:spacing w:after="0"/>
        <w:jc w:val="both"/>
        <w:rPr>
          <w:rFonts w:cstheme="minorHAnsi"/>
        </w:rPr>
      </w:pPr>
      <w:r w:rsidRPr="00A54361">
        <w:rPr>
          <w:rFonts w:cstheme="minorHAnsi"/>
        </w:rPr>
        <w:t>Address:</w:t>
      </w:r>
    </w:p>
    <w:p w14:paraId="5D02AA3E" w14:textId="77777777" w:rsidR="00120C01" w:rsidRPr="00A54361" w:rsidRDefault="00120C01" w:rsidP="00A54361">
      <w:pPr>
        <w:spacing w:after="120"/>
        <w:jc w:val="both"/>
        <w:rPr>
          <w:rFonts w:cstheme="minorHAnsi"/>
        </w:rPr>
      </w:pPr>
      <w:r w:rsidRPr="00A54361">
        <w:rPr>
          <w:rFonts w:cstheme="minorHAnsi"/>
        </w:rPr>
        <w:t>Email &amp; Phone No.:</w:t>
      </w:r>
    </w:p>
    <w:p w14:paraId="4A49F952" w14:textId="77777777" w:rsidR="00120C01" w:rsidRPr="00A54361" w:rsidRDefault="00120C01" w:rsidP="00A54361">
      <w:pPr>
        <w:spacing w:before="120" w:after="120"/>
        <w:jc w:val="both"/>
        <w:rPr>
          <w:rFonts w:cstheme="minorHAnsi"/>
        </w:rPr>
      </w:pPr>
      <w:r w:rsidRPr="00A54361">
        <w:rPr>
          <w:rFonts w:cstheme="minorHAnsi"/>
        </w:rPr>
        <w:t>List of documents enclosed:</w:t>
      </w:r>
    </w:p>
    <w:p w14:paraId="12EE8EBE" w14:textId="77777777" w:rsidR="00120C01" w:rsidRPr="00A54361" w:rsidRDefault="00120C01" w:rsidP="00A54361">
      <w:pPr>
        <w:pStyle w:val="ListParagraph"/>
        <w:numPr>
          <w:ilvl w:val="0"/>
          <w:numId w:val="37"/>
        </w:numPr>
        <w:spacing w:before="120" w:after="120"/>
        <w:jc w:val="both"/>
        <w:rPr>
          <w:rFonts w:cstheme="minorHAnsi"/>
        </w:rPr>
      </w:pPr>
      <w:r w:rsidRPr="00A54361">
        <w:rPr>
          <w:rFonts w:cstheme="minorHAnsi"/>
        </w:rPr>
        <w:t>Copy of Certificate of valid registration with the Competent Authority (strike off if not applicable</w:t>
      </w:r>
    </w:p>
    <w:p w14:paraId="64E6BB3B" w14:textId="77777777" w:rsidR="00120C01" w:rsidRPr="00A54361" w:rsidRDefault="00120C01" w:rsidP="00A54361">
      <w:pPr>
        <w:pStyle w:val="ListParagraph"/>
        <w:numPr>
          <w:ilvl w:val="0"/>
          <w:numId w:val="37"/>
        </w:numPr>
        <w:spacing w:before="120" w:after="120"/>
        <w:jc w:val="both"/>
        <w:rPr>
          <w:rFonts w:cstheme="minorHAnsi"/>
        </w:rPr>
      </w:pPr>
      <w:r w:rsidRPr="00A54361">
        <w:rPr>
          <w:rFonts w:cstheme="minorHAnsi"/>
        </w:rPr>
        <w:t>__________________</w:t>
      </w:r>
    </w:p>
    <w:p w14:paraId="02A9A6B8" w14:textId="77777777" w:rsidR="00120C01" w:rsidRPr="00A54361" w:rsidRDefault="00120C01" w:rsidP="00A54361">
      <w:pPr>
        <w:pStyle w:val="ListParagraph"/>
        <w:numPr>
          <w:ilvl w:val="0"/>
          <w:numId w:val="37"/>
        </w:numPr>
        <w:spacing w:before="120" w:after="120"/>
        <w:jc w:val="both"/>
        <w:rPr>
          <w:rFonts w:cstheme="minorHAnsi"/>
        </w:rPr>
      </w:pPr>
      <w:r w:rsidRPr="00A54361">
        <w:rPr>
          <w:rFonts w:cstheme="minorHAnsi"/>
        </w:rPr>
        <w:softHyphen/>
      </w:r>
      <w:r w:rsidRPr="00A54361">
        <w:rPr>
          <w:rFonts w:cstheme="minorHAnsi"/>
        </w:rPr>
        <w:softHyphen/>
      </w:r>
      <w:r w:rsidRPr="00A54361">
        <w:rPr>
          <w:rFonts w:cstheme="minorHAnsi"/>
        </w:rPr>
        <w:softHyphen/>
      </w:r>
      <w:r w:rsidRPr="00A54361">
        <w:rPr>
          <w:rFonts w:cstheme="minorHAnsi"/>
        </w:rPr>
        <w:softHyphen/>
      </w:r>
      <w:r w:rsidRPr="00A54361">
        <w:rPr>
          <w:rFonts w:cstheme="minorHAnsi"/>
        </w:rPr>
        <w:softHyphen/>
      </w:r>
      <w:r w:rsidRPr="00A54361">
        <w:rPr>
          <w:rFonts w:cstheme="minorHAnsi"/>
        </w:rPr>
        <w:softHyphen/>
        <w:t>__________________</w:t>
      </w:r>
    </w:p>
    <w:p w14:paraId="416DA3FB" w14:textId="77777777" w:rsidR="00120C01" w:rsidRPr="00A54361" w:rsidRDefault="00120C01" w:rsidP="00A54361">
      <w:pPr>
        <w:pStyle w:val="ListParagraph"/>
        <w:numPr>
          <w:ilvl w:val="0"/>
          <w:numId w:val="37"/>
        </w:numPr>
        <w:spacing w:before="120" w:after="120"/>
        <w:jc w:val="both"/>
        <w:rPr>
          <w:rFonts w:cstheme="minorHAnsi"/>
        </w:rPr>
      </w:pPr>
      <w:r w:rsidRPr="00A54361">
        <w:rPr>
          <w:rFonts w:cstheme="minorHAnsi"/>
        </w:rPr>
        <w:t>__________________</w:t>
      </w:r>
    </w:p>
    <w:p w14:paraId="1B3288D3" w14:textId="77777777" w:rsidR="00EE5030" w:rsidRPr="00A54361" w:rsidRDefault="00EE5030" w:rsidP="00A54361">
      <w:pPr>
        <w:spacing w:before="120" w:after="120"/>
        <w:jc w:val="both"/>
        <w:rPr>
          <w:rFonts w:cstheme="minorHAnsi"/>
        </w:rPr>
      </w:pPr>
    </w:p>
    <w:p w14:paraId="7CB7B6E7" w14:textId="77777777" w:rsidR="00EE5030" w:rsidRPr="00A54361" w:rsidRDefault="00EE5030" w:rsidP="00A54361">
      <w:pPr>
        <w:spacing w:before="120" w:after="120"/>
        <w:jc w:val="both"/>
        <w:rPr>
          <w:rFonts w:cstheme="minorHAnsi"/>
        </w:rPr>
      </w:pPr>
    </w:p>
    <w:p w14:paraId="2EF0BB39" w14:textId="77777777" w:rsidR="00EE5030" w:rsidRPr="00A54361" w:rsidRDefault="00EE5030" w:rsidP="00A54361">
      <w:pPr>
        <w:spacing w:before="120" w:after="120"/>
        <w:jc w:val="both"/>
        <w:rPr>
          <w:rFonts w:cstheme="minorHAnsi"/>
        </w:rPr>
      </w:pPr>
    </w:p>
    <w:p w14:paraId="644B448F" w14:textId="77777777" w:rsidR="00EE5030" w:rsidRPr="00A54361" w:rsidRDefault="00EE5030" w:rsidP="00A54361">
      <w:pPr>
        <w:spacing w:before="120" w:after="120"/>
        <w:jc w:val="both"/>
        <w:rPr>
          <w:rFonts w:cstheme="minorHAnsi"/>
        </w:rPr>
      </w:pPr>
    </w:p>
    <w:p w14:paraId="7BF6E1E2" w14:textId="0C55E977" w:rsidR="00EE5030" w:rsidRPr="00A54361" w:rsidRDefault="00BD7FF2" w:rsidP="0078354F">
      <w:pPr>
        <w:jc w:val="both"/>
        <w:rPr>
          <w:rFonts w:cstheme="minorHAnsi"/>
        </w:rPr>
      </w:pPr>
      <w:r w:rsidRPr="00A54361">
        <w:rPr>
          <w:rFonts w:cstheme="minorHAnsi"/>
          <w:b/>
          <w:bCs/>
        </w:rPr>
        <w:br w:type="page"/>
      </w:r>
      <w:bookmarkStart w:id="289" w:name="_Toc129668546"/>
      <w:bookmarkStart w:id="290" w:name="_Toc182233422"/>
      <w:r w:rsidR="00EE5030" w:rsidRPr="00A54361">
        <w:rPr>
          <w:rFonts w:cstheme="minorHAnsi"/>
        </w:rPr>
        <w:t>A</w:t>
      </w:r>
      <w:r w:rsidR="006A0F83" w:rsidRPr="00A54361">
        <w:rPr>
          <w:rFonts w:cstheme="minorHAnsi"/>
        </w:rPr>
        <w:t>nnexure</w:t>
      </w:r>
      <w:r w:rsidR="00EE5030" w:rsidRPr="00A54361">
        <w:rPr>
          <w:rFonts w:cstheme="minorHAnsi"/>
        </w:rPr>
        <w:t xml:space="preserve"> </w:t>
      </w:r>
      <w:r w:rsidR="00463CED">
        <w:rPr>
          <w:rFonts w:cstheme="minorHAnsi"/>
        </w:rPr>
        <w:t>16</w:t>
      </w:r>
      <w:r w:rsidR="00EE5030" w:rsidRPr="00A54361">
        <w:rPr>
          <w:rFonts w:cstheme="minorHAnsi"/>
        </w:rPr>
        <w:t>: C</w:t>
      </w:r>
      <w:r w:rsidR="006A0F83" w:rsidRPr="00A54361">
        <w:rPr>
          <w:rFonts w:cstheme="minorHAnsi"/>
        </w:rPr>
        <w:t>over</w:t>
      </w:r>
      <w:r w:rsidR="00EE5030" w:rsidRPr="00A54361">
        <w:rPr>
          <w:rFonts w:cstheme="minorHAnsi"/>
        </w:rPr>
        <w:t xml:space="preserve"> </w:t>
      </w:r>
      <w:r w:rsidR="006D3284" w:rsidRPr="00A54361">
        <w:rPr>
          <w:rFonts w:cstheme="minorHAnsi"/>
        </w:rPr>
        <w:t>L</w:t>
      </w:r>
      <w:r w:rsidR="006A0F83" w:rsidRPr="00A54361">
        <w:rPr>
          <w:rFonts w:cstheme="minorHAnsi"/>
        </w:rPr>
        <w:t>etter</w:t>
      </w:r>
      <w:bookmarkEnd w:id="289"/>
      <w:bookmarkEnd w:id="290"/>
      <w:r w:rsidR="00EE5030" w:rsidRPr="00A54361">
        <w:rPr>
          <w:rFonts w:cstheme="minorHAnsi"/>
        </w:rPr>
        <w:t xml:space="preserve">     </w:t>
      </w:r>
    </w:p>
    <w:p w14:paraId="1C18C7AA" w14:textId="748A24CA" w:rsidR="00EE5030" w:rsidRPr="00A54361" w:rsidRDefault="00EE5030" w:rsidP="00A54361">
      <w:pPr>
        <w:pStyle w:val="Paragraph"/>
        <w:tabs>
          <w:tab w:val="clear" w:pos="360"/>
          <w:tab w:val="left" w:pos="7800"/>
        </w:tabs>
        <w:spacing w:before="0" w:after="120"/>
        <w:rPr>
          <w:rFonts w:asciiTheme="minorHAnsi" w:hAnsiTheme="minorHAnsi" w:cstheme="minorHAnsi"/>
          <w:szCs w:val="22"/>
        </w:rPr>
      </w:pPr>
      <w:r w:rsidRPr="00A54361">
        <w:rPr>
          <w:rFonts w:asciiTheme="minorHAnsi" w:hAnsiTheme="minorHAnsi" w:cstheme="minorHAnsi"/>
          <w:szCs w:val="22"/>
        </w:rPr>
        <w:t>Date:</w:t>
      </w:r>
    </w:p>
    <w:p w14:paraId="7DB094C7" w14:textId="77777777" w:rsidR="00EE5030" w:rsidRPr="00A54361" w:rsidRDefault="00EE5030" w:rsidP="00A54361">
      <w:pPr>
        <w:spacing w:after="120"/>
        <w:jc w:val="both"/>
        <w:rPr>
          <w:rFonts w:cstheme="minorHAnsi"/>
        </w:rPr>
      </w:pPr>
      <w:r w:rsidRPr="00A54361">
        <w:rPr>
          <w:rFonts w:cstheme="minorHAnsi"/>
        </w:rPr>
        <w:t>To</w:t>
      </w:r>
    </w:p>
    <w:p w14:paraId="7A489631" w14:textId="548F5865" w:rsidR="00EE5030" w:rsidRPr="00A54361" w:rsidRDefault="00EE5030" w:rsidP="00A54361">
      <w:pPr>
        <w:spacing w:after="0"/>
        <w:jc w:val="both"/>
        <w:rPr>
          <w:rFonts w:cstheme="minorHAnsi"/>
        </w:rPr>
      </w:pPr>
      <w:r w:rsidRPr="00A54361">
        <w:rPr>
          <w:rFonts w:cstheme="minorHAnsi"/>
        </w:rPr>
        <w:t>General Manager</w:t>
      </w:r>
      <w:r w:rsidR="00C439F0" w:rsidRPr="00A54361">
        <w:rPr>
          <w:rFonts w:cstheme="minorHAnsi"/>
        </w:rPr>
        <w:t>-IT</w:t>
      </w:r>
    </w:p>
    <w:p w14:paraId="4DB6D866" w14:textId="77777777" w:rsidR="00EE5030" w:rsidRPr="00A54361" w:rsidRDefault="00EE5030" w:rsidP="00A54361">
      <w:pPr>
        <w:spacing w:after="0"/>
        <w:jc w:val="both"/>
        <w:rPr>
          <w:rFonts w:cstheme="minorHAnsi"/>
          <w:lang w:val="en-US"/>
        </w:rPr>
      </w:pPr>
      <w:r w:rsidRPr="00A54361">
        <w:rPr>
          <w:rFonts w:cstheme="minorHAnsi"/>
        </w:rPr>
        <w:t xml:space="preserve">DIT, </w:t>
      </w:r>
      <w:r w:rsidRPr="00A54361">
        <w:rPr>
          <w:rFonts w:cstheme="minorHAnsi"/>
          <w:lang w:val="en-US"/>
        </w:rPr>
        <w:t>Central Bank of India, Central Office,</w:t>
      </w:r>
    </w:p>
    <w:p w14:paraId="7A98B1F8" w14:textId="77777777" w:rsidR="00EE5030" w:rsidRPr="00A54361" w:rsidRDefault="00EE5030" w:rsidP="00A54361">
      <w:pPr>
        <w:spacing w:after="0"/>
        <w:jc w:val="both"/>
        <w:rPr>
          <w:rFonts w:cstheme="minorHAnsi"/>
          <w:lang w:val="en-US"/>
        </w:rPr>
      </w:pPr>
      <w:r w:rsidRPr="00A54361">
        <w:rPr>
          <w:rFonts w:cstheme="minorHAnsi"/>
          <w:lang w:val="en-US"/>
        </w:rPr>
        <w:t>Sector 11, CBD Belapur,</w:t>
      </w:r>
    </w:p>
    <w:p w14:paraId="4EF06D08" w14:textId="77777777" w:rsidR="00EE5030" w:rsidRPr="00A54361" w:rsidRDefault="00EE5030" w:rsidP="00A54361">
      <w:pPr>
        <w:spacing w:after="0"/>
        <w:jc w:val="both"/>
        <w:rPr>
          <w:rFonts w:cstheme="minorHAnsi"/>
        </w:rPr>
      </w:pPr>
      <w:r w:rsidRPr="00A54361">
        <w:rPr>
          <w:rFonts w:cstheme="minorHAnsi"/>
        </w:rPr>
        <w:t>Mumbai - 400614</w:t>
      </w:r>
    </w:p>
    <w:p w14:paraId="7893A225" w14:textId="77777777" w:rsidR="00EE5030" w:rsidRPr="00A54361" w:rsidRDefault="00EE5030" w:rsidP="00A54361">
      <w:pPr>
        <w:tabs>
          <w:tab w:val="left" w:pos="7800"/>
        </w:tabs>
        <w:spacing w:after="0"/>
        <w:jc w:val="both"/>
        <w:rPr>
          <w:rFonts w:cstheme="minorHAnsi"/>
        </w:rPr>
      </w:pPr>
    </w:p>
    <w:p w14:paraId="55D1CAAF" w14:textId="4FC9B6F8" w:rsidR="00A836BA" w:rsidRPr="00A54361" w:rsidRDefault="00A836BA" w:rsidP="00A54361">
      <w:pPr>
        <w:spacing w:before="120" w:after="120"/>
        <w:jc w:val="both"/>
        <w:rPr>
          <w:rFonts w:cstheme="minorHAnsi"/>
        </w:rPr>
      </w:pPr>
      <w:r w:rsidRPr="00A54361">
        <w:rPr>
          <w:rFonts w:cstheme="minorHAnsi"/>
        </w:rPr>
        <w:t>Sub: RFP for Supply, Installation and Maintenance of Cybersecurity Solutions</w:t>
      </w:r>
      <w:r w:rsidR="00296D4B" w:rsidRPr="00A54361">
        <w:rPr>
          <w:rFonts w:cstheme="minorHAnsi"/>
        </w:rPr>
        <w:t xml:space="preserve"> and associated hardware</w:t>
      </w:r>
      <w:r w:rsidRPr="00A54361">
        <w:rPr>
          <w:rFonts w:cstheme="minorHAnsi"/>
        </w:rPr>
        <w:t xml:space="preserve"> at </w:t>
      </w:r>
      <w:r w:rsidR="009417AB" w:rsidRPr="00A54361">
        <w:rPr>
          <w:rFonts w:cstheme="minorHAnsi"/>
        </w:rPr>
        <w:t>the Bank</w:t>
      </w:r>
    </w:p>
    <w:p w14:paraId="2C24728A" w14:textId="7244D5FA" w:rsidR="00DC6309" w:rsidRPr="00A54361" w:rsidRDefault="00BD0761" w:rsidP="00A54361">
      <w:pPr>
        <w:spacing w:before="120" w:after="120"/>
        <w:jc w:val="both"/>
        <w:rPr>
          <w:rFonts w:cstheme="minorHAnsi"/>
        </w:rPr>
      </w:pPr>
      <w:r w:rsidRPr="00A54361">
        <w:rPr>
          <w:rFonts w:cstheme="minorHAnsi"/>
        </w:rPr>
        <w:t>Tender No. _____________________________</w:t>
      </w:r>
    </w:p>
    <w:p w14:paraId="09D0D913" w14:textId="77777777" w:rsidR="00DC6309" w:rsidRPr="00A54361" w:rsidRDefault="00DC6309" w:rsidP="00A54361">
      <w:pPr>
        <w:pStyle w:val="Paragraph"/>
        <w:tabs>
          <w:tab w:val="clear" w:pos="360"/>
          <w:tab w:val="left" w:pos="7800"/>
        </w:tabs>
        <w:spacing w:before="0" w:after="120"/>
        <w:rPr>
          <w:rFonts w:asciiTheme="minorHAnsi" w:hAnsiTheme="minorHAnsi" w:cstheme="minorHAnsi"/>
          <w:b/>
          <w:szCs w:val="22"/>
        </w:rPr>
      </w:pPr>
    </w:p>
    <w:p w14:paraId="52C06844" w14:textId="16244DFE" w:rsidR="00EE5030" w:rsidRPr="00A54361" w:rsidRDefault="00EE5030" w:rsidP="00A54361">
      <w:pPr>
        <w:pStyle w:val="Paragraph"/>
        <w:tabs>
          <w:tab w:val="clear" w:pos="360"/>
          <w:tab w:val="left" w:pos="7800"/>
        </w:tabs>
        <w:spacing w:before="0" w:after="120"/>
        <w:rPr>
          <w:rFonts w:asciiTheme="minorHAnsi" w:hAnsiTheme="minorHAnsi" w:cstheme="minorHAnsi"/>
          <w:b/>
          <w:szCs w:val="22"/>
        </w:rPr>
      </w:pPr>
      <w:r w:rsidRPr="00A54361">
        <w:rPr>
          <w:rFonts w:asciiTheme="minorHAnsi" w:hAnsiTheme="minorHAnsi" w:cstheme="minorHAnsi"/>
          <w:b/>
          <w:szCs w:val="22"/>
        </w:rPr>
        <w:t>Dear Sir/Madam,</w:t>
      </w:r>
    </w:p>
    <w:p w14:paraId="3A6CD83D" w14:textId="39E3615B" w:rsidR="00EE5030" w:rsidRPr="00A54361" w:rsidRDefault="00EE5030" w:rsidP="00A54361">
      <w:pPr>
        <w:pStyle w:val="ListParagraph"/>
        <w:numPr>
          <w:ilvl w:val="0"/>
          <w:numId w:val="36"/>
        </w:numPr>
        <w:jc w:val="both"/>
        <w:rPr>
          <w:rFonts w:cstheme="minorHAnsi"/>
        </w:rPr>
      </w:pPr>
      <w:r w:rsidRPr="00A54361">
        <w:rPr>
          <w:rFonts w:cstheme="minorHAnsi"/>
        </w:rPr>
        <w:t>Having examined the Scope Documents including all Annexures, the receipt of which is hereby duly acknowledged, we, the undersigned offer to supply, deliver, install and maintain all the items mentioned in the ‘Request for Proposal’ and the other schedules of requirements and services for your bank in conformity with the said Scope Documents in accordance with the schedule of Prices indicated in the Price Bid and made part of this Scope.</w:t>
      </w:r>
    </w:p>
    <w:p w14:paraId="7CB06656" w14:textId="618E16F7" w:rsidR="00EE5030" w:rsidRPr="00A54361" w:rsidRDefault="00EE5030" w:rsidP="00A54361">
      <w:pPr>
        <w:pStyle w:val="ListParagraph"/>
        <w:numPr>
          <w:ilvl w:val="0"/>
          <w:numId w:val="36"/>
        </w:numPr>
        <w:jc w:val="both"/>
        <w:rPr>
          <w:rFonts w:cstheme="minorHAnsi"/>
        </w:rPr>
      </w:pPr>
      <w:r w:rsidRPr="00A54361">
        <w:rPr>
          <w:rFonts w:cstheme="minorHAnsi"/>
        </w:rPr>
        <w:t xml:space="preserve">If our Bid is accepted, we undertake to abide by all terms and conditions of this Scope and also to comply with the delivery schedule as mentioned in the Scope Document. </w:t>
      </w:r>
    </w:p>
    <w:p w14:paraId="1652EAB4" w14:textId="2F6A932C" w:rsidR="00EE5030" w:rsidRPr="00A54361" w:rsidRDefault="00EE5030" w:rsidP="00A54361">
      <w:pPr>
        <w:pStyle w:val="ListParagraph"/>
        <w:numPr>
          <w:ilvl w:val="0"/>
          <w:numId w:val="36"/>
        </w:numPr>
        <w:jc w:val="both"/>
        <w:rPr>
          <w:rFonts w:cstheme="minorHAnsi"/>
        </w:rPr>
      </w:pPr>
      <w:r w:rsidRPr="00A54361">
        <w:rPr>
          <w:rFonts w:cstheme="minorHAnsi"/>
        </w:rPr>
        <w:t>We agree t</w:t>
      </w:r>
      <w:r w:rsidR="00BA5C6E" w:rsidRPr="00A54361">
        <w:rPr>
          <w:rFonts w:cstheme="minorHAnsi"/>
        </w:rPr>
        <w:t>o abide by this bid Offer for 12</w:t>
      </w:r>
      <w:r w:rsidRPr="00A54361">
        <w:rPr>
          <w:rFonts w:cstheme="minorHAnsi"/>
        </w:rPr>
        <w:t>0 days from date of bid (Commercial Bid) opening and our Offer shall remain binding on us which may be accepted by the Bank any time before expiry of the offer.</w:t>
      </w:r>
    </w:p>
    <w:p w14:paraId="0602BFCE" w14:textId="215E923A" w:rsidR="00EE5030" w:rsidRPr="00A54361" w:rsidRDefault="00EE5030" w:rsidP="00A54361">
      <w:pPr>
        <w:pStyle w:val="ListParagraph"/>
        <w:numPr>
          <w:ilvl w:val="0"/>
          <w:numId w:val="36"/>
        </w:numPr>
        <w:jc w:val="both"/>
        <w:rPr>
          <w:rFonts w:cstheme="minorHAnsi"/>
        </w:rPr>
      </w:pPr>
      <w:r w:rsidRPr="00A54361">
        <w:rPr>
          <w:rFonts w:cstheme="minorHAnsi"/>
        </w:rPr>
        <w:t>This Bid, together with your written acceptance thereof and your notification of award, shall constitute a binding Contract between us.</w:t>
      </w:r>
    </w:p>
    <w:p w14:paraId="3284EF18" w14:textId="786A7211" w:rsidR="00EE5030" w:rsidRPr="00A54361" w:rsidRDefault="00EE5030" w:rsidP="00A54361">
      <w:pPr>
        <w:pStyle w:val="ListParagraph"/>
        <w:numPr>
          <w:ilvl w:val="0"/>
          <w:numId w:val="36"/>
        </w:numPr>
        <w:jc w:val="both"/>
        <w:rPr>
          <w:rFonts w:cstheme="minorHAnsi"/>
        </w:rPr>
      </w:pPr>
      <w:r w:rsidRPr="00A54361">
        <w:rPr>
          <w:rFonts w:cstheme="minorHAnsi"/>
        </w:rPr>
        <w:t xml:space="preserve">We undertake that in competing for and if the award is </w:t>
      </w:r>
      <w:r w:rsidR="00213198" w:rsidRPr="00A54361">
        <w:rPr>
          <w:rFonts w:cstheme="minorHAnsi"/>
        </w:rPr>
        <w:t>made to</w:t>
      </w:r>
      <w:r w:rsidRPr="00A54361">
        <w:rPr>
          <w:rFonts w:cstheme="minorHAnsi"/>
        </w:rPr>
        <w:t xml:space="preserve"> us, in executing the subject Contract, we will strictly observe the laws against fraud and corruption in force in India </w:t>
      </w:r>
      <w:r w:rsidR="00213198" w:rsidRPr="00A54361">
        <w:rPr>
          <w:rFonts w:cstheme="minorHAnsi"/>
        </w:rPr>
        <w:t>namely “</w:t>
      </w:r>
      <w:r w:rsidRPr="00A54361">
        <w:rPr>
          <w:rFonts w:cstheme="minorHAnsi"/>
        </w:rPr>
        <w:t xml:space="preserve">Prevention of Corruption Act 1988”. </w:t>
      </w:r>
    </w:p>
    <w:p w14:paraId="30D53A78" w14:textId="60B55474" w:rsidR="00EE5030" w:rsidRPr="00A54361" w:rsidRDefault="00EE5030" w:rsidP="00A54361">
      <w:pPr>
        <w:pStyle w:val="ListParagraph"/>
        <w:numPr>
          <w:ilvl w:val="0"/>
          <w:numId w:val="36"/>
        </w:numPr>
        <w:jc w:val="both"/>
        <w:rPr>
          <w:rFonts w:cstheme="minorHAnsi"/>
        </w:rPr>
      </w:pPr>
      <w:r w:rsidRPr="00A54361">
        <w:rPr>
          <w:rFonts w:cstheme="minorHAnsi"/>
        </w:rPr>
        <w:t>We certify that we have provided all the information requested by the bank in the format prescribed for. We also understand that the bank has the exclusive right to reject this offer in case the bank is of the opinion that the required information is not provided or is provided in a different format.</w:t>
      </w:r>
    </w:p>
    <w:p w14:paraId="7F30E3C2" w14:textId="77777777" w:rsidR="00EE5030" w:rsidRPr="00A54361" w:rsidRDefault="00EE5030" w:rsidP="00A54361">
      <w:pPr>
        <w:jc w:val="both"/>
        <w:rPr>
          <w:rFonts w:cstheme="minorHAnsi"/>
        </w:rPr>
      </w:pPr>
    </w:p>
    <w:p w14:paraId="119E8556" w14:textId="77777777" w:rsidR="00EE5030" w:rsidRPr="00A54361" w:rsidRDefault="00EE5030" w:rsidP="00A54361">
      <w:pPr>
        <w:jc w:val="both"/>
        <w:rPr>
          <w:rFonts w:cstheme="minorHAnsi"/>
        </w:rPr>
      </w:pPr>
    </w:p>
    <w:p w14:paraId="096DF176" w14:textId="77777777" w:rsidR="00EE5030" w:rsidRPr="00A54361" w:rsidRDefault="00EE5030" w:rsidP="00A54361">
      <w:pPr>
        <w:jc w:val="both"/>
        <w:rPr>
          <w:rFonts w:cstheme="minorHAnsi"/>
        </w:rPr>
      </w:pPr>
      <w:r w:rsidRPr="00A54361">
        <w:rPr>
          <w:rFonts w:cstheme="minorHAnsi"/>
        </w:rPr>
        <w:t xml:space="preserve">Authorised Signatory </w:t>
      </w:r>
    </w:p>
    <w:p w14:paraId="59D4FEB4" w14:textId="77777777" w:rsidR="00EE5030" w:rsidRPr="00A54361" w:rsidRDefault="00EE5030" w:rsidP="00A54361">
      <w:pPr>
        <w:pStyle w:val="Paragraph"/>
        <w:rPr>
          <w:rFonts w:asciiTheme="minorHAnsi" w:hAnsiTheme="minorHAnsi" w:cstheme="minorHAnsi"/>
          <w:szCs w:val="22"/>
        </w:rPr>
      </w:pPr>
      <w:r w:rsidRPr="00A54361">
        <w:rPr>
          <w:rFonts w:asciiTheme="minorHAnsi" w:hAnsiTheme="minorHAnsi" w:cstheme="minorHAnsi"/>
          <w:szCs w:val="22"/>
        </w:rPr>
        <w:t>(Name: Contact Person, Phone No., Fax, E-mail)</w:t>
      </w:r>
    </w:p>
    <w:p w14:paraId="36920D66" w14:textId="4F032B01" w:rsidR="00EE5030" w:rsidRPr="00A54361" w:rsidRDefault="00EE5030" w:rsidP="00A54361">
      <w:pPr>
        <w:pStyle w:val="Paragraph"/>
        <w:rPr>
          <w:rFonts w:asciiTheme="minorHAnsi" w:hAnsiTheme="minorHAnsi" w:cstheme="minorHAnsi"/>
          <w:szCs w:val="22"/>
        </w:rPr>
      </w:pPr>
      <w:r w:rsidRPr="00A54361">
        <w:rPr>
          <w:rFonts w:asciiTheme="minorHAnsi" w:hAnsiTheme="minorHAnsi" w:cstheme="minorHAnsi"/>
          <w:szCs w:val="22"/>
        </w:rPr>
        <w:t xml:space="preserve">(This letter should be on the letterhead of the Bidder duly signed by an authorized signatory) </w:t>
      </w:r>
    </w:p>
    <w:p w14:paraId="5C00DEE1" w14:textId="27CCA073" w:rsidR="000509F2" w:rsidRPr="00A54361" w:rsidRDefault="000509F2" w:rsidP="00A54361">
      <w:pPr>
        <w:jc w:val="both"/>
        <w:rPr>
          <w:rFonts w:cstheme="minorHAnsi"/>
        </w:rPr>
      </w:pPr>
      <w:r w:rsidRPr="00A54361">
        <w:rPr>
          <w:rFonts w:cstheme="minorHAnsi"/>
        </w:rPr>
        <w:br w:type="page"/>
      </w:r>
    </w:p>
    <w:p w14:paraId="390B5383" w14:textId="1DB9A750" w:rsidR="00EE5030" w:rsidRPr="00A54361" w:rsidRDefault="00EE5030" w:rsidP="00A54361">
      <w:pPr>
        <w:pStyle w:val="Heading1"/>
        <w:numPr>
          <w:ilvl w:val="0"/>
          <w:numId w:val="48"/>
        </w:numPr>
        <w:jc w:val="both"/>
        <w:rPr>
          <w:rFonts w:asciiTheme="minorHAnsi" w:hAnsiTheme="minorHAnsi" w:cstheme="minorHAnsi"/>
          <w:color w:val="auto"/>
        </w:rPr>
      </w:pPr>
      <w:bookmarkStart w:id="291" w:name="_Toc129668548"/>
      <w:bookmarkStart w:id="292" w:name="_Toc182233423"/>
      <w:r w:rsidRPr="00A54361">
        <w:rPr>
          <w:rFonts w:asciiTheme="minorHAnsi" w:hAnsiTheme="minorHAnsi" w:cstheme="minorHAnsi"/>
          <w:color w:val="auto"/>
        </w:rPr>
        <w:t xml:space="preserve">Annexure </w:t>
      </w:r>
      <w:r w:rsidR="00463CED">
        <w:rPr>
          <w:rFonts w:asciiTheme="minorHAnsi" w:hAnsiTheme="minorHAnsi" w:cstheme="minorHAnsi"/>
          <w:color w:val="auto"/>
        </w:rPr>
        <w:t>17</w:t>
      </w:r>
      <w:r w:rsidR="00CD7173" w:rsidRPr="00A54361">
        <w:rPr>
          <w:rFonts w:asciiTheme="minorHAnsi" w:hAnsiTheme="minorHAnsi" w:cstheme="minorHAnsi"/>
          <w:color w:val="auto"/>
        </w:rPr>
        <w:t>:</w:t>
      </w:r>
      <w:r w:rsidRPr="00A54361">
        <w:rPr>
          <w:rFonts w:asciiTheme="minorHAnsi" w:hAnsiTheme="minorHAnsi" w:cstheme="minorHAnsi"/>
          <w:color w:val="auto"/>
        </w:rPr>
        <w:t xml:space="preserve"> </w:t>
      </w:r>
      <w:r w:rsidR="00B031D2" w:rsidRPr="00A54361">
        <w:rPr>
          <w:rFonts w:asciiTheme="minorHAnsi" w:hAnsiTheme="minorHAnsi" w:cstheme="minorHAnsi"/>
          <w:color w:val="auto"/>
        </w:rPr>
        <w:t xml:space="preserve">Pre-bid </w:t>
      </w:r>
      <w:r w:rsidRPr="00A54361">
        <w:rPr>
          <w:rFonts w:asciiTheme="minorHAnsi" w:hAnsiTheme="minorHAnsi" w:cstheme="minorHAnsi"/>
          <w:color w:val="auto"/>
        </w:rPr>
        <w:t>Query Format</w:t>
      </w:r>
      <w:bookmarkEnd w:id="291"/>
      <w:bookmarkEnd w:id="292"/>
    </w:p>
    <w:p w14:paraId="5B88056F" w14:textId="2B8B3BAC" w:rsidR="00EE5030" w:rsidRPr="00A54361" w:rsidRDefault="00EE5030" w:rsidP="00A54361">
      <w:pPr>
        <w:jc w:val="both"/>
        <w:rPr>
          <w:rFonts w:cstheme="minorHAnsi"/>
        </w:rPr>
      </w:pPr>
      <w:r w:rsidRPr="00A54361">
        <w:rPr>
          <w:rFonts w:cstheme="minorHAnsi"/>
        </w:rPr>
        <w:t>Queries: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9"/>
        <w:gridCol w:w="832"/>
        <w:gridCol w:w="1216"/>
        <w:gridCol w:w="2937"/>
        <w:gridCol w:w="3282"/>
      </w:tblGrid>
      <w:tr w:rsidR="000D3DC1" w:rsidRPr="00A54361" w14:paraId="26C53468" w14:textId="77777777" w:rsidTr="000509F2">
        <w:trPr>
          <w:trHeight w:val="689"/>
        </w:trPr>
        <w:tc>
          <w:tcPr>
            <w:tcW w:w="415" w:type="pct"/>
            <w:shd w:val="clear" w:color="auto" w:fill="D9D9D9" w:themeFill="background1" w:themeFillShade="D9"/>
          </w:tcPr>
          <w:p w14:paraId="0C455363" w14:textId="77777777" w:rsidR="00EE5030" w:rsidRPr="00A54361" w:rsidRDefault="00EE5030" w:rsidP="00A54361">
            <w:pPr>
              <w:spacing w:after="100" w:afterAutospacing="1" w:line="240" w:lineRule="auto"/>
              <w:jc w:val="both"/>
              <w:rPr>
                <w:rFonts w:cstheme="minorHAnsi"/>
                <w:b/>
                <w:bCs/>
              </w:rPr>
            </w:pPr>
            <w:r w:rsidRPr="00A54361">
              <w:rPr>
                <w:rFonts w:cstheme="minorHAnsi"/>
                <w:b/>
                <w:bCs/>
              </w:rPr>
              <w:t>Sr. No.</w:t>
            </w:r>
          </w:p>
        </w:tc>
        <w:tc>
          <w:tcPr>
            <w:tcW w:w="461" w:type="pct"/>
            <w:shd w:val="clear" w:color="auto" w:fill="D9D9D9" w:themeFill="background1" w:themeFillShade="D9"/>
          </w:tcPr>
          <w:p w14:paraId="5A9CC233" w14:textId="77777777" w:rsidR="00EE5030" w:rsidRPr="00A54361" w:rsidRDefault="00EE5030" w:rsidP="00A54361">
            <w:pPr>
              <w:spacing w:after="100" w:afterAutospacing="1" w:line="240" w:lineRule="auto"/>
              <w:jc w:val="both"/>
              <w:rPr>
                <w:rFonts w:cstheme="minorHAnsi"/>
                <w:b/>
                <w:bCs/>
              </w:rPr>
            </w:pPr>
            <w:r w:rsidRPr="00A54361">
              <w:rPr>
                <w:rFonts w:cstheme="minorHAnsi"/>
                <w:b/>
                <w:bCs/>
              </w:rPr>
              <w:t>Page #</w:t>
            </w:r>
          </w:p>
        </w:tc>
        <w:tc>
          <w:tcPr>
            <w:tcW w:w="674" w:type="pct"/>
            <w:shd w:val="clear" w:color="auto" w:fill="D9D9D9" w:themeFill="background1" w:themeFillShade="D9"/>
          </w:tcPr>
          <w:p w14:paraId="4AD2F212" w14:textId="375168AC" w:rsidR="00EE5030" w:rsidRPr="00A54361" w:rsidRDefault="00EE5030" w:rsidP="00A54361">
            <w:pPr>
              <w:spacing w:after="100" w:afterAutospacing="1" w:line="240" w:lineRule="auto"/>
              <w:jc w:val="both"/>
              <w:rPr>
                <w:rFonts w:cstheme="minorHAnsi"/>
                <w:b/>
                <w:bCs/>
              </w:rPr>
            </w:pPr>
            <w:r w:rsidRPr="00A54361">
              <w:rPr>
                <w:rFonts w:cstheme="minorHAnsi"/>
                <w:b/>
                <w:bCs/>
              </w:rPr>
              <w:t>Point / Sect</w:t>
            </w:r>
            <w:r w:rsidR="006D3284" w:rsidRPr="00A54361">
              <w:rPr>
                <w:rFonts w:cstheme="minorHAnsi"/>
                <w:b/>
                <w:bCs/>
              </w:rPr>
              <w:t>i</w:t>
            </w:r>
            <w:r w:rsidRPr="00A54361">
              <w:rPr>
                <w:rFonts w:cstheme="minorHAnsi"/>
                <w:b/>
                <w:bCs/>
              </w:rPr>
              <w:t>on #</w:t>
            </w:r>
          </w:p>
        </w:tc>
        <w:tc>
          <w:tcPr>
            <w:tcW w:w="1629" w:type="pct"/>
            <w:shd w:val="clear" w:color="auto" w:fill="D9D9D9" w:themeFill="background1" w:themeFillShade="D9"/>
          </w:tcPr>
          <w:p w14:paraId="199D8AB0" w14:textId="77777777" w:rsidR="00EE5030" w:rsidRPr="00A54361" w:rsidRDefault="00EE5030" w:rsidP="00A54361">
            <w:pPr>
              <w:spacing w:after="100" w:afterAutospacing="1" w:line="240" w:lineRule="auto"/>
              <w:jc w:val="both"/>
              <w:rPr>
                <w:rFonts w:cstheme="minorHAnsi"/>
                <w:b/>
                <w:bCs/>
              </w:rPr>
            </w:pPr>
            <w:r w:rsidRPr="00A54361">
              <w:rPr>
                <w:rFonts w:cstheme="minorHAnsi"/>
                <w:b/>
                <w:bCs/>
              </w:rPr>
              <w:t>Query</w:t>
            </w:r>
          </w:p>
        </w:tc>
        <w:tc>
          <w:tcPr>
            <w:tcW w:w="1820" w:type="pct"/>
            <w:shd w:val="clear" w:color="auto" w:fill="D9D9D9" w:themeFill="background1" w:themeFillShade="D9"/>
          </w:tcPr>
          <w:p w14:paraId="4BDE35DD" w14:textId="77777777" w:rsidR="00EE5030" w:rsidRPr="00A54361" w:rsidRDefault="00EE5030" w:rsidP="00A54361">
            <w:pPr>
              <w:spacing w:after="100" w:afterAutospacing="1" w:line="240" w:lineRule="auto"/>
              <w:jc w:val="both"/>
              <w:rPr>
                <w:rFonts w:cstheme="minorHAnsi"/>
                <w:b/>
                <w:bCs/>
              </w:rPr>
            </w:pPr>
            <w:r w:rsidRPr="00A54361">
              <w:rPr>
                <w:rFonts w:cstheme="minorHAnsi"/>
                <w:b/>
                <w:bCs/>
              </w:rPr>
              <w:t>Banks Response (Bidder Should not fill in this column)</w:t>
            </w:r>
          </w:p>
        </w:tc>
      </w:tr>
      <w:tr w:rsidR="000D3DC1" w:rsidRPr="00A54361" w14:paraId="0BE63CCF" w14:textId="77777777" w:rsidTr="000509F2">
        <w:trPr>
          <w:trHeight w:val="457"/>
        </w:trPr>
        <w:tc>
          <w:tcPr>
            <w:tcW w:w="415" w:type="pct"/>
            <w:vAlign w:val="center"/>
          </w:tcPr>
          <w:p w14:paraId="76783A71" w14:textId="77777777" w:rsidR="00EE5030" w:rsidRPr="00A54361" w:rsidRDefault="00EE5030" w:rsidP="00A54361">
            <w:pPr>
              <w:jc w:val="both"/>
              <w:rPr>
                <w:rFonts w:cstheme="minorHAnsi"/>
              </w:rPr>
            </w:pPr>
            <w:r w:rsidRPr="00A54361">
              <w:rPr>
                <w:rFonts w:cstheme="minorHAnsi"/>
              </w:rPr>
              <w:t>1</w:t>
            </w:r>
          </w:p>
        </w:tc>
        <w:tc>
          <w:tcPr>
            <w:tcW w:w="461" w:type="pct"/>
          </w:tcPr>
          <w:p w14:paraId="7D66F7E2" w14:textId="77777777" w:rsidR="00EE5030" w:rsidRPr="00A54361" w:rsidRDefault="00EE5030" w:rsidP="00A54361">
            <w:pPr>
              <w:jc w:val="both"/>
              <w:rPr>
                <w:rFonts w:cstheme="minorHAnsi"/>
              </w:rPr>
            </w:pPr>
          </w:p>
        </w:tc>
        <w:tc>
          <w:tcPr>
            <w:tcW w:w="674" w:type="pct"/>
          </w:tcPr>
          <w:p w14:paraId="72409C99" w14:textId="77777777" w:rsidR="00EE5030" w:rsidRPr="00A54361" w:rsidRDefault="00EE5030" w:rsidP="00A54361">
            <w:pPr>
              <w:jc w:val="both"/>
              <w:rPr>
                <w:rFonts w:cstheme="minorHAnsi"/>
              </w:rPr>
            </w:pPr>
          </w:p>
        </w:tc>
        <w:tc>
          <w:tcPr>
            <w:tcW w:w="1629" w:type="pct"/>
          </w:tcPr>
          <w:p w14:paraId="33C49165" w14:textId="77777777" w:rsidR="00EE5030" w:rsidRPr="00A54361" w:rsidRDefault="00EE5030" w:rsidP="00A54361">
            <w:pPr>
              <w:jc w:val="both"/>
              <w:rPr>
                <w:rFonts w:cstheme="minorHAnsi"/>
              </w:rPr>
            </w:pPr>
          </w:p>
        </w:tc>
        <w:tc>
          <w:tcPr>
            <w:tcW w:w="1820" w:type="pct"/>
          </w:tcPr>
          <w:p w14:paraId="170A9441" w14:textId="77777777" w:rsidR="00EE5030" w:rsidRPr="00A54361" w:rsidRDefault="00EE5030" w:rsidP="00A54361">
            <w:pPr>
              <w:jc w:val="both"/>
              <w:rPr>
                <w:rFonts w:cstheme="minorHAnsi"/>
              </w:rPr>
            </w:pPr>
          </w:p>
        </w:tc>
      </w:tr>
      <w:tr w:rsidR="000D3DC1" w:rsidRPr="00A54361" w14:paraId="4EBD377A" w14:textId="77777777" w:rsidTr="000509F2">
        <w:trPr>
          <w:trHeight w:val="476"/>
        </w:trPr>
        <w:tc>
          <w:tcPr>
            <w:tcW w:w="415" w:type="pct"/>
            <w:vAlign w:val="center"/>
          </w:tcPr>
          <w:p w14:paraId="1AB797B6" w14:textId="77777777" w:rsidR="00EE5030" w:rsidRPr="00A54361" w:rsidRDefault="00EE5030" w:rsidP="00A54361">
            <w:pPr>
              <w:jc w:val="both"/>
              <w:rPr>
                <w:rFonts w:cstheme="minorHAnsi"/>
              </w:rPr>
            </w:pPr>
            <w:r w:rsidRPr="00A54361">
              <w:rPr>
                <w:rFonts w:cstheme="minorHAnsi"/>
              </w:rPr>
              <w:t>2</w:t>
            </w:r>
          </w:p>
        </w:tc>
        <w:tc>
          <w:tcPr>
            <w:tcW w:w="461" w:type="pct"/>
          </w:tcPr>
          <w:p w14:paraId="1043D1AD" w14:textId="77777777" w:rsidR="00EE5030" w:rsidRPr="00A54361" w:rsidRDefault="00EE5030" w:rsidP="00A54361">
            <w:pPr>
              <w:jc w:val="both"/>
              <w:rPr>
                <w:rFonts w:cstheme="minorHAnsi"/>
              </w:rPr>
            </w:pPr>
          </w:p>
        </w:tc>
        <w:tc>
          <w:tcPr>
            <w:tcW w:w="674" w:type="pct"/>
          </w:tcPr>
          <w:p w14:paraId="14CF81F0" w14:textId="77777777" w:rsidR="00EE5030" w:rsidRPr="00A54361" w:rsidRDefault="00EE5030" w:rsidP="00A54361">
            <w:pPr>
              <w:jc w:val="both"/>
              <w:rPr>
                <w:rFonts w:cstheme="minorHAnsi"/>
              </w:rPr>
            </w:pPr>
          </w:p>
        </w:tc>
        <w:tc>
          <w:tcPr>
            <w:tcW w:w="1629" w:type="pct"/>
          </w:tcPr>
          <w:p w14:paraId="77B88E7B" w14:textId="77777777" w:rsidR="00EE5030" w:rsidRPr="00A54361" w:rsidRDefault="00EE5030" w:rsidP="00A54361">
            <w:pPr>
              <w:jc w:val="both"/>
              <w:rPr>
                <w:rFonts w:cstheme="minorHAnsi"/>
              </w:rPr>
            </w:pPr>
          </w:p>
        </w:tc>
        <w:tc>
          <w:tcPr>
            <w:tcW w:w="1820" w:type="pct"/>
          </w:tcPr>
          <w:p w14:paraId="7E3EEAA8" w14:textId="77777777" w:rsidR="00EE5030" w:rsidRPr="00A54361" w:rsidRDefault="00EE5030" w:rsidP="00A54361">
            <w:pPr>
              <w:jc w:val="both"/>
              <w:rPr>
                <w:rFonts w:cstheme="minorHAnsi"/>
              </w:rPr>
            </w:pPr>
          </w:p>
        </w:tc>
      </w:tr>
      <w:tr w:rsidR="000D3DC1" w:rsidRPr="00A54361" w14:paraId="182A3901" w14:textId="77777777" w:rsidTr="000509F2">
        <w:trPr>
          <w:trHeight w:val="476"/>
        </w:trPr>
        <w:tc>
          <w:tcPr>
            <w:tcW w:w="415" w:type="pct"/>
            <w:vAlign w:val="center"/>
          </w:tcPr>
          <w:p w14:paraId="4C061451" w14:textId="77777777" w:rsidR="00EE5030" w:rsidRPr="00A54361" w:rsidRDefault="00EE5030" w:rsidP="00A54361">
            <w:pPr>
              <w:jc w:val="both"/>
              <w:rPr>
                <w:rFonts w:cstheme="minorHAnsi"/>
              </w:rPr>
            </w:pPr>
            <w:r w:rsidRPr="00A54361">
              <w:rPr>
                <w:rFonts w:cstheme="minorHAnsi"/>
              </w:rPr>
              <w:t>3</w:t>
            </w:r>
          </w:p>
        </w:tc>
        <w:tc>
          <w:tcPr>
            <w:tcW w:w="461" w:type="pct"/>
          </w:tcPr>
          <w:p w14:paraId="20464ED4" w14:textId="77777777" w:rsidR="00EE5030" w:rsidRPr="00A54361" w:rsidRDefault="00EE5030" w:rsidP="00A54361">
            <w:pPr>
              <w:jc w:val="both"/>
              <w:rPr>
                <w:rFonts w:cstheme="minorHAnsi"/>
              </w:rPr>
            </w:pPr>
          </w:p>
        </w:tc>
        <w:tc>
          <w:tcPr>
            <w:tcW w:w="674" w:type="pct"/>
          </w:tcPr>
          <w:p w14:paraId="444AE7F8" w14:textId="77777777" w:rsidR="00EE5030" w:rsidRPr="00A54361" w:rsidRDefault="00EE5030" w:rsidP="00A54361">
            <w:pPr>
              <w:jc w:val="both"/>
              <w:rPr>
                <w:rFonts w:cstheme="minorHAnsi"/>
              </w:rPr>
            </w:pPr>
          </w:p>
        </w:tc>
        <w:tc>
          <w:tcPr>
            <w:tcW w:w="1629" w:type="pct"/>
          </w:tcPr>
          <w:p w14:paraId="08B1DD7A" w14:textId="77777777" w:rsidR="00EE5030" w:rsidRPr="00A54361" w:rsidRDefault="00EE5030" w:rsidP="00A54361">
            <w:pPr>
              <w:jc w:val="both"/>
              <w:rPr>
                <w:rFonts w:cstheme="minorHAnsi"/>
              </w:rPr>
            </w:pPr>
          </w:p>
        </w:tc>
        <w:tc>
          <w:tcPr>
            <w:tcW w:w="1820" w:type="pct"/>
          </w:tcPr>
          <w:p w14:paraId="2A8A56A1" w14:textId="77777777" w:rsidR="00EE5030" w:rsidRPr="00A54361" w:rsidRDefault="00EE5030" w:rsidP="00A54361">
            <w:pPr>
              <w:jc w:val="both"/>
              <w:rPr>
                <w:rFonts w:cstheme="minorHAnsi"/>
              </w:rPr>
            </w:pPr>
          </w:p>
        </w:tc>
      </w:tr>
      <w:tr w:rsidR="000D3DC1" w:rsidRPr="00A54361" w14:paraId="5D1589D6" w14:textId="77777777" w:rsidTr="000509F2">
        <w:trPr>
          <w:trHeight w:val="457"/>
        </w:trPr>
        <w:tc>
          <w:tcPr>
            <w:tcW w:w="415" w:type="pct"/>
            <w:vAlign w:val="center"/>
          </w:tcPr>
          <w:p w14:paraId="26D99F07" w14:textId="77777777" w:rsidR="00EE5030" w:rsidRPr="00A54361" w:rsidRDefault="00EE5030" w:rsidP="00A54361">
            <w:pPr>
              <w:jc w:val="both"/>
              <w:rPr>
                <w:rFonts w:cstheme="minorHAnsi"/>
              </w:rPr>
            </w:pPr>
            <w:r w:rsidRPr="00A54361">
              <w:rPr>
                <w:rFonts w:cstheme="minorHAnsi"/>
              </w:rPr>
              <w:t>4</w:t>
            </w:r>
          </w:p>
        </w:tc>
        <w:tc>
          <w:tcPr>
            <w:tcW w:w="461" w:type="pct"/>
          </w:tcPr>
          <w:p w14:paraId="05B683D9" w14:textId="77777777" w:rsidR="00EE5030" w:rsidRPr="00A54361" w:rsidRDefault="00EE5030" w:rsidP="00A54361">
            <w:pPr>
              <w:jc w:val="both"/>
              <w:rPr>
                <w:rFonts w:cstheme="minorHAnsi"/>
              </w:rPr>
            </w:pPr>
          </w:p>
        </w:tc>
        <w:tc>
          <w:tcPr>
            <w:tcW w:w="674" w:type="pct"/>
          </w:tcPr>
          <w:p w14:paraId="45ECC711" w14:textId="77777777" w:rsidR="00EE5030" w:rsidRPr="00A54361" w:rsidRDefault="00EE5030" w:rsidP="00A54361">
            <w:pPr>
              <w:jc w:val="both"/>
              <w:rPr>
                <w:rFonts w:cstheme="minorHAnsi"/>
              </w:rPr>
            </w:pPr>
          </w:p>
        </w:tc>
        <w:tc>
          <w:tcPr>
            <w:tcW w:w="1629" w:type="pct"/>
          </w:tcPr>
          <w:p w14:paraId="279DA999" w14:textId="77777777" w:rsidR="00EE5030" w:rsidRPr="00A54361" w:rsidRDefault="00EE5030" w:rsidP="00A54361">
            <w:pPr>
              <w:jc w:val="both"/>
              <w:rPr>
                <w:rFonts w:cstheme="minorHAnsi"/>
              </w:rPr>
            </w:pPr>
          </w:p>
        </w:tc>
        <w:tc>
          <w:tcPr>
            <w:tcW w:w="1820" w:type="pct"/>
          </w:tcPr>
          <w:p w14:paraId="668024ED" w14:textId="77777777" w:rsidR="00EE5030" w:rsidRPr="00A54361" w:rsidRDefault="00EE5030" w:rsidP="00A54361">
            <w:pPr>
              <w:jc w:val="both"/>
              <w:rPr>
                <w:rFonts w:cstheme="minorHAnsi"/>
              </w:rPr>
            </w:pPr>
          </w:p>
        </w:tc>
      </w:tr>
      <w:tr w:rsidR="000D3DC1" w:rsidRPr="00A54361" w14:paraId="000999F6" w14:textId="77777777" w:rsidTr="000509F2">
        <w:trPr>
          <w:trHeight w:val="476"/>
        </w:trPr>
        <w:tc>
          <w:tcPr>
            <w:tcW w:w="415" w:type="pct"/>
            <w:vAlign w:val="center"/>
          </w:tcPr>
          <w:p w14:paraId="1E55CC9B" w14:textId="77777777" w:rsidR="00EE5030" w:rsidRPr="00A54361" w:rsidRDefault="00EE5030" w:rsidP="00A54361">
            <w:pPr>
              <w:jc w:val="both"/>
              <w:rPr>
                <w:rFonts w:cstheme="minorHAnsi"/>
              </w:rPr>
            </w:pPr>
            <w:r w:rsidRPr="00A54361">
              <w:rPr>
                <w:rFonts w:cstheme="minorHAnsi"/>
              </w:rPr>
              <w:t>5</w:t>
            </w:r>
          </w:p>
        </w:tc>
        <w:tc>
          <w:tcPr>
            <w:tcW w:w="461" w:type="pct"/>
          </w:tcPr>
          <w:p w14:paraId="5C97256E" w14:textId="77777777" w:rsidR="00EE5030" w:rsidRPr="00A54361" w:rsidRDefault="00EE5030" w:rsidP="00A54361">
            <w:pPr>
              <w:jc w:val="both"/>
              <w:rPr>
                <w:rFonts w:cstheme="minorHAnsi"/>
              </w:rPr>
            </w:pPr>
          </w:p>
        </w:tc>
        <w:tc>
          <w:tcPr>
            <w:tcW w:w="674" w:type="pct"/>
          </w:tcPr>
          <w:p w14:paraId="2D83E5F9" w14:textId="77777777" w:rsidR="00EE5030" w:rsidRPr="00A54361" w:rsidRDefault="00EE5030" w:rsidP="00A54361">
            <w:pPr>
              <w:jc w:val="both"/>
              <w:rPr>
                <w:rFonts w:cstheme="minorHAnsi"/>
              </w:rPr>
            </w:pPr>
          </w:p>
        </w:tc>
        <w:tc>
          <w:tcPr>
            <w:tcW w:w="1629" w:type="pct"/>
          </w:tcPr>
          <w:p w14:paraId="381A4259" w14:textId="77777777" w:rsidR="00EE5030" w:rsidRPr="00A54361" w:rsidRDefault="00EE5030" w:rsidP="00A54361">
            <w:pPr>
              <w:jc w:val="both"/>
              <w:rPr>
                <w:rFonts w:cstheme="minorHAnsi"/>
              </w:rPr>
            </w:pPr>
          </w:p>
        </w:tc>
        <w:tc>
          <w:tcPr>
            <w:tcW w:w="1820" w:type="pct"/>
          </w:tcPr>
          <w:p w14:paraId="62700F58" w14:textId="77777777" w:rsidR="00EE5030" w:rsidRPr="00A54361" w:rsidRDefault="00EE5030" w:rsidP="00A54361">
            <w:pPr>
              <w:jc w:val="both"/>
              <w:rPr>
                <w:rFonts w:cstheme="minorHAnsi"/>
              </w:rPr>
            </w:pPr>
          </w:p>
        </w:tc>
      </w:tr>
      <w:tr w:rsidR="000D3DC1" w:rsidRPr="00A54361" w14:paraId="2D4EC59B" w14:textId="77777777" w:rsidTr="000509F2">
        <w:trPr>
          <w:trHeight w:val="476"/>
        </w:trPr>
        <w:tc>
          <w:tcPr>
            <w:tcW w:w="415" w:type="pct"/>
            <w:vAlign w:val="center"/>
          </w:tcPr>
          <w:p w14:paraId="0B641091" w14:textId="77777777" w:rsidR="00EE5030" w:rsidRPr="00A54361" w:rsidRDefault="00EE5030" w:rsidP="00A54361">
            <w:pPr>
              <w:jc w:val="both"/>
              <w:rPr>
                <w:rFonts w:cstheme="minorHAnsi"/>
              </w:rPr>
            </w:pPr>
            <w:r w:rsidRPr="00A54361">
              <w:rPr>
                <w:rFonts w:cstheme="minorHAnsi"/>
              </w:rPr>
              <w:t>6</w:t>
            </w:r>
          </w:p>
        </w:tc>
        <w:tc>
          <w:tcPr>
            <w:tcW w:w="461" w:type="pct"/>
          </w:tcPr>
          <w:p w14:paraId="18DC45E0" w14:textId="77777777" w:rsidR="00EE5030" w:rsidRPr="00A54361" w:rsidRDefault="00EE5030" w:rsidP="00A54361">
            <w:pPr>
              <w:jc w:val="both"/>
              <w:rPr>
                <w:rFonts w:cstheme="minorHAnsi"/>
              </w:rPr>
            </w:pPr>
          </w:p>
        </w:tc>
        <w:tc>
          <w:tcPr>
            <w:tcW w:w="674" w:type="pct"/>
          </w:tcPr>
          <w:p w14:paraId="5571502D" w14:textId="77777777" w:rsidR="00EE5030" w:rsidRPr="00A54361" w:rsidRDefault="00EE5030" w:rsidP="00A54361">
            <w:pPr>
              <w:jc w:val="both"/>
              <w:rPr>
                <w:rFonts w:cstheme="minorHAnsi"/>
              </w:rPr>
            </w:pPr>
          </w:p>
        </w:tc>
        <w:tc>
          <w:tcPr>
            <w:tcW w:w="1629" w:type="pct"/>
          </w:tcPr>
          <w:p w14:paraId="771D9FA9" w14:textId="77777777" w:rsidR="00EE5030" w:rsidRPr="00A54361" w:rsidRDefault="00EE5030" w:rsidP="00A54361">
            <w:pPr>
              <w:jc w:val="both"/>
              <w:rPr>
                <w:rFonts w:cstheme="minorHAnsi"/>
              </w:rPr>
            </w:pPr>
          </w:p>
        </w:tc>
        <w:tc>
          <w:tcPr>
            <w:tcW w:w="1820" w:type="pct"/>
          </w:tcPr>
          <w:p w14:paraId="468311CD" w14:textId="77777777" w:rsidR="00EE5030" w:rsidRPr="00A54361" w:rsidRDefault="00EE5030" w:rsidP="00A54361">
            <w:pPr>
              <w:jc w:val="both"/>
              <w:rPr>
                <w:rFonts w:cstheme="minorHAnsi"/>
              </w:rPr>
            </w:pPr>
          </w:p>
        </w:tc>
      </w:tr>
      <w:tr w:rsidR="000D3DC1" w:rsidRPr="00A54361" w14:paraId="1B53C409" w14:textId="77777777" w:rsidTr="000509F2">
        <w:trPr>
          <w:trHeight w:val="457"/>
        </w:trPr>
        <w:tc>
          <w:tcPr>
            <w:tcW w:w="415" w:type="pct"/>
            <w:vAlign w:val="center"/>
          </w:tcPr>
          <w:p w14:paraId="41FFA6DF" w14:textId="77777777" w:rsidR="00EE5030" w:rsidRPr="00A54361" w:rsidRDefault="00EE5030" w:rsidP="00A54361">
            <w:pPr>
              <w:jc w:val="both"/>
              <w:rPr>
                <w:rFonts w:cstheme="minorHAnsi"/>
              </w:rPr>
            </w:pPr>
            <w:r w:rsidRPr="00A54361">
              <w:rPr>
                <w:rFonts w:cstheme="minorHAnsi"/>
              </w:rPr>
              <w:t>7</w:t>
            </w:r>
          </w:p>
        </w:tc>
        <w:tc>
          <w:tcPr>
            <w:tcW w:w="461" w:type="pct"/>
          </w:tcPr>
          <w:p w14:paraId="07B19181" w14:textId="77777777" w:rsidR="00EE5030" w:rsidRPr="00A54361" w:rsidRDefault="00EE5030" w:rsidP="00A54361">
            <w:pPr>
              <w:jc w:val="both"/>
              <w:rPr>
                <w:rFonts w:cstheme="minorHAnsi"/>
              </w:rPr>
            </w:pPr>
          </w:p>
        </w:tc>
        <w:tc>
          <w:tcPr>
            <w:tcW w:w="674" w:type="pct"/>
          </w:tcPr>
          <w:p w14:paraId="4227C932" w14:textId="77777777" w:rsidR="00EE5030" w:rsidRPr="00A54361" w:rsidRDefault="00EE5030" w:rsidP="00A54361">
            <w:pPr>
              <w:jc w:val="both"/>
              <w:rPr>
                <w:rFonts w:cstheme="minorHAnsi"/>
              </w:rPr>
            </w:pPr>
          </w:p>
        </w:tc>
        <w:tc>
          <w:tcPr>
            <w:tcW w:w="1629" w:type="pct"/>
          </w:tcPr>
          <w:p w14:paraId="0B5E5A02" w14:textId="77777777" w:rsidR="00EE5030" w:rsidRPr="00A54361" w:rsidRDefault="00EE5030" w:rsidP="00A54361">
            <w:pPr>
              <w:jc w:val="both"/>
              <w:rPr>
                <w:rFonts w:cstheme="minorHAnsi"/>
              </w:rPr>
            </w:pPr>
          </w:p>
        </w:tc>
        <w:tc>
          <w:tcPr>
            <w:tcW w:w="1820" w:type="pct"/>
          </w:tcPr>
          <w:p w14:paraId="3DAFC635" w14:textId="77777777" w:rsidR="00EE5030" w:rsidRPr="00A54361" w:rsidRDefault="00EE5030" w:rsidP="00A54361">
            <w:pPr>
              <w:jc w:val="both"/>
              <w:rPr>
                <w:rFonts w:cstheme="minorHAnsi"/>
              </w:rPr>
            </w:pPr>
          </w:p>
        </w:tc>
      </w:tr>
      <w:tr w:rsidR="000D3DC1" w:rsidRPr="00A54361" w14:paraId="5BFD8257" w14:textId="77777777" w:rsidTr="000509F2">
        <w:trPr>
          <w:trHeight w:val="457"/>
        </w:trPr>
        <w:tc>
          <w:tcPr>
            <w:tcW w:w="415" w:type="pct"/>
            <w:vAlign w:val="center"/>
          </w:tcPr>
          <w:p w14:paraId="77944C82" w14:textId="77777777" w:rsidR="00EE5030" w:rsidRPr="00A54361" w:rsidRDefault="00EE5030" w:rsidP="00A54361">
            <w:pPr>
              <w:jc w:val="both"/>
              <w:rPr>
                <w:rFonts w:cstheme="minorHAnsi"/>
              </w:rPr>
            </w:pPr>
            <w:r w:rsidRPr="00A54361">
              <w:rPr>
                <w:rFonts w:cstheme="minorHAnsi"/>
              </w:rPr>
              <w:t>8</w:t>
            </w:r>
          </w:p>
        </w:tc>
        <w:tc>
          <w:tcPr>
            <w:tcW w:w="461" w:type="pct"/>
          </w:tcPr>
          <w:p w14:paraId="0F47FCC2" w14:textId="77777777" w:rsidR="00EE5030" w:rsidRPr="00A54361" w:rsidRDefault="00EE5030" w:rsidP="00A54361">
            <w:pPr>
              <w:jc w:val="both"/>
              <w:rPr>
                <w:rFonts w:cstheme="minorHAnsi"/>
              </w:rPr>
            </w:pPr>
          </w:p>
        </w:tc>
        <w:tc>
          <w:tcPr>
            <w:tcW w:w="674" w:type="pct"/>
          </w:tcPr>
          <w:p w14:paraId="57B856BF" w14:textId="77777777" w:rsidR="00EE5030" w:rsidRPr="00A54361" w:rsidRDefault="00EE5030" w:rsidP="00A54361">
            <w:pPr>
              <w:jc w:val="both"/>
              <w:rPr>
                <w:rFonts w:cstheme="minorHAnsi"/>
              </w:rPr>
            </w:pPr>
          </w:p>
        </w:tc>
        <w:tc>
          <w:tcPr>
            <w:tcW w:w="1629" w:type="pct"/>
          </w:tcPr>
          <w:p w14:paraId="55E4C709" w14:textId="77777777" w:rsidR="00EE5030" w:rsidRPr="00A54361" w:rsidRDefault="00EE5030" w:rsidP="00A54361">
            <w:pPr>
              <w:jc w:val="both"/>
              <w:rPr>
                <w:rFonts w:cstheme="minorHAnsi"/>
              </w:rPr>
            </w:pPr>
          </w:p>
        </w:tc>
        <w:tc>
          <w:tcPr>
            <w:tcW w:w="1820" w:type="pct"/>
          </w:tcPr>
          <w:p w14:paraId="44B48274" w14:textId="77777777" w:rsidR="00EE5030" w:rsidRPr="00A54361" w:rsidRDefault="00EE5030" w:rsidP="00A54361">
            <w:pPr>
              <w:jc w:val="both"/>
              <w:rPr>
                <w:rFonts w:cstheme="minorHAnsi"/>
              </w:rPr>
            </w:pPr>
          </w:p>
        </w:tc>
      </w:tr>
      <w:tr w:rsidR="000D3DC1" w:rsidRPr="00A54361" w14:paraId="3B36573E" w14:textId="77777777" w:rsidTr="000509F2">
        <w:trPr>
          <w:trHeight w:val="476"/>
        </w:trPr>
        <w:tc>
          <w:tcPr>
            <w:tcW w:w="415" w:type="pct"/>
            <w:vAlign w:val="center"/>
          </w:tcPr>
          <w:p w14:paraId="277E3A85" w14:textId="77777777" w:rsidR="00EE5030" w:rsidRPr="00A54361" w:rsidRDefault="00EE5030" w:rsidP="00A54361">
            <w:pPr>
              <w:jc w:val="both"/>
              <w:rPr>
                <w:rFonts w:cstheme="minorHAnsi"/>
              </w:rPr>
            </w:pPr>
            <w:r w:rsidRPr="00A54361">
              <w:rPr>
                <w:rFonts w:cstheme="minorHAnsi"/>
              </w:rPr>
              <w:t>9</w:t>
            </w:r>
          </w:p>
        </w:tc>
        <w:tc>
          <w:tcPr>
            <w:tcW w:w="461" w:type="pct"/>
          </w:tcPr>
          <w:p w14:paraId="3097BDE9" w14:textId="77777777" w:rsidR="00EE5030" w:rsidRPr="00A54361" w:rsidRDefault="00EE5030" w:rsidP="00A54361">
            <w:pPr>
              <w:jc w:val="both"/>
              <w:rPr>
                <w:rFonts w:cstheme="minorHAnsi"/>
              </w:rPr>
            </w:pPr>
          </w:p>
        </w:tc>
        <w:tc>
          <w:tcPr>
            <w:tcW w:w="674" w:type="pct"/>
          </w:tcPr>
          <w:p w14:paraId="485D52F5" w14:textId="77777777" w:rsidR="00EE5030" w:rsidRPr="00A54361" w:rsidRDefault="00EE5030" w:rsidP="00A54361">
            <w:pPr>
              <w:jc w:val="both"/>
              <w:rPr>
                <w:rFonts w:cstheme="minorHAnsi"/>
              </w:rPr>
            </w:pPr>
          </w:p>
        </w:tc>
        <w:tc>
          <w:tcPr>
            <w:tcW w:w="1629" w:type="pct"/>
          </w:tcPr>
          <w:p w14:paraId="3F446D80" w14:textId="77777777" w:rsidR="00EE5030" w:rsidRPr="00A54361" w:rsidRDefault="00EE5030" w:rsidP="00A54361">
            <w:pPr>
              <w:jc w:val="both"/>
              <w:rPr>
                <w:rFonts w:cstheme="minorHAnsi"/>
              </w:rPr>
            </w:pPr>
          </w:p>
        </w:tc>
        <w:tc>
          <w:tcPr>
            <w:tcW w:w="1820" w:type="pct"/>
          </w:tcPr>
          <w:p w14:paraId="3F29A1F0" w14:textId="77777777" w:rsidR="00EE5030" w:rsidRPr="00A54361" w:rsidRDefault="00EE5030" w:rsidP="00A54361">
            <w:pPr>
              <w:jc w:val="both"/>
              <w:rPr>
                <w:rFonts w:cstheme="minorHAnsi"/>
              </w:rPr>
            </w:pPr>
          </w:p>
        </w:tc>
      </w:tr>
    </w:tbl>
    <w:p w14:paraId="2EBDC44F" w14:textId="77777777" w:rsidR="00EE5030" w:rsidRPr="00A54361" w:rsidRDefault="00EE5030" w:rsidP="00A54361">
      <w:pPr>
        <w:jc w:val="both"/>
        <w:rPr>
          <w:rFonts w:cstheme="minorHAnsi"/>
        </w:rPr>
      </w:pPr>
    </w:p>
    <w:p w14:paraId="24A1C2AE" w14:textId="77777777" w:rsidR="00EE5030" w:rsidRPr="00A54361" w:rsidRDefault="00EE5030" w:rsidP="00A54361">
      <w:pPr>
        <w:jc w:val="both"/>
        <w:rPr>
          <w:rFonts w:cstheme="minorHAnsi"/>
        </w:rPr>
      </w:pPr>
      <w:r w:rsidRPr="00A54361">
        <w:rPr>
          <w:rFonts w:cstheme="minorHAnsi"/>
        </w:rPr>
        <w:t>Date:</w:t>
      </w:r>
    </w:p>
    <w:p w14:paraId="6CB64DCC" w14:textId="77777777" w:rsidR="00EE5030" w:rsidRPr="00A54361" w:rsidRDefault="00EE5030" w:rsidP="00A54361">
      <w:pPr>
        <w:jc w:val="both"/>
        <w:rPr>
          <w:rFonts w:cstheme="minorHAnsi"/>
        </w:rPr>
      </w:pPr>
    </w:p>
    <w:p w14:paraId="28D37AFB" w14:textId="77777777" w:rsidR="00EE5030" w:rsidRPr="00A54361" w:rsidRDefault="00EE5030" w:rsidP="00A54361">
      <w:pPr>
        <w:jc w:val="both"/>
        <w:rPr>
          <w:rFonts w:cstheme="minorHAnsi"/>
        </w:rPr>
      </w:pPr>
    </w:p>
    <w:p w14:paraId="5421AA00" w14:textId="77777777" w:rsidR="00EE5030" w:rsidRPr="00A54361" w:rsidRDefault="00EE5030" w:rsidP="00A54361">
      <w:pPr>
        <w:jc w:val="both"/>
        <w:rPr>
          <w:rFonts w:cstheme="minorHAnsi"/>
        </w:rPr>
      </w:pPr>
      <w:r w:rsidRPr="00A54361">
        <w:rPr>
          <w:rFonts w:cstheme="minorHAnsi"/>
        </w:rPr>
        <w:t>Authorised Signatory &amp; Stamp</w:t>
      </w:r>
    </w:p>
    <w:p w14:paraId="2A83B265" w14:textId="77777777" w:rsidR="00EE5030" w:rsidRPr="00A54361" w:rsidRDefault="00EE5030" w:rsidP="00A54361">
      <w:pPr>
        <w:pStyle w:val="Paragraph"/>
        <w:rPr>
          <w:rFonts w:asciiTheme="minorHAnsi" w:hAnsiTheme="minorHAnsi" w:cstheme="minorHAnsi"/>
          <w:szCs w:val="22"/>
        </w:rPr>
      </w:pPr>
      <w:r w:rsidRPr="00A54361">
        <w:rPr>
          <w:rFonts w:asciiTheme="minorHAnsi" w:hAnsiTheme="minorHAnsi" w:cstheme="minorHAnsi"/>
          <w:szCs w:val="22"/>
        </w:rPr>
        <w:t>(Name: Contact Person, Phone No., Fax, E-mail)</w:t>
      </w:r>
    </w:p>
    <w:p w14:paraId="195F91DA" w14:textId="77777777" w:rsidR="00EE5030" w:rsidRPr="00A54361" w:rsidRDefault="00EE5030" w:rsidP="00A54361">
      <w:pPr>
        <w:spacing w:before="120" w:after="120"/>
        <w:jc w:val="both"/>
        <w:rPr>
          <w:rFonts w:cstheme="minorHAnsi"/>
        </w:rPr>
      </w:pPr>
    </w:p>
    <w:p w14:paraId="2873327C" w14:textId="3C760B3D" w:rsidR="006D3284" w:rsidRPr="00A54361" w:rsidRDefault="006D3284" w:rsidP="00A54361">
      <w:pPr>
        <w:jc w:val="both"/>
        <w:rPr>
          <w:rFonts w:cstheme="minorHAnsi"/>
        </w:rPr>
      </w:pPr>
      <w:r w:rsidRPr="00A54361">
        <w:rPr>
          <w:rFonts w:cstheme="minorHAnsi"/>
        </w:rPr>
        <w:br w:type="page"/>
      </w:r>
    </w:p>
    <w:p w14:paraId="5F3F1F31" w14:textId="213AB139" w:rsidR="00D1467F" w:rsidRPr="00A54361" w:rsidRDefault="00463CED" w:rsidP="00A54361">
      <w:pPr>
        <w:pStyle w:val="Heading1"/>
        <w:numPr>
          <w:ilvl w:val="0"/>
          <w:numId w:val="48"/>
        </w:numPr>
        <w:jc w:val="both"/>
        <w:rPr>
          <w:rFonts w:asciiTheme="minorHAnsi" w:hAnsiTheme="minorHAnsi" w:cstheme="minorHAnsi"/>
          <w:color w:val="auto"/>
        </w:rPr>
      </w:pPr>
      <w:bookmarkStart w:id="293" w:name="_Toc129668549"/>
      <w:bookmarkStart w:id="294" w:name="_Toc182233424"/>
      <w:r>
        <w:rPr>
          <w:rFonts w:asciiTheme="minorHAnsi" w:hAnsiTheme="minorHAnsi" w:cstheme="minorHAnsi"/>
          <w:color w:val="auto"/>
        </w:rPr>
        <w:t>Annexure 18</w:t>
      </w:r>
      <w:r w:rsidR="00CD7173" w:rsidRPr="00A54361">
        <w:rPr>
          <w:rFonts w:asciiTheme="minorHAnsi" w:hAnsiTheme="minorHAnsi" w:cstheme="minorHAnsi"/>
          <w:color w:val="auto"/>
        </w:rPr>
        <w:t>:</w:t>
      </w:r>
      <w:r w:rsidR="00D1467F" w:rsidRPr="00A54361">
        <w:rPr>
          <w:rFonts w:asciiTheme="minorHAnsi" w:hAnsiTheme="minorHAnsi" w:cstheme="minorHAnsi"/>
          <w:color w:val="auto"/>
        </w:rPr>
        <w:t xml:space="preserve"> Eligibility Criteria Compliance</w:t>
      </w:r>
      <w:bookmarkEnd w:id="293"/>
      <w:bookmarkEnd w:id="294"/>
      <w:r w:rsidR="00C8461A" w:rsidRPr="00A54361">
        <w:rPr>
          <w:rFonts w:asciiTheme="minorHAnsi" w:hAnsiTheme="minorHAnsi" w:cstheme="minorHAnsi"/>
          <w:color w:val="auto"/>
        </w:rPr>
        <w:t xml:space="preserve"> </w:t>
      </w:r>
    </w:p>
    <w:p w14:paraId="33D909A3" w14:textId="77777777" w:rsidR="00D1467F" w:rsidRPr="00A54361" w:rsidRDefault="00D1467F" w:rsidP="00A54361">
      <w:pPr>
        <w:pStyle w:val="StyleVerdana10ptJustifiedBefore48ptAfter48ptL"/>
        <w:rPr>
          <w:rFonts w:asciiTheme="minorHAnsi" w:hAnsiTheme="minorHAnsi" w:cstheme="minorHAnsi"/>
          <w:sz w:val="22"/>
          <w:szCs w:val="22"/>
        </w:rPr>
      </w:pPr>
      <w:r w:rsidRPr="00A54361">
        <w:rPr>
          <w:rFonts w:asciiTheme="minorHAnsi" w:hAnsiTheme="minorHAnsi" w:cstheme="minorHAnsi"/>
          <w:sz w:val="22"/>
          <w:szCs w:val="22"/>
        </w:rPr>
        <w:t>Bidder needs to comply with the eligibility criterion mentioned below. Non-compliance with any of these criterions would result in outright rejection of bidder’s proposal. Bidder is expected to provide proof for each of the points for eligibility evaluation criteria. Any credential detail not accompanied by required relevant proof documents will not be considered for evaluation. All credential letters should be appropriately bound, labeled and segregated in the respective areas. There is no restriction on the number of credentials a bidder can provide.</w:t>
      </w:r>
    </w:p>
    <w:p w14:paraId="28538563" w14:textId="77777777" w:rsidR="00D1467F" w:rsidRPr="00A54361" w:rsidRDefault="00D1467F" w:rsidP="00A54361">
      <w:pPr>
        <w:pStyle w:val="StyleVerdana10ptJustifiedBefore48ptAfter48ptL"/>
        <w:rPr>
          <w:rFonts w:asciiTheme="minorHAnsi" w:hAnsiTheme="minorHAnsi" w:cstheme="minorHAnsi"/>
          <w:sz w:val="22"/>
          <w:szCs w:val="22"/>
        </w:rPr>
      </w:pPr>
      <w:r w:rsidRPr="00A54361">
        <w:rPr>
          <w:rFonts w:asciiTheme="minorHAnsi" w:hAnsiTheme="minorHAnsi" w:cstheme="minorHAnsi"/>
          <w:sz w:val="22"/>
          <w:szCs w:val="22"/>
        </w:rPr>
        <w:t>The decision of Bank pertaining to Eligibility Criteria evaluation would be final and binding on all the bidders. Bank may accept or reject an offer without assigning any reason whatsoever.</w:t>
      </w:r>
    </w:p>
    <w:p w14:paraId="4955BDDB" w14:textId="4DB88D64" w:rsidR="00E018C5" w:rsidRPr="00A54361" w:rsidRDefault="00E018C5" w:rsidP="00A54361">
      <w:pPr>
        <w:jc w:val="both"/>
        <w:rPr>
          <w:rFonts w:cstheme="minorHAnsi"/>
        </w:rPr>
      </w:pPr>
      <w:r w:rsidRPr="00A54361">
        <w:rPr>
          <w:rFonts w:cstheme="minorHAnsi"/>
        </w:rPr>
        <w:t>The Bidder must fulfil following eligibility criteria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3924"/>
        <w:gridCol w:w="3264"/>
        <w:gridCol w:w="1286"/>
      </w:tblGrid>
      <w:tr w:rsidR="000D3DC1" w:rsidRPr="00A54361" w14:paraId="1E7177E1" w14:textId="77777777" w:rsidTr="0087746D">
        <w:trPr>
          <w:tblHeader/>
        </w:trPr>
        <w:tc>
          <w:tcPr>
            <w:tcW w:w="301" w:type="pct"/>
            <w:shd w:val="clear" w:color="auto" w:fill="1F3864" w:themeFill="accent1" w:themeFillShade="80"/>
          </w:tcPr>
          <w:p w14:paraId="5F01EAFB" w14:textId="77777777" w:rsidR="00B46D62" w:rsidRPr="00A54361" w:rsidRDefault="00B46D62" w:rsidP="00A54361">
            <w:pPr>
              <w:jc w:val="both"/>
              <w:rPr>
                <w:rFonts w:cstheme="minorHAnsi"/>
                <w:b/>
                <w:bCs/>
                <w:sz w:val="20"/>
                <w:szCs w:val="20"/>
              </w:rPr>
            </w:pPr>
            <w:r w:rsidRPr="00A54361">
              <w:rPr>
                <w:rFonts w:cstheme="minorHAnsi"/>
                <w:b/>
                <w:bCs/>
                <w:sz w:val="20"/>
                <w:szCs w:val="20"/>
              </w:rPr>
              <w:t>#</w:t>
            </w:r>
          </w:p>
        </w:tc>
        <w:tc>
          <w:tcPr>
            <w:tcW w:w="2176" w:type="pct"/>
            <w:shd w:val="clear" w:color="auto" w:fill="1F3864" w:themeFill="accent1" w:themeFillShade="80"/>
          </w:tcPr>
          <w:p w14:paraId="67A09651" w14:textId="77777777" w:rsidR="00B46D62" w:rsidRPr="00A54361" w:rsidRDefault="00B46D62" w:rsidP="00A54361">
            <w:pPr>
              <w:jc w:val="both"/>
              <w:rPr>
                <w:rFonts w:cstheme="minorHAnsi"/>
                <w:b/>
                <w:bCs/>
                <w:sz w:val="20"/>
                <w:szCs w:val="20"/>
              </w:rPr>
            </w:pPr>
            <w:r w:rsidRPr="00A54361">
              <w:rPr>
                <w:rFonts w:cstheme="minorHAnsi"/>
                <w:b/>
                <w:bCs/>
                <w:sz w:val="20"/>
                <w:szCs w:val="20"/>
              </w:rPr>
              <w:t>Eligibility of the Bidder</w:t>
            </w:r>
          </w:p>
        </w:tc>
        <w:tc>
          <w:tcPr>
            <w:tcW w:w="1810" w:type="pct"/>
            <w:shd w:val="clear" w:color="auto" w:fill="1F3864" w:themeFill="accent1" w:themeFillShade="80"/>
          </w:tcPr>
          <w:p w14:paraId="16B39A4A" w14:textId="77777777" w:rsidR="00B46D62" w:rsidRPr="00A54361" w:rsidRDefault="00B46D62" w:rsidP="00A54361">
            <w:pPr>
              <w:jc w:val="both"/>
              <w:rPr>
                <w:rFonts w:cstheme="minorHAnsi"/>
                <w:b/>
                <w:bCs/>
                <w:sz w:val="20"/>
                <w:szCs w:val="20"/>
              </w:rPr>
            </w:pPr>
            <w:r w:rsidRPr="00A54361">
              <w:rPr>
                <w:rFonts w:cstheme="minorHAnsi"/>
                <w:b/>
                <w:bCs/>
                <w:sz w:val="20"/>
                <w:szCs w:val="20"/>
              </w:rPr>
              <w:t>Documents to be submitted</w:t>
            </w:r>
          </w:p>
        </w:tc>
        <w:tc>
          <w:tcPr>
            <w:tcW w:w="713" w:type="pct"/>
            <w:shd w:val="clear" w:color="auto" w:fill="1F3864" w:themeFill="accent1" w:themeFillShade="80"/>
          </w:tcPr>
          <w:p w14:paraId="0332BBD7" w14:textId="77777777" w:rsidR="00B46D62" w:rsidRPr="00A54361" w:rsidRDefault="00B46D62" w:rsidP="00A54361">
            <w:pPr>
              <w:jc w:val="both"/>
              <w:rPr>
                <w:rFonts w:cstheme="minorHAnsi"/>
                <w:b/>
                <w:bCs/>
                <w:sz w:val="20"/>
                <w:szCs w:val="20"/>
              </w:rPr>
            </w:pPr>
            <w:r w:rsidRPr="00A54361">
              <w:rPr>
                <w:rFonts w:cstheme="minorHAnsi"/>
                <w:b/>
                <w:bCs/>
                <w:sz w:val="20"/>
                <w:szCs w:val="20"/>
              </w:rPr>
              <w:t>Compliance</w:t>
            </w:r>
          </w:p>
          <w:p w14:paraId="4C5CC800" w14:textId="77777777" w:rsidR="00B46D62" w:rsidRPr="00A54361" w:rsidRDefault="00B46D62" w:rsidP="00A54361">
            <w:pPr>
              <w:jc w:val="both"/>
              <w:rPr>
                <w:rFonts w:cstheme="minorHAnsi"/>
                <w:b/>
                <w:bCs/>
                <w:sz w:val="20"/>
                <w:szCs w:val="20"/>
              </w:rPr>
            </w:pPr>
            <w:r w:rsidRPr="00A54361">
              <w:rPr>
                <w:rFonts w:cstheme="minorHAnsi"/>
                <w:b/>
                <w:bCs/>
                <w:sz w:val="20"/>
                <w:szCs w:val="20"/>
              </w:rPr>
              <w:t>(Y/N)</w:t>
            </w:r>
          </w:p>
        </w:tc>
      </w:tr>
      <w:tr w:rsidR="000D3DC1" w:rsidRPr="00A54361" w14:paraId="18210913" w14:textId="77777777" w:rsidTr="0087746D">
        <w:tc>
          <w:tcPr>
            <w:tcW w:w="301" w:type="pct"/>
          </w:tcPr>
          <w:p w14:paraId="0210AEFC" w14:textId="77777777" w:rsidR="00B46D62" w:rsidRPr="00A54361" w:rsidRDefault="00B46D62" w:rsidP="00A54361">
            <w:pPr>
              <w:pStyle w:val="ListParagraph"/>
              <w:numPr>
                <w:ilvl w:val="0"/>
                <w:numId w:val="78"/>
              </w:numPr>
              <w:jc w:val="both"/>
              <w:rPr>
                <w:rFonts w:cstheme="minorHAnsi"/>
                <w:sz w:val="20"/>
                <w:szCs w:val="20"/>
              </w:rPr>
            </w:pPr>
          </w:p>
        </w:tc>
        <w:tc>
          <w:tcPr>
            <w:tcW w:w="2176" w:type="pct"/>
          </w:tcPr>
          <w:p w14:paraId="5515AE85" w14:textId="77777777" w:rsidR="00B46D62" w:rsidRPr="00A54361" w:rsidRDefault="00B46D62" w:rsidP="00A54361">
            <w:pPr>
              <w:jc w:val="both"/>
              <w:rPr>
                <w:rFonts w:cstheme="minorHAnsi"/>
                <w:sz w:val="20"/>
                <w:szCs w:val="20"/>
              </w:rPr>
            </w:pPr>
            <w:r w:rsidRPr="00A54361">
              <w:rPr>
                <w:rFonts w:cstheme="minorHAnsi"/>
                <w:sz w:val="20"/>
                <w:szCs w:val="20"/>
              </w:rPr>
              <w:t xml:space="preserve">Bidder should be a Registered company under Indian Companies Act. 1956/2013 or LLP/Partnership firm and should have been in existence for a minimum period of 5 years in India, as on date of submission of RFP. </w:t>
            </w:r>
          </w:p>
        </w:tc>
        <w:tc>
          <w:tcPr>
            <w:tcW w:w="1810" w:type="pct"/>
          </w:tcPr>
          <w:p w14:paraId="3BD50E45" w14:textId="77777777" w:rsidR="00B46D62" w:rsidRPr="00A54361" w:rsidRDefault="00B46D62" w:rsidP="00A54361">
            <w:pPr>
              <w:jc w:val="both"/>
              <w:rPr>
                <w:rFonts w:cstheme="minorHAnsi"/>
                <w:sz w:val="20"/>
                <w:szCs w:val="20"/>
              </w:rPr>
            </w:pPr>
            <w:r w:rsidRPr="00A54361">
              <w:rPr>
                <w:rFonts w:cstheme="minorHAnsi"/>
                <w:sz w:val="20"/>
                <w:szCs w:val="20"/>
              </w:rPr>
              <w:t>Copy of the Certificate of Incorporation issued by Registrar of Companies/Registrar of firms and full address of the registered office of the bidder</w:t>
            </w:r>
          </w:p>
        </w:tc>
        <w:tc>
          <w:tcPr>
            <w:tcW w:w="713" w:type="pct"/>
          </w:tcPr>
          <w:p w14:paraId="77913166" w14:textId="77777777" w:rsidR="00B46D62" w:rsidRPr="00A54361" w:rsidRDefault="00B46D62" w:rsidP="00A54361">
            <w:pPr>
              <w:jc w:val="both"/>
              <w:rPr>
                <w:rFonts w:cstheme="minorHAnsi"/>
                <w:sz w:val="20"/>
                <w:szCs w:val="20"/>
              </w:rPr>
            </w:pPr>
          </w:p>
        </w:tc>
      </w:tr>
      <w:tr w:rsidR="000D3DC1" w:rsidRPr="00A54361" w14:paraId="2384DFF2" w14:textId="77777777" w:rsidTr="0087746D">
        <w:tc>
          <w:tcPr>
            <w:tcW w:w="301" w:type="pct"/>
          </w:tcPr>
          <w:p w14:paraId="4665CA7C" w14:textId="77777777" w:rsidR="00B46D62" w:rsidRPr="00A54361" w:rsidRDefault="00B46D62" w:rsidP="00A54361">
            <w:pPr>
              <w:pStyle w:val="ListParagraph"/>
              <w:numPr>
                <w:ilvl w:val="0"/>
                <w:numId w:val="78"/>
              </w:numPr>
              <w:jc w:val="both"/>
              <w:rPr>
                <w:rFonts w:cstheme="minorHAnsi"/>
                <w:sz w:val="20"/>
                <w:szCs w:val="20"/>
              </w:rPr>
            </w:pPr>
          </w:p>
        </w:tc>
        <w:tc>
          <w:tcPr>
            <w:tcW w:w="2176" w:type="pct"/>
          </w:tcPr>
          <w:p w14:paraId="4A15D3CF" w14:textId="77777777" w:rsidR="00B46D62" w:rsidRPr="00A54361" w:rsidRDefault="00B46D62" w:rsidP="00A54361">
            <w:pPr>
              <w:jc w:val="both"/>
              <w:rPr>
                <w:rFonts w:cstheme="minorHAnsi"/>
                <w:sz w:val="20"/>
                <w:szCs w:val="20"/>
              </w:rPr>
            </w:pPr>
            <w:r w:rsidRPr="00A54361">
              <w:rPr>
                <w:rFonts w:cstheme="minorHAnsi"/>
                <w:sz w:val="20"/>
                <w:szCs w:val="20"/>
              </w:rPr>
              <w:t>Bidder should be registered under G.S.T and/or tax registration in state where bidder has a registered office</w:t>
            </w:r>
          </w:p>
        </w:tc>
        <w:tc>
          <w:tcPr>
            <w:tcW w:w="1810" w:type="pct"/>
          </w:tcPr>
          <w:p w14:paraId="426B8118" w14:textId="77777777" w:rsidR="00B46D62" w:rsidRPr="00A54361" w:rsidRDefault="00B46D62" w:rsidP="00A54361">
            <w:pPr>
              <w:jc w:val="both"/>
              <w:rPr>
                <w:rFonts w:cstheme="minorHAnsi"/>
                <w:sz w:val="20"/>
                <w:szCs w:val="20"/>
              </w:rPr>
            </w:pPr>
            <w:r w:rsidRPr="00A54361">
              <w:rPr>
                <w:rFonts w:cstheme="minorHAnsi"/>
                <w:sz w:val="20"/>
                <w:szCs w:val="20"/>
              </w:rPr>
              <w:t>Proof of registration with GSTIN</w:t>
            </w:r>
          </w:p>
        </w:tc>
        <w:tc>
          <w:tcPr>
            <w:tcW w:w="713" w:type="pct"/>
          </w:tcPr>
          <w:p w14:paraId="314447D7" w14:textId="77777777" w:rsidR="00B46D62" w:rsidRPr="00A54361" w:rsidRDefault="00B46D62" w:rsidP="00A54361">
            <w:pPr>
              <w:jc w:val="both"/>
              <w:rPr>
                <w:rFonts w:cstheme="minorHAnsi"/>
                <w:sz w:val="20"/>
                <w:szCs w:val="20"/>
              </w:rPr>
            </w:pPr>
          </w:p>
        </w:tc>
      </w:tr>
      <w:tr w:rsidR="000D3DC1" w:rsidRPr="00A54361" w14:paraId="3978002F" w14:textId="77777777" w:rsidTr="0087746D">
        <w:tc>
          <w:tcPr>
            <w:tcW w:w="301" w:type="pct"/>
          </w:tcPr>
          <w:p w14:paraId="3B8FFC6A" w14:textId="77777777" w:rsidR="00B46D62" w:rsidRPr="00A54361" w:rsidRDefault="00B46D62" w:rsidP="00A54361">
            <w:pPr>
              <w:pStyle w:val="ListParagraph"/>
              <w:numPr>
                <w:ilvl w:val="0"/>
                <w:numId w:val="78"/>
              </w:numPr>
              <w:jc w:val="both"/>
              <w:rPr>
                <w:rFonts w:cstheme="minorHAnsi"/>
                <w:sz w:val="20"/>
                <w:szCs w:val="20"/>
              </w:rPr>
            </w:pPr>
          </w:p>
        </w:tc>
        <w:tc>
          <w:tcPr>
            <w:tcW w:w="2176" w:type="pct"/>
            <w:shd w:val="clear" w:color="auto" w:fill="auto"/>
          </w:tcPr>
          <w:p w14:paraId="1DD33C83" w14:textId="77777777" w:rsidR="00B46D62" w:rsidRPr="00A54361" w:rsidRDefault="00B46D62" w:rsidP="00A54361">
            <w:pPr>
              <w:jc w:val="both"/>
              <w:rPr>
                <w:rFonts w:cstheme="minorHAnsi"/>
                <w:sz w:val="20"/>
                <w:szCs w:val="20"/>
              </w:rPr>
            </w:pPr>
            <w:r w:rsidRPr="00A54361">
              <w:rPr>
                <w:rFonts w:cstheme="minorHAnsi"/>
                <w:sz w:val="20"/>
                <w:szCs w:val="20"/>
              </w:rPr>
              <w:t>The bidder must have an average annual turnover in India of INR 500 crores per annum in the last three financial years (i.e., 2021-22, 2022-23, 2023-24) at the time of submission of tender, of individual company and not as group of companies*</w:t>
            </w:r>
          </w:p>
        </w:tc>
        <w:tc>
          <w:tcPr>
            <w:tcW w:w="1810" w:type="pct"/>
            <w:shd w:val="clear" w:color="auto" w:fill="auto"/>
          </w:tcPr>
          <w:p w14:paraId="4BC52470" w14:textId="77777777" w:rsidR="00B46D62" w:rsidRPr="00A54361" w:rsidRDefault="00B46D62" w:rsidP="00A54361">
            <w:pPr>
              <w:jc w:val="both"/>
              <w:rPr>
                <w:rFonts w:cstheme="minorHAnsi"/>
                <w:sz w:val="20"/>
                <w:szCs w:val="20"/>
              </w:rPr>
            </w:pPr>
            <w:r w:rsidRPr="00A54361">
              <w:rPr>
                <w:rFonts w:cstheme="minorHAnsi"/>
                <w:sz w:val="20"/>
                <w:szCs w:val="20"/>
              </w:rPr>
              <w:t xml:space="preserve">Copy of Audited Balance Sheet and Copy of Certificate of the Chartered Accountant for the last three financial years (i.e., 2021-22, 2022-23, 2023-24) </w:t>
            </w:r>
          </w:p>
          <w:p w14:paraId="6513B507" w14:textId="77777777" w:rsidR="00B46D62" w:rsidRPr="00A54361" w:rsidRDefault="00B46D62" w:rsidP="00A54361">
            <w:pPr>
              <w:jc w:val="both"/>
              <w:rPr>
                <w:rFonts w:cstheme="minorHAnsi"/>
                <w:sz w:val="20"/>
                <w:szCs w:val="20"/>
              </w:rPr>
            </w:pPr>
          </w:p>
          <w:p w14:paraId="4014AD4D" w14:textId="77777777" w:rsidR="00B46D62" w:rsidRPr="00A54361" w:rsidRDefault="00B46D62" w:rsidP="00A54361">
            <w:pPr>
              <w:jc w:val="both"/>
              <w:rPr>
                <w:rFonts w:cstheme="minorHAnsi"/>
                <w:sz w:val="20"/>
                <w:szCs w:val="20"/>
              </w:rPr>
            </w:pPr>
          </w:p>
        </w:tc>
        <w:tc>
          <w:tcPr>
            <w:tcW w:w="713" w:type="pct"/>
          </w:tcPr>
          <w:p w14:paraId="7449420E" w14:textId="77777777" w:rsidR="00B46D62" w:rsidRPr="00A54361" w:rsidRDefault="00B46D62" w:rsidP="00A54361">
            <w:pPr>
              <w:jc w:val="both"/>
              <w:rPr>
                <w:rFonts w:cstheme="minorHAnsi"/>
                <w:sz w:val="20"/>
                <w:szCs w:val="20"/>
              </w:rPr>
            </w:pPr>
          </w:p>
        </w:tc>
      </w:tr>
      <w:tr w:rsidR="000D3DC1" w:rsidRPr="00A54361" w14:paraId="59205915" w14:textId="77777777" w:rsidTr="0087746D">
        <w:tc>
          <w:tcPr>
            <w:tcW w:w="301" w:type="pct"/>
          </w:tcPr>
          <w:p w14:paraId="4BABD088" w14:textId="77777777" w:rsidR="00B46D62" w:rsidRPr="00A54361" w:rsidRDefault="00B46D62" w:rsidP="00A54361">
            <w:pPr>
              <w:pStyle w:val="ListParagraph"/>
              <w:numPr>
                <w:ilvl w:val="0"/>
                <w:numId w:val="78"/>
              </w:numPr>
              <w:jc w:val="both"/>
              <w:rPr>
                <w:rFonts w:cstheme="minorHAnsi"/>
                <w:sz w:val="20"/>
                <w:szCs w:val="20"/>
              </w:rPr>
            </w:pPr>
          </w:p>
        </w:tc>
        <w:tc>
          <w:tcPr>
            <w:tcW w:w="2176" w:type="pct"/>
            <w:shd w:val="clear" w:color="auto" w:fill="auto"/>
          </w:tcPr>
          <w:p w14:paraId="196BD9DC" w14:textId="77777777" w:rsidR="00B46D62" w:rsidRPr="00A54361" w:rsidRDefault="00B46D62" w:rsidP="00A54361">
            <w:pPr>
              <w:jc w:val="both"/>
              <w:rPr>
                <w:rFonts w:cstheme="minorHAnsi"/>
                <w:sz w:val="20"/>
                <w:szCs w:val="20"/>
              </w:rPr>
            </w:pPr>
            <w:r w:rsidRPr="00A54361">
              <w:rPr>
                <w:rFonts w:cstheme="minorHAnsi"/>
                <w:sz w:val="20"/>
                <w:szCs w:val="20"/>
              </w:rPr>
              <w:t>The bidder should have made operating profits in at least two financial years out of last three financial years (i.e., 2021-22, 2022-23, 2023-24)*</w:t>
            </w:r>
          </w:p>
          <w:p w14:paraId="59918857" w14:textId="77777777" w:rsidR="00B46D62" w:rsidRPr="00A54361" w:rsidRDefault="00B46D62" w:rsidP="00A54361">
            <w:pPr>
              <w:jc w:val="both"/>
              <w:rPr>
                <w:rFonts w:cstheme="minorHAnsi"/>
                <w:sz w:val="20"/>
                <w:szCs w:val="20"/>
              </w:rPr>
            </w:pPr>
          </w:p>
          <w:p w14:paraId="3F284D05" w14:textId="77777777" w:rsidR="00B46D62" w:rsidRPr="00A54361" w:rsidRDefault="00B46D62" w:rsidP="00A54361">
            <w:pPr>
              <w:jc w:val="both"/>
              <w:rPr>
                <w:rFonts w:cstheme="minorHAnsi"/>
                <w:sz w:val="20"/>
                <w:szCs w:val="20"/>
              </w:rPr>
            </w:pPr>
            <w:r w:rsidRPr="00A54361">
              <w:rPr>
                <w:rFonts w:cstheme="minorHAnsi"/>
                <w:sz w:val="20"/>
                <w:szCs w:val="20"/>
              </w:rPr>
              <w:t>In case of operating loss, bidder will have to provide additional security amount of 20% of contract Value over and above 10% of regular Performance Bank Guarantee</w:t>
            </w:r>
          </w:p>
        </w:tc>
        <w:tc>
          <w:tcPr>
            <w:tcW w:w="1810" w:type="pct"/>
            <w:shd w:val="clear" w:color="auto" w:fill="auto"/>
          </w:tcPr>
          <w:p w14:paraId="081F8360" w14:textId="77777777" w:rsidR="00B46D62" w:rsidRPr="00A54361" w:rsidRDefault="00B46D62" w:rsidP="00A54361">
            <w:pPr>
              <w:jc w:val="both"/>
              <w:rPr>
                <w:rFonts w:cstheme="minorHAnsi"/>
                <w:sz w:val="20"/>
                <w:szCs w:val="20"/>
              </w:rPr>
            </w:pPr>
            <w:r w:rsidRPr="00A54361">
              <w:rPr>
                <w:rFonts w:cstheme="minorHAnsi"/>
                <w:sz w:val="20"/>
                <w:szCs w:val="20"/>
              </w:rPr>
              <w:t xml:space="preserve">Copy of Audited Balance Sheet and Copy of Certificate of the Chartered Accountant for the last three financial years (i.e., 2021-22, 2022-23, 2023-24) </w:t>
            </w:r>
          </w:p>
        </w:tc>
        <w:tc>
          <w:tcPr>
            <w:tcW w:w="713" w:type="pct"/>
          </w:tcPr>
          <w:p w14:paraId="3BFFA316" w14:textId="77777777" w:rsidR="00B46D62" w:rsidRPr="00A54361" w:rsidRDefault="00B46D62" w:rsidP="00A54361">
            <w:pPr>
              <w:jc w:val="both"/>
              <w:rPr>
                <w:rFonts w:cstheme="minorHAnsi"/>
                <w:sz w:val="20"/>
                <w:szCs w:val="20"/>
              </w:rPr>
            </w:pPr>
          </w:p>
        </w:tc>
      </w:tr>
      <w:tr w:rsidR="000D3DC1" w:rsidRPr="00A54361" w14:paraId="2E4B40E0" w14:textId="77777777" w:rsidTr="0087746D">
        <w:tc>
          <w:tcPr>
            <w:tcW w:w="301" w:type="pct"/>
          </w:tcPr>
          <w:p w14:paraId="49066F84" w14:textId="77777777" w:rsidR="00B46D62" w:rsidRPr="00A54361" w:rsidRDefault="00B46D62" w:rsidP="00A54361">
            <w:pPr>
              <w:pStyle w:val="ListParagraph"/>
              <w:numPr>
                <w:ilvl w:val="0"/>
                <w:numId w:val="78"/>
              </w:numPr>
              <w:jc w:val="both"/>
              <w:rPr>
                <w:rFonts w:cstheme="minorHAnsi"/>
                <w:sz w:val="20"/>
                <w:szCs w:val="20"/>
              </w:rPr>
            </w:pPr>
          </w:p>
        </w:tc>
        <w:tc>
          <w:tcPr>
            <w:tcW w:w="2176" w:type="pct"/>
            <w:shd w:val="clear" w:color="auto" w:fill="auto"/>
          </w:tcPr>
          <w:p w14:paraId="16F10295" w14:textId="77777777" w:rsidR="00B46D62" w:rsidRPr="00A54361" w:rsidRDefault="00B46D62" w:rsidP="00A54361">
            <w:pPr>
              <w:jc w:val="both"/>
              <w:rPr>
                <w:rFonts w:cstheme="minorHAnsi"/>
                <w:sz w:val="20"/>
                <w:szCs w:val="20"/>
              </w:rPr>
            </w:pPr>
            <w:r w:rsidRPr="00A54361">
              <w:rPr>
                <w:rFonts w:cstheme="minorHAnsi"/>
                <w:sz w:val="20"/>
                <w:szCs w:val="20"/>
              </w:rPr>
              <w:t>The bidder should have a positive net worth in last three financial years (i.e., 2021-22, 2022-23, 2023-24)*</w:t>
            </w:r>
          </w:p>
        </w:tc>
        <w:tc>
          <w:tcPr>
            <w:tcW w:w="1810" w:type="pct"/>
            <w:shd w:val="clear" w:color="auto" w:fill="auto"/>
          </w:tcPr>
          <w:p w14:paraId="36FCC99F" w14:textId="77777777" w:rsidR="00B46D62" w:rsidRPr="00A54361" w:rsidRDefault="00B46D62" w:rsidP="00A54361">
            <w:pPr>
              <w:jc w:val="both"/>
              <w:rPr>
                <w:rFonts w:cstheme="minorHAnsi"/>
                <w:sz w:val="20"/>
                <w:szCs w:val="20"/>
              </w:rPr>
            </w:pPr>
            <w:r w:rsidRPr="00A54361">
              <w:rPr>
                <w:rFonts w:cstheme="minorHAnsi"/>
                <w:sz w:val="20"/>
                <w:szCs w:val="20"/>
              </w:rPr>
              <w:t xml:space="preserve">Copy of Audited Balance Sheet and Copy of Certificate of the Chartered Accountant for the last three financial years (i.e., 2021-22, 2022-23, 2023-24) </w:t>
            </w:r>
          </w:p>
        </w:tc>
        <w:tc>
          <w:tcPr>
            <w:tcW w:w="713" w:type="pct"/>
          </w:tcPr>
          <w:p w14:paraId="1ACFBB25" w14:textId="77777777" w:rsidR="00B46D62" w:rsidRPr="00A54361" w:rsidRDefault="00B46D62" w:rsidP="00A54361">
            <w:pPr>
              <w:jc w:val="both"/>
              <w:rPr>
                <w:rFonts w:cstheme="minorHAnsi"/>
                <w:sz w:val="20"/>
                <w:szCs w:val="20"/>
              </w:rPr>
            </w:pPr>
          </w:p>
        </w:tc>
      </w:tr>
      <w:tr w:rsidR="000D3DC1" w:rsidRPr="00A54361" w14:paraId="5C782AE4" w14:textId="77777777" w:rsidTr="0087746D">
        <w:tc>
          <w:tcPr>
            <w:tcW w:w="301" w:type="pct"/>
          </w:tcPr>
          <w:p w14:paraId="1804A154" w14:textId="77777777" w:rsidR="00B46D62" w:rsidRPr="00A54361" w:rsidRDefault="00B46D62" w:rsidP="00A54361">
            <w:pPr>
              <w:pStyle w:val="ListParagraph"/>
              <w:numPr>
                <w:ilvl w:val="0"/>
                <w:numId w:val="78"/>
              </w:numPr>
              <w:jc w:val="both"/>
              <w:rPr>
                <w:rFonts w:cstheme="minorHAnsi"/>
                <w:sz w:val="20"/>
                <w:szCs w:val="20"/>
              </w:rPr>
            </w:pPr>
          </w:p>
        </w:tc>
        <w:tc>
          <w:tcPr>
            <w:tcW w:w="2176" w:type="pct"/>
          </w:tcPr>
          <w:p w14:paraId="04ADBFBA" w14:textId="77777777" w:rsidR="00B46D62" w:rsidRPr="00A54361" w:rsidRDefault="00B46D62" w:rsidP="00A54361">
            <w:pPr>
              <w:jc w:val="both"/>
              <w:rPr>
                <w:rFonts w:cstheme="minorHAnsi"/>
                <w:sz w:val="20"/>
                <w:szCs w:val="20"/>
              </w:rPr>
            </w:pPr>
            <w:r w:rsidRPr="00A54361">
              <w:rPr>
                <w:rFonts w:cstheme="minorHAnsi"/>
                <w:sz w:val="20"/>
                <w:szCs w:val="20"/>
              </w:rPr>
              <w:t>At the time of bidding, the Bidder should not have been blacklisted/debarred/ by any Govt. / IBA/RBI/PSU /PSE/ or Banks, Financial institutes for any reason or non-implementation/ delivery of the order. Self-declaration to that effect should be submitted along with the technical bid.</w:t>
            </w:r>
          </w:p>
        </w:tc>
        <w:tc>
          <w:tcPr>
            <w:tcW w:w="1810" w:type="pct"/>
          </w:tcPr>
          <w:p w14:paraId="18A0FC7E" w14:textId="77777777" w:rsidR="00B46D62" w:rsidRPr="00A54361" w:rsidRDefault="00B46D62" w:rsidP="00A54361">
            <w:pPr>
              <w:jc w:val="both"/>
              <w:rPr>
                <w:rFonts w:cstheme="minorHAnsi"/>
                <w:sz w:val="20"/>
                <w:szCs w:val="20"/>
              </w:rPr>
            </w:pPr>
            <w:r w:rsidRPr="00A54361">
              <w:rPr>
                <w:rFonts w:cstheme="minorHAnsi"/>
                <w:sz w:val="20"/>
                <w:szCs w:val="20"/>
              </w:rPr>
              <w:t>Submit the undertaking on Company’s letter head</w:t>
            </w:r>
          </w:p>
        </w:tc>
        <w:tc>
          <w:tcPr>
            <w:tcW w:w="713" w:type="pct"/>
          </w:tcPr>
          <w:p w14:paraId="730330E8" w14:textId="77777777" w:rsidR="00B46D62" w:rsidRPr="00A54361" w:rsidRDefault="00B46D62" w:rsidP="00A54361">
            <w:pPr>
              <w:jc w:val="both"/>
              <w:rPr>
                <w:rFonts w:cstheme="minorHAnsi"/>
                <w:sz w:val="20"/>
                <w:szCs w:val="20"/>
              </w:rPr>
            </w:pPr>
          </w:p>
        </w:tc>
      </w:tr>
      <w:tr w:rsidR="000D3DC1" w:rsidRPr="00A54361" w14:paraId="3AF6FF26" w14:textId="77777777" w:rsidTr="0087746D">
        <w:tc>
          <w:tcPr>
            <w:tcW w:w="301" w:type="pct"/>
          </w:tcPr>
          <w:p w14:paraId="09125B5A" w14:textId="77777777" w:rsidR="00B46D62" w:rsidRPr="00A54361" w:rsidRDefault="00B46D62" w:rsidP="00A54361">
            <w:pPr>
              <w:pStyle w:val="ListParagraph"/>
              <w:numPr>
                <w:ilvl w:val="0"/>
                <w:numId w:val="78"/>
              </w:numPr>
              <w:jc w:val="both"/>
              <w:rPr>
                <w:rFonts w:cstheme="minorHAnsi"/>
                <w:sz w:val="20"/>
                <w:szCs w:val="20"/>
              </w:rPr>
            </w:pPr>
          </w:p>
        </w:tc>
        <w:tc>
          <w:tcPr>
            <w:tcW w:w="2176" w:type="pct"/>
          </w:tcPr>
          <w:p w14:paraId="20473C1A" w14:textId="77777777" w:rsidR="00B46D62" w:rsidRPr="00A54361" w:rsidRDefault="00B46D62" w:rsidP="00A54361">
            <w:pPr>
              <w:jc w:val="both"/>
              <w:rPr>
                <w:rFonts w:cstheme="minorHAnsi"/>
                <w:sz w:val="20"/>
                <w:szCs w:val="20"/>
              </w:rPr>
            </w:pPr>
            <w:r w:rsidRPr="00A54361">
              <w:rPr>
                <w:rFonts w:cstheme="minorHAnsi"/>
                <w:sz w:val="20"/>
                <w:szCs w:val="20"/>
              </w:rPr>
              <w:t>At the time of bidding, there should not have been any pending litigation or any legal dispute in the last five years, before any court of law between the Bidder or OEM and the Bank regarding supply of goods/services</w:t>
            </w:r>
          </w:p>
        </w:tc>
        <w:tc>
          <w:tcPr>
            <w:tcW w:w="1810" w:type="pct"/>
          </w:tcPr>
          <w:p w14:paraId="67D971F5" w14:textId="77777777" w:rsidR="00B46D62" w:rsidRPr="00A54361" w:rsidRDefault="00B46D62" w:rsidP="00A54361">
            <w:pPr>
              <w:jc w:val="both"/>
              <w:rPr>
                <w:rFonts w:cstheme="minorHAnsi"/>
                <w:sz w:val="20"/>
                <w:szCs w:val="20"/>
              </w:rPr>
            </w:pPr>
            <w:r w:rsidRPr="00A54361">
              <w:rPr>
                <w:rFonts w:cstheme="minorHAnsi"/>
                <w:sz w:val="20"/>
                <w:szCs w:val="20"/>
              </w:rPr>
              <w:t>Submit the undertaking self-declaration on Company’s letter head</w:t>
            </w:r>
          </w:p>
        </w:tc>
        <w:tc>
          <w:tcPr>
            <w:tcW w:w="713" w:type="pct"/>
          </w:tcPr>
          <w:p w14:paraId="1BF5ACE8" w14:textId="77777777" w:rsidR="00B46D62" w:rsidRPr="00A54361" w:rsidRDefault="00B46D62" w:rsidP="00A54361">
            <w:pPr>
              <w:jc w:val="both"/>
              <w:rPr>
                <w:rFonts w:cstheme="minorHAnsi"/>
                <w:sz w:val="20"/>
                <w:szCs w:val="20"/>
              </w:rPr>
            </w:pPr>
          </w:p>
        </w:tc>
      </w:tr>
      <w:tr w:rsidR="000D3DC1" w:rsidRPr="00A54361" w14:paraId="14A032B4" w14:textId="77777777" w:rsidTr="0087746D">
        <w:tc>
          <w:tcPr>
            <w:tcW w:w="301" w:type="pct"/>
          </w:tcPr>
          <w:p w14:paraId="30A7177E" w14:textId="77777777" w:rsidR="00B46D62" w:rsidRPr="00A54361" w:rsidRDefault="00B46D62" w:rsidP="00A54361">
            <w:pPr>
              <w:pStyle w:val="ListParagraph"/>
              <w:numPr>
                <w:ilvl w:val="0"/>
                <w:numId w:val="78"/>
              </w:numPr>
              <w:jc w:val="both"/>
              <w:rPr>
                <w:rFonts w:cstheme="minorHAnsi"/>
                <w:sz w:val="20"/>
                <w:szCs w:val="20"/>
              </w:rPr>
            </w:pPr>
          </w:p>
        </w:tc>
        <w:tc>
          <w:tcPr>
            <w:tcW w:w="2176" w:type="pct"/>
          </w:tcPr>
          <w:p w14:paraId="153D0994" w14:textId="77777777" w:rsidR="00B46D62" w:rsidRPr="00A54361" w:rsidRDefault="00B46D62" w:rsidP="00A54361">
            <w:pPr>
              <w:jc w:val="both"/>
              <w:rPr>
                <w:rFonts w:cstheme="minorHAnsi"/>
                <w:sz w:val="20"/>
                <w:szCs w:val="20"/>
              </w:rPr>
            </w:pPr>
            <w:r w:rsidRPr="00A54361">
              <w:rPr>
                <w:rFonts w:cstheme="minorHAnsi"/>
                <w:sz w:val="20"/>
                <w:szCs w:val="20"/>
              </w:rPr>
              <w:t xml:space="preserve">Bidder/OEM should not have </w:t>
            </w:r>
          </w:p>
          <w:p w14:paraId="61A52D35" w14:textId="77777777" w:rsidR="00B46D62" w:rsidRPr="00A54361" w:rsidRDefault="00B46D62" w:rsidP="00A54361">
            <w:pPr>
              <w:pStyle w:val="ListParagraph"/>
              <w:numPr>
                <w:ilvl w:val="0"/>
                <w:numId w:val="2"/>
              </w:numPr>
              <w:jc w:val="both"/>
              <w:rPr>
                <w:rFonts w:cstheme="minorHAnsi"/>
                <w:sz w:val="20"/>
                <w:szCs w:val="20"/>
              </w:rPr>
            </w:pPr>
            <w:r w:rsidRPr="00A54361">
              <w:rPr>
                <w:rFonts w:cstheme="minorHAnsi"/>
                <w:sz w:val="20"/>
                <w:szCs w:val="20"/>
              </w:rPr>
              <w:t xml:space="preserve">NPA with any Bank /financial institutions in India </w:t>
            </w:r>
          </w:p>
          <w:p w14:paraId="18C43E2C" w14:textId="77777777" w:rsidR="00B46D62" w:rsidRPr="00A54361" w:rsidRDefault="00B46D62" w:rsidP="00A54361">
            <w:pPr>
              <w:pStyle w:val="ListParagraph"/>
              <w:numPr>
                <w:ilvl w:val="0"/>
                <w:numId w:val="2"/>
              </w:numPr>
              <w:jc w:val="both"/>
              <w:rPr>
                <w:rFonts w:cstheme="minorHAnsi"/>
                <w:sz w:val="20"/>
                <w:szCs w:val="20"/>
              </w:rPr>
            </w:pPr>
            <w:r w:rsidRPr="00A54361">
              <w:rPr>
                <w:rFonts w:cstheme="minorHAnsi"/>
                <w:sz w:val="20"/>
                <w:szCs w:val="20"/>
              </w:rPr>
              <w:t>Any case pending or otherwise, with any organization across the globe which affects the credibility of the Bidder in the opinion of Central Bank of India to service the needs of the Bank</w:t>
            </w:r>
          </w:p>
        </w:tc>
        <w:tc>
          <w:tcPr>
            <w:tcW w:w="1810" w:type="pct"/>
          </w:tcPr>
          <w:p w14:paraId="3B91D163" w14:textId="77777777" w:rsidR="00B46D62" w:rsidRPr="00A54361" w:rsidRDefault="00B46D62" w:rsidP="00A54361">
            <w:pPr>
              <w:jc w:val="both"/>
              <w:rPr>
                <w:rFonts w:cstheme="minorHAnsi"/>
                <w:sz w:val="20"/>
                <w:szCs w:val="20"/>
              </w:rPr>
            </w:pPr>
            <w:r w:rsidRPr="00A54361">
              <w:rPr>
                <w:rFonts w:cstheme="minorHAnsi"/>
                <w:sz w:val="20"/>
                <w:szCs w:val="20"/>
              </w:rPr>
              <w:t>Submit self-declaration on Company’s letter head.</w:t>
            </w:r>
          </w:p>
          <w:p w14:paraId="641A8DAB" w14:textId="77777777" w:rsidR="00B46D62" w:rsidRPr="00A54361" w:rsidRDefault="00B46D62" w:rsidP="00A54361">
            <w:pPr>
              <w:jc w:val="both"/>
              <w:rPr>
                <w:rFonts w:cstheme="minorHAnsi"/>
                <w:sz w:val="20"/>
                <w:szCs w:val="20"/>
              </w:rPr>
            </w:pPr>
          </w:p>
        </w:tc>
        <w:tc>
          <w:tcPr>
            <w:tcW w:w="713" w:type="pct"/>
          </w:tcPr>
          <w:p w14:paraId="69B9B6A1" w14:textId="77777777" w:rsidR="00B46D62" w:rsidRPr="00A54361" w:rsidRDefault="00B46D62" w:rsidP="00A54361">
            <w:pPr>
              <w:jc w:val="both"/>
              <w:rPr>
                <w:rFonts w:cstheme="minorHAnsi"/>
                <w:sz w:val="20"/>
                <w:szCs w:val="20"/>
              </w:rPr>
            </w:pPr>
          </w:p>
        </w:tc>
      </w:tr>
      <w:tr w:rsidR="000D3DC1" w:rsidRPr="00A54361" w14:paraId="712429D6" w14:textId="77777777" w:rsidTr="0087746D">
        <w:tc>
          <w:tcPr>
            <w:tcW w:w="301" w:type="pct"/>
          </w:tcPr>
          <w:p w14:paraId="60C5F2AA" w14:textId="77777777" w:rsidR="00B46D62" w:rsidRPr="00A54361" w:rsidRDefault="00B46D62" w:rsidP="00A54361">
            <w:pPr>
              <w:pStyle w:val="ListParagraph"/>
              <w:numPr>
                <w:ilvl w:val="0"/>
                <w:numId w:val="78"/>
              </w:numPr>
              <w:jc w:val="both"/>
              <w:rPr>
                <w:rFonts w:cstheme="minorHAnsi"/>
                <w:sz w:val="20"/>
                <w:szCs w:val="20"/>
              </w:rPr>
            </w:pPr>
          </w:p>
        </w:tc>
        <w:tc>
          <w:tcPr>
            <w:tcW w:w="2176" w:type="pct"/>
          </w:tcPr>
          <w:p w14:paraId="24FB4458" w14:textId="77777777" w:rsidR="00B46D62" w:rsidRPr="00A54361" w:rsidRDefault="00B46D62" w:rsidP="00A54361">
            <w:pPr>
              <w:jc w:val="both"/>
              <w:rPr>
                <w:rFonts w:cstheme="minorHAnsi"/>
                <w:sz w:val="20"/>
                <w:szCs w:val="20"/>
              </w:rPr>
            </w:pPr>
            <w:r w:rsidRPr="00A54361">
              <w:rPr>
                <w:rFonts w:cstheme="minorHAnsi"/>
                <w:sz w:val="20"/>
                <w:szCs w:val="20"/>
              </w:rPr>
              <w:t>Bidder should have service/support centre or should have arrangement for providing support in Mumbai and Hyderabad.</w:t>
            </w:r>
          </w:p>
        </w:tc>
        <w:tc>
          <w:tcPr>
            <w:tcW w:w="1810" w:type="pct"/>
          </w:tcPr>
          <w:p w14:paraId="56799C9D" w14:textId="77777777" w:rsidR="00B46D62" w:rsidRPr="00A54361" w:rsidRDefault="00B46D62" w:rsidP="00A54361">
            <w:pPr>
              <w:jc w:val="both"/>
              <w:rPr>
                <w:rFonts w:cstheme="minorHAnsi"/>
                <w:sz w:val="20"/>
                <w:szCs w:val="20"/>
              </w:rPr>
            </w:pPr>
            <w:r w:rsidRPr="00A54361">
              <w:rPr>
                <w:rFonts w:cstheme="minorHAnsi"/>
                <w:sz w:val="20"/>
                <w:szCs w:val="20"/>
              </w:rPr>
              <w:t>Submit the undertaking self-declaration on Bidder’s letter head</w:t>
            </w:r>
          </w:p>
        </w:tc>
        <w:tc>
          <w:tcPr>
            <w:tcW w:w="713" w:type="pct"/>
          </w:tcPr>
          <w:p w14:paraId="127A192A" w14:textId="77777777" w:rsidR="00B46D62" w:rsidRPr="00A54361" w:rsidRDefault="00B46D62" w:rsidP="00A54361">
            <w:pPr>
              <w:jc w:val="both"/>
              <w:rPr>
                <w:rFonts w:cstheme="minorHAnsi"/>
                <w:sz w:val="20"/>
                <w:szCs w:val="20"/>
              </w:rPr>
            </w:pPr>
          </w:p>
        </w:tc>
      </w:tr>
      <w:tr w:rsidR="000D3DC1" w:rsidRPr="00A54361" w14:paraId="312BB3A8" w14:textId="77777777" w:rsidTr="0087746D">
        <w:tc>
          <w:tcPr>
            <w:tcW w:w="301" w:type="pct"/>
          </w:tcPr>
          <w:p w14:paraId="1365DED2" w14:textId="77777777" w:rsidR="00B46D62" w:rsidRPr="00A54361" w:rsidRDefault="00B46D62" w:rsidP="00A54361">
            <w:pPr>
              <w:pStyle w:val="ListParagraph"/>
              <w:numPr>
                <w:ilvl w:val="0"/>
                <w:numId w:val="78"/>
              </w:numPr>
              <w:jc w:val="both"/>
              <w:rPr>
                <w:rFonts w:cstheme="minorHAnsi"/>
                <w:sz w:val="20"/>
                <w:szCs w:val="20"/>
              </w:rPr>
            </w:pPr>
          </w:p>
        </w:tc>
        <w:tc>
          <w:tcPr>
            <w:tcW w:w="2176" w:type="pct"/>
          </w:tcPr>
          <w:p w14:paraId="4621DD4E" w14:textId="77777777" w:rsidR="00B46D62" w:rsidRPr="00A54361" w:rsidRDefault="00B46D62" w:rsidP="00A54361">
            <w:pPr>
              <w:jc w:val="both"/>
              <w:rPr>
                <w:rFonts w:cstheme="minorHAnsi"/>
                <w:sz w:val="20"/>
                <w:szCs w:val="20"/>
              </w:rPr>
            </w:pPr>
            <w:r w:rsidRPr="00A54361">
              <w:rPr>
                <w:rFonts w:cstheme="minorHAnsi"/>
                <w:sz w:val="20"/>
                <w:szCs w:val="20"/>
              </w:rPr>
              <w:t>If the bidder is from a country which shares a land border with India, the bidder should be registered with the Competent Authority</w:t>
            </w:r>
          </w:p>
        </w:tc>
        <w:tc>
          <w:tcPr>
            <w:tcW w:w="1810" w:type="pct"/>
          </w:tcPr>
          <w:p w14:paraId="1C33C9F6" w14:textId="77777777" w:rsidR="00B46D62" w:rsidRPr="00A54361" w:rsidRDefault="00B46D62" w:rsidP="00A54361">
            <w:pPr>
              <w:jc w:val="both"/>
              <w:rPr>
                <w:rFonts w:cstheme="minorHAnsi"/>
                <w:sz w:val="20"/>
                <w:szCs w:val="20"/>
              </w:rPr>
            </w:pPr>
            <w:r w:rsidRPr="00A54361">
              <w:rPr>
                <w:rFonts w:cstheme="minorHAnsi"/>
                <w:sz w:val="20"/>
                <w:szCs w:val="20"/>
              </w:rPr>
              <w:t>Certified copy of the registration certificate</w:t>
            </w:r>
          </w:p>
        </w:tc>
        <w:tc>
          <w:tcPr>
            <w:tcW w:w="713" w:type="pct"/>
          </w:tcPr>
          <w:p w14:paraId="09D7A6EE" w14:textId="77777777" w:rsidR="00B46D62" w:rsidRPr="00A54361" w:rsidRDefault="00B46D62" w:rsidP="00A54361">
            <w:pPr>
              <w:jc w:val="both"/>
              <w:rPr>
                <w:rFonts w:cstheme="minorHAnsi"/>
                <w:sz w:val="20"/>
                <w:szCs w:val="20"/>
              </w:rPr>
            </w:pPr>
          </w:p>
        </w:tc>
      </w:tr>
      <w:tr w:rsidR="000D3DC1" w:rsidRPr="00A54361" w14:paraId="0E0E85B6" w14:textId="77777777" w:rsidTr="0087746D">
        <w:tc>
          <w:tcPr>
            <w:tcW w:w="301" w:type="pct"/>
          </w:tcPr>
          <w:p w14:paraId="7497FA89" w14:textId="77777777" w:rsidR="00B46D62" w:rsidRPr="00A54361" w:rsidRDefault="00B46D62" w:rsidP="00A54361">
            <w:pPr>
              <w:pStyle w:val="ListParagraph"/>
              <w:numPr>
                <w:ilvl w:val="0"/>
                <w:numId w:val="78"/>
              </w:numPr>
              <w:jc w:val="both"/>
              <w:rPr>
                <w:rFonts w:cstheme="minorHAnsi"/>
                <w:sz w:val="20"/>
                <w:szCs w:val="20"/>
              </w:rPr>
            </w:pPr>
          </w:p>
        </w:tc>
        <w:tc>
          <w:tcPr>
            <w:tcW w:w="2176" w:type="pct"/>
          </w:tcPr>
          <w:p w14:paraId="0573570E" w14:textId="77777777" w:rsidR="00B46D62" w:rsidRPr="00A54361" w:rsidRDefault="00B46D62" w:rsidP="00A54361">
            <w:pPr>
              <w:jc w:val="both"/>
              <w:rPr>
                <w:rFonts w:cstheme="minorHAnsi"/>
                <w:sz w:val="20"/>
                <w:szCs w:val="20"/>
              </w:rPr>
            </w:pPr>
            <w:r w:rsidRPr="00A54361">
              <w:rPr>
                <w:rFonts w:cstheme="minorHAnsi"/>
                <w:sz w:val="20"/>
                <w:szCs w:val="20"/>
              </w:rPr>
              <w:t xml:space="preserve">Bidder should have a supplied, installed and maintained at least 4 out of the following solutions:  </w:t>
            </w:r>
          </w:p>
          <w:p w14:paraId="34DF5C2C" w14:textId="77777777" w:rsidR="00B46D62" w:rsidRPr="00A54361" w:rsidRDefault="00B46D62" w:rsidP="00A54361">
            <w:pPr>
              <w:pStyle w:val="ListParagraph"/>
              <w:numPr>
                <w:ilvl w:val="0"/>
                <w:numId w:val="79"/>
              </w:numPr>
              <w:jc w:val="both"/>
              <w:rPr>
                <w:rFonts w:cstheme="minorHAnsi"/>
                <w:sz w:val="20"/>
                <w:szCs w:val="20"/>
              </w:rPr>
            </w:pPr>
            <w:r w:rsidRPr="00A54361">
              <w:rPr>
                <w:rFonts w:cstheme="minorHAnsi"/>
                <w:sz w:val="20"/>
                <w:szCs w:val="20"/>
              </w:rPr>
              <w:t>Data Discovery &amp; Classification</w:t>
            </w:r>
          </w:p>
          <w:p w14:paraId="77DFE4A4" w14:textId="77777777" w:rsidR="00B46D62" w:rsidRPr="00A54361" w:rsidRDefault="00B46D62" w:rsidP="00A54361">
            <w:pPr>
              <w:pStyle w:val="ListParagraph"/>
              <w:numPr>
                <w:ilvl w:val="0"/>
                <w:numId w:val="79"/>
              </w:numPr>
              <w:jc w:val="both"/>
              <w:rPr>
                <w:rFonts w:cstheme="minorHAnsi"/>
                <w:sz w:val="20"/>
                <w:szCs w:val="20"/>
              </w:rPr>
            </w:pPr>
            <w:r w:rsidRPr="00A54361">
              <w:rPr>
                <w:rFonts w:cstheme="minorHAnsi"/>
                <w:sz w:val="20"/>
                <w:szCs w:val="20"/>
              </w:rPr>
              <w:t>File Upload Security Solution</w:t>
            </w:r>
          </w:p>
          <w:p w14:paraId="63534D8E" w14:textId="77777777" w:rsidR="00B46D62" w:rsidRPr="00A54361" w:rsidRDefault="00B46D62" w:rsidP="00A54361">
            <w:pPr>
              <w:pStyle w:val="ListParagraph"/>
              <w:numPr>
                <w:ilvl w:val="0"/>
                <w:numId w:val="79"/>
              </w:numPr>
              <w:jc w:val="both"/>
              <w:rPr>
                <w:rFonts w:cstheme="minorHAnsi"/>
                <w:sz w:val="20"/>
                <w:szCs w:val="20"/>
              </w:rPr>
            </w:pPr>
            <w:r w:rsidRPr="00A54361">
              <w:rPr>
                <w:rFonts w:cstheme="minorHAnsi"/>
                <w:sz w:val="20"/>
                <w:szCs w:val="20"/>
              </w:rPr>
              <w:t>Attack Surface Management (ASM)</w:t>
            </w:r>
          </w:p>
          <w:p w14:paraId="0DD322AC" w14:textId="1AD8CB27" w:rsidR="00B46D62" w:rsidRPr="00A54361" w:rsidRDefault="00B46D62" w:rsidP="00A54361">
            <w:pPr>
              <w:pStyle w:val="ListParagraph"/>
              <w:numPr>
                <w:ilvl w:val="0"/>
                <w:numId w:val="79"/>
              </w:numPr>
              <w:jc w:val="both"/>
              <w:rPr>
                <w:rFonts w:cstheme="minorHAnsi"/>
                <w:sz w:val="20"/>
                <w:szCs w:val="20"/>
              </w:rPr>
            </w:pPr>
            <w:r w:rsidRPr="00A54361">
              <w:rPr>
                <w:rFonts w:cstheme="minorHAnsi"/>
                <w:sz w:val="20"/>
                <w:szCs w:val="20"/>
              </w:rPr>
              <w:t>Breach and Attack Simulation (BAS) along with Red Team S</w:t>
            </w:r>
            <w:r w:rsidR="005F4FC3" w:rsidRPr="00A54361">
              <w:rPr>
                <w:rFonts w:cstheme="minorHAnsi"/>
                <w:sz w:val="20"/>
                <w:szCs w:val="20"/>
              </w:rPr>
              <w:t>olution</w:t>
            </w:r>
          </w:p>
          <w:p w14:paraId="77E5CB0A" w14:textId="77777777" w:rsidR="00B46D62" w:rsidRPr="00A54361" w:rsidRDefault="00B46D62" w:rsidP="00A54361">
            <w:pPr>
              <w:pStyle w:val="ListParagraph"/>
              <w:numPr>
                <w:ilvl w:val="0"/>
                <w:numId w:val="79"/>
              </w:numPr>
              <w:jc w:val="both"/>
              <w:rPr>
                <w:rFonts w:cstheme="minorHAnsi"/>
                <w:sz w:val="20"/>
                <w:szCs w:val="20"/>
              </w:rPr>
            </w:pPr>
            <w:r w:rsidRPr="00A54361">
              <w:rPr>
                <w:rFonts w:cstheme="minorHAnsi"/>
                <w:sz w:val="20"/>
                <w:szCs w:val="20"/>
              </w:rPr>
              <w:t>Phishing Simulation</w:t>
            </w:r>
          </w:p>
          <w:p w14:paraId="45AB456E" w14:textId="77777777" w:rsidR="00B46D62" w:rsidRPr="00A54361" w:rsidRDefault="00B46D62" w:rsidP="00A54361">
            <w:pPr>
              <w:pStyle w:val="ListParagraph"/>
              <w:numPr>
                <w:ilvl w:val="0"/>
                <w:numId w:val="79"/>
              </w:numPr>
              <w:jc w:val="both"/>
              <w:rPr>
                <w:rFonts w:cstheme="minorHAnsi"/>
                <w:sz w:val="20"/>
                <w:szCs w:val="20"/>
              </w:rPr>
            </w:pPr>
            <w:r w:rsidRPr="00A54361">
              <w:rPr>
                <w:rFonts w:cstheme="minorHAnsi"/>
                <w:sz w:val="20"/>
                <w:szCs w:val="20"/>
              </w:rPr>
              <w:t>AD Security</w:t>
            </w:r>
          </w:p>
          <w:p w14:paraId="56935E1B" w14:textId="26FF1E9A" w:rsidR="00B46D62" w:rsidRPr="00A54361" w:rsidRDefault="002627C6" w:rsidP="00A54361">
            <w:pPr>
              <w:pStyle w:val="ListParagraph"/>
              <w:numPr>
                <w:ilvl w:val="0"/>
                <w:numId w:val="79"/>
              </w:numPr>
              <w:jc w:val="both"/>
              <w:rPr>
                <w:rFonts w:cstheme="minorHAnsi"/>
                <w:sz w:val="20"/>
                <w:szCs w:val="20"/>
              </w:rPr>
            </w:pPr>
            <w:r w:rsidRPr="00A54361">
              <w:rPr>
                <w:rFonts w:cstheme="minorHAnsi"/>
                <w:sz w:val="20"/>
                <w:szCs w:val="20"/>
              </w:rPr>
              <w:t xml:space="preserve">IT </w:t>
            </w:r>
            <w:r w:rsidR="00B46D62" w:rsidRPr="00A54361">
              <w:rPr>
                <w:rFonts w:cstheme="minorHAnsi"/>
                <w:sz w:val="20"/>
                <w:szCs w:val="20"/>
              </w:rPr>
              <w:t>Governance, Risk &amp; Compliance</w:t>
            </w:r>
          </w:p>
          <w:p w14:paraId="6E8E2725" w14:textId="77777777" w:rsidR="00B46D62" w:rsidRPr="00A54361" w:rsidRDefault="00B46D62" w:rsidP="00A54361">
            <w:pPr>
              <w:pStyle w:val="ListParagraph"/>
              <w:numPr>
                <w:ilvl w:val="0"/>
                <w:numId w:val="79"/>
              </w:numPr>
              <w:jc w:val="both"/>
              <w:rPr>
                <w:rFonts w:cstheme="minorHAnsi"/>
                <w:sz w:val="20"/>
                <w:szCs w:val="20"/>
              </w:rPr>
            </w:pPr>
            <w:r w:rsidRPr="00A54361">
              <w:rPr>
                <w:rFonts w:cstheme="minorHAnsi"/>
                <w:sz w:val="20"/>
                <w:szCs w:val="20"/>
              </w:rPr>
              <w:t>Decoy (Honeypot)</w:t>
            </w:r>
          </w:p>
          <w:p w14:paraId="5E80A183" w14:textId="77777777" w:rsidR="00B46D62" w:rsidRPr="00A54361" w:rsidRDefault="00B46D62" w:rsidP="00A54361">
            <w:pPr>
              <w:pStyle w:val="ListParagraph"/>
              <w:numPr>
                <w:ilvl w:val="0"/>
                <w:numId w:val="79"/>
              </w:numPr>
              <w:jc w:val="both"/>
              <w:rPr>
                <w:rFonts w:cstheme="minorHAnsi"/>
                <w:sz w:val="20"/>
                <w:szCs w:val="20"/>
              </w:rPr>
            </w:pPr>
            <w:r w:rsidRPr="00A54361">
              <w:rPr>
                <w:rFonts w:cstheme="minorHAnsi"/>
                <w:sz w:val="20"/>
                <w:szCs w:val="20"/>
              </w:rPr>
              <w:t>Mobile Device Management</w:t>
            </w:r>
          </w:p>
          <w:p w14:paraId="07C10E29" w14:textId="77777777" w:rsidR="00B46D62" w:rsidRPr="00A54361" w:rsidRDefault="00B46D62" w:rsidP="00A54361">
            <w:pPr>
              <w:numPr>
                <w:ilvl w:val="0"/>
                <w:numId w:val="79"/>
              </w:numPr>
              <w:jc w:val="both"/>
              <w:rPr>
                <w:rFonts w:cstheme="minorHAnsi"/>
                <w:sz w:val="20"/>
                <w:szCs w:val="20"/>
              </w:rPr>
            </w:pPr>
            <w:r w:rsidRPr="00A54361">
              <w:rPr>
                <w:rFonts w:cstheme="minorHAnsi"/>
                <w:sz w:val="20"/>
                <w:szCs w:val="20"/>
              </w:rPr>
              <w:t>Secure Data Backup and Recovery (Ransomware Protection)</w:t>
            </w:r>
          </w:p>
          <w:p w14:paraId="07EF446B" w14:textId="516828AB" w:rsidR="004508E9" w:rsidRPr="00A54361" w:rsidRDefault="004508E9" w:rsidP="00A54361">
            <w:pPr>
              <w:numPr>
                <w:ilvl w:val="0"/>
                <w:numId w:val="79"/>
              </w:numPr>
              <w:jc w:val="both"/>
              <w:rPr>
                <w:rFonts w:cstheme="minorHAnsi"/>
                <w:sz w:val="20"/>
                <w:szCs w:val="20"/>
              </w:rPr>
            </w:pPr>
            <w:r w:rsidRPr="00A54361">
              <w:rPr>
                <w:rFonts w:cstheme="minorHAnsi"/>
                <w:sz w:val="20"/>
                <w:szCs w:val="20"/>
              </w:rPr>
              <w:t>Network Access Control (NAC)</w:t>
            </w:r>
          </w:p>
          <w:p w14:paraId="14490022" w14:textId="77777777" w:rsidR="00B46D62" w:rsidRPr="00A54361" w:rsidRDefault="00B46D62" w:rsidP="00A54361">
            <w:pPr>
              <w:jc w:val="both"/>
              <w:rPr>
                <w:rFonts w:cstheme="minorHAnsi"/>
                <w:sz w:val="20"/>
                <w:szCs w:val="20"/>
              </w:rPr>
            </w:pPr>
          </w:p>
          <w:p w14:paraId="4F96C588" w14:textId="77777777" w:rsidR="00B46D62" w:rsidRPr="00A54361" w:rsidRDefault="00B46D62" w:rsidP="00A54361">
            <w:pPr>
              <w:jc w:val="both"/>
              <w:rPr>
                <w:rFonts w:cstheme="minorHAnsi"/>
                <w:sz w:val="20"/>
                <w:szCs w:val="20"/>
              </w:rPr>
            </w:pPr>
            <w:r w:rsidRPr="00A54361">
              <w:rPr>
                <w:rFonts w:cstheme="minorHAnsi"/>
                <w:sz w:val="20"/>
                <w:szCs w:val="20"/>
              </w:rPr>
              <w:t>in at least One Scheduled Commercial Banks/ “Govt/Public” Listed BFSI/ RBI/ NABARD/ NPCI in India.</w:t>
            </w:r>
          </w:p>
        </w:tc>
        <w:tc>
          <w:tcPr>
            <w:tcW w:w="1810" w:type="pct"/>
          </w:tcPr>
          <w:p w14:paraId="6624E08D" w14:textId="77777777" w:rsidR="00B46D62" w:rsidRPr="00A54361" w:rsidRDefault="00B46D62" w:rsidP="00A54361">
            <w:pPr>
              <w:jc w:val="both"/>
              <w:rPr>
                <w:rFonts w:cstheme="minorHAnsi"/>
                <w:sz w:val="20"/>
                <w:szCs w:val="20"/>
              </w:rPr>
            </w:pPr>
            <w:r w:rsidRPr="00A54361">
              <w:rPr>
                <w:rFonts w:cstheme="minorHAnsi"/>
                <w:sz w:val="20"/>
                <w:szCs w:val="20"/>
              </w:rPr>
              <w:t>Reference Letter/ Purchase order  of similar projects undertaken.</w:t>
            </w:r>
          </w:p>
        </w:tc>
        <w:tc>
          <w:tcPr>
            <w:tcW w:w="713" w:type="pct"/>
          </w:tcPr>
          <w:p w14:paraId="2FC75B83" w14:textId="77777777" w:rsidR="00B46D62" w:rsidRPr="00A54361" w:rsidRDefault="00B46D62" w:rsidP="00A54361">
            <w:pPr>
              <w:jc w:val="both"/>
              <w:rPr>
                <w:rFonts w:cstheme="minorHAnsi"/>
                <w:sz w:val="20"/>
                <w:szCs w:val="20"/>
              </w:rPr>
            </w:pPr>
          </w:p>
        </w:tc>
      </w:tr>
      <w:tr w:rsidR="000D3DC1" w:rsidRPr="00A54361" w14:paraId="66306421" w14:textId="77777777" w:rsidTr="0087746D">
        <w:tc>
          <w:tcPr>
            <w:tcW w:w="5000" w:type="pct"/>
            <w:gridSpan w:val="4"/>
          </w:tcPr>
          <w:p w14:paraId="5E2C57C7" w14:textId="77777777" w:rsidR="00B46D62" w:rsidRPr="00A54361" w:rsidRDefault="00B46D62" w:rsidP="00A54361">
            <w:pPr>
              <w:jc w:val="both"/>
              <w:rPr>
                <w:rFonts w:cstheme="minorHAnsi"/>
                <w:b/>
                <w:bCs/>
                <w:sz w:val="20"/>
                <w:szCs w:val="20"/>
              </w:rPr>
            </w:pPr>
            <w:r w:rsidRPr="00A54361">
              <w:rPr>
                <w:rFonts w:cstheme="minorHAnsi"/>
                <w:b/>
                <w:bCs/>
                <w:sz w:val="20"/>
                <w:szCs w:val="20"/>
              </w:rPr>
              <w:t>OEM Eligibility Criteria</w:t>
            </w:r>
          </w:p>
        </w:tc>
      </w:tr>
      <w:tr w:rsidR="000D3DC1" w:rsidRPr="00A54361" w14:paraId="1AB43DF7" w14:textId="77777777" w:rsidTr="0087746D">
        <w:tc>
          <w:tcPr>
            <w:tcW w:w="301" w:type="pct"/>
          </w:tcPr>
          <w:p w14:paraId="697E22F9" w14:textId="77777777" w:rsidR="00B46D62" w:rsidRPr="00A54361" w:rsidRDefault="00B46D62" w:rsidP="00A54361">
            <w:pPr>
              <w:pStyle w:val="ListParagraph"/>
              <w:numPr>
                <w:ilvl w:val="0"/>
                <w:numId w:val="78"/>
              </w:numPr>
              <w:jc w:val="both"/>
              <w:rPr>
                <w:rFonts w:cstheme="minorHAnsi"/>
                <w:sz w:val="20"/>
                <w:szCs w:val="20"/>
              </w:rPr>
            </w:pPr>
          </w:p>
        </w:tc>
        <w:tc>
          <w:tcPr>
            <w:tcW w:w="2176" w:type="pct"/>
          </w:tcPr>
          <w:p w14:paraId="27109442" w14:textId="77777777" w:rsidR="00B46D62" w:rsidRPr="00A54361" w:rsidRDefault="00B46D62" w:rsidP="00A54361">
            <w:pPr>
              <w:jc w:val="both"/>
              <w:rPr>
                <w:rFonts w:cstheme="minorHAnsi"/>
                <w:sz w:val="20"/>
                <w:szCs w:val="20"/>
              </w:rPr>
            </w:pPr>
            <w:r w:rsidRPr="00A54361">
              <w:rPr>
                <w:rFonts w:cstheme="minorHAnsi"/>
                <w:sz w:val="20"/>
                <w:szCs w:val="20"/>
              </w:rPr>
              <w:t>For the proposed OEMs’ solutions product series, minimum 7 out of the below solutions must have been implemented in at least One Scheduled Commercial Bank/ “Govt/Public” Listed BFSI/ RBI/ NABARD/ NPCI in India in last 5 years.</w:t>
            </w:r>
          </w:p>
          <w:p w14:paraId="42146DBC" w14:textId="77777777" w:rsidR="00B46D62" w:rsidRPr="00A54361" w:rsidRDefault="00B46D62" w:rsidP="00A54361">
            <w:pPr>
              <w:jc w:val="both"/>
              <w:rPr>
                <w:rFonts w:cstheme="minorHAnsi"/>
                <w:sz w:val="20"/>
                <w:szCs w:val="20"/>
              </w:rPr>
            </w:pPr>
            <w:r w:rsidRPr="00A54361">
              <w:rPr>
                <w:rFonts w:cstheme="minorHAnsi"/>
                <w:sz w:val="20"/>
                <w:szCs w:val="20"/>
              </w:rPr>
              <w:t xml:space="preserve"> </w:t>
            </w:r>
          </w:p>
          <w:p w14:paraId="24C2A342" w14:textId="77777777" w:rsidR="00B46D62" w:rsidRPr="00A54361" w:rsidRDefault="00B46D62" w:rsidP="00A54361">
            <w:pPr>
              <w:pStyle w:val="ListParagraph"/>
              <w:numPr>
                <w:ilvl w:val="0"/>
                <w:numId w:val="80"/>
              </w:numPr>
              <w:jc w:val="both"/>
              <w:rPr>
                <w:rFonts w:cstheme="minorHAnsi"/>
                <w:sz w:val="20"/>
                <w:szCs w:val="20"/>
              </w:rPr>
            </w:pPr>
            <w:r w:rsidRPr="00A54361">
              <w:rPr>
                <w:rFonts w:cstheme="minorHAnsi"/>
                <w:sz w:val="20"/>
                <w:szCs w:val="20"/>
              </w:rPr>
              <w:t>Data Discovery &amp; Classification</w:t>
            </w:r>
          </w:p>
          <w:p w14:paraId="59FDEC46" w14:textId="77777777" w:rsidR="00B46D62" w:rsidRPr="00A54361" w:rsidRDefault="00B46D62" w:rsidP="00A54361">
            <w:pPr>
              <w:pStyle w:val="ListParagraph"/>
              <w:numPr>
                <w:ilvl w:val="0"/>
                <w:numId w:val="80"/>
              </w:numPr>
              <w:jc w:val="both"/>
              <w:rPr>
                <w:rFonts w:cstheme="minorHAnsi"/>
                <w:sz w:val="20"/>
                <w:szCs w:val="20"/>
              </w:rPr>
            </w:pPr>
            <w:r w:rsidRPr="00A54361">
              <w:rPr>
                <w:rFonts w:cstheme="minorHAnsi"/>
                <w:sz w:val="20"/>
                <w:szCs w:val="20"/>
              </w:rPr>
              <w:t>File Upload Security Solution</w:t>
            </w:r>
          </w:p>
          <w:p w14:paraId="7D5E1656" w14:textId="77777777" w:rsidR="00B46D62" w:rsidRPr="00A54361" w:rsidRDefault="00B46D62" w:rsidP="00A54361">
            <w:pPr>
              <w:pStyle w:val="ListParagraph"/>
              <w:numPr>
                <w:ilvl w:val="0"/>
                <w:numId w:val="80"/>
              </w:numPr>
              <w:jc w:val="both"/>
              <w:rPr>
                <w:rFonts w:cstheme="minorHAnsi"/>
                <w:sz w:val="20"/>
                <w:szCs w:val="20"/>
              </w:rPr>
            </w:pPr>
            <w:r w:rsidRPr="00A54361">
              <w:rPr>
                <w:rFonts w:cstheme="minorHAnsi"/>
                <w:sz w:val="20"/>
                <w:szCs w:val="20"/>
              </w:rPr>
              <w:t>Attack Surface Management (ASM)</w:t>
            </w:r>
          </w:p>
          <w:p w14:paraId="1D8BEA70" w14:textId="09F65849" w:rsidR="00B46D62" w:rsidRPr="00A54361" w:rsidRDefault="00B46D62" w:rsidP="00A54361">
            <w:pPr>
              <w:pStyle w:val="ListParagraph"/>
              <w:numPr>
                <w:ilvl w:val="0"/>
                <w:numId w:val="80"/>
              </w:numPr>
              <w:jc w:val="both"/>
              <w:rPr>
                <w:rFonts w:cstheme="minorHAnsi"/>
                <w:sz w:val="20"/>
                <w:szCs w:val="20"/>
              </w:rPr>
            </w:pPr>
            <w:r w:rsidRPr="00A54361">
              <w:rPr>
                <w:rFonts w:cstheme="minorHAnsi"/>
                <w:sz w:val="20"/>
                <w:szCs w:val="20"/>
              </w:rPr>
              <w:t>Breach and Attack Simulation (BAS) along with Red Team S</w:t>
            </w:r>
            <w:r w:rsidR="005F4FC3" w:rsidRPr="00A54361">
              <w:rPr>
                <w:rFonts w:cstheme="minorHAnsi"/>
                <w:sz w:val="20"/>
                <w:szCs w:val="20"/>
              </w:rPr>
              <w:t>olution</w:t>
            </w:r>
          </w:p>
          <w:p w14:paraId="1BAD94A5" w14:textId="77777777" w:rsidR="00B46D62" w:rsidRPr="00A54361" w:rsidRDefault="00B46D62" w:rsidP="00A54361">
            <w:pPr>
              <w:pStyle w:val="ListParagraph"/>
              <w:numPr>
                <w:ilvl w:val="0"/>
                <w:numId w:val="80"/>
              </w:numPr>
              <w:jc w:val="both"/>
              <w:rPr>
                <w:rFonts w:cstheme="minorHAnsi"/>
                <w:sz w:val="20"/>
                <w:szCs w:val="20"/>
              </w:rPr>
            </w:pPr>
            <w:r w:rsidRPr="00A54361">
              <w:rPr>
                <w:rFonts w:cstheme="minorHAnsi"/>
                <w:sz w:val="20"/>
                <w:szCs w:val="20"/>
              </w:rPr>
              <w:t>Phishing Simulation</w:t>
            </w:r>
          </w:p>
          <w:p w14:paraId="6D2C3C21" w14:textId="77777777" w:rsidR="00B46D62" w:rsidRPr="00A54361" w:rsidRDefault="00B46D62" w:rsidP="00A54361">
            <w:pPr>
              <w:pStyle w:val="ListParagraph"/>
              <w:numPr>
                <w:ilvl w:val="0"/>
                <w:numId w:val="80"/>
              </w:numPr>
              <w:jc w:val="both"/>
              <w:rPr>
                <w:rFonts w:cstheme="minorHAnsi"/>
                <w:sz w:val="20"/>
                <w:szCs w:val="20"/>
              </w:rPr>
            </w:pPr>
            <w:r w:rsidRPr="00A54361">
              <w:rPr>
                <w:rFonts w:cstheme="minorHAnsi"/>
                <w:sz w:val="20"/>
                <w:szCs w:val="20"/>
              </w:rPr>
              <w:t>AD Security</w:t>
            </w:r>
          </w:p>
          <w:p w14:paraId="550BB50C" w14:textId="38B116AB" w:rsidR="00B46D62" w:rsidRPr="00A54361" w:rsidRDefault="002627C6" w:rsidP="00A54361">
            <w:pPr>
              <w:pStyle w:val="ListParagraph"/>
              <w:numPr>
                <w:ilvl w:val="0"/>
                <w:numId w:val="80"/>
              </w:numPr>
              <w:jc w:val="both"/>
              <w:rPr>
                <w:rFonts w:cstheme="minorHAnsi"/>
                <w:sz w:val="20"/>
                <w:szCs w:val="20"/>
              </w:rPr>
            </w:pPr>
            <w:r w:rsidRPr="00A54361">
              <w:rPr>
                <w:rFonts w:cstheme="minorHAnsi"/>
                <w:sz w:val="20"/>
                <w:szCs w:val="20"/>
              </w:rPr>
              <w:t xml:space="preserve">IT </w:t>
            </w:r>
            <w:r w:rsidR="00B46D62" w:rsidRPr="00A54361">
              <w:rPr>
                <w:rFonts w:cstheme="minorHAnsi"/>
                <w:sz w:val="20"/>
                <w:szCs w:val="20"/>
              </w:rPr>
              <w:t>Governance, Risk &amp; Compliance</w:t>
            </w:r>
          </w:p>
          <w:p w14:paraId="3D2D7F53" w14:textId="77777777" w:rsidR="00B46D62" w:rsidRPr="00A54361" w:rsidRDefault="00B46D62" w:rsidP="00A54361">
            <w:pPr>
              <w:pStyle w:val="ListParagraph"/>
              <w:numPr>
                <w:ilvl w:val="0"/>
                <w:numId w:val="80"/>
              </w:numPr>
              <w:jc w:val="both"/>
              <w:rPr>
                <w:rFonts w:cstheme="minorHAnsi"/>
                <w:sz w:val="20"/>
                <w:szCs w:val="20"/>
              </w:rPr>
            </w:pPr>
            <w:r w:rsidRPr="00A54361">
              <w:rPr>
                <w:rFonts w:cstheme="minorHAnsi"/>
                <w:sz w:val="20"/>
                <w:szCs w:val="20"/>
              </w:rPr>
              <w:t>Decoy (Honeypot)</w:t>
            </w:r>
          </w:p>
          <w:p w14:paraId="157A778F" w14:textId="77777777" w:rsidR="00B46D62" w:rsidRPr="00A54361" w:rsidRDefault="00B46D62" w:rsidP="00A54361">
            <w:pPr>
              <w:pStyle w:val="ListParagraph"/>
              <w:numPr>
                <w:ilvl w:val="0"/>
                <w:numId w:val="80"/>
              </w:numPr>
              <w:jc w:val="both"/>
              <w:rPr>
                <w:rFonts w:cstheme="minorHAnsi"/>
                <w:sz w:val="20"/>
                <w:szCs w:val="20"/>
              </w:rPr>
            </w:pPr>
            <w:r w:rsidRPr="00A54361">
              <w:rPr>
                <w:rFonts w:cstheme="minorHAnsi"/>
                <w:sz w:val="20"/>
                <w:szCs w:val="20"/>
              </w:rPr>
              <w:t>Mobile Device Management</w:t>
            </w:r>
          </w:p>
          <w:p w14:paraId="16496BB7" w14:textId="77777777" w:rsidR="00B46D62" w:rsidRPr="00A54361" w:rsidRDefault="00B46D62" w:rsidP="00A54361">
            <w:pPr>
              <w:numPr>
                <w:ilvl w:val="0"/>
                <w:numId w:val="80"/>
              </w:numPr>
              <w:jc w:val="both"/>
              <w:rPr>
                <w:rFonts w:cstheme="minorHAnsi"/>
                <w:sz w:val="20"/>
                <w:szCs w:val="20"/>
              </w:rPr>
            </w:pPr>
            <w:r w:rsidRPr="00A54361">
              <w:rPr>
                <w:rFonts w:cstheme="minorHAnsi"/>
                <w:sz w:val="20"/>
                <w:szCs w:val="20"/>
              </w:rPr>
              <w:t>Secure Data Backup and Recovery (Ransomware Protection)</w:t>
            </w:r>
          </w:p>
          <w:p w14:paraId="59B86646" w14:textId="39D4AE87" w:rsidR="004508E9" w:rsidRPr="00A54361" w:rsidRDefault="004508E9" w:rsidP="00A54361">
            <w:pPr>
              <w:numPr>
                <w:ilvl w:val="0"/>
                <w:numId w:val="80"/>
              </w:numPr>
              <w:jc w:val="both"/>
              <w:rPr>
                <w:rFonts w:cstheme="minorHAnsi"/>
                <w:sz w:val="20"/>
                <w:szCs w:val="20"/>
              </w:rPr>
            </w:pPr>
            <w:r w:rsidRPr="00A54361">
              <w:rPr>
                <w:rFonts w:cstheme="minorHAnsi"/>
                <w:sz w:val="20"/>
                <w:szCs w:val="20"/>
              </w:rPr>
              <w:t>Network Access Control (NAC)</w:t>
            </w:r>
          </w:p>
          <w:p w14:paraId="19B5F8E4" w14:textId="77777777" w:rsidR="00B46D62" w:rsidRPr="00A54361" w:rsidRDefault="00B46D62" w:rsidP="00A54361">
            <w:pPr>
              <w:ind w:left="720"/>
              <w:jc w:val="both"/>
              <w:rPr>
                <w:rFonts w:cstheme="minorHAnsi"/>
                <w:sz w:val="20"/>
                <w:szCs w:val="20"/>
              </w:rPr>
            </w:pPr>
            <w:r w:rsidRPr="00A54361">
              <w:rPr>
                <w:rFonts w:cstheme="minorHAnsi"/>
                <w:noProof/>
                <w:sz w:val="20"/>
                <w:szCs w:val="20"/>
                <w:lang w:val="en-GB" w:eastAsia="en-GB"/>
                <w14:ligatures w14:val="standardContextual"/>
              </w:rPr>
              <mc:AlternateContent>
                <mc:Choice Requires="wpi">
                  <w:drawing>
                    <wp:anchor distT="0" distB="0" distL="114300" distR="114300" simplePos="0" relativeHeight="251663872" behindDoc="0" locked="0" layoutInCell="1" allowOverlap="1" wp14:anchorId="0FB9E2D5" wp14:editId="693FC9E6">
                      <wp:simplePos x="0" y="0"/>
                      <wp:positionH relativeFrom="column">
                        <wp:posOffset>1273510</wp:posOffset>
                      </wp:positionH>
                      <wp:positionV relativeFrom="paragraph">
                        <wp:posOffset>4735</wp:posOffset>
                      </wp:positionV>
                      <wp:extent cx="360" cy="360"/>
                      <wp:effectExtent l="38100" t="38100" r="38100" b="38100"/>
                      <wp:wrapNone/>
                      <wp:docPr id="2007981680" name="Ink 4"/>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pict>
                    <v:shape w14:anchorId="2430D84F" id="Ink 4" o:spid="_x0000_s1026" type="#_x0000_t75" style="position:absolute;margin-left:99.8pt;margin-top:-.15pt;width:1.05pt;height:1.05pt;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">
                      <v:imagedata r:id="rId15" o:title=""/>
                    </v:shape>
                  </w:pict>
                </mc:Fallback>
              </mc:AlternateContent>
            </w:r>
          </w:p>
        </w:tc>
        <w:tc>
          <w:tcPr>
            <w:tcW w:w="1810" w:type="pct"/>
          </w:tcPr>
          <w:p w14:paraId="7519F926" w14:textId="77777777" w:rsidR="00B46D62" w:rsidRPr="00A54361" w:rsidRDefault="00B46D62" w:rsidP="00A54361">
            <w:pPr>
              <w:jc w:val="both"/>
              <w:rPr>
                <w:rFonts w:cstheme="minorHAnsi"/>
                <w:sz w:val="20"/>
                <w:szCs w:val="20"/>
              </w:rPr>
            </w:pPr>
            <w:r w:rsidRPr="00A54361">
              <w:rPr>
                <w:rFonts w:cstheme="minorHAnsi"/>
                <w:sz w:val="20"/>
                <w:szCs w:val="20"/>
              </w:rPr>
              <w:t xml:space="preserve">Reference Letter/ Purchase order of similar projects undertaken. </w:t>
            </w:r>
          </w:p>
        </w:tc>
        <w:tc>
          <w:tcPr>
            <w:tcW w:w="713" w:type="pct"/>
          </w:tcPr>
          <w:p w14:paraId="00781B19" w14:textId="77777777" w:rsidR="00B46D62" w:rsidRPr="00A54361" w:rsidRDefault="00B46D62" w:rsidP="00A54361">
            <w:pPr>
              <w:jc w:val="both"/>
              <w:rPr>
                <w:rFonts w:cstheme="minorHAnsi"/>
                <w:sz w:val="20"/>
                <w:szCs w:val="20"/>
              </w:rPr>
            </w:pPr>
          </w:p>
        </w:tc>
      </w:tr>
    </w:tbl>
    <w:p w14:paraId="629C478A" w14:textId="11878188" w:rsidR="00106EC3" w:rsidRPr="00A54361" w:rsidRDefault="00EA4E48" w:rsidP="00A54361">
      <w:pPr>
        <w:spacing w:before="120" w:after="120"/>
        <w:jc w:val="both"/>
        <w:rPr>
          <w:rFonts w:cstheme="minorHAnsi"/>
        </w:rPr>
      </w:pPr>
      <w:r w:rsidRPr="00A54361">
        <w:rPr>
          <w:rFonts w:cstheme="minorHAnsi"/>
          <w:b/>
          <w:bCs/>
        </w:rPr>
        <w:t>*Note:</w:t>
      </w:r>
      <w:r w:rsidRPr="00A54361">
        <w:rPr>
          <w:rFonts w:cstheme="minorHAnsi"/>
        </w:rPr>
        <w:t xml:space="preserve"> </w:t>
      </w:r>
      <w:r w:rsidR="00106EC3" w:rsidRPr="00A54361">
        <w:rPr>
          <w:rFonts w:cstheme="minorHAnsi"/>
        </w:rPr>
        <w:t>If case of unaudited Balance Sheet for FY 202</w:t>
      </w:r>
      <w:r w:rsidR="000E2307" w:rsidRPr="00A54361">
        <w:rPr>
          <w:rFonts w:cstheme="minorHAnsi"/>
        </w:rPr>
        <w:t>3</w:t>
      </w:r>
      <w:r w:rsidR="00106EC3" w:rsidRPr="00A54361">
        <w:rPr>
          <w:rFonts w:cstheme="minorHAnsi"/>
        </w:rPr>
        <w:t>-2</w:t>
      </w:r>
      <w:r w:rsidR="000E2307" w:rsidRPr="00A54361">
        <w:rPr>
          <w:rFonts w:cstheme="minorHAnsi"/>
        </w:rPr>
        <w:t>4</w:t>
      </w:r>
      <w:r w:rsidR="00106EC3" w:rsidRPr="00A54361">
        <w:rPr>
          <w:rFonts w:cstheme="minorHAnsi"/>
        </w:rPr>
        <w:t>, Bidder needs to submit Provisional Balance Sheet along with copy of CA Certificate for FY 202</w:t>
      </w:r>
      <w:r w:rsidR="000E2307" w:rsidRPr="00A54361">
        <w:rPr>
          <w:rFonts w:cstheme="minorHAnsi"/>
        </w:rPr>
        <w:t>3</w:t>
      </w:r>
      <w:r w:rsidR="00106EC3" w:rsidRPr="00A54361">
        <w:rPr>
          <w:rFonts w:cstheme="minorHAnsi"/>
        </w:rPr>
        <w:t>-2</w:t>
      </w:r>
      <w:r w:rsidR="000E2307" w:rsidRPr="00A54361">
        <w:rPr>
          <w:rFonts w:cstheme="minorHAnsi"/>
        </w:rPr>
        <w:t>4</w:t>
      </w:r>
    </w:p>
    <w:p w14:paraId="3BBD9F66" w14:textId="27FFF663" w:rsidR="007F3467" w:rsidRPr="00A54361" w:rsidRDefault="007F3467" w:rsidP="00A54361">
      <w:pPr>
        <w:jc w:val="both"/>
        <w:rPr>
          <w:rFonts w:cstheme="minorHAnsi"/>
        </w:rPr>
      </w:pPr>
      <w:r w:rsidRPr="00A54361">
        <w:rPr>
          <w:rFonts w:cstheme="minorHAnsi"/>
        </w:rPr>
        <w:t xml:space="preserve">Authorised Signatory </w:t>
      </w:r>
    </w:p>
    <w:p w14:paraId="7498E43E" w14:textId="77777777" w:rsidR="007F3467" w:rsidRPr="00A54361" w:rsidRDefault="007F3467" w:rsidP="00A54361">
      <w:pPr>
        <w:pStyle w:val="Paragraph"/>
        <w:rPr>
          <w:rFonts w:asciiTheme="minorHAnsi" w:hAnsiTheme="minorHAnsi" w:cstheme="minorHAnsi"/>
          <w:szCs w:val="22"/>
        </w:rPr>
      </w:pPr>
      <w:r w:rsidRPr="00A54361">
        <w:rPr>
          <w:rFonts w:asciiTheme="minorHAnsi" w:hAnsiTheme="minorHAnsi" w:cstheme="minorHAnsi"/>
          <w:szCs w:val="22"/>
        </w:rPr>
        <w:t>(Name: Contact Person, Phone No., Fax, E-mail)</w:t>
      </w:r>
    </w:p>
    <w:p w14:paraId="0507C555" w14:textId="5A9859A1" w:rsidR="000509F2" w:rsidRPr="00A54361" w:rsidRDefault="007F3467" w:rsidP="00A54361">
      <w:pPr>
        <w:pStyle w:val="Paragraph"/>
        <w:rPr>
          <w:rFonts w:cstheme="minorHAnsi"/>
        </w:rPr>
      </w:pPr>
      <w:r w:rsidRPr="00A54361">
        <w:rPr>
          <w:rFonts w:asciiTheme="minorHAnsi" w:hAnsiTheme="minorHAnsi" w:cstheme="minorHAnsi"/>
          <w:szCs w:val="22"/>
        </w:rPr>
        <w:t xml:space="preserve">(This letter should be on the letterhead of the Bidder duly signed by an authorized signatory) </w:t>
      </w:r>
      <w:r w:rsidR="000509F2" w:rsidRPr="00A54361">
        <w:rPr>
          <w:rFonts w:cstheme="minorHAnsi"/>
        </w:rPr>
        <w:br w:type="page"/>
      </w:r>
    </w:p>
    <w:p w14:paraId="6596C550" w14:textId="67CC992C" w:rsidR="0054549F" w:rsidRPr="00A54361" w:rsidRDefault="00463CED" w:rsidP="00A54361">
      <w:pPr>
        <w:pStyle w:val="Heading1"/>
        <w:numPr>
          <w:ilvl w:val="0"/>
          <w:numId w:val="48"/>
        </w:numPr>
        <w:jc w:val="both"/>
        <w:rPr>
          <w:rFonts w:asciiTheme="minorHAnsi" w:hAnsiTheme="minorHAnsi" w:cstheme="minorHAnsi"/>
          <w:bCs/>
          <w:color w:val="auto"/>
        </w:rPr>
      </w:pPr>
      <w:bookmarkStart w:id="295" w:name="_Toc129668550"/>
      <w:bookmarkStart w:id="296" w:name="_Toc182233425"/>
      <w:r>
        <w:rPr>
          <w:rFonts w:asciiTheme="minorHAnsi" w:eastAsia="Times New Roman" w:hAnsiTheme="minorHAnsi" w:cstheme="minorHAnsi"/>
          <w:color w:val="auto"/>
        </w:rPr>
        <w:t>Annexure 19</w:t>
      </w:r>
      <w:r w:rsidR="007F3467" w:rsidRPr="00A54361">
        <w:rPr>
          <w:rFonts w:asciiTheme="minorHAnsi" w:eastAsia="Times New Roman" w:hAnsiTheme="minorHAnsi" w:cstheme="minorHAnsi"/>
          <w:color w:val="auto"/>
        </w:rPr>
        <w:t xml:space="preserve">: </w:t>
      </w:r>
      <w:r w:rsidR="0054549F" w:rsidRPr="00A54361">
        <w:rPr>
          <w:rFonts w:asciiTheme="minorHAnsi" w:hAnsiTheme="minorHAnsi" w:cstheme="minorHAnsi"/>
          <w:color w:val="auto"/>
        </w:rPr>
        <w:t>G</w:t>
      </w:r>
      <w:r w:rsidR="0054549F" w:rsidRPr="00A54361">
        <w:rPr>
          <w:rFonts w:asciiTheme="minorHAnsi" w:hAnsiTheme="minorHAnsi" w:cstheme="minorHAnsi"/>
          <w:color w:val="auto"/>
          <w:spacing w:val="-3"/>
        </w:rPr>
        <w:t>u</w:t>
      </w:r>
      <w:r w:rsidR="0054549F" w:rsidRPr="00A54361">
        <w:rPr>
          <w:rFonts w:asciiTheme="minorHAnsi" w:hAnsiTheme="minorHAnsi" w:cstheme="minorHAnsi"/>
          <w:color w:val="auto"/>
          <w:spacing w:val="1"/>
        </w:rPr>
        <w:t>i</w:t>
      </w:r>
      <w:r w:rsidR="0054549F" w:rsidRPr="00A54361">
        <w:rPr>
          <w:rFonts w:asciiTheme="minorHAnsi" w:hAnsiTheme="minorHAnsi" w:cstheme="minorHAnsi"/>
          <w:color w:val="auto"/>
        </w:rPr>
        <w:t>d</w:t>
      </w:r>
      <w:r w:rsidR="0054549F" w:rsidRPr="00A54361">
        <w:rPr>
          <w:rFonts w:asciiTheme="minorHAnsi" w:hAnsiTheme="minorHAnsi" w:cstheme="minorHAnsi"/>
          <w:color w:val="auto"/>
          <w:spacing w:val="-3"/>
        </w:rPr>
        <w:t>e</w:t>
      </w:r>
      <w:r w:rsidR="0054549F" w:rsidRPr="00A54361">
        <w:rPr>
          <w:rFonts w:asciiTheme="minorHAnsi" w:hAnsiTheme="minorHAnsi" w:cstheme="minorHAnsi"/>
          <w:color w:val="auto"/>
          <w:spacing w:val="-1"/>
        </w:rPr>
        <w:t>l</w:t>
      </w:r>
      <w:r w:rsidR="0054549F" w:rsidRPr="00A54361">
        <w:rPr>
          <w:rFonts w:asciiTheme="minorHAnsi" w:hAnsiTheme="minorHAnsi" w:cstheme="minorHAnsi"/>
          <w:color w:val="auto"/>
          <w:spacing w:val="1"/>
        </w:rPr>
        <w:t>i</w:t>
      </w:r>
      <w:r w:rsidR="0054549F" w:rsidRPr="00A54361">
        <w:rPr>
          <w:rFonts w:asciiTheme="minorHAnsi" w:hAnsiTheme="minorHAnsi" w:cstheme="minorHAnsi"/>
          <w:color w:val="auto"/>
        </w:rPr>
        <w:t>n</w:t>
      </w:r>
      <w:r w:rsidR="0054549F" w:rsidRPr="00A54361">
        <w:rPr>
          <w:rFonts w:asciiTheme="minorHAnsi" w:hAnsiTheme="minorHAnsi" w:cstheme="minorHAnsi"/>
          <w:color w:val="auto"/>
          <w:spacing w:val="-3"/>
        </w:rPr>
        <w:t>e</w:t>
      </w:r>
      <w:r w:rsidR="0054549F" w:rsidRPr="00A54361">
        <w:rPr>
          <w:rFonts w:asciiTheme="minorHAnsi" w:hAnsiTheme="minorHAnsi" w:cstheme="minorHAnsi"/>
          <w:color w:val="auto"/>
        </w:rPr>
        <w:t>s</w:t>
      </w:r>
      <w:r w:rsidR="0054549F" w:rsidRPr="00A54361">
        <w:rPr>
          <w:rFonts w:asciiTheme="minorHAnsi" w:eastAsia="Times New Roman" w:hAnsiTheme="minorHAnsi" w:cstheme="minorHAnsi"/>
          <w:color w:val="auto"/>
          <w:spacing w:val="1"/>
        </w:rPr>
        <w:t xml:space="preserve"> </w:t>
      </w:r>
      <w:r w:rsidR="0054549F" w:rsidRPr="00A54361">
        <w:rPr>
          <w:rFonts w:asciiTheme="minorHAnsi" w:eastAsia="Times New Roman" w:hAnsiTheme="minorHAnsi" w:cstheme="minorHAnsi"/>
          <w:color w:val="auto"/>
        </w:rPr>
        <w:t xml:space="preserve">on </w:t>
      </w:r>
      <w:r w:rsidR="0054549F" w:rsidRPr="00A54361">
        <w:rPr>
          <w:rFonts w:asciiTheme="minorHAnsi" w:eastAsia="Times New Roman" w:hAnsiTheme="minorHAnsi" w:cstheme="minorHAnsi"/>
          <w:color w:val="auto"/>
          <w:spacing w:val="-3"/>
        </w:rPr>
        <w:t>b</w:t>
      </w:r>
      <w:r w:rsidR="0054549F" w:rsidRPr="00A54361">
        <w:rPr>
          <w:rFonts w:asciiTheme="minorHAnsi" w:eastAsia="Times New Roman" w:hAnsiTheme="minorHAnsi" w:cstheme="minorHAnsi"/>
          <w:color w:val="auto"/>
          <w:spacing w:val="1"/>
        </w:rPr>
        <w:t>a</w:t>
      </w:r>
      <w:r w:rsidR="0054549F" w:rsidRPr="00A54361">
        <w:rPr>
          <w:rFonts w:asciiTheme="minorHAnsi" w:eastAsia="Times New Roman" w:hAnsiTheme="minorHAnsi" w:cstheme="minorHAnsi"/>
          <w:color w:val="auto"/>
        </w:rPr>
        <w:t>n</w:t>
      </w:r>
      <w:r w:rsidR="0054549F" w:rsidRPr="00A54361">
        <w:rPr>
          <w:rFonts w:asciiTheme="minorHAnsi" w:eastAsia="Times New Roman" w:hAnsiTheme="minorHAnsi" w:cstheme="minorHAnsi"/>
          <w:color w:val="auto"/>
          <w:spacing w:val="-3"/>
        </w:rPr>
        <w:t>n</w:t>
      </w:r>
      <w:r w:rsidR="0054549F" w:rsidRPr="00A54361">
        <w:rPr>
          <w:rFonts w:asciiTheme="minorHAnsi" w:eastAsia="Times New Roman" w:hAnsiTheme="minorHAnsi" w:cstheme="minorHAnsi"/>
          <w:color w:val="auto"/>
          <w:spacing w:val="1"/>
        </w:rPr>
        <w:t>i</w:t>
      </w:r>
      <w:r w:rsidR="0054549F" w:rsidRPr="00A54361">
        <w:rPr>
          <w:rFonts w:asciiTheme="minorHAnsi" w:eastAsia="Times New Roman" w:hAnsiTheme="minorHAnsi" w:cstheme="minorHAnsi"/>
          <w:color w:val="auto"/>
        </w:rPr>
        <w:t>ng</w:t>
      </w:r>
      <w:r w:rsidR="0054549F" w:rsidRPr="00A54361">
        <w:rPr>
          <w:rFonts w:asciiTheme="minorHAnsi" w:eastAsia="Times New Roman" w:hAnsiTheme="minorHAnsi" w:cstheme="minorHAnsi"/>
          <w:color w:val="auto"/>
          <w:spacing w:val="-2"/>
        </w:rPr>
        <w:t xml:space="preserve"> </w:t>
      </w:r>
      <w:r w:rsidR="0054549F" w:rsidRPr="00A54361">
        <w:rPr>
          <w:rFonts w:asciiTheme="minorHAnsi" w:eastAsia="Times New Roman" w:hAnsiTheme="minorHAnsi" w:cstheme="minorHAnsi"/>
          <w:color w:val="auto"/>
          <w:spacing w:val="1"/>
        </w:rPr>
        <w:t>o</w:t>
      </w:r>
      <w:r w:rsidR="0054549F" w:rsidRPr="00A54361">
        <w:rPr>
          <w:rFonts w:asciiTheme="minorHAnsi" w:eastAsia="Times New Roman" w:hAnsiTheme="minorHAnsi" w:cstheme="minorHAnsi"/>
          <w:color w:val="auto"/>
        </w:rPr>
        <w:t xml:space="preserve">f </w:t>
      </w:r>
      <w:r w:rsidR="0054549F" w:rsidRPr="00A54361">
        <w:rPr>
          <w:rFonts w:asciiTheme="minorHAnsi" w:eastAsia="Times New Roman" w:hAnsiTheme="minorHAnsi" w:cstheme="minorHAnsi"/>
          <w:color w:val="auto"/>
          <w:spacing w:val="-3"/>
        </w:rPr>
        <w:t>b</w:t>
      </w:r>
      <w:r w:rsidR="0054549F" w:rsidRPr="00A54361">
        <w:rPr>
          <w:rFonts w:asciiTheme="minorHAnsi" w:eastAsia="Times New Roman" w:hAnsiTheme="minorHAnsi" w:cstheme="minorHAnsi"/>
          <w:color w:val="auto"/>
        </w:rPr>
        <w:t>u</w:t>
      </w:r>
      <w:r w:rsidR="0054549F" w:rsidRPr="00A54361">
        <w:rPr>
          <w:rFonts w:asciiTheme="minorHAnsi" w:eastAsia="Times New Roman" w:hAnsiTheme="minorHAnsi" w:cstheme="minorHAnsi"/>
          <w:color w:val="auto"/>
          <w:spacing w:val="1"/>
        </w:rPr>
        <w:t>si</w:t>
      </w:r>
      <w:r w:rsidR="0054549F" w:rsidRPr="00A54361">
        <w:rPr>
          <w:rFonts w:asciiTheme="minorHAnsi" w:eastAsia="Times New Roman" w:hAnsiTheme="minorHAnsi" w:cstheme="minorHAnsi"/>
          <w:color w:val="auto"/>
          <w:spacing w:val="-3"/>
        </w:rPr>
        <w:t>n</w:t>
      </w:r>
      <w:r w:rsidR="0054549F" w:rsidRPr="00A54361">
        <w:rPr>
          <w:rFonts w:asciiTheme="minorHAnsi" w:eastAsia="Times New Roman" w:hAnsiTheme="minorHAnsi" w:cstheme="minorHAnsi"/>
          <w:color w:val="auto"/>
        </w:rPr>
        <w:t>e</w:t>
      </w:r>
      <w:r w:rsidR="0054549F" w:rsidRPr="00A54361">
        <w:rPr>
          <w:rFonts w:asciiTheme="minorHAnsi" w:eastAsia="Times New Roman" w:hAnsiTheme="minorHAnsi" w:cstheme="minorHAnsi"/>
          <w:color w:val="auto"/>
          <w:spacing w:val="-1"/>
        </w:rPr>
        <w:t>s</w:t>
      </w:r>
      <w:r w:rsidR="0054549F" w:rsidRPr="00A54361">
        <w:rPr>
          <w:rFonts w:asciiTheme="minorHAnsi" w:eastAsia="Times New Roman" w:hAnsiTheme="minorHAnsi" w:cstheme="minorHAnsi"/>
          <w:color w:val="auto"/>
        </w:rPr>
        <w:t>s</w:t>
      </w:r>
      <w:r w:rsidR="0054549F" w:rsidRPr="00A54361">
        <w:rPr>
          <w:rFonts w:asciiTheme="minorHAnsi" w:eastAsia="Times New Roman" w:hAnsiTheme="minorHAnsi" w:cstheme="minorHAnsi"/>
          <w:color w:val="auto"/>
          <w:spacing w:val="1"/>
        </w:rPr>
        <w:t xml:space="preserve"> </w:t>
      </w:r>
      <w:r w:rsidR="0054549F" w:rsidRPr="00A54361">
        <w:rPr>
          <w:rFonts w:asciiTheme="minorHAnsi" w:eastAsia="Times New Roman" w:hAnsiTheme="minorHAnsi" w:cstheme="minorHAnsi"/>
          <w:color w:val="auto"/>
        </w:rPr>
        <w:t>d</w:t>
      </w:r>
      <w:r w:rsidR="0054549F" w:rsidRPr="00A54361">
        <w:rPr>
          <w:rFonts w:asciiTheme="minorHAnsi" w:eastAsia="Times New Roman" w:hAnsiTheme="minorHAnsi" w:cstheme="minorHAnsi"/>
          <w:color w:val="auto"/>
          <w:spacing w:val="-3"/>
        </w:rPr>
        <w:t>e</w:t>
      </w:r>
      <w:r w:rsidR="0054549F" w:rsidRPr="00A54361">
        <w:rPr>
          <w:rFonts w:asciiTheme="minorHAnsi" w:eastAsia="Times New Roman" w:hAnsiTheme="minorHAnsi" w:cstheme="minorHAnsi"/>
          <w:color w:val="auto"/>
          <w:spacing w:val="1"/>
        </w:rPr>
        <w:t>a</w:t>
      </w:r>
      <w:r w:rsidR="0054549F" w:rsidRPr="00A54361">
        <w:rPr>
          <w:rFonts w:asciiTheme="minorHAnsi" w:eastAsia="Times New Roman" w:hAnsiTheme="minorHAnsi" w:cstheme="minorHAnsi"/>
          <w:color w:val="auto"/>
          <w:spacing w:val="-1"/>
        </w:rPr>
        <w:t>l</w:t>
      </w:r>
      <w:r w:rsidR="0054549F" w:rsidRPr="00A54361">
        <w:rPr>
          <w:rFonts w:asciiTheme="minorHAnsi" w:eastAsia="Times New Roman" w:hAnsiTheme="minorHAnsi" w:cstheme="minorHAnsi"/>
          <w:color w:val="auto"/>
          <w:spacing w:val="1"/>
        </w:rPr>
        <w:t>i</w:t>
      </w:r>
      <w:r w:rsidR="0054549F" w:rsidRPr="00A54361">
        <w:rPr>
          <w:rFonts w:asciiTheme="minorHAnsi" w:eastAsia="Times New Roman" w:hAnsiTheme="minorHAnsi" w:cstheme="minorHAnsi"/>
          <w:color w:val="auto"/>
          <w:spacing w:val="-3"/>
        </w:rPr>
        <w:t>n</w:t>
      </w:r>
      <w:r w:rsidR="0054549F" w:rsidRPr="00A54361">
        <w:rPr>
          <w:rFonts w:asciiTheme="minorHAnsi" w:eastAsia="Times New Roman" w:hAnsiTheme="minorHAnsi" w:cstheme="minorHAnsi"/>
          <w:color w:val="auto"/>
        </w:rPr>
        <w:t>g</w:t>
      </w:r>
      <w:bookmarkEnd w:id="295"/>
      <w:bookmarkEnd w:id="296"/>
      <w:r w:rsidR="0054549F" w:rsidRPr="00A54361">
        <w:rPr>
          <w:rFonts w:asciiTheme="minorHAnsi" w:hAnsiTheme="minorHAnsi" w:cstheme="minorHAnsi"/>
          <w:bCs/>
          <w:color w:val="auto"/>
        </w:rPr>
        <w:t xml:space="preserve"> </w:t>
      </w:r>
    </w:p>
    <w:p w14:paraId="641C81D3" w14:textId="77777777" w:rsidR="0054549F" w:rsidRPr="00A54361" w:rsidRDefault="0054549F" w:rsidP="00A54361">
      <w:pPr>
        <w:jc w:val="both"/>
        <w:rPr>
          <w:rFonts w:cstheme="minorHAnsi"/>
        </w:rPr>
      </w:pPr>
      <w:r w:rsidRPr="00A54361">
        <w:rPr>
          <w:rFonts w:eastAsia="Times New Roman" w:cstheme="minorHAnsi"/>
          <w:spacing w:val="1"/>
        </w:rPr>
        <w:t xml:space="preserve">  </w:t>
      </w:r>
      <w:r w:rsidRPr="00A54361">
        <w:rPr>
          <w:rFonts w:cstheme="minorHAnsi"/>
          <w:b/>
          <w:bCs/>
        </w:rPr>
        <w:t xml:space="preserve">GUIDELINES FOR INDIAN AGENTS OF FOREIGN SUPPLIERS </w:t>
      </w:r>
    </w:p>
    <w:p w14:paraId="34AD6DD8" w14:textId="77777777" w:rsidR="0054549F" w:rsidRPr="00A54361" w:rsidRDefault="0054549F" w:rsidP="00A54361">
      <w:pPr>
        <w:pStyle w:val="Default"/>
        <w:ind w:left="-284"/>
        <w:jc w:val="both"/>
        <w:rPr>
          <w:rFonts w:asciiTheme="minorHAnsi" w:hAnsiTheme="minorHAnsi" w:cstheme="minorHAnsi"/>
          <w:color w:val="auto"/>
          <w:sz w:val="22"/>
          <w:szCs w:val="22"/>
        </w:rPr>
      </w:pPr>
      <w:r w:rsidRPr="00A54361">
        <w:rPr>
          <w:rFonts w:asciiTheme="minorHAnsi" w:hAnsiTheme="minorHAnsi" w:cstheme="minorHAnsi"/>
          <w:color w:val="auto"/>
          <w:sz w:val="22"/>
          <w:szCs w:val="22"/>
        </w:rPr>
        <w:t xml:space="preserve">1.0 There shall be compulsory registration of agents for all Global (Open) Tender and Limited Tender. An agent who is not registered with CENTRAL BANK OF INDIA shall apply for registration in the prescribed Application –Form. </w:t>
      </w:r>
    </w:p>
    <w:p w14:paraId="7C5BCA69" w14:textId="77777777" w:rsidR="0054549F" w:rsidRPr="00A54361" w:rsidRDefault="0054549F" w:rsidP="00A54361">
      <w:pPr>
        <w:pStyle w:val="Default"/>
        <w:ind w:left="-284"/>
        <w:jc w:val="both"/>
        <w:rPr>
          <w:rFonts w:asciiTheme="minorHAnsi" w:hAnsiTheme="minorHAnsi" w:cstheme="minorHAnsi"/>
          <w:color w:val="auto"/>
          <w:sz w:val="22"/>
          <w:szCs w:val="22"/>
        </w:rPr>
      </w:pPr>
    </w:p>
    <w:p w14:paraId="68712144" w14:textId="77777777" w:rsidR="0054549F" w:rsidRPr="00A54361" w:rsidRDefault="0054549F" w:rsidP="00A54361">
      <w:pPr>
        <w:pStyle w:val="Default"/>
        <w:ind w:left="-284"/>
        <w:jc w:val="both"/>
        <w:rPr>
          <w:rFonts w:asciiTheme="minorHAnsi" w:hAnsiTheme="minorHAnsi" w:cstheme="minorHAnsi"/>
          <w:color w:val="auto"/>
          <w:sz w:val="22"/>
          <w:szCs w:val="22"/>
        </w:rPr>
      </w:pPr>
      <w:r w:rsidRPr="00A54361">
        <w:rPr>
          <w:rFonts w:asciiTheme="minorHAnsi" w:hAnsiTheme="minorHAnsi" w:cstheme="minorHAnsi"/>
          <w:color w:val="auto"/>
          <w:sz w:val="22"/>
          <w:szCs w:val="22"/>
        </w:rPr>
        <w:t xml:space="preserve">1.1 Registered agents will file an authenticated Photostat copy duly attested by a Notary Public/Original certificate of the principal confirming the agency agreement and giving the status being enjoyed by the agent and the commission/remuneration/salary/ retainer ship being paid by the principal to the agent before the placement of order by CENTRAL BANK OF INDIA. </w:t>
      </w:r>
    </w:p>
    <w:p w14:paraId="5716291C" w14:textId="77777777" w:rsidR="0054549F" w:rsidRPr="00A54361" w:rsidRDefault="0054549F" w:rsidP="00A54361">
      <w:pPr>
        <w:pStyle w:val="Default"/>
        <w:ind w:left="-284"/>
        <w:jc w:val="both"/>
        <w:rPr>
          <w:rFonts w:asciiTheme="minorHAnsi" w:hAnsiTheme="minorHAnsi" w:cstheme="minorHAnsi"/>
          <w:color w:val="auto"/>
          <w:sz w:val="22"/>
          <w:szCs w:val="22"/>
        </w:rPr>
      </w:pPr>
    </w:p>
    <w:p w14:paraId="0833F73C" w14:textId="77777777" w:rsidR="0054549F" w:rsidRPr="00A54361" w:rsidRDefault="0054549F" w:rsidP="00A54361">
      <w:pPr>
        <w:pStyle w:val="Default"/>
        <w:ind w:left="-284"/>
        <w:jc w:val="both"/>
        <w:rPr>
          <w:rFonts w:asciiTheme="minorHAnsi" w:hAnsiTheme="minorHAnsi" w:cstheme="minorHAnsi"/>
          <w:color w:val="auto"/>
          <w:sz w:val="22"/>
          <w:szCs w:val="22"/>
        </w:rPr>
      </w:pPr>
      <w:r w:rsidRPr="00A54361">
        <w:rPr>
          <w:rFonts w:asciiTheme="minorHAnsi" w:hAnsiTheme="minorHAnsi" w:cstheme="minorHAnsi"/>
          <w:color w:val="auto"/>
          <w:sz w:val="22"/>
          <w:szCs w:val="22"/>
        </w:rPr>
        <w:t xml:space="preserve">1.2 Wherever the Indian representatives have communicated on behalf of their principals and the foreign parties have stated that they are not paying any commission to the Indian agents, and the Indian representative is working on the basis of salary or as retainer, a written declaration to this effect should be submitted by the party (i.e. Principal) before finalizing the order </w:t>
      </w:r>
    </w:p>
    <w:p w14:paraId="4CA06707" w14:textId="77777777" w:rsidR="0054549F" w:rsidRPr="00A54361" w:rsidRDefault="0054549F" w:rsidP="00A54361">
      <w:pPr>
        <w:pStyle w:val="Default"/>
        <w:ind w:left="-284"/>
        <w:jc w:val="both"/>
        <w:rPr>
          <w:rFonts w:asciiTheme="minorHAnsi" w:hAnsiTheme="minorHAnsi" w:cstheme="minorHAnsi"/>
          <w:color w:val="auto"/>
          <w:sz w:val="22"/>
          <w:szCs w:val="22"/>
        </w:rPr>
      </w:pPr>
    </w:p>
    <w:p w14:paraId="409D5428" w14:textId="77777777" w:rsidR="0054549F" w:rsidRPr="00A54361" w:rsidRDefault="0054549F" w:rsidP="00A54361">
      <w:pPr>
        <w:pStyle w:val="Default"/>
        <w:ind w:left="-284"/>
        <w:jc w:val="both"/>
        <w:rPr>
          <w:rFonts w:asciiTheme="minorHAnsi" w:hAnsiTheme="minorHAnsi" w:cstheme="minorHAnsi"/>
          <w:color w:val="auto"/>
          <w:sz w:val="22"/>
          <w:szCs w:val="22"/>
        </w:rPr>
      </w:pPr>
      <w:r w:rsidRPr="00A54361">
        <w:rPr>
          <w:rFonts w:asciiTheme="minorHAnsi" w:hAnsiTheme="minorHAnsi" w:cstheme="minorHAnsi"/>
          <w:b/>
          <w:bCs/>
          <w:color w:val="auto"/>
          <w:sz w:val="22"/>
          <w:szCs w:val="22"/>
        </w:rPr>
        <w:t>2.0 DISCLOSURE OF PARTICULARS OF AGENTS/ REPRESENTATIVES IN INDIA. IF ANY</w:t>
      </w:r>
      <w:r w:rsidRPr="00A54361">
        <w:rPr>
          <w:rFonts w:asciiTheme="minorHAnsi" w:hAnsiTheme="minorHAnsi" w:cstheme="minorHAnsi"/>
          <w:color w:val="auto"/>
          <w:sz w:val="22"/>
          <w:szCs w:val="22"/>
        </w:rPr>
        <w:t xml:space="preserve">. </w:t>
      </w:r>
    </w:p>
    <w:p w14:paraId="6EB2497C" w14:textId="77777777" w:rsidR="0054549F" w:rsidRPr="00A54361" w:rsidRDefault="0054549F" w:rsidP="00A54361">
      <w:pPr>
        <w:pStyle w:val="Default"/>
        <w:ind w:left="-284"/>
        <w:jc w:val="both"/>
        <w:rPr>
          <w:rFonts w:asciiTheme="minorHAnsi" w:hAnsiTheme="minorHAnsi" w:cstheme="minorHAnsi"/>
          <w:color w:val="auto"/>
          <w:sz w:val="22"/>
          <w:szCs w:val="22"/>
        </w:rPr>
      </w:pPr>
    </w:p>
    <w:p w14:paraId="48BA1AC6" w14:textId="77777777" w:rsidR="0054549F" w:rsidRPr="00A54361" w:rsidRDefault="0054549F" w:rsidP="00A54361">
      <w:pPr>
        <w:pStyle w:val="Default"/>
        <w:ind w:left="-284"/>
        <w:jc w:val="both"/>
        <w:rPr>
          <w:rFonts w:asciiTheme="minorHAnsi" w:hAnsiTheme="minorHAnsi" w:cstheme="minorHAnsi"/>
          <w:color w:val="auto"/>
          <w:sz w:val="22"/>
          <w:szCs w:val="22"/>
        </w:rPr>
      </w:pPr>
      <w:r w:rsidRPr="00A54361">
        <w:rPr>
          <w:rFonts w:asciiTheme="minorHAnsi" w:hAnsiTheme="minorHAnsi" w:cstheme="minorHAnsi"/>
          <w:color w:val="auto"/>
          <w:sz w:val="22"/>
          <w:szCs w:val="22"/>
        </w:rPr>
        <w:t xml:space="preserve">2.1 Tenderers of Foreign nationality shall furnish the following details in their offer: </w:t>
      </w:r>
    </w:p>
    <w:p w14:paraId="26A1FA2B" w14:textId="77777777" w:rsidR="0054549F" w:rsidRPr="00A54361" w:rsidRDefault="0054549F" w:rsidP="00A54361">
      <w:pPr>
        <w:pStyle w:val="Default"/>
        <w:ind w:left="-284"/>
        <w:jc w:val="both"/>
        <w:rPr>
          <w:rFonts w:asciiTheme="minorHAnsi" w:hAnsiTheme="minorHAnsi" w:cstheme="minorHAnsi"/>
          <w:color w:val="auto"/>
          <w:sz w:val="22"/>
          <w:szCs w:val="22"/>
        </w:rPr>
      </w:pPr>
    </w:p>
    <w:p w14:paraId="2F070E1A" w14:textId="77777777" w:rsidR="0054549F" w:rsidRPr="00A54361" w:rsidRDefault="0054549F" w:rsidP="00A54361">
      <w:pPr>
        <w:pStyle w:val="Default"/>
        <w:ind w:left="-284"/>
        <w:jc w:val="both"/>
        <w:rPr>
          <w:rFonts w:asciiTheme="minorHAnsi" w:hAnsiTheme="minorHAnsi" w:cstheme="minorHAnsi"/>
          <w:color w:val="auto"/>
          <w:sz w:val="22"/>
          <w:szCs w:val="22"/>
        </w:rPr>
      </w:pPr>
      <w:r w:rsidRPr="00A54361">
        <w:rPr>
          <w:rFonts w:asciiTheme="minorHAnsi" w:hAnsiTheme="minorHAnsi" w:cstheme="minorHAnsi"/>
          <w:color w:val="auto"/>
          <w:sz w:val="22"/>
          <w:szCs w:val="22"/>
        </w:rPr>
        <w:t xml:space="preserve">2.1.1 The name and address of the agents/representatives in India, if any and the extent of authorization and authority given to commit the Principals. In case the agent/representative be a foreign Bank, it shall be confirmed whether it is real substantial Bank and details of the same shall be furnished. </w:t>
      </w:r>
    </w:p>
    <w:p w14:paraId="3CB4C40D" w14:textId="77777777" w:rsidR="0054549F" w:rsidRPr="00A54361" w:rsidRDefault="0054549F" w:rsidP="00A54361">
      <w:pPr>
        <w:pStyle w:val="Default"/>
        <w:ind w:left="-284"/>
        <w:jc w:val="both"/>
        <w:rPr>
          <w:rFonts w:asciiTheme="minorHAnsi" w:hAnsiTheme="minorHAnsi" w:cstheme="minorHAnsi"/>
          <w:color w:val="auto"/>
          <w:sz w:val="22"/>
          <w:szCs w:val="22"/>
        </w:rPr>
      </w:pPr>
    </w:p>
    <w:p w14:paraId="7DD200EF" w14:textId="77777777" w:rsidR="0054549F" w:rsidRPr="00A54361" w:rsidRDefault="0054549F" w:rsidP="00A54361">
      <w:pPr>
        <w:pStyle w:val="Default"/>
        <w:ind w:left="-284"/>
        <w:jc w:val="both"/>
        <w:rPr>
          <w:rFonts w:asciiTheme="minorHAnsi" w:hAnsiTheme="minorHAnsi" w:cstheme="minorHAnsi"/>
          <w:color w:val="auto"/>
          <w:sz w:val="22"/>
          <w:szCs w:val="22"/>
        </w:rPr>
      </w:pPr>
      <w:r w:rsidRPr="00A54361">
        <w:rPr>
          <w:rFonts w:asciiTheme="minorHAnsi" w:hAnsiTheme="minorHAnsi" w:cstheme="minorHAnsi"/>
          <w:color w:val="auto"/>
          <w:sz w:val="22"/>
          <w:szCs w:val="22"/>
        </w:rPr>
        <w:t xml:space="preserve">2.1.2 The amount of commission/remuneration included in the quoted price(s) for such agents/representatives in India. </w:t>
      </w:r>
    </w:p>
    <w:p w14:paraId="7C7AC556" w14:textId="77777777" w:rsidR="0054549F" w:rsidRPr="00A54361" w:rsidRDefault="0054549F" w:rsidP="00A54361">
      <w:pPr>
        <w:pStyle w:val="Default"/>
        <w:ind w:left="-284"/>
        <w:jc w:val="both"/>
        <w:rPr>
          <w:rFonts w:asciiTheme="minorHAnsi" w:hAnsiTheme="minorHAnsi" w:cstheme="minorHAnsi"/>
          <w:color w:val="auto"/>
          <w:sz w:val="22"/>
          <w:szCs w:val="22"/>
        </w:rPr>
      </w:pPr>
    </w:p>
    <w:p w14:paraId="0CF15F78" w14:textId="77777777" w:rsidR="0054549F" w:rsidRPr="00A54361" w:rsidRDefault="0054549F" w:rsidP="00A54361">
      <w:pPr>
        <w:pStyle w:val="Default"/>
        <w:ind w:left="-284"/>
        <w:jc w:val="both"/>
        <w:rPr>
          <w:rFonts w:asciiTheme="minorHAnsi" w:hAnsiTheme="minorHAnsi" w:cstheme="minorHAnsi"/>
          <w:color w:val="auto"/>
          <w:sz w:val="22"/>
          <w:szCs w:val="22"/>
        </w:rPr>
      </w:pPr>
      <w:r w:rsidRPr="00A54361">
        <w:rPr>
          <w:rFonts w:asciiTheme="minorHAnsi" w:hAnsiTheme="minorHAnsi" w:cstheme="minorHAnsi"/>
          <w:color w:val="auto"/>
          <w:sz w:val="22"/>
          <w:szCs w:val="22"/>
        </w:rPr>
        <w:t xml:space="preserve">2.1.3 Confirmation of the Tenderer that the commission/ remuneration if any, payable to his agents/representatives in India, may be paid by CENTRAL BANK OF INDIA in Indian Rupees only. </w:t>
      </w:r>
    </w:p>
    <w:p w14:paraId="22E82F60" w14:textId="77777777" w:rsidR="0054549F" w:rsidRPr="00A54361" w:rsidRDefault="0054549F" w:rsidP="00A54361">
      <w:pPr>
        <w:pStyle w:val="Default"/>
        <w:ind w:left="-284"/>
        <w:jc w:val="both"/>
        <w:rPr>
          <w:rFonts w:asciiTheme="minorHAnsi" w:hAnsiTheme="minorHAnsi" w:cstheme="minorHAnsi"/>
          <w:color w:val="auto"/>
          <w:sz w:val="22"/>
          <w:szCs w:val="22"/>
        </w:rPr>
      </w:pPr>
    </w:p>
    <w:p w14:paraId="406E32DE" w14:textId="77777777" w:rsidR="0054549F" w:rsidRPr="00A54361" w:rsidRDefault="0054549F" w:rsidP="00A54361">
      <w:pPr>
        <w:pStyle w:val="Default"/>
        <w:ind w:left="-284"/>
        <w:jc w:val="both"/>
        <w:rPr>
          <w:rFonts w:asciiTheme="minorHAnsi" w:hAnsiTheme="minorHAnsi" w:cstheme="minorHAnsi"/>
          <w:color w:val="auto"/>
          <w:sz w:val="22"/>
          <w:szCs w:val="22"/>
        </w:rPr>
      </w:pPr>
      <w:r w:rsidRPr="00A54361">
        <w:rPr>
          <w:rFonts w:asciiTheme="minorHAnsi" w:hAnsiTheme="minorHAnsi" w:cstheme="minorHAnsi"/>
          <w:color w:val="auto"/>
          <w:sz w:val="22"/>
          <w:szCs w:val="22"/>
        </w:rPr>
        <w:t xml:space="preserve">2.2 Tenderers of Indian Nationality shall furnish the following details in their offers: </w:t>
      </w:r>
    </w:p>
    <w:p w14:paraId="5EA242F1" w14:textId="77777777" w:rsidR="0054549F" w:rsidRPr="00A54361" w:rsidRDefault="0054549F" w:rsidP="00A54361">
      <w:pPr>
        <w:pStyle w:val="Default"/>
        <w:ind w:left="-284"/>
        <w:jc w:val="both"/>
        <w:rPr>
          <w:rFonts w:asciiTheme="minorHAnsi" w:hAnsiTheme="minorHAnsi" w:cstheme="minorHAnsi"/>
          <w:color w:val="auto"/>
          <w:sz w:val="22"/>
          <w:szCs w:val="22"/>
        </w:rPr>
      </w:pPr>
    </w:p>
    <w:p w14:paraId="11EEFEA8" w14:textId="77777777" w:rsidR="0054549F" w:rsidRPr="00A54361" w:rsidRDefault="0054549F" w:rsidP="00A54361">
      <w:pPr>
        <w:pStyle w:val="Default"/>
        <w:ind w:left="-284"/>
        <w:jc w:val="both"/>
        <w:rPr>
          <w:rFonts w:asciiTheme="minorHAnsi" w:hAnsiTheme="minorHAnsi" w:cstheme="minorHAnsi"/>
          <w:color w:val="auto"/>
          <w:sz w:val="22"/>
          <w:szCs w:val="22"/>
        </w:rPr>
      </w:pPr>
      <w:r w:rsidRPr="00A54361">
        <w:rPr>
          <w:rFonts w:asciiTheme="minorHAnsi" w:hAnsiTheme="minorHAnsi" w:cstheme="minorHAnsi"/>
          <w:color w:val="auto"/>
          <w:sz w:val="22"/>
          <w:szCs w:val="22"/>
        </w:rPr>
        <w:t xml:space="preserve">2.2.1 The name and address of the foreign principals indicating their nationality as well as their status, i.e, whether manufacturer or agents of manufacturer holding the Letter of Authority of the Principal specifically authorizing the agent to make an offer in India in response to tender either directly or through the agents/representatives. </w:t>
      </w:r>
    </w:p>
    <w:p w14:paraId="18AC241D" w14:textId="77777777" w:rsidR="0054549F" w:rsidRPr="00A54361" w:rsidRDefault="0054549F" w:rsidP="00A54361">
      <w:pPr>
        <w:pStyle w:val="Default"/>
        <w:ind w:left="-284"/>
        <w:jc w:val="both"/>
        <w:rPr>
          <w:rFonts w:asciiTheme="minorHAnsi" w:hAnsiTheme="minorHAnsi" w:cstheme="minorHAnsi"/>
          <w:color w:val="auto"/>
          <w:sz w:val="22"/>
          <w:szCs w:val="22"/>
        </w:rPr>
      </w:pPr>
    </w:p>
    <w:p w14:paraId="1EF21F0A" w14:textId="77777777" w:rsidR="0054549F" w:rsidRPr="00A54361" w:rsidRDefault="0054549F" w:rsidP="00A54361">
      <w:pPr>
        <w:pStyle w:val="Default"/>
        <w:ind w:left="-284"/>
        <w:jc w:val="both"/>
        <w:rPr>
          <w:rFonts w:asciiTheme="minorHAnsi" w:hAnsiTheme="minorHAnsi" w:cstheme="minorHAnsi"/>
          <w:color w:val="auto"/>
          <w:sz w:val="22"/>
          <w:szCs w:val="22"/>
        </w:rPr>
      </w:pPr>
      <w:r w:rsidRPr="00A54361">
        <w:rPr>
          <w:rFonts w:asciiTheme="minorHAnsi" w:hAnsiTheme="minorHAnsi" w:cstheme="minorHAnsi"/>
          <w:color w:val="auto"/>
          <w:sz w:val="22"/>
          <w:szCs w:val="22"/>
        </w:rPr>
        <w:t xml:space="preserve">2.2.2 The amount of commission/remuneration included in the price (s) quoted by the Tenderer for himself. </w:t>
      </w:r>
    </w:p>
    <w:p w14:paraId="499D8671" w14:textId="77777777" w:rsidR="0054549F" w:rsidRPr="00A54361" w:rsidRDefault="0054549F" w:rsidP="00A54361">
      <w:pPr>
        <w:pStyle w:val="Default"/>
        <w:ind w:left="-284"/>
        <w:jc w:val="both"/>
        <w:rPr>
          <w:rFonts w:asciiTheme="minorHAnsi" w:hAnsiTheme="minorHAnsi" w:cstheme="minorHAnsi"/>
          <w:color w:val="auto"/>
          <w:sz w:val="22"/>
          <w:szCs w:val="22"/>
        </w:rPr>
      </w:pPr>
    </w:p>
    <w:p w14:paraId="3B3B85A7" w14:textId="77777777" w:rsidR="0054549F" w:rsidRPr="00A54361" w:rsidRDefault="0054549F" w:rsidP="00A54361">
      <w:pPr>
        <w:pStyle w:val="Default"/>
        <w:ind w:left="-284"/>
        <w:jc w:val="both"/>
        <w:rPr>
          <w:rFonts w:asciiTheme="minorHAnsi" w:hAnsiTheme="minorHAnsi" w:cstheme="minorHAnsi"/>
          <w:color w:val="auto"/>
          <w:sz w:val="22"/>
          <w:szCs w:val="22"/>
        </w:rPr>
      </w:pPr>
      <w:r w:rsidRPr="00A54361">
        <w:rPr>
          <w:rFonts w:asciiTheme="minorHAnsi" w:hAnsiTheme="minorHAnsi" w:cstheme="minorHAnsi"/>
          <w:color w:val="auto"/>
          <w:sz w:val="22"/>
          <w:szCs w:val="22"/>
        </w:rPr>
        <w:t xml:space="preserve">2.2.3 Confirmation of the foreign principals of the Tenderer that the commission/remuneration, if any, reserved for the Tenderer in the quoted price (s), may be paid by CENTRAL BANK OF INDIA in India in equivalent Indian Rupees on satisfactory completion of the Project or supplies of Stores and Spares in case of operation items . </w:t>
      </w:r>
    </w:p>
    <w:p w14:paraId="75832105" w14:textId="77777777" w:rsidR="0054549F" w:rsidRPr="00A54361" w:rsidRDefault="0054549F" w:rsidP="00A54361">
      <w:pPr>
        <w:pStyle w:val="Default"/>
        <w:ind w:left="-284"/>
        <w:jc w:val="both"/>
        <w:rPr>
          <w:rFonts w:asciiTheme="minorHAnsi" w:hAnsiTheme="minorHAnsi" w:cstheme="minorHAnsi"/>
          <w:color w:val="auto"/>
          <w:sz w:val="22"/>
          <w:szCs w:val="22"/>
        </w:rPr>
      </w:pPr>
    </w:p>
    <w:p w14:paraId="4296B65A" w14:textId="77777777" w:rsidR="0054549F" w:rsidRPr="00A54361" w:rsidRDefault="0054549F" w:rsidP="00A54361">
      <w:pPr>
        <w:pStyle w:val="Default"/>
        <w:ind w:left="-284"/>
        <w:jc w:val="both"/>
        <w:rPr>
          <w:rFonts w:asciiTheme="minorHAnsi" w:hAnsiTheme="minorHAnsi" w:cstheme="minorHAnsi"/>
          <w:color w:val="auto"/>
          <w:sz w:val="22"/>
          <w:szCs w:val="22"/>
        </w:rPr>
      </w:pPr>
      <w:r w:rsidRPr="00A54361">
        <w:rPr>
          <w:rFonts w:asciiTheme="minorHAnsi" w:hAnsiTheme="minorHAnsi" w:cstheme="minorHAnsi"/>
          <w:color w:val="auto"/>
          <w:sz w:val="22"/>
          <w:szCs w:val="22"/>
        </w:rPr>
        <w:t xml:space="preserve">2.3 In either case, in the event of contract materializing, the terms of payment will provide for payment of the commission /remuneration, if any payable to the agents/representatives in India in Indian Rupees on expiry of 90 days after the discharge of the obligations under the contract. </w:t>
      </w:r>
    </w:p>
    <w:p w14:paraId="2ADE6626" w14:textId="77777777" w:rsidR="0054549F" w:rsidRPr="00A54361" w:rsidRDefault="0054549F" w:rsidP="00A54361">
      <w:pPr>
        <w:pStyle w:val="Default"/>
        <w:ind w:left="-284"/>
        <w:jc w:val="both"/>
        <w:rPr>
          <w:rFonts w:asciiTheme="minorHAnsi" w:hAnsiTheme="minorHAnsi" w:cstheme="minorHAnsi"/>
          <w:color w:val="auto"/>
          <w:sz w:val="22"/>
          <w:szCs w:val="22"/>
        </w:rPr>
      </w:pPr>
    </w:p>
    <w:p w14:paraId="31019646" w14:textId="77777777" w:rsidR="0054549F" w:rsidRPr="00A54361" w:rsidRDefault="0054549F" w:rsidP="00A54361">
      <w:pPr>
        <w:pStyle w:val="Default"/>
        <w:ind w:left="-284"/>
        <w:jc w:val="both"/>
        <w:rPr>
          <w:rFonts w:asciiTheme="minorHAnsi" w:hAnsiTheme="minorHAnsi" w:cstheme="minorHAnsi"/>
          <w:color w:val="auto"/>
          <w:sz w:val="22"/>
          <w:szCs w:val="22"/>
        </w:rPr>
      </w:pPr>
      <w:r w:rsidRPr="00A54361">
        <w:rPr>
          <w:rFonts w:asciiTheme="minorHAnsi" w:hAnsiTheme="minorHAnsi" w:cstheme="minorHAnsi"/>
          <w:color w:val="auto"/>
          <w:sz w:val="22"/>
          <w:szCs w:val="22"/>
        </w:rPr>
        <w:t xml:space="preserve">2.4 Failure to furnish correct and detailed information as called for in paragraph-2.0 above will render the concerned tender liable to rejection or in the event of a contract materializing, the same liable to termination by CENTRAL BANK OF INDIA. Besides this there would be a penalty of banning business dealings with CENTRAL BANK OF INDIA or damage or payment of a named sum. </w:t>
      </w:r>
    </w:p>
    <w:p w14:paraId="24EEC66F" w14:textId="77777777" w:rsidR="0054549F" w:rsidRPr="00A54361" w:rsidRDefault="0054549F" w:rsidP="00A54361">
      <w:pPr>
        <w:ind w:left="-284" w:right="7742"/>
        <w:jc w:val="both"/>
        <w:rPr>
          <w:rFonts w:eastAsia="Times New Roman" w:cstheme="minorHAnsi"/>
          <w:spacing w:val="1"/>
        </w:rPr>
      </w:pPr>
    </w:p>
    <w:p w14:paraId="773F6357" w14:textId="77777777" w:rsidR="0054549F" w:rsidRPr="00A54361" w:rsidRDefault="0054549F" w:rsidP="00A54361">
      <w:pPr>
        <w:ind w:left="100" w:right="7742" w:hanging="242"/>
        <w:jc w:val="both"/>
        <w:rPr>
          <w:rFonts w:cstheme="minorHAnsi"/>
          <w:b/>
          <w:bCs/>
        </w:rPr>
      </w:pPr>
      <w:r w:rsidRPr="00A54361">
        <w:rPr>
          <w:rFonts w:eastAsia="Times New Roman" w:cstheme="minorHAnsi"/>
          <w:b/>
          <w:bCs/>
          <w:spacing w:val="1"/>
        </w:rPr>
        <w:t>S</w:t>
      </w:r>
      <w:r w:rsidRPr="00A54361">
        <w:rPr>
          <w:rFonts w:eastAsia="Times New Roman" w:cstheme="minorHAnsi"/>
          <w:b/>
          <w:bCs/>
        </w:rPr>
        <w:t xml:space="preserve">r.  </w:t>
      </w:r>
      <w:r w:rsidRPr="00A54361">
        <w:rPr>
          <w:rFonts w:eastAsia="Times New Roman" w:cstheme="minorHAnsi"/>
          <w:b/>
          <w:bCs/>
          <w:spacing w:val="60"/>
        </w:rPr>
        <w:t xml:space="preserve"> </w:t>
      </w:r>
      <w:r w:rsidRPr="00A54361">
        <w:rPr>
          <w:rFonts w:eastAsia="Times New Roman" w:cstheme="minorHAnsi"/>
          <w:b/>
          <w:bCs/>
        </w:rPr>
        <w:t>Contents</w:t>
      </w:r>
    </w:p>
    <w:p w14:paraId="55D30AB3" w14:textId="233B435F" w:rsidR="0054549F" w:rsidRPr="00A54361" w:rsidRDefault="0054549F" w:rsidP="00A54361">
      <w:pPr>
        <w:ind w:left="100" w:right="7392" w:hanging="100"/>
        <w:jc w:val="both"/>
        <w:rPr>
          <w:rFonts w:cstheme="minorHAnsi"/>
        </w:rPr>
      </w:pPr>
      <w:r w:rsidRPr="00A54361">
        <w:rPr>
          <w:rFonts w:eastAsia="Times New Roman" w:cstheme="minorHAnsi"/>
        </w:rPr>
        <w:t xml:space="preserve">1. </w:t>
      </w:r>
      <w:r w:rsidRPr="00A54361">
        <w:rPr>
          <w:rFonts w:eastAsia="Times New Roman" w:cstheme="minorHAnsi"/>
          <w:spacing w:val="53"/>
        </w:rPr>
        <w:t xml:space="preserve"> </w:t>
      </w:r>
      <w:r w:rsidRPr="00A54361">
        <w:rPr>
          <w:rFonts w:eastAsia="Times New Roman" w:cstheme="minorHAnsi"/>
          <w:spacing w:val="-3"/>
        </w:rPr>
        <w:t>I</w:t>
      </w:r>
      <w:r w:rsidRPr="00A54361">
        <w:rPr>
          <w:rFonts w:eastAsia="Times New Roman" w:cstheme="minorHAnsi"/>
        </w:rPr>
        <w:t>ntrod</w:t>
      </w:r>
      <w:r w:rsidRPr="00A54361">
        <w:rPr>
          <w:rFonts w:eastAsia="Times New Roman" w:cstheme="minorHAnsi"/>
          <w:spacing w:val="2"/>
        </w:rPr>
        <w:t>u</w:t>
      </w:r>
      <w:r w:rsidRPr="00A54361">
        <w:rPr>
          <w:rFonts w:eastAsia="Times New Roman" w:cstheme="minorHAnsi"/>
          <w:spacing w:val="-1"/>
        </w:rPr>
        <w:t>c</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on</w:t>
      </w:r>
    </w:p>
    <w:p w14:paraId="1C4E45E1" w14:textId="5FA9ED93" w:rsidR="0054549F" w:rsidRPr="00A54361" w:rsidRDefault="0054549F" w:rsidP="00A54361">
      <w:pPr>
        <w:ind w:left="100" w:right="7991" w:hanging="100"/>
        <w:jc w:val="both"/>
        <w:rPr>
          <w:rFonts w:cstheme="minorHAnsi"/>
        </w:rPr>
      </w:pPr>
      <w:r w:rsidRPr="00A54361">
        <w:rPr>
          <w:rFonts w:eastAsia="Times New Roman" w:cstheme="minorHAnsi"/>
        </w:rPr>
        <w:t xml:space="preserve">2.  </w:t>
      </w:r>
      <w:r w:rsidRPr="00A54361">
        <w:rPr>
          <w:rFonts w:eastAsia="Times New Roman" w:cstheme="minorHAnsi"/>
          <w:spacing w:val="53"/>
        </w:rPr>
        <w:t xml:space="preserve"> </w:t>
      </w:r>
      <w:r w:rsidRPr="00A54361">
        <w:rPr>
          <w:rFonts w:eastAsia="Times New Roman" w:cstheme="minorHAnsi"/>
          <w:spacing w:val="1"/>
        </w:rPr>
        <w:t>S</w:t>
      </w:r>
      <w:r w:rsidRPr="00A54361">
        <w:rPr>
          <w:rFonts w:eastAsia="Times New Roman" w:cstheme="minorHAnsi"/>
          <w:spacing w:val="-1"/>
        </w:rPr>
        <w:t>c</w:t>
      </w:r>
      <w:r w:rsidRPr="00A54361">
        <w:rPr>
          <w:rFonts w:eastAsia="Times New Roman" w:cstheme="minorHAnsi"/>
        </w:rPr>
        <w:t>ope</w:t>
      </w:r>
    </w:p>
    <w:p w14:paraId="01DB7BD8" w14:textId="150BFFCA" w:rsidR="0054549F" w:rsidRPr="00A54361" w:rsidRDefault="0054549F" w:rsidP="00A54361">
      <w:pPr>
        <w:ind w:left="100" w:right="7498" w:hanging="100"/>
        <w:jc w:val="both"/>
        <w:rPr>
          <w:rFonts w:cstheme="minorHAnsi"/>
        </w:rPr>
      </w:pPr>
      <w:r w:rsidRPr="00A54361">
        <w:rPr>
          <w:rFonts w:eastAsia="Times New Roman" w:cstheme="minorHAnsi"/>
        </w:rPr>
        <w:t>3.    D</w:t>
      </w:r>
      <w:r w:rsidRPr="00A54361">
        <w:rPr>
          <w:rFonts w:eastAsia="Times New Roman" w:cstheme="minorHAnsi"/>
          <w:spacing w:val="-1"/>
        </w:rPr>
        <w:t>e</w:t>
      </w:r>
      <w:r w:rsidRPr="00A54361">
        <w:rPr>
          <w:rFonts w:eastAsia="Times New Roman" w:cstheme="minorHAnsi"/>
        </w:rPr>
        <w:t>finit</w:t>
      </w:r>
      <w:r w:rsidRPr="00A54361">
        <w:rPr>
          <w:rFonts w:eastAsia="Times New Roman" w:cstheme="minorHAnsi"/>
          <w:spacing w:val="1"/>
        </w:rPr>
        <w:t>i</w:t>
      </w:r>
      <w:r w:rsidRPr="00A54361">
        <w:rPr>
          <w:rFonts w:eastAsia="Times New Roman" w:cstheme="minorHAnsi"/>
        </w:rPr>
        <w:t>ons</w:t>
      </w:r>
    </w:p>
    <w:p w14:paraId="5C2ABC4C" w14:textId="4208CEC5" w:rsidR="0054549F" w:rsidRPr="00A54361" w:rsidRDefault="0054549F" w:rsidP="00A54361">
      <w:pPr>
        <w:ind w:left="100" w:right="5365" w:hanging="100"/>
        <w:jc w:val="both"/>
        <w:rPr>
          <w:rFonts w:cstheme="minorHAnsi"/>
        </w:rPr>
      </w:pPr>
      <w:r w:rsidRPr="00A54361">
        <w:rPr>
          <w:rFonts w:eastAsia="Times New Roman" w:cstheme="minorHAnsi"/>
        </w:rPr>
        <w:t xml:space="preserve">4. </w:t>
      </w:r>
      <w:r w:rsidRPr="00A54361">
        <w:rPr>
          <w:rFonts w:eastAsia="Times New Roman" w:cstheme="minorHAnsi"/>
          <w:spacing w:val="-3"/>
        </w:rPr>
        <w:t>I</w:t>
      </w:r>
      <w:r w:rsidRPr="00A54361">
        <w:rPr>
          <w:rFonts w:eastAsia="Times New Roman" w:cstheme="minorHAnsi"/>
        </w:rPr>
        <w:t>ni</w:t>
      </w:r>
      <w:r w:rsidRPr="00A54361">
        <w:rPr>
          <w:rFonts w:eastAsia="Times New Roman" w:cstheme="minorHAnsi"/>
          <w:spacing w:val="1"/>
        </w:rPr>
        <w:t>t</w:t>
      </w:r>
      <w:r w:rsidRPr="00A54361">
        <w:rPr>
          <w:rFonts w:eastAsia="Times New Roman" w:cstheme="minorHAnsi"/>
        </w:rPr>
        <w:t>iation of b</w:t>
      </w:r>
      <w:r w:rsidRPr="00A54361">
        <w:rPr>
          <w:rFonts w:eastAsia="Times New Roman" w:cstheme="minorHAnsi"/>
          <w:spacing w:val="-1"/>
        </w:rPr>
        <w:t>a</w:t>
      </w:r>
      <w:r w:rsidRPr="00A54361">
        <w:rPr>
          <w:rFonts w:eastAsia="Times New Roman" w:cstheme="minorHAnsi"/>
        </w:rPr>
        <w:t>nni</w:t>
      </w:r>
      <w:r w:rsidRPr="00A54361">
        <w:rPr>
          <w:rFonts w:eastAsia="Times New Roman" w:cstheme="minorHAnsi"/>
          <w:spacing w:val="3"/>
        </w:rPr>
        <w:t>n</w:t>
      </w:r>
      <w:r w:rsidRPr="00A54361">
        <w:rPr>
          <w:rFonts w:eastAsia="Times New Roman" w:cstheme="minorHAnsi"/>
        </w:rPr>
        <w:t>g</w:t>
      </w:r>
      <w:r w:rsidRPr="00A54361">
        <w:rPr>
          <w:rFonts w:eastAsia="Times New Roman" w:cstheme="minorHAnsi"/>
          <w:spacing w:val="-2"/>
        </w:rPr>
        <w:t xml:space="preserve"> </w:t>
      </w:r>
      <w:r w:rsidRPr="00A54361">
        <w:rPr>
          <w:rFonts w:eastAsia="Times New Roman" w:cstheme="minorHAnsi"/>
        </w:rPr>
        <w:t>/ s</w:t>
      </w:r>
      <w:r w:rsidRPr="00A54361">
        <w:rPr>
          <w:rFonts w:eastAsia="Times New Roman" w:cstheme="minorHAnsi"/>
          <w:spacing w:val="3"/>
        </w:rPr>
        <w:t>u</w:t>
      </w:r>
      <w:r w:rsidRPr="00A54361">
        <w:rPr>
          <w:rFonts w:eastAsia="Times New Roman" w:cstheme="minorHAnsi"/>
        </w:rPr>
        <w:t>sp</w:t>
      </w:r>
      <w:r w:rsidRPr="00A54361">
        <w:rPr>
          <w:rFonts w:eastAsia="Times New Roman" w:cstheme="minorHAnsi"/>
          <w:spacing w:val="-1"/>
        </w:rPr>
        <w:t>e</w:t>
      </w:r>
      <w:r w:rsidRPr="00A54361">
        <w:rPr>
          <w:rFonts w:eastAsia="Times New Roman" w:cstheme="minorHAnsi"/>
        </w:rPr>
        <w:t>nsion</w:t>
      </w:r>
    </w:p>
    <w:p w14:paraId="6E869D9B" w14:textId="50133783" w:rsidR="0054549F" w:rsidRPr="00A54361" w:rsidRDefault="0054549F" w:rsidP="00A54361">
      <w:pPr>
        <w:ind w:left="100" w:right="5585" w:hanging="100"/>
        <w:jc w:val="both"/>
        <w:rPr>
          <w:rFonts w:cstheme="minorHAnsi"/>
        </w:rPr>
      </w:pPr>
      <w:r w:rsidRPr="00A54361">
        <w:rPr>
          <w:rFonts w:eastAsia="Times New Roman" w:cstheme="minorHAnsi"/>
        </w:rPr>
        <w:t xml:space="preserve">5.   </w:t>
      </w:r>
      <w:r w:rsidRPr="00A54361">
        <w:rPr>
          <w:rFonts w:eastAsia="Times New Roman" w:cstheme="minorHAnsi"/>
          <w:spacing w:val="1"/>
        </w:rPr>
        <w:t>S</w:t>
      </w:r>
      <w:r w:rsidRPr="00A54361">
        <w:rPr>
          <w:rFonts w:eastAsia="Times New Roman" w:cstheme="minorHAnsi"/>
        </w:rPr>
        <w:t>usp</w:t>
      </w:r>
      <w:r w:rsidRPr="00A54361">
        <w:rPr>
          <w:rFonts w:eastAsia="Times New Roman" w:cstheme="minorHAnsi"/>
          <w:spacing w:val="-1"/>
        </w:rPr>
        <w:t>e</w:t>
      </w:r>
      <w:r w:rsidRPr="00A54361">
        <w:rPr>
          <w:rFonts w:eastAsia="Times New Roman" w:cstheme="minorHAnsi"/>
        </w:rPr>
        <w:t>nsion of b</w:t>
      </w:r>
      <w:r w:rsidRPr="00A54361">
        <w:rPr>
          <w:rFonts w:eastAsia="Times New Roman" w:cstheme="minorHAnsi"/>
          <w:spacing w:val="-1"/>
        </w:rPr>
        <w:t>u</w:t>
      </w:r>
      <w:r w:rsidRPr="00A54361">
        <w:rPr>
          <w:rFonts w:eastAsia="Times New Roman" w:cstheme="minorHAnsi"/>
        </w:rPr>
        <w:t>siness d</w:t>
      </w:r>
      <w:r w:rsidRPr="00A54361">
        <w:rPr>
          <w:rFonts w:eastAsia="Times New Roman" w:cstheme="minorHAnsi"/>
          <w:spacing w:val="-1"/>
        </w:rPr>
        <w:t>ea</w:t>
      </w:r>
      <w:r w:rsidRPr="00A54361">
        <w:rPr>
          <w:rFonts w:eastAsia="Times New Roman" w:cstheme="minorHAnsi"/>
        </w:rPr>
        <w:t>l</w:t>
      </w:r>
      <w:r w:rsidRPr="00A54361">
        <w:rPr>
          <w:rFonts w:eastAsia="Times New Roman" w:cstheme="minorHAnsi"/>
          <w:spacing w:val="1"/>
        </w:rPr>
        <w:t>i</w:t>
      </w:r>
      <w:r w:rsidRPr="00A54361">
        <w:rPr>
          <w:rFonts w:eastAsia="Times New Roman" w:cstheme="minorHAnsi"/>
        </w:rPr>
        <w:t>ng</w:t>
      </w:r>
    </w:p>
    <w:p w14:paraId="3D5926AA" w14:textId="3D0BF5F1" w:rsidR="0054549F" w:rsidRPr="00A54361" w:rsidRDefault="0054549F" w:rsidP="00A54361">
      <w:pPr>
        <w:ind w:left="100" w:right="2547" w:hanging="100"/>
        <w:jc w:val="both"/>
        <w:rPr>
          <w:rFonts w:cstheme="minorHAnsi"/>
        </w:rPr>
      </w:pPr>
      <w:r w:rsidRPr="00A54361">
        <w:rPr>
          <w:rFonts w:eastAsia="Times New Roman" w:cstheme="minorHAnsi"/>
        </w:rPr>
        <w:t xml:space="preserve">6. </w:t>
      </w:r>
      <w:r w:rsidRPr="00A54361">
        <w:rPr>
          <w:rFonts w:eastAsia="Times New Roman" w:cstheme="minorHAnsi"/>
          <w:spacing w:val="53"/>
        </w:rPr>
        <w:t xml:space="preserve"> </w:t>
      </w:r>
      <w:r w:rsidRPr="00A54361">
        <w:rPr>
          <w:rFonts w:eastAsia="Times New Roman" w:cstheme="minorHAnsi"/>
        </w:rPr>
        <w:t>G</w:t>
      </w:r>
      <w:r w:rsidRPr="00A54361">
        <w:rPr>
          <w:rFonts w:eastAsia="Times New Roman" w:cstheme="minorHAnsi"/>
          <w:spacing w:val="-1"/>
        </w:rPr>
        <w:t>r</w:t>
      </w:r>
      <w:r w:rsidRPr="00A54361">
        <w:rPr>
          <w:rFonts w:eastAsia="Times New Roman" w:cstheme="minorHAnsi"/>
        </w:rPr>
        <w:t>ound on whi</w:t>
      </w:r>
      <w:r w:rsidRPr="00A54361">
        <w:rPr>
          <w:rFonts w:eastAsia="Times New Roman" w:cstheme="minorHAnsi"/>
          <w:spacing w:val="-1"/>
        </w:rPr>
        <w:t>c</w:t>
      </w:r>
      <w:r w:rsidRPr="00A54361">
        <w:rPr>
          <w:rFonts w:eastAsia="Times New Roman" w:cstheme="minorHAnsi"/>
        </w:rPr>
        <w:t>h b</w:t>
      </w:r>
      <w:r w:rsidRPr="00A54361">
        <w:rPr>
          <w:rFonts w:eastAsia="Times New Roman" w:cstheme="minorHAnsi"/>
          <w:spacing w:val="-1"/>
        </w:rPr>
        <w:t>a</w:t>
      </w:r>
      <w:r w:rsidRPr="00A54361">
        <w:rPr>
          <w:rFonts w:eastAsia="Times New Roman" w:cstheme="minorHAnsi"/>
        </w:rPr>
        <w:t>nni</w:t>
      </w:r>
      <w:r w:rsidRPr="00A54361">
        <w:rPr>
          <w:rFonts w:eastAsia="Times New Roman" w:cstheme="minorHAnsi"/>
          <w:spacing w:val="3"/>
        </w:rPr>
        <w:t>n</w:t>
      </w:r>
      <w:r w:rsidRPr="00A54361">
        <w:rPr>
          <w:rFonts w:eastAsia="Times New Roman" w:cstheme="minorHAnsi"/>
        </w:rPr>
        <w:t>g</w:t>
      </w:r>
      <w:r w:rsidRPr="00A54361">
        <w:rPr>
          <w:rFonts w:eastAsia="Times New Roman" w:cstheme="minorHAnsi"/>
          <w:spacing w:val="-2"/>
        </w:rPr>
        <w:t xml:space="preserve"> </w:t>
      </w:r>
      <w:r w:rsidRPr="00A54361">
        <w:rPr>
          <w:rFonts w:eastAsia="Times New Roman" w:cstheme="minorHAnsi"/>
        </w:rPr>
        <w:t>of b</w:t>
      </w:r>
      <w:r w:rsidRPr="00A54361">
        <w:rPr>
          <w:rFonts w:eastAsia="Times New Roman" w:cstheme="minorHAnsi"/>
          <w:spacing w:val="-1"/>
        </w:rPr>
        <w:t>u</w:t>
      </w:r>
      <w:r w:rsidRPr="00A54361">
        <w:rPr>
          <w:rFonts w:eastAsia="Times New Roman" w:cstheme="minorHAnsi"/>
        </w:rPr>
        <w:t xml:space="preserve">siness </w:t>
      </w:r>
      <w:r w:rsidRPr="00A54361">
        <w:rPr>
          <w:rFonts w:eastAsia="Times New Roman" w:cstheme="minorHAnsi"/>
          <w:spacing w:val="2"/>
        </w:rPr>
        <w:t>d</w:t>
      </w:r>
      <w:r w:rsidRPr="00A54361">
        <w:rPr>
          <w:rFonts w:eastAsia="Times New Roman" w:cstheme="minorHAnsi"/>
          <w:spacing w:val="-1"/>
        </w:rPr>
        <w:t>ea</w:t>
      </w:r>
      <w:r w:rsidRPr="00A54361">
        <w:rPr>
          <w:rFonts w:eastAsia="Times New Roman" w:cstheme="minorHAnsi"/>
        </w:rPr>
        <w:t>l</w:t>
      </w:r>
      <w:r w:rsidRPr="00A54361">
        <w:rPr>
          <w:rFonts w:eastAsia="Times New Roman" w:cstheme="minorHAnsi"/>
          <w:spacing w:val="1"/>
        </w:rPr>
        <w:t>i</w:t>
      </w:r>
      <w:r w:rsidRPr="00A54361">
        <w:rPr>
          <w:rFonts w:eastAsia="Times New Roman" w:cstheme="minorHAnsi"/>
          <w:spacing w:val="2"/>
        </w:rPr>
        <w:t>n</w:t>
      </w:r>
      <w:r w:rsidRPr="00A54361">
        <w:rPr>
          <w:rFonts w:eastAsia="Times New Roman" w:cstheme="minorHAnsi"/>
          <w:spacing w:val="-2"/>
        </w:rPr>
        <w:t>g</w:t>
      </w:r>
      <w:r w:rsidRPr="00A54361">
        <w:rPr>
          <w:rFonts w:eastAsia="Times New Roman" w:cstheme="minorHAnsi"/>
        </w:rPr>
        <w:t xml:space="preserve">s </w:t>
      </w:r>
      <w:r w:rsidRPr="00A54361">
        <w:rPr>
          <w:rFonts w:eastAsia="Times New Roman" w:cstheme="minorHAnsi"/>
          <w:spacing w:val="-1"/>
        </w:rPr>
        <w:t>c</w:t>
      </w:r>
      <w:r w:rsidRPr="00A54361">
        <w:rPr>
          <w:rFonts w:eastAsia="Times New Roman" w:cstheme="minorHAnsi"/>
          <w:spacing w:val="1"/>
        </w:rPr>
        <w:t>a</w:t>
      </w:r>
      <w:r w:rsidRPr="00A54361">
        <w:rPr>
          <w:rFonts w:eastAsia="Times New Roman" w:cstheme="minorHAnsi"/>
        </w:rPr>
        <w:t>n be</w:t>
      </w:r>
      <w:r w:rsidRPr="00A54361">
        <w:rPr>
          <w:rFonts w:eastAsia="Times New Roman" w:cstheme="minorHAnsi"/>
          <w:spacing w:val="-1"/>
        </w:rPr>
        <w:t xml:space="preserve"> </w:t>
      </w:r>
      <w:r w:rsidRPr="00A54361">
        <w:rPr>
          <w:rFonts w:eastAsia="Times New Roman" w:cstheme="minorHAnsi"/>
        </w:rPr>
        <w:t>in</w:t>
      </w:r>
      <w:r w:rsidRPr="00A54361">
        <w:rPr>
          <w:rFonts w:eastAsia="Times New Roman" w:cstheme="minorHAnsi"/>
          <w:spacing w:val="1"/>
        </w:rPr>
        <w:t>i</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spacing w:val="-1"/>
        </w:rPr>
        <w:t>a</w:t>
      </w:r>
      <w:r w:rsidRPr="00A54361">
        <w:rPr>
          <w:rFonts w:eastAsia="Times New Roman" w:cstheme="minorHAnsi"/>
        </w:rPr>
        <w:t>ted</w:t>
      </w:r>
    </w:p>
    <w:p w14:paraId="202D1C34" w14:textId="003A23DE" w:rsidR="0054549F" w:rsidRPr="00A54361" w:rsidRDefault="0054549F" w:rsidP="00A54361">
      <w:pPr>
        <w:ind w:left="100" w:right="5772" w:hanging="100"/>
        <w:jc w:val="both"/>
        <w:rPr>
          <w:rFonts w:cstheme="minorHAnsi"/>
        </w:rPr>
      </w:pPr>
      <w:r w:rsidRPr="00A54361">
        <w:rPr>
          <w:rFonts w:eastAsia="Times New Roman" w:cstheme="minorHAnsi"/>
        </w:rPr>
        <w:t xml:space="preserve">7. </w:t>
      </w:r>
      <w:r w:rsidRPr="00A54361">
        <w:rPr>
          <w:rFonts w:eastAsia="Times New Roman" w:cstheme="minorHAnsi"/>
          <w:spacing w:val="53"/>
        </w:rPr>
        <w:t xml:space="preserve"> </w:t>
      </w:r>
      <w:r w:rsidRPr="00A54361">
        <w:rPr>
          <w:rFonts w:eastAsia="Times New Roman" w:cstheme="minorHAnsi"/>
          <w:spacing w:val="-2"/>
        </w:rPr>
        <w:t>B</w:t>
      </w:r>
      <w:r w:rsidRPr="00A54361">
        <w:rPr>
          <w:rFonts w:eastAsia="Times New Roman" w:cstheme="minorHAnsi"/>
          <w:spacing w:val="-1"/>
        </w:rPr>
        <w:t>a</w:t>
      </w:r>
      <w:r w:rsidRPr="00A54361">
        <w:rPr>
          <w:rFonts w:eastAsia="Times New Roman" w:cstheme="minorHAnsi"/>
        </w:rPr>
        <w:t>nni</w:t>
      </w:r>
      <w:r w:rsidRPr="00A54361">
        <w:rPr>
          <w:rFonts w:eastAsia="Times New Roman" w:cstheme="minorHAnsi"/>
          <w:spacing w:val="3"/>
        </w:rPr>
        <w:t>n</w:t>
      </w:r>
      <w:r w:rsidRPr="00A54361">
        <w:rPr>
          <w:rFonts w:eastAsia="Times New Roman" w:cstheme="minorHAnsi"/>
        </w:rPr>
        <w:t>g</w:t>
      </w:r>
      <w:r w:rsidRPr="00A54361">
        <w:rPr>
          <w:rFonts w:eastAsia="Times New Roman" w:cstheme="minorHAnsi"/>
          <w:spacing w:val="-2"/>
        </w:rPr>
        <w:t xml:space="preserve"> </w:t>
      </w:r>
      <w:r w:rsidRPr="00A54361">
        <w:rPr>
          <w:rFonts w:eastAsia="Times New Roman" w:cstheme="minorHAnsi"/>
        </w:rPr>
        <w:t>of b</w:t>
      </w:r>
      <w:r w:rsidRPr="00A54361">
        <w:rPr>
          <w:rFonts w:eastAsia="Times New Roman" w:cstheme="minorHAnsi"/>
          <w:spacing w:val="-1"/>
        </w:rPr>
        <w:t>u</w:t>
      </w:r>
      <w:r w:rsidRPr="00A54361">
        <w:rPr>
          <w:rFonts w:eastAsia="Times New Roman" w:cstheme="minorHAnsi"/>
        </w:rPr>
        <w:t xml:space="preserve">siness </w:t>
      </w:r>
      <w:r w:rsidRPr="00A54361">
        <w:rPr>
          <w:rFonts w:eastAsia="Times New Roman" w:cstheme="minorHAnsi"/>
          <w:spacing w:val="2"/>
        </w:rPr>
        <w:t>d</w:t>
      </w:r>
      <w:r w:rsidRPr="00A54361">
        <w:rPr>
          <w:rFonts w:eastAsia="Times New Roman" w:cstheme="minorHAnsi"/>
          <w:spacing w:val="-1"/>
        </w:rPr>
        <w:t>ea</w:t>
      </w:r>
      <w:r w:rsidRPr="00A54361">
        <w:rPr>
          <w:rFonts w:eastAsia="Times New Roman" w:cstheme="minorHAnsi"/>
          <w:spacing w:val="3"/>
        </w:rPr>
        <w:t>l</w:t>
      </w:r>
      <w:r w:rsidRPr="00A54361">
        <w:rPr>
          <w:rFonts w:eastAsia="Times New Roman" w:cstheme="minorHAnsi"/>
        </w:rPr>
        <w:t>in</w:t>
      </w:r>
      <w:r w:rsidRPr="00A54361">
        <w:rPr>
          <w:rFonts w:eastAsia="Times New Roman" w:cstheme="minorHAnsi"/>
          <w:spacing w:val="-2"/>
        </w:rPr>
        <w:t>g</w:t>
      </w:r>
      <w:r w:rsidRPr="00A54361">
        <w:rPr>
          <w:rFonts w:eastAsia="Times New Roman" w:cstheme="minorHAnsi"/>
        </w:rPr>
        <w:t>s</w:t>
      </w:r>
    </w:p>
    <w:p w14:paraId="7D9FC590" w14:textId="284A84AF" w:rsidR="0054549F" w:rsidRPr="00A54361" w:rsidRDefault="0054549F" w:rsidP="00A54361">
      <w:pPr>
        <w:ind w:left="100" w:right="2555" w:hanging="100"/>
        <w:jc w:val="both"/>
        <w:rPr>
          <w:rFonts w:cstheme="minorHAnsi"/>
        </w:rPr>
      </w:pPr>
      <w:r w:rsidRPr="00A54361">
        <w:rPr>
          <w:rFonts w:eastAsia="Times New Roman" w:cstheme="minorHAnsi"/>
        </w:rPr>
        <w:t xml:space="preserve">8. </w:t>
      </w:r>
      <w:r w:rsidRPr="00A54361">
        <w:rPr>
          <w:rFonts w:eastAsia="Times New Roman" w:cstheme="minorHAnsi"/>
          <w:spacing w:val="53"/>
        </w:rPr>
        <w:t xml:space="preserve"> </w:t>
      </w:r>
      <w:r w:rsidRPr="00A54361">
        <w:rPr>
          <w:rFonts w:eastAsia="Times New Roman" w:cstheme="minorHAnsi"/>
        </w:rPr>
        <w:t>R</w:t>
      </w:r>
      <w:r w:rsidRPr="00A54361">
        <w:rPr>
          <w:rFonts w:eastAsia="Times New Roman" w:cstheme="minorHAnsi"/>
          <w:spacing w:val="-1"/>
        </w:rPr>
        <w:t>e</w:t>
      </w:r>
      <w:r w:rsidRPr="00A54361">
        <w:rPr>
          <w:rFonts w:eastAsia="Times New Roman" w:cstheme="minorHAnsi"/>
        </w:rPr>
        <w:t xml:space="preserve">moval </w:t>
      </w:r>
      <w:r w:rsidRPr="00A54361">
        <w:rPr>
          <w:rFonts w:eastAsia="Times New Roman" w:cstheme="minorHAnsi"/>
          <w:spacing w:val="-1"/>
        </w:rPr>
        <w:t>f</w:t>
      </w:r>
      <w:r w:rsidRPr="00A54361">
        <w:rPr>
          <w:rFonts w:eastAsia="Times New Roman" w:cstheme="minorHAnsi"/>
        </w:rPr>
        <w:t xml:space="preserve">rom list of </w:t>
      </w:r>
      <w:r w:rsidRPr="00A54361">
        <w:rPr>
          <w:rFonts w:eastAsia="Times New Roman" w:cstheme="minorHAnsi"/>
          <w:spacing w:val="-1"/>
        </w:rPr>
        <w:t>a</w:t>
      </w:r>
      <w:r w:rsidRPr="00A54361">
        <w:rPr>
          <w:rFonts w:eastAsia="Times New Roman" w:cstheme="minorHAnsi"/>
        </w:rPr>
        <w:t>ppro</w:t>
      </w:r>
      <w:r w:rsidRPr="00A54361">
        <w:rPr>
          <w:rFonts w:eastAsia="Times New Roman" w:cstheme="minorHAnsi"/>
          <w:spacing w:val="-1"/>
        </w:rPr>
        <w:t>ve</w:t>
      </w:r>
      <w:r w:rsidRPr="00A54361">
        <w:rPr>
          <w:rFonts w:eastAsia="Times New Roman" w:cstheme="minorHAnsi"/>
        </w:rPr>
        <w:t xml:space="preserve">d </w:t>
      </w:r>
      <w:r w:rsidRPr="00A54361">
        <w:rPr>
          <w:rFonts w:eastAsia="Times New Roman" w:cstheme="minorHAnsi"/>
          <w:spacing w:val="1"/>
        </w:rPr>
        <w:t>a</w:t>
      </w:r>
      <w:r w:rsidRPr="00A54361">
        <w:rPr>
          <w:rFonts w:eastAsia="Times New Roman" w:cstheme="minorHAnsi"/>
          <w:spacing w:val="-2"/>
        </w:rPr>
        <w:t>g</w:t>
      </w:r>
      <w:r w:rsidRPr="00A54361">
        <w:rPr>
          <w:rFonts w:eastAsia="Times New Roman" w:cstheme="minorHAnsi"/>
          <w:spacing w:val="-1"/>
        </w:rPr>
        <w:t>e</w:t>
      </w:r>
      <w:r w:rsidRPr="00A54361">
        <w:rPr>
          <w:rFonts w:eastAsia="Times New Roman" w:cstheme="minorHAnsi"/>
          <w:spacing w:val="2"/>
        </w:rPr>
        <w:t>n</w:t>
      </w:r>
      <w:r w:rsidRPr="00A54361">
        <w:rPr>
          <w:rFonts w:eastAsia="Times New Roman" w:cstheme="minorHAnsi"/>
          <w:spacing w:val="-1"/>
        </w:rPr>
        <w:t>c</w:t>
      </w:r>
      <w:r w:rsidRPr="00A54361">
        <w:rPr>
          <w:rFonts w:eastAsia="Times New Roman" w:cstheme="minorHAnsi"/>
        </w:rPr>
        <w:t>ies</w:t>
      </w:r>
      <w:r w:rsidRPr="00A54361">
        <w:rPr>
          <w:rFonts w:eastAsia="Times New Roman" w:cstheme="minorHAnsi"/>
          <w:spacing w:val="1"/>
        </w:rPr>
        <w:t xml:space="preserve"> </w:t>
      </w:r>
      <w:r w:rsidRPr="00A54361">
        <w:rPr>
          <w:rFonts w:eastAsia="Times New Roman" w:cstheme="minorHAnsi"/>
        </w:rPr>
        <w:t>–supplie</w:t>
      </w:r>
      <w:r w:rsidRPr="00A54361">
        <w:rPr>
          <w:rFonts w:eastAsia="Times New Roman" w:cstheme="minorHAnsi"/>
          <w:spacing w:val="1"/>
        </w:rPr>
        <w:t>r</w:t>
      </w:r>
      <w:r w:rsidRPr="00A54361">
        <w:rPr>
          <w:rFonts w:eastAsia="Times New Roman" w:cstheme="minorHAnsi"/>
        </w:rPr>
        <w:t>s/contr</w:t>
      </w:r>
      <w:r w:rsidRPr="00A54361">
        <w:rPr>
          <w:rFonts w:eastAsia="Times New Roman" w:cstheme="minorHAnsi"/>
          <w:spacing w:val="-1"/>
        </w:rPr>
        <w:t>ac</w:t>
      </w:r>
      <w:r w:rsidRPr="00A54361">
        <w:rPr>
          <w:rFonts w:eastAsia="Times New Roman" w:cstheme="minorHAnsi"/>
        </w:rPr>
        <w:t>tors</w:t>
      </w:r>
    </w:p>
    <w:p w14:paraId="756B1ADF" w14:textId="670ABFB2" w:rsidR="0054549F" w:rsidRPr="00A54361" w:rsidRDefault="0054549F" w:rsidP="00A54361">
      <w:pPr>
        <w:ind w:left="100" w:right="6772" w:hanging="100"/>
        <w:jc w:val="both"/>
        <w:rPr>
          <w:rFonts w:cstheme="minorHAnsi"/>
        </w:rPr>
      </w:pPr>
      <w:r w:rsidRPr="00A54361">
        <w:rPr>
          <w:rFonts w:eastAsia="Times New Roman" w:cstheme="minorHAnsi"/>
        </w:rPr>
        <w:t xml:space="preserve">9.  </w:t>
      </w:r>
      <w:r w:rsidRPr="00A54361">
        <w:rPr>
          <w:rFonts w:eastAsia="Times New Roman" w:cstheme="minorHAnsi"/>
          <w:spacing w:val="53"/>
        </w:rPr>
        <w:t xml:space="preserve"> </w:t>
      </w:r>
      <w:r w:rsidRPr="00A54361">
        <w:rPr>
          <w:rFonts w:eastAsia="Times New Roman" w:cstheme="minorHAnsi"/>
          <w:spacing w:val="1"/>
        </w:rPr>
        <w:t>S</w:t>
      </w:r>
      <w:r w:rsidRPr="00A54361">
        <w:rPr>
          <w:rFonts w:eastAsia="Times New Roman" w:cstheme="minorHAnsi"/>
        </w:rPr>
        <w:t>how</w:t>
      </w:r>
      <w:r w:rsidRPr="00A54361">
        <w:rPr>
          <w:rFonts w:eastAsia="Times New Roman" w:cstheme="minorHAnsi"/>
          <w:spacing w:val="-1"/>
        </w:rPr>
        <w:t>-ca</w:t>
      </w:r>
      <w:r w:rsidRPr="00A54361">
        <w:rPr>
          <w:rFonts w:eastAsia="Times New Roman" w:cstheme="minorHAnsi"/>
        </w:rPr>
        <w:t>use</w:t>
      </w:r>
      <w:r w:rsidRPr="00A54361">
        <w:rPr>
          <w:rFonts w:eastAsia="Times New Roman" w:cstheme="minorHAnsi"/>
          <w:spacing w:val="-1"/>
        </w:rPr>
        <w:t xml:space="preserve"> </w:t>
      </w:r>
      <w:r w:rsidRPr="00A54361">
        <w:rPr>
          <w:rFonts w:eastAsia="Times New Roman" w:cstheme="minorHAnsi"/>
        </w:rPr>
        <w:t>not</w:t>
      </w:r>
      <w:r w:rsidRPr="00A54361">
        <w:rPr>
          <w:rFonts w:eastAsia="Times New Roman" w:cstheme="minorHAnsi"/>
          <w:spacing w:val="1"/>
        </w:rPr>
        <w:t>ic</w:t>
      </w:r>
      <w:r w:rsidRPr="00A54361">
        <w:rPr>
          <w:rFonts w:eastAsia="Times New Roman" w:cstheme="minorHAnsi"/>
        </w:rPr>
        <w:t>e</w:t>
      </w:r>
    </w:p>
    <w:p w14:paraId="28F2DD11" w14:textId="3039EFDC" w:rsidR="0054549F" w:rsidRPr="00A54361" w:rsidRDefault="0054549F" w:rsidP="00A54361">
      <w:pPr>
        <w:ind w:left="100" w:right="4805" w:hanging="100"/>
        <w:jc w:val="both"/>
        <w:rPr>
          <w:rFonts w:cstheme="minorHAnsi"/>
        </w:rPr>
      </w:pPr>
      <w:r w:rsidRPr="00A54361">
        <w:rPr>
          <w:rFonts w:eastAsia="Times New Roman" w:cstheme="minorHAnsi"/>
        </w:rPr>
        <w:t>10. App</w:t>
      </w:r>
      <w:r w:rsidRPr="00A54361">
        <w:rPr>
          <w:rFonts w:eastAsia="Times New Roman" w:cstheme="minorHAnsi"/>
          <w:spacing w:val="-1"/>
        </w:rPr>
        <w:t>ea</w:t>
      </w:r>
      <w:r w:rsidRPr="00A54361">
        <w:rPr>
          <w:rFonts w:eastAsia="Times New Roman" w:cstheme="minorHAnsi"/>
        </w:rPr>
        <w:t xml:space="preserve">l </w:t>
      </w:r>
      <w:r w:rsidRPr="00A54361">
        <w:rPr>
          <w:rFonts w:eastAsia="Times New Roman" w:cstheme="minorHAnsi"/>
          <w:spacing w:val="2"/>
        </w:rPr>
        <w:t>a</w:t>
      </w:r>
      <w:r w:rsidRPr="00A54361">
        <w:rPr>
          <w:rFonts w:eastAsia="Times New Roman" w:cstheme="minorHAnsi"/>
        </w:rPr>
        <w:t>g</w:t>
      </w:r>
      <w:r w:rsidRPr="00A54361">
        <w:rPr>
          <w:rFonts w:eastAsia="Times New Roman" w:cstheme="minorHAnsi"/>
          <w:spacing w:val="-1"/>
        </w:rPr>
        <w:t>a</w:t>
      </w:r>
      <w:r w:rsidRPr="00A54361">
        <w:rPr>
          <w:rFonts w:eastAsia="Times New Roman" w:cstheme="minorHAnsi"/>
        </w:rPr>
        <w:t>inst</w:t>
      </w:r>
      <w:r w:rsidRPr="00A54361">
        <w:rPr>
          <w:rFonts w:eastAsia="Times New Roman" w:cstheme="minorHAnsi"/>
          <w:spacing w:val="1"/>
        </w:rPr>
        <w:t xml:space="preserve"> </w:t>
      </w:r>
      <w:r w:rsidRPr="00A54361">
        <w:rPr>
          <w:rFonts w:eastAsia="Times New Roman" w:cstheme="minorHAnsi"/>
        </w:rPr>
        <w:t xml:space="preserve">the </w:t>
      </w:r>
      <w:r w:rsidRPr="00A54361">
        <w:rPr>
          <w:rFonts w:eastAsia="Times New Roman" w:cstheme="minorHAnsi"/>
          <w:spacing w:val="-1"/>
        </w:rPr>
        <w:t>c</w:t>
      </w:r>
      <w:r w:rsidRPr="00A54361">
        <w:rPr>
          <w:rFonts w:eastAsia="Times New Roman" w:cstheme="minorHAnsi"/>
        </w:rPr>
        <w:t>ompet</w:t>
      </w:r>
      <w:r w:rsidRPr="00A54361">
        <w:rPr>
          <w:rFonts w:eastAsia="Times New Roman" w:cstheme="minorHAnsi"/>
          <w:spacing w:val="-1"/>
        </w:rPr>
        <w:t>e</w:t>
      </w:r>
      <w:r w:rsidRPr="00A54361">
        <w:rPr>
          <w:rFonts w:eastAsia="Times New Roman" w:cstheme="minorHAnsi"/>
        </w:rPr>
        <w:t>nt autho</w:t>
      </w:r>
      <w:r w:rsidRPr="00A54361">
        <w:rPr>
          <w:rFonts w:eastAsia="Times New Roman" w:cstheme="minorHAnsi"/>
          <w:spacing w:val="-1"/>
        </w:rPr>
        <w:t>r</w:t>
      </w:r>
      <w:r w:rsidRPr="00A54361">
        <w:rPr>
          <w:rFonts w:eastAsia="Times New Roman" w:cstheme="minorHAnsi"/>
        </w:rPr>
        <w:t>i</w:t>
      </w:r>
      <w:r w:rsidRPr="00A54361">
        <w:rPr>
          <w:rFonts w:eastAsia="Times New Roman" w:cstheme="minorHAnsi"/>
          <w:spacing w:val="3"/>
        </w:rPr>
        <w:t>t</w:t>
      </w:r>
      <w:r w:rsidRPr="00A54361">
        <w:rPr>
          <w:rFonts w:eastAsia="Times New Roman" w:cstheme="minorHAnsi"/>
        </w:rPr>
        <w:t>y</w:t>
      </w:r>
    </w:p>
    <w:p w14:paraId="081798FD" w14:textId="3BC49E83" w:rsidR="0054549F" w:rsidRPr="00A54361" w:rsidRDefault="0054549F" w:rsidP="00A54361">
      <w:pPr>
        <w:ind w:left="100" w:right="3731" w:hanging="100"/>
        <w:jc w:val="both"/>
        <w:rPr>
          <w:rFonts w:cstheme="minorHAnsi"/>
        </w:rPr>
      </w:pPr>
      <w:r w:rsidRPr="00A54361">
        <w:rPr>
          <w:rFonts w:eastAsia="Times New Roman" w:cstheme="minorHAnsi"/>
        </w:rPr>
        <w:t>11. R</w:t>
      </w:r>
      <w:r w:rsidRPr="00A54361">
        <w:rPr>
          <w:rFonts w:eastAsia="Times New Roman" w:cstheme="minorHAnsi"/>
          <w:spacing w:val="-1"/>
        </w:rPr>
        <w:t>e</w:t>
      </w:r>
      <w:r w:rsidRPr="00A54361">
        <w:rPr>
          <w:rFonts w:eastAsia="Times New Roman" w:cstheme="minorHAnsi"/>
        </w:rPr>
        <w:t>view</w:t>
      </w:r>
      <w:r w:rsidRPr="00A54361">
        <w:rPr>
          <w:rFonts w:eastAsia="Times New Roman" w:cstheme="minorHAnsi"/>
          <w:spacing w:val="-1"/>
        </w:rPr>
        <w:t xml:space="preserve"> </w:t>
      </w:r>
      <w:r w:rsidRPr="00A54361">
        <w:rPr>
          <w:rFonts w:eastAsia="Times New Roman" w:cstheme="minorHAnsi"/>
        </w:rPr>
        <w:t>of the</w:t>
      </w:r>
      <w:r w:rsidRPr="00A54361">
        <w:rPr>
          <w:rFonts w:eastAsia="Times New Roman" w:cstheme="minorHAnsi"/>
          <w:spacing w:val="-1"/>
        </w:rPr>
        <w:t xml:space="preserve"> </w:t>
      </w:r>
      <w:r w:rsidRPr="00A54361">
        <w:rPr>
          <w:rFonts w:eastAsia="Times New Roman" w:cstheme="minorHAnsi"/>
        </w:rPr>
        <w:t>d</w:t>
      </w:r>
      <w:r w:rsidRPr="00A54361">
        <w:rPr>
          <w:rFonts w:eastAsia="Times New Roman" w:cstheme="minorHAnsi"/>
          <w:spacing w:val="1"/>
        </w:rPr>
        <w:t>e</w:t>
      </w:r>
      <w:r w:rsidRPr="00A54361">
        <w:rPr>
          <w:rFonts w:eastAsia="Times New Roman" w:cstheme="minorHAnsi"/>
          <w:spacing w:val="-1"/>
        </w:rPr>
        <w:t>c</w:t>
      </w:r>
      <w:r w:rsidRPr="00A54361">
        <w:rPr>
          <w:rFonts w:eastAsia="Times New Roman" w:cstheme="minorHAnsi"/>
        </w:rPr>
        <w:t>is</w:t>
      </w:r>
      <w:r w:rsidRPr="00A54361">
        <w:rPr>
          <w:rFonts w:eastAsia="Times New Roman" w:cstheme="minorHAnsi"/>
          <w:spacing w:val="1"/>
        </w:rPr>
        <w:t>i</w:t>
      </w:r>
      <w:r w:rsidRPr="00A54361">
        <w:rPr>
          <w:rFonts w:eastAsia="Times New Roman" w:cstheme="minorHAnsi"/>
        </w:rPr>
        <w:t>on by</w:t>
      </w:r>
      <w:r w:rsidRPr="00A54361">
        <w:rPr>
          <w:rFonts w:eastAsia="Times New Roman" w:cstheme="minorHAnsi"/>
          <w:spacing w:val="-3"/>
        </w:rPr>
        <w:t xml:space="preserve"> </w:t>
      </w:r>
      <w:r w:rsidRPr="00A54361">
        <w:rPr>
          <w:rFonts w:eastAsia="Times New Roman" w:cstheme="minorHAnsi"/>
        </w:rPr>
        <w:t>the</w:t>
      </w:r>
      <w:r w:rsidRPr="00A54361">
        <w:rPr>
          <w:rFonts w:eastAsia="Times New Roman" w:cstheme="minorHAnsi"/>
          <w:spacing w:val="2"/>
        </w:rPr>
        <w:t xml:space="preserve"> </w:t>
      </w:r>
      <w:r w:rsidRPr="00A54361">
        <w:rPr>
          <w:rFonts w:eastAsia="Times New Roman" w:cstheme="minorHAnsi"/>
          <w:spacing w:val="-1"/>
        </w:rPr>
        <w:t>c</w:t>
      </w:r>
      <w:r w:rsidRPr="00A54361">
        <w:rPr>
          <w:rFonts w:eastAsia="Times New Roman" w:cstheme="minorHAnsi"/>
        </w:rPr>
        <w:t>ompet</w:t>
      </w:r>
      <w:r w:rsidRPr="00A54361">
        <w:rPr>
          <w:rFonts w:eastAsia="Times New Roman" w:cstheme="minorHAnsi"/>
          <w:spacing w:val="-1"/>
        </w:rPr>
        <w:t>e</w:t>
      </w:r>
      <w:r w:rsidRPr="00A54361">
        <w:rPr>
          <w:rFonts w:eastAsia="Times New Roman" w:cstheme="minorHAnsi"/>
        </w:rPr>
        <w:t>nt</w:t>
      </w:r>
      <w:r w:rsidRPr="00A54361">
        <w:rPr>
          <w:rFonts w:eastAsia="Times New Roman" w:cstheme="minorHAnsi"/>
          <w:spacing w:val="2"/>
        </w:rPr>
        <w:t xml:space="preserve"> </w:t>
      </w:r>
      <w:r w:rsidRPr="00A54361">
        <w:rPr>
          <w:rFonts w:eastAsia="Times New Roman" w:cstheme="minorHAnsi"/>
          <w:spacing w:val="-1"/>
        </w:rPr>
        <w:t>a</w:t>
      </w:r>
      <w:r w:rsidRPr="00A54361">
        <w:rPr>
          <w:rFonts w:eastAsia="Times New Roman" w:cstheme="minorHAnsi"/>
        </w:rPr>
        <w:t>uthori</w:t>
      </w:r>
      <w:r w:rsidRPr="00A54361">
        <w:rPr>
          <w:rFonts w:eastAsia="Times New Roman" w:cstheme="minorHAnsi"/>
          <w:spacing w:val="3"/>
        </w:rPr>
        <w:t>t</w:t>
      </w:r>
      <w:r w:rsidRPr="00A54361">
        <w:rPr>
          <w:rFonts w:eastAsia="Times New Roman" w:cstheme="minorHAnsi"/>
        </w:rPr>
        <w:t>y</w:t>
      </w:r>
    </w:p>
    <w:p w14:paraId="0C54E426" w14:textId="4020CB69" w:rsidR="0054549F" w:rsidRPr="00A54361" w:rsidRDefault="0054549F" w:rsidP="00A54361">
      <w:pPr>
        <w:ind w:left="100" w:right="765" w:hanging="100"/>
        <w:jc w:val="both"/>
        <w:rPr>
          <w:rFonts w:cstheme="minorHAnsi"/>
        </w:rPr>
      </w:pPr>
      <w:r w:rsidRPr="00A54361">
        <w:rPr>
          <w:rFonts w:eastAsia="Times New Roman" w:cstheme="minorHAnsi"/>
        </w:rPr>
        <w:t>12. Cir</w:t>
      </w:r>
      <w:r w:rsidRPr="00A54361">
        <w:rPr>
          <w:rFonts w:eastAsia="Times New Roman" w:cstheme="minorHAnsi"/>
          <w:spacing w:val="-1"/>
        </w:rPr>
        <w:t>c</w:t>
      </w:r>
      <w:r w:rsidRPr="00A54361">
        <w:rPr>
          <w:rFonts w:eastAsia="Times New Roman" w:cstheme="minorHAnsi"/>
        </w:rPr>
        <w:t>ulation of n</w:t>
      </w:r>
      <w:r w:rsidRPr="00A54361">
        <w:rPr>
          <w:rFonts w:eastAsia="Times New Roman" w:cstheme="minorHAnsi"/>
          <w:spacing w:val="-1"/>
        </w:rPr>
        <w:t>a</w:t>
      </w:r>
      <w:r w:rsidRPr="00A54361">
        <w:rPr>
          <w:rFonts w:eastAsia="Times New Roman" w:cstheme="minorHAnsi"/>
        </w:rPr>
        <w:t>mes of</w:t>
      </w:r>
      <w:r w:rsidRPr="00A54361">
        <w:rPr>
          <w:rFonts w:eastAsia="Times New Roman" w:cstheme="minorHAnsi"/>
          <w:spacing w:val="-1"/>
        </w:rPr>
        <w:t xml:space="preserve"> </w:t>
      </w:r>
      <w:r w:rsidRPr="00A54361">
        <w:rPr>
          <w:rFonts w:eastAsia="Times New Roman" w:cstheme="minorHAnsi"/>
          <w:spacing w:val="1"/>
        </w:rPr>
        <w:t>a</w:t>
      </w:r>
      <w:r w:rsidRPr="00A54361">
        <w:rPr>
          <w:rFonts w:eastAsia="Times New Roman" w:cstheme="minorHAnsi"/>
          <w:spacing w:val="-2"/>
        </w:rPr>
        <w:t>g</w:t>
      </w:r>
      <w:r w:rsidRPr="00A54361">
        <w:rPr>
          <w:rFonts w:eastAsia="Times New Roman" w:cstheme="minorHAnsi"/>
          <w:spacing w:val="-1"/>
        </w:rPr>
        <w:t>e</w:t>
      </w:r>
      <w:r w:rsidRPr="00A54361">
        <w:rPr>
          <w:rFonts w:eastAsia="Times New Roman" w:cstheme="minorHAnsi"/>
          <w:spacing w:val="2"/>
        </w:rPr>
        <w:t>n</w:t>
      </w:r>
      <w:r w:rsidRPr="00A54361">
        <w:rPr>
          <w:rFonts w:eastAsia="Times New Roman" w:cstheme="minorHAnsi"/>
          <w:spacing w:val="-1"/>
        </w:rPr>
        <w:t>c</w:t>
      </w:r>
      <w:r w:rsidRPr="00A54361">
        <w:rPr>
          <w:rFonts w:eastAsia="Times New Roman" w:cstheme="minorHAnsi"/>
        </w:rPr>
        <w:t xml:space="preserve">ies </w:t>
      </w:r>
      <w:r w:rsidRPr="00A54361">
        <w:rPr>
          <w:rFonts w:eastAsia="Times New Roman" w:cstheme="minorHAnsi"/>
          <w:spacing w:val="-1"/>
        </w:rPr>
        <w:t>w</w:t>
      </w:r>
      <w:r w:rsidRPr="00A54361">
        <w:rPr>
          <w:rFonts w:eastAsia="Times New Roman" w:cstheme="minorHAnsi"/>
        </w:rPr>
        <w:t>i</w:t>
      </w:r>
      <w:r w:rsidRPr="00A54361">
        <w:rPr>
          <w:rFonts w:eastAsia="Times New Roman" w:cstheme="minorHAnsi"/>
          <w:spacing w:val="1"/>
        </w:rPr>
        <w:t>t</w:t>
      </w:r>
      <w:r w:rsidRPr="00A54361">
        <w:rPr>
          <w:rFonts w:eastAsia="Times New Roman" w:cstheme="minorHAnsi"/>
        </w:rPr>
        <w:t>h whom busin</w:t>
      </w:r>
      <w:r w:rsidRPr="00A54361">
        <w:rPr>
          <w:rFonts w:eastAsia="Times New Roman" w:cstheme="minorHAnsi"/>
          <w:spacing w:val="-1"/>
        </w:rPr>
        <w:t>e</w:t>
      </w:r>
      <w:r w:rsidRPr="00A54361">
        <w:rPr>
          <w:rFonts w:eastAsia="Times New Roman" w:cstheme="minorHAnsi"/>
        </w:rPr>
        <w:t>ss de</w:t>
      </w:r>
      <w:r w:rsidRPr="00A54361">
        <w:rPr>
          <w:rFonts w:eastAsia="Times New Roman" w:cstheme="minorHAnsi"/>
          <w:spacing w:val="-1"/>
        </w:rPr>
        <w:t>a</w:t>
      </w:r>
      <w:r w:rsidRPr="00A54361">
        <w:rPr>
          <w:rFonts w:eastAsia="Times New Roman" w:cstheme="minorHAnsi"/>
        </w:rPr>
        <w:t>l</w:t>
      </w:r>
      <w:r w:rsidRPr="00A54361">
        <w:rPr>
          <w:rFonts w:eastAsia="Times New Roman" w:cstheme="minorHAnsi"/>
          <w:spacing w:val="1"/>
        </w:rPr>
        <w:t>i</w:t>
      </w:r>
      <w:r w:rsidRPr="00A54361">
        <w:rPr>
          <w:rFonts w:eastAsia="Times New Roman" w:cstheme="minorHAnsi"/>
          <w:spacing w:val="2"/>
        </w:rPr>
        <w:t>n</w:t>
      </w:r>
      <w:r w:rsidRPr="00A54361">
        <w:rPr>
          <w:rFonts w:eastAsia="Times New Roman" w:cstheme="minorHAnsi"/>
          <w:spacing w:val="-2"/>
        </w:rPr>
        <w:t>g</w:t>
      </w:r>
      <w:r w:rsidRPr="00A54361">
        <w:rPr>
          <w:rFonts w:eastAsia="Times New Roman" w:cstheme="minorHAnsi"/>
        </w:rPr>
        <w:t>s h</w:t>
      </w:r>
      <w:r w:rsidRPr="00A54361">
        <w:rPr>
          <w:rFonts w:eastAsia="Times New Roman" w:cstheme="minorHAnsi"/>
          <w:spacing w:val="-1"/>
        </w:rPr>
        <w:t>a</w:t>
      </w:r>
      <w:r w:rsidRPr="00A54361">
        <w:rPr>
          <w:rFonts w:eastAsia="Times New Roman" w:cstheme="minorHAnsi"/>
        </w:rPr>
        <w:t>ve</w:t>
      </w:r>
      <w:r w:rsidRPr="00A54361">
        <w:rPr>
          <w:rFonts w:eastAsia="Times New Roman" w:cstheme="minorHAnsi"/>
          <w:spacing w:val="-1"/>
        </w:rPr>
        <w:t xml:space="preserve"> </w:t>
      </w:r>
      <w:r w:rsidRPr="00A54361">
        <w:rPr>
          <w:rFonts w:eastAsia="Times New Roman" w:cstheme="minorHAnsi"/>
          <w:spacing w:val="2"/>
        </w:rPr>
        <w:t>b</w:t>
      </w:r>
      <w:r w:rsidRPr="00A54361">
        <w:rPr>
          <w:rFonts w:eastAsia="Times New Roman" w:cstheme="minorHAnsi"/>
          <w:spacing w:val="-1"/>
        </w:rPr>
        <w:t>ee</w:t>
      </w:r>
      <w:r w:rsidRPr="00A54361">
        <w:rPr>
          <w:rFonts w:eastAsia="Times New Roman" w:cstheme="minorHAnsi"/>
        </w:rPr>
        <w:t xml:space="preserve">n </w:t>
      </w:r>
      <w:r w:rsidRPr="00A54361">
        <w:rPr>
          <w:rFonts w:eastAsia="Times New Roman" w:cstheme="minorHAnsi"/>
          <w:spacing w:val="2"/>
        </w:rPr>
        <w:t>b</w:t>
      </w:r>
      <w:r w:rsidRPr="00A54361">
        <w:rPr>
          <w:rFonts w:eastAsia="Times New Roman" w:cstheme="minorHAnsi"/>
          <w:spacing w:val="-1"/>
        </w:rPr>
        <w:t>a</w:t>
      </w:r>
      <w:r w:rsidRPr="00A54361">
        <w:rPr>
          <w:rFonts w:eastAsia="Times New Roman" w:cstheme="minorHAnsi"/>
        </w:rPr>
        <w:t>nn</w:t>
      </w:r>
      <w:r w:rsidRPr="00A54361">
        <w:rPr>
          <w:rFonts w:eastAsia="Times New Roman" w:cstheme="minorHAnsi"/>
          <w:spacing w:val="-1"/>
        </w:rPr>
        <w:t>e</w:t>
      </w:r>
      <w:r w:rsidRPr="00A54361">
        <w:rPr>
          <w:rFonts w:eastAsia="Times New Roman" w:cstheme="minorHAnsi"/>
        </w:rPr>
        <w:t>d</w:t>
      </w:r>
    </w:p>
    <w:p w14:paraId="2FC14F29" w14:textId="77777777" w:rsidR="0054549F" w:rsidRPr="00A54361" w:rsidRDefault="0054549F" w:rsidP="00A54361">
      <w:pPr>
        <w:ind w:left="100" w:right="7563" w:hanging="242"/>
        <w:jc w:val="both"/>
        <w:rPr>
          <w:rFonts w:cstheme="minorHAnsi"/>
        </w:rPr>
      </w:pPr>
      <w:r w:rsidRPr="00A54361">
        <w:rPr>
          <w:rFonts w:eastAsia="Times New Roman" w:cstheme="minorHAnsi"/>
          <w:b/>
        </w:rPr>
        <w:t>1. I</w:t>
      </w:r>
      <w:r w:rsidRPr="00A54361">
        <w:rPr>
          <w:rFonts w:eastAsia="Times New Roman" w:cstheme="minorHAnsi"/>
          <w:b/>
          <w:spacing w:val="1"/>
        </w:rPr>
        <w:t>n</w:t>
      </w:r>
      <w:r w:rsidRPr="00A54361">
        <w:rPr>
          <w:rFonts w:eastAsia="Times New Roman" w:cstheme="minorHAnsi"/>
          <w:b/>
        </w:rPr>
        <w:t>t</w:t>
      </w:r>
      <w:r w:rsidRPr="00A54361">
        <w:rPr>
          <w:rFonts w:eastAsia="Times New Roman" w:cstheme="minorHAnsi"/>
          <w:b/>
          <w:spacing w:val="-2"/>
        </w:rPr>
        <w:t>r</w:t>
      </w:r>
      <w:r w:rsidRPr="00A54361">
        <w:rPr>
          <w:rFonts w:eastAsia="Times New Roman" w:cstheme="minorHAnsi"/>
          <w:b/>
        </w:rPr>
        <w:t>o</w:t>
      </w:r>
      <w:r w:rsidRPr="00A54361">
        <w:rPr>
          <w:rFonts w:eastAsia="Times New Roman" w:cstheme="minorHAnsi"/>
          <w:b/>
          <w:spacing w:val="1"/>
        </w:rPr>
        <w:t>du</w:t>
      </w:r>
      <w:r w:rsidRPr="00A54361">
        <w:rPr>
          <w:rFonts w:eastAsia="Times New Roman" w:cstheme="minorHAnsi"/>
          <w:b/>
          <w:spacing w:val="-1"/>
        </w:rPr>
        <w:t>c</w:t>
      </w:r>
      <w:r w:rsidRPr="00A54361">
        <w:rPr>
          <w:rFonts w:eastAsia="Times New Roman" w:cstheme="minorHAnsi"/>
          <w:b/>
        </w:rPr>
        <w:t>tion</w:t>
      </w:r>
    </w:p>
    <w:p w14:paraId="2606AB11" w14:textId="77777777" w:rsidR="0054549F" w:rsidRPr="00A54361" w:rsidRDefault="0054549F" w:rsidP="00A54361">
      <w:pPr>
        <w:spacing w:line="260" w:lineRule="exact"/>
        <w:ind w:left="100" w:right="88"/>
        <w:jc w:val="both"/>
        <w:rPr>
          <w:rFonts w:cstheme="minorHAnsi"/>
        </w:rPr>
      </w:pPr>
      <w:r w:rsidRPr="00A54361">
        <w:rPr>
          <w:rFonts w:eastAsia="Times New Roman" w:cstheme="minorHAnsi"/>
        </w:rPr>
        <w:t>1.1</w:t>
      </w:r>
      <w:r w:rsidRPr="00A54361">
        <w:rPr>
          <w:rFonts w:eastAsia="Times New Roman" w:cstheme="minorHAnsi"/>
          <w:spacing w:val="2"/>
        </w:rPr>
        <w:t xml:space="preserve"> </w:t>
      </w:r>
      <w:r w:rsidRPr="00A54361">
        <w:rPr>
          <w:rFonts w:eastAsia="Times New Roman" w:cstheme="minorHAnsi"/>
        </w:rPr>
        <w:t>C</w:t>
      </w:r>
      <w:r w:rsidRPr="00A54361">
        <w:rPr>
          <w:rFonts w:eastAsia="Times New Roman" w:cstheme="minorHAnsi"/>
          <w:spacing w:val="-1"/>
        </w:rPr>
        <w:t>e</w:t>
      </w:r>
      <w:r w:rsidRPr="00A54361">
        <w:rPr>
          <w:rFonts w:eastAsia="Times New Roman" w:cstheme="minorHAnsi"/>
        </w:rPr>
        <w:t>ntr</w:t>
      </w:r>
      <w:r w:rsidRPr="00A54361">
        <w:rPr>
          <w:rFonts w:eastAsia="Times New Roman" w:cstheme="minorHAnsi"/>
          <w:spacing w:val="-1"/>
        </w:rPr>
        <w:t>a</w:t>
      </w:r>
      <w:r w:rsidRPr="00A54361">
        <w:rPr>
          <w:rFonts w:eastAsia="Times New Roman" w:cstheme="minorHAnsi"/>
        </w:rPr>
        <w:t>l</w:t>
      </w:r>
      <w:r w:rsidRPr="00A54361">
        <w:rPr>
          <w:rFonts w:eastAsia="Times New Roman" w:cstheme="minorHAnsi"/>
          <w:spacing w:val="3"/>
        </w:rPr>
        <w:t xml:space="preserve"> </w:t>
      </w:r>
      <w:r w:rsidRPr="00A54361">
        <w:rPr>
          <w:rFonts w:eastAsia="Times New Roman" w:cstheme="minorHAnsi"/>
          <w:spacing w:val="-2"/>
        </w:rPr>
        <w:t>B</w:t>
      </w:r>
      <w:r w:rsidRPr="00A54361">
        <w:rPr>
          <w:rFonts w:eastAsia="Times New Roman" w:cstheme="minorHAnsi"/>
          <w:spacing w:val="-1"/>
        </w:rPr>
        <w:t>a</w:t>
      </w:r>
      <w:r w:rsidRPr="00A54361">
        <w:rPr>
          <w:rFonts w:eastAsia="Times New Roman" w:cstheme="minorHAnsi"/>
        </w:rPr>
        <w:t>nk</w:t>
      </w:r>
      <w:r w:rsidRPr="00A54361">
        <w:rPr>
          <w:rFonts w:eastAsia="Times New Roman" w:cstheme="minorHAnsi"/>
          <w:spacing w:val="2"/>
        </w:rPr>
        <w:t xml:space="preserve"> </w:t>
      </w:r>
      <w:r w:rsidRPr="00A54361">
        <w:rPr>
          <w:rFonts w:eastAsia="Times New Roman" w:cstheme="minorHAnsi"/>
        </w:rPr>
        <w:t>of</w:t>
      </w:r>
      <w:r w:rsidRPr="00A54361">
        <w:rPr>
          <w:rFonts w:eastAsia="Times New Roman" w:cstheme="minorHAnsi"/>
          <w:spacing w:val="4"/>
        </w:rPr>
        <w:t xml:space="preserve"> </w:t>
      </w:r>
      <w:r w:rsidRPr="00A54361">
        <w:rPr>
          <w:rFonts w:eastAsia="Times New Roman" w:cstheme="minorHAnsi"/>
          <w:spacing w:val="-3"/>
        </w:rPr>
        <w:t>I</w:t>
      </w:r>
      <w:r w:rsidRPr="00A54361">
        <w:rPr>
          <w:rFonts w:eastAsia="Times New Roman" w:cstheme="minorHAnsi"/>
        </w:rPr>
        <w:t>nd</w:t>
      </w:r>
      <w:r w:rsidRPr="00A54361">
        <w:rPr>
          <w:rFonts w:eastAsia="Times New Roman" w:cstheme="minorHAnsi"/>
          <w:spacing w:val="3"/>
        </w:rPr>
        <w:t>i</w:t>
      </w:r>
      <w:r w:rsidRPr="00A54361">
        <w:rPr>
          <w:rFonts w:eastAsia="Times New Roman" w:cstheme="minorHAnsi"/>
          <w:spacing w:val="1"/>
        </w:rPr>
        <w:t>a</w:t>
      </w:r>
      <w:r w:rsidRPr="00A54361">
        <w:rPr>
          <w:rFonts w:eastAsia="Times New Roman" w:cstheme="minorHAnsi"/>
        </w:rPr>
        <w:t>,</w:t>
      </w:r>
      <w:r w:rsidRPr="00A54361">
        <w:rPr>
          <w:rFonts w:eastAsia="Times New Roman" w:cstheme="minorHAnsi"/>
          <w:spacing w:val="2"/>
        </w:rPr>
        <w:t xml:space="preserve"> </w:t>
      </w:r>
      <w:r w:rsidRPr="00A54361">
        <w:rPr>
          <w:rFonts w:eastAsia="Times New Roman" w:cstheme="minorHAnsi"/>
        </w:rPr>
        <w:t>b</w:t>
      </w:r>
      <w:r w:rsidRPr="00A54361">
        <w:rPr>
          <w:rFonts w:eastAsia="Times New Roman" w:cstheme="minorHAnsi"/>
          <w:spacing w:val="-1"/>
        </w:rPr>
        <w:t>e</w:t>
      </w:r>
      <w:r w:rsidRPr="00A54361">
        <w:rPr>
          <w:rFonts w:eastAsia="Times New Roman" w:cstheme="minorHAnsi"/>
        </w:rPr>
        <w:t>ing a</w:t>
      </w:r>
      <w:r w:rsidRPr="00A54361">
        <w:rPr>
          <w:rFonts w:eastAsia="Times New Roman" w:cstheme="minorHAnsi"/>
          <w:spacing w:val="1"/>
        </w:rPr>
        <w:t xml:space="preserve"> P</w:t>
      </w:r>
      <w:r w:rsidRPr="00A54361">
        <w:rPr>
          <w:rFonts w:eastAsia="Times New Roman" w:cstheme="minorHAnsi"/>
        </w:rPr>
        <w:t>ubl</w:t>
      </w:r>
      <w:r w:rsidRPr="00A54361">
        <w:rPr>
          <w:rFonts w:eastAsia="Times New Roman" w:cstheme="minorHAnsi"/>
          <w:spacing w:val="1"/>
        </w:rPr>
        <w:t>i</w:t>
      </w:r>
      <w:r w:rsidRPr="00A54361">
        <w:rPr>
          <w:rFonts w:eastAsia="Times New Roman" w:cstheme="minorHAnsi"/>
        </w:rPr>
        <w:t>c</w:t>
      </w:r>
      <w:r w:rsidRPr="00A54361">
        <w:rPr>
          <w:rFonts w:eastAsia="Times New Roman" w:cstheme="minorHAnsi"/>
          <w:spacing w:val="1"/>
        </w:rPr>
        <w:t xml:space="preserve"> S</w:t>
      </w:r>
      <w:r w:rsidRPr="00A54361">
        <w:rPr>
          <w:rFonts w:eastAsia="Times New Roman" w:cstheme="minorHAnsi"/>
          <w:spacing w:val="-1"/>
        </w:rPr>
        <w:t>ec</w:t>
      </w:r>
      <w:r w:rsidRPr="00A54361">
        <w:rPr>
          <w:rFonts w:eastAsia="Times New Roman" w:cstheme="minorHAnsi"/>
        </w:rPr>
        <w:t>tor</w:t>
      </w:r>
      <w:r w:rsidRPr="00A54361">
        <w:rPr>
          <w:rFonts w:eastAsia="Times New Roman" w:cstheme="minorHAnsi"/>
          <w:spacing w:val="2"/>
        </w:rPr>
        <w:t xml:space="preserve"> E</w:t>
      </w:r>
      <w:r w:rsidRPr="00A54361">
        <w:rPr>
          <w:rFonts w:eastAsia="Times New Roman" w:cstheme="minorHAnsi"/>
        </w:rPr>
        <w:t>nte</w:t>
      </w:r>
      <w:r w:rsidRPr="00A54361">
        <w:rPr>
          <w:rFonts w:eastAsia="Times New Roman" w:cstheme="minorHAnsi"/>
          <w:spacing w:val="-1"/>
        </w:rPr>
        <w:t>r</w:t>
      </w:r>
      <w:r w:rsidRPr="00A54361">
        <w:rPr>
          <w:rFonts w:eastAsia="Times New Roman" w:cstheme="minorHAnsi"/>
        </w:rPr>
        <w:t>prise</w:t>
      </w:r>
      <w:r w:rsidRPr="00A54361">
        <w:rPr>
          <w:rFonts w:eastAsia="Times New Roman" w:cstheme="minorHAnsi"/>
          <w:spacing w:val="1"/>
        </w:rPr>
        <w:t xml:space="preserve"> </w:t>
      </w:r>
      <w:r w:rsidRPr="00A54361">
        <w:rPr>
          <w:rFonts w:eastAsia="Times New Roman" w:cstheme="minorHAnsi"/>
          <w:spacing w:val="-1"/>
        </w:rPr>
        <w:t>a</w:t>
      </w:r>
      <w:r w:rsidRPr="00A54361">
        <w:rPr>
          <w:rFonts w:eastAsia="Times New Roman" w:cstheme="minorHAnsi"/>
        </w:rPr>
        <w:t>nd</w:t>
      </w:r>
      <w:r w:rsidRPr="00A54361">
        <w:rPr>
          <w:rFonts w:eastAsia="Times New Roman" w:cstheme="minorHAnsi"/>
          <w:spacing w:val="2"/>
        </w:rPr>
        <w:t xml:space="preserve"> </w:t>
      </w:r>
      <w:r w:rsidRPr="00A54361">
        <w:rPr>
          <w:rFonts w:eastAsia="Times New Roman" w:cstheme="minorHAnsi"/>
        </w:rPr>
        <w:t>‘Stat</w:t>
      </w:r>
      <w:r w:rsidRPr="00A54361">
        <w:rPr>
          <w:rFonts w:eastAsia="Times New Roman" w:cstheme="minorHAnsi"/>
          <w:spacing w:val="-1"/>
        </w:rPr>
        <w:t>e</w:t>
      </w:r>
      <w:r w:rsidRPr="00A54361">
        <w:rPr>
          <w:rFonts w:eastAsia="Times New Roman" w:cstheme="minorHAnsi"/>
        </w:rPr>
        <w:t>’,</w:t>
      </w:r>
      <w:r w:rsidRPr="00A54361">
        <w:rPr>
          <w:rFonts w:eastAsia="Times New Roman" w:cstheme="minorHAnsi"/>
          <w:spacing w:val="4"/>
        </w:rPr>
        <w:t xml:space="preserve"> </w:t>
      </w:r>
      <w:r w:rsidRPr="00A54361">
        <w:rPr>
          <w:rFonts w:eastAsia="Times New Roman" w:cstheme="minorHAnsi"/>
        </w:rPr>
        <w:t>with</w:t>
      </w:r>
      <w:r w:rsidRPr="00A54361">
        <w:rPr>
          <w:rFonts w:eastAsia="Times New Roman" w:cstheme="minorHAnsi"/>
          <w:spacing w:val="1"/>
        </w:rPr>
        <w:t>i</w:t>
      </w:r>
      <w:r w:rsidRPr="00A54361">
        <w:rPr>
          <w:rFonts w:eastAsia="Times New Roman" w:cstheme="minorHAnsi"/>
        </w:rPr>
        <w:t>n</w:t>
      </w:r>
      <w:r w:rsidRPr="00A54361">
        <w:rPr>
          <w:rFonts w:eastAsia="Times New Roman" w:cstheme="minorHAnsi"/>
          <w:spacing w:val="2"/>
        </w:rPr>
        <w:t xml:space="preserve"> </w:t>
      </w:r>
      <w:r w:rsidRPr="00A54361">
        <w:rPr>
          <w:rFonts w:eastAsia="Times New Roman" w:cstheme="minorHAnsi"/>
        </w:rPr>
        <w:t>the</w:t>
      </w:r>
      <w:r w:rsidRPr="00A54361">
        <w:rPr>
          <w:rFonts w:eastAsia="Times New Roman" w:cstheme="minorHAnsi"/>
          <w:spacing w:val="2"/>
        </w:rPr>
        <w:t xml:space="preserve"> </w:t>
      </w:r>
      <w:r w:rsidRPr="00A54361">
        <w:rPr>
          <w:rFonts w:eastAsia="Times New Roman" w:cstheme="minorHAnsi"/>
        </w:rPr>
        <w:t>me</w:t>
      </w:r>
      <w:r w:rsidRPr="00A54361">
        <w:rPr>
          <w:rFonts w:eastAsia="Times New Roman" w:cstheme="minorHAnsi"/>
          <w:spacing w:val="-1"/>
        </w:rPr>
        <w:t>a</w:t>
      </w:r>
      <w:r w:rsidRPr="00A54361">
        <w:rPr>
          <w:rFonts w:eastAsia="Times New Roman" w:cstheme="minorHAnsi"/>
        </w:rPr>
        <w:t>ning of A</w:t>
      </w:r>
      <w:r w:rsidRPr="00A54361">
        <w:rPr>
          <w:rFonts w:eastAsia="Times New Roman" w:cstheme="minorHAnsi"/>
          <w:spacing w:val="-1"/>
        </w:rPr>
        <w:t>r</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spacing w:val="-1"/>
        </w:rPr>
        <w:t>c</w:t>
      </w:r>
      <w:r w:rsidRPr="00A54361">
        <w:rPr>
          <w:rFonts w:eastAsia="Times New Roman" w:cstheme="minorHAnsi"/>
        </w:rPr>
        <w:t>le</w:t>
      </w:r>
      <w:r w:rsidRPr="00A54361">
        <w:rPr>
          <w:rFonts w:eastAsia="Times New Roman" w:cstheme="minorHAnsi"/>
          <w:spacing w:val="-8"/>
        </w:rPr>
        <w:t xml:space="preserve"> </w:t>
      </w:r>
      <w:r w:rsidRPr="00A54361">
        <w:rPr>
          <w:rFonts w:eastAsia="Times New Roman" w:cstheme="minorHAnsi"/>
        </w:rPr>
        <w:t>12</w:t>
      </w:r>
      <w:r w:rsidRPr="00A54361">
        <w:rPr>
          <w:rFonts w:eastAsia="Times New Roman" w:cstheme="minorHAnsi"/>
          <w:spacing w:val="-7"/>
        </w:rPr>
        <w:t xml:space="preserve"> </w:t>
      </w:r>
      <w:r w:rsidRPr="00A54361">
        <w:rPr>
          <w:rFonts w:eastAsia="Times New Roman" w:cstheme="minorHAnsi"/>
        </w:rPr>
        <w:t>of</w:t>
      </w:r>
      <w:r w:rsidRPr="00A54361">
        <w:rPr>
          <w:rFonts w:eastAsia="Times New Roman" w:cstheme="minorHAnsi"/>
          <w:spacing w:val="-8"/>
        </w:rPr>
        <w:t xml:space="preserve"> </w:t>
      </w:r>
      <w:r w:rsidRPr="00A54361">
        <w:rPr>
          <w:rFonts w:eastAsia="Times New Roman" w:cstheme="minorHAnsi"/>
        </w:rPr>
        <w:t>Consti</w:t>
      </w:r>
      <w:r w:rsidRPr="00A54361">
        <w:rPr>
          <w:rFonts w:eastAsia="Times New Roman" w:cstheme="minorHAnsi"/>
          <w:spacing w:val="1"/>
        </w:rPr>
        <w:t>t</w:t>
      </w:r>
      <w:r w:rsidRPr="00A54361">
        <w:rPr>
          <w:rFonts w:eastAsia="Times New Roman" w:cstheme="minorHAnsi"/>
        </w:rPr>
        <w:t>ut</w:t>
      </w:r>
      <w:r w:rsidRPr="00A54361">
        <w:rPr>
          <w:rFonts w:eastAsia="Times New Roman" w:cstheme="minorHAnsi"/>
          <w:spacing w:val="1"/>
        </w:rPr>
        <w:t>i</w:t>
      </w:r>
      <w:r w:rsidRPr="00A54361">
        <w:rPr>
          <w:rFonts w:eastAsia="Times New Roman" w:cstheme="minorHAnsi"/>
        </w:rPr>
        <w:t>on</w:t>
      </w:r>
      <w:r w:rsidRPr="00A54361">
        <w:rPr>
          <w:rFonts w:eastAsia="Times New Roman" w:cstheme="minorHAnsi"/>
          <w:spacing w:val="-7"/>
        </w:rPr>
        <w:t xml:space="preserve"> </w:t>
      </w:r>
      <w:r w:rsidRPr="00A54361">
        <w:rPr>
          <w:rFonts w:eastAsia="Times New Roman" w:cstheme="minorHAnsi"/>
        </w:rPr>
        <w:t>of</w:t>
      </w:r>
      <w:r w:rsidRPr="00A54361">
        <w:rPr>
          <w:rFonts w:eastAsia="Times New Roman" w:cstheme="minorHAnsi"/>
          <w:spacing w:val="-6"/>
        </w:rPr>
        <w:t xml:space="preserve"> </w:t>
      </w:r>
      <w:r w:rsidRPr="00A54361">
        <w:rPr>
          <w:rFonts w:eastAsia="Times New Roman" w:cstheme="minorHAnsi"/>
          <w:spacing w:val="-3"/>
        </w:rPr>
        <w:t>I</w:t>
      </w:r>
      <w:r w:rsidRPr="00A54361">
        <w:rPr>
          <w:rFonts w:eastAsia="Times New Roman" w:cstheme="minorHAnsi"/>
        </w:rPr>
        <w:t>ndia,</w:t>
      </w:r>
      <w:r w:rsidRPr="00A54361">
        <w:rPr>
          <w:rFonts w:eastAsia="Times New Roman" w:cstheme="minorHAnsi"/>
          <w:spacing w:val="-8"/>
        </w:rPr>
        <w:t xml:space="preserve"> </w:t>
      </w:r>
      <w:r w:rsidRPr="00A54361">
        <w:rPr>
          <w:rFonts w:eastAsia="Times New Roman" w:cstheme="minorHAnsi"/>
          <w:spacing w:val="2"/>
        </w:rPr>
        <w:t>h</w:t>
      </w:r>
      <w:r w:rsidRPr="00A54361">
        <w:rPr>
          <w:rFonts w:eastAsia="Times New Roman" w:cstheme="minorHAnsi"/>
          <w:spacing w:val="-1"/>
        </w:rPr>
        <w:t>a</w:t>
      </w:r>
      <w:r w:rsidRPr="00A54361">
        <w:rPr>
          <w:rFonts w:eastAsia="Times New Roman" w:cstheme="minorHAnsi"/>
        </w:rPr>
        <w:t>s</w:t>
      </w:r>
      <w:r w:rsidRPr="00A54361">
        <w:rPr>
          <w:rFonts w:eastAsia="Times New Roman" w:cstheme="minorHAnsi"/>
          <w:spacing w:val="-7"/>
        </w:rPr>
        <w:t xml:space="preserve"> </w:t>
      </w:r>
      <w:r w:rsidRPr="00A54361">
        <w:rPr>
          <w:rFonts w:eastAsia="Times New Roman" w:cstheme="minorHAnsi"/>
        </w:rPr>
        <w:t>to</w:t>
      </w:r>
      <w:r w:rsidRPr="00A54361">
        <w:rPr>
          <w:rFonts w:eastAsia="Times New Roman" w:cstheme="minorHAnsi"/>
          <w:spacing w:val="-7"/>
        </w:rPr>
        <w:t xml:space="preserve"> </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2"/>
        </w:rPr>
        <w:t>s</w:t>
      </w:r>
      <w:r w:rsidRPr="00A54361">
        <w:rPr>
          <w:rFonts w:eastAsia="Times New Roman" w:cstheme="minorHAnsi"/>
        </w:rPr>
        <w:t>ure</w:t>
      </w:r>
      <w:r w:rsidRPr="00A54361">
        <w:rPr>
          <w:rFonts w:eastAsia="Times New Roman" w:cstheme="minorHAnsi"/>
          <w:spacing w:val="-7"/>
        </w:rPr>
        <w:t xml:space="preserve"> </w:t>
      </w:r>
      <w:r w:rsidRPr="00A54361">
        <w:rPr>
          <w:rFonts w:eastAsia="Times New Roman" w:cstheme="minorHAnsi"/>
        </w:rPr>
        <w:t>p</w:t>
      </w:r>
      <w:r w:rsidRPr="00A54361">
        <w:rPr>
          <w:rFonts w:eastAsia="Times New Roman" w:cstheme="minorHAnsi"/>
          <w:spacing w:val="1"/>
        </w:rPr>
        <w:t>r</w:t>
      </w:r>
      <w:r w:rsidRPr="00A54361">
        <w:rPr>
          <w:rFonts w:eastAsia="Times New Roman" w:cstheme="minorHAnsi"/>
          <w:spacing w:val="-1"/>
        </w:rPr>
        <w:t>e</w:t>
      </w:r>
      <w:r w:rsidRPr="00A54361">
        <w:rPr>
          <w:rFonts w:eastAsia="Times New Roman" w:cstheme="minorHAnsi"/>
        </w:rPr>
        <w:t>s</w:t>
      </w:r>
      <w:r w:rsidRPr="00A54361">
        <w:rPr>
          <w:rFonts w:eastAsia="Times New Roman" w:cstheme="minorHAnsi"/>
          <w:spacing w:val="-1"/>
        </w:rPr>
        <w:t>e</w:t>
      </w:r>
      <w:r w:rsidRPr="00A54361">
        <w:rPr>
          <w:rFonts w:eastAsia="Times New Roman" w:cstheme="minorHAnsi"/>
        </w:rPr>
        <w:t>rv</w:t>
      </w:r>
      <w:r w:rsidRPr="00A54361">
        <w:rPr>
          <w:rFonts w:eastAsia="Times New Roman" w:cstheme="minorHAnsi"/>
          <w:spacing w:val="-2"/>
        </w:rPr>
        <w:t>a</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on</w:t>
      </w:r>
      <w:r w:rsidRPr="00A54361">
        <w:rPr>
          <w:rFonts w:eastAsia="Times New Roman" w:cstheme="minorHAnsi"/>
          <w:spacing w:val="-7"/>
        </w:rPr>
        <w:t xml:space="preserve"> </w:t>
      </w:r>
      <w:r w:rsidRPr="00A54361">
        <w:rPr>
          <w:rFonts w:eastAsia="Times New Roman" w:cstheme="minorHAnsi"/>
        </w:rPr>
        <w:t>of</w:t>
      </w:r>
      <w:r w:rsidRPr="00A54361">
        <w:rPr>
          <w:rFonts w:eastAsia="Times New Roman" w:cstheme="minorHAnsi"/>
          <w:spacing w:val="-6"/>
        </w:rPr>
        <w:t xml:space="preserve"> </w:t>
      </w:r>
      <w:r w:rsidRPr="00A54361">
        <w:rPr>
          <w:rFonts w:eastAsia="Times New Roman" w:cstheme="minorHAnsi"/>
        </w:rPr>
        <w:t>r</w:t>
      </w:r>
      <w:r w:rsidRPr="00A54361">
        <w:rPr>
          <w:rFonts w:eastAsia="Times New Roman" w:cstheme="minorHAnsi"/>
          <w:spacing w:val="2"/>
        </w:rPr>
        <w:t>i</w:t>
      </w:r>
      <w:r w:rsidRPr="00A54361">
        <w:rPr>
          <w:rFonts w:eastAsia="Times New Roman" w:cstheme="minorHAnsi"/>
          <w:spacing w:val="-2"/>
        </w:rPr>
        <w:t>g</w:t>
      </w:r>
      <w:r w:rsidRPr="00A54361">
        <w:rPr>
          <w:rFonts w:eastAsia="Times New Roman" w:cstheme="minorHAnsi"/>
        </w:rPr>
        <w:t>hts</w:t>
      </w:r>
      <w:r w:rsidRPr="00A54361">
        <w:rPr>
          <w:rFonts w:eastAsia="Times New Roman" w:cstheme="minorHAnsi"/>
          <w:spacing w:val="-6"/>
        </w:rPr>
        <w:t xml:space="preserve"> </w:t>
      </w:r>
      <w:r w:rsidRPr="00A54361">
        <w:rPr>
          <w:rFonts w:eastAsia="Times New Roman" w:cstheme="minorHAnsi"/>
          <w:spacing w:val="-1"/>
        </w:rPr>
        <w:t>e</w:t>
      </w:r>
      <w:r w:rsidRPr="00A54361">
        <w:rPr>
          <w:rFonts w:eastAsia="Times New Roman" w:cstheme="minorHAnsi"/>
        </w:rPr>
        <w:t>nsh</w:t>
      </w:r>
      <w:r w:rsidRPr="00A54361">
        <w:rPr>
          <w:rFonts w:eastAsia="Times New Roman" w:cstheme="minorHAnsi"/>
          <w:spacing w:val="2"/>
        </w:rPr>
        <w:t>r</w:t>
      </w:r>
      <w:r w:rsidRPr="00A54361">
        <w:rPr>
          <w:rFonts w:eastAsia="Times New Roman" w:cstheme="minorHAnsi"/>
        </w:rPr>
        <w:t>ined</w:t>
      </w:r>
      <w:r w:rsidRPr="00A54361">
        <w:rPr>
          <w:rFonts w:eastAsia="Times New Roman" w:cstheme="minorHAnsi"/>
          <w:spacing w:val="-8"/>
        </w:rPr>
        <w:t xml:space="preserve"> </w:t>
      </w:r>
      <w:r w:rsidRPr="00A54361">
        <w:rPr>
          <w:rFonts w:eastAsia="Times New Roman" w:cstheme="minorHAnsi"/>
        </w:rPr>
        <w:t>in</w:t>
      </w:r>
      <w:r w:rsidRPr="00A54361">
        <w:rPr>
          <w:rFonts w:eastAsia="Times New Roman" w:cstheme="minorHAnsi"/>
          <w:spacing w:val="-7"/>
        </w:rPr>
        <w:t xml:space="preserve"> </w:t>
      </w:r>
      <w:r w:rsidRPr="00A54361">
        <w:rPr>
          <w:rFonts w:eastAsia="Times New Roman" w:cstheme="minorHAnsi"/>
        </w:rPr>
        <w:t>Ch</w:t>
      </w:r>
      <w:r w:rsidRPr="00A54361">
        <w:rPr>
          <w:rFonts w:eastAsia="Times New Roman" w:cstheme="minorHAnsi"/>
          <w:spacing w:val="-1"/>
        </w:rPr>
        <w:t>a</w:t>
      </w:r>
      <w:r w:rsidRPr="00A54361">
        <w:rPr>
          <w:rFonts w:eastAsia="Times New Roman" w:cstheme="minorHAnsi"/>
        </w:rPr>
        <w:t>pter</w:t>
      </w:r>
      <w:r w:rsidRPr="00A54361">
        <w:rPr>
          <w:rFonts w:eastAsia="Times New Roman" w:cstheme="minorHAnsi"/>
          <w:spacing w:val="-6"/>
        </w:rPr>
        <w:t xml:space="preserve"> </w:t>
      </w:r>
      <w:r w:rsidRPr="00A54361">
        <w:rPr>
          <w:rFonts w:eastAsia="Times New Roman" w:cstheme="minorHAnsi"/>
        </w:rPr>
        <w:t>I</w:t>
      </w:r>
      <w:r w:rsidRPr="00A54361">
        <w:rPr>
          <w:rFonts w:eastAsia="Times New Roman" w:cstheme="minorHAnsi"/>
          <w:spacing w:val="-1"/>
        </w:rPr>
        <w:t>I</w:t>
      </w:r>
      <w:r w:rsidRPr="00A54361">
        <w:rPr>
          <w:rFonts w:eastAsia="Times New Roman" w:cstheme="minorHAnsi"/>
        </w:rPr>
        <w:t>I of</w:t>
      </w:r>
      <w:r w:rsidRPr="00A54361">
        <w:rPr>
          <w:rFonts w:eastAsia="Times New Roman" w:cstheme="minorHAnsi"/>
          <w:spacing w:val="1"/>
        </w:rPr>
        <w:t xml:space="preserve"> </w:t>
      </w:r>
      <w:r w:rsidRPr="00A54361">
        <w:rPr>
          <w:rFonts w:eastAsia="Times New Roman" w:cstheme="minorHAnsi"/>
        </w:rPr>
        <w:t>the</w:t>
      </w:r>
      <w:r w:rsidRPr="00A54361">
        <w:rPr>
          <w:rFonts w:eastAsia="Times New Roman" w:cstheme="minorHAnsi"/>
          <w:spacing w:val="2"/>
        </w:rPr>
        <w:t xml:space="preserve"> </w:t>
      </w:r>
      <w:r w:rsidRPr="00A54361">
        <w:rPr>
          <w:rFonts w:eastAsia="Times New Roman" w:cstheme="minorHAnsi"/>
        </w:rPr>
        <w:t>Consti</w:t>
      </w:r>
      <w:r w:rsidRPr="00A54361">
        <w:rPr>
          <w:rFonts w:eastAsia="Times New Roman" w:cstheme="minorHAnsi"/>
          <w:spacing w:val="1"/>
        </w:rPr>
        <w:t>t</w:t>
      </w:r>
      <w:r w:rsidRPr="00A54361">
        <w:rPr>
          <w:rFonts w:eastAsia="Times New Roman" w:cstheme="minorHAnsi"/>
        </w:rPr>
        <w:t>ut</w:t>
      </w:r>
      <w:r w:rsidRPr="00A54361">
        <w:rPr>
          <w:rFonts w:eastAsia="Times New Roman" w:cstheme="minorHAnsi"/>
          <w:spacing w:val="1"/>
        </w:rPr>
        <w:t>i</w:t>
      </w:r>
      <w:r w:rsidRPr="00A54361">
        <w:rPr>
          <w:rFonts w:eastAsia="Times New Roman" w:cstheme="minorHAnsi"/>
        </w:rPr>
        <w:t>on.</w:t>
      </w:r>
      <w:r w:rsidRPr="00A54361">
        <w:rPr>
          <w:rFonts w:eastAsia="Times New Roman" w:cstheme="minorHAnsi"/>
          <w:spacing w:val="2"/>
        </w:rPr>
        <w:t xml:space="preserve"> </w:t>
      </w:r>
      <w:r w:rsidRPr="00A54361">
        <w:rPr>
          <w:rFonts w:eastAsia="Times New Roman" w:cstheme="minorHAnsi"/>
        </w:rPr>
        <w:t>C</w:t>
      </w:r>
      <w:r w:rsidRPr="00A54361">
        <w:rPr>
          <w:rFonts w:eastAsia="Times New Roman" w:cstheme="minorHAnsi"/>
          <w:spacing w:val="-3"/>
        </w:rPr>
        <w:t>E</w:t>
      </w:r>
      <w:r w:rsidRPr="00A54361">
        <w:rPr>
          <w:rFonts w:eastAsia="Times New Roman" w:cstheme="minorHAnsi"/>
        </w:rPr>
        <w:t>N</w:t>
      </w:r>
      <w:r w:rsidRPr="00A54361">
        <w:rPr>
          <w:rFonts w:eastAsia="Times New Roman" w:cstheme="minorHAnsi"/>
          <w:spacing w:val="-1"/>
        </w:rPr>
        <w:t>T</w:t>
      </w:r>
      <w:r w:rsidRPr="00A54361">
        <w:rPr>
          <w:rFonts w:eastAsia="Times New Roman" w:cstheme="minorHAnsi"/>
        </w:rPr>
        <w:t>R</w:t>
      </w:r>
      <w:r w:rsidRPr="00A54361">
        <w:rPr>
          <w:rFonts w:eastAsia="Times New Roman" w:cstheme="minorHAnsi"/>
          <w:spacing w:val="2"/>
        </w:rPr>
        <w:t>A</w:t>
      </w:r>
      <w:r w:rsidRPr="00A54361">
        <w:rPr>
          <w:rFonts w:eastAsia="Times New Roman" w:cstheme="minorHAnsi"/>
        </w:rPr>
        <w:t xml:space="preserve">L </w:t>
      </w:r>
      <w:r w:rsidRPr="00A54361">
        <w:rPr>
          <w:rFonts w:eastAsia="Times New Roman" w:cstheme="minorHAnsi"/>
          <w:spacing w:val="-2"/>
        </w:rPr>
        <w:t>B</w:t>
      </w:r>
      <w:r w:rsidRPr="00A54361">
        <w:rPr>
          <w:rFonts w:eastAsia="Times New Roman" w:cstheme="minorHAnsi"/>
          <w:spacing w:val="2"/>
        </w:rPr>
        <w:t>A</w:t>
      </w:r>
      <w:r w:rsidRPr="00A54361">
        <w:rPr>
          <w:rFonts w:eastAsia="Times New Roman" w:cstheme="minorHAnsi"/>
        </w:rPr>
        <w:t>NK</w:t>
      </w:r>
      <w:r w:rsidRPr="00A54361">
        <w:rPr>
          <w:rFonts w:eastAsia="Times New Roman" w:cstheme="minorHAnsi"/>
          <w:spacing w:val="1"/>
        </w:rPr>
        <w:t xml:space="preserve"> </w:t>
      </w:r>
      <w:r w:rsidRPr="00A54361">
        <w:rPr>
          <w:rFonts w:eastAsia="Times New Roman" w:cstheme="minorHAnsi"/>
          <w:spacing w:val="2"/>
        </w:rPr>
        <w:t>O</w:t>
      </w:r>
      <w:r w:rsidRPr="00A54361">
        <w:rPr>
          <w:rFonts w:eastAsia="Times New Roman" w:cstheme="minorHAnsi"/>
        </w:rPr>
        <w:t>F</w:t>
      </w:r>
      <w:r w:rsidRPr="00A54361">
        <w:rPr>
          <w:rFonts w:eastAsia="Times New Roman" w:cstheme="minorHAnsi"/>
          <w:spacing w:val="3"/>
        </w:rPr>
        <w:t xml:space="preserve"> </w:t>
      </w:r>
      <w:r w:rsidRPr="00A54361">
        <w:rPr>
          <w:rFonts w:eastAsia="Times New Roman" w:cstheme="minorHAnsi"/>
          <w:spacing w:val="-3"/>
        </w:rPr>
        <w:t>I</w:t>
      </w:r>
      <w:r w:rsidRPr="00A54361">
        <w:rPr>
          <w:rFonts w:eastAsia="Times New Roman" w:cstheme="minorHAnsi"/>
          <w:spacing w:val="2"/>
        </w:rPr>
        <w:t>ND</w:t>
      </w:r>
      <w:r w:rsidRPr="00A54361">
        <w:rPr>
          <w:rFonts w:eastAsia="Times New Roman" w:cstheme="minorHAnsi"/>
          <w:spacing w:val="-3"/>
        </w:rPr>
        <w:t>I</w:t>
      </w:r>
      <w:r w:rsidRPr="00A54361">
        <w:rPr>
          <w:rFonts w:eastAsia="Times New Roman" w:cstheme="minorHAnsi"/>
        </w:rPr>
        <w:t>A</w:t>
      </w:r>
      <w:r w:rsidRPr="00A54361">
        <w:rPr>
          <w:rFonts w:eastAsia="Times New Roman" w:cstheme="minorHAnsi"/>
          <w:spacing w:val="2"/>
        </w:rPr>
        <w:t xml:space="preserve"> </w:t>
      </w:r>
      <w:r w:rsidRPr="00A54361">
        <w:rPr>
          <w:rFonts w:eastAsia="Times New Roman" w:cstheme="minorHAnsi"/>
        </w:rPr>
        <w:t>h</w:t>
      </w:r>
      <w:r w:rsidRPr="00A54361">
        <w:rPr>
          <w:rFonts w:eastAsia="Times New Roman" w:cstheme="minorHAnsi"/>
          <w:spacing w:val="-1"/>
        </w:rPr>
        <w:t>a</w:t>
      </w:r>
      <w:r w:rsidRPr="00A54361">
        <w:rPr>
          <w:rFonts w:eastAsia="Times New Roman" w:cstheme="minorHAnsi"/>
        </w:rPr>
        <w:t>s</w:t>
      </w:r>
      <w:r w:rsidRPr="00A54361">
        <w:rPr>
          <w:rFonts w:eastAsia="Times New Roman" w:cstheme="minorHAnsi"/>
          <w:spacing w:val="5"/>
        </w:rPr>
        <w:t xml:space="preserve"> </w:t>
      </w:r>
      <w:r w:rsidRPr="00A54361">
        <w:rPr>
          <w:rFonts w:eastAsia="Times New Roman" w:cstheme="minorHAnsi"/>
          <w:spacing w:val="-1"/>
        </w:rPr>
        <w:t>a</w:t>
      </w:r>
      <w:r w:rsidRPr="00A54361">
        <w:rPr>
          <w:rFonts w:eastAsia="Times New Roman" w:cstheme="minorHAnsi"/>
        </w:rPr>
        <w:t>lso</w:t>
      </w:r>
      <w:r w:rsidRPr="00A54361">
        <w:rPr>
          <w:rFonts w:eastAsia="Times New Roman" w:cstheme="minorHAnsi"/>
          <w:spacing w:val="3"/>
        </w:rPr>
        <w:t xml:space="preserve"> </w:t>
      </w:r>
      <w:r w:rsidRPr="00A54361">
        <w:rPr>
          <w:rFonts w:eastAsia="Times New Roman" w:cstheme="minorHAnsi"/>
        </w:rPr>
        <w:t>to</w:t>
      </w:r>
      <w:r w:rsidRPr="00A54361">
        <w:rPr>
          <w:rFonts w:eastAsia="Times New Roman" w:cstheme="minorHAnsi"/>
          <w:spacing w:val="3"/>
        </w:rPr>
        <w:t xml:space="preserve"> </w:t>
      </w:r>
      <w:r w:rsidRPr="00A54361">
        <w:rPr>
          <w:rFonts w:eastAsia="Times New Roman" w:cstheme="minorHAnsi"/>
        </w:rPr>
        <w:t>s</w:t>
      </w:r>
      <w:r w:rsidRPr="00A54361">
        <w:rPr>
          <w:rFonts w:eastAsia="Times New Roman" w:cstheme="minorHAnsi"/>
          <w:spacing w:val="-1"/>
        </w:rPr>
        <w:t>a</w:t>
      </w:r>
      <w:r w:rsidRPr="00A54361">
        <w:rPr>
          <w:rFonts w:eastAsia="Times New Roman" w:cstheme="minorHAnsi"/>
        </w:rPr>
        <w:t>fe</w:t>
      </w:r>
      <w:r w:rsidRPr="00A54361">
        <w:rPr>
          <w:rFonts w:eastAsia="Times New Roman" w:cstheme="minorHAnsi"/>
          <w:spacing w:val="-2"/>
        </w:rPr>
        <w:t>g</w:t>
      </w:r>
      <w:r w:rsidRPr="00A54361">
        <w:rPr>
          <w:rFonts w:eastAsia="Times New Roman" w:cstheme="minorHAnsi"/>
          <w:spacing w:val="2"/>
        </w:rPr>
        <w:t>u</w:t>
      </w:r>
      <w:r w:rsidRPr="00A54361">
        <w:rPr>
          <w:rFonts w:eastAsia="Times New Roman" w:cstheme="minorHAnsi"/>
          <w:spacing w:val="-1"/>
        </w:rPr>
        <w:t>a</w:t>
      </w:r>
      <w:r w:rsidRPr="00A54361">
        <w:rPr>
          <w:rFonts w:eastAsia="Times New Roman" w:cstheme="minorHAnsi"/>
        </w:rPr>
        <w:t>rd</w:t>
      </w:r>
      <w:r w:rsidRPr="00A54361">
        <w:rPr>
          <w:rFonts w:eastAsia="Times New Roman" w:cstheme="minorHAnsi"/>
          <w:spacing w:val="1"/>
        </w:rPr>
        <w:t xml:space="preserve"> </w:t>
      </w:r>
      <w:r w:rsidRPr="00A54361">
        <w:rPr>
          <w:rFonts w:eastAsia="Times New Roman" w:cstheme="minorHAnsi"/>
        </w:rPr>
        <w:t>i</w:t>
      </w:r>
      <w:r w:rsidRPr="00A54361">
        <w:rPr>
          <w:rFonts w:eastAsia="Times New Roman" w:cstheme="minorHAnsi"/>
          <w:spacing w:val="1"/>
        </w:rPr>
        <w:t>t</w:t>
      </w:r>
      <w:r w:rsidRPr="00A54361">
        <w:rPr>
          <w:rFonts w:eastAsia="Times New Roman" w:cstheme="minorHAnsi"/>
        </w:rPr>
        <w:t>s</w:t>
      </w:r>
      <w:r w:rsidRPr="00A54361">
        <w:rPr>
          <w:rFonts w:eastAsia="Times New Roman" w:cstheme="minorHAnsi"/>
          <w:spacing w:val="2"/>
        </w:rPr>
        <w:t xml:space="preserve"> </w:t>
      </w:r>
      <w:r w:rsidRPr="00A54361">
        <w:rPr>
          <w:rFonts w:eastAsia="Times New Roman" w:cstheme="minorHAnsi"/>
          <w:spacing w:val="-1"/>
        </w:rPr>
        <w:t>c</w:t>
      </w:r>
      <w:r w:rsidRPr="00A54361">
        <w:rPr>
          <w:rFonts w:eastAsia="Times New Roman" w:cstheme="minorHAnsi"/>
        </w:rPr>
        <w:t>om</w:t>
      </w:r>
      <w:r w:rsidRPr="00A54361">
        <w:rPr>
          <w:rFonts w:eastAsia="Times New Roman" w:cstheme="minorHAnsi"/>
          <w:spacing w:val="1"/>
        </w:rPr>
        <w:t>m</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2"/>
        </w:rPr>
        <w:t>c</w:t>
      </w:r>
      <w:r w:rsidRPr="00A54361">
        <w:rPr>
          <w:rFonts w:eastAsia="Times New Roman" w:cstheme="minorHAnsi"/>
          <w:spacing w:val="3"/>
        </w:rPr>
        <w:t>i</w:t>
      </w:r>
      <w:r w:rsidRPr="00A54361">
        <w:rPr>
          <w:rFonts w:eastAsia="Times New Roman" w:cstheme="minorHAnsi"/>
          <w:spacing w:val="-1"/>
        </w:rPr>
        <w:t>a</w:t>
      </w:r>
      <w:r w:rsidRPr="00A54361">
        <w:rPr>
          <w:rFonts w:eastAsia="Times New Roman" w:cstheme="minorHAnsi"/>
        </w:rPr>
        <w:t>l in</w:t>
      </w:r>
      <w:r w:rsidRPr="00A54361">
        <w:rPr>
          <w:rFonts w:eastAsia="Times New Roman" w:cstheme="minorHAnsi"/>
          <w:spacing w:val="1"/>
        </w:rPr>
        <w:t>t</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2"/>
        </w:rPr>
        <w:t>e</w:t>
      </w:r>
      <w:r w:rsidRPr="00A54361">
        <w:rPr>
          <w:rFonts w:eastAsia="Times New Roman" w:cstheme="minorHAnsi"/>
        </w:rPr>
        <w:t>st</w:t>
      </w:r>
      <w:r w:rsidRPr="00A54361">
        <w:rPr>
          <w:rFonts w:eastAsia="Times New Roman" w:cstheme="minorHAnsi"/>
          <w:spacing w:val="1"/>
        </w:rPr>
        <w:t>s</w:t>
      </w:r>
      <w:r w:rsidRPr="00A54361">
        <w:rPr>
          <w:rFonts w:eastAsia="Times New Roman" w:cstheme="minorHAnsi"/>
        </w:rPr>
        <w:t>. CE</w:t>
      </w:r>
      <w:r w:rsidRPr="00A54361">
        <w:rPr>
          <w:rFonts w:eastAsia="Times New Roman" w:cstheme="minorHAnsi"/>
          <w:spacing w:val="-1"/>
        </w:rPr>
        <w:t>N</w:t>
      </w:r>
      <w:r w:rsidRPr="00A54361">
        <w:rPr>
          <w:rFonts w:eastAsia="Times New Roman" w:cstheme="minorHAnsi"/>
        </w:rPr>
        <w:t>TR</w:t>
      </w:r>
      <w:r w:rsidRPr="00A54361">
        <w:rPr>
          <w:rFonts w:eastAsia="Times New Roman" w:cstheme="minorHAnsi"/>
          <w:spacing w:val="2"/>
        </w:rPr>
        <w:t>A</w:t>
      </w:r>
      <w:r w:rsidRPr="00A54361">
        <w:rPr>
          <w:rFonts w:eastAsia="Times New Roman" w:cstheme="minorHAnsi"/>
        </w:rPr>
        <w:t xml:space="preserve">L </w:t>
      </w:r>
      <w:r w:rsidRPr="00A54361">
        <w:rPr>
          <w:rFonts w:eastAsia="Times New Roman" w:cstheme="minorHAnsi"/>
          <w:spacing w:val="-2"/>
        </w:rPr>
        <w:t>B</w:t>
      </w:r>
      <w:r w:rsidRPr="00A54361">
        <w:rPr>
          <w:rFonts w:eastAsia="Times New Roman" w:cstheme="minorHAnsi"/>
          <w:spacing w:val="2"/>
        </w:rPr>
        <w:t>A</w:t>
      </w:r>
      <w:r w:rsidRPr="00A54361">
        <w:rPr>
          <w:rFonts w:eastAsia="Times New Roman" w:cstheme="minorHAnsi"/>
        </w:rPr>
        <w:t>NK</w:t>
      </w:r>
      <w:r w:rsidRPr="00A54361">
        <w:rPr>
          <w:rFonts w:eastAsia="Times New Roman" w:cstheme="minorHAnsi"/>
          <w:spacing w:val="-1"/>
        </w:rPr>
        <w:t xml:space="preserve"> </w:t>
      </w:r>
      <w:r w:rsidRPr="00A54361">
        <w:rPr>
          <w:rFonts w:eastAsia="Times New Roman" w:cstheme="minorHAnsi"/>
          <w:spacing w:val="2"/>
        </w:rPr>
        <w:t>O</w:t>
      </w:r>
      <w:r w:rsidRPr="00A54361">
        <w:rPr>
          <w:rFonts w:eastAsia="Times New Roman" w:cstheme="minorHAnsi"/>
        </w:rPr>
        <w:t>F</w:t>
      </w:r>
      <w:r w:rsidRPr="00A54361">
        <w:rPr>
          <w:rFonts w:eastAsia="Times New Roman" w:cstheme="minorHAnsi"/>
          <w:spacing w:val="3"/>
        </w:rPr>
        <w:t xml:space="preserve"> </w:t>
      </w:r>
      <w:r w:rsidRPr="00A54361">
        <w:rPr>
          <w:rFonts w:eastAsia="Times New Roman" w:cstheme="minorHAnsi"/>
          <w:spacing w:val="-3"/>
        </w:rPr>
        <w:t>I</w:t>
      </w:r>
      <w:r w:rsidRPr="00A54361">
        <w:rPr>
          <w:rFonts w:eastAsia="Times New Roman" w:cstheme="minorHAnsi"/>
        </w:rPr>
        <w:t>N</w:t>
      </w:r>
      <w:r w:rsidRPr="00A54361">
        <w:rPr>
          <w:rFonts w:eastAsia="Times New Roman" w:cstheme="minorHAnsi"/>
          <w:spacing w:val="1"/>
        </w:rPr>
        <w:t>D</w:t>
      </w:r>
      <w:r w:rsidRPr="00A54361">
        <w:rPr>
          <w:rFonts w:eastAsia="Times New Roman" w:cstheme="minorHAnsi"/>
          <w:spacing w:val="-3"/>
        </w:rPr>
        <w:t>I</w:t>
      </w:r>
      <w:r w:rsidRPr="00A54361">
        <w:rPr>
          <w:rFonts w:eastAsia="Times New Roman" w:cstheme="minorHAnsi"/>
        </w:rPr>
        <w:t>A</w:t>
      </w:r>
      <w:r w:rsidRPr="00A54361">
        <w:rPr>
          <w:rFonts w:eastAsia="Times New Roman" w:cstheme="minorHAnsi"/>
          <w:spacing w:val="2"/>
        </w:rPr>
        <w:t xml:space="preserve"> </w:t>
      </w:r>
      <w:r w:rsidRPr="00A54361">
        <w:rPr>
          <w:rFonts w:eastAsia="Times New Roman" w:cstheme="minorHAnsi"/>
        </w:rPr>
        <w:t>d</w:t>
      </w:r>
      <w:r w:rsidRPr="00A54361">
        <w:rPr>
          <w:rFonts w:eastAsia="Times New Roman" w:cstheme="minorHAnsi"/>
          <w:spacing w:val="1"/>
        </w:rPr>
        <w:t>e</w:t>
      </w:r>
      <w:r w:rsidRPr="00A54361">
        <w:rPr>
          <w:rFonts w:eastAsia="Times New Roman" w:cstheme="minorHAnsi"/>
          <w:spacing w:val="-1"/>
        </w:rPr>
        <w:t>a</w:t>
      </w:r>
      <w:r w:rsidRPr="00A54361">
        <w:rPr>
          <w:rFonts w:eastAsia="Times New Roman" w:cstheme="minorHAnsi"/>
        </w:rPr>
        <w:t>ls wi</w:t>
      </w:r>
      <w:r w:rsidRPr="00A54361">
        <w:rPr>
          <w:rFonts w:eastAsia="Times New Roman" w:cstheme="minorHAnsi"/>
          <w:spacing w:val="3"/>
        </w:rPr>
        <w:t>t</w:t>
      </w:r>
      <w:r w:rsidRPr="00A54361">
        <w:rPr>
          <w:rFonts w:eastAsia="Times New Roman" w:cstheme="minorHAnsi"/>
        </w:rPr>
        <w:t xml:space="preserve">h </w:t>
      </w:r>
      <w:r w:rsidRPr="00A54361">
        <w:rPr>
          <w:rFonts w:eastAsia="Times New Roman" w:cstheme="minorHAnsi"/>
          <w:spacing w:val="2"/>
        </w:rPr>
        <w:t>A</w:t>
      </w:r>
      <w:r w:rsidRPr="00A54361">
        <w:rPr>
          <w:rFonts w:eastAsia="Times New Roman" w:cstheme="minorHAnsi"/>
          <w:spacing w:val="-2"/>
        </w:rPr>
        <w:t>g</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1"/>
        </w:rPr>
        <w:t>c</w:t>
      </w:r>
      <w:r w:rsidRPr="00A54361">
        <w:rPr>
          <w:rFonts w:eastAsia="Times New Roman" w:cstheme="minorHAnsi"/>
          <w:spacing w:val="3"/>
        </w:rPr>
        <w:t>i</w:t>
      </w:r>
      <w:r w:rsidRPr="00A54361">
        <w:rPr>
          <w:rFonts w:eastAsia="Times New Roman" w:cstheme="minorHAnsi"/>
          <w:spacing w:val="-1"/>
        </w:rPr>
        <w:t>e</w:t>
      </w:r>
      <w:r w:rsidRPr="00A54361">
        <w:rPr>
          <w:rFonts w:eastAsia="Times New Roman" w:cstheme="minorHAnsi"/>
        </w:rPr>
        <w:t>s, who</w:t>
      </w:r>
      <w:r w:rsidRPr="00A54361">
        <w:rPr>
          <w:rFonts w:eastAsia="Times New Roman" w:cstheme="minorHAnsi"/>
          <w:spacing w:val="2"/>
        </w:rPr>
        <w:t xml:space="preserve"> </w:t>
      </w:r>
      <w:r w:rsidRPr="00A54361">
        <w:rPr>
          <w:rFonts w:eastAsia="Times New Roman" w:cstheme="minorHAnsi"/>
        </w:rPr>
        <w:t>h</w:t>
      </w:r>
      <w:r w:rsidRPr="00A54361">
        <w:rPr>
          <w:rFonts w:eastAsia="Times New Roman" w:cstheme="minorHAnsi"/>
          <w:spacing w:val="-1"/>
        </w:rPr>
        <w:t>a</w:t>
      </w:r>
      <w:r w:rsidRPr="00A54361">
        <w:rPr>
          <w:rFonts w:eastAsia="Times New Roman" w:cstheme="minorHAnsi"/>
          <w:spacing w:val="2"/>
        </w:rPr>
        <w:t>v</w:t>
      </w:r>
      <w:r w:rsidRPr="00A54361">
        <w:rPr>
          <w:rFonts w:eastAsia="Times New Roman" w:cstheme="minorHAnsi"/>
        </w:rPr>
        <w:t>e</w:t>
      </w:r>
      <w:r w:rsidRPr="00A54361">
        <w:rPr>
          <w:rFonts w:eastAsia="Times New Roman" w:cstheme="minorHAnsi"/>
          <w:spacing w:val="-1"/>
        </w:rPr>
        <w:t xml:space="preserve"> </w:t>
      </w:r>
      <w:r w:rsidRPr="00A54361">
        <w:rPr>
          <w:rFonts w:eastAsia="Times New Roman" w:cstheme="minorHAnsi"/>
        </w:rPr>
        <w:t>a</w:t>
      </w:r>
      <w:r w:rsidRPr="00A54361">
        <w:rPr>
          <w:rFonts w:eastAsia="Times New Roman" w:cstheme="minorHAnsi"/>
          <w:spacing w:val="3"/>
        </w:rPr>
        <w:t xml:space="preserve"> </w:t>
      </w:r>
      <w:r w:rsidRPr="00A54361">
        <w:rPr>
          <w:rFonts w:eastAsia="Times New Roman" w:cstheme="minorHAnsi"/>
        </w:rPr>
        <w:t>v</w:t>
      </w:r>
      <w:r w:rsidRPr="00A54361">
        <w:rPr>
          <w:rFonts w:eastAsia="Times New Roman" w:cstheme="minorHAnsi"/>
          <w:spacing w:val="-1"/>
        </w:rPr>
        <w:t>e</w:t>
      </w:r>
      <w:r w:rsidRPr="00A54361">
        <w:rPr>
          <w:rFonts w:eastAsia="Times New Roman" w:cstheme="minorHAnsi"/>
          <w:spacing w:val="4"/>
        </w:rPr>
        <w:t>r</w:t>
      </w:r>
      <w:r w:rsidRPr="00A54361">
        <w:rPr>
          <w:rFonts w:eastAsia="Times New Roman" w:cstheme="minorHAnsi"/>
        </w:rPr>
        <w:t>y</w:t>
      </w:r>
      <w:r w:rsidRPr="00A54361">
        <w:rPr>
          <w:rFonts w:eastAsia="Times New Roman" w:cstheme="minorHAnsi"/>
          <w:spacing w:val="-5"/>
        </w:rPr>
        <w:t xml:space="preserve"> </w:t>
      </w:r>
      <w:r w:rsidRPr="00A54361">
        <w:rPr>
          <w:rFonts w:eastAsia="Times New Roman" w:cstheme="minorHAnsi"/>
        </w:rPr>
        <w:t>h</w:t>
      </w:r>
      <w:r w:rsidRPr="00A54361">
        <w:rPr>
          <w:rFonts w:eastAsia="Times New Roman" w:cstheme="minorHAnsi"/>
          <w:spacing w:val="3"/>
        </w:rPr>
        <w:t>i</w:t>
      </w:r>
      <w:r w:rsidRPr="00A54361">
        <w:rPr>
          <w:rFonts w:eastAsia="Times New Roman" w:cstheme="minorHAnsi"/>
          <w:spacing w:val="-2"/>
        </w:rPr>
        <w:t>g</w:t>
      </w:r>
      <w:r w:rsidRPr="00A54361">
        <w:rPr>
          <w:rFonts w:eastAsia="Times New Roman" w:cstheme="minorHAnsi"/>
        </w:rPr>
        <w:t xml:space="preserve">h </w:t>
      </w:r>
      <w:r w:rsidRPr="00A54361">
        <w:rPr>
          <w:rFonts w:eastAsia="Times New Roman" w:cstheme="minorHAnsi"/>
          <w:spacing w:val="2"/>
        </w:rPr>
        <w:t>d</w:t>
      </w:r>
      <w:r w:rsidRPr="00A54361">
        <w:rPr>
          <w:rFonts w:eastAsia="Times New Roman" w:cstheme="minorHAnsi"/>
          <w:spacing w:val="1"/>
        </w:rPr>
        <w:t>e</w:t>
      </w:r>
      <w:r w:rsidRPr="00A54361">
        <w:rPr>
          <w:rFonts w:eastAsia="Times New Roman" w:cstheme="minorHAnsi"/>
          <w:spacing w:val="-2"/>
        </w:rPr>
        <w:t>g</w:t>
      </w:r>
      <w:r w:rsidRPr="00A54361">
        <w:rPr>
          <w:rFonts w:eastAsia="Times New Roman" w:cstheme="minorHAnsi"/>
          <w:spacing w:val="1"/>
        </w:rPr>
        <w:t>r</w:t>
      </w:r>
      <w:r w:rsidRPr="00A54361">
        <w:rPr>
          <w:rFonts w:eastAsia="Times New Roman" w:cstheme="minorHAnsi"/>
          <w:spacing w:val="-1"/>
        </w:rPr>
        <w:t>e</w:t>
      </w:r>
      <w:r w:rsidRPr="00A54361">
        <w:rPr>
          <w:rFonts w:eastAsia="Times New Roman" w:cstheme="minorHAnsi"/>
        </w:rPr>
        <w:t>e</w:t>
      </w:r>
      <w:r w:rsidRPr="00A54361">
        <w:rPr>
          <w:rFonts w:eastAsia="Times New Roman" w:cstheme="minorHAnsi"/>
          <w:spacing w:val="-1"/>
        </w:rPr>
        <w:t xml:space="preserve"> </w:t>
      </w:r>
      <w:r w:rsidRPr="00A54361">
        <w:rPr>
          <w:rFonts w:eastAsia="Times New Roman" w:cstheme="minorHAnsi"/>
          <w:spacing w:val="2"/>
        </w:rPr>
        <w:t>o</w:t>
      </w:r>
      <w:r w:rsidRPr="00A54361">
        <w:rPr>
          <w:rFonts w:eastAsia="Times New Roman" w:cstheme="minorHAnsi"/>
        </w:rPr>
        <w:t>f in</w:t>
      </w:r>
      <w:r w:rsidRPr="00A54361">
        <w:rPr>
          <w:rFonts w:eastAsia="Times New Roman" w:cstheme="minorHAnsi"/>
          <w:spacing w:val="1"/>
        </w:rPr>
        <w:t>t</w:t>
      </w:r>
      <w:r w:rsidRPr="00A54361">
        <w:rPr>
          <w:rFonts w:eastAsia="Times New Roman" w:cstheme="minorHAnsi"/>
          <w:spacing w:val="-1"/>
        </w:rPr>
        <w:t>e</w:t>
      </w:r>
      <w:r w:rsidRPr="00A54361">
        <w:rPr>
          <w:rFonts w:eastAsia="Times New Roman" w:cstheme="minorHAnsi"/>
          <w:spacing w:val="-2"/>
        </w:rPr>
        <w:t>g</w:t>
      </w:r>
      <w:r w:rsidRPr="00A54361">
        <w:rPr>
          <w:rFonts w:eastAsia="Times New Roman" w:cstheme="minorHAnsi"/>
        </w:rPr>
        <w:t>ri</w:t>
      </w:r>
      <w:r w:rsidRPr="00A54361">
        <w:rPr>
          <w:rFonts w:eastAsia="Times New Roman" w:cstheme="minorHAnsi"/>
          <w:spacing w:val="5"/>
        </w:rPr>
        <w:t>t</w:t>
      </w:r>
      <w:r w:rsidRPr="00A54361">
        <w:rPr>
          <w:rFonts w:eastAsia="Times New Roman" w:cstheme="minorHAnsi"/>
          <w:spacing w:val="-5"/>
        </w:rPr>
        <w:t>y</w:t>
      </w:r>
      <w:r w:rsidRPr="00A54361">
        <w:rPr>
          <w:rFonts w:eastAsia="Times New Roman" w:cstheme="minorHAnsi"/>
        </w:rPr>
        <w:t>,</w:t>
      </w:r>
      <w:r w:rsidRPr="00A54361">
        <w:rPr>
          <w:rFonts w:eastAsia="Times New Roman" w:cstheme="minorHAnsi"/>
          <w:spacing w:val="5"/>
        </w:rPr>
        <w:t xml:space="preserve"> </w:t>
      </w:r>
      <w:r w:rsidRPr="00A54361">
        <w:rPr>
          <w:rFonts w:eastAsia="Times New Roman" w:cstheme="minorHAnsi"/>
          <w:spacing w:val="-1"/>
        </w:rPr>
        <w:t>c</w:t>
      </w:r>
      <w:r w:rsidRPr="00A54361">
        <w:rPr>
          <w:rFonts w:eastAsia="Times New Roman" w:cstheme="minorHAnsi"/>
        </w:rPr>
        <w:t>om</w:t>
      </w:r>
      <w:r w:rsidRPr="00A54361">
        <w:rPr>
          <w:rFonts w:eastAsia="Times New Roman" w:cstheme="minorHAnsi"/>
          <w:spacing w:val="1"/>
        </w:rPr>
        <w:t>m</w:t>
      </w:r>
      <w:r w:rsidRPr="00A54361">
        <w:rPr>
          <w:rFonts w:eastAsia="Times New Roman" w:cstheme="minorHAnsi"/>
        </w:rPr>
        <w:t>i</w:t>
      </w:r>
      <w:r w:rsidRPr="00A54361">
        <w:rPr>
          <w:rFonts w:eastAsia="Times New Roman" w:cstheme="minorHAnsi"/>
          <w:spacing w:val="1"/>
        </w:rPr>
        <w:t>t</w:t>
      </w:r>
      <w:r w:rsidRPr="00A54361">
        <w:rPr>
          <w:rFonts w:eastAsia="Times New Roman" w:cstheme="minorHAnsi"/>
        </w:rPr>
        <w:t>ments</w:t>
      </w:r>
      <w:r w:rsidRPr="00A54361">
        <w:rPr>
          <w:rFonts w:eastAsia="Times New Roman" w:cstheme="minorHAnsi"/>
          <w:spacing w:val="5"/>
        </w:rPr>
        <w:t xml:space="preserve"> </w:t>
      </w:r>
      <w:r w:rsidRPr="00A54361">
        <w:rPr>
          <w:rFonts w:eastAsia="Times New Roman" w:cstheme="minorHAnsi"/>
          <w:spacing w:val="-1"/>
        </w:rPr>
        <w:t>a</w:t>
      </w:r>
      <w:r w:rsidRPr="00A54361">
        <w:rPr>
          <w:rFonts w:eastAsia="Times New Roman" w:cstheme="minorHAnsi"/>
        </w:rPr>
        <w:t>nd</w:t>
      </w:r>
      <w:r w:rsidRPr="00A54361">
        <w:rPr>
          <w:rFonts w:eastAsia="Times New Roman" w:cstheme="minorHAnsi"/>
          <w:spacing w:val="5"/>
        </w:rPr>
        <w:t xml:space="preserve"> </w:t>
      </w:r>
      <w:r w:rsidRPr="00A54361">
        <w:rPr>
          <w:rFonts w:eastAsia="Times New Roman" w:cstheme="minorHAnsi"/>
        </w:rPr>
        <w:t>sinc</w:t>
      </w:r>
      <w:r w:rsidRPr="00A54361">
        <w:rPr>
          <w:rFonts w:eastAsia="Times New Roman" w:cstheme="minorHAnsi"/>
          <w:spacing w:val="-1"/>
        </w:rPr>
        <w:t>e</w:t>
      </w:r>
      <w:r w:rsidRPr="00A54361">
        <w:rPr>
          <w:rFonts w:eastAsia="Times New Roman" w:cstheme="minorHAnsi"/>
        </w:rPr>
        <w:t>ri</w:t>
      </w:r>
      <w:r w:rsidRPr="00A54361">
        <w:rPr>
          <w:rFonts w:eastAsia="Times New Roman" w:cstheme="minorHAnsi"/>
          <w:spacing w:val="2"/>
        </w:rPr>
        <w:t>t</w:t>
      </w:r>
      <w:r w:rsidRPr="00A54361">
        <w:rPr>
          <w:rFonts w:eastAsia="Times New Roman" w:cstheme="minorHAnsi"/>
        </w:rPr>
        <w:t>y t</w:t>
      </w:r>
      <w:r w:rsidRPr="00A54361">
        <w:rPr>
          <w:rFonts w:eastAsia="Times New Roman" w:cstheme="minorHAnsi"/>
          <w:spacing w:val="3"/>
        </w:rPr>
        <w:t>o</w:t>
      </w:r>
      <w:r w:rsidRPr="00A54361">
        <w:rPr>
          <w:rFonts w:eastAsia="Times New Roman" w:cstheme="minorHAnsi"/>
        </w:rPr>
        <w:t>w</w:t>
      </w:r>
      <w:r w:rsidRPr="00A54361">
        <w:rPr>
          <w:rFonts w:eastAsia="Times New Roman" w:cstheme="minorHAnsi"/>
          <w:spacing w:val="1"/>
        </w:rPr>
        <w:t>a</w:t>
      </w:r>
      <w:r w:rsidRPr="00A54361">
        <w:rPr>
          <w:rFonts w:eastAsia="Times New Roman" w:cstheme="minorHAnsi"/>
        </w:rPr>
        <w:t>rds</w:t>
      </w:r>
      <w:r w:rsidRPr="00A54361">
        <w:rPr>
          <w:rFonts w:eastAsia="Times New Roman" w:cstheme="minorHAnsi"/>
          <w:spacing w:val="4"/>
        </w:rPr>
        <w:t xml:space="preserve"> </w:t>
      </w:r>
      <w:r w:rsidRPr="00A54361">
        <w:rPr>
          <w:rFonts w:eastAsia="Times New Roman" w:cstheme="minorHAnsi"/>
        </w:rPr>
        <w:t>the</w:t>
      </w:r>
      <w:r w:rsidRPr="00A54361">
        <w:rPr>
          <w:rFonts w:eastAsia="Times New Roman" w:cstheme="minorHAnsi"/>
          <w:spacing w:val="7"/>
        </w:rPr>
        <w:t xml:space="preserve"> </w:t>
      </w:r>
      <w:r w:rsidRPr="00A54361">
        <w:rPr>
          <w:rFonts w:eastAsia="Times New Roman" w:cstheme="minorHAnsi"/>
        </w:rPr>
        <w:t>wo</w:t>
      </w:r>
      <w:r w:rsidRPr="00A54361">
        <w:rPr>
          <w:rFonts w:eastAsia="Times New Roman" w:cstheme="minorHAnsi"/>
          <w:spacing w:val="-1"/>
        </w:rPr>
        <w:t>r</w:t>
      </w:r>
      <w:r w:rsidRPr="00A54361">
        <w:rPr>
          <w:rFonts w:eastAsia="Times New Roman" w:cstheme="minorHAnsi"/>
        </w:rPr>
        <w:t>k</w:t>
      </w:r>
      <w:r w:rsidRPr="00A54361">
        <w:rPr>
          <w:rFonts w:eastAsia="Times New Roman" w:cstheme="minorHAnsi"/>
          <w:spacing w:val="5"/>
        </w:rPr>
        <w:t xml:space="preserve"> </w:t>
      </w:r>
      <w:r w:rsidRPr="00A54361">
        <w:rPr>
          <w:rFonts w:eastAsia="Times New Roman" w:cstheme="minorHAnsi"/>
        </w:rPr>
        <w:t>und</w:t>
      </w:r>
      <w:r w:rsidRPr="00A54361">
        <w:rPr>
          <w:rFonts w:eastAsia="Times New Roman" w:cstheme="minorHAnsi"/>
          <w:spacing w:val="-1"/>
        </w:rPr>
        <w:t>e</w:t>
      </w:r>
      <w:r w:rsidRPr="00A54361">
        <w:rPr>
          <w:rFonts w:eastAsia="Times New Roman" w:cstheme="minorHAnsi"/>
        </w:rPr>
        <w:t>rt</w:t>
      </w:r>
      <w:r w:rsidRPr="00A54361">
        <w:rPr>
          <w:rFonts w:eastAsia="Times New Roman" w:cstheme="minorHAnsi"/>
          <w:spacing w:val="-1"/>
        </w:rPr>
        <w:t>a</w:t>
      </w:r>
      <w:r w:rsidRPr="00A54361">
        <w:rPr>
          <w:rFonts w:eastAsia="Times New Roman" w:cstheme="minorHAnsi"/>
          <w:spacing w:val="2"/>
        </w:rPr>
        <w:t>k</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7"/>
        </w:rPr>
        <w:t xml:space="preserve"> </w:t>
      </w:r>
      <w:r w:rsidRPr="00A54361">
        <w:rPr>
          <w:rFonts w:eastAsia="Times New Roman" w:cstheme="minorHAnsi"/>
          <w:spacing w:val="-3"/>
        </w:rPr>
        <w:t>I</w:t>
      </w:r>
      <w:r w:rsidRPr="00A54361">
        <w:rPr>
          <w:rFonts w:eastAsia="Times New Roman" w:cstheme="minorHAnsi"/>
        </w:rPr>
        <w:t>t</w:t>
      </w:r>
      <w:r w:rsidRPr="00A54361">
        <w:rPr>
          <w:rFonts w:eastAsia="Times New Roman" w:cstheme="minorHAnsi"/>
          <w:spacing w:val="5"/>
        </w:rPr>
        <w:t xml:space="preserve"> </w:t>
      </w:r>
      <w:r w:rsidRPr="00A54361">
        <w:rPr>
          <w:rFonts w:eastAsia="Times New Roman" w:cstheme="minorHAnsi"/>
        </w:rPr>
        <w:t>is</w:t>
      </w:r>
      <w:r w:rsidRPr="00A54361">
        <w:rPr>
          <w:rFonts w:eastAsia="Times New Roman" w:cstheme="minorHAnsi"/>
          <w:spacing w:val="5"/>
        </w:rPr>
        <w:t xml:space="preserve"> </w:t>
      </w:r>
      <w:r w:rsidRPr="00A54361">
        <w:rPr>
          <w:rFonts w:eastAsia="Times New Roman" w:cstheme="minorHAnsi"/>
        </w:rPr>
        <w:t>not</w:t>
      </w:r>
      <w:r w:rsidRPr="00A54361">
        <w:rPr>
          <w:rFonts w:eastAsia="Times New Roman" w:cstheme="minorHAnsi"/>
          <w:spacing w:val="5"/>
        </w:rPr>
        <w:t xml:space="preserve"> </w:t>
      </w:r>
      <w:r w:rsidRPr="00A54361">
        <w:rPr>
          <w:rFonts w:eastAsia="Times New Roman" w:cstheme="minorHAnsi"/>
        </w:rPr>
        <w:t>in</w:t>
      </w:r>
      <w:r w:rsidRPr="00A54361">
        <w:rPr>
          <w:rFonts w:eastAsia="Times New Roman" w:cstheme="minorHAnsi"/>
          <w:spacing w:val="5"/>
        </w:rPr>
        <w:t xml:space="preserve"> </w:t>
      </w:r>
      <w:r w:rsidRPr="00A54361">
        <w:rPr>
          <w:rFonts w:eastAsia="Times New Roman" w:cstheme="minorHAnsi"/>
        </w:rPr>
        <w:t>the</w:t>
      </w:r>
      <w:r w:rsidRPr="00A54361">
        <w:rPr>
          <w:rFonts w:eastAsia="Times New Roman" w:cstheme="minorHAnsi"/>
          <w:spacing w:val="4"/>
        </w:rPr>
        <w:t xml:space="preserve"> </w:t>
      </w:r>
      <w:r w:rsidRPr="00A54361">
        <w:rPr>
          <w:rFonts w:eastAsia="Times New Roman" w:cstheme="minorHAnsi"/>
        </w:rPr>
        <w:t>in</w:t>
      </w:r>
      <w:r w:rsidRPr="00A54361">
        <w:rPr>
          <w:rFonts w:eastAsia="Times New Roman" w:cstheme="minorHAnsi"/>
          <w:spacing w:val="1"/>
        </w:rPr>
        <w:t>t</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2"/>
        </w:rPr>
        <w:t>e</w:t>
      </w:r>
      <w:r w:rsidRPr="00A54361">
        <w:rPr>
          <w:rFonts w:eastAsia="Times New Roman" w:cstheme="minorHAnsi"/>
        </w:rPr>
        <w:t>st</w:t>
      </w:r>
      <w:r w:rsidRPr="00A54361">
        <w:rPr>
          <w:rFonts w:eastAsia="Times New Roman" w:cstheme="minorHAnsi"/>
          <w:spacing w:val="5"/>
        </w:rPr>
        <w:t xml:space="preserve"> </w:t>
      </w:r>
      <w:r w:rsidRPr="00A54361">
        <w:rPr>
          <w:rFonts w:eastAsia="Times New Roman" w:cstheme="minorHAnsi"/>
        </w:rPr>
        <w:t>of CE</w:t>
      </w:r>
      <w:r w:rsidRPr="00A54361">
        <w:rPr>
          <w:rFonts w:eastAsia="Times New Roman" w:cstheme="minorHAnsi"/>
          <w:spacing w:val="-1"/>
        </w:rPr>
        <w:t>N</w:t>
      </w:r>
      <w:r w:rsidRPr="00A54361">
        <w:rPr>
          <w:rFonts w:eastAsia="Times New Roman" w:cstheme="minorHAnsi"/>
        </w:rPr>
        <w:t>TR</w:t>
      </w:r>
      <w:r w:rsidRPr="00A54361">
        <w:rPr>
          <w:rFonts w:eastAsia="Times New Roman" w:cstheme="minorHAnsi"/>
          <w:spacing w:val="2"/>
        </w:rPr>
        <w:t>A</w:t>
      </w:r>
      <w:r w:rsidRPr="00A54361">
        <w:rPr>
          <w:rFonts w:eastAsia="Times New Roman" w:cstheme="minorHAnsi"/>
        </w:rPr>
        <w:t xml:space="preserve">L </w:t>
      </w:r>
      <w:r w:rsidRPr="00A54361">
        <w:rPr>
          <w:rFonts w:eastAsia="Times New Roman" w:cstheme="minorHAnsi"/>
          <w:spacing w:val="-2"/>
        </w:rPr>
        <w:t>B</w:t>
      </w:r>
      <w:r w:rsidRPr="00A54361">
        <w:rPr>
          <w:rFonts w:eastAsia="Times New Roman" w:cstheme="minorHAnsi"/>
          <w:spacing w:val="2"/>
        </w:rPr>
        <w:t>A</w:t>
      </w:r>
      <w:r w:rsidRPr="00A54361">
        <w:rPr>
          <w:rFonts w:eastAsia="Times New Roman" w:cstheme="minorHAnsi"/>
        </w:rPr>
        <w:t>NK</w:t>
      </w:r>
      <w:r w:rsidRPr="00A54361">
        <w:rPr>
          <w:rFonts w:eastAsia="Times New Roman" w:cstheme="minorHAnsi"/>
          <w:spacing w:val="2"/>
        </w:rPr>
        <w:t xml:space="preserve"> O</w:t>
      </w:r>
      <w:r w:rsidRPr="00A54361">
        <w:rPr>
          <w:rFonts w:eastAsia="Times New Roman" w:cstheme="minorHAnsi"/>
        </w:rPr>
        <w:t>F</w:t>
      </w:r>
      <w:r w:rsidRPr="00A54361">
        <w:rPr>
          <w:rFonts w:eastAsia="Times New Roman" w:cstheme="minorHAnsi"/>
          <w:spacing w:val="6"/>
        </w:rPr>
        <w:t xml:space="preserve"> </w:t>
      </w:r>
      <w:r w:rsidRPr="00A54361">
        <w:rPr>
          <w:rFonts w:eastAsia="Times New Roman" w:cstheme="minorHAnsi"/>
        </w:rPr>
        <w:t>I</w:t>
      </w:r>
      <w:r w:rsidRPr="00A54361">
        <w:rPr>
          <w:rFonts w:eastAsia="Times New Roman" w:cstheme="minorHAnsi"/>
          <w:spacing w:val="-1"/>
        </w:rPr>
        <w:t>N</w:t>
      </w:r>
      <w:r w:rsidRPr="00A54361">
        <w:rPr>
          <w:rFonts w:eastAsia="Times New Roman" w:cstheme="minorHAnsi"/>
          <w:spacing w:val="2"/>
        </w:rPr>
        <w:t>D</w:t>
      </w:r>
      <w:r w:rsidRPr="00A54361">
        <w:rPr>
          <w:rFonts w:eastAsia="Times New Roman" w:cstheme="minorHAnsi"/>
          <w:spacing w:val="-3"/>
        </w:rPr>
        <w:t>I</w:t>
      </w:r>
      <w:r w:rsidRPr="00A54361">
        <w:rPr>
          <w:rFonts w:eastAsia="Times New Roman" w:cstheme="minorHAnsi"/>
        </w:rPr>
        <w:t>A</w:t>
      </w:r>
      <w:r w:rsidRPr="00A54361">
        <w:rPr>
          <w:rFonts w:eastAsia="Times New Roman" w:cstheme="minorHAnsi"/>
          <w:spacing w:val="2"/>
        </w:rPr>
        <w:t xml:space="preserve"> </w:t>
      </w:r>
      <w:r w:rsidRPr="00A54361">
        <w:rPr>
          <w:rFonts w:eastAsia="Times New Roman" w:cstheme="minorHAnsi"/>
        </w:rPr>
        <w:t>to</w:t>
      </w:r>
      <w:r w:rsidRPr="00A54361">
        <w:rPr>
          <w:rFonts w:eastAsia="Times New Roman" w:cstheme="minorHAnsi"/>
          <w:spacing w:val="3"/>
        </w:rPr>
        <w:t xml:space="preserve"> </w:t>
      </w:r>
      <w:r w:rsidRPr="00A54361">
        <w:rPr>
          <w:rFonts w:eastAsia="Times New Roman" w:cstheme="minorHAnsi"/>
          <w:spacing w:val="2"/>
        </w:rPr>
        <w:t>d</w:t>
      </w:r>
      <w:r w:rsidRPr="00A54361">
        <w:rPr>
          <w:rFonts w:eastAsia="Times New Roman" w:cstheme="minorHAnsi"/>
          <w:spacing w:val="-1"/>
        </w:rPr>
        <w:t>ea</w:t>
      </w:r>
      <w:r w:rsidRPr="00A54361">
        <w:rPr>
          <w:rFonts w:eastAsia="Times New Roman" w:cstheme="minorHAnsi"/>
        </w:rPr>
        <w:t>l</w:t>
      </w:r>
      <w:r w:rsidRPr="00A54361">
        <w:rPr>
          <w:rFonts w:eastAsia="Times New Roman" w:cstheme="minorHAnsi"/>
          <w:spacing w:val="5"/>
        </w:rPr>
        <w:t xml:space="preserve"> </w:t>
      </w:r>
      <w:r w:rsidRPr="00A54361">
        <w:rPr>
          <w:rFonts w:eastAsia="Times New Roman" w:cstheme="minorHAnsi"/>
        </w:rPr>
        <w:t>with</w:t>
      </w:r>
      <w:r w:rsidRPr="00A54361">
        <w:rPr>
          <w:rFonts w:eastAsia="Times New Roman" w:cstheme="minorHAnsi"/>
          <w:spacing w:val="3"/>
        </w:rPr>
        <w:t xml:space="preserve"> </w:t>
      </w:r>
      <w:r w:rsidRPr="00A54361">
        <w:rPr>
          <w:rFonts w:eastAsia="Times New Roman" w:cstheme="minorHAnsi"/>
          <w:spacing w:val="2"/>
        </w:rPr>
        <w:t>A</w:t>
      </w:r>
      <w:r w:rsidRPr="00A54361">
        <w:rPr>
          <w:rFonts w:eastAsia="Times New Roman" w:cstheme="minorHAnsi"/>
          <w:spacing w:val="-2"/>
        </w:rPr>
        <w:t>g</w:t>
      </w:r>
      <w:r w:rsidRPr="00A54361">
        <w:rPr>
          <w:rFonts w:eastAsia="Times New Roman" w:cstheme="minorHAnsi"/>
          <w:spacing w:val="-1"/>
        </w:rPr>
        <w:t>e</w:t>
      </w:r>
      <w:r w:rsidRPr="00A54361">
        <w:rPr>
          <w:rFonts w:eastAsia="Times New Roman" w:cstheme="minorHAnsi"/>
          <w:spacing w:val="2"/>
        </w:rPr>
        <w:t>n</w:t>
      </w:r>
      <w:r w:rsidRPr="00A54361">
        <w:rPr>
          <w:rFonts w:eastAsia="Times New Roman" w:cstheme="minorHAnsi"/>
          <w:spacing w:val="-1"/>
        </w:rPr>
        <w:t>c</w:t>
      </w:r>
      <w:r w:rsidRPr="00A54361">
        <w:rPr>
          <w:rFonts w:eastAsia="Times New Roman" w:cstheme="minorHAnsi"/>
        </w:rPr>
        <w:t>ies</w:t>
      </w:r>
      <w:r w:rsidRPr="00A54361">
        <w:rPr>
          <w:rFonts w:eastAsia="Times New Roman" w:cstheme="minorHAnsi"/>
          <w:spacing w:val="2"/>
        </w:rPr>
        <w:t xml:space="preserve"> </w:t>
      </w:r>
      <w:r w:rsidRPr="00A54361">
        <w:rPr>
          <w:rFonts w:eastAsia="Times New Roman" w:cstheme="minorHAnsi"/>
        </w:rPr>
        <w:t>who</w:t>
      </w:r>
      <w:r w:rsidRPr="00A54361">
        <w:rPr>
          <w:rFonts w:eastAsia="Times New Roman" w:cstheme="minorHAnsi"/>
          <w:spacing w:val="4"/>
        </w:rPr>
        <w:t xml:space="preserve"> </w:t>
      </w:r>
      <w:r w:rsidRPr="00A54361">
        <w:rPr>
          <w:rFonts w:eastAsia="Times New Roman" w:cstheme="minorHAnsi"/>
          <w:spacing w:val="-1"/>
        </w:rPr>
        <w:t>c</w:t>
      </w:r>
      <w:r w:rsidRPr="00A54361">
        <w:rPr>
          <w:rFonts w:eastAsia="Times New Roman" w:cstheme="minorHAnsi"/>
        </w:rPr>
        <w:t>om</w:t>
      </w:r>
      <w:r w:rsidRPr="00A54361">
        <w:rPr>
          <w:rFonts w:eastAsia="Times New Roman" w:cstheme="minorHAnsi"/>
          <w:spacing w:val="1"/>
        </w:rPr>
        <w:t>m</w:t>
      </w:r>
      <w:r w:rsidRPr="00A54361">
        <w:rPr>
          <w:rFonts w:eastAsia="Times New Roman" w:cstheme="minorHAnsi"/>
        </w:rPr>
        <w:t>it</w:t>
      </w:r>
      <w:r w:rsidRPr="00A54361">
        <w:rPr>
          <w:rFonts w:eastAsia="Times New Roman" w:cstheme="minorHAnsi"/>
          <w:spacing w:val="3"/>
        </w:rPr>
        <w:t xml:space="preserve"> </w:t>
      </w:r>
      <w:r w:rsidRPr="00A54361">
        <w:rPr>
          <w:rFonts w:eastAsia="Times New Roman" w:cstheme="minorHAnsi"/>
        </w:rPr>
        <w:t>d</w:t>
      </w:r>
      <w:r w:rsidRPr="00A54361">
        <w:rPr>
          <w:rFonts w:eastAsia="Times New Roman" w:cstheme="minorHAnsi"/>
          <w:spacing w:val="-1"/>
        </w:rPr>
        <w:t>ece</w:t>
      </w:r>
      <w:r w:rsidRPr="00A54361">
        <w:rPr>
          <w:rFonts w:eastAsia="Times New Roman" w:cstheme="minorHAnsi"/>
        </w:rPr>
        <w:t>pt</w:t>
      </w:r>
      <w:r w:rsidRPr="00A54361">
        <w:rPr>
          <w:rFonts w:eastAsia="Times New Roman" w:cstheme="minorHAnsi"/>
          <w:spacing w:val="3"/>
        </w:rPr>
        <w:t>i</w:t>
      </w:r>
      <w:r w:rsidRPr="00A54361">
        <w:rPr>
          <w:rFonts w:eastAsia="Times New Roman" w:cstheme="minorHAnsi"/>
        </w:rPr>
        <w:t>on,</w:t>
      </w:r>
      <w:r w:rsidRPr="00A54361">
        <w:rPr>
          <w:rFonts w:eastAsia="Times New Roman" w:cstheme="minorHAnsi"/>
          <w:spacing w:val="3"/>
        </w:rPr>
        <w:t xml:space="preserve"> </w:t>
      </w:r>
      <w:r w:rsidRPr="00A54361">
        <w:rPr>
          <w:rFonts w:eastAsia="Times New Roman" w:cstheme="minorHAnsi"/>
        </w:rPr>
        <w:t>f</w:t>
      </w:r>
      <w:r w:rsidRPr="00A54361">
        <w:rPr>
          <w:rFonts w:eastAsia="Times New Roman" w:cstheme="minorHAnsi"/>
          <w:spacing w:val="-1"/>
        </w:rPr>
        <w:t>ra</w:t>
      </w:r>
      <w:r w:rsidRPr="00A54361">
        <w:rPr>
          <w:rFonts w:eastAsia="Times New Roman" w:cstheme="minorHAnsi"/>
        </w:rPr>
        <w:t>ud</w:t>
      </w:r>
      <w:r w:rsidRPr="00A54361">
        <w:rPr>
          <w:rFonts w:eastAsia="Times New Roman" w:cstheme="minorHAnsi"/>
          <w:spacing w:val="5"/>
        </w:rPr>
        <w:t xml:space="preserve"> </w:t>
      </w:r>
      <w:r w:rsidRPr="00A54361">
        <w:rPr>
          <w:rFonts w:eastAsia="Times New Roman" w:cstheme="minorHAnsi"/>
        </w:rPr>
        <w:t>or</w:t>
      </w:r>
      <w:r w:rsidRPr="00A54361">
        <w:rPr>
          <w:rFonts w:eastAsia="Times New Roman" w:cstheme="minorHAnsi"/>
          <w:spacing w:val="2"/>
        </w:rPr>
        <w:t xml:space="preserve"> </w:t>
      </w:r>
      <w:r w:rsidRPr="00A54361">
        <w:rPr>
          <w:rFonts w:eastAsia="Times New Roman" w:cstheme="minorHAnsi"/>
        </w:rPr>
        <w:t>ot</w:t>
      </w:r>
      <w:r w:rsidRPr="00A54361">
        <w:rPr>
          <w:rFonts w:eastAsia="Times New Roman" w:cstheme="minorHAnsi"/>
          <w:spacing w:val="3"/>
        </w:rPr>
        <w:t>h</w:t>
      </w:r>
      <w:r w:rsidRPr="00A54361">
        <w:rPr>
          <w:rFonts w:eastAsia="Times New Roman" w:cstheme="minorHAnsi"/>
          <w:spacing w:val="-1"/>
        </w:rPr>
        <w:t>e</w:t>
      </w:r>
      <w:r w:rsidRPr="00A54361">
        <w:rPr>
          <w:rFonts w:eastAsia="Times New Roman" w:cstheme="minorHAnsi"/>
        </w:rPr>
        <w:t>r m</w:t>
      </w:r>
      <w:r w:rsidRPr="00A54361">
        <w:rPr>
          <w:rFonts w:eastAsia="Times New Roman" w:cstheme="minorHAnsi"/>
          <w:spacing w:val="1"/>
        </w:rPr>
        <w:t>i</w:t>
      </w:r>
      <w:r w:rsidRPr="00A54361">
        <w:rPr>
          <w:rFonts w:eastAsia="Times New Roman" w:cstheme="minorHAnsi"/>
        </w:rPr>
        <w:t>s</w:t>
      </w:r>
      <w:r w:rsidRPr="00A54361">
        <w:rPr>
          <w:rFonts w:eastAsia="Times New Roman" w:cstheme="minorHAnsi"/>
          <w:spacing w:val="-1"/>
        </w:rPr>
        <w:t>c</w:t>
      </w:r>
      <w:r w:rsidRPr="00A54361">
        <w:rPr>
          <w:rFonts w:eastAsia="Times New Roman" w:cstheme="minorHAnsi"/>
        </w:rPr>
        <w:t>ondu</w:t>
      </w:r>
      <w:r w:rsidRPr="00A54361">
        <w:rPr>
          <w:rFonts w:eastAsia="Times New Roman" w:cstheme="minorHAnsi"/>
          <w:spacing w:val="-1"/>
        </w:rPr>
        <w:t>c</w:t>
      </w:r>
      <w:r w:rsidRPr="00A54361">
        <w:rPr>
          <w:rFonts w:eastAsia="Times New Roman" w:cstheme="minorHAnsi"/>
        </w:rPr>
        <w:t>t</w:t>
      </w:r>
      <w:r w:rsidRPr="00A54361">
        <w:rPr>
          <w:rFonts w:eastAsia="Times New Roman" w:cstheme="minorHAnsi"/>
          <w:spacing w:val="2"/>
        </w:rPr>
        <w:t xml:space="preserve"> </w:t>
      </w:r>
      <w:r w:rsidRPr="00A54361">
        <w:rPr>
          <w:rFonts w:eastAsia="Times New Roman" w:cstheme="minorHAnsi"/>
        </w:rPr>
        <w:t>in</w:t>
      </w:r>
      <w:r w:rsidRPr="00A54361">
        <w:rPr>
          <w:rFonts w:eastAsia="Times New Roman" w:cstheme="minorHAnsi"/>
          <w:spacing w:val="2"/>
        </w:rPr>
        <w:t xml:space="preserve"> </w:t>
      </w:r>
      <w:r w:rsidRPr="00A54361">
        <w:rPr>
          <w:rFonts w:eastAsia="Times New Roman" w:cstheme="minorHAnsi"/>
        </w:rPr>
        <w:t>the</w:t>
      </w:r>
      <w:r w:rsidRPr="00A54361">
        <w:rPr>
          <w:rFonts w:eastAsia="Times New Roman" w:cstheme="minorHAnsi"/>
          <w:spacing w:val="1"/>
        </w:rPr>
        <w:t xml:space="preserve"> </w:t>
      </w:r>
      <w:r w:rsidRPr="00A54361">
        <w:rPr>
          <w:rFonts w:eastAsia="Times New Roman" w:cstheme="minorHAnsi"/>
          <w:spacing w:val="-1"/>
        </w:rPr>
        <w:t>e</w:t>
      </w:r>
      <w:r w:rsidRPr="00A54361">
        <w:rPr>
          <w:rFonts w:eastAsia="Times New Roman" w:cstheme="minorHAnsi"/>
          <w:spacing w:val="2"/>
        </w:rPr>
        <w:t>x</w:t>
      </w:r>
      <w:r w:rsidRPr="00A54361">
        <w:rPr>
          <w:rFonts w:eastAsia="Times New Roman" w:cstheme="minorHAnsi"/>
          <w:spacing w:val="-1"/>
        </w:rPr>
        <w:t>ec</w:t>
      </w:r>
      <w:r w:rsidRPr="00A54361">
        <w:rPr>
          <w:rFonts w:eastAsia="Times New Roman" w:cstheme="minorHAnsi"/>
        </w:rPr>
        <w:t>ut</w:t>
      </w:r>
      <w:r w:rsidRPr="00A54361">
        <w:rPr>
          <w:rFonts w:eastAsia="Times New Roman" w:cstheme="minorHAnsi"/>
          <w:spacing w:val="1"/>
        </w:rPr>
        <w:t>i</w:t>
      </w:r>
      <w:r w:rsidRPr="00A54361">
        <w:rPr>
          <w:rFonts w:eastAsia="Times New Roman" w:cstheme="minorHAnsi"/>
        </w:rPr>
        <w:t>on</w:t>
      </w:r>
      <w:r w:rsidRPr="00A54361">
        <w:rPr>
          <w:rFonts w:eastAsia="Times New Roman" w:cstheme="minorHAnsi"/>
          <w:spacing w:val="1"/>
        </w:rPr>
        <w:t xml:space="preserve"> </w:t>
      </w:r>
      <w:r w:rsidRPr="00A54361">
        <w:rPr>
          <w:rFonts w:eastAsia="Times New Roman" w:cstheme="minorHAnsi"/>
        </w:rPr>
        <w:t xml:space="preserve">of </w:t>
      </w:r>
      <w:r w:rsidRPr="00A54361">
        <w:rPr>
          <w:rFonts w:eastAsia="Times New Roman" w:cstheme="minorHAnsi"/>
          <w:spacing w:val="-1"/>
        </w:rPr>
        <w:t>c</w:t>
      </w:r>
      <w:r w:rsidRPr="00A54361">
        <w:rPr>
          <w:rFonts w:eastAsia="Times New Roman" w:cstheme="minorHAnsi"/>
        </w:rPr>
        <w:t>ontr</w:t>
      </w:r>
      <w:r w:rsidRPr="00A54361">
        <w:rPr>
          <w:rFonts w:eastAsia="Times New Roman" w:cstheme="minorHAnsi"/>
          <w:spacing w:val="-1"/>
        </w:rPr>
        <w:t>ac</w:t>
      </w:r>
      <w:r w:rsidRPr="00A54361">
        <w:rPr>
          <w:rFonts w:eastAsia="Times New Roman" w:cstheme="minorHAnsi"/>
        </w:rPr>
        <w:t>ts</w:t>
      </w:r>
      <w:r w:rsidRPr="00A54361">
        <w:rPr>
          <w:rFonts w:eastAsia="Times New Roman" w:cstheme="minorHAnsi"/>
          <w:spacing w:val="2"/>
        </w:rPr>
        <w:t xml:space="preserve"> </w:t>
      </w:r>
      <w:r w:rsidRPr="00A54361">
        <w:rPr>
          <w:rFonts w:eastAsia="Times New Roman" w:cstheme="minorHAnsi"/>
          <w:spacing w:val="1"/>
        </w:rPr>
        <w:t>a</w:t>
      </w:r>
      <w:r w:rsidRPr="00A54361">
        <w:rPr>
          <w:rFonts w:eastAsia="Times New Roman" w:cstheme="minorHAnsi"/>
        </w:rPr>
        <w:t>w</w:t>
      </w:r>
      <w:r w:rsidRPr="00A54361">
        <w:rPr>
          <w:rFonts w:eastAsia="Times New Roman" w:cstheme="minorHAnsi"/>
          <w:spacing w:val="-1"/>
        </w:rPr>
        <w:t>a</w:t>
      </w:r>
      <w:r w:rsidRPr="00A54361">
        <w:rPr>
          <w:rFonts w:eastAsia="Times New Roman" w:cstheme="minorHAnsi"/>
        </w:rPr>
        <w:t>r</w:t>
      </w:r>
      <w:r w:rsidRPr="00A54361">
        <w:rPr>
          <w:rFonts w:eastAsia="Times New Roman" w:cstheme="minorHAnsi"/>
          <w:spacing w:val="1"/>
        </w:rPr>
        <w:t>d</w:t>
      </w:r>
      <w:r w:rsidRPr="00A54361">
        <w:rPr>
          <w:rFonts w:eastAsia="Times New Roman" w:cstheme="minorHAnsi"/>
          <w:spacing w:val="-1"/>
        </w:rPr>
        <w:t>e</w:t>
      </w:r>
      <w:r w:rsidRPr="00A54361">
        <w:rPr>
          <w:rFonts w:eastAsia="Times New Roman" w:cstheme="minorHAnsi"/>
        </w:rPr>
        <w:t>d</w:t>
      </w:r>
      <w:r w:rsidRPr="00A54361">
        <w:rPr>
          <w:rFonts w:eastAsia="Times New Roman" w:cstheme="minorHAnsi"/>
          <w:spacing w:val="3"/>
        </w:rPr>
        <w:t xml:space="preserve"> </w:t>
      </w:r>
      <w:r w:rsidRPr="00A54361">
        <w:rPr>
          <w:rFonts w:eastAsia="Times New Roman" w:cstheme="minorHAnsi"/>
        </w:rPr>
        <w:t>/</w:t>
      </w:r>
      <w:r w:rsidRPr="00A54361">
        <w:rPr>
          <w:rFonts w:eastAsia="Times New Roman" w:cstheme="minorHAnsi"/>
          <w:spacing w:val="2"/>
        </w:rPr>
        <w:t xml:space="preserve"> </w:t>
      </w:r>
      <w:r w:rsidRPr="00A54361">
        <w:rPr>
          <w:rFonts w:eastAsia="Times New Roman" w:cstheme="minorHAnsi"/>
        </w:rPr>
        <w:t>ord</w:t>
      </w:r>
      <w:r w:rsidRPr="00A54361">
        <w:rPr>
          <w:rFonts w:eastAsia="Times New Roman" w:cstheme="minorHAnsi"/>
          <w:spacing w:val="-2"/>
        </w:rPr>
        <w:t>e</w:t>
      </w:r>
      <w:r w:rsidRPr="00A54361">
        <w:rPr>
          <w:rFonts w:eastAsia="Times New Roman" w:cstheme="minorHAnsi"/>
        </w:rPr>
        <w:t>rs</w:t>
      </w:r>
      <w:r w:rsidRPr="00A54361">
        <w:rPr>
          <w:rFonts w:eastAsia="Times New Roman" w:cstheme="minorHAnsi"/>
          <w:spacing w:val="1"/>
        </w:rPr>
        <w:t xml:space="preserve"> </w:t>
      </w:r>
      <w:r w:rsidRPr="00A54361">
        <w:rPr>
          <w:rFonts w:eastAsia="Times New Roman" w:cstheme="minorHAnsi"/>
        </w:rPr>
        <w:t>is</w:t>
      </w:r>
      <w:r w:rsidRPr="00A54361">
        <w:rPr>
          <w:rFonts w:eastAsia="Times New Roman" w:cstheme="minorHAnsi"/>
          <w:spacing w:val="1"/>
        </w:rPr>
        <w:t>s</w:t>
      </w:r>
      <w:r w:rsidRPr="00A54361">
        <w:rPr>
          <w:rFonts w:eastAsia="Times New Roman" w:cstheme="minorHAnsi"/>
        </w:rPr>
        <w:t>u</w:t>
      </w:r>
      <w:r w:rsidRPr="00A54361">
        <w:rPr>
          <w:rFonts w:eastAsia="Times New Roman" w:cstheme="minorHAnsi"/>
          <w:spacing w:val="-1"/>
        </w:rPr>
        <w:t>e</w:t>
      </w:r>
      <w:r w:rsidRPr="00A54361">
        <w:rPr>
          <w:rFonts w:eastAsia="Times New Roman" w:cstheme="minorHAnsi"/>
        </w:rPr>
        <w:t>d</w:t>
      </w:r>
      <w:r w:rsidRPr="00A54361">
        <w:rPr>
          <w:rFonts w:eastAsia="Times New Roman" w:cstheme="minorHAnsi"/>
          <w:spacing w:val="1"/>
        </w:rPr>
        <w:t xml:space="preserve"> </w:t>
      </w:r>
      <w:r w:rsidRPr="00A54361">
        <w:rPr>
          <w:rFonts w:eastAsia="Times New Roman" w:cstheme="minorHAnsi"/>
        </w:rPr>
        <w:t>to</w:t>
      </w:r>
      <w:r w:rsidRPr="00A54361">
        <w:rPr>
          <w:rFonts w:eastAsia="Times New Roman" w:cstheme="minorHAnsi"/>
          <w:spacing w:val="2"/>
        </w:rPr>
        <w:t xml:space="preserve"> </w:t>
      </w:r>
      <w:r w:rsidRPr="00A54361">
        <w:rPr>
          <w:rFonts w:eastAsia="Times New Roman" w:cstheme="minorHAnsi"/>
        </w:rPr>
        <w:t>them.</w:t>
      </w:r>
      <w:r w:rsidRPr="00A54361">
        <w:rPr>
          <w:rFonts w:eastAsia="Times New Roman" w:cstheme="minorHAnsi"/>
          <w:spacing w:val="4"/>
        </w:rPr>
        <w:t xml:space="preserve"> </w:t>
      </w:r>
      <w:r w:rsidRPr="00A54361">
        <w:rPr>
          <w:rFonts w:eastAsia="Times New Roman" w:cstheme="minorHAnsi"/>
          <w:spacing w:val="-3"/>
        </w:rPr>
        <w:t>I</w:t>
      </w:r>
      <w:r w:rsidRPr="00A54361">
        <w:rPr>
          <w:rFonts w:eastAsia="Times New Roman" w:cstheme="minorHAnsi"/>
        </w:rPr>
        <w:t>n</w:t>
      </w:r>
      <w:r w:rsidRPr="00A54361">
        <w:rPr>
          <w:rFonts w:eastAsia="Times New Roman" w:cstheme="minorHAnsi"/>
          <w:spacing w:val="1"/>
        </w:rPr>
        <w:t xml:space="preserve"> </w:t>
      </w:r>
      <w:r w:rsidRPr="00A54361">
        <w:rPr>
          <w:rFonts w:eastAsia="Times New Roman" w:cstheme="minorHAnsi"/>
          <w:spacing w:val="2"/>
        </w:rPr>
        <w:t>o</w:t>
      </w:r>
      <w:r w:rsidRPr="00A54361">
        <w:rPr>
          <w:rFonts w:eastAsia="Times New Roman" w:cstheme="minorHAnsi"/>
        </w:rPr>
        <w:t>rd</w:t>
      </w:r>
      <w:r w:rsidRPr="00A54361">
        <w:rPr>
          <w:rFonts w:eastAsia="Times New Roman" w:cstheme="minorHAnsi"/>
          <w:spacing w:val="-2"/>
        </w:rPr>
        <w:t>e</w:t>
      </w:r>
      <w:r w:rsidRPr="00A54361">
        <w:rPr>
          <w:rFonts w:eastAsia="Times New Roman" w:cstheme="minorHAnsi"/>
        </w:rPr>
        <w:t>r to</w:t>
      </w:r>
      <w:r w:rsidRPr="00A54361">
        <w:rPr>
          <w:rFonts w:eastAsia="Times New Roman" w:cstheme="minorHAnsi"/>
          <w:spacing w:val="4"/>
        </w:rPr>
        <w:t xml:space="preserve"> </w:t>
      </w:r>
      <w:r w:rsidRPr="00A54361">
        <w:rPr>
          <w:rFonts w:eastAsia="Times New Roman" w:cstheme="minorHAnsi"/>
          <w:spacing w:val="-1"/>
        </w:rPr>
        <w:t>e</w:t>
      </w:r>
      <w:r w:rsidRPr="00A54361">
        <w:rPr>
          <w:rFonts w:eastAsia="Times New Roman" w:cstheme="minorHAnsi"/>
        </w:rPr>
        <w:t xml:space="preserve">nsure </w:t>
      </w:r>
      <w:r w:rsidRPr="00A54361">
        <w:rPr>
          <w:rFonts w:eastAsia="Times New Roman" w:cstheme="minorHAnsi"/>
          <w:spacing w:val="-1"/>
        </w:rPr>
        <w:t>c</w:t>
      </w:r>
      <w:r w:rsidRPr="00A54361">
        <w:rPr>
          <w:rFonts w:eastAsia="Times New Roman" w:cstheme="minorHAnsi"/>
        </w:rPr>
        <w:t>omp</w:t>
      </w:r>
      <w:r w:rsidRPr="00A54361">
        <w:rPr>
          <w:rFonts w:eastAsia="Times New Roman" w:cstheme="minorHAnsi"/>
          <w:spacing w:val="1"/>
        </w:rPr>
        <w:t>l</w:t>
      </w:r>
      <w:r w:rsidRPr="00A54361">
        <w:rPr>
          <w:rFonts w:eastAsia="Times New Roman" w:cstheme="minorHAnsi"/>
        </w:rPr>
        <w:t>ian</w:t>
      </w:r>
      <w:r w:rsidRPr="00A54361">
        <w:rPr>
          <w:rFonts w:eastAsia="Times New Roman" w:cstheme="minorHAnsi"/>
          <w:spacing w:val="-1"/>
        </w:rPr>
        <w:t>c</w:t>
      </w:r>
      <w:r w:rsidRPr="00A54361">
        <w:rPr>
          <w:rFonts w:eastAsia="Times New Roman" w:cstheme="minorHAnsi"/>
        </w:rPr>
        <w:t>e</w:t>
      </w:r>
      <w:r w:rsidRPr="00A54361">
        <w:rPr>
          <w:rFonts w:eastAsia="Times New Roman" w:cstheme="minorHAnsi"/>
          <w:spacing w:val="-1"/>
        </w:rPr>
        <w:t xml:space="preserve"> </w:t>
      </w:r>
      <w:r w:rsidRPr="00A54361">
        <w:rPr>
          <w:rFonts w:eastAsia="Times New Roman" w:cstheme="minorHAnsi"/>
        </w:rPr>
        <w:t>with</w:t>
      </w:r>
      <w:r w:rsidRPr="00A54361">
        <w:rPr>
          <w:rFonts w:eastAsia="Times New Roman" w:cstheme="minorHAnsi"/>
          <w:spacing w:val="-2"/>
        </w:rPr>
        <w:t xml:space="preserve"> </w:t>
      </w:r>
      <w:r w:rsidRPr="00A54361">
        <w:rPr>
          <w:rFonts w:eastAsia="Times New Roman" w:cstheme="minorHAnsi"/>
        </w:rPr>
        <w:t>the</w:t>
      </w:r>
      <w:r w:rsidRPr="00A54361">
        <w:rPr>
          <w:rFonts w:eastAsia="Times New Roman" w:cstheme="minorHAnsi"/>
          <w:spacing w:val="-3"/>
        </w:rPr>
        <w:t xml:space="preserve"> </w:t>
      </w:r>
      <w:r w:rsidRPr="00A54361">
        <w:rPr>
          <w:rFonts w:eastAsia="Times New Roman" w:cstheme="minorHAnsi"/>
          <w:spacing w:val="-1"/>
        </w:rPr>
        <w:t>c</w:t>
      </w:r>
      <w:r w:rsidRPr="00A54361">
        <w:rPr>
          <w:rFonts w:eastAsia="Times New Roman" w:cstheme="minorHAnsi"/>
        </w:rPr>
        <w:t>on</w:t>
      </w:r>
      <w:r w:rsidRPr="00A54361">
        <w:rPr>
          <w:rFonts w:eastAsia="Times New Roman" w:cstheme="minorHAnsi"/>
          <w:spacing w:val="2"/>
        </w:rPr>
        <w:t>s</w:t>
      </w:r>
      <w:r w:rsidRPr="00A54361">
        <w:rPr>
          <w:rFonts w:eastAsia="Times New Roman" w:cstheme="minorHAnsi"/>
        </w:rPr>
        <w:t>t</w:t>
      </w:r>
      <w:r w:rsidRPr="00A54361">
        <w:rPr>
          <w:rFonts w:eastAsia="Times New Roman" w:cstheme="minorHAnsi"/>
          <w:spacing w:val="2"/>
        </w:rPr>
        <w:t>i</w:t>
      </w:r>
      <w:r w:rsidRPr="00A54361">
        <w:rPr>
          <w:rFonts w:eastAsia="Times New Roman" w:cstheme="minorHAnsi"/>
        </w:rPr>
        <w:t>tu</w:t>
      </w:r>
      <w:r w:rsidRPr="00A54361">
        <w:rPr>
          <w:rFonts w:eastAsia="Times New Roman" w:cstheme="minorHAnsi"/>
          <w:spacing w:val="1"/>
        </w:rPr>
        <w:t>t</w:t>
      </w:r>
      <w:r w:rsidRPr="00A54361">
        <w:rPr>
          <w:rFonts w:eastAsia="Times New Roman" w:cstheme="minorHAnsi"/>
        </w:rPr>
        <w:t>ional</w:t>
      </w:r>
      <w:r w:rsidRPr="00A54361">
        <w:rPr>
          <w:rFonts w:eastAsia="Times New Roman" w:cstheme="minorHAnsi"/>
          <w:spacing w:val="-2"/>
        </w:rPr>
        <w:t xml:space="preserve"> </w:t>
      </w:r>
      <w:r w:rsidRPr="00A54361">
        <w:rPr>
          <w:rFonts w:eastAsia="Times New Roman" w:cstheme="minorHAnsi"/>
        </w:rPr>
        <w:t>mand</w:t>
      </w:r>
      <w:r w:rsidRPr="00A54361">
        <w:rPr>
          <w:rFonts w:eastAsia="Times New Roman" w:cstheme="minorHAnsi"/>
          <w:spacing w:val="-1"/>
        </w:rPr>
        <w:t>a</w:t>
      </w:r>
      <w:r w:rsidRPr="00A54361">
        <w:rPr>
          <w:rFonts w:eastAsia="Times New Roman" w:cstheme="minorHAnsi"/>
        </w:rPr>
        <w:t>te,</w:t>
      </w:r>
      <w:r w:rsidRPr="00A54361">
        <w:rPr>
          <w:rFonts w:eastAsia="Times New Roman" w:cstheme="minorHAnsi"/>
          <w:spacing w:val="-3"/>
        </w:rPr>
        <w:t xml:space="preserve"> </w:t>
      </w:r>
      <w:r w:rsidRPr="00A54361">
        <w:rPr>
          <w:rFonts w:eastAsia="Times New Roman" w:cstheme="minorHAnsi"/>
        </w:rPr>
        <w:t>it</w:t>
      </w:r>
      <w:r w:rsidRPr="00A54361">
        <w:rPr>
          <w:rFonts w:eastAsia="Times New Roman" w:cstheme="minorHAnsi"/>
          <w:spacing w:val="-2"/>
        </w:rPr>
        <w:t xml:space="preserve"> </w:t>
      </w:r>
      <w:r w:rsidRPr="00A54361">
        <w:rPr>
          <w:rFonts w:eastAsia="Times New Roman" w:cstheme="minorHAnsi"/>
        </w:rPr>
        <w:t>is</w:t>
      </w:r>
      <w:r w:rsidRPr="00A54361">
        <w:rPr>
          <w:rFonts w:eastAsia="Times New Roman" w:cstheme="minorHAnsi"/>
          <w:spacing w:val="-2"/>
        </w:rPr>
        <w:t xml:space="preserve"> </w:t>
      </w:r>
      <w:r w:rsidRPr="00A54361">
        <w:rPr>
          <w:rFonts w:eastAsia="Times New Roman" w:cstheme="minorHAnsi"/>
        </w:rPr>
        <w:t>incumb</w:t>
      </w:r>
      <w:r w:rsidRPr="00A54361">
        <w:rPr>
          <w:rFonts w:eastAsia="Times New Roman" w:cstheme="minorHAnsi"/>
          <w:spacing w:val="-1"/>
        </w:rPr>
        <w:t>e</w:t>
      </w:r>
      <w:r w:rsidRPr="00A54361">
        <w:rPr>
          <w:rFonts w:eastAsia="Times New Roman" w:cstheme="minorHAnsi"/>
        </w:rPr>
        <w:t>nt</w:t>
      </w:r>
      <w:r w:rsidRPr="00A54361">
        <w:rPr>
          <w:rFonts w:eastAsia="Times New Roman" w:cstheme="minorHAnsi"/>
          <w:spacing w:val="-2"/>
        </w:rPr>
        <w:t xml:space="preserve"> </w:t>
      </w:r>
      <w:r w:rsidRPr="00A54361">
        <w:rPr>
          <w:rFonts w:eastAsia="Times New Roman" w:cstheme="minorHAnsi"/>
        </w:rPr>
        <w:t>on</w:t>
      </w:r>
      <w:r w:rsidRPr="00A54361">
        <w:rPr>
          <w:rFonts w:eastAsia="Times New Roman" w:cstheme="minorHAnsi"/>
          <w:spacing w:val="-2"/>
        </w:rPr>
        <w:t xml:space="preserve"> </w:t>
      </w:r>
      <w:r w:rsidRPr="00A54361">
        <w:rPr>
          <w:rFonts w:eastAsia="Times New Roman" w:cstheme="minorHAnsi"/>
        </w:rPr>
        <w:t>CE</w:t>
      </w:r>
      <w:r w:rsidRPr="00A54361">
        <w:rPr>
          <w:rFonts w:eastAsia="Times New Roman" w:cstheme="minorHAnsi"/>
          <w:spacing w:val="-1"/>
        </w:rPr>
        <w:t>N</w:t>
      </w:r>
      <w:r w:rsidRPr="00A54361">
        <w:rPr>
          <w:rFonts w:eastAsia="Times New Roman" w:cstheme="minorHAnsi"/>
        </w:rPr>
        <w:t>TR</w:t>
      </w:r>
      <w:r w:rsidRPr="00A54361">
        <w:rPr>
          <w:rFonts w:eastAsia="Times New Roman" w:cstheme="minorHAnsi"/>
          <w:spacing w:val="2"/>
        </w:rPr>
        <w:t>A</w:t>
      </w:r>
      <w:r w:rsidRPr="00A54361">
        <w:rPr>
          <w:rFonts w:eastAsia="Times New Roman" w:cstheme="minorHAnsi"/>
        </w:rPr>
        <w:t xml:space="preserve">L </w:t>
      </w:r>
      <w:r w:rsidRPr="00A54361">
        <w:rPr>
          <w:rFonts w:eastAsia="Times New Roman" w:cstheme="minorHAnsi"/>
          <w:spacing w:val="-2"/>
        </w:rPr>
        <w:t>B</w:t>
      </w:r>
      <w:r w:rsidRPr="00A54361">
        <w:rPr>
          <w:rFonts w:eastAsia="Times New Roman" w:cstheme="minorHAnsi"/>
        </w:rPr>
        <w:t>A</w:t>
      </w:r>
      <w:r w:rsidRPr="00A54361">
        <w:rPr>
          <w:rFonts w:eastAsia="Times New Roman" w:cstheme="minorHAnsi"/>
          <w:spacing w:val="-1"/>
        </w:rPr>
        <w:t>N</w:t>
      </w:r>
      <w:r w:rsidRPr="00A54361">
        <w:rPr>
          <w:rFonts w:eastAsia="Times New Roman" w:cstheme="minorHAnsi"/>
        </w:rPr>
        <w:t>K</w:t>
      </w:r>
      <w:r w:rsidRPr="00A54361">
        <w:rPr>
          <w:rFonts w:eastAsia="Times New Roman" w:cstheme="minorHAnsi"/>
          <w:spacing w:val="-1"/>
        </w:rPr>
        <w:t xml:space="preserve"> </w:t>
      </w:r>
      <w:r w:rsidRPr="00A54361">
        <w:rPr>
          <w:rFonts w:eastAsia="Times New Roman" w:cstheme="minorHAnsi"/>
          <w:spacing w:val="2"/>
        </w:rPr>
        <w:t>O</w:t>
      </w:r>
      <w:r w:rsidRPr="00A54361">
        <w:rPr>
          <w:rFonts w:eastAsia="Times New Roman" w:cstheme="minorHAnsi"/>
        </w:rPr>
        <w:t>F</w:t>
      </w:r>
      <w:r w:rsidRPr="00A54361">
        <w:rPr>
          <w:rFonts w:eastAsia="Times New Roman" w:cstheme="minorHAnsi"/>
          <w:spacing w:val="-1"/>
        </w:rPr>
        <w:t xml:space="preserve"> </w:t>
      </w:r>
      <w:r w:rsidRPr="00A54361">
        <w:rPr>
          <w:rFonts w:eastAsia="Times New Roman" w:cstheme="minorHAnsi"/>
          <w:spacing w:val="-3"/>
        </w:rPr>
        <w:t>I</w:t>
      </w:r>
      <w:r w:rsidRPr="00A54361">
        <w:rPr>
          <w:rFonts w:eastAsia="Times New Roman" w:cstheme="minorHAnsi"/>
          <w:spacing w:val="2"/>
        </w:rPr>
        <w:t>ND</w:t>
      </w:r>
      <w:r w:rsidRPr="00A54361">
        <w:rPr>
          <w:rFonts w:eastAsia="Times New Roman" w:cstheme="minorHAnsi"/>
          <w:spacing w:val="-3"/>
        </w:rPr>
        <w:t>I</w:t>
      </w:r>
      <w:r w:rsidRPr="00A54361">
        <w:rPr>
          <w:rFonts w:eastAsia="Times New Roman" w:cstheme="minorHAnsi"/>
        </w:rPr>
        <w:t>A to obs</w:t>
      </w:r>
      <w:r w:rsidRPr="00A54361">
        <w:rPr>
          <w:rFonts w:eastAsia="Times New Roman" w:cstheme="minorHAnsi"/>
          <w:spacing w:val="-1"/>
        </w:rPr>
        <w:t>e</w:t>
      </w:r>
      <w:r w:rsidRPr="00A54361">
        <w:rPr>
          <w:rFonts w:eastAsia="Times New Roman" w:cstheme="minorHAnsi"/>
        </w:rPr>
        <w:t>rve</w:t>
      </w:r>
      <w:r w:rsidRPr="00A54361">
        <w:rPr>
          <w:rFonts w:eastAsia="Times New Roman" w:cstheme="minorHAnsi"/>
          <w:spacing w:val="-2"/>
        </w:rPr>
        <w:t xml:space="preserve"> </w:t>
      </w:r>
      <w:r w:rsidRPr="00A54361">
        <w:rPr>
          <w:rFonts w:eastAsia="Times New Roman" w:cstheme="minorHAnsi"/>
        </w:rPr>
        <w:t>prin</w:t>
      </w:r>
      <w:r w:rsidRPr="00A54361">
        <w:rPr>
          <w:rFonts w:eastAsia="Times New Roman" w:cstheme="minorHAnsi"/>
          <w:spacing w:val="-1"/>
        </w:rPr>
        <w:t>c</w:t>
      </w:r>
      <w:r w:rsidRPr="00A54361">
        <w:rPr>
          <w:rFonts w:eastAsia="Times New Roman" w:cstheme="minorHAnsi"/>
        </w:rPr>
        <w:t>ip</w:t>
      </w:r>
      <w:r w:rsidRPr="00A54361">
        <w:rPr>
          <w:rFonts w:eastAsia="Times New Roman" w:cstheme="minorHAnsi"/>
          <w:spacing w:val="1"/>
        </w:rPr>
        <w:t>l</w:t>
      </w:r>
      <w:r w:rsidRPr="00A54361">
        <w:rPr>
          <w:rFonts w:eastAsia="Times New Roman" w:cstheme="minorHAnsi"/>
          <w:spacing w:val="-1"/>
        </w:rPr>
        <w:t>e</w:t>
      </w:r>
      <w:r w:rsidRPr="00A54361">
        <w:rPr>
          <w:rFonts w:eastAsia="Times New Roman" w:cstheme="minorHAnsi"/>
        </w:rPr>
        <w:t xml:space="preserve">s of </w:t>
      </w:r>
      <w:r w:rsidRPr="00A54361">
        <w:rPr>
          <w:rFonts w:eastAsia="Times New Roman" w:cstheme="minorHAnsi"/>
          <w:spacing w:val="2"/>
        </w:rPr>
        <w:t>n</w:t>
      </w:r>
      <w:r w:rsidRPr="00A54361">
        <w:rPr>
          <w:rFonts w:eastAsia="Times New Roman" w:cstheme="minorHAnsi"/>
          <w:spacing w:val="-1"/>
        </w:rPr>
        <w:t>a</w:t>
      </w:r>
      <w:r w:rsidRPr="00A54361">
        <w:rPr>
          <w:rFonts w:eastAsia="Times New Roman" w:cstheme="minorHAnsi"/>
        </w:rPr>
        <w:t>tur</w:t>
      </w:r>
      <w:r w:rsidRPr="00A54361">
        <w:rPr>
          <w:rFonts w:eastAsia="Times New Roman" w:cstheme="minorHAnsi"/>
          <w:spacing w:val="-1"/>
        </w:rPr>
        <w:t>a</w:t>
      </w:r>
      <w:r w:rsidRPr="00A54361">
        <w:rPr>
          <w:rFonts w:eastAsia="Times New Roman" w:cstheme="minorHAnsi"/>
        </w:rPr>
        <w:t xml:space="preserve">l </w:t>
      </w:r>
      <w:r w:rsidRPr="00A54361">
        <w:rPr>
          <w:rFonts w:eastAsia="Times New Roman" w:cstheme="minorHAnsi"/>
          <w:spacing w:val="1"/>
        </w:rPr>
        <w:t>j</w:t>
      </w:r>
      <w:r w:rsidRPr="00A54361">
        <w:rPr>
          <w:rFonts w:eastAsia="Times New Roman" w:cstheme="minorHAnsi"/>
        </w:rPr>
        <w:t>ust</w:t>
      </w:r>
      <w:r w:rsidRPr="00A54361">
        <w:rPr>
          <w:rFonts w:eastAsia="Times New Roman" w:cstheme="minorHAnsi"/>
          <w:spacing w:val="1"/>
        </w:rPr>
        <w:t>i</w:t>
      </w:r>
      <w:r w:rsidRPr="00A54361">
        <w:rPr>
          <w:rFonts w:eastAsia="Times New Roman" w:cstheme="minorHAnsi"/>
          <w:spacing w:val="-1"/>
        </w:rPr>
        <w:t>c</w:t>
      </w:r>
      <w:r w:rsidRPr="00A54361">
        <w:rPr>
          <w:rFonts w:eastAsia="Times New Roman" w:cstheme="minorHAnsi"/>
        </w:rPr>
        <w:t>e</w:t>
      </w:r>
      <w:r w:rsidRPr="00A54361">
        <w:rPr>
          <w:rFonts w:eastAsia="Times New Roman" w:cstheme="minorHAnsi"/>
          <w:spacing w:val="-1"/>
        </w:rPr>
        <w:t xml:space="preserve"> </w:t>
      </w:r>
      <w:r w:rsidRPr="00A54361">
        <w:rPr>
          <w:rFonts w:eastAsia="Times New Roman" w:cstheme="minorHAnsi"/>
        </w:rPr>
        <w:t>b</w:t>
      </w:r>
      <w:r w:rsidRPr="00A54361">
        <w:rPr>
          <w:rFonts w:eastAsia="Times New Roman" w:cstheme="minorHAnsi"/>
          <w:spacing w:val="-1"/>
        </w:rPr>
        <w:t>e</w:t>
      </w:r>
      <w:r w:rsidRPr="00A54361">
        <w:rPr>
          <w:rFonts w:eastAsia="Times New Roman" w:cstheme="minorHAnsi"/>
        </w:rPr>
        <w:t>f</w:t>
      </w:r>
      <w:r w:rsidRPr="00A54361">
        <w:rPr>
          <w:rFonts w:eastAsia="Times New Roman" w:cstheme="minorHAnsi"/>
          <w:spacing w:val="1"/>
        </w:rPr>
        <w:t>o</w:t>
      </w:r>
      <w:r w:rsidRPr="00A54361">
        <w:rPr>
          <w:rFonts w:eastAsia="Times New Roman" w:cstheme="minorHAnsi"/>
        </w:rPr>
        <w:t>re</w:t>
      </w:r>
      <w:r w:rsidRPr="00A54361">
        <w:rPr>
          <w:rFonts w:eastAsia="Times New Roman" w:cstheme="minorHAnsi"/>
          <w:spacing w:val="-2"/>
        </w:rPr>
        <w:t xml:space="preserve"> </w:t>
      </w:r>
      <w:r w:rsidRPr="00A54361">
        <w:rPr>
          <w:rFonts w:eastAsia="Times New Roman" w:cstheme="minorHAnsi"/>
        </w:rPr>
        <w:t>b</w:t>
      </w:r>
      <w:r w:rsidRPr="00A54361">
        <w:rPr>
          <w:rFonts w:eastAsia="Times New Roman" w:cstheme="minorHAnsi"/>
          <w:spacing w:val="1"/>
        </w:rPr>
        <w:t>a</w:t>
      </w:r>
      <w:r w:rsidRPr="00A54361">
        <w:rPr>
          <w:rFonts w:eastAsia="Times New Roman" w:cstheme="minorHAnsi"/>
        </w:rPr>
        <w:t>n</w:t>
      </w:r>
      <w:r w:rsidRPr="00A54361">
        <w:rPr>
          <w:rFonts w:eastAsia="Times New Roman" w:cstheme="minorHAnsi"/>
          <w:spacing w:val="2"/>
        </w:rPr>
        <w:t>n</w:t>
      </w:r>
      <w:r w:rsidRPr="00A54361">
        <w:rPr>
          <w:rFonts w:eastAsia="Times New Roman" w:cstheme="minorHAnsi"/>
        </w:rPr>
        <w:t>ing</w:t>
      </w:r>
      <w:r w:rsidRPr="00A54361">
        <w:rPr>
          <w:rFonts w:eastAsia="Times New Roman" w:cstheme="minorHAnsi"/>
          <w:spacing w:val="-2"/>
        </w:rPr>
        <w:t xml:space="preserve"> </w:t>
      </w:r>
      <w:r w:rsidRPr="00A54361">
        <w:rPr>
          <w:rFonts w:eastAsia="Times New Roman" w:cstheme="minorHAnsi"/>
        </w:rPr>
        <w:t>the busin</w:t>
      </w:r>
      <w:r w:rsidRPr="00A54361">
        <w:rPr>
          <w:rFonts w:eastAsia="Times New Roman" w:cstheme="minorHAnsi"/>
          <w:spacing w:val="-1"/>
        </w:rPr>
        <w:t>e</w:t>
      </w:r>
      <w:r w:rsidRPr="00A54361">
        <w:rPr>
          <w:rFonts w:eastAsia="Times New Roman" w:cstheme="minorHAnsi"/>
        </w:rPr>
        <w:t>ss d</w:t>
      </w:r>
      <w:r w:rsidRPr="00A54361">
        <w:rPr>
          <w:rFonts w:eastAsia="Times New Roman" w:cstheme="minorHAnsi"/>
          <w:spacing w:val="2"/>
        </w:rPr>
        <w:t>e</w:t>
      </w:r>
      <w:r w:rsidRPr="00A54361">
        <w:rPr>
          <w:rFonts w:eastAsia="Times New Roman" w:cstheme="minorHAnsi"/>
          <w:spacing w:val="-1"/>
        </w:rPr>
        <w:t>a</w:t>
      </w:r>
      <w:r w:rsidRPr="00A54361">
        <w:rPr>
          <w:rFonts w:eastAsia="Times New Roman" w:cstheme="minorHAnsi"/>
        </w:rPr>
        <w:t>l</w:t>
      </w:r>
      <w:r w:rsidRPr="00A54361">
        <w:rPr>
          <w:rFonts w:eastAsia="Times New Roman" w:cstheme="minorHAnsi"/>
          <w:spacing w:val="1"/>
        </w:rPr>
        <w:t>i</w:t>
      </w:r>
      <w:r w:rsidRPr="00A54361">
        <w:rPr>
          <w:rFonts w:eastAsia="Times New Roman" w:cstheme="minorHAnsi"/>
        </w:rPr>
        <w:t>n</w:t>
      </w:r>
      <w:r w:rsidRPr="00A54361">
        <w:rPr>
          <w:rFonts w:eastAsia="Times New Roman" w:cstheme="minorHAnsi"/>
          <w:spacing w:val="-2"/>
        </w:rPr>
        <w:t>g</w:t>
      </w:r>
      <w:r w:rsidRPr="00A54361">
        <w:rPr>
          <w:rFonts w:eastAsia="Times New Roman" w:cstheme="minorHAnsi"/>
        </w:rPr>
        <w:t>s</w:t>
      </w:r>
      <w:r w:rsidRPr="00A54361">
        <w:rPr>
          <w:rFonts w:eastAsia="Times New Roman" w:cstheme="minorHAnsi"/>
          <w:spacing w:val="2"/>
        </w:rPr>
        <w:t xml:space="preserve"> </w:t>
      </w:r>
      <w:r w:rsidRPr="00A54361">
        <w:rPr>
          <w:rFonts w:eastAsia="Times New Roman" w:cstheme="minorHAnsi"/>
        </w:rPr>
        <w:t>with a</w:t>
      </w:r>
      <w:r w:rsidRPr="00A54361">
        <w:rPr>
          <w:rFonts w:eastAsia="Times New Roman" w:cstheme="minorHAnsi"/>
          <w:spacing w:val="2"/>
        </w:rPr>
        <w:t>n</w:t>
      </w:r>
      <w:r w:rsidRPr="00A54361">
        <w:rPr>
          <w:rFonts w:eastAsia="Times New Roman" w:cstheme="minorHAnsi"/>
        </w:rPr>
        <w:t>y</w:t>
      </w:r>
      <w:r w:rsidRPr="00A54361">
        <w:rPr>
          <w:rFonts w:eastAsia="Times New Roman" w:cstheme="minorHAnsi"/>
          <w:spacing w:val="-5"/>
        </w:rPr>
        <w:t xml:space="preserve"> </w:t>
      </w:r>
      <w:r w:rsidRPr="00A54361">
        <w:rPr>
          <w:rFonts w:eastAsia="Times New Roman" w:cstheme="minorHAnsi"/>
          <w:spacing w:val="2"/>
        </w:rPr>
        <w:t>A</w:t>
      </w:r>
      <w:r w:rsidRPr="00A54361">
        <w:rPr>
          <w:rFonts w:eastAsia="Times New Roman" w:cstheme="minorHAnsi"/>
        </w:rPr>
        <w:t>g</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4"/>
        </w:rPr>
        <w:t>c</w:t>
      </w:r>
      <w:r w:rsidRPr="00A54361">
        <w:rPr>
          <w:rFonts w:eastAsia="Times New Roman" w:cstheme="minorHAnsi"/>
          <w:spacing w:val="-5"/>
        </w:rPr>
        <w:t>y</w:t>
      </w:r>
      <w:r w:rsidRPr="00A54361">
        <w:rPr>
          <w:rFonts w:eastAsia="Times New Roman" w:cstheme="minorHAnsi"/>
        </w:rPr>
        <w:t>.</w:t>
      </w:r>
    </w:p>
    <w:p w14:paraId="68DD767A" w14:textId="77777777" w:rsidR="0054549F" w:rsidRPr="00A54361" w:rsidRDefault="0054549F" w:rsidP="00A54361">
      <w:pPr>
        <w:ind w:left="100" w:right="80"/>
        <w:jc w:val="both"/>
        <w:rPr>
          <w:rFonts w:cstheme="minorHAnsi"/>
        </w:rPr>
      </w:pPr>
      <w:r w:rsidRPr="00A54361">
        <w:rPr>
          <w:rFonts w:eastAsia="Times New Roman" w:cstheme="minorHAnsi"/>
        </w:rPr>
        <w:t>1.2</w:t>
      </w:r>
      <w:r w:rsidRPr="00A54361">
        <w:rPr>
          <w:rFonts w:eastAsia="Times New Roman" w:cstheme="minorHAnsi"/>
          <w:spacing w:val="2"/>
        </w:rPr>
        <w:t xml:space="preserve"> </w:t>
      </w:r>
      <w:r w:rsidRPr="00A54361">
        <w:rPr>
          <w:rFonts w:eastAsia="Times New Roman" w:cstheme="minorHAnsi"/>
          <w:spacing w:val="1"/>
        </w:rPr>
        <w:t>S</w:t>
      </w:r>
      <w:r w:rsidRPr="00A54361">
        <w:rPr>
          <w:rFonts w:eastAsia="Times New Roman" w:cstheme="minorHAnsi"/>
        </w:rPr>
        <w:t>ince</w:t>
      </w:r>
      <w:r w:rsidRPr="00A54361">
        <w:rPr>
          <w:rFonts w:eastAsia="Times New Roman" w:cstheme="minorHAnsi"/>
          <w:spacing w:val="1"/>
        </w:rPr>
        <w:t xml:space="preserve"> </w:t>
      </w:r>
      <w:r w:rsidRPr="00A54361">
        <w:rPr>
          <w:rFonts w:eastAsia="Times New Roman" w:cstheme="minorHAnsi"/>
        </w:rPr>
        <w:t>b</w:t>
      </w:r>
      <w:r w:rsidRPr="00A54361">
        <w:rPr>
          <w:rFonts w:eastAsia="Times New Roman" w:cstheme="minorHAnsi"/>
          <w:spacing w:val="-1"/>
        </w:rPr>
        <w:t>a</w:t>
      </w:r>
      <w:r w:rsidRPr="00A54361">
        <w:rPr>
          <w:rFonts w:eastAsia="Times New Roman" w:cstheme="minorHAnsi"/>
        </w:rPr>
        <w:t xml:space="preserve">nning </w:t>
      </w:r>
      <w:r w:rsidRPr="00A54361">
        <w:rPr>
          <w:rFonts w:eastAsia="Times New Roman" w:cstheme="minorHAnsi"/>
          <w:spacing w:val="2"/>
        </w:rPr>
        <w:t>o</w:t>
      </w:r>
      <w:r w:rsidRPr="00A54361">
        <w:rPr>
          <w:rFonts w:eastAsia="Times New Roman" w:cstheme="minorHAnsi"/>
        </w:rPr>
        <w:t>f</w:t>
      </w:r>
      <w:r w:rsidRPr="00A54361">
        <w:rPr>
          <w:rFonts w:eastAsia="Times New Roman" w:cstheme="minorHAnsi"/>
          <w:spacing w:val="1"/>
        </w:rPr>
        <w:t xml:space="preserve"> </w:t>
      </w:r>
      <w:r w:rsidRPr="00A54361">
        <w:rPr>
          <w:rFonts w:eastAsia="Times New Roman" w:cstheme="minorHAnsi"/>
        </w:rPr>
        <w:t>bu</w:t>
      </w:r>
      <w:r w:rsidRPr="00A54361">
        <w:rPr>
          <w:rFonts w:eastAsia="Times New Roman" w:cstheme="minorHAnsi"/>
          <w:spacing w:val="2"/>
        </w:rPr>
        <w:t>s</w:t>
      </w:r>
      <w:r w:rsidRPr="00A54361">
        <w:rPr>
          <w:rFonts w:eastAsia="Times New Roman" w:cstheme="minorHAnsi"/>
        </w:rPr>
        <w:t>iness</w:t>
      </w:r>
      <w:r w:rsidRPr="00A54361">
        <w:rPr>
          <w:rFonts w:eastAsia="Times New Roman" w:cstheme="minorHAnsi"/>
          <w:spacing w:val="2"/>
        </w:rPr>
        <w:t xml:space="preserve"> </w:t>
      </w:r>
      <w:r w:rsidRPr="00A54361">
        <w:rPr>
          <w:rFonts w:eastAsia="Times New Roman" w:cstheme="minorHAnsi"/>
        </w:rPr>
        <w:t>d</w:t>
      </w:r>
      <w:r w:rsidRPr="00A54361">
        <w:rPr>
          <w:rFonts w:eastAsia="Times New Roman" w:cstheme="minorHAnsi"/>
          <w:spacing w:val="-1"/>
        </w:rPr>
        <w:t>ea</w:t>
      </w:r>
      <w:r w:rsidRPr="00A54361">
        <w:rPr>
          <w:rFonts w:eastAsia="Times New Roman" w:cstheme="minorHAnsi"/>
        </w:rPr>
        <w:t>l</w:t>
      </w:r>
      <w:r w:rsidRPr="00A54361">
        <w:rPr>
          <w:rFonts w:eastAsia="Times New Roman" w:cstheme="minorHAnsi"/>
          <w:spacing w:val="1"/>
        </w:rPr>
        <w:t>i</w:t>
      </w:r>
      <w:r w:rsidRPr="00A54361">
        <w:rPr>
          <w:rFonts w:eastAsia="Times New Roman" w:cstheme="minorHAnsi"/>
        </w:rPr>
        <w:t>n</w:t>
      </w:r>
      <w:r w:rsidRPr="00A54361">
        <w:rPr>
          <w:rFonts w:eastAsia="Times New Roman" w:cstheme="minorHAnsi"/>
          <w:spacing w:val="-2"/>
        </w:rPr>
        <w:t>g</w:t>
      </w:r>
      <w:r w:rsidRPr="00A54361">
        <w:rPr>
          <w:rFonts w:eastAsia="Times New Roman" w:cstheme="minorHAnsi"/>
        </w:rPr>
        <w:t>s</w:t>
      </w:r>
      <w:r w:rsidRPr="00A54361">
        <w:rPr>
          <w:rFonts w:eastAsia="Times New Roman" w:cstheme="minorHAnsi"/>
          <w:spacing w:val="2"/>
        </w:rPr>
        <w:t xml:space="preserve"> </w:t>
      </w:r>
      <w:r w:rsidRPr="00A54361">
        <w:rPr>
          <w:rFonts w:eastAsia="Times New Roman" w:cstheme="minorHAnsi"/>
        </w:rPr>
        <w:t>invo</w:t>
      </w:r>
      <w:r w:rsidRPr="00A54361">
        <w:rPr>
          <w:rFonts w:eastAsia="Times New Roman" w:cstheme="minorHAnsi"/>
          <w:spacing w:val="1"/>
        </w:rPr>
        <w:t>l</w:t>
      </w:r>
      <w:r w:rsidRPr="00A54361">
        <w:rPr>
          <w:rFonts w:eastAsia="Times New Roman" w:cstheme="minorHAnsi"/>
        </w:rPr>
        <w:t>v</w:t>
      </w:r>
      <w:r w:rsidRPr="00A54361">
        <w:rPr>
          <w:rFonts w:eastAsia="Times New Roman" w:cstheme="minorHAnsi"/>
          <w:spacing w:val="-1"/>
        </w:rPr>
        <w:t>e</w:t>
      </w:r>
      <w:r w:rsidRPr="00A54361">
        <w:rPr>
          <w:rFonts w:eastAsia="Times New Roman" w:cstheme="minorHAnsi"/>
        </w:rPr>
        <w:t>s</w:t>
      </w:r>
      <w:r w:rsidRPr="00A54361">
        <w:rPr>
          <w:rFonts w:eastAsia="Times New Roman" w:cstheme="minorHAnsi"/>
          <w:spacing w:val="5"/>
        </w:rPr>
        <w:t xml:space="preserve"> </w:t>
      </w:r>
      <w:r w:rsidRPr="00A54361">
        <w:rPr>
          <w:rFonts w:eastAsia="Times New Roman" w:cstheme="minorHAnsi"/>
          <w:spacing w:val="-1"/>
        </w:rPr>
        <w:t>c</w:t>
      </w:r>
      <w:r w:rsidRPr="00A54361">
        <w:rPr>
          <w:rFonts w:eastAsia="Times New Roman" w:cstheme="minorHAnsi"/>
        </w:rPr>
        <w:t>iv</w:t>
      </w:r>
      <w:r w:rsidRPr="00A54361">
        <w:rPr>
          <w:rFonts w:eastAsia="Times New Roman" w:cstheme="minorHAnsi"/>
          <w:spacing w:val="1"/>
        </w:rPr>
        <w:t>i</w:t>
      </w:r>
      <w:r w:rsidRPr="00A54361">
        <w:rPr>
          <w:rFonts w:eastAsia="Times New Roman" w:cstheme="minorHAnsi"/>
        </w:rPr>
        <w:t>l</w:t>
      </w:r>
      <w:r w:rsidRPr="00A54361">
        <w:rPr>
          <w:rFonts w:eastAsia="Times New Roman" w:cstheme="minorHAnsi"/>
          <w:spacing w:val="3"/>
        </w:rPr>
        <w:t xml:space="preserve"> </w:t>
      </w:r>
      <w:r w:rsidRPr="00A54361">
        <w:rPr>
          <w:rFonts w:eastAsia="Times New Roman" w:cstheme="minorHAnsi"/>
          <w:spacing w:val="-1"/>
        </w:rPr>
        <w:t>c</w:t>
      </w:r>
      <w:r w:rsidRPr="00A54361">
        <w:rPr>
          <w:rFonts w:eastAsia="Times New Roman" w:cstheme="minorHAnsi"/>
        </w:rPr>
        <w:t>ons</w:t>
      </w:r>
      <w:r w:rsidRPr="00A54361">
        <w:rPr>
          <w:rFonts w:eastAsia="Times New Roman" w:cstheme="minorHAnsi"/>
          <w:spacing w:val="-1"/>
        </w:rPr>
        <w:t>e</w:t>
      </w:r>
      <w:r w:rsidRPr="00A54361">
        <w:rPr>
          <w:rFonts w:eastAsia="Times New Roman" w:cstheme="minorHAnsi"/>
        </w:rPr>
        <w:t>qu</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1"/>
        </w:rPr>
        <w:t>ce</w:t>
      </w:r>
      <w:r w:rsidRPr="00A54361">
        <w:rPr>
          <w:rFonts w:eastAsia="Times New Roman" w:cstheme="minorHAnsi"/>
        </w:rPr>
        <w:t>s</w:t>
      </w:r>
      <w:r w:rsidRPr="00A54361">
        <w:rPr>
          <w:rFonts w:eastAsia="Times New Roman" w:cstheme="minorHAnsi"/>
          <w:spacing w:val="5"/>
        </w:rPr>
        <w:t xml:space="preserve"> </w:t>
      </w:r>
      <w:r w:rsidRPr="00A54361">
        <w:rPr>
          <w:rFonts w:eastAsia="Times New Roman" w:cstheme="minorHAnsi"/>
        </w:rPr>
        <w:t>for</w:t>
      </w:r>
      <w:r w:rsidRPr="00A54361">
        <w:rPr>
          <w:rFonts w:eastAsia="Times New Roman" w:cstheme="minorHAnsi"/>
          <w:spacing w:val="1"/>
        </w:rPr>
        <w:t xml:space="preserve"> </w:t>
      </w:r>
      <w:r w:rsidRPr="00A54361">
        <w:rPr>
          <w:rFonts w:eastAsia="Times New Roman" w:cstheme="minorHAnsi"/>
          <w:spacing w:val="-1"/>
        </w:rPr>
        <w:t>a</w:t>
      </w:r>
      <w:r w:rsidRPr="00A54361">
        <w:rPr>
          <w:rFonts w:eastAsia="Times New Roman" w:cstheme="minorHAnsi"/>
        </w:rPr>
        <w:t>n</w:t>
      </w:r>
      <w:r w:rsidRPr="00A54361">
        <w:rPr>
          <w:rFonts w:eastAsia="Times New Roman" w:cstheme="minorHAnsi"/>
          <w:spacing w:val="5"/>
        </w:rPr>
        <w:t xml:space="preserve"> </w:t>
      </w:r>
      <w:r w:rsidRPr="00A54361">
        <w:rPr>
          <w:rFonts w:eastAsia="Times New Roman" w:cstheme="minorHAnsi"/>
        </w:rPr>
        <w:t>Ag</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4"/>
        </w:rPr>
        <w:t>c</w:t>
      </w:r>
      <w:r w:rsidRPr="00A54361">
        <w:rPr>
          <w:rFonts w:eastAsia="Times New Roman" w:cstheme="minorHAnsi"/>
        </w:rPr>
        <w:t>y</w:t>
      </w:r>
      <w:r w:rsidRPr="00A54361">
        <w:rPr>
          <w:rFonts w:eastAsia="Times New Roman" w:cstheme="minorHAnsi"/>
          <w:spacing w:val="-3"/>
        </w:rPr>
        <w:t xml:space="preserve"> </w:t>
      </w:r>
      <w:r w:rsidRPr="00A54361">
        <w:rPr>
          <w:rFonts w:eastAsia="Times New Roman" w:cstheme="minorHAnsi"/>
          <w:spacing w:val="-1"/>
        </w:rPr>
        <w:t>c</w:t>
      </w:r>
      <w:r w:rsidRPr="00A54361">
        <w:rPr>
          <w:rFonts w:eastAsia="Times New Roman" w:cstheme="minorHAnsi"/>
        </w:rPr>
        <w:t>o</w:t>
      </w:r>
      <w:r w:rsidRPr="00A54361">
        <w:rPr>
          <w:rFonts w:eastAsia="Times New Roman" w:cstheme="minorHAnsi"/>
          <w:spacing w:val="2"/>
        </w:rPr>
        <w:t>n</w:t>
      </w:r>
      <w:r w:rsidRPr="00A54361">
        <w:rPr>
          <w:rFonts w:eastAsia="Times New Roman" w:cstheme="minorHAnsi"/>
          <w:spacing w:val="-1"/>
        </w:rPr>
        <w:t>c</w:t>
      </w:r>
      <w:r w:rsidRPr="00A54361">
        <w:rPr>
          <w:rFonts w:eastAsia="Times New Roman" w:cstheme="minorHAnsi"/>
          <w:spacing w:val="1"/>
        </w:rPr>
        <w:t>e</w:t>
      </w:r>
      <w:r w:rsidRPr="00A54361">
        <w:rPr>
          <w:rFonts w:eastAsia="Times New Roman" w:cstheme="minorHAnsi"/>
        </w:rPr>
        <w:t>rn</w:t>
      </w:r>
      <w:r w:rsidRPr="00A54361">
        <w:rPr>
          <w:rFonts w:eastAsia="Times New Roman" w:cstheme="minorHAnsi"/>
          <w:spacing w:val="-2"/>
        </w:rPr>
        <w:t>e</w:t>
      </w:r>
      <w:r w:rsidRPr="00A54361">
        <w:rPr>
          <w:rFonts w:eastAsia="Times New Roman" w:cstheme="minorHAnsi"/>
        </w:rPr>
        <w:t>d, it</w:t>
      </w:r>
      <w:r w:rsidRPr="00A54361">
        <w:rPr>
          <w:rFonts w:eastAsia="Times New Roman" w:cstheme="minorHAnsi"/>
          <w:spacing w:val="6"/>
        </w:rPr>
        <w:t xml:space="preserve"> </w:t>
      </w:r>
      <w:r w:rsidRPr="00A54361">
        <w:rPr>
          <w:rFonts w:eastAsia="Times New Roman" w:cstheme="minorHAnsi"/>
        </w:rPr>
        <w:t>is</w:t>
      </w:r>
      <w:r w:rsidRPr="00A54361">
        <w:rPr>
          <w:rFonts w:eastAsia="Times New Roman" w:cstheme="minorHAnsi"/>
          <w:spacing w:val="6"/>
        </w:rPr>
        <w:t xml:space="preserve"> </w:t>
      </w:r>
      <w:r w:rsidRPr="00A54361">
        <w:rPr>
          <w:rFonts w:eastAsia="Times New Roman" w:cstheme="minorHAnsi"/>
        </w:rPr>
        <w:t>incumbent</w:t>
      </w:r>
      <w:r w:rsidRPr="00A54361">
        <w:rPr>
          <w:rFonts w:eastAsia="Times New Roman" w:cstheme="minorHAnsi"/>
          <w:spacing w:val="3"/>
        </w:rPr>
        <w:t xml:space="preserve"> </w:t>
      </w:r>
      <w:r w:rsidRPr="00A54361">
        <w:rPr>
          <w:rFonts w:eastAsia="Times New Roman" w:cstheme="minorHAnsi"/>
        </w:rPr>
        <w:t>that</w:t>
      </w:r>
      <w:r w:rsidRPr="00A54361">
        <w:rPr>
          <w:rFonts w:eastAsia="Times New Roman" w:cstheme="minorHAnsi"/>
          <w:spacing w:val="5"/>
        </w:rPr>
        <w:t xml:space="preserve"> </w:t>
      </w:r>
      <w:r w:rsidRPr="00A54361">
        <w:rPr>
          <w:rFonts w:eastAsia="Times New Roman" w:cstheme="minorHAnsi"/>
          <w:spacing w:val="-1"/>
        </w:rPr>
        <w:t>a</w:t>
      </w:r>
      <w:r w:rsidRPr="00A54361">
        <w:rPr>
          <w:rFonts w:eastAsia="Times New Roman" w:cstheme="minorHAnsi"/>
        </w:rPr>
        <w:t>d</w:t>
      </w:r>
      <w:r w:rsidRPr="00A54361">
        <w:rPr>
          <w:rFonts w:eastAsia="Times New Roman" w:cstheme="minorHAnsi"/>
          <w:spacing w:val="-1"/>
        </w:rPr>
        <w:t>e</w:t>
      </w:r>
      <w:r w:rsidRPr="00A54361">
        <w:rPr>
          <w:rFonts w:eastAsia="Times New Roman" w:cstheme="minorHAnsi"/>
        </w:rPr>
        <w:t>qu</w:t>
      </w:r>
      <w:r w:rsidRPr="00A54361">
        <w:rPr>
          <w:rFonts w:eastAsia="Times New Roman" w:cstheme="minorHAnsi"/>
          <w:spacing w:val="-1"/>
        </w:rPr>
        <w:t>a</w:t>
      </w:r>
      <w:r w:rsidRPr="00A54361">
        <w:rPr>
          <w:rFonts w:eastAsia="Times New Roman" w:cstheme="minorHAnsi"/>
        </w:rPr>
        <w:t>te</w:t>
      </w:r>
      <w:r w:rsidRPr="00A54361">
        <w:rPr>
          <w:rFonts w:eastAsia="Times New Roman" w:cstheme="minorHAnsi"/>
          <w:spacing w:val="4"/>
        </w:rPr>
        <w:t xml:space="preserve"> </w:t>
      </w:r>
      <w:r w:rsidRPr="00A54361">
        <w:rPr>
          <w:rFonts w:eastAsia="Times New Roman" w:cstheme="minorHAnsi"/>
        </w:rPr>
        <w:t>oppo</w:t>
      </w:r>
      <w:r w:rsidRPr="00A54361">
        <w:rPr>
          <w:rFonts w:eastAsia="Times New Roman" w:cstheme="minorHAnsi"/>
          <w:spacing w:val="-1"/>
        </w:rPr>
        <w:t>r</w:t>
      </w:r>
      <w:r w:rsidRPr="00A54361">
        <w:rPr>
          <w:rFonts w:eastAsia="Times New Roman" w:cstheme="minorHAnsi"/>
        </w:rPr>
        <w:t>tun</w:t>
      </w:r>
      <w:r w:rsidRPr="00A54361">
        <w:rPr>
          <w:rFonts w:eastAsia="Times New Roman" w:cstheme="minorHAnsi"/>
          <w:spacing w:val="1"/>
        </w:rPr>
        <w:t>i</w:t>
      </w:r>
      <w:r w:rsidRPr="00A54361">
        <w:rPr>
          <w:rFonts w:eastAsia="Times New Roman" w:cstheme="minorHAnsi"/>
          <w:spacing w:val="3"/>
        </w:rPr>
        <w:t>t</w:t>
      </w:r>
      <w:r w:rsidRPr="00A54361">
        <w:rPr>
          <w:rFonts w:eastAsia="Times New Roman" w:cstheme="minorHAnsi"/>
        </w:rPr>
        <w:t>y of</w:t>
      </w:r>
      <w:r w:rsidRPr="00A54361">
        <w:rPr>
          <w:rFonts w:eastAsia="Times New Roman" w:cstheme="minorHAnsi"/>
          <w:spacing w:val="4"/>
        </w:rPr>
        <w:t xml:space="preserve"> </w:t>
      </w:r>
      <w:r w:rsidRPr="00A54361">
        <w:rPr>
          <w:rFonts w:eastAsia="Times New Roman" w:cstheme="minorHAnsi"/>
          <w:spacing w:val="2"/>
        </w:rPr>
        <w:t>h</w:t>
      </w:r>
      <w:r w:rsidRPr="00A54361">
        <w:rPr>
          <w:rFonts w:eastAsia="Times New Roman" w:cstheme="minorHAnsi"/>
          <w:spacing w:val="-1"/>
        </w:rPr>
        <w:t>ea</w:t>
      </w:r>
      <w:r w:rsidRPr="00A54361">
        <w:rPr>
          <w:rFonts w:eastAsia="Times New Roman" w:cstheme="minorHAnsi"/>
        </w:rPr>
        <w:t>ri</w:t>
      </w:r>
      <w:r w:rsidRPr="00A54361">
        <w:rPr>
          <w:rFonts w:eastAsia="Times New Roman" w:cstheme="minorHAnsi"/>
          <w:spacing w:val="2"/>
        </w:rPr>
        <w:t>n</w:t>
      </w:r>
      <w:r w:rsidRPr="00A54361">
        <w:rPr>
          <w:rFonts w:eastAsia="Times New Roman" w:cstheme="minorHAnsi"/>
        </w:rPr>
        <w:t>g</w:t>
      </w:r>
      <w:r w:rsidRPr="00A54361">
        <w:rPr>
          <w:rFonts w:eastAsia="Times New Roman" w:cstheme="minorHAnsi"/>
          <w:spacing w:val="3"/>
        </w:rPr>
        <w:t xml:space="preserve"> </w:t>
      </w:r>
      <w:r w:rsidRPr="00A54361">
        <w:rPr>
          <w:rFonts w:eastAsia="Times New Roman" w:cstheme="minorHAnsi"/>
        </w:rPr>
        <w:t>is</w:t>
      </w:r>
      <w:r w:rsidRPr="00A54361">
        <w:rPr>
          <w:rFonts w:eastAsia="Times New Roman" w:cstheme="minorHAnsi"/>
          <w:spacing w:val="6"/>
        </w:rPr>
        <w:t xml:space="preserve"> </w:t>
      </w:r>
      <w:r w:rsidRPr="00A54361">
        <w:rPr>
          <w:rFonts w:eastAsia="Times New Roman" w:cstheme="minorHAnsi"/>
        </w:rPr>
        <w:t>provid</w:t>
      </w:r>
      <w:r w:rsidRPr="00A54361">
        <w:rPr>
          <w:rFonts w:eastAsia="Times New Roman" w:cstheme="minorHAnsi"/>
          <w:spacing w:val="-1"/>
        </w:rPr>
        <w:t>e</w:t>
      </w:r>
      <w:r w:rsidRPr="00A54361">
        <w:rPr>
          <w:rFonts w:eastAsia="Times New Roman" w:cstheme="minorHAnsi"/>
        </w:rPr>
        <w:t>d</w:t>
      </w:r>
      <w:r w:rsidRPr="00A54361">
        <w:rPr>
          <w:rFonts w:eastAsia="Times New Roman" w:cstheme="minorHAnsi"/>
          <w:spacing w:val="5"/>
        </w:rPr>
        <w:t xml:space="preserve"> </w:t>
      </w:r>
      <w:r w:rsidRPr="00A54361">
        <w:rPr>
          <w:rFonts w:eastAsia="Times New Roman" w:cstheme="minorHAnsi"/>
          <w:spacing w:val="-1"/>
        </w:rPr>
        <w:t>a</w:t>
      </w:r>
      <w:r w:rsidRPr="00A54361">
        <w:rPr>
          <w:rFonts w:eastAsia="Times New Roman" w:cstheme="minorHAnsi"/>
        </w:rPr>
        <w:t>nd</w:t>
      </w:r>
      <w:r w:rsidRPr="00A54361">
        <w:rPr>
          <w:rFonts w:eastAsia="Times New Roman" w:cstheme="minorHAnsi"/>
          <w:spacing w:val="5"/>
        </w:rPr>
        <w:t xml:space="preserve"> </w:t>
      </w:r>
      <w:r w:rsidRPr="00A54361">
        <w:rPr>
          <w:rFonts w:eastAsia="Times New Roman" w:cstheme="minorHAnsi"/>
        </w:rPr>
        <w:t>the</w:t>
      </w:r>
      <w:r w:rsidRPr="00A54361">
        <w:rPr>
          <w:rFonts w:eastAsia="Times New Roman" w:cstheme="minorHAnsi"/>
          <w:spacing w:val="4"/>
        </w:rPr>
        <w:t xml:space="preserve"> </w:t>
      </w:r>
      <w:r w:rsidRPr="00A54361">
        <w:rPr>
          <w:rFonts w:eastAsia="Times New Roman" w:cstheme="minorHAnsi"/>
          <w:spacing w:val="-1"/>
        </w:rPr>
        <w:t>e</w:t>
      </w:r>
      <w:r w:rsidRPr="00A54361">
        <w:rPr>
          <w:rFonts w:eastAsia="Times New Roman" w:cstheme="minorHAnsi"/>
          <w:spacing w:val="2"/>
        </w:rPr>
        <w:t>x</w:t>
      </w:r>
      <w:r w:rsidRPr="00A54361">
        <w:rPr>
          <w:rFonts w:eastAsia="Times New Roman" w:cstheme="minorHAnsi"/>
        </w:rPr>
        <w:t>plan</w:t>
      </w:r>
      <w:r w:rsidRPr="00A54361">
        <w:rPr>
          <w:rFonts w:eastAsia="Times New Roman" w:cstheme="minorHAnsi"/>
          <w:spacing w:val="-1"/>
        </w:rPr>
        <w:t>a</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on,</w:t>
      </w:r>
      <w:r w:rsidRPr="00A54361">
        <w:rPr>
          <w:rFonts w:eastAsia="Times New Roman" w:cstheme="minorHAnsi"/>
          <w:spacing w:val="5"/>
        </w:rPr>
        <w:t xml:space="preserve"> </w:t>
      </w:r>
      <w:r w:rsidRPr="00A54361">
        <w:rPr>
          <w:rFonts w:eastAsia="Times New Roman" w:cstheme="minorHAnsi"/>
        </w:rPr>
        <w:t>if tend</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2"/>
        </w:rPr>
        <w:t>e</w:t>
      </w:r>
      <w:r w:rsidRPr="00A54361">
        <w:rPr>
          <w:rFonts w:eastAsia="Times New Roman" w:cstheme="minorHAnsi"/>
        </w:rPr>
        <w:t>d,</w:t>
      </w:r>
      <w:r w:rsidRPr="00A54361">
        <w:rPr>
          <w:rFonts w:eastAsia="Times New Roman" w:cstheme="minorHAnsi"/>
          <w:spacing w:val="5"/>
        </w:rPr>
        <w:t xml:space="preserve"> </w:t>
      </w:r>
      <w:r w:rsidRPr="00A54361">
        <w:rPr>
          <w:rFonts w:eastAsia="Times New Roman" w:cstheme="minorHAnsi"/>
        </w:rPr>
        <w:t>is</w:t>
      </w:r>
      <w:r w:rsidRPr="00A54361">
        <w:rPr>
          <w:rFonts w:eastAsia="Times New Roman" w:cstheme="minorHAnsi"/>
          <w:spacing w:val="6"/>
        </w:rPr>
        <w:t xml:space="preserve"> </w:t>
      </w:r>
      <w:r w:rsidRPr="00A54361">
        <w:rPr>
          <w:rFonts w:eastAsia="Times New Roman" w:cstheme="minorHAnsi"/>
          <w:spacing w:val="-1"/>
        </w:rPr>
        <w:t>c</w:t>
      </w:r>
      <w:r w:rsidRPr="00A54361">
        <w:rPr>
          <w:rFonts w:eastAsia="Times New Roman" w:cstheme="minorHAnsi"/>
        </w:rPr>
        <w:t>onsid</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2"/>
        </w:rPr>
        <w:t>e</w:t>
      </w:r>
      <w:r w:rsidRPr="00A54361">
        <w:rPr>
          <w:rFonts w:eastAsia="Times New Roman" w:cstheme="minorHAnsi"/>
        </w:rPr>
        <w:t>d</w:t>
      </w:r>
      <w:r w:rsidRPr="00A54361">
        <w:rPr>
          <w:rFonts w:eastAsia="Times New Roman" w:cstheme="minorHAnsi"/>
          <w:spacing w:val="5"/>
        </w:rPr>
        <w:t xml:space="preserve"> </w:t>
      </w:r>
      <w:r w:rsidRPr="00A54361">
        <w:rPr>
          <w:rFonts w:eastAsia="Times New Roman" w:cstheme="minorHAnsi"/>
          <w:spacing w:val="2"/>
        </w:rPr>
        <w:t>b</w:t>
      </w:r>
      <w:r w:rsidRPr="00A54361">
        <w:rPr>
          <w:rFonts w:eastAsia="Times New Roman" w:cstheme="minorHAnsi"/>
          <w:spacing w:val="-1"/>
        </w:rPr>
        <w:t>e</w:t>
      </w:r>
      <w:r w:rsidRPr="00A54361">
        <w:rPr>
          <w:rFonts w:eastAsia="Times New Roman" w:cstheme="minorHAnsi"/>
        </w:rPr>
        <w:t>fo</w:t>
      </w:r>
      <w:r w:rsidRPr="00A54361">
        <w:rPr>
          <w:rFonts w:eastAsia="Times New Roman" w:cstheme="minorHAnsi"/>
          <w:spacing w:val="-1"/>
        </w:rPr>
        <w:t>r</w:t>
      </w:r>
      <w:r w:rsidRPr="00A54361">
        <w:rPr>
          <w:rFonts w:eastAsia="Times New Roman" w:cstheme="minorHAnsi"/>
        </w:rPr>
        <w:t>e</w:t>
      </w:r>
      <w:r w:rsidRPr="00A54361">
        <w:rPr>
          <w:rFonts w:eastAsia="Times New Roman" w:cstheme="minorHAnsi"/>
          <w:spacing w:val="4"/>
        </w:rPr>
        <w:t xml:space="preserve"> </w:t>
      </w:r>
      <w:r w:rsidRPr="00A54361">
        <w:rPr>
          <w:rFonts w:eastAsia="Times New Roman" w:cstheme="minorHAnsi"/>
        </w:rPr>
        <w:t>p</w:t>
      </w:r>
      <w:r w:rsidRPr="00A54361">
        <w:rPr>
          <w:rFonts w:eastAsia="Times New Roman" w:cstheme="minorHAnsi"/>
          <w:spacing w:val="-1"/>
        </w:rPr>
        <w:t>a</w:t>
      </w:r>
      <w:r w:rsidRPr="00A54361">
        <w:rPr>
          <w:rFonts w:eastAsia="Times New Roman" w:cstheme="minorHAnsi"/>
        </w:rPr>
        <w:t>ss</w:t>
      </w:r>
      <w:r w:rsidRPr="00A54361">
        <w:rPr>
          <w:rFonts w:eastAsia="Times New Roman" w:cstheme="minorHAnsi"/>
          <w:spacing w:val="1"/>
        </w:rPr>
        <w:t>i</w:t>
      </w:r>
      <w:r w:rsidRPr="00A54361">
        <w:rPr>
          <w:rFonts w:eastAsia="Times New Roman" w:cstheme="minorHAnsi"/>
          <w:spacing w:val="2"/>
        </w:rPr>
        <w:t>n</w:t>
      </w:r>
      <w:r w:rsidRPr="00A54361">
        <w:rPr>
          <w:rFonts w:eastAsia="Times New Roman" w:cstheme="minorHAnsi"/>
        </w:rPr>
        <w:t>g</w:t>
      </w:r>
      <w:r w:rsidRPr="00A54361">
        <w:rPr>
          <w:rFonts w:eastAsia="Times New Roman" w:cstheme="minorHAnsi"/>
          <w:spacing w:val="3"/>
        </w:rPr>
        <w:t xml:space="preserve"> </w:t>
      </w:r>
      <w:r w:rsidRPr="00A54361">
        <w:rPr>
          <w:rFonts w:eastAsia="Times New Roman" w:cstheme="minorHAnsi"/>
          <w:spacing w:val="-1"/>
        </w:rPr>
        <w:t>a</w:t>
      </w:r>
      <w:r w:rsidRPr="00A54361">
        <w:rPr>
          <w:rFonts w:eastAsia="Times New Roman" w:cstheme="minorHAnsi"/>
          <w:spacing w:val="5"/>
        </w:rPr>
        <w:t>n</w:t>
      </w:r>
      <w:r w:rsidRPr="00A54361">
        <w:rPr>
          <w:rFonts w:eastAsia="Times New Roman" w:cstheme="minorHAnsi"/>
        </w:rPr>
        <w:t>y order</w:t>
      </w:r>
      <w:r w:rsidRPr="00A54361">
        <w:rPr>
          <w:rFonts w:eastAsia="Times New Roman" w:cstheme="minorHAnsi"/>
          <w:spacing w:val="4"/>
        </w:rPr>
        <w:t xml:space="preserve"> </w:t>
      </w:r>
      <w:r w:rsidRPr="00A54361">
        <w:rPr>
          <w:rFonts w:eastAsia="Times New Roman" w:cstheme="minorHAnsi"/>
        </w:rPr>
        <w:t>in</w:t>
      </w:r>
      <w:r w:rsidRPr="00A54361">
        <w:rPr>
          <w:rFonts w:eastAsia="Times New Roman" w:cstheme="minorHAnsi"/>
          <w:spacing w:val="6"/>
        </w:rPr>
        <w:t xml:space="preserve"> </w:t>
      </w:r>
      <w:r w:rsidRPr="00A54361">
        <w:rPr>
          <w:rFonts w:eastAsia="Times New Roman" w:cstheme="minorHAnsi"/>
        </w:rPr>
        <w:t>th</w:t>
      </w:r>
      <w:r w:rsidRPr="00A54361">
        <w:rPr>
          <w:rFonts w:eastAsia="Times New Roman" w:cstheme="minorHAnsi"/>
          <w:spacing w:val="1"/>
        </w:rPr>
        <w:t>i</w:t>
      </w:r>
      <w:r w:rsidRPr="00A54361">
        <w:rPr>
          <w:rFonts w:eastAsia="Times New Roman" w:cstheme="minorHAnsi"/>
        </w:rPr>
        <w:t>s</w:t>
      </w:r>
      <w:r w:rsidRPr="00A54361">
        <w:rPr>
          <w:rFonts w:eastAsia="Times New Roman" w:cstheme="minorHAnsi"/>
          <w:spacing w:val="5"/>
        </w:rPr>
        <w:t xml:space="preserve"> </w:t>
      </w:r>
      <w:r w:rsidRPr="00A54361">
        <w:rPr>
          <w:rFonts w:eastAsia="Times New Roman" w:cstheme="minorHAnsi"/>
        </w:rPr>
        <w:t>r</w:t>
      </w:r>
      <w:r w:rsidRPr="00A54361">
        <w:rPr>
          <w:rFonts w:eastAsia="Times New Roman" w:cstheme="minorHAnsi"/>
          <w:spacing w:val="-2"/>
        </w:rPr>
        <w:t>eg</w:t>
      </w:r>
      <w:r w:rsidRPr="00A54361">
        <w:rPr>
          <w:rFonts w:eastAsia="Times New Roman" w:cstheme="minorHAnsi"/>
          <w:spacing w:val="-1"/>
        </w:rPr>
        <w:t>a</w:t>
      </w:r>
      <w:r w:rsidRPr="00A54361">
        <w:rPr>
          <w:rFonts w:eastAsia="Times New Roman" w:cstheme="minorHAnsi"/>
        </w:rPr>
        <w:t>rd</w:t>
      </w:r>
      <w:r w:rsidRPr="00A54361">
        <w:rPr>
          <w:rFonts w:eastAsia="Times New Roman" w:cstheme="minorHAnsi"/>
          <w:spacing w:val="4"/>
        </w:rPr>
        <w:t xml:space="preserve"> </w:t>
      </w:r>
      <w:r w:rsidRPr="00A54361">
        <w:rPr>
          <w:rFonts w:eastAsia="Times New Roman" w:cstheme="minorHAnsi"/>
        </w:rPr>
        <w:t>k</w:t>
      </w:r>
      <w:r w:rsidRPr="00A54361">
        <w:rPr>
          <w:rFonts w:eastAsia="Times New Roman" w:cstheme="minorHAnsi"/>
          <w:spacing w:val="1"/>
        </w:rPr>
        <w:t>e</w:t>
      </w:r>
      <w:r w:rsidRPr="00A54361">
        <w:rPr>
          <w:rFonts w:eastAsia="Times New Roman" w:cstheme="minorHAnsi"/>
          <w:spacing w:val="-1"/>
        </w:rPr>
        <w:t>e</w:t>
      </w:r>
      <w:r w:rsidRPr="00A54361">
        <w:rPr>
          <w:rFonts w:eastAsia="Times New Roman" w:cstheme="minorHAnsi"/>
        </w:rPr>
        <w:t>ping</w:t>
      </w:r>
      <w:r w:rsidRPr="00A54361">
        <w:rPr>
          <w:rFonts w:eastAsia="Times New Roman" w:cstheme="minorHAnsi"/>
          <w:spacing w:val="3"/>
        </w:rPr>
        <w:t xml:space="preserve"> </w:t>
      </w:r>
      <w:r w:rsidRPr="00A54361">
        <w:rPr>
          <w:rFonts w:eastAsia="Times New Roman" w:cstheme="minorHAnsi"/>
        </w:rPr>
        <w:t>in</w:t>
      </w:r>
      <w:r w:rsidRPr="00A54361">
        <w:rPr>
          <w:rFonts w:eastAsia="Times New Roman" w:cstheme="minorHAnsi"/>
          <w:spacing w:val="8"/>
        </w:rPr>
        <w:t xml:space="preserve"> </w:t>
      </w:r>
      <w:r w:rsidRPr="00A54361">
        <w:rPr>
          <w:rFonts w:eastAsia="Times New Roman" w:cstheme="minorHAnsi"/>
        </w:rPr>
        <w:t>view</w:t>
      </w:r>
      <w:r w:rsidRPr="00A54361">
        <w:rPr>
          <w:rFonts w:eastAsia="Times New Roman" w:cstheme="minorHAnsi"/>
          <w:spacing w:val="4"/>
        </w:rPr>
        <w:t xml:space="preserve"> </w:t>
      </w:r>
      <w:r w:rsidRPr="00A54361">
        <w:rPr>
          <w:rFonts w:eastAsia="Times New Roman" w:cstheme="minorHAnsi"/>
        </w:rPr>
        <w:t>the</w:t>
      </w:r>
      <w:r w:rsidRPr="00A54361">
        <w:rPr>
          <w:rFonts w:eastAsia="Times New Roman" w:cstheme="minorHAnsi"/>
          <w:spacing w:val="5"/>
        </w:rPr>
        <w:t xml:space="preserve"> </w:t>
      </w:r>
      <w:r w:rsidRPr="00A54361">
        <w:rPr>
          <w:rFonts w:eastAsia="Times New Roman" w:cstheme="minorHAnsi"/>
        </w:rPr>
        <w:t>f</w:t>
      </w:r>
      <w:r w:rsidRPr="00A54361">
        <w:rPr>
          <w:rFonts w:eastAsia="Times New Roman" w:cstheme="minorHAnsi"/>
          <w:spacing w:val="-2"/>
        </w:rPr>
        <w:t>a</w:t>
      </w:r>
      <w:r w:rsidRPr="00A54361">
        <w:rPr>
          <w:rFonts w:eastAsia="Times New Roman" w:cstheme="minorHAnsi"/>
          <w:spacing w:val="-1"/>
        </w:rPr>
        <w:t>c</w:t>
      </w:r>
      <w:r w:rsidRPr="00A54361">
        <w:rPr>
          <w:rFonts w:eastAsia="Times New Roman" w:cstheme="minorHAnsi"/>
        </w:rPr>
        <w:t>ts</w:t>
      </w:r>
      <w:r w:rsidRPr="00A54361">
        <w:rPr>
          <w:rFonts w:eastAsia="Times New Roman" w:cstheme="minorHAnsi"/>
          <w:spacing w:val="6"/>
        </w:rPr>
        <w:t xml:space="preserve"> </w:t>
      </w:r>
      <w:r w:rsidRPr="00A54361">
        <w:rPr>
          <w:rFonts w:eastAsia="Times New Roman" w:cstheme="minorHAnsi"/>
          <w:spacing w:val="-1"/>
        </w:rPr>
        <w:t>a</w:t>
      </w:r>
      <w:r w:rsidRPr="00A54361">
        <w:rPr>
          <w:rFonts w:eastAsia="Times New Roman" w:cstheme="minorHAnsi"/>
        </w:rPr>
        <w:t xml:space="preserve">nd </w:t>
      </w:r>
      <w:r w:rsidRPr="00A54361">
        <w:rPr>
          <w:rFonts w:eastAsia="Times New Roman" w:cstheme="minorHAnsi"/>
          <w:spacing w:val="-1"/>
        </w:rPr>
        <w:t>c</w:t>
      </w:r>
      <w:r w:rsidRPr="00A54361">
        <w:rPr>
          <w:rFonts w:eastAsia="Times New Roman" w:cstheme="minorHAnsi"/>
        </w:rPr>
        <w:t>ir</w:t>
      </w:r>
      <w:r w:rsidRPr="00A54361">
        <w:rPr>
          <w:rFonts w:eastAsia="Times New Roman" w:cstheme="minorHAnsi"/>
          <w:spacing w:val="-1"/>
        </w:rPr>
        <w:t>c</w:t>
      </w:r>
      <w:r w:rsidRPr="00A54361">
        <w:rPr>
          <w:rFonts w:eastAsia="Times New Roman" w:cstheme="minorHAnsi"/>
        </w:rPr>
        <w:t>ums</w:t>
      </w:r>
      <w:r w:rsidRPr="00A54361">
        <w:rPr>
          <w:rFonts w:eastAsia="Times New Roman" w:cstheme="minorHAnsi"/>
          <w:spacing w:val="1"/>
        </w:rPr>
        <w:t>t</w:t>
      </w:r>
      <w:r w:rsidRPr="00A54361">
        <w:rPr>
          <w:rFonts w:eastAsia="Times New Roman" w:cstheme="minorHAnsi"/>
          <w:spacing w:val="-1"/>
        </w:rPr>
        <w:t>a</w:t>
      </w:r>
      <w:r w:rsidRPr="00A54361">
        <w:rPr>
          <w:rFonts w:eastAsia="Times New Roman" w:cstheme="minorHAnsi"/>
        </w:rPr>
        <w:t>n</w:t>
      </w:r>
      <w:r w:rsidRPr="00A54361">
        <w:rPr>
          <w:rFonts w:eastAsia="Times New Roman" w:cstheme="minorHAnsi"/>
          <w:spacing w:val="1"/>
        </w:rPr>
        <w:t>c</w:t>
      </w:r>
      <w:r w:rsidRPr="00A54361">
        <w:rPr>
          <w:rFonts w:eastAsia="Times New Roman" w:cstheme="minorHAnsi"/>
          <w:spacing w:val="-1"/>
        </w:rPr>
        <w:t>e</w:t>
      </w:r>
      <w:r w:rsidRPr="00A54361">
        <w:rPr>
          <w:rFonts w:eastAsia="Times New Roman" w:cstheme="minorHAnsi"/>
        </w:rPr>
        <w:t>s of the</w:t>
      </w:r>
      <w:r w:rsidRPr="00A54361">
        <w:rPr>
          <w:rFonts w:eastAsia="Times New Roman" w:cstheme="minorHAnsi"/>
          <w:spacing w:val="-1"/>
        </w:rPr>
        <w:t xml:space="preserve"> </w:t>
      </w:r>
      <w:r w:rsidRPr="00A54361">
        <w:rPr>
          <w:rFonts w:eastAsia="Times New Roman" w:cstheme="minorHAnsi"/>
          <w:spacing w:val="1"/>
        </w:rPr>
        <w:t>c</w:t>
      </w:r>
      <w:r w:rsidRPr="00A54361">
        <w:rPr>
          <w:rFonts w:eastAsia="Times New Roman" w:cstheme="minorHAnsi"/>
          <w:spacing w:val="-1"/>
        </w:rPr>
        <w:t>a</w:t>
      </w:r>
      <w:r w:rsidRPr="00A54361">
        <w:rPr>
          <w:rFonts w:eastAsia="Times New Roman" w:cstheme="minorHAnsi"/>
        </w:rPr>
        <w:t>s</w:t>
      </w:r>
      <w:r w:rsidRPr="00A54361">
        <w:rPr>
          <w:rFonts w:eastAsia="Times New Roman" w:cstheme="minorHAnsi"/>
          <w:spacing w:val="1"/>
        </w:rPr>
        <w:t>e</w:t>
      </w:r>
      <w:r w:rsidRPr="00A54361">
        <w:rPr>
          <w:rFonts w:eastAsia="Times New Roman" w:cstheme="minorHAnsi"/>
        </w:rPr>
        <w:t>.</w:t>
      </w:r>
    </w:p>
    <w:p w14:paraId="13171538" w14:textId="77777777" w:rsidR="0054549F" w:rsidRPr="00A54361" w:rsidRDefault="0054549F" w:rsidP="00A54361">
      <w:pPr>
        <w:ind w:left="100" w:right="8269" w:hanging="242"/>
        <w:jc w:val="both"/>
        <w:rPr>
          <w:rFonts w:cstheme="minorHAnsi"/>
        </w:rPr>
      </w:pPr>
      <w:r w:rsidRPr="00A54361">
        <w:rPr>
          <w:rFonts w:eastAsia="Times New Roman" w:cstheme="minorHAnsi"/>
          <w:b/>
        </w:rPr>
        <w:t xml:space="preserve">2. </w:t>
      </w:r>
      <w:r w:rsidRPr="00A54361">
        <w:rPr>
          <w:rFonts w:eastAsia="Times New Roman" w:cstheme="minorHAnsi"/>
          <w:b/>
          <w:spacing w:val="1"/>
        </w:rPr>
        <w:t>S</w:t>
      </w:r>
      <w:r w:rsidRPr="00A54361">
        <w:rPr>
          <w:rFonts w:eastAsia="Times New Roman" w:cstheme="minorHAnsi"/>
          <w:b/>
          <w:spacing w:val="-1"/>
        </w:rPr>
        <w:t>c</w:t>
      </w:r>
      <w:r w:rsidRPr="00A54361">
        <w:rPr>
          <w:rFonts w:eastAsia="Times New Roman" w:cstheme="minorHAnsi"/>
          <w:b/>
        </w:rPr>
        <w:t>o</w:t>
      </w:r>
      <w:r w:rsidRPr="00A54361">
        <w:rPr>
          <w:rFonts w:eastAsia="Times New Roman" w:cstheme="minorHAnsi"/>
          <w:b/>
          <w:spacing w:val="1"/>
        </w:rPr>
        <w:t>p</w:t>
      </w:r>
      <w:r w:rsidRPr="00A54361">
        <w:rPr>
          <w:rFonts w:eastAsia="Times New Roman" w:cstheme="minorHAnsi"/>
          <w:b/>
        </w:rPr>
        <w:t>e</w:t>
      </w:r>
    </w:p>
    <w:p w14:paraId="7795B239" w14:textId="77777777" w:rsidR="0054549F" w:rsidRPr="00A54361" w:rsidRDefault="0054549F" w:rsidP="00A54361">
      <w:pPr>
        <w:jc w:val="both"/>
        <w:rPr>
          <w:rFonts w:cstheme="minorHAnsi"/>
        </w:rPr>
      </w:pPr>
      <w:r w:rsidRPr="00A54361">
        <w:rPr>
          <w:rFonts w:cstheme="minorHAnsi"/>
        </w:rPr>
        <w:t>2.1</w:t>
      </w:r>
      <w:r w:rsidRPr="00A54361">
        <w:rPr>
          <w:rFonts w:cstheme="minorHAnsi"/>
          <w:spacing w:val="24"/>
        </w:rPr>
        <w:t xml:space="preserve"> </w:t>
      </w:r>
      <w:r w:rsidRPr="00A54361">
        <w:rPr>
          <w:rFonts w:cstheme="minorHAnsi"/>
        </w:rPr>
        <w:t>The</w:t>
      </w:r>
      <w:r w:rsidRPr="00A54361">
        <w:rPr>
          <w:rFonts w:cstheme="minorHAnsi"/>
          <w:spacing w:val="23"/>
        </w:rPr>
        <w:t xml:space="preserve"> </w:t>
      </w:r>
      <w:r w:rsidRPr="00A54361">
        <w:rPr>
          <w:rFonts w:cstheme="minorHAnsi"/>
        </w:rPr>
        <w:t>G</w:t>
      </w:r>
      <w:r w:rsidRPr="00A54361">
        <w:rPr>
          <w:rFonts w:cstheme="minorHAnsi"/>
          <w:spacing w:val="-1"/>
        </w:rPr>
        <w:t>e</w:t>
      </w:r>
      <w:r w:rsidRPr="00A54361">
        <w:rPr>
          <w:rFonts w:cstheme="minorHAnsi"/>
        </w:rPr>
        <w:t>n</w:t>
      </w:r>
      <w:r w:rsidRPr="00A54361">
        <w:rPr>
          <w:rFonts w:cstheme="minorHAnsi"/>
          <w:spacing w:val="-1"/>
        </w:rPr>
        <w:t>e</w:t>
      </w:r>
      <w:r w:rsidRPr="00A54361">
        <w:rPr>
          <w:rFonts w:cstheme="minorHAnsi"/>
        </w:rPr>
        <w:t>r</w:t>
      </w:r>
      <w:r w:rsidRPr="00A54361">
        <w:rPr>
          <w:rFonts w:cstheme="minorHAnsi"/>
          <w:spacing w:val="-2"/>
        </w:rPr>
        <w:t>a</w:t>
      </w:r>
      <w:r w:rsidRPr="00A54361">
        <w:rPr>
          <w:rFonts w:cstheme="minorHAnsi"/>
        </w:rPr>
        <w:t>l</w:t>
      </w:r>
      <w:r w:rsidRPr="00A54361">
        <w:rPr>
          <w:rFonts w:cstheme="minorHAnsi"/>
          <w:spacing w:val="24"/>
        </w:rPr>
        <w:t xml:space="preserve"> </w:t>
      </w:r>
      <w:r w:rsidRPr="00A54361">
        <w:rPr>
          <w:rFonts w:cstheme="minorHAnsi"/>
        </w:rPr>
        <w:t>Condi</w:t>
      </w:r>
      <w:r w:rsidRPr="00A54361">
        <w:rPr>
          <w:rFonts w:cstheme="minorHAnsi"/>
          <w:spacing w:val="1"/>
        </w:rPr>
        <w:t>t</w:t>
      </w:r>
      <w:r w:rsidRPr="00A54361">
        <w:rPr>
          <w:rFonts w:cstheme="minorHAnsi"/>
        </w:rPr>
        <w:t>ions</w:t>
      </w:r>
      <w:r w:rsidRPr="00A54361">
        <w:rPr>
          <w:rFonts w:cstheme="minorHAnsi"/>
          <w:spacing w:val="24"/>
        </w:rPr>
        <w:t xml:space="preserve"> </w:t>
      </w:r>
      <w:r w:rsidRPr="00A54361">
        <w:rPr>
          <w:rFonts w:cstheme="minorHAnsi"/>
        </w:rPr>
        <w:t>of</w:t>
      </w:r>
      <w:r w:rsidRPr="00A54361">
        <w:rPr>
          <w:rFonts w:cstheme="minorHAnsi"/>
          <w:spacing w:val="23"/>
        </w:rPr>
        <w:t xml:space="preserve"> </w:t>
      </w:r>
      <w:r w:rsidRPr="00A54361">
        <w:rPr>
          <w:rFonts w:cstheme="minorHAnsi"/>
        </w:rPr>
        <w:t>Contr</w:t>
      </w:r>
      <w:r w:rsidRPr="00A54361">
        <w:rPr>
          <w:rFonts w:cstheme="minorHAnsi"/>
          <w:spacing w:val="-1"/>
        </w:rPr>
        <w:t>ac</w:t>
      </w:r>
      <w:r w:rsidRPr="00A54361">
        <w:rPr>
          <w:rFonts w:cstheme="minorHAnsi"/>
        </w:rPr>
        <w:t>t</w:t>
      </w:r>
      <w:r w:rsidRPr="00A54361">
        <w:rPr>
          <w:rFonts w:cstheme="minorHAnsi"/>
          <w:spacing w:val="24"/>
        </w:rPr>
        <w:t xml:space="preserve"> </w:t>
      </w:r>
      <w:r w:rsidRPr="00A54361">
        <w:rPr>
          <w:rFonts w:cstheme="minorHAnsi"/>
        </w:rPr>
        <w:t>(</w:t>
      </w:r>
      <w:r w:rsidRPr="00A54361">
        <w:rPr>
          <w:rFonts w:cstheme="minorHAnsi"/>
          <w:spacing w:val="-1"/>
        </w:rPr>
        <w:t>G</w:t>
      </w:r>
      <w:r w:rsidRPr="00A54361">
        <w:rPr>
          <w:rFonts w:cstheme="minorHAnsi"/>
        </w:rPr>
        <w:t>C</w:t>
      </w:r>
      <w:r w:rsidRPr="00A54361">
        <w:rPr>
          <w:rFonts w:cstheme="minorHAnsi"/>
          <w:spacing w:val="4"/>
        </w:rPr>
        <w:t>C</w:t>
      </w:r>
      <w:r w:rsidRPr="00A54361">
        <w:rPr>
          <w:rFonts w:cstheme="minorHAnsi"/>
        </w:rPr>
        <w:t>)</w:t>
      </w:r>
      <w:r w:rsidRPr="00A54361">
        <w:rPr>
          <w:rFonts w:cstheme="minorHAnsi"/>
          <w:spacing w:val="21"/>
        </w:rPr>
        <w:t xml:space="preserve"> </w:t>
      </w:r>
      <w:r w:rsidRPr="00A54361">
        <w:rPr>
          <w:rFonts w:cstheme="minorHAnsi"/>
        </w:rPr>
        <w:t>of</w:t>
      </w:r>
      <w:r w:rsidRPr="00A54361">
        <w:rPr>
          <w:rFonts w:cstheme="minorHAnsi"/>
          <w:spacing w:val="23"/>
        </w:rPr>
        <w:t xml:space="preserve"> </w:t>
      </w:r>
      <w:r w:rsidRPr="00A54361">
        <w:rPr>
          <w:rFonts w:cstheme="minorHAnsi"/>
        </w:rPr>
        <w:t>CE</w:t>
      </w:r>
      <w:r w:rsidRPr="00A54361">
        <w:rPr>
          <w:rFonts w:cstheme="minorHAnsi"/>
          <w:spacing w:val="-1"/>
        </w:rPr>
        <w:t>N</w:t>
      </w:r>
      <w:r w:rsidRPr="00A54361">
        <w:rPr>
          <w:rFonts w:cstheme="minorHAnsi"/>
        </w:rPr>
        <w:t>TR</w:t>
      </w:r>
      <w:r w:rsidRPr="00A54361">
        <w:rPr>
          <w:rFonts w:cstheme="minorHAnsi"/>
          <w:spacing w:val="2"/>
        </w:rPr>
        <w:t>A</w:t>
      </w:r>
      <w:r w:rsidRPr="00A54361">
        <w:rPr>
          <w:rFonts w:cstheme="minorHAnsi"/>
        </w:rPr>
        <w:t>L</w:t>
      </w:r>
      <w:r w:rsidRPr="00A54361">
        <w:rPr>
          <w:rFonts w:cstheme="minorHAnsi"/>
          <w:spacing w:val="19"/>
        </w:rPr>
        <w:t xml:space="preserve"> </w:t>
      </w:r>
      <w:r w:rsidRPr="00A54361">
        <w:rPr>
          <w:rFonts w:cstheme="minorHAnsi"/>
          <w:spacing w:val="-2"/>
        </w:rPr>
        <w:t>B</w:t>
      </w:r>
      <w:r w:rsidRPr="00A54361">
        <w:rPr>
          <w:rFonts w:cstheme="minorHAnsi"/>
          <w:spacing w:val="2"/>
        </w:rPr>
        <w:t>A</w:t>
      </w:r>
      <w:r w:rsidRPr="00A54361">
        <w:rPr>
          <w:rFonts w:cstheme="minorHAnsi"/>
        </w:rPr>
        <w:t>NK</w:t>
      </w:r>
      <w:r w:rsidRPr="00A54361">
        <w:rPr>
          <w:rFonts w:cstheme="minorHAnsi"/>
          <w:spacing w:val="23"/>
        </w:rPr>
        <w:t xml:space="preserve"> </w:t>
      </w:r>
      <w:r w:rsidRPr="00A54361">
        <w:rPr>
          <w:rFonts w:cstheme="minorHAnsi"/>
          <w:spacing w:val="2"/>
        </w:rPr>
        <w:t>O</w:t>
      </w:r>
      <w:r w:rsidRPr="00A54361">
        <w:rPr>
          <w:rFonts w:cstheme="minorHAnsi"/>
        </w:rPr>
        <w:t>F</w:t>
      </w:r>
      <w:r w:rsidRPr="00A54361">
        <w:rPr>
          <w:rFonts w:cstheme="minorHAnsi"/>
          <w:spacing w:val="25"/>
        </w:rPr>
        <w:t xml:space="preserve"> </w:t>
      </w:r>
      <w:r w:rsidRPr="00A54361">
        <w:rPr>
          <w:rFonts w:cstheme="minorHAnsi"/>
          <w:spacing w:val="-3"/>
        </w:rPr>
        <w:t>I</w:t>
      </w:r>
      <w:r w:rsidRPr="00A54361">
        <w:rPr>
          <w:rFonts w:cstheme="minorHAnsi"/>
        </w:rPr>
        <w:t>N</w:t>
      </w:r>
      <w:r w:rsidRPr="00A54361">
        <w:rPr>
          <w:rFonts w:cstheme="minorHAnsi"/>
          <w:spacing w:val="1"/>
        </w:rPr>
        <w:t>D</w:t>
      </w:r>
      <w:r w:rsidRPr="00A54361">
        <w:rPr>
          <w:rFonts w:cstheme="minorHAnsi"/>
          <w:spacing w:val="-3"/>
        </w:rPr>
        <w:t>I</w:t>
      </w:r>
      <w:r w:rsidRPr="00A54361">
        <w:rPr>
          <w:rFonts w:cstheme="minorHAnsi"/>
        </w:rPr>
        <w:t>A</w:t>
      </w:r>
      <w:r w:rsidRPr="00A54361">
        <w:rPr>
          <w:rFonts w:cstheme="minorHAnsi"/>
          <w:spacing w:val="26"/>
        </w:rPr>
        <w:t xml:space="preserve"> </w:t>
      </w:r>
      <w:r w:rsidRPr="00A54361">
        <w:rPr>
          <w:rFonts w:cstheme="minorHAnsi"/>
          <w:spacing w:val="-2"/>
        </w:rPr>
        <w:t>g</w:t>
      </w:r>
      <w:r w:rsidRPr="00A54361">
        <w:rPr>
          <w:rFonts w:cstheme="minorHAnsi"/>
          <w:spacing w:val="-1"/>
        </w:rPr>
        <w:t>e</w:t>
      </w:r>
      <w:r w:rsidRPr="00A54361">
        <w:rPr>
          <w:rFonts w:cstheme="minorHAnsi"/>
          <w:spacing w:val="2"/>
        </w:rPr>
        <w:t>n</w:t>
      </w:r>
      <w:r w:rsidRPr="00A54361">
        <w:rPr>
          <w:rFonts w:cstheme="minorHAnsi"/>
          <w:spacing w:val="-1"/>
        </w:rPr>
        <w:t>e</w:t>
      </w:r>
      <w:r w:rsidRPr="00A54361">
        <w:rPr>
          <w:rFonts w:cstheme="minorHAnsi"/>
        </w:rPr>
        <w:t>r</w:t>
      </w:r>
      <w:r w:rsidRPr="00A54361">
        <w:rPr>
          <w:rFonts w:cstheme="minorHAnsi"/>
          <w:spacing w:val="-2"/>
        </w:rPr>
        <w:t>a</w:t>
      </w:r>
      <w:r w:rsidRPr="00A54361">
        <w:rPr>
          <w:rFonts w:cstheme="minorHAnsi"/>
        </w:rPr>
        <w:t>l</w:t>
      </w:r>
      <w:r w:rsidRPr="00A54361">
        <w:rPr>
          <w:rFonts w:cstheme="minorHAnsi"/>
          <w:spacing w:val="6"/>
        </w:rPr>
        <w:t>l</w:t>
      </w:r>
      <w:r w:rsidRPr="00A54361">
        <w:rPr>
          <w:rFonts w:cstheme="minorHAnsi"/>
        </w:rPr>
        <w:t>y</w:t>
      </w:r>
    </w:p>
    <w:p w14:paraId="44E32D57" w14:textId="77777777" w:rsidR="0054549F" w:rsidRPr="00A54361" w:rsidRDefault="0054549F" w:rsidP="00A54361">
      <w:pPr>
        <w:jc w:val="both"/>
        <w:rPr>
          <w:rFonts w:cstheme="minorHAnsi"/>
        </w:rPr>
      </w:pPr>
      <w:r w:rsidRPr="00A54361">
        <w:rPr>
          <w:rFonts w:cstheme="minorHAnsi"/>
        </w:rPr>
        <w:t>provide</w:t>
      </w:r>
      <w:r w:rsidRPr="00A54361">
        <w:rPr>
          <w:rFonts w:cstheme="minorHAnsi"/>
          <w:spacing w:val="-1"/>
        </w:rPr>
        <w:t xml:space="preserve"> </w:t>
      </w:r>
      <w:r w:rsidRPr="00A54361">
        <w:rPr>
          <w:rFonts w:cstheme="minorHAnsi"/>
        </w:rPr>
        <w:t>that CENTR</w:t>
      </w:r>
      <w:r w:rsidRPr="00A54361">
        <w:rPr>
          <w:rFonts w:cstheme="minorHAnsi"/>
          <w:spacing w:val="2"/>
        </w:rPr>
        <w:t>A</w:t>
      </w:r>
      <w:r w:rsidRPr="00A54361">
        <w:rPr>
          <w:rFonts w:cstheme="minorHAnsi"/>
        </w:rPr>
        <w:t xml:space="preserve">L </w:t>
      </w:r>
      <w:r w:rsidRPr="00A54361">
        <w:rPr>
          <w:rFonts w:cstheme="minorHAnsi"/>
          <w:spacing w:val="-2"/>
        </w:rPr>
        <w:t>B</w:t>
      </w:r>
      <w:r w:rsidRPr="00A54361">
        <w:rPr>
          <w:rFonts w:cstheme="minorHAnsi"/>
        </w:rPr>
        <w:t>A</w:t>
      </w:r>
      <w:r w:rsidRPr="00A54361">
        <w:rPr>
          <w:rFonts w:cstheme="minorHAnsi"/>
          <w:spacing w:val="-1"/>
        </w:rPr>
        <w:t>N</w:t>
      </w:r>
      <w:r w:rsidRPr="00A54361">
        <w:rPr>
          <w:rFonts w:cstheme="minorHAnsi"/>
        </w:rPr>
        <w:t>K</w:t>
      </w:r>
      <w:r w:rsidRPr="00A54361">
        <w:rPr>
          <w:rFonts w:cstheme="minorHAnsi"/>
          <w:spacing w:val="2"/>
        </w:rPr>
        <w:t xml:space="preserve"> </w:t>
      </w:r>
      <w:r w:rsidRPr="00A54361">
        <w:rPr>
          <w:rFonts w:cstheme="minorHAnsi"/>
        </w:rPr>
        <w:t>OF</w:t>
      </w:r>
      <w:r w:rsidRPr="00A54361">
        <w:rPr>
          <w:rFonts w:cstheme="minorHAnsi"/>
          <w:spacing w:val="3"/>
        </w:rPr>
        <w:t xml:space="preserve"> </w:t>
      </w:r>
      <w:r w:rsidRPr="00A54361">
        <w:rPr>
          <w:rFonts w:cstheme="minorHAnsi"/>
          <w:spacing w:val="-3"/>
        </w:rPr>
        <w:t>I</w:t>
      </w:r>
      <w:r w:rsidRPr="00A54361">
        <w:rPr>
          <w:rFonts w:cstheme="minorHAnsi"/>
        </w:rPr>
        <w:t>N</w:t>
      </w:r>
      <w:r w:rsidRPr="00A54361">
        <w:rPr>
          <w:rFonts w:cstheme="minorHAnsi"/>
          <w:spacing w:val="1"/>
        </w:rPr>
        <w:t>D</w:t>
      </w:r>
      <w:r w:rsidRPr="00A54361">
        <w:rPr>
          <w:rFonts w:cstheme="minorHAnsi"/>
          <w:spacing w:val="-3"/>
        </w:rPr>
        <w:t>I</w:t>
      </w:r>
      <w:r w:rsidRPr="00A54361">
        <w:rPr>
          <w:rFonts w:cstheme="minorHAnsi"/>
        </w:rPr>
        <w:t>A</w:t>
      </w:r>
      <w:r w:rsidRPr="00A54361">
        <w:rPr>
          <w:rFonts w:cstheme="minorHAnsi"/>
          <w:spacing w:val="2"/>
        </w:rPr>
        <w:t xml:space="preserve"> </w:t>
      </w:r>
      <w:r w:rsidRPr="00A54361">
        <w:rPr>
          <w:rFonts w:cstheme="minorHAnsi"/>
        </w:rPr>
        <w:t>r</w:t>
      </w:r>
      <w:r w:rsidRPr="00A54361">
        <w:rPr>
          <w:rFonts w:cstheme="minorHAnsi"/>
          <w:spacing w:val="-2"/>
        </w:rPr>
        <w:t>e</w:t>
      </w:r>
      <w:r w:rsidRPr="00A54361">
        <w:rPr>
          <w:rFonts w:cstheme="minorHAnsi"/>
          <w:spacing w:val="2"/>
        </w:rPr>
        <w:t>s</w:t>
      </w:r>
      <w:r w:rsidRPr="00A54361">
        <w:rPr>
          <w:rFonts w:cstheme="minorHAnsi"/>
          <w:spacing w:val="-1"/>
        </w:rPr>
        <w:t>e</w:t>
      </w:r>
      <w:r w:rsidRPr="00A54361">
        <w:rPr>
          <w:rFonts w:cstheme="minorHAnsi"/>
        </w:rPr>
        <w:t>r</w:t>
      </w:r>
      <w:r w:rsidRPr="00A54361">
        <w:rPr>
          <w:rFonts w:cstheme="minorHAnsi"/>
          <w:spacing w:val="1"/>
        </w:rPr>
        <w:t>v</w:t>
      </w:r>
      <w:r w:rsidRPr="00A54361">
        <w:rPr>
          <w:rFonts w:cstheme="minorHAnsi"/>
          <w:spacing w:val="-1"/>
        </w:rPr>
        <w:t>e</w:t>
      </w:r>
      <w:r w:rsidRPr="00A54361">
        <w:rPr>
          <w:rFonts w:cstheme="minorHAnsi"/>
        </w:rPr>
        <w:t>s i</w:t>
      </w:r>
      <w:r w:rsidRPr="00A54361">
        <w:rPr>
          <w:rFonts w:cstheme="minorHAnsi"/>
          <w:spacing w:val="1"/>
        </w:rPr>
        <w:t>t</w:t>
      </w:r>
      <w:r w:rsidRPr="00A54361">
        <w:rPr>
          <w:rFonts w:cstheme="minorHAnsi"/>
        </w:rPr>
        <w:t>s ri</w:t>
      </w:r>
      <w:r w:rsidRPr="00A54361">
        <w:rPr>
          <w:rFonts w:cstheme="minorHAnsi"/>
          <w:spacing w:val="-2"/>
        </w:rPr>
        <w:t>g</w:t>
      </w:r>
      <w:r w:rsidRPr="00A54361">
        <w:rPr>
          <w:rFonts w:cstheme="minorHAnsi"/>
        </w:rPr>
        <w:t xml:space="preserve">hts </w:t>
      </w:r>
      <w:r w:rsidRPr="00A54361">
        <w:rPr>
          <w:rFonts w:cstheme="minorHAnsi"/>
          <w:spacing w:val="1"/>
        </w:rPr>
        <w:t>t</w:t>
      </w:r>
      <w:r w:rsidRPr="00A54361">
        <w:rPr>
          <w:rFonts w:cstheme="minorHAnsi"/>
        </w:rPr>
        <w:t>o r</w:t>
      </w:r>
      <w:r w:rsidRPr="00A54361">
        <w:rPr>
          <w:rFonts w:cstheme="minorHAnsi"/>
          <w:spacing w:val="-2"/>
        </w:rPr>
        <w:t>e</w:t>
      </w:r>
      <w:r w:rsidRPr="00A54361">
        <w:rPr>
          <w:rFonts w:cstheme="minorHAnsi"/>
        </w:rPr>
        <w:t>mo</w:t>
      </w:r>
      <w:r w:rsidRPr="00A54361">
        <w:rPr>
          <w:rFonts w:cstheme="minorHAnsi"/>
          <w:spacing w:val="3"/>
        </w:rPr>
        <w:t>v</w:t>
      </w:r>
      <w:r w:rsidRPr="00A54361">
        <w:rPr>
          <w:rFonts w:cstheme="minorHAnsi"/>
        </w:rPr>
        <w:t>e</w:t>
      </w:r>
      <w:r w:rsidRPr="00A54361">
        <w:rPr>
          <w:rFonts w:cstheme="minorHAnsi"/>
          <w:spacing w:val="-1"/>
        </w:rPr>
        <w:t xml:space="preserve"> </w:t>
      </w:r>
      <w:r w:rsidRPr="00A54361">
        <w:rPr>
          <w:rFonts w:cstheme="minorHAnsi"/>
        </w:rPr>
        <w:t>f</w:t>
      </w:r>
      <w:r w:rsidRPr="00A54361">
        <w:rPr>
          <w:rFonts w:cstheme="minorHAnsi"/>
          <w:spacing w:val="1"/>
        </w:rPr>
        <w:t>r</w:t>
      </w:r>
      <w:r w:rsidRPr="00A54361">
        <w:rPr>
          <w:rFonts w:cstheme="minorHAnsi"/>
        </w:rPr>
        <w:t xml:space="preserve">om </w:t>
      </w:r>
      <w:r w:rsidRPr="00A54361">
        <w:rPr>
          <w:rFonts w:cstheme="minorHAnsi"/>
          <w:spacing w:val="1"/>
        </w:rPr>
        <w:t>l</w:t>
      </w:r>
      <w:r w:rsidRPr="00A54361">
        <w:rPr>
          <w:rFonts w:cstheme="minorHAnsi"/>
        </w:rPr>
        <w:t>ist</w:t>
      </w:r>
      <w:r w:rsidRPr="00A54361">
        <w:rPr>
          <w:rFonts w:cstheme="minorHAnsi"/>
          <w:spacing w:val="1"/>
        </w:rPr>
        <w:t xml:space="preserve"> </w:t>
      </w:r>
      <w:r w:rsidRPr="00A54361">
        <w:rPr>
          <w:rFonts w:cstheme="minorHAnsi"/>
        </w:rPr>
        <w:t xml:space="preserve">of </w:t>
      </w:r>
      <w:r w:rsidRPr="00A54361">
        <w:rPr>
          <w:rFonts w:cstheme="minorHAnsi"/>
          <w:spacing w:val="-2"/>
        </w:rPr>
        <w:t>a</w:t>
      </w:r>
      <w:r w:rsidRPr="00A54361">
        <w:rPr>
          <w:rFonts w:cstheme="minorHAnsi"/>
        </w:rPr>
        <w:t>ppro</w:t>
      </w:r>
      <w:r w:rsidRPr="00A54361">
        <w:rPr>
          <w:rFonts w:cstheme="minorHAnsi"/>
          <w:spacing w:val="-1"/>
        </w:rPr>
        <w:t>ve</w:t>
      </w:r>
      <w:r w:rsidRPr="00A54361">
        <w:rPr>
          <w:rFonts w:cstheme="minorHAnsi"/>
        </w:rPr>
        <w:t>d supplie</w:t>
      </w:r>
      <w:r w:rsidRPr="00A54361">
        <w:rPr>
          <w:rFonts w:cstheme="minorHAnsi"/>
          <w:spacing w:val="-1"/>
        </w:rPr>
        <w:t>r</w:t>
      </w:r>
      <w:r w:rsidRPr="00A54361">
        <w:rPr>
          <w:rFonts w:cstheme="minorHAnsi"/>
        </w:rPr>
        <w:t>s</w:t>
      </w:r>
      <w:r w:rsidRPr="00A54361">
        <w:rPr>
          <w:rFonts w:cstheme="minorHAnsi"/>
          <w:spacing w:val="5"/>
        </w:rPr>
        <w:t xml:space="preserve"> </w:t>
      </w:r>
      <w:r w:rsidRPr="00A54361">
        <w:rPr>
          <w:rFonts w:cstheme="minorHAnsi"/>
        </w:rPr>
        <w:t>/</w:t>
      </w:r>
      <w:r w:rsidRPr="00A54361">
        <w:rPr>
          <w:rFonts w:cstheme="minorHAnsi"/>
          <w:spacing w:val="6"/>
        </w:rPr>
        <w:t xml:space="preserve"> </w:t>
      </w:r>
      <w:r w:rsidRPr="00A54361">
        <w:rPr>
          <w:rFonts w:cstheme="minorHAnsi"/>
          <w:spacing w:val="-1"/>
        </w:rPr>
        <w:t>c</w:t>
      </w:r>
      <w:r w:rsidRPr="00A54361">
        <w:rPr>
          <w:rFonts w:cstheme="minorHAnsi"/>
        </w:rPr>
        <w:t>ontr</w:t>
      </w:r>
      <w:r w:rsidRPr="00A54361">
        <w:rPr>
          <w:rFonts w:cstheme="minorHAnsi"/>
          <w:spacing w:val="-1"/>
        </w:rPr>
        <w:t>ac</w:t>
      </w:r>
      <w:r w:rsidRPr="00A54361">
        <w:rPr>
          <w:rFonts w:cstheme="minorHAnsi"/>
        </w:rPr>
        <w:t>tors</w:t>
      </w:r>
      <w:r w:rsidRPr="00A54361">
        <w:rPr>
          <w:rFonts w:cstheme="minorHAnsi"/>
          <w:spacing w:val="5"/>
        </w:rPr>
        <w:t xml:space="preserve"> </w:t>
      </w:r>
      <w:r w:rsidRPr="00A54361">
        <w:rPr>
          <w:rFonts w:cstheme="minorHAnsi"/>
          <w:spacing w:val="2"/>
        </w:rPr>
        <w:t>o</w:t>
      </w:r>
      <w:r w:rsidRPr="00A54361">
        <w:rPr>
          <w:rFonts w:cstheme="minorHAnsi"/>
        </w:rPr>
        <w:t>r</w:t>
      </w:r>
      <w:r w:rsidRPr="00A54361">
        <w:rPr>
          <w:rFonts w:cstheme="minorHAnsi"/>
          <w:spacing w:val="4"/>
        </w:rPr>
        <w:t xml:space="preserve"> </w:t>
      </w:r>
      <w:r w:rsidRPr="00A54361">
        <w:rPr>
          <w:rFonts w:cstheme="minorHAnsi"/>
        </w:rPr>
        <w:t>to</w:t>
      </w:r>
      <w:r w:rsidRPr="00A54361">
        <w:rPr>
          <w:rFonts w:cstheme="minorHAnsi"/>
          <w:spacing w:val="6"/>
        </w:rPr>
        <w:t xml:space="preserve"> </w:t>
      </w:r>
      <w:r w:rsidRPr="00A54361">
        <w:rPr>
          <w:rFonts w:cstheme="minorHAnsi"/>
        </w:rPr>
        <w:t>b</w:t>
      </w:r>
      <w:r w:rsidRPr="00A54361">
        <w:rPr>
          <w:rFonts w:cstheme="minorHAnsi"/>
          <w:spacing w:val="-1"/>
        </w:rPr>
        <w:t>a</w:t>
      </w:r>
      <w:r w:rsidRPr="00A54361">
        <w:rPr>
          <w:rFonts w:cstheme="minorHAnsi"/>
        </w:rPr>
        <w:t>n</w:t>
      </w:r>
      <w:r w:rsidRPr="00A54361">
        <w:rPr>
          <w:rFonts w:cstheme="minorHAnsi"/>
          <w:spacing w:val="5"/>
        </w:rPr>
        <w:t xml:space="preserve"> </w:t>
      </w:r>
      <w:r w:rsidRPr="00A54361">
        <w:rPr>
          <w:rFonts w:cstheme="minorHAnsi"/>
        </w:rPr>
        <w:t>busin</w:t>
      </w:r>
      <w:r w:rsidRPr="00A54361">
        <w:rPr>
          <w:rFonts w:cstheme="minorHAnsi"/>
          <w:spacing w:val="-1"/>
        </w:rPr>
        <w:t>e</w:t>
      </w:r>
      <w:r w:rsidRPr="00A54361">
        <w:rPr>
          <w:rFonts w:cstheme="minorHAnsi"/>
        </w:rPr>
        <w:t>ss</w:t>
      </w:r>
      <w:r w:rsidRPr="00A54361">
        <w:rPr>
          <w:rFonts w:cstheme="minorHAnsi"/>
          <w:spacing w:val="6"/>
        </w:rPr>
        <w:t xml:space="preserve"> </w:t>
      </w:r>
      <w:r w:rsidRPr="00A54361">
        <w:rPr>
          <w:rFonts w:cstheme="minorHAnsi"/>
        </w:rPr>
        <w:t>d</w:t>
      </w:r>
      <w:r w:rsidRPr="00A54361">
        <w:rPr>
          <w:rFonts w:cstheme="minorHAnsi"/>
          <w:spacing w:val="-1"/>
        </w:rPr>
        <w:t>ea</w:t>
      </w:r>
      <w:r w:rsidRPr="00A54361">
        <w:rPr>
          <w:rFonts w:cstheme="minorHAnsi"/>
        </w:rPr>
        <w:t>l</w:t>
      </w:r>
      <w:r w:rsidRPr="00A54361">
        <w:rPr>
          <w:rFonts w:cstheme="minorHAnsi"/>
          <w:spacing w:val="1"/>
        </w:rPr>
        <w:t>i</w:t>
      </w:r>
      <w:r w:rsidRPr="00A54361">
        <w:rPr>
          <w:rFonts w:cstheme="minorHAnsi"/>
        </w:rPr>
        <w:t>n</w:t>
      </w:r>
      <w:r w:rsidRPr="00A54361">
        <w:rPr>
          <w:rFonts w:cstheme="minorHAnsi"/>
          <w:spacing w:val="-2"/>
        </w:rPr>
        <w:t>g</w:t>
      </w:r>
      <w:r w:rsidRPr="00A54361">
        <w:rPr>
          <w:rFonts w:cstheme="minorHAnsi"/>
        </w:rPr>
        <w:t>s</w:t>
      </w:r>
      <w:r w:rsidRPr="00A54361">
        <w:rPr>
          <w:rFonts w:cstheme="minorHAnsi"/>
          <w:spacing w:val="5"/>
        </w:rPr>
        <w:t xml:space="preserve"> </w:t>
      </w:r>
      <w:r w:rsidRPr="00A54361">
        <w:rPr>
          <w:rFonts w:cstheme="minorHAnsi"/>
        </w:rPr>
        <w:t>if</w:t>
      </w:r>
      <w:r w:rsidRPr="00A54361">
        <w:rPr>
          <w:rFonts w:cstheme="minorHAnsi"/>
          <w:spacing w:val="5"/>
        </w:rPr>
        <w:t xml:space="preserve"> </w:t>
      </w:r>
      <w:r w:rsidRPr="00A54361">
        <w:rPr>
          <w:rFonts w:cstheme="minorHAnsi"/>
          <w:spacing w:val="-1"/>
        </w:rPr>
        <w:t>a</w:t>
      </w:r>
      <w:r w:rsidRPr="00A54361">
        <w:rPr>
          <w:rFonts w:cstheme="minorHAnsi"/>
          <w:spacing w:val="5"/>
        </w:rPr>
        <w:t>n</w:t>
      </w:r>
      <w:r w:rsidRPr="00A54361">
        <w:rPr>
          <w:rFonts w:cstheme="minorHAnsi"/>
        </w:rPr>
        <w:t xml:space="preserve">y </w:t>
      </w:r>
      <w:r w:rsidRPr="00A54361">
        <w:rPr>
          <w:rFonts w:cstheme="minorHAnsi"/>
          <w:spacing w:val="2"/>
        </w:rPr>
        <w:t>A</w:t>
      </w:r>
      <w:r w:rsidRPr="00A54361">
        <w:rPr>
          <w:rFonts w:cstheme="minorHAnsi"/>
          <w:spacing w:val="-2"/>
        </w:rPr>
        <w:t>g</w:t>
      </w:r>
      <w:r w:rsidRPr="00A54361">
        <w:rPr>
          <w:rFonts w:cstheme="minorHAnsi"/>
          <w:spacing w:val="-1"/>
        </w:rPr>
        <w:t>e</w:t>
      </w:r>
      <w:r w:rsidRPr="00A54361">
        <w:rPr>
          <w:rFonts w:cstheme="minorHAnsi"/>
          <w:spacing w:val="2"/>
        </w:rPr>
        <w:t>n</w:t>
      </w:r>
      <w:r w:rsidRPr="00A54361">
        <w:rPr>
          <w:rFonts w:cstheme="minorHAnsi"/>
          <w:spacing w:val="4"/>
        </w:rPr>
        <w:t>c</w:t>
      </w:r>
      <w:r w:rsidRPr="00A54361">
        <w:rPr>
          <w:rFonts w:cstheme="minorHAnsi"/>
        </w:rPr>
        <w:t>y h</w:t>
      </w:r>
      <w:r w:rsidRPr="00A54361">
        <w:rPr>
          <w:rFonts w:cstheme="minorHAnsi"/>
          <w:spacing w:val="-1"/>
        </w:rPr>
        <w:t>a</w:t>
      </w:r>
      <w:r w:rsidRPr="00A54361">
        <w:rPr>
          <w:rFonts w:cstheme="minorHAnsi"/>
        </w:rPr>
        <w:t>s</w:t>
      </w:r>
      <w:r w:rsidRPr="00A54361">
        <w:rPr>
          <w:rFonts w:cstheme="minorHAnsi"/>
          <w:spacing w:val="5"/>
        </w:rPr>
        <w:t xml:space="preserve"> </w:t>
      </w:r>
      <w:r w:rsidRPr="00A54361">
        <w:rPr>
          <w:rFonts w:cstheme="minorHAnsi"/>
          <w:spacing w:val="2"/>
        </w:rPr>
        <w:t>b</w:t>
      </w:r>
      <w:r w:rsidRPr="00A54361">
        <w:rPr>
          <w:rFonts w:cstheme="minorHAnsi"/>
          <w:spacing w:val="-1"/>
        </w:rPr>
        <w:t>ee</w:t>
      </w:r>
      <w:r w:rsidRPr="00A54361">
        <w:rPr>
          <w:rFonts w:cstheme="minorHAnsi"/>
        </w:rPr>
        <w:t>n</w:t>
      </w:r>
      <w:r w:rsidRPr="00A54361">
        <w:rPr>
          <w:rFonts w:cstheme="minorHAnsi"/>
          <w:spacing w:val="5"/>
        </w:rPr>
        <w:t xml:space="preserve"> </w:t>
      </w:r>
      <w:r w:rsidRPr="00A54361">
        <w:rPr>
          <w:rFonts w:cstheme="minorHAnsi"/>
        </w:rPr>
        <w:t>found</w:t>
      </w:r>
      <w:r w:rsidRPr="00A54361">
        <w:rPr>
          <w:rFonts w:cstheme="minorHAnsi"/>
          <w:spacing w:val="4"/>
        </w:rPr>
        <w:t xml:space="preserve"> </w:t>
      </w:r>
      <w:r w:rsidRPr="00A54361">
        <w:rPr>
          <w:rFonts w:cstheme="minorHAnsi"/>
        </w:rPr>
        <w:t>to</w:t>
      </w:r>
      <w:r w:rsidRPr="00A54361">
        <w:rPr>
          <w:rFonts w:cstheme="minorHAnsi"/>
          <w:spacing w:val="6"/>
        </w:rPr>
        <w:t xml:space="preserve"> </w:t>
      </w:r>
      <w:r w:rsidRPr="00A54361">
        <w:rPr>
          <w:rFonts w:cstheme="minorHAnsi"/>
        </w:rPr>
        <w:t>h</w:t>
      </w:r>
      <w:r w:rsidRPr="00A54361">
        <w:rPr>
          <w:rFonts w:cstheme="minorHAnsi"/>
          <w:spacing w:val="-1"/>
        </w:rPr>
        <w:t>a</w:t>
      </w:r>
      <w:r w:rsidRPr="00A54361">
        <w:rPr>
          <w:rFonts w:cstheme="minorHAnsi"/>
        </w:rPr>
        <w:t xml:space="preserve">ve </w:t>
      </w:r>
      <w:r w:rsidRPr="00A54361">
        <w:rPr>
          <w:rFonts w:cstheme="minorHAnsi"/>
          <w:spacing w:val="-1"/>
        </w:rPr>
        <w:t>c</w:t>
      </w:r>
      <w:r w:rsidRPr="00A54361">
        <w:rPr>
          <w:rFonts w:cstheme="minorHAnsi"/>
        </w:rPr>
        <w:t>om</w:t>
      </w:r>
      <w:r w:rsidRPr="00A54361">
        <w:rPr>
          <w:rFonts w:cstheme="minorHAnsi"/>
          <w:spacing w:val="1"/>
        </w:rPr>
        <w:t>m</w:t>
      </w:r>
      <w:r w:rsidRPr="00A54361">
        <w:rPr>
          <w:rFonts w:cstheme="minorHAnsi"/>
        </w:rPr>
        <w:t>i</w:t>
      </w:r>
      <w:r w:rsidRPr="00A54361">
        <w:rPr>
          <w:rFonts w:cstheme="minorHAnsi"/>
          <w:spacing w:val="1"/>
        </w:rPr>
        <w:t>t</w:t>
      </w:r>
      <w:r w:rsidRPr="00A54361">
        <w:rPr>
          <w:rFonts w:cstheme="minorHAnsi"/>
        </w:rPr>
        <w:t>ted</w:t>
      </w:r>
      <w:r w:rsidRPr="00A54361">
        <w:rPr>
          <w:rFonts w:cstheme="minorHAnsi"/>
          <w:spacing w:val="2"/>
        </w:rPr>
        <w:t xml:space="preserve"> </w:t>
      </w:r>
      <w:r w:rsidRPr="00A54361">
        <w:rPr>
          <w:rFonts w:cstheme="minorHAnsi"/>
        </w:rPr>
        <w:t>m</w:t>
      </w:r>
      <w:r w:rsidRPr="00A54361">
        <w:rPr>
          <w:rFonts w:cstheme="minorHAnsi"/>
          <w:spacing w:val="1"/>
        </w:rPr>
        <w:t>i</w:t>
      </w:r>
      <w:r w:rsidRPr="00A54361">
        <w:rPr>
          <w:rFonts w:cstheme="minorHAnsi"/>
        </w:rPr>
        <w:t>s</w:t>
      </w:r>
      <w:r w:rsidRPr="00A54361">
        <w:rPr>
          <w:rFonts w:cstheme="minorHAnsi"/>
          <w:spacing w:val="-1"/>
        </w:rPr>
        <w:t>c</w:t>
      </w:r>
      <w:r w:rsidRPr="00A54361">
        <w:rPr>
          <w:rFonts w:cstheme="minorHAnsi"/>
        </w:rPr>
        <w:t>ondu</w:t>
      </w:r>
      <w:r w:rsidRPr="00A54361">
        <w:rPr>
          <w:rFonts w:cstheme="minorHAnsi"/>
          <w:spacing w:val="-1"/>
        </w:rPr>
        <w:t>c</w:t>
      </w:r>
      <w:r w:rsidRPr="00A54361">
        <w:rPr>
          <w:rFonts w:cstheme="minorHAnsi"/>
        </w:rPr>
        <w:t>t</w:t>
      </w:r>
      <w:r w:rsidRPr="00A54361">
        <w:rPr>
          <w:rFonts w:cstheme="minorHAnsi"/>
          <w:spacing w:val="3"/>
        </w:rPr>
        <w:t xml:space="preserve"> </w:t>
      </w:r>
      <w:r w:rsidRPr="00A54361">
        <w:rPr>
          <w:rFonts w:cstheme="minorHAnsi"/>
          <w:spacing w:val="-3"/>
        </w:rPr>
        <w:t>a</w:t>
      </w:r>
      <w:r w:rsidRPr="00A54361">
        <w:rPr>
          <w:rFonts w:cstheme="minorHAnsi"/>
        </w:rPr>
        <w:t>nd</w:t>
      </w:r>
      <w:r w:rsidRPr="00A54361">
        <w:rPr>
          <w:rFonts w:cstheme="minorHAnsi"/>
          <w:spacing w:val="3"/>
        </w:rPr>
        <w:t xml:space="preserve"> </w:t>
      </w:r>
      <w:r w:rsidRPr="00A54361">
        <w:rPr>
          <w:rFonts w:cstheme="minorHAnsi"/>
          <w:spacing w:val="-1"/>
        </w:rPr>
        <w:t>a</w:t>
      </w:r>
      <w:r w:rsidRPr="00A54361">
        <w:rPr>
          <w:rFonts w:cstheme="minorHAnsi"/>
        </w:rPr>
        <w:t>lso</w:t>
      </w:r>
      <w:r w:rsidRPr="00A54361">
        <w:rPr>
          <w:rFonts w:cstheme="minorHAnsi"/>
          <w:spacing w:val="3"/>
        </w:rPr>
        <w:t xml:space="preserve"> </w:t>
      </w:r>
      <w:r w:rsidRPr="00A54361">
        <w:rPr>
          <w:rFonts w:cstheme="minorHAnsi"/>
        </w:rPr>
        <w:t>to</w:t>
      </w:r>
      <w:r w:rsidRPr="00A54361">
        <w:rPr>
          <w:rFonts w:cstheme="minorHAnsi"/>
          <w:spacing w:val="3"/>
        </w:rPr>
        <w:t xml:space="preserve"> </w:t>
      </w:r>
      <w:r w:rsidRPr="00A54361">
        <w:rPr>
          <w:rFonts w:cstheme="minorHAnsi"/>
        </w:rPr>
        <w:t>suspend</w:t>
      </w:r>
      <w:r w:rsidRPr="00A54361">
        <w:rPr>
          <w:rFonts w:cstheme="minorHAnsi"/>
          <w:spacing w:val="2"/>
        </w:rPr>
        <w:t xml:space="preserve"> </w:t>
      </w:r>
      <w:r w:rsidRPr="00A54361">
        <w:rPr>
          <w:rFonts w:cstheme="minorHAnsi"/>
        </w:rPr>
        <w:t>b</w:t>
      </w:r>
      <w:r w:rsidRPr="00A54361">
        <w:rPr>
          <w:rFonts w:cstheme="minorHAnsi"/>
          <w:spacing w:val="3"/>
        </w:rPr>
        <w:t>u</w:t>
      </w:r>
      <w:r w:rsidRPr="00A54361">
        <w:rPr>
          <w:rFonts w:cstheme="minorHAnsi"/>
          <w:spacing w:val="-2"/>
        </w:rPr>
        <w:t>s</w:t>
      </w:r>
      <w:r w:rsidRPr="00A54361">
        <w:rPr>
          <w:rFonts w:cstheme="minorHAnsi"/>
        </w:rPr>
        <w:t>i</w:t>
      </w:r>
      <w:r w:rsidRPr="00A54361">
        <w:rPr>
          <w:rFonts w:cstheme="minorHAnsi"/>
          <w:spacing w:val="-2"/>
        </w:rPr>
        <w:t>n</w:t>
      </w:r>
      <w:r w:rsidRPr="00A54361">
        <w:rPr>
          <w:rFonts w:cstheme="minorHAnsi"/>
          <w:spacing w:val="-1"/>
        </w:rPr>
        <w:t>e</w:t>
      </w:r>
      <w:r w:rsidRPr="00A54361">
        <w:rPr>
          <w:rFonts w:cstheme="minorHAnsi"/>
        </w:rPr>
        <w:t>ss</w:t>
      </w:r>
      <w:r w:rsidRPr="00A54361">
        <w:rPr>
          <w:rFonts w:cstheme="minorHAnsi"/>
          <w:spacing w:val="3"/>
        </w:rPr>
        <w:t xml:space="preserve"> </w:t>
      </w:r>
      <w:r w:rsidRPr="00A54361">
        <w:rPr>
          <w:rFonts w:cstheme="minorHAnsi"/>
        </w:rPr>
        <w:t>d</w:t>
      </w:r>
      <w:r w:rsidRPr="00A54361">
        <w:rPr>
          <w:rFonts w:cstheme="minorHAnsi"/>
          <w:spacing w:val="-1"/>
        </w:rPr>
        <w:t>ea</w:t>
      </w:r>
      <w:r w:rsidRPr="00A54361">
        <w:rPr>
          <w:rFonts w:cstheme="minorHAnsi"/>
        </w:rPr>
        <w:t>l</w:t>
      </w:r>
      <w:r w:rsidRPr="00A54361">
        <w:rPr>
          <w:rFonts w:cstheme="minorHAnsi"/>
          <w:spacing w:val="1"/>
        </w:rPr>
        <w:t>i</w:t>
      </w:r>
      <w:r w:rsidRPr="00A54361">
        <w:rPr>
          <w:rFonts w:cstheme="minorHAnsi"/>
        </w:rPr>
        <w:t>n</w:t>
      </w:r>
      <w:r w:rsidRPr="00A54361">
        <w:rPr>
          <w:rFonts w:cstheme="minorHAnsi"/>
          <w:spacing w:val="-2"/>
        </w:rPr>
        <w:t>g</w:t>
      </w:r>
      <w:r w:rsidRPr="00A54361">
        <w:rPr>
          <w:rFonts w:cstheme="minorHAnsi"/>
        </w:rPr>
        <w:t>s</w:t>
      </w:r>
      <w:r w:rsidRPr="00A54361">
        <w:rPr>
          <w:rFonts w:cstheme="minorHAnsi"/>
          <w:spacing w:val="3"/>
        </w:rPr>
        <w:t xml:space="preserve"> </w:t>
      </w:r>
      <w:r w:rsidRPr="00A54361">
        <w:rPr>
          <w:rFonts w:cstheme="minorHAnsi"/>
        </w:rPr>
        <w:t>p</w:t>
      </w:r>
      <w:r w:rsidRPr="00A54361">
        <w:rPr>
          <w:rFonts w:cstheme="minorHAnsi"/>
          <w:spacing w:val="-1"/>
        </w:rPr>
        <w:t>e</w:t>
      </w:r>
      <w:r w:rsidRPr="00A54361">
        <w:rPr>
          <w:rFonts w:cstheme="minorHAnsi"/>
        </w:rPr>
        <w:t>ndi</w:t>
      </w:r>
      <w:r w:rsidRPr="00A54361">
        <w:rPr>
          <w:rFonts w:cstheme="minorHAnsi"/>
          <w:spacing w:val="3"/>
        </w:rPr>
        <w:t>n</w:t>
      </w:r>
      <w:r w:rsidRPr="00A54361">
        <w:rPr>
          <w:rFonts w:cstheme="minorHAnsi"/>
        </w:rPr>
        <w:t>g investi</w:t>
      </w:r>
      <w:r w:rsidRPr="00A54361">
        <w:rPr>
          <w:rFonts w:cstheme="minorHAnsi"/>
          <w:spacing w:val="-2"/>
        </w:rPr>
        <w:t>g</w:t>
      </w:r>
      <w:r w:rsidRPr="00A54361">
        <w:rPr>
          <w:rFonts w:cstheme="minorHAnsi"/>
          <w:spacing w:val="-1"/>
        </w:rPr>
        <w:t>a</w:t>
      </w:r>
      <w:r w:rsidRPr="00A54361">
        <w:rPr>
          <w:rFonts w:cstheme="minorHAnsi"/>
        </w:rPr>
        <w:t>t</w:t>
      </w:r>
      <w:r w:rsidRPr="00A54361">
        <w:rPr>
          <w:rFonts w:cstheme="minorHAnsi"/>
          <w:spacing w:val="1"/>
        </w:rPr>
        <w:t>i</w:t>
      </w:r>
      <w:r w:rsidRPr="00A54361">
        <w:rPr>
          <w:rFonts w:cstheme="minorHAnsi"/>
        </w:rPr>
        <w:t>on.</w:t>
      </w:r>
      <w:r w:rsidRPr="00A54361">
        <w:rPr>
          <w:rFonts w:cstheme="minorHAnsi"/>
          <w:spacing w:val="5"/>
        </w:rPr>
        <w:t xml:space="preserve"> </w:t>
      </w:r>
      <w:r w:rsidRPr="00A54361">
        <w:rPr>
          <w:rFonts w:cstheme="minorHAnsi"/>
          <w:spacing w:val="-3"/>
        </w:rPr>
        <w:t>I</w:t>
      </w:r>
      <w:r w:rsidRPr="00A54361">
        <w:rPr>
          <w:rFonts w:cstheme="minorHAnsi"/>
        </w:rPr>
        <w:t>f</w:t>
      </w:r>
      <w:r w:rsidRPr="00A54361">
        <w:rPr>
          <w:rFonts w:cstheme="minorHAnsi"/>
          <w:spacing w:val="2"/>
        </w:rPr>
        <w:t xml:space="preserve"> </w:t>
      </w:r>
      <w:r w:rsidRPr="00A54361">
        <w:rPr>
          <w:rFonts w:cstheme="minorHAnsi"/>
        </w:rPr>
        <w:t>su</w:t>
      </w:r>
      <w:r w:rsidRPr="00A54361">
        <w:rPr>
          <w:rFonts w:cstheme="minorHAnsi"/>
          <w:spacing w:val="1"/>
        </w:rPr>
        <w:t>c</w:t>
      </w:r>
      <w:r w:rsidRPr="00A54361">
        <w:rPr>
          <w:rFonts w:cstheme="minorHAnsi"/>
        </w:rPr>
        <w:t xml:space="preserve">h provision does not </w:t>
      </w:r>
      <w:r w:rsidRPr="00A54361">
        <w:rPr>
          <w:rFonts w:cstheme="minorHAnsi"/>
          <w:spacing w:val="-1"/>
        </w:rPr>
        <w:t>e</w:t>
      </w:r>
      <w:r w:rsidRPr="00A54361">
        <w:rPr>
          <w:rFonts w:cstheme="minorHAnsi"/>
          <w:spacing w:val="2"/>
        </w:rPr>
        <w:t>x</w:t>
      </w:r>
      <w:r w:rsidRPr="00A54361">
        <w:rPr>
          <w:rFonts w:cstheme="minorHAnsi"/>
        </w:rPr>
        <w:t>ist</w:t>
      </w:r>
      <w:r w:rsidRPr="00A54361">
        <w:rPr>
          <w:rFonts w:cstheme="minorHAnsi"/>
          <w:spacing w:val="1"/>
        </w:rPr>
        <w:t xml:space="preserve"> </w:t>
      </w:r>
      <w:r w:rsidRPr="00A54361">
        <w:rPr>
          <w:rFonts w:cstheme="minorHAnsi"/>
          <w:spacing w:val="-2"/>
        </w:rPr>
        <w:t>i</w:t>
      </w:r>
      <w:r w:rsidRPr="00A54361">
        <w:rPr>
          <w:rFonts w:cstheme="minorHAnsi"/>
        </w:rPr>
        <w:t xml:space="preserve">n </w:t>
      </w:r>
      <w:r w:rsidRPr="00A54361">
        <w:rPr>
          <w:rFonts w:cstheme="minorHAnsi"/>
          <w:spacing w:val="-1"/>
        </w:rPr>
        <w:t>a</w:t>
      </w:r>
      <w:r w:rsidRPr="00A54361">
        <w:rPr>
          <w:rFonts w:cstheme="minorHAnsi"/>
          <w:spacing w:val="2"/>
        </w:rPr>
        <w:t>n</w:t>
      </w:r>
      <w:r w:rsidRPr="00A54361">
        <w:rPr>
          <w:rFonts w:cstheme="minorHAnsi"/>
        </w:rPr>
        <w:t>y</w:t>
      </w:r>
      <w:r w:rsidRPr="00A54361">
        <w:rPr>
          <w:rFonts w:cstheme="minorHAnsi"/>
          <w:spacing w:val="-3"/>
        </w:rPr>
        <w:t xml:space="preserve"> </w:t>
      </w:r>
      <w:r w:rsidRPr="00A54361">
        <w:rPr>
          <w:rFonts w:cstheme="minorHAnsi"/>
        </w:rPr>
        <w:t>GC</w:t>
      </w:r>
      <w:r w:rsidRPr="00A54361">
        <w:rPr>
          <w:rFonts w:cstheme="minorHAnsi"/>
          <w:spacing w:val="1"/>
        </w:rPr>
        <w:t>C</w:t>
      </w:r>
      <w:r w:rsidRPr="00A54361">
        <w:rPr>
          <w:rFonts w:cstheme="minorHAnsi"/>
        </w:rPr>
        <w:t>, the s</w:t>
      </w:r>
      <w:r w:rsidRPr="00A54361">
        <w:rPr>
          <w:rFonts w:cstheme="minorHAnsi"/>
          <w:spacing w:val="-1"/>
        </w:rPr>
        <w:t>a</w:t>
      </w:r>
      <w:r w:rsidRPr="00A54361">
        <w:rPr>
          <w:rFonts w:cstheme="minorHAnsi"/>
        </w:rPr>
        <w:t>me m</w:t>
      </w:r>
      <w:r w:rsidRPr="00A54361">
        <w:rPr>
          <w:rFonts w:cstheme="minorHAnsi"/>
          <w:spacing w:val="1"/>
        </w:rPr>
        <w:t>a</w:t>
      </w:r>
      <w:r w:rsidRPr="00A54361">
        <w:rPr>
          <w:rFonts w:cstheme="minorHAnsi"/>
        </w:rPr>
        <w:t>y</w:t>
      </w:r>
      <w:r w:rsidRPr="00A54361">
        <w:rPr>
          <w:rFonts w:cstheme="minorHAnsi"/>
          <w:spacing w:val="-3"/>
        </w:rPr>
        <w:t xml:space="preserve"> </w:t>
      </w:r>
      <w:r w:rsidRPr="00A54361">
        <w:rPr>
          <w:rFonts w:cstheme="minorHAnsi"/>
        </w:rPr>
        <w:t>be</w:t>
      </w:r>
      <w:r w:rsidRPr="00A54361">
        <w:rPr>
          <w:rFonts w:cstheme="minorHAnsi"/>
          <w:spacing w:val="-1"/>
        </w:rPr>
        <w:t xml:space="preserve"> </w:t>
      </w:r>
      <w:r w:rsidRPr="00A54361">
        <w:rPr>
          <w:rFonts w:cstheme="minorHAnsi"/>
        </w:rPr>
        <w:t>i</w:t>
      </w:r>
      <w:r w:rsidRPr="00A54361">
        <w:rPr>
          <w:rFonts w:cstheme="minorHAnsi"/>
          <w:spacing w:val="3"/>
        </w:rPr>
        <w:t>n</w:t>
      </w:r>
      <w:r w:rsidRPr="00A54361">
        <w:rPr>
          <w:rFonts w:cstheme="minorHAnsi"/>
          <w:spacing w:val="-1"/>
        </w:rPr>
        <w:t>c</w:t>
      </w:r>
      <w:r w:rsidRPr="00A54361">
        <w:rPr>
          <w:rFonts w:cstheme="minorHAnsi"/>
        </w:rPr>
        <w:t>orpo</w:t>
      </w:r>
      <w:r w:rsidRPr="00A54361">
        <w:rPr>
          <w:rFonts w:cstheme="minorHAnsi"/>
          <w:spacing w:val="1"/>
        </w:rPr>
        <w:t>r</w:t>
      </w:r>
      <w:r w:rsidRPr="00A54361">
        <w:rPr>
          <w:rFonts w:cstheme="minorHAnsi"/>
          <w:spacing w:val="-1"/>
        </w:rPr>
        <w:t>a</w:t>
      </w:r>
      <w:r w:rsidRPr="00A54361">
        <w:rPr>
          <w:rFonts w:cstheme="minorHAnsi"/>
        </w:rPr>
        <w:t>ted.</w:t>
      </w:r>
    </w:p>
    <w:p w14:paraId="5A4F4D87" w14:textId="77777777" w:rsidR="0054549F" w:rsidRPr="00A54361" w:rsidRDefault="0054549F" w:rsidP="00A54361">
      <w:pPr>
        <w:spacing w:line="260" w:lineRule="exact"/>
        <w:ind w:left="-142" w:right="85"/>
        <w:jc w:val="both"/>
        <w:rPr>
          <w:rFonts w:cstheme="minorHAnsi"/>
        </w:rPr>
      </w:pPr>
      <w:r w:rsidRPr="00A54361">
        <w:rPr>
          <w:rFonts w:eastAsia="Times New Roman" w:cstheme="minorHAnsi"/>
        </w:rPr>
        <w:t>2.2</w:t>
      </w:r>
      <w:r w:rsidRPr="00A54361">
        <w:rPr>
          <w:rFonts w:eastAsia="Times New Roman" w:cstheme="minorHAnsi"/>
          <w:spacing w:val="-2"/>
        </w:rPr>
        <w:t xml:space="preserve"> </w:t>
      </w:r>
      <w:r w:rsidRPr="00A54361">
        <w:rPr>
          <w:rFonts w:eastAsia="Times New Roman" w:cstheme="minorHAnsi"/>
          <w:spacing w:val="1"/>
        </w:rPr>
        <w:t>S</w:t>
      </w:r>
      <w:r w:rsidRPr="00A54361">
        <w:rPr>
          <w:rFonts w:eastAsia="Times New Roman" w:cstheme="minorHAnsi"/>
        </w:rPr>
        <w:t>i</w:t>
      </w:r>
      <w:r w:rsidRPr="00A54361">
        <w:rPr>
          <w:rFonts w:eastAsia="Times New Roman" w:cstheme="minorHAnsi"/>
          <w:spacing w:val="1"/>
        </w:rPr>
        <w:t>m</w:t>
      </w:r>
      <w:r w:rsidRPr="00A54361">
        <w:rPr>
          <w:rFonts w:eastAsia="Times New Roman" w:cstheme="minorHAnsi"/>
        </w:rPr>
        <w:t>i</w:t>
      </w:r>
      <w:r w:rsidRPr="00A54361">
        <w:rPr>
          <w:rFonts w:eastAsia="Times New Roman" w:cstheme="minorHAnsi"/>
          <w:spacing w:val="1"/>
        </w:rPr>
        <w:t>l</w:t>
      </w:r>
      <w:r w:rsidRPr="00A54361">
        <w:rPr>
          <w:rFonts w:eastAsia="Times New Roman" w:cstheme="minorHAnsi"/>
          <w:spacing w:val="-1"/>
        </w:rPr>
        <w:t>a</w:t>
      </w:r>
      <w:r w:rsidRPr="00A54361">
        <w:rPr>
          <w:rFonts w:eastAsia="Times New Roman" w:cstheme="minorHAnsi"/>
        </w:rPr>
        <w:t>r</w:t>
      </w:r>
      <w:r w:rsidRPr="00A54361">
        <w:rPr>
          <w:rFonts w:eastAsia="Times New Roman" w:cstheme="minorHAnsi"/>
          <w:spacing w:val="2"/>
        </w:rPr>
        <w:t>l</w:t>
      </w:r>
      <w:r w:rsidRPr="00A54361">
        <w:rPr>
          <w:rFonts w:eastAsia="Times New Roman" w:cstheme="minorHAnsi"/>
          <w:spacing w:val="-7"/>
        </w:rPr>
        <w:t>y</w:t>
      </w:r>
      <w:r w:rsidRPr="00A54361">
        <w:rPr>
          <w:rFonts w:eastAsia="Times New Roman" w:cstheme="minorHAnsi"/>
        </w:rPr>
        <w:t>,</w:t>
      </w:r>
      <w:r w:rsidRPr="00A54361">
        <w:rPr>
          <w:rFonts w:eastAsia="Times New Roman" w:cstheme="minorHAnsi"/>
          <w:spacing w:val="-2"/>
        </w:rPr>
        <w:t xml:space="preserve"> </w:t>
      </w:r>
      <w:r w:rsidRPr="00A54361">
        <w:rPr>
          <w:rFonts w:eastAsia="Times New Roman" w:cstheme="minorHAnsi"/>
        </w:rPr>
        <w:t>in</w:t>
      </w:r>
      <w:r w:rsidRPr="00A54361">
        <w:rPr>
          <w:rFonts w:eastAsia="Times New Roman" w:cstheme="minorHAnsi"/>
          <w:spacing w:val="-2"/>
        </w:rPr>
        <w:t xml:space="preserve"> </w:t>
      </w:r>
      <w:r w:rsidRPr="00A54361">
        <w:rPr>
          <w:rFonts w:eastAsia="Times New Roman" w:cstheme="minorHAnsi"/>
          <w:spacing w:val="-1"/>
        </w:rPr>
        <w:t>ca</w:t>
      </w:r>
      <w:r w:rsidRPr="00A54361">
        <w:rPr>
          <w:rFonts w:eastAsia="Times New Roman" w:cstheme="minorHAnsi"/>
          <w:spacing w:val="2"/>
        </w:rPr>
        <w:t>s</w:t>
      </w:r>
      <w:r w:rsidRPr="00A54361">
        <w:rPr>
          <w:rFonts w:eastAsia="Times New Roman" w:cstheme="minorHAnsi"/>
        </w:rPr>
        <w:t>e</w:t>
      </w:r>
      <w:r w:rsidRPr="00A54361">
        <w:rPr>
          <w:rFonts w:eastAsia="Times New Roman" w:cstheme="minorHAnsi"/>
          <w:spacing w:val="-3"/>
        </w:rPr>
        <w:t xml:space="preserve"> </w:t>
      </w:r>
      <w:r w:rsidRPr="00A54361">
        <w:rPr>
          <w:rFonts w:eastAsia="Times New Roman" w:cstheme="minorHAnsi"/>
        </w:rPr>
        <w:t>of</w:t>
      </w:r>
      <w:r w:rsidRPr="00A54361">
        <w:rPr>
          <w:rFonts w:eastAsia="Times New Roman" w:cstheme="minorHAnsi"/>
          <w:spacing w:val="-3"/>
        </w:rPr>
        <w:t xml:space="preserve"> </w:t>
      </w:r>
      <w:r w:rsidRPr="00A54361">
        <w:rPr>
          <w:rFonts w:eastAsia="Times New Roman" w:cstheme="minorHAnsi"/>
          <w:spacing w:val="2"/>
        </w:rPr>
        <w:t>s</w:t>
      </w:r>
      <w:r w:rsidRPr="00A54361">
        <w:rPr>
          <w:rFonts w:eastAsia="Times New Roman" w:cstheme="minorHAnsi"/>
          <w:spacing w:val="-1"/>
        </w:rPr>
        <w:t>a</w:t>
      </w:r>
      <w:r w:rsidRPr="00A54361">
        <w:rPr>
          <w:rFonts w:eastAsia="Times New Roman" w:cstheme="minorHAnsi"/>
        </w:rPr>
        <w:t>le</w:t>
      </w:r>
      <w:r w:rsidRPr="00A54361">
        <w:rPr>
          <w:rFonts w:eastAsia="Times New Roman" w:cstheme="minorHAnsi"/>
          <w:spacing w:val="-3"/>
        </w:rPr>
        <w:t xml:space="preserve"> </w:t>
      </w:r>
      <w:r w:rsidRPr="00A54361">
        <w:rPr>
          <w:rFonts w:eastAsia="Times New Roman" w:cstheme="minorHAnsi"/>
        </w:rPr>
        <w:t>of</w:t>
      </w:r>
      <w:r w:rsidRPr="00A54361">
        <w:rPr>
          <w:rFonts w:eastAsia="Times New Roman" w:cstheme="minorHAnsi"/>
          <w:spacing w:val="-3"/>
        </w:rPr>
        <w:t xml:space="preserve"> </w:t>
      </w:r>
      <w:r w:rsidRPr="00A54361">
        <w:rPr>
          <w:rFonts w:eastAsia="Times New Roman" w:cstheme="minorHAnsi"/>
        </w:rPr>
        <w:t>mat</w:t>
      </w:r>
      <w:r w:rsidRPr="00A54361">
        <w:rPr>
          <w:rFonts w:eastAsia="Times New Roman" w:cstheme="minorHAnsi"/>
          <w:spacing w:val="-1"/>
        </w:rPr>
        <w:t>e</w:t>
      </w:r>
      <w:r w:rsidRPr="00A54361">
        <w:rPr>
          <w:rFonts w:eastAsia="Times New Roman" w:cstheme="minorHAnsi"/>
        </w:rPr>
        <w:t>ri</w:t>
      </w:r>
      <w:r w:rsidRPr="00A54361">
        <w:rPr>
          <w:rFonts w:eastAsia="Times New Roman" w:cstheme="minorHAnsi"/>
          <w:spacing w:val="-1"/>
        </w:rPr>
        <w:t>a</w:t>
      </w:r>
      <w:r w:rsidRPr="00A54361">
        <w:rPr>
          <w:rFonts w:eastAsia="Times New Roman" w:cstheme="minorHAnsi"/>
        </w:rPr>
        <w:t>l</w:t>
      </w:r>
      <w:r w:rsidRPr="00A54361">
        <w:rPr>
          <w:rFonts w:eastAsia="Times New Roman" w:cstheme="minorHAnsi"/>
          <w:spacing w:val="-2"/>
        </w:rPr>
        <w:t xml:space="preserve"> </w:t>
      </w:r>
      <w:r w:rsidRPr="00A54361">
        <w:rPr>
          <w:rFonts w:eastAsia="Times New Roman" w:cstheme="minorHAnsi"/>
        </w:rPr>
        <w:t>the</w:t>
      </w:r>
      <w:r w:rsidRPr="00A54361">
        <w:rPr>
          <w:rFonts w:eastAsia="Times New Roman" w:cstheme="minorHAnsi"/>
          <w:spacing w:val="1"/>
        </w:rPr>
        <w:t>r</w:t>
      </w:r>
      <w:r w:rsidRPr="00A54361">
        <w:rPr>
          <w:rFonts w:eastAsia="Times New Roman" w:cstheme="minorHAnsi"/>
        </w:rPr>
        <w:t>e</w:t>
      </w:r>
      <w:r w:rsidRPr="00A54361">
        <w:rPr>
          <w:rFonts w:eastAsia="Times New Roman" w:cstheme="minorHAnsi"/>
          <w:spacing w:val="-3"/>
        </w:rPr>
        <w:t xml:space="preserve"> </w:t>
      </w:r>
      <w:r w:rsidRPr="00A54361">
        <w:rPr>
          <w:rFonts w:eastAsia="Times New Roman" w:cstheme="minorHAnsi"/>
        </w:rPr>
        <w:t>is</w:t>
      </w:r>
      <w:r w:rsidRPr="00A54361">
        <w:rPr>
          <w:rFonts w:eastAsia="Times New Roman" w:cstheme="minorHAnsi"/>
          <w:spacing w:val="-2"/>
        </w:rPr>
        <w:t xml:space="preserve"> </w:t>
      </w:r>
      <w:r w:rsidRPr="00A54361">
        <w:rPr>
          <w:rFonts w:eastAsia="Times New Roman" w:cstheme="minorHAnsi"/>
        </w:rPr>
        <w:t>a</w:t>
      </w:r>
      <w:r w:rsidRPr="00A54361">
        <w:rPr>
          <w:rFonts w:eastAsia="Times New Roman" w:cstheme="minorHAnsi"/>
          <w:spacing w:val="-3"/>
        </w:rPr>
        <w:t xml:space="preserve"> </w:t>
      </w:r>
      <w:r w:rsidRPr="00A54361">
        <w:rPr>
          <w:rFonts w:eastAsia="Times New Roman" w:cstheme="minorHAnsi"/>
          <w:spacing w:val="-1"/>
        </w:rPr>
        <w:t>c</w:t>
      </w:r>
      <w:r w:rsidRPr="00A54361">
        <w:rPr>
          <w:rFonts w:eastAsia="Times New Roman" w:cstheme="minorHAnsi"/>
        </w:rPr>
        <w:t>lause</w:t>
      </w:r>
      <w:r w:rsidRPr="00A54361">
        <w:rPr>
          <w:rFonts w:eastAsia="Times New Roman" w:cstheme="minorHAnsi"/>
          <w:spacing w:val="-4"/>
        </w:rPr>
        <w:t xml:space="preserve"> </w:t>
      </w:r>
      <w:r w:rsidRPr="00A54361">
        <w:rPr>
          <w:rFonts w:eastAsia="Times New Roman" w:cstheme="minorHAnsi"/>
        </w:rPr>
        <w:t>to</w:t>
      </w:r>
      <w:r w:rsidRPr="00A54361">
        <w:rPr>
          <w:rFonts w:eastAsia="Times New Roman" w:cstheme="minorHAnsi"/>
          <w:spacing w:val="-2"/>
        </w:rPr>
        <w:t xml:space="preserve"> </w:t>
      </w:r>
      <w:r w:rsidRPr="00A54361">
        <w:rPr>
          <w:rFonts w:eastAsia="Times New Roman" w:cstheme="minorHAnsi"/>
        </w:rPr>
        <w:t>d</w:t>
      </w:r>
      <w:r w:rsidRPr="00A54361">
        <w:rPr>
          <w:rFonts w:eastAsia="Times New Roman" w:cstheme="minorHAnsi"/>
          <w:spacing w:val="-1"/>
        </w:rPr>
        <w:t>ea</w:t>
      </w:r>
      <w:r w:rsidRPr="00A54361">
        <w:rPr>
          <w:rFonts w:eastAsia="Times New Roman" w:cstheme="minorHAnsi"/>
        </w:rPr>
        <w:t>l</w:t>
      </w:r>
      <w:r w:rsidRPr="00A54361">
        <w:rPr>
          <w:rFonts w:eastAsia="Times New Roman" w:cstheme="minorHAnsi"/>
          <w:spacing w:val="-2"/>
        </w:rPr>
        <w:t xml:space="preserve"> </w:t>
      </w:r>
      <w:r w:rsidRPr="00A54361">
        <w:rPr>
          <w:rFonts w:eastAsia="Times New Roman" w:cstheme="minorHAnsi"/>
        </w:rPr>
        <w:t>with</w:t>
      </w:r>
      <w:r w:rsidRPr="00A54361">
        <w:rPr>
          <w:rFonts w:eastAsia="Times New Roman" w:cstheme="minorHAnsi"/>
          <w:spacing w:val="-2"/>
        </w:rPr>
        <w:t xml:space="preserve"> </w:t>
      </w:r>
      <w:r w:rsidRPr="00A54361">
        <w:rPr>
          <w:rFonts w:eastAsia="Times New Roman" w:cstheme="minorHAnsi"/>
        </w:rPr>
        <w:t>the</w:t>
      </w:r>
      <w:r w:rsidRPr="00A54361">
        <w:rPr>
          <w:rFonts w:eastAsia="Times New Roman" w:cstheme="minorHAnsi"/>
          <w:spacing w:val="-3"/>
        </w:rPr>
        <w:t xml:space="preserve"> </w:t>
      </w:r>
      <w:r w:rsidRPr="00A54361">
        <w:rPr>
          <w:rFonts w:eastAsia="Times New Roman" w:cstheme="minorHAnsi"/>
          <w:spacing w:val="2"/>
        </w:rPr>
        <w:t>A</w:t>
      </w:r>
      <w:r w:rsidRPr="00A54361">
        <w:rPr>
          <w:rFonts w:eastAsia="Times New Roman" w:cstheme="minorHAnsi"/>
          <w:spacing w:val="-2"/>
        </w:rPr>
        <w:t>g</w:t>
      </w:r>
      <w:r w:rsidRPr="00A54361">
        <w:rPr>
          <w:rFonts w:eastAsia="Times New Roman" w:cstheme="minorHAnsi"/>
          <w:spacing w:val="-1"/>
        </w:rPr>
        <w:t>e</w:t>
      </w:r>
      <w:r w:rsidRPr="00A54361">
        <w:rPr>
          <w:rFonts w:eastAsia="Times New Roman" w:cstheme="minorHAnsi"/>
          <w:spacing w:val="2"/>
        </w:rPr>
        <w:t>n</w:t>
      </w:r>
      <w:r w:rsidRPr="00A54361">
        <w:rPr>
          <w:rFonts w:eastAsia="Times New Roman" w:cstheme="minorHAnsi"/>
          <w:spacing w:val="-1"/>
        </w:rPr>
        <w:t>c</w:t>
      </w:r>
      <w:r w:rsidRPr="00A54361">
        <w:rPr>
          <w:rFonts w:eastAsia="Times New Roman" w:cstheme="minorHAnsi"/>
        </w:rPr>
        <w:t>ies</w:t>
      </w:r>
      <w:r w:rsidRPr="00A54361">
        <w:rPr>
          <w:rFonts w:eastAsia="Times New Roman" w:cstheme="minorHAnsi"/>
          <w:spacing w:val="-3"/>
        </w:rPr>
        <w:t xml:space="preserve"> </w:t>
      </w:r>
      <w:r w:rsidRPr="00A54361">
        <w:rPr>
          <w:rFonts w:eastAsia="Times New Roman" w:cstheme="minorHAnsi"/>
        </w:rPr>
        <w:t>/</w:t>
      </w:r>
      <w:r w:rsidRPr="00A54361">
        <w:rPr>
          <w:rFonts w:eastAsia="Times New Roman" w:cstheme="minorHAnsi"/>
          <w:spacing w:val="-2"/>
        </w:rPr>
        <w:t xml:space="preserve"> </w:t>
      </w:r>
      <w:r w:rsidRPr="00A54361">
        <w:rPr>
          <w:rFonts w:eastAsia="Times New Roman" w:cstheme="minorHAnsi"/>
          <w:spacing w:val="-1"/>
        </w:rPr>
        <w:t>c</w:t>
      </w:r>
      <w:r w:rsidRPr="00A54361">
        <w:rPr>
          <w:rFonts w:eastAsia="Times New Roman" w:cstheme="minorHAnsi"/>
        </w:rPr>
        <w:t>usto</w:t>
      </w:r>
      <w:r w:rsidRPr="00A54361">
        <w:rPr>
          <w:rFonts w:eastAsia="Times New Roman" w:cstheme="minorHAnsi"/>
          <w:spacing w:val="1"/>
        </w:rPr>
        <w:t>m</w:t>
      </w:r>
      <w:r w:rsidRPr="00A54361">
        <w:rPr>
          <w:rFonts w:eastAsia="Times New Roman" w:cstheme="minorHAnsi"/>
          <w:spacing w:val="-1"/>
        </w:rPr>
        <w:t>e</w:t>
      </w:r>
      <w:r w:rsidRPr="00A54361">
        <w:rPr>
          <w:rFonts w:eastAsia="Times New Roman" w:cstheme="minorHAnsi"/>
        </w:rPr>
        <w:t>rs</w:t>
      </w:r>
    </w:p>
    <w:p w14:paraId="2F5E159A" w14:textId="77777777" w:rsidR="0054549F" w:rsidRPr="00A54361" w:rsidRDefault="0054549F" w:rsidP="00A54361">
      <w:pPr>
        <w:ind w:left="-142" w:right="83"/>
        <w:jc w:val="both"/>
        <w:rPr>
          <w:rFonts w:cstheme="minorHAnsi"/>
        </w:rPr>
      </w:pPr>
      <w:r w:rsidRPr="00A54361">
        <w:rPr>
          <w:rFonts w:eastAsia="Times New Roman" w:cstheme="minorHAnsi"/>
        </w:rPr>
        <w:t>/</w:t>
      </w:r>
      <w:r w:rsidRPr="00A54361">
        <w:rPr>
          <w:rFonts w:eastAsia="Times New Roman" w:cstheme="minorHAnsi"/>
          <w:spacing w:val="3"/>
        </w:rPr>
        <w:t xml:space="preserve"> </w:t>
      </w:r>
      <w:r w:rsidRPr="00A54361">
        <w:rPr>
          <w:rFonts w:eastAsia="Times New Roman" w:cstheme="minorHAnsi"/>
        </w:rPr>
        <w:t>Buyers,</w:t>
      </w:r>
      <w:r w:rsidRPr="00A54361">
        <w:rPr>
          <w:rFonts w:eastAsia="Times New Roman" w:cstheme="minorHAnsi"/>
          <w:spacing w:val="4"/>
        </w:rPr>
        <w:t xml:space="preserve"> </w:t>
      </w:r>
      <w:r w:rsidRPr="00A54361">
        <w:rPr>
          <w:rFonts w:eastAsia="Times New Roman" w:cstheme="minorHAnsi"/>
        </w:rPr>
        <w:t>who</w:t>
      </w:r>
      <w:r w:rsidRPr="00A54361">
        <w:rPr>
          <w:rFonts w:eastAsia="Times New Roman" w:cstheme="minorHAnsi"/>
          <w:spacing w:val="2"/>
        </w:rPr>
        <w:t xml:space="preserve"> </w:t>
      </w:r>
      <w:r w:rsidRPr="00A54361">
        <w:rPr>
          <w:rFonts w:eastAsia="Times New Roman" w:cstheme="minorHAnsi"/>
        </w:rPr>
        <w:t>indu</w:t>
      </w:r>
      <w:r w:rsidRPr="00A54361">
        <w:rPr>
          <w:rFonts w:eastAsia="Times New Roman" w:cstheme="minorHAnsi"/>
          <w:spacing w:val="3"/>
        </w:rPr>
        <w:t>l</w:t>
      </w:r>
      <w:r w:rsidRPr="00A54361">
        <w:rPr>
          <w:rFonts w:eastAsia="Times New Roman" w:cstheme="minorHAnsi"/>
          <w:spacing w:val="-2"/>
        </w:rPr>
        <w:t>g</w:t>
      </w:r>
      <w:r w:rsidRPr="00A54361">
        <w:rPr>
          <w:rFonts w:eastAsia="Times New Roman" w:cstheme="minorHAnsi"/>
        </w:rPr>
        <w:t>e</w:t>
      </w:r>
      <w:r w:rsidRPr="00A54361">
        <w:rPr>
          <w:rFonts w:eastAsia="Times New Roman" w:cstheme="minorHAnsi"/>
          <w:spacing w:val="4"/>
        </w:rPr>
        <w:t xml:space="preserve"> </w:t>
      </w:r>
      <w:r w:rsidRPr="00A54361">
        <w:rPr>
          <w:rFonts w:eastAsia="Times New Roman" w:cstheme="minorHAnsi"/>
        </w:rPr>
        <w:t>in</w:t>
      </w:r>
      <w:r w:rsidRPr="00A54361">
        <w:rPr>
          <w:rFonts w:eastAsia="Times New Roman" w:cstheme="minorHAnsi"/>
          <w:spacing w:val="5"/>
        </w:rPr>
        <w:t xml:space="preserve"> </w:t>
      </w:r>
      <w:r w:rsidRPr="00A54361">
        <w:rPr>
          <w:rFonts w:eastAsia="Times New Roman" w:cstheme="minorHAnsi"/>
        </w:rPr>
        <w:t>l</w:t>
      </w:r>
      <w:r w:rsidRPr="00A54361">
        <w:rPr>
          <w:rFonts w:eastAsia="Times New Roman" w:cstheme="minorHAnsi"/>
          <w:spacing w:val="1"/>
        </w:rPr>
        <w:t>i</w:t>
      </w:r>
      <w:r w:rsidRPr="00A54361">
        <w:rPr>
          <w:rFonts w:eastAsia="Times New Roman" w:cstheme="minorHAnsi"/>
        </w:rPr>
        <w:t>fting of</w:t>
      </w:r>
      <w:r w:rsidRPr="00A54361">
        <w:rPr>
          <w:rFonts w:eastAsia="Times New Roman" w:cstheme="minorHAnsi"/>
          <w:spacing w:val="4"/>
        </w:rPr>
        <w:t xml:space="preserve"> </w:t>
      </w:r>
      <w:r w:rsidRPr="00A54361">
        <w:rPr>
          <w:rFonts w:eastAsia="Times New Roman" w:cstheme="minorHAnsi"/>
        </w:rPr>
        <w:t>mat</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6"/>
        </w:rPr>
        <w:t>i</w:t>
      </w:r>
      <w:r w:rsidRPr="00A54361">
        <w:rPr>
          <w:rFonts w:eastAsia="Times New Roman" w:cstheme="minorHAnsi"/>
          <w:spacing w:val="-1"/>
        </w:rPr>
        <w:t>a</w:t>
      </w:r>
      <w:r w:rsidRPr="00A54361">
        <w:rPr>
          <w:rFonts w:eastAsia="Times New Roman" w:cstheme="minorHAnsi"/>
        </w:rPr>
        <w:t>l</w:t>
      </w:r>
      <w:r w:rsidRPr="00A54361">
        <w:rPr>
          <w:rFonts w:eastAsia="Times New Roman" w:cstheme="minorHAnsi"/>
          <w:spacing w:val="3"/>
        </w:rPr>
        <w:t xml:space="preserve"> </w:t>
      </w:r>
      <w:r w:rsidRPr="00A54361">
        <w:rPr>
          <w:rFonts w:eastAsia="Times New Roman" w:cstheme="minorHAnsi"/>
        </w:rPr>
        <w:t>in</w:t>
      </w:r>
      <w:r w:rsidRPr="00A54361">
        <w:rPr>
          <w:rFonts w:eastAsia="Times New Roman" w:cstheme="minorHAnsi"/>
          <w:spacing w:val="3"/>
        </w:rPr>
        <w:t xml:space="preserve"> </w:t>
      </w:r>
      <w:r w:rsidRPr="00A54361">
        <w:rPr>
          <w:rFonts w:eastAsia="Times New Roman" w:cstheme="minorHAnsi"/>
        </w:rPr>
        <w:t>un</w:t>
      </w:r>
      <w:r w:rsidRPr="00A54361">
        <w:rPr>
          <w:rFonts w:eastAsia="Times New Roman" w:cstheme="minorHAnsi"/>
          <w:spacing w:val="1"/>
        </w:rPr>
        <w:t>a</w:t>
      </w:r>
      <w:r w:rsidRPr="00A54361">
        <w:rPr>
          <w:rFonts w:eastAsia="Times New Roman" w:cstheme="minorHAnsi"/>
        </w:rPr>
        <w:t>uthori</w:t>
      </w:r>
      <w:r w:rsidRPr="00A54361">
        <w:rPr>
          <w:rFonts w:eastAsia="Times New Roman" w:cstheme="minorHAnsi"/>
          <w:spacing w:val="1"/>
        </w:rPr>
        <w:t>z</w:t>
      </w:r>
      <w:r w:rsidRPr="00A54361">
        <w:rPr>
          <w:rFonts w:eastAsia="Times New Roman" w:cstheme="minorHAnsi"/>
          <w:spacing w:val="-1"/>
        </w:rPr>
        <w:t>e</w:t>
      </w:r>
      <w:r w:rsidRPr="00A54361">
        <w:rPr>
          <w:rFonts w:eastAsia="Times New Roman" w:cstheme="minorHAnsi"/>
        </w:rPr>
        <w:t>d</w:t>
      </w:r>
      <w:r w:rsidRPr="00A54361">
        <w:rPr>
          <w:rFonts w:eastAsia="Times New Roman" w:cstheme="minorHAnsi"/>
          <w:spacing w:val="3"/>
        </w:rPr>
        <w:t xml:space="preserve"> </w:t>
      </w:r>
      <w:r w:rsidRPr="00A54361">
        <w:rPr>
          <w:rFonts w:eastAsia="Times New Roman" w:cstheme="minorHAnsi"/>
        </w:rPr>
        <w:t>mann</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7"/>
        </w:rPr>
        <w:t xml:space="preserve"> </w:t>
      </w:r>
      <w:r w:rsidRPr="00A54361">
        <w:rPr>
          <w:rFonts w:eastAsia="Times New Roman" w:cstheme="minorHAnsi"/>
          <w:spacing w:val="-3"/>
        </w:rPr>
        <w:t>I</w:t>
      </w:r>
      <w:r w:rsidRPr="00A54361">
        <w:rPr>
          <w:rFonts w:eastAsia="Times New Roman" w:cstheme="minorHAnsi"/>
        </w:rPr>
        <w:t>f</w:t>
      </w:r>
      <w:r w:rsidRPr="00A54361">
        <w:rPr>
          <w:rFonts w:eastAsia="Times New Roman" w:cstheme="minorHAnsi"/>
          <w:spacing w:val="4"/>
        </w:rPr>
        <w:t xml:space="preserve"> </w:t>
      </w:r>
      <w:r w:rsidRPr="00A54361">
        <w:rPr>
          <w:rFonts w:eastAsia="Times New Roman" w:cstheme="minorHAnsi"/>
        </w:rPr>
        <w:t>su</w:t>
      </w:r>
      <w:r w:rsidRPr="00A54361">
        <w:rPr>
          <w:rFonts w:eastAsia="Times New Roman" w:cstheme="minorHAnsi"/>
          <w:spacing w:val="1"/>
        </w:rPr>
        <w:t>c</w:t>
      </w:r>
      <w:r w:rsidRPr="00A54361">
        <w:rPr>
          <w:rFonts w:eastAsia="Times New Roman" w:cstheme="minorHAnsi"/>
        </w:rPr>
        <w:t>h</w:t>
      </w:r>
      <w:r w:rsidRPr="00A54361">
        <w:rPr>
          <w:rFonts w:eastAsia="Times New Roman" w:cstheme="minorHAnsi"/>
          <w:spacing w:val="3"/>
        </w:rPr>
        <w:t xml:space="preserve"> </w:t>
      </w:r>
      <w:r w:rsidRPr="00A54361">
        <w:rPr>
          <w:rFonts w:eastAsia="Times New Roman" w:cstheme="minorHAnsi"/>
        </w:rPr>
        <w:t>a</w:t>
      </w:r>
      <w:r w:rsidRPr="00A54361">
        <w:rPr>
          <w:rFonts w:eastAsia="Times New Roman" w:cstheme="minorHAnsi"/>
          <w:spacing w:val="2"/>
        </w:rPr>
        <w:t xml:space="preserve"> </w:t>
      </w:r>
      <w:r w:rsidRPr="00A54361">
        <w:rPr>
          <w:rFonts w:eastAsia="Times New Roman" w:cstheme="minorHAnsi"/>
        </w:rPr>
        <w:t>st</w:t>
      </w:r>
      <w:r w:rsidRPr="00A54361">
        <w:rPr>
          <w:rFonts w:eastAsia="Times New Roman" w:cstheme="minorHAnsi"/>
          <w:spacing w:val="1"/>
        </w:rPr>
        <w:t>i</w:t>
      </w:r>
      <w:r w:rsidRPr="00A54361">
        <w:rPr>
          <w:rFonts w:eastAsia="Times New Roman" w:cstheme="minorHAnsi"/>
        </w:rPr>
        <w:t>pulation</w:t>
      </w:r>
      <w:r w:rsidRPr="00A54361">
        <w:rPr>
          <w:rFonts w:eastAsia="Times New Roman" w:cstheme="minorHAnsi"/>
          <w:spacing w:val="3"/>
        </w:rPr>
        <w:t xml:space="preserve"> </w:t>
      </w:r>
      <w:r w:rsidRPr="00A54361">
        <w:rPr>
          <w:rFonts w:eastAsia="Times New Roman" w:cstheme="minorHAnsi"/>
        </w:rPr>
        <w:t>do</w:t>
      </w:r>
      <w:r w:rsidRPr="00A54361">
        <w:rPr>
          <w:rFonts w:eastAsia="Times New Roman" w:cstheme="minorHAnsi"/>
          <w:spacing w:val="-1"/>
        </w:rPr>
        <w:t>e</w:t>
      </w:r>
      <w:r w:rsidRPr="00A54361">
        <w:rPr>
          <w:rFonts w:eastAsia="Times New Roman" w:cstheme="minorHAnsi"/>
        </w:rPr>
        <w:t>s not e</w:t>
      </w:r>
      <w:r w:rsidRPr="00A54361">
        <w:rPr>
          <w:rFonts w:eastAsia="Times New Roman" w:cstheme="minorHAnsi"/>
          <w:spacing w:val="2"/>
        </w:rPr>
        <w:t>x</w:t>
      </w:r>
      <w:r w:rsidRPr="00A54361">
        <w:rPr>
          <w:rFonts w:eastAsia="Times New Roman" w:cstheme="minorHAnsi"/>
        </w:rPr>
        <w:t>ist</w:t>
      </w:r>
      <w:r w:rsidRPr="00A54361">
        <w:rPr>
          <w:rFonts w:eastAsia="Times New Roman" w:cstheme="minorHAnsi"/>
          <w:spacing w:val="-1"/>
        </w:rPr>
        <w:t xml:space="preserve"> </w:t>
      </w:r>
      <w:r w:rsidRPr="00A54361">
        <w:rPr>
          <w:rFonts w:eastAsia="Times New Roman" w:cstheme="minorHAnsi"/>
        </w:rPr>
        <w:t>in a</w:t>
      </w:r>
      <w:r w:rsidRPr="00A54361">
        <w:rPr>
          <w:rFonts w:eastAsia="Times New Roman" w:cstheme="minorHAnsi"/>
          <w:spacing w:val="2"/>
        </w:rPr>
        <w:t>n</w:t>
      </w:r>
      <w:r w:rsidRPr="00A54361">
        <w:rPr>
          <w:rFonts w:eastAsia="Times New Roman" w:cstheme="minorHAnsi"/>
        </w:rPr>
        <w:t>y</w:t>
      </w:r>
      <w:r w:rsidRPr="00A54361">
        <w:rPr>
          <w:rFonts w:eastAsia="Times New Roman" w:cstheme="minorHAnsi"/>
          <w:spacing w:val="-5"/>
        </w:rPr>
        <w:t xml:space="preserve"> </w:t>
      </w:r>
      <w:r w:rsidRPr="00A54361">
        <w:rPr>
          <w:rFonts w:eastAsia="Times New Roman" w:cstheme="minorHAnsi"/>
          <w:spacing w:val="1"/>
        </w:rPr>
        <w:t>S</w:t>
      </w:r>
      <w:r w:rsidRPr="00A54361">
        <w:rPr>
          <w:rFonts w:eastAsia="Times New Roman" w:cstheme="minorHAnsi"/>
          <w:spacing w:val="-1"/>
        </w:rPr>
        <w:t>a</w:t>
      </w:r>
      <w:r w:rsidRPr="00A54361">
        <w:rPr>
          <w:rFonts w:eastAsia="Times New Roman" w:cstheme="minorHAnsi"/>
        </w:rPr>
        <w:t xml:space="preserve">le </w:t>
      </w:r>
      <w:r w:rsidRPr="00A54361">
        <w:rPr>
          <w:rFonts w:eastAsia="Times New Roman" w:cstheme="minorHAnsi"/>
          <w:spacing w:val="1"/>
        </w:rPr>
        <w:t>O</w:t>
      </w:r>
      <w:r w:rsidRPr="00A54361">
        <w:rPr>
          <w:rFonts w:eastAsia="Times New Roman" w:cstheme="minorHAnsi"/>
        </w:rPr>
        <w:t>r</w:t>
      </w:r>
      <w:r w:rsidRPr="00A54361">
        <w:rPr>
          <w:rFonts w:eastAsia="Times New Roman" w:cstheme="minorHAnsi"/>
          <w:spacing w:val="1"/>
        </w:rPr>
        <w:t>d</w:t>
      </w:r>
      <w:r w:rsidRPr="00A54361">
        <w:rPr>
          <w:rFonts w:eastAsia="Times New Roman" w:cstheme="minorHAnsi"/>
          <w:spacing w:val="-1"/>
        </w:rPr>
        <w:t>e</w:t>
      </w:r>
      <w:r w:rsidRPr="00A54361">
        <w:rPr>
          <w:rFonts w:eastAsia="Times New Roman" w:cstheme="minorHAnsi"/>
        </w:rPr>
        <w:t>r, the</w:t>
      </w:r>
      <w:r w:rsidRPr="00A54361">
        <w:rPr>
          <w:rFonts w:eastAsia="Times New Roman" w:cstheme="minorHAnsi"/>
          <w:spacing w:val="-1"/>
        </w:rPr>
        <w:t xml:space="preserve"> </w:t>
      </w:r>
      <w:r w:rsidRPr="00A54361">
        <w:rPr>
          <w:rFonts w:eastAsia="Times New Roman" w:cstheme="minorHAnsi"/>
        </w:rPr>
        <w:t>s</w:t>
      </w:r>
      <w:r w:rsidRPr="00A54361">
        <w:rPr>
          <w:rFonts w:eastAsia="Times New Roman" w:cstheme="minorHAnsi"/>
          <w:spacing w:val="-1"/>
        </w:rPr>
        <w:t>a</w:t>
      </w:r>
      <w:r w:rsidRPr="00A54361">
        <w:rPr>
          <w:rFonts w:eastAsia="Times New Roman" w:cstheme="minorHAnsi"/>
        </w:rPr>
        <w:t xml:space="preserve">me </w:t>
      </w:r>
      <w:r w:rsidRPr="00A54361">
        <w:rPr>
          <w:rFonts w:eastAsia="Times New Roman" w:cstheme="minorHAnsi"/>
          <w:spacing w:val="2"/>
        </w:rPr>
        <w:t>m</w:t>
      </w:r>
      <w:r w:rsidRPr="00A54361">
        <w:rPr>
          <w:rFonts w:eastAsia="Times New Roman" w:cstheme="minorHAnsi"/>
          <w:spacing w:val="4"/>
        </w:rPr>
        <w:t>a</w:t>
      </w:r>
      <w:r w:rsidRPr="00A54361">
        <w:rPr>
          <w:rFonts w:eastAsia="Times New Roman" w:cstheme="minorHAnsi"/>
        </w:rPr>
        <w:t>y</w:t>
      </w:r>
      <w:r w:rsidRPr="00A54361">
        <w:rPr>
          <w:rFonts w:eastAsia="Times New Roman" w:cstheme="minorHAnsi"/>
          <w:spacing w:val="-5"/>
        </w:rPr>
        <w:t xml:space="preserve"> </w:t>
      </w:r>
      <w:r w:rsidRPr="00A54361">
        <w:rPr>
          <w:rFonts w:eastAsia="Times New Roman" w:cstheme="minorHAnsi"/>
        </w:rPr>
        <w:t>be</w:t>
      </w:r>
      <w:r w:rsidRPr="00A54361">
        <w:rPr>
          <w:rFonts w:eastAsia="Times New Roman" w:cstheme="minorHAnsi"/>
          <w:spacing w:val="-1"/>
        </w:rPr>
        <w:t xml:space="preserve"> </w:t>
      </w:r>
      <w:r w:rsidRPr="00A54361">
        <w:rPr>
          <w:rFonts w:eastAsia="Times New Roman" w:cstheme="minorHAnsi"/>
        </w:rPr>
        <w:t>inc</w:t>
      </w:r>
      <w:r w:rsidRPr="00A54361">
        <w:rPr>
          <w:rFonts w:eastAsia="Times New Roman" w:cstheme="minorHAnsi"/>
          <w:spacing w:val="2"/>
        </w:rPr>
        <w:t>o</w:t>
      </w:r>
      <w:r w:rsidRPr="00A54361">
        <w:rPr>
          <w:rFonts w:eastAsia="Times New Roman" w:cstheme="minorHAnsi"/>
        </w:rPr>
        <w:t>rpo</w:t>
      </w:r>
      <w:r w:rsidRPr="00A54361">
        <w:rPr>
          <w:rFonts w:eastAsia="Times New Roman" w:cstheme="minorHAnsi"/>
          <w:spacing w:val="-1"/>
        </w:rPr>
        <w:t>ra</w:t>
      </w:r>
      <w:r w:rsidRPr="00A54361">
        <w:rPr>
          <w:rFonts w:eastAsia="Times New Roman" w:cstheme="minorHAnsi"/>
        </w:rPr>
        <w:t>ted.</w:t>
      </w:r>
    </w:p>
    <w:p w14:paraId="476F7B74" w14:textId="77777777" w:rsidR="0054549F" w:rsidRPr="00A54361" w:rsidRDefault="0054549F" w:rsidP="00A54361">
      <w:pPr>
        <w:ind w:left="-142" w:right="79"/>
        <w:jc w:val="both"/>
        <w:rPr>
          <w:rFonts w:cstheme="minorHAnsi"/>
        </w:rPr>
      </w:pPr>
      <w:r w:rsidRPr="00A54361">
        <w:rPr>
          <w:rFonts w:eastAsia="Times New Roman" w:cstheme="minorHAnsi"/>
        </w:rPr>
        <w:t>2.3</w:t>
      </w:r>
      <w:r w:rsidRPr="00A54361">
        <w:rPr>
          <w:rFonts w:eastAsia="Times New Roman" w:cstheme="minorHAnsi"/>
          <w:spacing w:val="57"/>
        </w:rPr>
        <w:t xml:space="preserve"> </w:t>
      </w:r>
      <w:r w:rsidRPr="00A54361">
        <w:rPr>
          <w:rFonts w:eastAsia="Times New Roman" w:cstheme="minorHAnsi"/>
        </w:rPr>
        <w:t>Ho</w:t>
      </w:r>
      <w:r w:rsidRPr="00A54361">
        <w:rPr>
          <w:rFonts w:eastAsia="Times New Roman" w:cstheme="minorHAnsi"/>
          <w:spacing w:val="-1"/>
        </w:rPr>
        <w:t>we</w:t>
      </w:r>
      <w:r w:rsidRPr="00A54361">
        <w:rPr>
          <w:rFonts w:eastAsia="Times New Roman" w:cstheme="minorHAnsi"/>
        </w:rPr>
        <w:t>v</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57"/>
        </w:rPr>
        <w:t xml:space="preserve"> </w:t>
      </w:r>
      <w:r w:rsidRPr="00A54361">
        <w:rPr>
          <w:rFonts w:eastAsia="Times New Roman" w:cstheme="minorHAnsi"/>
          <w:spacing w:val="-1"/>
        </w:rPr>
        <w:t>a</w:t>
      </w:r>
      <w:r w:rsidRPr="00A54361">
        <w:rPr>
          <w:rFonts w:eastAsia="Times New Roman" w:cstheme="minorHAnsi"/>
        </w:rPr>
        <w:t>bs</w:t>
      </w:r>
      <w:r w:rsidRPr="00A54361">
        <w:rPr>
          <w:rFonts w:eastAsia="Times New Roman" w:cstheme="minorHAnsi"/>
          <w:spacing w:val="-1"/>
        </w:rPr>
        <w:t>e</w:t>
      </w:r>
      <w:r w:rsidRPr="00A54361">
        <w:rPr>
          <w:rFonts w:eastAsia="Times New Roman" w:cstheme="minorHAnsi"/>
          <w:spacing w:val="2"/>
        </w:rPr>
        <w:t>n</w:t>
      </w:r>
      <w:r w:rsidRPr="00A54361">
        <w:rPr>
          <w:rFonts w:eastAsia="Times New Roman" w:cstheme="minorHAnsi"/>
          <w:spacing w:val="-1"/>
        </w:rPr>
        <w:t>c</w:t>
      </w:r>
      <w:r w:rsidRPr="00A54361">
        <w:rPr>
          <w:rFonts w:eastAsia="Times New Roman" w:cstheme="minorHAnsi"/>
        </w:rPr>
        <w:t>e</w:t>
      </w:r>
      <w:r w:rsidRPr="00A54361">
        <w:rPr>
          <w:rFonts w:eastAsia="Times New Roman" w:cstheme="minorHAnsi"/>
          <w:spacing w:val="59"/>
        </w:rPr>
        <w:t xml:space="preserve"> </w:t>
      </w:r>
      <w:r w:rsidRPr="00A54361">
        <w:rPr>
          <w:rFonts w:eastAsia="Times New Roman" w:cstheme="minorHAnsi"/>
        </w:rPr>
        <w:t>of</w:t>
      </w:r>
      <w:r w:rsidRPr="00A54361">
        <w:rPr>
          <w:rFonts w:eastAsia="Times New Roman" w:cstheme="minorHAnsi"/>
          <w:spacing w:val="57"/>
        </w:rPr>
        <w:t xml:space="preserve"> </w:t>
      </w:r>
      <w:r w:rsidRPr="00A54361">
        <w:rPr>
          <w:rFonts w:eastAsia="Times New Roman" w:cstheme="minorHAnsi"/>
        </w:rPr>
        <w:t>su</w:t>
      </w:r>
      <w:r w:rsidRPr="00A54361">
        <w:rPr>
          <w:rFonts w:eastAsia="Times New Roman" w:cstheme="minorHAnsi"/>
          <w:spacing w:val="-1"/>
        </w:rPr>
        <w:t>c</w:t>
      </w:r>
      <w:r w:rsidRPr="00A54361">
        <w:rPr>
          <w:rFonts w:eastAsia="Times New Roman" w:cstheme="minorHAnsi"/>
        </w:rPr>
        <w:t>h</w:t>
      </w:r>
      <w:r w:rsidRPr="00A54361">
        <w:rPr>
          <w:rFonts w:eastAsia="Times New Roman" w:cstheme="minorHAnsi"/>
          <w:spacing w:val="57"/>
        </w:rPr>
        <w:t xml:space="preserve"> </w:t>
      </w:r>
      <w:r w:rsidRPr="00A54361">
        <w:rPr>
          <w:rFonts w:eastAsia="Times New Roman" w:cstheme="minorHAnsi"/>
        </w:rPr>
        <w:t>a</w:t>
      </w:r>
      <w:r w:rsidRPr="00A54361">
        <w:rPr>
          <w:rFonts w:eastAsia="Times New Roman" w:cstheme="minorHAnsi"/>
          <w:spacing w:val="59"/>
        </w:rPr>
        <w:t xml:space="preserve"> </w:t>
      </w:r>
      <w:r w:rsidRPr="00A54361">
        <w:rPr>
          <w:rFonts w:eastAsia="Times New Roman" w:cstheme="minorHAnsi"/>
          <w:spacing w:val="-1"/>
        </w:rPr>
        <w:t>c</w:t>
      </w:r>
      <w:r w:rsidRPr="00A54361">
        <w:rPr>
          <w:rFonts w:eastAsia="Times New Roman" w:cstheme="minorHAnsi"/>
        </w:rPr>
        <w:t>lause</w:t>
      </w:r>
      <w:r w:rsidRPr="00A54361">
        <w:rPr>
          <w:rFonts w:eastAsia="Times New Roman" w:cstheme="minorHAnsi"/>
          <w:spacing w:val="56"/>
        </w:rPr>
        <w:t xml:space="preserve"> </w:t>
      </w:r>
      <w:r w:rsidRPr="00A54361">
        <w:rPr>
          <w:rFonts w:eastAsia="Times New Roman" w:cstheme="minorHAnsi"/>
        </w:rPr>
        <w:t>do</w:t>
      </w:r>
      <w:r w:rsidRPr="00A54361">
        <w:rPr>
          <w:rFonts w:eastAsia="Times New Roman" w:cstheme="minorHAnsi"/>
          <w:spacing w:val="-1"/>
        </w:rPr>
        <w:t>e</w:t>
      </w:r>
      <w:r w:rsidRPr="00A54361">
        <w:rPr>
          <w:rFonts w:eastAsia="Times New Roman" w:cstheme="minorHAnsi"/>
        </w:rPr>
        <w:t>s not</w:t>
      </w:r>
      <w:r w:rsidRPr="00A54361">
        <w:rPr>
          <w:rFonts w:eastAsia="Times New Roman" w:cstheme="minorHAnsi"/>
          <w:spacing w:val="58"/>
        </w:rPr>
        <w:t xml:space="preserve"> </w:t>
      </w:r>
      <w:r w:rsidRPr="00A54361">
        <w:rPr>
          <w:rFonts w:eastAsia="Times New Roman" w:cstheme="minorHAnsi"/>
        </w:rPr>
        <w:t>in</w:t>
      </w:r>
      <w:r w:rsidRPr="00A54361">
        <w:rPr>
          <w:rFonts w:eastAsia="Times New Roman" w:cstheme="minorHAnsi"/>
          <w:spacing w:val="58"/>
        </w:rPr>
        <w:t xml:space="preserve"> </w:t>
      </w:r>
      <w:r w:rsidRPr="00A54361">
        <w:rPr>
          <w:rFonts w:eastAsia="Times New Roman" w:cstheme="minorHAnsi"/>
          <w:spacing w:val="-1"/>
        </w:rPr>
        <w:t>a</w:t>
      </w:r>
      <w:r w:rsidRPr="00A54361">
        <w:rPr>
          <w:rFonts w:eastAsia="Times New Roman" w:cstheme="minorHAnsi"/>
          <w:spacing w:val="2"/>
        </w:rPr>
        <w:t>n</w:t>
      </w:r>
      <w:r w:rsidRPr="00A54361">
        <w:rPr>
          <w:rFonts w:eastAsia="Times New Roman" w:cstheme="minorHAnsi"/>
        </w:rPr>
        <w:t>y</w:t>
      </w:r>
      <w:r w:rsidRPr="00A54361">
        <w:rPr>
          <w:rFonts w:eastAsia="Times New Roman" w:cstheme="minorHAnsi"/>
          <w:spacing w:val="53"/>
        </w:rPr>
        <w:t xml:space="preserve"> </w:t>
      </w:r>
      <w:r w:rsidRPr="00A54361">
        <w:rPr>
          <w:rFonts w:eastAsia="Times New Roman" w:cstheme="minorHAnsi"/>
          <w:spacing w:val="2"/>
        </w:rPr>
        <w:t>w</w:t>
      </w:r>
      <w:r w:rsidRPr="00A54361">
        <w:rPr>
          <w:rFonts w:eastAsia="Times New Roman" w:cstheme="minorHAnsi"/>
          <w:spacing w:val="4"/>
        </w:rPr>
        <w:t>a</w:t>
      </w:r>
      <w:r w:rsidRPr="00A54361">
        <w:rPr>
          <w:rFonts w:eastAsia="Times New Roman" w:cstheme="minorHAnsi"/>
        </w:rPr>
        <w:t>y</w:t>
      </w:r>
      <w:r w:rsidRPr="00A54361">
        <w:rPr>
          <w:rFonts w:eastAsia="Times New Roman" w:cstheme="minorHAnsi"/>
          <w:spacing w:val="53"/>
        </w:rPr>
        <w:t xml:space="preserve"> </w:t>
      </w:r>
      <w:r w:rsidRPr="00A54361">
        <w:rPr>
          <w:rFonts w:eastAsia="Times New Roman" w:cstheme="minorHAnsi"/>
        </w:rPr>
        <w:t>r</w:t>
      </w:r>
      <w:r w:rsidRPr="00A54361">
        <w:rPr>
          <w:rFonts w:eastAsia="Times New Roman" w:cstheme="minorHAnsi"/>
          <w:spacing w:val="-2"/>
        </w:rPr>
        <w:t>e</w:t>
      </w:r>
      <w:r w:rsidRPr="00A54361">
        <w:rPr>
          <w:rFonts w:eastAsia="Times New Roman" w:cstheme="minorHAnsi"/>
        </w:rPr>
        <w:t>str</w:t>
      </w:r>
      <w:r w:rsidRPr="00A54361">
        <w:rPr>
          <w:rFonts w:eastAsia="Times New Roman" w:cstheme="minorHAnsi"/>
          <w:spacing w:val="3"/>
        </w:rPr>
        <w:t>i</w:t>
      </w:r>
      <w:r w:rsidRPr="00A54361">
        <w:rPr>
          <w:rFonts w:eastAsia="Times New Roman" w:cstheme="minorHAnsi"/>
          <w:spacing w:val="-1"/>
        </w:rPr>
        <w:t>c</w:t>
      </w:r>
      <w:r w:rsidRPr="00A54361">
        <w:rPr>
          <w:rFonts w:eastAsia="Times New Roman" w:cstheme="minorHAnsi"/>
        </w:rPr>
        <w:t>t</w:t>
      </w:r>
      <w:r w:rsidRPr="00A54361">
        <w:rPr>
          <w:rFonts w:eastAsia="Times New Roman" w:cstheme="minorHAnsi"/>
          <w:spacing w:val="58"/>
        </w:rPr>
        <w:t xml:space="preserve"> </w:t>
      </w:r>
      <w:r w:rsidRPr="00A54361">
        <w:rPr>
          <w:rFonts w:eastAsia="Times New Roman" w:cstheme="minorHAnsi"/>
        </w:rPr>
        <w:t>the</w:t>
      </w:r>
      <w:r w:rsidRPr="00A54361">
        <w:rPr>
          <w:rFonts w:eastAsia="Times New Roman" w:cstheme="minorHAnsi"/>
          <w:spacing w:val="57"/>
        </w:rPr>
        <w:t xml:space="preserve"> </w:t>
      </w:r>
      <w:r w:rsidRPr="00A54361">
        <w:rPr>
          <w:rFonts w:eastAsia="Times New Roman" w:cstheme="minorHAnsi"/>
        </w:rPr>
        <w:t>ri</w:t>
      </w:r>
      <w:r w:rsidRPr="00A54361">
        <w:rPr>
          <w:rFonts w:eastAsia="Times New Roman" w:cstheme="minorHAnsi"/>
          <w:spacing w:val="-3"/>
        </w:rPr>
        <w:t>g</w:t>
      </w:r>
      <w:r w:rsidRPr="00A54361">
        <w:rPr>
          <w:rFonts w:eastAsia="Times New Roman" w:cstheme="minorHAnsi"/>
        </w:rPr>
        <w:t>ht</w:t>
      </w:r>
      <w:r w:rsidRPr="00A54361">
        <w:rPr>
          <w:rFonts w:eastAsia="Times New Roman" w:cstheme="minorHAnsi"/>
          <w:spacing w:val="58"/>
        </w:rPr>
        <w:t xml:space="preserve"> </w:t>
      </w:r>
      <w:r w:rsidRPr="00A54361">
        <w:rPr>
          <w:rFonts w:eastAsia="Times New Roman" w:cstheme="minorHAnsi"/>
        </w:rPr>
        <w:t>of</w:t>
      </w:r>
      <w:r w:rsidRPr="00A54361">
        <w:rPr>
          <w:rFonts w:eastAsia="Times New Roman" w:cstheme="minorHAnsi"/>
          <w:spacing w:val="59"/>
        </w:rPr>
        <w:t xml:space="preserve"> </w:t>
      </w:r>
      <w:r w:rsidRPr="00A54361">
        <w:rPr>
          <w:rFonts w:eastAsia="Times New Roman" w:cstheme="minorHAnsi"/>
        </w:rPr>
        <w:t>B</w:t>
      </w:r>
      <w:r w:rsidRPr="00A54361">
        <w:rPr>
          <w:rFonts w:eastAsia="Times New Roman" w:cstheme="minorHAnsi"/>
          <w:spacing w:val="-1"/>
        </w:rPr>
        <w:t>a</w:t>
      </w:r>
      <w:r w:rsidRPr="00A54361">
        <w:rPr>
          <w:rFonts w:eastAsia="Times New Roman" w:cstheme="minorHAnsi"/>
        </w:rPr>
        <w:t>nk (CE</w:t>
      </w:r>
      <w:r w:rsidRPr="00A54361">
        <w:rPr>
          <w:rFonts w:eastAsia="Times New Roman" w:cstheme="minorHAnsi"/>
          <w:spacing w:val="-1"/>
        </w:rPr>
        <w:t>N</w:t>
      </w:r>
      <w:r w:rsidRPr="00A54361">
        <w:rPr>
          <w:rFonts w:eastAsia="Times New Roman" w:cstheme="minorHAnsi"/>
        </w:rPr>
        <w:t>TR</w:t>
      </w:r>
      <w:r w:rsidRPr="00A54361">
        <w:rPr>
          <w:rFonts w:eastAsia="Times New Roman" w:cstheme="minorHAnsi"/>
          <w:spacing w:val="2"/>
        </w:rPr>
        <w:t>A</w:t>
      </w:r>
      <w:r w:rsidRPr="00A54361">
        <w:rPr>
          <w:rFonts w:eastAsia="Times New Roman" w:cstheme="minorHAnsi"/>
        </w:rPr>
        <w:t>L</w:t>
      </w:r>
      <w:r w:rsidRPr="00A54361">
        <w:rPr>
          <w:rFonts w:eastAsia="Times New Roman" w:cstheme="minorHAnsi"/>
          <w:spacing w:val="-5"/>
        </w:rPr>
        <w:t xml:space="preserve"> </w:t>
      </w:r>
      <w:r w:rsidRPr="00A54361">
        <w:rPr>
          <w:rFonts w:eastAsia="Times New Roman" w:cstheme="minorHAnsi"/>
          <w:spacing w:val="-2"/>
        </w:rPr>
        <w:t>B</w:t>
      </w:r>
      <w:r w:rsidRPr="00A54361">
        <w:rPr>
          <w:rFonts w:eastAsia="Times New Roman" w:cstheme="minorHAnsi"/>
          <w:spacing w:val="2"/>
        </w:rPr>
        <w:t>A</w:t>
      </w:r>
      <w:r w:rsidRPr="00A54361">
        <w:rPr>
          <w:rFonts w:eastAsia="Times New Roman" w:cstheme="minorHAnsi"/>
        </w:rPr>
        <w:t>NK</w:t>
      </w:r>
      <w:r w:rsidRPr="00A54361">
        <w:rPr>
          <w:rFonts w:eastAsia="Times New Roman" w:cstheme="minorHAnsi"/>
          <w:spacing w:val="-3"/>
        </w:rPr>
        <w:t xml:space="preserve"> </w:t>
      </w:r>
      <w:r w:rsidRPr="00A54361">
        <w:rPr>
          <w:rFonts w:eastAsia="Times New Roman" w:cstheme="minorHAnsi"/>
          <w:spacing w:val="2"/>
        </w:rPr>
        <w:t>O</w:t>
      </w:r>
      <w:r w:rsidRPr="00A54361">
        <w:rPr>
          <w:rFonts w:eastAsia="Times New Roman" w:cstheme="minorHAnsi"/>
        </w:rPr>
        <w:t>F</w:t>
      </w:r>
      <w:r w:rsidRPr="00A54361">
        <w:rPr>
          <w:rFonts w:eastAsia="Times New Roman" w:cstheme="minorHAnsi"/>
          <w:spacing w:val="-1"/>
        </w:rPr>
        <w:t xml:space="preserve"> </w:t>
      </w:r>
      <w:r w:rsidRPr="00A54361">
        <w:rPr>
          <w:rFonts w:eastAsia="Times New Roman" w:cstheme="minorHAnsi"/>
        </w:rPr>
        <w:t>I</w:t>
      </w:r>
      <w:r w:rsidRPr="00A54361">
        <w:rPr>
          <w:rFonts w:eastAsia="Times New Roman" w:cstheme="minorHAnsi"/>
          <w:spacing w:val="-1"/>
        </w:rPr>
        <w:t>N</w:t>
      </w:r>
      <w:r w:rsidRPr="00A54361">
        <w:rPr>
          <w:rFonts w:eastAsia="Times New Roman" w:cstheme="minorHAnsi"/>
          <w:spacing w:val="2"/>
        </w:rPr>
        <w:t>D</w:t>
      </w:r>
      <w:r w:rsidRPr="00A54361">
        <w:rPr>
          <w:rFonts w:eastAsia="Times New Roman" w:cstheme="minorHAnsi"/>
          <w:spacing w:val="-3"/>
        </w:rPr>
        <w:t>I</w:t>
      </w:r>
      <w:r w:rsidRPr="00A54361">
        <w:rPr>
          <w:rFonts w:eastAsia="Times New Roman" w:cstheme="minorHAnsi"/>
        </w:rPr>
        <w:t>A)</w:t>
      </w:r>
      <w:r w:rsidRPr="00A54361">
        <w:rPr>
          <w:rFonts w:eastAsia="Times New Roman" w:cstheme="minorHAnsi"/>
          <w:spacing w:val="-4"/>
        </w:rPr>
        <w:t xml:space="preserve"> </w:t>
      </w:r>
      <w:r w:rsidRPr="00A54361">
        <w:rPr>
          <w:rFonts w:eastAsia="Times New Roman" w:cstheme="minorHAnsi"/>
        </w:rPr>
        <w:t>to</w:t>
      </w:r>
      <w:r w:rsidRPr="00A54361">
        <w:rPr>
          <w:rFonts w:eastAsia="Times New Roman" w:cstheme="minorHAnsi"/>
          <w:spacing w:val="-2"/>
        </w:rPr>
        <w:t xml:space="preserve"> </w:t>
      </w:r>
      <w:r w:rsidRPr="00A54361">
        <w:rPr>
          <w:rFonts w:eastAsia="Times New Roman" w:cstheme="minorHAnsi"/>
        </w:rPr>
        <w:t>ta</w:t>
      </w:r>
      <w:r w:rsidRPr="00A54361">
        <w:rPr>
          <w:rFonts w:eastAsia="Times New Roman" w:cstheme="minorHAnsi"/>
          <w:spacing w:val="2"/>
        </w:rPr>
        <w:t>k</w:t>
      </w:r>
      <w:r w:rsidRPr="00A54361">
        <w:rPr>
          <w:rFonts w:eastAsia="Times New Roman" w:cstheme="minorHAnsi"/>
        </w:rPr>
        <w:t>e</w:t>
      </w:r>
      <w:r w:rsidRPr="00A54361">
        <w:rPr>
          <w:rFonts w:eastAsia="Times New Roman" w:cstheme="minorHAnsi"/>
          <w:spacing w:val="-3"/>
        </w:rPr>
        <w:t xml:space="preserve"> </w:t>
      </w:r>
      <w:r w:rsidRPr="00A54361">
        <w:rPr>
          <w:rFonts w:eastAsia="Times New Roman" w:cstheme="minorHAnsi"/>
          <w:spacing w:val="-1"/>
        </w:rPr>
        <w:t>ac</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on</w:t>
      </w:r>
      <w:r w:rsidRPr="00A54361">
        <w:rPr>
          <w:rFonts w:eastAsia="Times New Roman" w:cstheme="minorHAnsi"/>
          <w:spacing w:val="-2"/>
        </w:rPr>
        <w:t xml:space="preserve"> </w:t>
      </w:r>
      <w:r w:rsidRPr="00A54361">
        <w:rPr>
          <w:rFonts w:eastAsia="Times New Roman" w:cstheme="minorHAnsi"/>
        </w:rPr>
        <w:t>/</w:t>
      </w:r>
      <w:r w:rsidRPr="00A54361">
        <w:rPr>
          <w:rFonts w:eastAsia="Times New Roman" w:cstheme="minorHAnsi"/>
          <w:spacing w:val="-2"/>
        </w:rPr>
        <w:t xml:space="preserve"> </w:t>
      </w:r>
      <w:r w:rsidRPr="00A54361">
        <w:rPr>
          <w:rFonts w:eastAsia="Times New Roman" w:cstheme="minorHAnsi"/>
        </w:rPr>
        <w:t>d</w:t>
      </w:r>
      <w:r w:rsidRPr="00A54361">
        <w:rPr>
          <w:rFonts w:eastAsia="Times New Roman" w:cstheme="minorHAnsi"/>
          <w:spacing w:val="1"/>
        </w:rPr>
        <w:t>e</w:t>
      </w:r>
      <w:r w:rsidRPr="00A54361">
        <w:rPr>
          <w:rFonts w:eastAsia="Times New Roman" w:cstheme="minorHAnsi"/>
          <w:spacing w:val="-1"/>
        </w:rPr>
        <w:t>c</w:t>
      </w:r>
      <w:r w:rsidRPr="00A54361">
        <w:rPr>
          <w:rFonts w:eastAsia="Times New Roman" w:cstheme="minorHAnsi"/>
        </w:rPr>
        <w:t>is</w:t>
      </w:r>
      <w:r w:rsidRPr="00A54361">
        <w:rPr>
          <w:rFonts w:eastAsia="Times New Roman" w:cstheme="minorHAnsi"/>
          <w:spacing w:val="1"/>
        </w:rPr>
        <w:t>i</w:t>
      </w:r>
      <w:r w:rsidRPr="00A54361">
        <w:rPr>
          <w:rFonts w:eastAsia="Times New Roman" w:cstheme="minorHAnsi"/>
        </w:rPr>
        <w:t>on</w:t>
      </w:r>
      <w:r w:rsidRPr="00A54361">
        <w:rPr>
          <w:rFonts w:eastAsia="Times New Roman" w:cstheme="minorHAnsi"/>
          <w:spacing w:val="-2"/>
        </w:rPr>
        <w:t xml:space="preserve"> </w:t>
      </w:r>
      <w:r w:rsidRPr="00A54361">
        <w:rPr>
          <w:rFonts w:eastAsia="Times New Roman" w:cstheme="minorHAnsi"/>
        </w:rPr>
        <w:t>und</w:t>
      </w:r>
      <w:r w:rsidRPr="00A54361">
        <w:rPr>
          <w:rFonts w:eastAsia="Times New Roman" w:cstheme="minorHAnsi"/>
          <w:spacing w:val="-1"/>
        </w:rPr>
        <w:t>e</w:t>
      </w:r>
      <w:r w:rsidRPr="00A54361">
        <w:rPr>
          <w:rFonts w:eastAsia="Times New Roman" w:cstheme="minorHAnsi"/>
        </w:rPr>
        <w:t>r these</w:t>
      </w:r>
      <w:r w:rsidRPr="00A54361">
        <w:rPr>
          <w:rFonts w:eastAsia="Times New Roman" w:cstheme="minorHAnsi"/>
          <w:spacing w:val="-1"/>
        </w:rPr>
        <w:t xml:space="preserve"> </w:t>
      </w:r>
      <w:r w:rsidRPr="00A54361">
        <w:rPr>
          <w:rFonts w:eastAsia="Times New Roman" w:cstheme="minorHAnsi"/>
          <w:spacing w:val="-2"/>
        </w:rPr>
        <w:t>g</w:t>
      </w:r>
      <w:r w:rsidRPr="00A54361">
        <w:rPr>
          <w:rFonts w:eastAsia="Times New Roman" w:cstheme="minorHAnsi"/>
        </w:rPr>
        <w:t>uidel</w:t>
      </w:r>
      <w:r w:rsidRPr="00A54361">
        <w:rPr>
          <w:rFonts w:eastAsia="Times New Roman" w:cstheme="minorHAnsi"/>
          <w:spacing w:val="3"/>
        </w:rPr>
        <w:t>i</w:t>
      </w:r>
      <w:r w:rsidRPr="00A54361">
        <w:rPr>
          <w:rFonts w:eastAsia="Times New Roman" w:cstheme="minorHAnsi"/>
        </w:rPr>
        <w:t>n</w:t>
      </w:r>
      <w:r w:rsidRPr="00A54361">
        <w:rPr>
          <w:rFonts w:eastAsia="Times New Roman" w:cstheme="minorHAnsi"/>
          <w:spacing w:val="-1"/>
        </w:rPr>
        <w:t>e</w:t>
      </w:r>
      <w:r w:rsidRPr="00A54361">
        <w:rPr>
          <w:rFonts w:eastAsia="Times New Roman" w:cstheme="minorHAnsi"/>
        </w:rPr>
        <w:t>s</w:t>
      </w:r>
      <w:r w:rsidRPr="00A54361">
        <w:rPr>
          <w:rFonts w:eastAsia="Times New Roman" w:cstheme="minorHAnsi"/>
          <w:spacing w:val="-2"/>
        </w:rPr>
        <w:t xml:space="preserve"> </w:t>
      </w:r>
      <w:r w:rsidRPr="00A54361">
        <w:rPr>
          <w:rFonts w:eastAsia="Times New Roman" w:cstheme="minorHAnsi"/>
        </w:rPr>
        <w:t>in</w:t>
      </w:r>
      <w:r w:rsidRPr="00A54361">
        <w:rPr>
          <w:rFonts w:eastAsia="Times New Roman" w:cstheme="minorHAnsi"/>
          <w:spacing w:val="-2"/>
        </w:rPr>
        <w:t xml:space="preserve"> </w:t>
      </w:r>
      <w:r w:rsidRPr="00A54361">
        <w:rPr>
          <w:rFonts w:eastAsia="Times New Roman" w:cstheme="minorHAnsi"/>
          <w:spacing w:val="-1"/>
        </w:rPr>
        <w:t>a</w:t>
      </w:r>
      <w:r w:rsidRPr="00A54361">
        <w:rPr>
          <w:rFonts w:eastAsia="Times New Roman" w:cstheme="minorHAnsi"/>
        </w:rPr>
        <w:t>ppro</w:t>
      </w:r>
      <w:r w:rsidRPr="00A54361">
        <w:rPr>
          <w:rFonts w:eastAsia="Times New Roman" w:cstheme="minorHAnsi"/>
          <w:spacing w:val="-1"/>
        </w:rPr>
        <w:t>p</w:t>
      </w:r>
      <w:r w:rsidRPr="00A54361">
        <w:rPr>
          <w:rFonts w:eastAsia="Times New Roman" w:cstheme="minorHAnsi"/>
        </w:rPr>
        <w:t>ri</w:t>
      </w:r>
      <w:r w:rsidRPr="00A54361">
        <w:rPr>
          <w:rFonts w:eastAsia="Times New Roman" w:cstheme="minorHAnsi"/>
          <w:spacing w:val="-1"/>
        </w:rPr>
        <w:t>a</w:t>
      </w:r>
      <w:r w:rsidRPr="00A54361">
        <w:rPr>
          <w:rFonts w:eastAsia="Times New Roman" w:cstheme="minorHAnsi"/>
        </w:rPr>
        <w:t xml:space="preserve">te </w:t>
      </w:r>
      <w:r w:rsidRPr="00A54361">
        <w:rPr>
          <w:rFonts w:eastAsia="Times New Roman" w:cstheme="minorHAnsi"/>
          <w:spacing w:val="-1"/>
        </w:rPr>
        <w:t>ca</w:t>
      </w:r>
      <w:r w:rsidRPr="00A54361">
        <w:rPr>
          <w:rFonts w:eastAsia="Times New Roman" w:cstheme="minorHAnsi"/>
        </w:rPr>
        <w:t>s</w:t>
      </w:r>
      <w:r w:rsidRPr="00A54361">
        <w:rPr>
          <w:rFonts w:eastAsia="Times New Roman" w:cstheme="minorHAnsi"/>
          <w:spacing w:val="-1"/>
        </w:rPr>
        <w:t>e</w:t>
      </w:r>
      <w:r w:rsidRPr="00A54361">
        <w:rPr>
          <w:rFonts w:eastAsia="Times New Roman" w:cstheme="minorHAnsi"/>
        </w:rPr>
        <w:t>s.</w:t>
      </w:r>
    </w:p>
    <w:p w14:paraId="1ADFE80F" w14:textId="77777777" w:rsidR="0054549F" w:rsidRPr="00A54361" w:rsidRDefault="0054549F" w:rsidP="00A54361">
      <w:pPr>
        <w:ind w:left="-142" w:right="81"/>
        <w:jc w:val="both"/>
        <w:rPr>
          <w:rFonts w:cstheme="minorHAnsi"/>
        </w:rPr>
      </w:pPr>
      <w:r w:rsidRPr="00A54361">
        <w:rPr>
          <w:rFonts w:eastAsia="Times New Roman" w:cstheme="minorHAnsi"/>
        </w:rPr>
        <w:t>2.4</w:t>
      </w:r>
      <w:r w:rsidRPr="00A54361">
        <w:rPr>
          <w:rFonts w:eastAsia="Times New Roman" w:cstheme="minorHAnsi"/>
          <w:spacing w:val="-2"/>
        </w:rPr>
        <w:t xml:space="preserve"> </w:t>
      </w:r>
      <w:r w:rsidRPr="00A54361">
        <w:rPr>
          <w:rFonts w:eastAsia="Times New Roman" w:cstheme="minorHAnsi"/>
        </w:rPr>
        <w:t>The</w:t>
      </w:r>
      <w:r w:rsidRPr="00A54361">
        <w:rPr>
          <w:rFonts w:eastAsia="Times New Roman" w:cstheme="minorHAnsi"/>
          <w:spacing w:val="-4"/>
        </w:rPr>
        <w:t xml:space="preserve"> </w:t>
      </w:r>
      <w:r w:rsidRPr="00A54361">
        <w:rPr>
          <w:rFonts w:eastAsia="Times New Roman" w:cstheme="minorHAnsi"/>
        </w:rPr>
        <w:t>proc</w:t>
      </w:r>
      <w:r w:rsidRPr="00A54361">
        <w:rPr>
          <w:rFonts w:eastAsia="Times New Roman" w:cstheme="minorHAnsi"/>
          <w:spacing w:val="-1"/>
        </w:rPr>
        <w:t>e</w:t>
      </w:r>
      <w:r w:rsidRPr="00A54361">
        <w:rPr>
          <w:rFonts w:eastAsia="Times New Roman" w:cstheme="minorHAnsi"/>
        </w:rPr>
        <w:t>dure</w:t>
      </w:r>
      <w:r w:rsidRPr="00A54361">
        <w:rPr>
          <w:rFonts w:eastAsia="Times New Roman" w:cstheme="minorHAnsi"/>
          <w:spacing w:val="-4"/>
        </w:rPr>
        <w:t xml:space="preserve"> </w:t>
      </w:r>
      <w:r w:rsidRPr="00A54361">
        <w:rPr>
          <w:rFonts w:eastAsia="Times New Roman" w:cstheme="minorHAnsi"/>
          <w:spacing w:val="2"/>
        </w:rPr>
        <w:t>o</w:t>
      </w:r>
      <w:r w:rsidRPr="00A54361">
        <w:rPr>
          <w:rFonts w:eastAsia="Times New Roman" w:cstheme="minorHAnsi"/>
        </w:rPr>
        <w:t>f</w:t>
      </w:r>
      <w:r w:rsidRPr="00A54361">
        <w:rPr>
          <w:rFonts w:eastAsia="Times New Roman" w:cstheme="minorHAnsi"/>
          <w:spacing w:val="-3"/>
        </w:rPr>
        <w:t xml:space="preserve"> </w:t>
      </w:r>
      <w:r w:rsidRPr="00A54361">
        <w:rPr>
          <w:rFonts w:eastAsia="Times New Roman" w:cstheme="minorHAnsi"/>
        </w:rPr>
        <w:t>(i)</w:t>
      </w:r>
      <w:r w:rsidRPr="00A54361">
        <w:rPr>
          <w:rFonts w:eastAsia="Times New Roman" w:cstheme="minorHAnsi"/>
          <w:spacing w:val="-1"/>
        </w:rPr>
        <w:t xml:space="preserve"> </w:t>
      </w:r>
      <w:r w:rsidRPr="00A54361">
        <w:rPr>
          <w:rFonts w:eastAsia="Times New Roman" w:cstheme="minorHAnsi"/>
        </w:rPr>
        <w:t>R</w:t>
      </w:r>
      <w:r w:rsidRPr="00A54361">
        <w:rPr>
          <w:rFonts w:eastAsia="Times New Roman" w:cstheme="minorHAnsi"/>
          <w:spacing w:val="-1"/>
        </w:rPr>
        <w:t>e</w:t>
      </w:r>
      <w:r w:rsidRPr="00A54361">
        <w:rPr>
          <w:rFonts w:eastAsia="Times New Roman" w:cstheme="minorHAnsi"/>
        </w:rPr>
        <w:t>moval</w:t>
      </w:r>
      <w:r w:rsidRPr="00A54361">
        <w:rPr>
          <w:rFonts w:eastAsia="Times New Roman" w:cstheme="minorHAnsi"/>
          <w:spacing w:val="-2"/>
        </w:rPr>
        <w:t xml:space="preserve"> </w:t>
      </w:r>
      <w:r w:rsidRPr="00A54361">
        <w:rPr>
          <w:rFonts w:eastAsia="Times New Roman" w:cstheme="minorHAnsi"/>
        </w:rPr>
        <w:t>of</w:t>
      </w:r>
      <w:r w:rsidRPr="00A54361">
        <w:rPr>
          <w:rFonts w:eastAsia="Times New Roman" w:cstheme="minorHAnsi"/>
          <w:spacing w:val="-3"/>
        </w:rPr>
        <w:t xml:space="preserve"> </w:t>
      </w:r>
      <w:r w:rsidRPr="00A54361">
        <w:rPr>
          <w:rFonts w:eastAsia="Times New Roman" w:cstheme="minorHAnsi"/>
          <w:spacing w:val="2"/>
        </w:rPr>
        <w:t>A</w:t>
      </w:r>
      <w:r w:rsidRPr="00A54361">
        <w:rPr>
          <w:rFonts w:eastAsia="Times New Roman" w:cstheme="minorHAnsi"/>
          <w:spacing w:val="-2"/>
        </w:rPr>
        <w:t>g</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4"/>
        </w:rPr>
        <w:t>c</w:t>
      </w:r>
      <w:r w:rsidRPr="00A54361">
        <w:rPr>
          <w:rFonts w:eastAsia="Times New Roman" w:cstheme="minorHAnsi"/>
        </w:rPr>
        <w:t>y</w:t>
      </w:r>
      <w:r w:rsidRPr="00A54361">
        <w:rPr>
          <w:rFonts w:eastAsia="Times New Roman" w:cstheme="minorHAnsi"/>
          <w:spacing w:val="-5"/>
        </w:rPr>
        <w:t xml:space="preserve"> </w:t>
      </w:r>
      <w:r w:rsidRPr="00A54361">
        <w:rPr>
          <w:rFonts w:eastAsia="Times New Roman" w:cstheme="minorHAnsi"/>
        </w:rPr>
        <w:t>f</w:t>
      </w:r>
      <w:r w:rsidRPr="00A54361">
        <w:rPr>
          <w:rFonts w:eastAsia="Times New Roman" w:cstheme="minorHAnsi"/>
          <w:spacing w:val="-1"/>
        </w:rPr>
        <w:t>r</w:t>
      </w:r>
      <w:r w:rsidRPr="00A54361">
        <w:rPr>
          <w:rFonts w:eastAsia="Times New Roman" w:cstheme="minorHAnsi"/>
        </w:rPr>
        <w:t xml:space="preserve">om the </w:t>
      </w:r>
      <w:r w:rsidRPr="00A54361">
        <w:rPr>
          <w:rFonts w:eastAsia="Times New Roman" w:cstheme="minorHAnsi"/>
          <w:spacing w:val="-6"/>
        </w:rPr>
        <w:t>L</w:t>
      </w:r>
      <w:r w:rsidRPr="00A54361">
        <w:rPr>
          <w:rFonts w:eastAsia="Times New Roman" w:cstheme="minorHAnsi"/>
        </w:rPr>
        <w:t>ist</w:t>
      </w:r>
      <w:r w:rsidRPr="00A54361">
        <w:rPr>
          <w:rFonts w:eastAsia="Times New Roman" w:cstheme="minorHAnsi"/>
          <w:spacing w:val="-1"/>
        </w:rPr>
        <w:t xml:space="preserve"> </w:t>
      </w:r>
      <w:r w:rsidRPr="00A54361">
        <w:rPr>
          <w:rFonts w:eastAsia="Times New Roman" w:cstheme="minorHAnsi"/>
        </w:rPr>
        <w:t>of</w:t>
      </w:r>
      <w:r w:rsidRPr="00A54361">
        <w:rPr>
          <w:rFonts w:eastAsia="Times New Roman" w:cstheme="minorHAnsi"/>
          <w:spacing w:val="-3"/>
        </w:rPr>
        <w:t xml:space="preserve"> </w:t>
      </w:r>
      <w:r w:rsidRPr="00A54361">
        <w:rPr>
          <w:rFonts w:eastAsia="Times New Roman" w:cstheme="minorHAnsi"/>
          <w:spacing w:val="-1"/>
        </w:rPr>
        <w:t>a</w:t>
      </w:r>
      <w:r w:rsidRPr="00A54361">
        <w:rPr>
          <w:rFonts w:eastAsia="Times New Roman" w:cstheme="minorHAnsi"/>
        </w:rPr>
        <w:t>p</w:t>
      </w:r>
      <w:r w:rsidRPr="00A54361">
        <w:rPr>
          <w:rFonts w:eastAsia="Times New Roman" w:cstheme="minorHAnsi"/>
          <w:spacing w:val="2"/>
        </w:rPr>
        <w:t>p</w:t>
      </w:r>
      <w:r w:rsidRPr="00A54361">
        <w:rPr>
          <w:rFonts w:eastAsia="Times New Roman" w:cstheme="minorHAnsi"/>
        </w:rPr>
        <w:t>rov</w:t>
      </w:r>
      <w:r w:rsidRPr="00A54361">
        <w:rPr>
          <w:rFonts w:eastAsia="Times New Roman" w:cstheme="minorHAnsi"/>
          <w:spacing w:val="-2"/>
        </w:rPr>
        <w:t>e</w:t>
      </w:r>
      <w:r w:rsidRPr="00A54361">
        <w:rPr>
          <w:rFonts w:eastAsia="Times New Roman" w:cstheme="minorHAnsi"/>
        </w:rPr>
        <w:t>d</w:t>
      </w:r>
      <w:r w:rsidRPr="00A54361">
        <w:rPr>
          <w:rFonts w:eastAsia="Times New Roman" w:cstheme="minorHAnsi"/>
          <w:spacing w:val="-2"/>
        </w:rPr>
        <w:t xml:space="preserve"> </w:t>
      </w:r>
      <w:r w:rsidRPr="00A54361">
        <w:rPr>
          <w:rFonts w:eastAsia="Times New Roman" w:cstheme="minorHAnsi"/>
        </w:rPr>
        <w:t>su</w:t>
      </w:r>
      <w:r w:rsidRPr="00A54361">
        <w:rPr>
          <w:rFonts w:eastAsia="Times New Roman" w:cstheme="minorHAnsi"/>
          <w:spacing w:val="2"/>
        </w:rPr>
        <w:t>p</w:t>
      </w:r>
      <w:r w:rsidRPr="00A54361">
        <w:rPr>
          <w:rFonts w:eastAsia="Times New Roman" w:cstheme="minorHAnsi"/>
        </w:rPr>
        <w:t>pl</w:t>
      </w:r>
      <w:r w:rsidRPr="00A54361">
        <w:rPr>
          <w:rFonts w:eastAsia="Times New Roman" w:cstheme="minorHAnsi"/>
          <w:spacing w:val="1"/>
        </w:rPr>
        <w:t>i</w:t>
      </w:r>
      <w:r w:rsidRPr="00A54361">
        <w:rPr>
          <w:rFonts w:eastAsia="Times New Roman" w:cstheme="minorHAnsi"/>
          <w:spacing w:val="-1"/>
        </w:rPr>
        <w:t>e</w:t>
      </w:r>
      <w:r w:rsidRPr="00A54361">
        <w:rPr>
          <w:rFonts w:eastAsia="Times New Roman" w:cstheme="minorHAnsi"/>
        </w:rPr>
        <w:t>rs</w:t>
      </w:r>
      <w:r w:rsidRPr="00A54361">
        <w:rPr>
          <w:rFonts w:eastAsia="Times New Roman" w:cstheme="minorHAnsi"/>
          <w:spacing w:val="-3"/>
        </w:rPr>
        <w:t xml:space="preserve"> </w:t>
      </w:r>
      <w:r w:rsidRPr="00A54361">
        <w:rPr>
          <w:rFonts w:eastAsia="Times New Roman" w:cstheme="minorHAnsi"/>
        </w:rPr>
        <w:t>/</w:t>
      </w:r>
      <w:r w:rsidRPr="00A54361">
        <w:rPr>
          <w:rFonts w:eastAsia="Times New Roman" w:cstheme="minorHAnsi"/>
          <w:spacing w:val="-2"/>
        </w:rPr>
        <w:t xml:space="preserve"> </w:t>
      </w:r>
      <w:r w:rsidRPr="00A54361">
        <w:rPr>
          <w:rFonts w:eastAsia="Times New Roman" w:cstheme="minorHAnsi"/>
          <w:spacing w:val="-1"/>
        </w:rPr>
        <w:t>c</w:t>
      </w:r>
      <w:r w:rsidRPr="00A54361">
        <w:rPr>
          <w:rFonts w:eastAsia="Times New Roman" w:cstheme="minorHAnsi"/>
        </w:rPr>
        <w:t>ontr</w:t>
      </w:r>
      <w:r w:rsidRPr="00A54361">
        <w:rPr>
          <w:rFonts w:eastAsia="Times New Roman" w:cstheme="minorHAnsi"/>
          <w:spacing w:val="-1"/>
        </w:rPr>
        <w:t>ac</w:t>
      </w:r>
      <w:r w:rsidRPr="00A54361">
        <w:rPr>
          <w:rFonts w:eastAsia="Times New Roman" w:cstheme="minorHAnsi"/>
        </w:rPr>
        <w:t>tors; (ii)</w:t>
      </w:r>
      <w:r w:rsidRPr="00A54361">
        <w:rPr>
          <w:rFonts w:eastAsia="Times New Roman" w:cstheme="minorHAnsi"/>
          <w:spacing w:val="2"/>
        </w:rPr>
        <w:t xml:space="preserve"> </w:t>
      </w:r>
      <w:r w:rsidRPr="00A54361">
        <w:rPr>
          <w:rFonts w:eastAsia="Times New Roman" w:cstheme="minorHAnsi"/>
          <w:spacing w:val="1"/>
        </w:rPr>
        <w:t>S</w:t>
      </w:r>
      <w:r w:rsidRPr="00A54361">
        <w:rPr>
          <w:rFonts w:eastAsia="Times New Roman" w:cstheme="minorHAnsi"/>
        </w:rPr>
        <w:t>usp</w:t>
      </w:r>
      <w:r w:rsidRPr="00A54361">
        <w:rPr>
          <w:rFonts w:eastAsia="Times New Roman" w:cstheme="minorHAnsi"/>
          <w:spacing w:val="-1"/>
        </w:rPr>
        <w:t>e</w:t>
      </w:r>
      <w:r w:rsidRPr="00A54361">
        <w:rPr>
          <w:rFonts w:eastAsia="Times New Roman" w:cstheme="minorHAnsi"/>
        </w:rPr>
        <w:t>nsion</w:t>
      </w:r>
      <w:r w:rsidRPr="00A54361">
        <w:rPr>
          <w:rFonts w:eastAsia="Times New Roman" w:cstheme="minorHAnsi"/>
          <w:spacing w:val="3"/>
        </w:rPr>
        <w:t xml:space="preserve"> </w:t>
      </w:r>
      <w:r w:rsidRPr="00A54361">
        <w:rPr>
          <w:rFonts w:eastAsia="Times New Roman" w:cstheme="minorHAnsi"/>
          <w:spacing w:val="-1"/>
        </w:rPr>
        <w:t>a</w:t>
      </w:r>
      <w:r w:rsidRPr="00A54361">
        <w:rPr>
          <w:rFonts w:eastAsia="Times New Roman" w:cstheme="minorHAnsi"/>
        </w:rPr>
        <w:t>nd</w:t>
      </w:r>
      <w:r w:rsidRPr="00A54361">
        <w:rPr>
          <w:rFonts w:eastAsia="Times New Roman" w:cstheme="minorHAnsi"/>
          <w:spacing w:val="3"/>
        </w:rPr>
        <w:t xml:space="preserve"> </w:t>
      </w:r>
      <w:r w:rsidRPr="00A54361">
        <w:rPr>
          <w:rFonts w:eastAsia="Times New Roman" w:cstheme="minorHAnsi"/>
        </w:rPr>
        <w:t>(iii)</w:t>
      </w:r>
      <w:r w:rsidRPr="00A54361">
        <w:rPr>
          <w:rFonts w:eastAsia="Times New Roman" w:cstheme="minorHAnsi"/>
          <w:spacing w:val="3"/>
        </w:rPr>
        <w:t xml:space="preserve"> </w:t>
      </w:r>
      <w:r w:rsidRPr="00A54361">
        <w:rPr>
          <w:rFonts w:eastAsia="Times New Roman" w:cstheme="minorHAnsi"/>
          <w:spacing w:val="-2"/>
        </w:rPr>
        <w:t>B</w:t>
      </w:r>
      <w:r w:rsidRPr="00A54361">
        <w:rPr>
          <w:rFonts w:eastAsia="Times New Roman" w:cstheme="minorHAnsi"/>
          <w:spacing w:val="-1"/>
        </w:rPr>
        <w:t>a</w:t>
      </w:r>
      <w:r w:rsidRPr="00A54361">
        <w:rPr>
          <w:rFonts w:eastAsia="Times New Roman" w:cstheme="minorHAnsi"/>
        </w:rPr>
        <w:t>nni</w:t>
      </w:r>
      <w:r w:rsidRPr="00A54361">
        <w:rPr>
          <w:rFonts w:eastAsia="Times New Roman" w:cstheme="minorHAnsi"/>
          <w:spacing w:val="3"/>
        </w:rPr>
        <w:t>n</w:t>
      </w:r>
      <w:r w:rsidRPr="00A54361">
        <w:rPr>
          <w:rFonts w:eastAsia="Times New Roman" w:cstheme="minorHAnsi"/>
        </w:rPr>
        <w:t>g of</w:t>
      </w:r>
      <w:r w:rsidRPr="00A54361">
        <w:rPr>
          <w:rFonts w:eastAsia="Times New Roman" w:cstheme="minorHAnsi"/>
          <w:spacing w:val="4"/>
        </w:rPr>
        <w:t xml:space="preserve"> </w:t>
      </w:r>
      <w:r w:rsidRPr="00A54361">
        <w:rPr>
          <w:rFonts w:eastAsia="Times New Roman" w:cstheme="minorHAnsi"/>
          <w:spacing w:val="-2"/>
        </w:rPr>
        <w:t>B</w:t>
      </w:r>
      <w:r w:rsidRPr="00A54361">
        <w:rPr>
          <w:rFonts w:eastAsia="Times New Roman" w:cstheme="minorHAnsi"/>
        </w:rPr>
        <w:t>usiness</w:t>
      </w:r>
      <w:r w:rsidRPr="00A54361">
        <w:rPr>
          <w:rFonts w:eastAsia="Times New Roman" w:cstheme="minorHAnsi"/>
          <w:spacing w:val="3"/>
        </w:rPr>
        <w:t xml:space="preserve"> </w:t>
      </w:r>
      <w:r w:rsidRPr="00A54361">
        <w:rPr>
          <w:rFonts w:eastAsia="Times New Roman" w:cstheme="minorHAnsi"/>
        </w:rPr>
        <w:t>D</w:t>
      </w:r>
      <w:r w:rsidRPr="00A54361">
        <w:rPr>
          <w:rFonts w:eastAsia="Times New Roman" w:cstheme="minorHAnsi"/>
          <w:spacing w:val="1"/>
        </w:rPr>
        <w:t>e</w:t>
      </w:r>
      <w:r w:rsidRPr="00A54361">
        <w:rPr>
          <w:rFonts w:eastAsia="Times New Roman" w:cstheme="minorHAnsi"/>
          <w:spacing w:val="-1"/>
        </w:rPr>
        <w:t>a</w:t>
      </w:r>
      <w:r w:rsidRPr="00A54361">
        <w:rPr>
          <w:rFonts w:eastAsia="Times New Roman" w:cstheme="minorHAnsi"/>
        </w:rPr>
        <w:t>l</w:t>
      </w:r>
      <w:r w:rsidRPr="00A54361">
        <w:rPr>
          <w:rFonts w:eastAsia="Times New Roman" w:cstheme="minorHAnsi"/>
          <w:spacing w:val="1"/>
        </w:rPr>
        <w:t>i</w:t>
      </w:r>
      <w:r w:rsidRPr="00A54361">
        <w:rPr>
          <w:rFonts w:eastAsia="Times New Roman" w:cstheme="minorHAnsi"/>
        </w:rPr>
        <w:t>ng with</w:t>
      </w:r>
      <w:r w:rsidRPr="00A54361">
        <w:rPr>
          <w:rFonts w:eastAsia="Times New Roman" w:cstheme="minorHAnsi"/>
          <w:spacing w:val="3"/>
        </w:rPr>
        <w:t xml:space="preserve"> </w:t>
      </w:r>
      <w:r w:rsidRPr="00A54361">
        <w:rPr>
          <w:rFonts w:eastAsia="Times New Roman" w:cstheme="minorHAnsi"/>
          <w:spacing w:val="2"/>
        </w:rPr>
        <w:t>A</w:t>
      </w:r>
      <w:r w:rsidRPr="00A54361">
        <w:rPr>
          <w:rFonts w:eastAsia="Times New Roman" w:cstheme="minorHAnsi"/>
          <w:spacing w:val="-2"/>
        </w:rPr>
        <w:t>g</w:t>
      </w:r>
      <w:r w:rsidRPr="00A54361">
        <w:rPr>
          <w:rFonts w:eastAsia="Times New Roman" w:cstheme="minorHAnsi"/>
          <w:spacing w:val="-1"/>
        </w:rPr>
        <w:t>e</w:t>
      </w:r>
      <w:r w:rsidRPr="00A54361">
        <w:rPr>
          <w:rFonts w:eastAsia="Times New Roman" w:cstheme="minorHAnsi"/>
          <w:spacing w:val="2"/>
        </w:rPr>
        <w:t>n</w:t>
      </w:r>
      <w:r w:rsidRPr="00A54361">
        <w:rPr>
          <w:rFonts w:eastAsia="Times New Roman" w:cstheme="minorHAnsi"/>
          <w:spacing w:val="-1"/>
        </w:rPr>
        <w:t>c</w:t>
      </w:r>
      <w:r w:rsidRPr="00A54361">
        <w:rPr>
          <w:rFonts w:eastAsia="Times New Roman" w:cstheme="minorHAnsi"/>
        </w:rPr>
        <w:t>ies,</w:t>
      </w:r>
      <w:r w:rsidRPr="00A54361">
        <w:rPr>
          <w:rFonts w:eastAsia="Times New Roman" w:cstheme="minorHAnsi"/>
          <w:spacing w:val="2"/>
        </w:rPr>
        <w:t xml:space="preserve"> </w:t>
      </w:r>
      <w:r w:rsidRPr="00A54361">
        <w:rPr>
          <w:rFonts w:eastAsia="Times New Roman" w:cstheme="minorHAnsi"/>
        </w:rPr>
        <w:t>h</w:t>
      </w:r>
      <w:r w:rsidRPr="00A54361">
        <w:rPr>
          <w:rFonts w:eastAsia="Times New Roman" w:cstheme="minorHAnsi"/>
          <w:spacing w:val="-1"/>
        </w:rPr>
        <w:t>a</w:t>
      </w:r>
      <w:r w:rsidRPr="00A54361">
        <w:rPr>
          <w:rFonts w:eastAsia="Times New Roman" w:cstheme="minorHAnsi"/>
        </w:rPr>
        <w:t>s</w:t>
      </w:r>
      <w:r w:rsidRPr="00A54361">
        <w:rPr>
          <w:rFonts w:eastAsia="Times New Roman" w:cstheme="minorHAnsi"/>
          <w:spacing w:val="5"/>
        </w:rPr>
        <w:t xml:space="preserve"> </w:t>
      </w:r>
      <w:r w:rsidRPr="00A54361">
        <w:rPr>
          <w:rFonts w:eastAsia="Times New Roman" w:cstheme="minorHAnsi"/>
        </w:rPr>
        <w:t>b</w:t>
      </w:r>
      <w:r w:rsidRPr="00A54361">
        <w:rPr>
          <w:rFonts w:eastAsia="Times New Roman" w:cstheme="minorHAnsi"/>
          <w:spacing w:val="-1"/>
        </w:rPr>
        <w:t>ee</w:t>
      </w:r>
      <w:r w:rsidRPr="00A54361">
        <w:rPr>
          <w:rFonts w:eastAsia="Times New Roman" w:cstheme="minorHAnsi"/>
        </w:rPr>
        <w:t>n</w:t>
      </w:r>
      <w:r w:rsidRPr="00A54361">
        <w:rPr>
          <w:rFonts w:eastAsia="Times New Roman" w:cstheme="minorHAnsi"/>
          <w:spacing w:val="3"/>
        </w:rPr>
        <w:t xml:space="preserve"> </w:t>
      </w:r>
      <w:r w:rsidRPr="00A54361">
        <w:rPr>
          <w:rFonts w:eastAsia="Times New Roman" w:cstheme="minorHAnsi"/>
        </w:rPr>
        <w:t>laid</w:t>
      </w:r>
      <w:r w:rsidRPr="00A54361">
        <w:rPr>
          <w:rFonts w:eastAsia="Times New Roman" w:cstheme="minorHAnsi"/>
          <w:spacing w:val="3"/>
        </w:rPr>
        <w:t xml:space="preserve"> </w:t>
      </w:r>
      <w:r w:rsidRPr="00A54361">
        <w:rPr>
          <w:rFonts w:eastAsia="Times New Roman" w:cstheme="minorHAnsi"/>
        </w:rPr>
        <w:t>down</w:t>
      </w:r>
      <w:r w:rsidRPr="00A54361">
        <w:rPr>
          <w:rFonts w:eastAsia="Times New Roman" w:cstheme="minorHAnsi"/>
          <w:spacing w:val="2"/>
        </w:rPr>
        <w:t xml:space="preserve"> </w:t>
      </w:r>
      <w:r w:rsidRPr="00A54361">
        <w:rPr>
          <w:rFonts w:eastAsia="Times New Roman" w:cstheme="minorHAnsi"/>
        </w:rPr>
        <w:t>in these</w:t>
      </w:r>
      <w:r w:rsidRPr="00A54361">
        <w:rPr>
          <w:rFonts w:eastAsia="Times New Roman" w:cstheme="minorHAnsi"/>
          <w:spacing w:val="-1"/>
        </w:rPr>
        <w:t xml:space="preserve"> </w:t>
      </w:r>
      <w:r w:rsidRPr="00A54361">
        <w:rPr>
          <w:rFonts w:eastAsia="Times New Roman" w:cstheme="minorHAnsi"/>
          <w:spacing w:val="-2"/>
        </w:rPr>
        <w:t>g</w:t>
      </w:r>
      <w:r w:rsidRPr="00A54361">
        <w:rPr>
          <w:rFonts w:eastAsia="Times New Roman" w:cstheme="minorHAnsi"/>
        </w:rPr>
        <w:t>ui</w:t>
      </w:r>
      <w:r w:rsidRPr="00A54361">
        <w:rPr>
          <w:rFonts w:eastAsia="Times New Roman" w:cstheme="minorHAnsi"/>
          <w:spacing w:val="3"/>
        </w:rPr>
        <w:t>d</w:t>
      </w:r>
      <w:r w:rsidRPr="00A54361">
        <w:rPr>
          <w:rFonts w:eastAsia="Times New Roman" w:cstheme="minorHAnsi"/>
          <w:spacing w:val="-1"/>
        </w:rPr>
        <w:t>e</w:t>
      </w:r>
      <w:r w:rsidRPr="00A54361">
        <w:rPr>
          <w:rFonts w:eastAsia="Times New Roman" w:cstheme="minorHAnsi"/>
        </w:rPr>
        <w:t>l</w:t>
      </w:r>
      <w:r w:rsidRPr="00A54361">
        <w:rPr>
          <w:rFonts w:eastAsia="Times New Roman" w:cstheme="minorHAnsi"/>
          <w:spacing w:val="1"/>
        </w:rPr>
        <w:t>i</w:t>
      </w:r>
      <w:r w:rsidRPr="00A54361">
        <w:rPr>
          <w:rFonts w:eastAsia="Times New Roman" w:cstheme="minorHAnsi"/>
        </w:rPr>
        <w:t>n</w:t>
      </w:r>
      <w:r w:rsidRPr="00A54361">
        <w:rPr>
          <w:rFonts w:eastAsia="Times New Roman" w:cstheme="minorHAnsi"/>
          <w:spacing w:val="-1"/>
        </w:rPr>
        <w:t>e</w:t>
      </w:r>
      <w:r w:rsidRPr="00A54361">
        <w:rPr>
          <w:rFonts w:eastAsia="Times New Roman" w:cstheme="minorHAnsi"/>
        </w:rPr>
        <w:t>s.</w:t>
      </w:r>
    </w:p>
    <w:p w14:paraId="1AD655E7" w14:textId="77777777" w:rsidR="0054549F" w:rsidRPr="00A54361" w:rsidRDefault="0054549F" w:rsidP="00A54361">
      <w:pPr>
        <w:spacing w:line="260" w:lineRule="exact"/>
        <w:ind w:left="-142" w:right="129"/>
        <w:jc w:val="both"/>
        <w:rPr>
          <w:rFonts w:cstheme="minorHAnsi"/>
        </w:rPr>
      </w:pPr>
      <w:r w:rsidRPr="00A54361">
        <w:rPr>
          <w:rFonts w:eastAsia="Times New Roman" w:cstheme="minorHAnsi"/>
        </w:rPr>
        <w:t>2.5 Th</w:t>
      </w:r>
      <w:r w:rsidRPr="00A54361">
        <w:rPr>
          <w:rFonts w:eastAsia="Times New Roman" w:cstheme="minorHAnsi"/>
          <w:spacing w:val="-1"/>
        </w:rPr>
        <w:t>e</w:t>
      </w:r>
      <w:r w:rsidRPr="00A54361">
        <w:rPr>
          <w:rFonts w:eastAsia="Times New Roman" w:cstheme="minorHAnsi"/>
        </w:rPr>
        <w:t>se</w:t>
      </w:r>
      <w:r w:rsidRPr="00A54361">
        <w:rPr>
          <w:rFonts w:eastAsia="Times New Roman" w:cstheme="minorHAnsi"/>
          <w:spacing w:val="1"/>
        </w:rPr>
        <w:t xml:space="preserve"> </w:t>
      </w:r>
      <w:r w:rsidRPr="00A54361">
        <w:rPr>
          <w:rFonts w:eastAsia="Times New Roman" w:cstheme="minorHAnsi"/>
          <w:spacing w:val="-2"/>
        </w:rPr>
        <w:t>g</w:t>
      </w:r>
      <w:r w:rsidRPr="00A54361">
        <w:rPr>
          <w:rFonts w:eastAsia="Times New Roman" w:cstheme="minorHAnsi"/>
        </w:rPr>
        <w:t xml:space="preserve">uidelines </w:t>
      </w:r>
      <w:r w:rsidRPr="00A54361">
        <w:rPr>
          <w:rFonts w:eastAsia="Times New Roman" w:cstheme="minorHAnsi"/>
          <w:spacing w:val="-1"/>
        </w:rPr>
        <w:t>a</w:t>
      </w:r>
      <w:r w:rsidRPr="00A54361">
        <w:rPr>
          <w:rFonts w:eastAsia="Times New Roman" w:cstheme="minorHAnsi"/>
        </w:rPr>
        <w:t>pp</w:t>
      </w:r>
      <w:r w:rsidRPr="00A54361">
        <w:rPr>
          <w:rFonts w:eastAsia="Times New Roman" w:cstheme="minorHAnsi"/>
          <w:spacing w:val="3"/>
        </w:rPr>
        <w:t>l</w:t>
      </w:r>
      <w:r w:rsidRPr="00A54361">
        <w:rPr>
          <w:rFonts w:eastAsia="Times New Roman" w:cstheme="minorHAnsi"/>
        </w:rPr>
        <w:t>y</w:t>
      </w:r>
      <w:r w:rsidRPr="00A54361">
        <w:rPr>
          <w:rFonts w:eastAsia="Times New Roman" w:cstheme="minorHAnsi"/>
          <w:spacing w:val="-3"/>
        </w:rPr>
        <w:t xml:space="preserve"> </w:t>
      </w:r>
      <w:r w:rsidRPr="00A54361">
        <w:rPr>
          <w:rFonts w:eastAsia="Times New Roman" w:cstheme="minorHAnsi"/>
        </w:rPr>
        <w:t xml:space="preserve">to all </w:t>
      </w:r>
      <w:r w:rsidRPr="00A54361">
        <w:rPr>
          <w:rFonts w:eastAsia="Times New Roman" w:cstheme="minorHAnsi"/>
          <w:spacing w:val="1"/>
        </w:rPr>
        <w:t>t</w:t>
      </w:r>
      <w:r w:rsidRPr="00A54361">
        <w:rPr>
          <w:rFonts w:eastAsia="Times New Roman" w:cstheme="minorHAnsi"/>
        </w:rPr>
        <w:t>he</w:t>
      </w:r>
      <w:r w:rsidRPr="00A54361">
        <w:rPr>
          <w:rFonts w:eastAsia="Times New Roman" w:cstheme="minorHAnsi"/>
          <w:spacing w:val="-1"/>
        </w:rPr>
        <w:t xml:space="preserve"> </w:t>
      </w:r>
      <w:r w:rsidRPr="00A54361">
        <w:rPr>
          <w:rFonts w:eastAsia="Times New Roman" w:cstheme="minorHAnsi"/>
        </w:rPr>
        <w:t xml:space="preserve">Units </w:t>
      </w:r>
      <w:r w:rsidRPr="00A54361">
        <w:rPr>
          <w:rFonts w:eastAsia="Times New Roman" w:cstheme="minorHAnsi"/>
          <w:spacing w:val="-1"/>
        </w:rPr>
        <w:t>a</w:t>
      </w:r>
      <w:r w:rsidRPr="00A54361">
        <w:rPr>
          <w:rFonts w:eastAsia="Times New Roman" w:cstheme="minorHAnsi"/>
        </w:rPr>
        <w:t>nd su</w:t>
      </w:r>
      <w:r w:rsidRPr="00A54361">
        <w:rPr>
          <w:rFonts w:eastAsia="Times New Roman" w:cstheme="minorHAnsi"/>
          <w:spacing w:val="2"/>
        </w:rPr>
        <w:t>b</w:t>
      </w:r>
      <w:r w:rsidRPr="00A54361">
        <w:rPr>
          <w:rFonts w:eastAsia="Times New Roman" w:cstheme="minorHAnsi"/>
        </w:rPr>
        <w:t>sid</w:t>
      </w:r>
      <w:r w:rsidRPr="00A54361">
        <w:rPr>
          <w:rFonts w:eastAsia="Times New Roman" w:cstheme="minorHAnsi"/>
          <w:spacing w:val="1"/>
        </w:rPr>
        <w:t>i</w:t>
      </w:r>
      <w:r w:rsidRPr="00A54361">
        <w:rPr>
          <w:rFonts w:eastAsia="Times New Roman" w:cstheme="minorHAnsi"/>
          <w:spacing w:val="-1"/>
        </w:rPr>
        <w:t>a</w:t>
      </w:r>
      <w:r w:rsidRPr="00A54361">
        <w:rPr>
          <w:rFonts w:eastAsia="Times New Roman" w:cstheme="minorHAnsi"/>
        </w:rPr>
        <w:t>ri</w:t>
      </w:r>
      <w:r w:rsidRPr="00A54361">
        <w:rPr>
          <w:rFonts w:eastAsia="Times New Roman" w:cstheme="minorHAnsi"/>
          <w:spacing w:val="-1"/>
        </w:rPr>
        <w:t>e</w:t>
      </w:r>
      <w:r w:rsidRPr="00A54361">
        <w:rPr>
          <w:rFonts w:eastAsia="Times New Roman" w:cstheme="minorHAnsi"/>
        </w:rPr>
        <w:t>s of CEN</w:t>
      </w:r>
      <w:r w:rsidRPr="00A54361">
        <w:rPr>
          <w:rFonts w:eastAsia="Times New Roman" w:cstheme="minorHAnsi"/>
          <w:spacing w:val="-1"/>
        </w:rPr>
        <w:t>T</w:t>
      </w:r>
      <w:r w:rsidRPr="00A54361">
        <w:rPr>
          <w:rFonts w:eastAsia="Times New Roman" w:cstheme="minorHAnsi"/>
        </w:rPr>
        <w:t>R</w:t>
      </w:r>
      <w:r w:rsidRPr="00A54361">
        <w:rPr>
          <w:rFonts w:eastAsia="Times New Roman" w:cstheme="minorHAnsi"/>
          <w:spacing w:val="2"/>
        </w:rPr>
        <w:t>A</w:t>
      </w:r>
      <w:r w:rsidRPr="00A54361">
        <w:rPr>
          <w:rFonts w:eastAsia="Times New Roman" w:cstheme="minorHAnsi"/>
        </w:rPr>
        <w:t>L</w:t>
      </w:r>
      <w:r w:rsidRPr="00A54361">
        <w:rPr>
          <w:rFonts w:eastAsia="Times New Roman" w:cstheme="minorHAnsi"/>
          <w:spacing w:val="-3"/>
        </w:rPr>
        <w:t xml:space="preserve"> </w:t>
      </w:r>
      <w:r w:rsidRPr="00A54361">
        <w:rPr>
          <w:rFonts w:eastAsia="Times New Roman" w:cstheme="minorHAnsi"/>
        </w:rPr>
        <w:t>BA</w:t>
      </w:r>
      <w:r w:rsidRPr="00A54361">
        <w:rPr>
          <w:rFonts w:eastAsia="Times New Roman" w:cstheme="minorHAnsi"/>
          <w:spacing w:val="-1"/>
        </w:rPr>
        <w:t>N</w:t>
      </w:r>
      <w:r w:rsidRPr="00A54361">
        <w:rPr>
          <w:rFonts w:eastAsia="Times New Roman" w:cstheme="minorHAnsi"/>
        </w:rPr>
        <w:t xml:space="preserve">K </w:t>
      </w:r>
      <w:r w:rsidRPr="00A54361">
        <w:rPr>
          <w:rFonts w:eastAsia="Times New Roman" w:cstheme="minorHAnsi"/>
          <w:spacing w:val="1"/>
        </w:rPr>
        <w:t>O</w:t>
      </w:r>
      <w:r w:rsidRPr="00A54361">
        <w:rPr>
          <w:rFonts w:eastAsia="Times New Roman" w:cstheme="minorHAnsi"/>
        </w:rPr>
        <w:t>F</w:t>
      </w:r>
      <w:r w:rsidRPr="00A54361">
        <w:rPr>
          <w:rFonts w:eastAsia="Times New Roman" w:cstheme="minorHAnsi"/>
          <w:spacing w:val="1"/>
        </w:rPr>
        <w:t xml:space="preserve"> </w:t>
      </w:r>
      <w:r w:rsidRPr="00A54361">
        <w:rPr>
          <w:rFonts w:eastAsia="Times New Roman" w:cstheme="minorHAnsi"/>
          <w:spacing w:val="-3"/>
        </w:rPr>
        <w:t>I</w:t>
      </w:r>
      <w:r w:rsidRPr="00A54361">
        <w:rPr>
          <w:rFonts w:eastAsia="Times New Roman" w:cstheme="minorHAnsi"/>
        </w:rPr>
        <w:t>N</w:t>
      </w:r>
      <w:r w:rsidRPr="00A54361">
        <w:rPr>
          <w:rFonts w:eastAsia="Times New Roman" w:cstheme="minorHAnsi"/>
          <w:spacing w:val="4"/>
        </w:rPr>
        <w:t>D</w:t>
      </w:r>
      <w:r w:rsidRPr="00A54361">
        <w:rPr>
          <w:rFonts w:eastAsia="Times New Roman" w:cstheme="minorHAnsi"/>
          <w:spacing w:val="-3"/>
        </w:rPr>
        <w:t>I</w:t>
      </w:r>
      <w:r w:rsidRPr="00A54361">
        <w:rPr>
          <w:rFonts w:eastAsia="Times New Roman" w:cstheme="minorHAnsi"/>
        </w:rPr>
        <w:t>A.</w:t>
      </w:r>
    </w:p>
    <w:p w14:paraId="2BAA3937" w14:textId="77777777" w:rsidR="0054549F" w:rsidRPr="00A54361" w:rsidRDefault="0054549F" w:rsidP="00A54361">
      <w:pPr>
        <w:spacing w:before="29"/>
        <w:ind w:left="-142" w:right="78"/>
        <w:jc w:val="both"/>
        <w:rPr>
          <w:rFonts w:cstheme="minorHAnsi"/>
        </w:rPr>
      </w:pPr>
      <w:r w:rsidRPr="00A54361">
        <w:rPr>
          <w:rFonts w:eastAsia="Times New Roman" w:cstheme="minorHAnsi"/>
        </w:rPr>
        <w:t>2.6</w:t>
      </w:r>
      <w:r w:rsidRPr="00A54361">
        <w:rPr>
          <w:rFonts w:eastAsia="Times New Roman" w:cstheme="minorHAnsi"/>
          <w:spacing w:val="4"/>
        </w:rPr>
        <w:t xml:space="preserve"> </w:t>
      </w:r>
      <w:r w:rsidRPr="00A54361">
        <w:rPr>
          <w:rFonts w:eastAsia="Times New Roman" w:cstheme="minorHAnsi"/>
          <w:spacing w:val="-6"/>
        </w:rPr>
        <w:t>I</w:t>
      </w:r>
      <w:r w:rsidRPr="00A54361">
        <w:rPr>
          <w:rFonts w:eastAsia="Times New Roman" w:cstheme="minorHAnsi"/>
        </w:rPr>
        <w:t>t</w:t>
      </w:r>
      <w:r w:rsidRPr="00A54361">
        <w:rPr>
          <w:rFonts w:eastAsia="Times New Roman" w:cstheme="minorHAnsi"/>
          <w:spacing w:val="4"/>
        </w:rPr>
        <w:t xml:space="preserve"> </w:t>
      </w:r>
      <w:r w:rsidRPr="00A54361">
        <w:rPr>
          <w:rFonts w:eastAsia="Times New Roman" w:cstheme="minorHAnsi"/>
        </w:rPr>
        <w:t>is</w:t>
      </w:r>
      <w:r w:rsidRPr="00A54361">
        <w:rPr>
          <w:rFonts w:eastAsia="Times New Roman" w:cstheme="minorHAnsi"/>
          <w:spacing w:val="2"/>
        </w:rPr>
        <w:t xml:space="preserve"> </w:t>
      </w:r>
      <w:r w:rsidRPr="00A54361">
        <w:rPr>
          <w:rFonts w:eastAsia="Times New Roman" w:cstheme="minorHAnsi"/>
          <w:spacing w:val="-1"/>
        </w:rPr>
        <w:t>c</w:t>
      </w:r>
      <w:r w:rsidRPr="00A54361">
        <w:rPr>
          <w:rFonts w:eastAsia="Times New Roman" w:cstheme="minorHAnsi"/>
        </w:rPr>
        <w:t>l</w:t>
      </w:r>
      <w:r w:rsidRPr="00A54361">
        <w:rPr>
          <w:rFonts w:eastAsia="Times New Roman" w:cstheme="minorHAnsi"/>
          <w:spacing w:val="2"/>
        </w:rPr>
        <w:t>a</w:t>
      </w:r>
      <w:r w:rsidRPr="00A54361">
        <w:rPr>
          <w:rFonts w:eastAsia="Times New Roman" w:cstheme="minorHAnsi"/>
        </w:rPr>
        <w:t>ri</w:t>
      </w:r>
      <w:r w:rsidRPr="00A54361">
        <w:rPr>
          <w:rFonts w:eastAsia="Times New Roman" w:cstheme="minorHAnsi"/>
          <w:spacing w:val="-1"/>
        </w:rPr>
        <w:t>f</w:t>
      </w:r>
      <w:r w:rsidRPr="00A54361">
        <w:rPr>
          <w:rFonts w:eastAsia="Times New Roman" w:cstheme="minorHAnsi"/>
        </w:rPr>
        <w:t>ied</w:t>
      </w:r>
      <w:r w:rsidRPr="00A54361">
        <w:rPr>
          <w:rFonts w:eastAsia="Times New Roman" w:cstheme="minorHAnsi"/>
          <w:spacing w:val="1"/>
        </w:rPr>
        <w:t xml:space="preserve"> </w:t>
      </w:r>
      <w:r w:rsidRPr="00A54361">
        <w:rPr>
          <w:rFonts w:eastAsia="Times New Roman" w:cstheme="minorHAnsi"/>
        </w:rPr>
        <w:t>t</w:t>
      </w:r>
      <w:r w:rsidRPr="00A54361">
        <w:rPr>
          <w:rFonts w:eastAsia="Times New Roman" w:cstheme="minorHAnsi"/>
          <w:spacing w:val="3"/>
        </w:rPr>
        <w:t>h</w:t>
      </w:r>
      <w:r w:rsidRPr="00A54361">
        <w:rPr>
          <w:rFonts w:eastAsia="Times New Roman" w:cstheme="minorHAnsi"/>
          <w:spacing w:val="-1"/>
        </w:rPr>
        <w:t>a</w:t>
      </w:r>
      <w:r w:rsidRPr="00A54361">
        <w:rPr>
          <w:rFonts w:eastAsia="Times New Roman" w:cstheme="minorHAnsi"/>
        </w:rPr>
        <w:t>t</w:t>
      </w:r>
      <w:r w:rsidRPr="00A54361">
        <w:rPr>
          <w:rFonts w:eastAsia="Times New Roman" w:cstheme="minorHAnsi"/>
          <w:spacing w:val="2"/>
        </w:rPr>
        <w:t xml:space="preserve"> </w:t>
      </w:r>
      <w:r w:rsidRPr="00A54361">
        <w:rPr>
          <w:rFonts w:eastAsia="Times New Roman" w:cstheme="minorHAnsi"/>
        </w:rPr>
        <w:t>th</w:t>
      </w:r>
      <w:r w:rsidRPr="00A54361">
        <w:rPr>
          <w:rFonts w:eastAsia="Times New Roman" w:cstheme="minorHAnsi"/>
          <w:spacing w:val="2"/>
        </w:rPr>
        <w:t>e</w:t>
      </w:r>
      <w:r w:rsidRPr="00A54361">
        <w:rPr>
          <w:rFonts w:eastAsia="Times New Roman" w:cstheme="minorHAnsi"/>
        </w:rPr>
        <w:t>se</w:t>
      </w:r>
      <w:r w:rsidRPr="00A54361">
        <w:rPr>
          <w:rFonts w:eastAsia="Times New Roman" w:cstheme="minorHAnsi"/>
          <w:spacing w:val="3"/>
        </w:rPr>
        <w:t xml:space="preserve"> </w:t>
      </w:r>
      <w:r w:rsidRPr="00A54361">
        <w:rPr>
          <w:rFonts w:eastAsia="Times New Roman" w:cstheme="minorHAnsi"/>
          <w:spacing w:val="-2"/>
        </w:rPr>
        <w:t>g</w:t>
      </w:r>
      <w:r w:rsidRPr="00A54361">
        <w:rPr>
          <w:rFonts w:eastAsia="Times New Roman" w:cstheme="minorHAnsi"/>
        </w:rPr>
        <w:t>uidelines</w:t>
      </w:r>
      <w:r w:rsidRPr="00A54361">
        <w:rPr>
          <w:rFonts w:eastAsia="Times New Roman" w:cstheme="minorHAnsi"/>
          <w:spacing w:val="1"/>
        </w:rPr>
        <w:t xml:space="preserve"> </w:t>
      </w:r>
      <w:r w:rsidRPr="00A54361">
        <w:rPr>
          <w:rFonts w:eastAsia="Times New Roman" w:cstheme="minorHAnsi"/>
        </w:rPr>
        <w:t>do</w:t>
      </w:r>
      <w:r w:rsidRPr="00A54361">
        <w:rPr>
          <w:rFonts w:eastAsia="Times New Roman" w:cstheme="minorHAnsi"/>
          <w:spacing w:val="3"/>
        </w:rPr>
        <w:t xml:space="preserve"> </w:t>
      </w:r>
      <w:r w:rsidRPr="00A54361">
        <w:rPr>
          <w:rFonts w:eastAsia="Times New Roman" w:cstheme="minorHAnsi"/>
        </w:rPr>
        <w:t>not</w:t>
      </w:r>
      <w:r w:rsidRPr="00A54361">
        <w:rPr>
          <w:rFonts w:eastAsia="Times New Roman" w:cstheme="minorHAnsi"/>
          <w:spacing w:val="2"/>
        </w:rPr>
        <w:t xml:space="preserve"> </w:t>
      </w:r>
      <w:r w:rsidRPr="00A54361">
        <w:rPr>
          <w:rFonts w:eastAsia="Times New Roman" w:cstheme="minorHAnsi"/>
        </w:rPr>
        <w:t>d</w:t>
      </w:r>
      <w:r w:rsidRPr="00A54361">
        <w:rPr>
          <w:rFonts w:eastAsia="Times New Roman" w:cstheme="minorHAnsi"/>
          <w:spacing w:val="-1"/>
        </w:rPr>
        <w:t>ea</w:t>
      </w:r>
      <w:r w:rsidRPr="00A54361">
        <w:rPr>
          <w:rFonts w:eastAsia="Times New Roman" w:cstheme="minorHAnsi"/>
        </w:rPr>
        <w:t>l</w:t>
      </w:r>
      <w:r w:rsidRPr="00A54361">
        <w:rPr>
          <w:rFonts w:eastAsia="Times New Roman" w:cstheme="minorHAnsi"/>
          <w:spacing w:val="6"/>
        </w:rPr>
        <w:t xml:space="preserve"> </w:t>
      </w:r>
      <w:r w:rsidRPr="00A54361">
        <w:rPr>
          <w:rFonts w:eastAsia="Times New Roman" w:cstheme="minorHAnsi"/>
        </w:rPr>
        <w:t>with</w:t>
      </w:r>
      <w:r w:rsidRPr="00A54361">
        <w:rPr>
          <w:rFonts w:eastAsia="Times New Roman" w:cstheme="minorHAnsi"/>
          <w:spacing w:val="2"/>
        </w:rPr>
        <w:t xml:space="preserve"> </w:t>
      </w:r>
      <w:r w:rsidRPr="00A54361">
        <w:rPr>
          <w:rFonts w:eastAsia="Times New Roman" w:cstheme="minorHAnsi"/>
        </w:rPr>
        <w:t>the</w:t>
      </w:r>
      <w:r w:rsidRPr="00A54361">
        <w:rPr>
          <w:rFonts w:eastAsia="Times New Roman" w:cstheme="minorHAnsi"/>
          <w:spacing w:val="1"/>
        </w:rPr>
        <w:t xml:space="preserve"> </w:t>
      </w:r>
      <w:r w:rsidRPr="00A54361">
        <w:rPr>
          <w:rFonts w:eastAsia="Times New Roman" w:cstheme="minorHAnsi"/>
        </w:rPr>
        <w:t>d</w:t>
      </w:r>
      <w:r w:rsidRPr="00A54361">
        <w:rPr>
          <w:rFonts w:eastAsia="Times New Roman" w:cstheme="minorHAnsi"/>
          <w:spacing w:val="1"/>
        </w:rPr>
        <w:t>e</w:t>
      </w:r>
      <w:r w:rsidRPr="00A54361">
        <w:rPr>
          <w:rFonts w:eastAsia="Times New Roman" w:cstheme="minorHAnsi"/>
          <w:spacing w:val="-1"/>
        </w:rPr>
        <w:t>c</w:t>
      </w:r>
      <w:r w:rsidRPr="00A54361">
        <w:rPr>
          <w:rFonts w:eastAsia="Times New Roman" w:cstheme="minorHAnsi"/>
        </w:rPr>
        <w:t>is</w:t>
      </w:r>
      <w:r w:rsidRPr="00A54361">
        <w:rPr>
          <w:rFonts w:eastAsia="Times New Roman" w:cstheme="minorHAnsi"/>
          <w:spacing w:val="1"/>
        </w:rPr>
        <w:t>i</w:t>
      </w:r>
      <w:r w:rsidRPr="00A54361">
        <w:rPr>
          <w:rFonts w:eastAsia="Times New Roman" w:cstheme="minorHAnsi"/>
        </w:rPr>
        <w:t>on</w:t>
      </w:r>
      <w:r w:rsidRPr="00A54361">
        <w:rPr>
          <w:rFonts w:eastAsia="Times New Roman" w:cstheme="minorHAnsi"/>
          <w:spacing w:val="1"/>
        </w:rPr>
        <w:t xml:space="preserve"> </w:t>
      </w:r>
      <w:r w:rsidRPr="00A54361">
        <w:rPr>
          <w:rFonts w:eastAsia="Times New Roman" w:cstheme="minorHAnsi"/>
        </w:rPr>
        <w:t>of the</w:t>
      </w:r>
      <w:r w:rsidRPr="00A54361">
        <w:rPr>
          <w:rFonts w:eastAsia="Times New Roman" w:cstheme="minorHAnsi"/>
          <w:spacing w:val="5"/>
        </w:rPr>
        <w:t xml:space="preserve"> </w:t>
      </w:r>
      <w:r w:rsidRPr="00A54361">
        <w:rPr>
          <w:rFonts w:eastAsia="Times New Roman" w:cstheme="minorHAnsi"/>
        </w:rPr>
        <w:t>M</w:t>
      </w:r>
      <w:r w:rsidRPr="00A54361">
        <w:rPr>
          <w:rFonts w:eastAsia="Times New Roman" w:cstheme="minorHAnsi"/>
          <w:spacing w:val="-1"/>
        </w:rPr>
        <w:t>a</w:t>
      </w:r>
      <w:r w:rsidRPr="00A54361">
        <w:rPr>
          <w:rFonts w:eastAsia="Times New Roman" w:cstheme="minorHAnsi"/>
        </w:rPr>
        <w:t>n</w:t>
      </w:r>
      <w:r w:rsidRPr="00A54361">
        <w:rPr>
          <w:rFonts w:eastAsia="Times New Roman" w:cstheme="minorHAnsi"/>
          <w:spacing w:val="1"/>
        </w:rPr>
        <w:t>a</w:t>
      </w:r>
      <w:r w:rsidRPr="00A54361">
        <w:rPr>
          <w:rFonts w:eastAsia="Times New Roman" w:cstheme="minorHAnsi"/>
          <w:spacing w:val="-2"/>
        </w:rPr>
        <w:t>g</w:t>
      </w:r>
      <w:r w:rsidRPr="00A54361">
        <w:rPr>
          <w:rFonts w:eastAsia="Times New Roman" w:cstheme="minorHAnsi"/>
          <w:spacing w:val="-1"/>
        </w:rPr>
        <w:t>e</w:t>
      </w:r>
      <w:r w:rsidRPr="00A54361">
        <w:rPr>
          <w:rFonts w:eastAsia="Times New Roman" w:cstheme="minorHAnsi"/>
        </w:rPr>
        <w:t>ment</w:t>
      </w:r>
      <w:r w:rsidRPr="00A54361">
        <w:rPr>
          <w:rFonts w:eastAsia="Times New Roman" w:cstheme="minorHAnsi"/>
          <w:spacing w:val="1"/>
        </w:rPr>
        <w:t xml:space="preserve"> </w:t>
      </w:r>
      <w:r w:rsidRPr="00A54361">
        <w:rPr>
          <w:rFonts w:eastAsia="Times New Roman" w:cstheme="minorHAnsi"/>
        </w:rPr>
        <w:t>not</w:t>
      </w:r>
      <w:r w:rsidRPr="00A54361">
        <w:rPr>
          <w:rFonts w:eastAsia="Times New Roman" w:cstheme="minorHAnsi"/>
          <w:spacing w:val="4"/>
        </w:rPr>
        <w:t xml:space="preserve"> </w:t>
      </w:r>
      <w:r w:rsidRPr="00A54361">
        <w:rPr>
          <w:rFonts w:eastAsia="Times New Roman" w:cstheme="minorHAnsi"/>
        </w:rPr>
        <w:t xml:space="preserve">to </w:t>
      </w:r>
      <w:r w:rsidRPr="00A54361">
        <w:rPr>
          <w:rFonts w:eastAsia="Times New Roman" w:cstheme="minorHAnsi"/>
          <w:spacing w:val="-1"/>
        </w:rPr>
        <w:t>e</w:t>
      </w:r>
      <w:r w:rsidRPr="00A54361">
        <w:rPr>
          <w:rFonts w:eastAsia="Times New Roman" w:cstheme="minorHAnsi"/>
        </w:rPr>
        <w:t>nte</w:t>
      </w:r>
      <w:r w:rsidRPr="00A54361">
        <w:rPr>
          <w:rFonts w:eastAsia="Times New Roman" w:cstheme="minorHAnsi"/>
          <w:spacing w:val="-1"/>
        </w:rPr>
        <w:t>r</w:t>
      </w:r>
      <w:r w:rsidRPr="00A54361">
        <w:rPr>
          <w:rFonts w:eastAsia="Times New Roman" w:cstheme="minorHAnsi"/>
        </w:rPr>
        <w:t>tain</w:t>
      </w:r>
      <w:r w:rsidRPr="00A54361">
        <w:rPr>
          <w:rFonts w:eastAsia="Times New Roman" w:cstheme="minorHAnsi"/>
          <w:spacing w:val="5"/>
        </w:rPr>
        <w:t xml:space="preserve"> </w:t>
      </w:r>
      <w:r w:rsidRPr="00A54361">
        <w:rPr>
          <w:rFonts w:eastAsia="Times New Roman" w:cstheme="minorHAnsi"/>
          <w:spacing w:val="-1"/>
        </w:rPr>
        <w:t>a</w:t>
      </w:r>
      <w:r w:rsidRPr="00A54361">
        <w:rPr>
          <w:rFonts w:eastAsia="Times New Roman" w:cstheme="minorHAnsi"/>
          <w:spacing w:val="5"/>
        </w:rPr>
        <w:t>n</w:t>
      </w:r>
      <w:r w:rsidRPr="00A54361">
        <w:rPr>
          <w:rFonts w:eastAsia="Times New Roman" w:cstheme="minorHAnsi"/>
        </w:rPr>
        <w:t>y p</w:t>
      </w:r>
      <w:r w:rsidRPr="00A54361">
        <w:rPr>
          <w:rFonts w:eastAsia="Times New Roman" w:cstheme="minorHAnsi"/>
          <w:spacing w:val="1"/>
        </w:rPr>
        <w:t>a</w:t>
      </w:r>
      <w:r w:rsidRPr="00A54361">
        <w:rPr>
          <w:rFonts w:eastAsia="Times New Roman" w:cstheme="minorHAnsi"/>
        </w:rPr>
        <w:t>rti</w:t>
      </w:r>
      <w:r w:rsidRPr="00A54361">
        <w:rPr>
          <w:rFonts w:eastAsia="Times New Roman" w:cstheme="minorHAnsi"/>
          <w:spacing w:val="-1"/>
        </w:rPr>
        <w:t>c</w:t>
      </w:r>
      <w:r w:rsidRPr="00A54361">
        <w:rPr>
          <w:rFonts w:eastAsia="Times New Roman" w:cstheme="minorHAnsi"/>
        </w:rPr>
        <w:t>ular</w:t>
      </w:r>
      <w:r w:rsidRPr="00A54361">
        <w:rPr>
          <w:rFonts w:eastAsia="Times New Roman" w:cstheme="minorHAnsi"/>
          <w:spacing w:val="6"/>
        </w:rPr>
        <w:t xml:space="preserve"> </w:t>
      </w:r>
      <w:r w:rsidRPr="00A54361">
        <w:rPr>
          <w:rFonts w:eastAsia="Times New Roman" w:cstheme="minorHAnsi"/>
        </w:rPr>
        <w:t>Ag</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4"/>
        </w:rPr>
        <w:t>c</w:t>
      </w:r>
      <w:r w:rsidRPr="00A54361">
        <w:rPr>
          <w:rFonts w:eastAsia="Times New Roman" w:cstheme="minorHAnsi"/>
        </w:rPr>
        <w:t>y due</w:t>
      </w:r>
      <w:r w:rsidRPr="00A54361">
        <w:rPr>
          <w:rFonts w:eastAsia="Times New Roman" w:cstheme="minorHAnsi"/>
          <w:spacing w:val="4"/>
        </w:rPr>
        <w:t xml:space="preserve"> </w:t>
      </w:r>
      <w:r w:rsidRPr="00A54361">
        <w:rPr>
          <w:rFonts w:eastAsia="Times New Roman" w:cstheme="minorHAnsi"/>
        </w:rPr>
        <w:t>to</w:t>
      </w:r>
      <w:r w:rsidRPr="00A54361">
        <w:rPr>
          <w:rFonts w:eastAsia="Times New Roman" w:cstheme="minorHAnsi"/>
          <w:spacing w:val="5"/>
        </w:rPr>
        <w:t xml:space="preserve"> </w:t>
      </w:r>
      <w:r w:rsidRPr="00A54361">
        <w:rPr>
          <w:rFonts w:eastAsia="Times New Roman" w:cstheme="minorHAnsi"/>
        </w:rPr>
        <w:t>i</w:t>
      </w:r>
      <w:r w:rsidRPr="00A54361">
        <w:rPr>
          <w:rFonts w:eastAsia="Times New Roman" w:cstheme="minorHAnsi"/>
          <w:spacing w:val="1"/>
        </w:rPr>
        <w:t>t</w:t>
      </w:r>
      <w:r w:rsidRPr="00A54361">
        <w:rPr>
          <w:rFonts w:eastAsia="Times New Roman" w:cstheme="minorHAnsi"/>
        </w:rPr>
        <w:t>s</w:t>
      </w:r>
      <w:r w:rsidRPr="00A54361">
        <w:rPr>
          <w:rFonts w:eastAsia="Times New Roman" w:cstheme="minorHAnsi"/>
          <w:spacing w:val="5"/>
        </w:rPr>
        <w:t xml:space="preserve"> </w:t>
      </w:r>
      <w:r w:rsidRPr="00A54361">
        <w:rPr>
          <w:rFonts w:eastAsia="Times New Roman" w:cstheme="minorHAnsi"/>
        </w:rPr>
        <w:t>poor</w:t>
      </w:r>
      <w:r w:rsidRPr="00A54361">
        <w:rPr>
          <w:rFonts w:eastAsia="Times New Roman" w:cstheme="minorHAnsi"/>
          <w:spacing w:val="4"/>
        </w:rPr>
        <w:t xml:space="preserve"> </w:t>
      </w:r>
      <w:r w:rsidRPr="00A54361">
        <w:rPr>
          <w:rFonts w:eastAsia="Times New Roman" w:cstheme="minorHAnsi"/>
        </w:rPr>
        <w:t>/</w:t>
      </w:r>
      <w:r w:rsidRPr="00A54361">
        <w:rPr>
          <w:rFonts w:eastAsia="Times New Roman" w:cstheme="minorHAnsi"/>
          <w:spacing w:val="5"/>
        </w:rPr>
        <w:t xml:space="preserve"> </w:t>
      </w:r>
      <w:r w:rsidRPr="00A54361">
        <w:rPr>
          <w:rFonts w:eastAsia="Times New Roman" w:cstheme="minorHAnsi"/>
        </w:rPr>
        <w:t>inad</w:t>
      </w:r>
      <w:r w:rsidRPr="00A54361">
        <w:rPr>
          <w:rFonts w:eastAsia="Times New Roman" w:cstheme="minorHAnsi"/>
          <w:spacing w:val="-1"/>
        </w:rPr>
        <w:t>e</w:t>
      </w:r>
      <w:r w:rsidRPr="00A54361">
        <w:rPr>
          <w:rFonts w:eastAsia="Times New Roman" w:cstheme="minorHAnsi"/>
        </w:rPr>
        <w:t>qu</w:t>
      </w:r>
      <w:r w:rsidRPr="00A54361">
        <w:rPr>
          <w:rFonts w:eastAsia="Times New Roman" w:cstheme="minorHAnsi"/>
          <w:spacing w:val="-1"/>
        </w:rPr>
        <w:t>a</w:t>
      </w:r>
      <w:r w:rsidRPr="00A54361">
        <w:rPr>
          <w:rFonts w:eastAsia="Times New Roman" w:cstheme="minorHAnsi"/>
        </w:rPr>
        <w:t>te</w:t>
      </w:r>
      <w:r w:rsidRPr="00A54361">
        <w:rPr>
          <w:rFonts w:eastAsia="Times New Roman" w:cstheme="minorHAnsi"/>
          <w:spacing w:val="4"/>
        </w:rPr>
        <w:t xml:space="preserve"> </w:t>
      </w:r>
      <w:r w:rsidRPr="00A54361">
        <w:rPr>
          <w:rFonts w:eastAsia="Times New Roman" w:cstheme="minorHAnsi"/>
        </w:rPr>
        <w:t>p</w:t>
      </w:r>
      <w:r w:rsidRPr="00A54361">
        <w:rPr>
          <w:rFonts w:eastAsia="Times New Roman" w:cstheme="minorHAnsi"/>
          <w:spacing w:val="-1"/>
        </w:rPr>
        <w:t>e</w:t>
      </w:r>
      <w:r w:rsidRPr="00A54361">
        <w:rPr>
          <w:rFonts w:eastAsia="Times New Roman" w:cstheme="minorHAnsi"/>
          <w:spacing w:val="1"/>
        </w:rPr>
        <w:t>r</w:t>
      </w:r>
      <w:r w:rsidRPr="00A54361">
        <w:rPr>
          <w:rFonts w:eastAsia="Times New Roman" w:cstheme="minorHAnsi"/>
        </w:rPr>
        <w:t>fo</w:t>
      </w:r>
      <w:r w:rsidRPr="00A54361">
        <w:rPr>
          <w:rFonts w:eastAsia="Times New Roman" w:cstheme="minorHAnsi"/>
          <w:spacing w:val="-1"/>
        </w:rPr>
        <w:t>r</w:t>
      </w:r>
      <w:r w:rsidRPr="00A54361">
        <w:rPr>
          <w:rFonts w:eastAsia="Times New Roman" w:cstheme="minorHAnsi"/>
        </w:rPr>
        <w:t>man</w:t>
      </w:r>
      <w:r w:rsidRPr="00A54361">
        <w:rPr>
          <w:rFonts w:eastAsia="Times New Roman" w:cstheme="minorHAnsi"/>
          <w:spacing w:val="1"/>
        </w:rPr>
        <w:t>c</w:t>
      </w:r>
      <w:r w:rsidRPr="00A54361">
        <w:rPr>
          <w:rFonts w:eastAsia="Times New Roman" w:cstheme="minorHAnsi"/>
        </w:rPr>
        <w:t>e</w:t>
      </w:r>
      <w:r w:rsidRPr="00A54361">
        <w:rPr>
          <w:rFonts w:eastAsia="Times New Roman" w:cstheme="minorHAnsi"/>
          <w:spacing w:val="4"/>
        </w:rPr>
        <w:t xml:space="preserve"> </w:t>
      </w:r>
      <w:r w:rsidRPr="00A54361">
        <w:rPr>
          <w:rFonts w:eastAsia="Times New Roman" w:cstheme="minorHAnsi"/>
        </w:rPr>
        <w:t>or</w:t>
      </w:r>
      <w:r w:rsidRPr="00A54361">
        <w:rPr>
          <w:rFonts w:eastAsia="Times New Roman" w:cstheme="minorHAnsi"/>
          <w:spacing w:val="4"/>
        </w:rPr>
        <w:t xml:space="preserve"> </w:t>
      </w:r>
      <w:r w:rsidRPr="00A54361">
        <w:rPr>
          <w:rFonts w:eastAsia="Times New Roman" w:cstheme="minorHAnsi"/>
        </w:rPr>
        <w:t>for</w:t>
      </w:r>
      <w:r w:rsidRPr="00A54361">
        <w:rPr>
          <w:rFonts w:eastAsia="Times New Roman" w:cstheme="minorHAnsi"/>
          <w:spacing w:val="3"/>
        </w:rPr>
        <w:t xml:space="preserve"> </w:t>
      </w:r>
      <w:r w:rsidRPr="00A54361">
        <w:rPr>
          <w:rFonts w:eastAsia="Times New Roman" w:cstheme="minorHAnsi"/>
          <w:spacing w:val="-1"/>
        </w:rPr>
        <w:t>a</w:t>
      </w:r>
      <w:r w:rsidRPr="00A54361">
        <w:rPr>
          <w:rFonts w:eastAsia="Times New Roman" w:cstheme="minorHAnsi"/>
          <w:spacing w:val="5"/>
        </w:rPr>
        <w:t>n</w:t>
      </w:r>
      <w:r w:rsidRPr="00A54361">
        <w:rPr>
          <w:rFonts w:eastAsia="Times New Roman" w:cstheme="minorHAnsi"/>
        </w:rPr>
        <w:t>y</w:t>
      </w:r>
      <w:r w:rsidRPr="00A54361">
        <w:rPr>
          <w:rFonts w:eastAsia="Times New Roman" w:cstheme="minorHAnsi"/>
          <w:spacing w:val="7"/>
        </w:rPr>
        <w:t xml:space="preserve"> </w:t>
      </w:r>
      <w:r w:rsidRPr="00A54361">
        <w:rPr>
          <w:rFonts w:eastAsia="Times New Roman" w:cstheme="minorHAnsi"/>
        </w:rPr>
        <w:t>other r</w:t>
      </w:r>
      <w:r w:rsidRPr="00A54361">
        <w:rPr>
          <w:rFonts w:eastAsia="Times New Roman" w:cstheme="minorHAnsi"/>
          <w:spacing w:val="-2"/>
        </w:rPr>
        <w:t>e</w:t>
      </w:r>
      <w:r w:rsidRPr="00A54361">
        <w:rPr>
          <w:rFonts w:eastAsia="Times New Roman" w:cstheme="minorHAnsi"/>
          <w:spacing w:val="-1"/>
        </w:rPr>
        <w:t>a</w:t>
      </w:r>
      <w:r w:rsidRPr="00A54361">
        <w:rPr>
          <w:rFonts w:eastAsia="Times New Roman" w:cstheme="minorHAnsi"/>
        </w:rPr>
        <w:t>son.</w:t>
      </w:r>
    </w:p>
    <w:p w14:paraId="3C61B298" w14:textId="77777777" w:rsidR="0054549F" w:rsidRPr="00A54361" w:rsidRDefault="0054549F" w:rsidP="00A54361">
      <w:pPr>
        <w:ind w:left="-142" w:right="1591"/>
        <w:jc w:val="both"/>
        <w:rPr>
          <w:rFonts w:cstheme="minorHAnsi"/>
        </w:rPr>
      </w:pPr>
      <w:r w:rsidRPr="00A54361">
        <w:rPr>
          <w:rFonts w:eastAsia="Times New Roman" w:cstheme="minorHAnsi"/>
        </w:rPr>
        <w:t>2.7 The</w:t>
      </w:r>
      <w:r w:rsidRPr="00A54361">
        <w:rPr>
          <w:rFonts w:eastAsia="Times New Roman" w:cstheme="minorHAnsi"/>
          <w:spacing w:val="-1"/>
        </w:rPr>
        <w:t xml:space="preserve"> </w:t>
      </w:r>
      <w:r w:rsidRPr="00A54361">
        <w:rPr>
          <w:rFonts w:eastAsia="Times New Roman" w:cstheme="minorHAnsi"/>
        </w:rPr>
        <w:t>b</w:t>
      </w:r>
      <w:r w:rsidRPr="00A54361">
        <w:rPr>
          <w:rFonts w:eastAsia="Times New Roman" w:cstheme="minorHAnsi"/>
          <w:spacing w:val="-1"/>
        </w:rPr>
        <w:t>a</w:t>
      </w:r>
      <w:r w:rsidRPr="00A54361">
        <w:rPr>
          <w:rFonts w:eastAsia="Times New Roman" w:cstheme="minorHAnsi"/>
        </w:rPr>
        <w:t>nni</w:t>
      </w:r>
      <w:r w:rsidRPr="00A54361">
        <w:rPr>
          <w:rFonts w:eastAsia="Times New Roman" w:cstheme="minorHAnsi"/>
          <w:spacing w:val="3"/>
        </w:rPr>
        <w:t>n</w:t>
      </w:r>
      <w:r w:rsidRPr="00A54361">
        <w:rPr>
          <w:rFonts w:eastAsia="Times New Roman" w:cstheme="minorHAnsi"/>
        </w:rPr>
        <w:t>g</w:t>
      </w:r>
      <w:r w:rsidRPr="00A54361">
        <w:rPr>
          <w:rFonts w:eastAsia="Times New Roman" w:cstheme="minorHAnsi"/>
          <w:spacing w:val="-2"/>
        </w:rPr>
        <w:t xml:space="preserve"> </w:t>
      </w:r>
      <w:r w:rsidRPr="00A54361">
        <w:rPr>
          <w:rFonts w:eastAsia="Times New Roman" w:cstheme="minorHAnsi"/>
        </w:rPr>
        <w:t>sh</w:t>
      </w:r>
      <w:r w:rsidRPr="00A54361">
        <w:rPr>
          <w:rFonts w:eastAsia="Times New Roman" w:cstheme="minorHAnsi"/>
          <w:spacing w:val="-1"/>
        </w:rPr>
        <w:t>a</w:t>
      </w:r>
      <w:r w:rsidRPr="00A54361">
        <w:rPr>
          <w:rFonts w:eastAsia="Times New Roman" w:cstheme="minorHAnsi"/>
        </w:rPr>
        <w:t>ll</w:t>
      </w:r>
      <w:r w:rsidRPr="00A54361">
        <w:rPr>
          <w:rFonts w:eastAsia="Times New Roman" w:cstheme="minorHAnsi"/>
          <w:spacing w:val="1"/>
        </w:rPr>
        <w:t xml:space="preserve"> </w:t>
      </w:r>
      <w:r w:rsidRPr="00A54361">
        <w:rPr>
          <w:rFonts w:eastAsia="Times New Roman" w:cstheme="minorHAnsi"/>
        </w:rPr>
        <w:t>be</w:t>
      </w:r>
      <w:r w:rsidRPr="00A54361">
        <w:rPr>
          <w:rFonts w:eastAsia="Times New Roman" w:cstheme="minorHAnsi"/>
          <w:spacing w:val="1"/>
        </w:rPr>
        <w:t xml:space="preserve"> </w:t>
      </w:r>
      <w:r w:rsidRPr="00A54361">
        <w:rPr>
          <w:rFonts w:eastAsia="Times New Roman" w:cstheme="minorHAnsi"/>
        </w:rPr>
        <w:t>with prosp</w:t>
      </w:r>
      <w:r w:rsidRPr="00A54361">
        <w:rPr>
          <w:rFonts w:eastAsia="Times New Roman" w:cstheme="minorHAnsi"/>
          <w:spacing w:val="-1"/>
        </w:rPr>
        <w:t>ec</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ve</w:t>
      </w:r>
      <w:r w:rsidRPr="00A54361">
        <w:rPr>
          <w:rFonts w:eastAsia="Times New Roman" w:cstheme="minorHAnsi"/>
          <w:spacing w:val="-1"/>
        </w:rPr>
        <w:t xml:space="preserve"> e</w:t>
      </w:r>
      <w:r w:rsidRPr="00A54361">
        <w:rPr>
          <w:rFonts w:eastAsia="Times New Roman" w:cstheme="minorHAnsi"/>
          <w:spacing w:val="1"/>
        </w:rPr>
        <w:t>f</w:t>
      </w:r>
      <w:r w:rsidRPr="00A54361">
        <w:rPr>
          <w:rFonts w:eastAsia="Times New Roman" w:cstheme="minorHAnsi"/>
        </w:rPr>
        <w:t>fe</w:t>
      </w:r>
      <w:r w:rsidRPr="00A54361">
        <w:rPr>
          <w:rFonts w:eastAsia="Times New Roman" w:cstheme="minorHAnsi"/>
          <w:spacing w:val="-1"/>
        </w:rPr>
        <w:t>c</w:t>
      </w:r>
      <w:r w:rsidRPr="00A54361">
        <w:rPr>
          <w:rFonts w:eastAsia="Times New Roman" w:cstheme="minorHAnsi"/>
        </w:rPr>
        <w:t xml:space="preserve">t, </w:t>
      </w:r>
      <w:r w:rsidRPr="00A54361">
        <w:rPr>
          <w:rFonts w:eastAsia="Times New Roman" w:cstheme="minorHAnsi"/>
          <w:spacing w:val="1"/>
        </w:rPr>
        <w:t>i</w:t>
      </w:r>
      <w:r w:rsidRPr="00A54361">
        <w:rPr>
          <w:rFonts w:eastAsia="Times New Roman" w:cstheme="minorHAnsi"/>
        </w:rPr>
        <w:t>.</w:t>
      </w:r>
      <w:r w:rsidRPr="00A54361">
        <w:rPr>
          <w:rFonts w:eastAsia="Times New Roman" w:cstheme="minorHAnsi"/>
          <w:spacing w:val="-1"/>
        </w:rPr>
        <w:t>e</w:t>
      </w:r>
      <w:r w:rsidRPr="00A54361">
        <w:rPr>
          <w:rFonts w:eastAsia="Times New Roman" w:cstheme="minorHAnsi"/>
        </w:rPr>
        <w:t>., futu</w:t>
      </w:r>
      <w:r w:rsidRPr="00A54361">
        <w:rPr>
          <w:rFonts w:eastAsia="Times New Roman" w:cstheme="minorHAnsi"/>
          <w:spacing w:val="-1"/>
        </w:rPr>
        <w:t>r</w:t>
      </w:r>
      <w:r w:rsidRPr="00A54361">
        <w:rPr>
          <w:rFonts w:eastAsia="Times New Roman" w:cstheme="minorHAnsi"/>
        </w:rPr>
        <w:t>e</w:t>
      </w:r>
      <w:r w:rsidRPr="00A54361">
        <w:rPr>
          <w:rFonts w:eastAsia="Times New Roman" w:cstheme="minorHAnsi"/>
          <w:spacing w:val="-1"/>
        </w:rPr>
        <w:t xml:space="preserve"> </w:t>
      </w:r>
      <w:r w:rsidRPr="00A54361">
        <w:rPr>
          <w:rFonts w:eastAsia="Times New Roman" w:cstheme="minorHAnsi"/>
        </w:rPr>
        <w:t>busin</w:t>
      </w:r>
      <w:r w:rsidRPr="00A54361">
        <w:rPr>
          <w:rFonts w:eastAsia="Times New Roman" w:cstheme="minorHAnsi"/>
          <w:spacing w:val="-1"/>
        </w:rPr>
        <w:t>e</w:t>
      </w:r>
      <w:r w:rsidRPr="00A54361">
        <w:rPr>
          <w:rFonts w:eastAsia="Times New Roman" w:cstheme="minorHAnsi"/>
        </w:rPr>
        <w:t xml:space="preserve">ss </w:t>
      </w:r>
      <w:r w:rsidRPr="00A54361">
        <w:rPr>
          <w:rFonts w:eastAsia="Times New Roman" w:cstheme="minorHAnsi"/>
          <w:spacing w:val="3"/>
        </w:rPr>
        <w:t>d</w:t>
      </w:r>
      <w:r w:rsidRPr="00A54361">
        <w:rPr>
          <w:rFonts w:eastAsia="Times New Roman" w:cstheme="minorHAnsi"/>
          <w:spacing w:val="-1"/>
        </w:rPr>
        <w:t>ea</w:t>
      </w:r>
      <w:r w:rsidRPr="00A54361">
        <w:rPr>
          <w:rFonts w:eastAsia="Times New Roman" w:cstheme="minorHAnsi"/>
        </w:rPr>
        <w:t>l</w:t>
      </w:r>
      <w:r w:rsidRPr="00A54361">
        <w:rPr>
          <w:rFonts w:eastAsia="Times New Roman" w:cstheme="minorHAnsi"/>
          <w:spacing w:val="1"/>
        </w:rPr>
        <w:t>i</w:t>
      </w:r>
      <w:r w:rsidRPr="00A54361">
        <w:rPr>
          <w:rFonts w:eastAsia="Times New Roman" w:cstheme="minorHAnsi"/>
        </w:rPr>
        <w:t>n</w:t>
      </w:r>
      <w:r w:rsidRPr="00A54361">
        <w:rPr>
          <w:rFonts w:eastAsia="Times New Roman" w:cstheme="minorHAnsi"/>
          <w:spacing w:val="-2"/>
        </w:rPr>
        <w:t>g</w:t>
      </w:r>
      <w:r w:rsidRPr="00A54361">
        <w:rPr>
          <w:rFonts w:eastAsia="Times New Roman" w:cstheme="minorHAnsi"/>
        </w:rPr>
        <w:t>s.</w:t>
      </w:r>
    </w:p>
    <w:p w14:paraId="0B0D533A" w14:textId="77777777" w:rsidR="0054549F" w:rsidRPr="00A54361" w:rsidRDefault="0054549F" w:rsidP="00A54361">
      <w:pPr>
        <w:ind w:left="100" w:right="7748" w:hanging="242"/>
        <w:jc w:val="both"/>
        <w:rPr>
          <w:rFonts w:cstheme="minorHAnsi"/>
        </w:rPr>
      </w:pPr>
      <w:r w:rsidRPr="00A54361">
        <w:rPr>
          <w:rFonts w:eastAsia="Times New Roman" w:cstheme="minorHAnsi"/>
          <w:b/>
        </w:rPr>
        <w:t>3. D</w:t>
      </w:r>
      <w:r w:rsidRPr="00A54361">
        <w:rPr>
          <w:rFonts w:eastAsia="Times New Roman" w:cstheme="minorHAnsi"/>
          <w:b/>
          <w:spacing w:val="-1"/>
        </w:rPr>
        <w:t>e</w:t>
      </w:r>
      <w:r w:rsidRPr="00A54361">
        <w:rPr>
          <w:rFonts w:eastAsia="Times New Roman" w:cstheme="minorHAnsi"/>
          <w:b/>
          <w:spacing w:val="1"/>
        </w:rPr>
        <w:t>f</w:t>
      </w:r>
      <w:r w:rsidRPr="00A54361">
        <w:rPr>
          <w:rFonts w:eastAsia="Times New Roman" w:cstheme="minorHAnsi"/>
          <w:b/>
        </w:rPr>
        <w:t>i</w:t>
      </w:r>
      <w:r w:rsidRPr="00A54361">
        <w:rPr>
          <w:rFonts w:eastAsia="Times New Roman" w:cstheme="minorHAnsi"/>
          <w:b/>
          <w:spacing w:val="1"/>
        </w:rPr>
        <w:t>n</w:t>
      </w:r>
      <w:r w:rsidRPr="00A54361">
        <w:rPr>
          <w:rFonts w:eastAsia="Times New Roman" w:cstheme="minorHAnsi"/>
          <w:b/>
        </w:rPr>
        <w:t>itio</w:t>
      </w:r>
      <w:r w:rsidRPr="00A54361">
        <w:rPr>
          <w:rFonts w:eastAsia="Times New Roman" w:cstheme="minorHAnsi"/>
          <w:b/>
          <w:spacing w:val="1"/>
        </w:rPr>
        <w:t>n</w:t>
      </w:r>
      <w:r w:rsidRPr="00A54361">
        <w:rPr>
          <w:rFonts w:eastAsia="Times New Roman" w:cstheme="minorHAnsi"/>
          <w:b/>
        </w:rPr>
        <w:t>s</w:t>
      </w:r>
    </w:p>
    <w:p w14:paraId="193EA207" w14:textId="77777777" w:rsidR="0054549F" w:rsidRPr="00A54361" w:rsidRDefault="0054549F" w:rsidP="00A54361">
      <w:pPr>
        <w:spacing w:line="260" w:lineRule="exact"/>
        <w:ind w:right="3530"/>
        <w:jc w:val="both"/>
        <w:rPr>
          <w:rFonts w:cstheme="minorHAnsi"/>
        </w:rPr>
      </w:pPr>
      <w:r w:rsidRPr="00A54361">
        <w:rPr>
          <w:rFonts w:eastAsia="Times New Roman" w:cstheme="minorHAnsi"/>
          <w:spacing w:val="-3"/>
        </w:rPr>
        <w:t>I</w:t>
      </w:r>
      <w:r w:rsidRPr="00A54361">
        <w:rPr>
          <w:rFonts w:eastAsia="Times New Roman" w:cstheme="minorHAnsi"/>
        </w:rPr>
        <w:t>n the</w:t>
      </w:r>
      <w:r w:rsidRPr="00A54361">
        <w:rPr>
          <w:rFonts w:eastAsia="Times New Roman" w:cstheme="minorHAnsi"/>
          <w:spacing w:val="2"/>
        </w:rPr>
        <w:t>s</w:t>
      </w:r>
      <w:r w:rsidRPr="00A54361">
        <w:rPr>
          <w:rFonts w:eastAsia="Times New Roman" w:cstheme="minorHAnsi"/>
        </w:rPr>
        <w:t>e</w:t>
      </w:r>
      <w:r w:rsidRPr="00A54361">
        <w:rPr>
          <w:rFonts w:eastAsia="Times New Roman" w:cstheme="minorHAnsi"/>
          <w:spacing w:val="-1"/>
        </w:rPr>
        <w:t xml:space="preserve"> </w:t>
      </w:r>
      <w:r w:rsidRPr="00A54361">
        <w:rPr>
          <w:rFonts w:eastAsia="Times New Roman" w:cstheme="minorHAnsi"/>
        </w:rPr>
        <w:t>Guid</w:t>
      </w:r>
      <w:r w:rsidRPr="00A54361">
        <w:rPr>
          <w:rFonts w:eastAsia="Times New Roman" w:cstheme="minorHAnsi"/>
          <w:spacing w:val="-1"/>
        </w:rPr>
        <w:t>e</w:t>
      </w:r>
      <w:r w:rsidRPr="00A54361">
        <w:rPr>
          <w:rFonts w:eastAsia="Times New Roman" w:cstheme="minorHAnsi"/>
        </w:rPr>
        <w:t>l</w:t>
      </w:r>
      <w:r w:rsidRPr="00A54361">
        <w:rPr>
          <w:rFonts w:eastAsia="Times New Roman" w:cstheme="minorHAnsi"/>
          <w:spacing w:val="1"/>
        </w:rPr>
        <w:t>i</w:t>
      </w:r>
      <w:r w:rsidRPr="00A54361">
        <w:rPr>
          <w:rFonts w:eastAsia="Times New Roman" w:cstheme="minorHAnsi"/>
        </w:rPr>
        <w:t>n</w:t>
      </w:r>
      <w:r w:rsidRPr="00A54361">
        <w:rPr>
          <w:rFonts w:eastAsia="Times New Roman" w:cstheme="minorHAnsi"/>
          <w:spacing w:val="-1"/>
        </w:rPr>
        <w:t>e</w:t>
      </w:r>
      <w:r w:rsidRPr="00A54361">
        <w:rPr>
          <w:rFonts w:eastAsia="Times New Roman" w:cstheme="minorHAnsi"/>
        </w:rPr>
        <w:t>s, unl</w:t>
      </w:r>
      <w:r w:rsidRPr="00A54361">
        <w:rPr>
          <w:rFonts w:eastAsia="Times New Roman" w:cstheme="minorHAnsi"/>
          <w:spacing w:val="1"/>
        </w:rPr>
        <w:t>e</w:t>
      </w:r>
      <w:r w:rsidRPr="00A54361">
        <w:rPr>
          <w:rFonts w:eastAsia="Times New Roman" w:cstheme="minorHAnsi"/>
        </w:rPr>
        <w:t xml:space="preserve">ss </w:t>
      </w:r>
      <w:r w:rsidRPr="00A54361">
        <w:rPr>
          <w:rFonts w:eastAsia="Times New Roman" w:cstheme="minorHAnsi"/>
          <w:spacing w:val="1"/>
        </w:rPr>
        <w:t>t</w:t>
      </w:r>
      <w:r w:rsidRPr="00A54361">
        <w:rPr>
          <w:rFonts w:eastAsia="Times New Roman" w:cstheme="minorHAnsi"/>
        </w:rPr>
        <w:t>he</w:t>
      </w:r>
      <w:r w:rsidRPr="00A54361">
        <w:rPr>
          <w:rFonts w:eastAsia="Times New Roman" w:cstheme="minorHAnsi"/>
          <w:spacing w:val="-1"/>
        </w:rPr>
        <w:t xml:space="preserve"> c</w:t>
      </w:r>
      <w:r w:rsidRPr="00A54361">
        <w:rPr>
          <w:rFonts w:eastAsia="Times New Roman" w:cstheme="minorHAnsi"/>
        </w:rPr>
        <w:t>onte</w:t>
      </w:r>
      <w:r w:rsidRPr="00A54361">
        <w:rPr>
          <w:rFonts w:eastAsia="Times New Roman" w:cstheme="minorHAnsi"/>
          <w:spacing w:val="2"/>
        </w:rPr>
        <w:t>x</w:t>
      </w:r>
      <w:r w:rsidRPr="00A54361">
        <w:rPr>
          <w:rFonts w:eastAsia="Times New Roman" w:cstheme="minorHAnsi"/>
        </w:rPr>
        <w:t>t o</w:t>
      </w:r>
      <w:r w:rsidRPr="00A54361">
        <w:rPr>
          <w:rFonts w:eastAsia="Times New Roman" w:cstheme="minorHAnsi"/>
          <w:spacing w:val="1"/>
        </w:rPr>
        <w:t>t</w:t>
      </w:r>
      <w:r w:rsidRPr="00A54361">
        <w:rPr>
          <w:rFonts w:eastAsia="Times New Roman" w:cstheme="minorHAnsi"/>
        </w:rPr>
        <w:t>h</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1"/>
        </w:rPr>
        <w:t>w</w:t>
      </w:r>
      <w:r w:rsidRPr="00A54361">
        <w:rPr>
          <w:rFonts w:eastAsia="Times New Roman" w:cstheme="minorHAnsi"/>
        </w:rPr>
        <w:t xml:space="preserve">ise </w:t>
      </w:r>
      <w:r w:rsidRPr="00A54361">
        <w:rPr>
          <w:rFonts w:eastAsia="Times New Roman" w:cstheme="minorHAnsi"/>
          <w:spacing w:val="-1"/>
        </w:rPr>
        <w:t>re</w:t>
      </w:r>
      <w:r w:rsidRPr="00A54361">
        <w:rPr>
          <w:rFonts w:eastAsia="Times New Roman" w:cstheme="minorHAnsi"/>
        </w:rPr>
        <w:t>quir</w:t>
      </w:r>
      <w:r w:rsidRPr="00A54361">
        <w:rPr>
          <w:rFonts w:eastAsia="Times New Roman" w:cstheme="minorHAnsi"/>
          <w:spacing w:val="-1"/>
        </w:rPr>
        <w:t>e</w:t>
      </w:r>
      <w:r w:rsidRPr="00A54361">
        <w:rPr>
          <w:rFonts w:eastAsia="Times New Roman" w:cstheme="minorHAnsi"/>
        </w:rPr>
        <w:t>s:</w:t>
      </w:r>
    </w:p>
    <w:p w14:paraId="12DAA4BD" w14:textId="77777777" w:rsidR="0054549F" w:rsidRPr="00A54361" w:rsidRDefault="0054549F" w:rsidP="00A54361">
      <w:pPr>
        <w:ind w:right="75"/>
        <w:jc w:val="both"/>
        <w:rPr>
          <w:rFonts w:cstheme="minorHAnsi"/>
        </w:rPr>
      </w:pPr>
      <w:r w:rsidRPr="00A54361">
        <w:rPr>
          <w:rFonts w:eastAsia="Times New Roman" w:cstheme="minorHAnsi"/>
        </w:rPr>
        <w:t>i)</w:t>
      </w:r>
      <w:r w:rsidRPr="00A54361">
        <w:rPr>
          <w:rFonts w:eastAsia="Times New Roman" w:cstheme="minorHAnsi"/>
          <w:spacing w:val="4"/>
        </w:rPr>
        <w:t xml:space="preserve"> </w:t>
      </w:r>
      <w:r w:rsidRPr="00A54361">
        <w:rPr>
          <w:rFonts w:eastAsia="Times New Roman" w:cstheme="minorHAnsi"/>
        </w:rPr>
        <w:t>‘P</w:t>
      </w:r>
      <w:r w:rsidRPr="00A54361">
        <w:rPr>
          <w:rFonts w:eastAsia="Times New Roman" w:cstheme="minorHAnsi"/>
          <w:spacing w:val="-1"/>
        </w:rPr>
        <w:t>a</w:t>
      </w:r>
      <w:r w:rsidRPr="00A54361">
        <w:rPr>
          <w:rFonts w:eastAsia="Times New Roman" w:cstheme="minorHAnsi"/>
        </w:rPr>
        <w:t>r</w:t>
      </w:r>
      <w:r w:rsidRPr="00A54361">
        <w:rPr>
          <w:rFonts w:eastAsia="Times New Roman" w:cstheme="minorHAnsi"/>
          <w:spacing w:val="2"/>
        </w:rPr>
        <w:t>t</w:t>
      </w:r>
      <w:r w:rsidRPr="00A54361">
        <w:rPr>
          <w:rFonts w:eastAsia="Times New Roman" w:cstheme="minorHAnsi"/>
        </w:rPr>
        <w:t>y /</w:t>
      </w:r>
      <w:r w:rsidRPr="00A54361">
        <w:rPr>
          <w:rFonts w:eastAsia="Times New Roman" w:cstheme="minorHAnsi"/>
          <w:spacing w:val="5"/>
        </w:rPr>
        <w:t xml:space="preserve"> </w:t>
      </w:r>
      <w:r w:rsidRPr="00A54361">
        <w:rPr>
          <w:rFonts w:eastAsia="Times New Roman" w:cstheme="minorHAnsi"/>
        </w:rPr>
        <w:t>Contr</w:t>
      </w:r>
      <w:r w:rsidRPr="00A54361">
        <w:rPr>
          <w:rFonts w:eastAsia="Times New Roman" w:cstheme="minorHAnsi"/>
          <w:spacing w:val="-1"/>
        </w:rPr>
        <w:t>ac</w:t>
      </w:r>
      <w:r w:rsidRPr="00A54361">
        <w:rPr>
          <w:rFonts w:eastAsia="Times New Roman" w:cstheme="minorHAnsi"/>
        </w:rPr>
        <w:t>tor</w:t>
      </w:r>
      <w:r w:rsidRPr="00A54361">
        <w:rPr>
          <w:rFonts w:eastAsia="Times New Roman" w:cstheme="minorHAnsi"/>
          <w:spacing w:val="4"/>
        </w:rPr>
        <w:t xml:space="preserve"> </w:t>
      </w:r>
      <w:r w:rsidRPr="00A54361">
        <w:rPr>
          <w:rFonts w:eastAsia="Times New Roman" w:cstheme="minorHAnsi"/>
        </w:rPr>
        <w:t>/</w:t>
      </w:r>
      <w:r w:rsidRPr="00A54361">
        <w:rPr>
          <w:rFonts w:eastAsia="Times New Roman" w:cstheme="minorHAnsi"/>
          <w:spacing w:val="5"/>
        </w:rPr>
        <w:t xml:space="preserve"> </w:t>
      </w:r>
      <w:r w:rsidRPr="00A54361">
        <w:rPr>
          <w:rFonts w:eastAsia="Times New Roman" w:cstheme="minorHAnsi"/>
          <w:spacing w:val="1"/>
        </w:rPr>
        <w:t>S</w:t>
      </w:r>
      <w:r w:rsidRPr="00A54361">
        <w:rPr>
          <w:rFonts w:eastAsia="Times New Roman" w:cstheme="minorHAnsi"/>
        </w:rPr>
        <w:t>uppl</w:t>
      </w:r>
      <w:r w:rsidRPr="00A54361">
        <w:rPr>
          <w:rFonts w:eastAsia="Times New Roman" w:cstheme="minorHAnsi"/>
          <w:spacing w:val="1"/>
        </w:rPr>
        <w:t>i</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4"/>
        </w:rPr>
        <w:t xml:space="preserve"> </w:t>
      </w:r>
      <w:r w:rsidRPr="00A54361">
        <w:rPr>
          <w:rFonts w:eastAsia="Times New Roman" w:cstheme="minorHAnsi"/>
        </w:rPr>
        <w:t>/</w:t>
      </w:r>
      <w:r w:rsidRPr="00A54361">
        <w:rPr>
          <w:rFonts w:eastAsia="Times New Roman" w:cstheme="minorHAnsi"/>
          <w:spacing w:val="5"/>
        </w:rPr>
        <w:t xml:space="preserve"> </w:t>
      </w:r>
      <w:r w:rsidRPr="00A54361">
        <w:rPr>
          <w:rFonts w:eastAsia="Times New Roman" w:cstheme="minorHAnsi"/>
          <w:spacing w:val="1"/>
        </w:rPr>
        <w:t>P</w:t>
      </w:r>
      <w:r w:rsidRPr="00A54361">
        <w:rPr>
          <w:rFonts w:eastAsia="Times New Roman" w:cstheme="minorHAnsi"/>
        </w:rPr>
        <w:t>ur</w:t>
      </w:r>
      <w:r w:rsidRPr="00A54361">
        <w:rPr>
          <w:rFonts w:eastAsia="Times New Roman" w:cstheme="minorHAnsi"/>
          <w:spacing w:val="-2"/>
        </w:rPr>
        <w:t>c</w:t>
      </w:r>
      <w:r w:rsidRPr="00A54361">
        <w:rPr>
          <w:rFonts w:eastAsia="Times New Roman" w:cstheme="minorHAnsi"/>
        </w:rPr>
        <w:t>h</w:t>
      </w:r>
      <w:r w:rsidRPr="00A54361">
        <w:rPr>
          <w:rFonts w:eastAsia="Times New Roman" w:cstheme="minorHAnsi"/>
          <w:spacing w:val="-1"/>
        </w:rPr>
        <w:t>a</w:t>
      </w:r>
      <w:r w:rsidRPr="00A54361">
        <w:rPr>
          <w:rFonts w:eastAsia="Times New Roman" w:cstheme="minorHAnsi"/>
        </w:rPr>
        <w:t>s</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4"/>
        </w:rPr>
        <w:t xml:space="preserve"> </w:t>
      </w:r>
      <w:r w:rsidRPr="00A54361">
        <w:rPr>
          <w:rFonts w:eastAsia="Times New Roman" w:cstheme="minorHAnsi"/>
        </w:rPr>
        <w:t>/</w:t>
      </w:r>
      <w:r w:rsidRPr="00A54361">
        <w:rPr>
          <w:rFonts w:eastAsia="Times New Roman" w:cstheme="minorHAnsi"/>
          <w:spacing w:val="2"/>
        </w:rPr>
        <w:t xml:space="preserve"> </w:t>
      </w:r>
      <w:r w:rsidRPr="00A54361">
        <w:rPr>
          <w:rFonts w:eastAsia="Times New Roman" w:cstheme="minorHAnsi"/>
        </w:rPr>
        <w:t>Custo</w:t>
      </w:r>
      <w:r w:rsidRPr="00A54361">
        <w:rPr>
          <w:rFonts w:eastAsia="Times New Roman" w:cstheme="minorHAnsi"/>
          <w:spacing w:val="1"/>
        </w:rPr>
        <w:t>m</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2"/>
        </w:rPr>
        <w:t>B</w:t>
      </w:r>
      <w:r w:rsidRPr="00A54361">
        <w:rPr>
          <w:rFonts w:eastAsia="Times New Roman" w:cstheme="minorHAnsi"/>
        </w:rPr>
        <w:t>idde</w:t>
      </w:r>
      <w:r w:rsidRPr="00A54361">
        <w:rPr>
          <w:rFonts w:eastAsia="Times New Roman" w:cstheme="minorHAnsi"/>
          <w:spacing w:val="-1"/>
        </w:rPr>
        <w:t>r</w:t>
      </w:r>
      <w:r w:rsidRPr="00A54361">
        <w:rPr>
          <w:rFonts w:eastAsia="Times New Roman" w:cstheme="minorHAnsi"/>
        </w:rPr>
        <w:t>/T</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2"/>
        </w:rPr>
        <w:t>d</w:t>
      </w:r>
      <w:r w:rsidRPr="00A54361">
        <w:rPr>
          <w:rFonts w:eastAsia="Times New Roman" w:cstheme="minorHAnsi"/>
          <w:spacing w:val="-1"/>
        </w:rPr>
        <w:t>e</w:t>
      </w:r>
      <w:r w:rsidRPr="00A54361">
        <w:rPr>
          <w:rFonts w:eastAsia="Times New Roman" w:cstheme="minorHAnsi"/>
          <w:spacing w:val="1"/>
        </w:rPr>
        <w:t>r</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3"/>
        </w:rPr>
        <w:t xml:space="preserve"> </w:t>
      </w:r>
      <w:r w:rsidRPr="00A54361">
        <w:rPr>
          <w:rFonts w:eastAsia="Times New Roman" w:cstheme="minorHAnsi"/>
        </w:rPr>
        <w:t>sh</w:t>
      </w:r>
      <w:r w:rsidRPr="00A54361">
        <w:rPr>
          <w:rFonts w:eastAsia="Times New Roman" w:cstheme="minorHAnsi"/>
          <w:spacing w:val="-1"/>
        </w:rPr>
        <w:t>a</w:t>
      </w:r>
      <w:r w:rsidRPr="00A54361">
        <w:rPr>
          <w:rFonts w:eastAsia="Times New Roman" w:cstheme="minorHAnsi"/>
        </w:rPr>
        <w:t>ll</w:t>
      </w:r>
      <w:r w:rsidRPr="00A54361">
        <w:rPr>
          <w:rFonts w:eastAsia="Times New Roman" w:cstheme="minorHAnsi"/>
          <w:spacing w:val="5"/>
        </w:rPr>
        <w:t xml:space="preserve"> </w:t>
      </w:r>
      <w:r w:rsidRPr="00A54361">
        <w:rPr>
          <w:rFonts w:eastAsia="Times New Roman" w:cstheme="minorHAnsi"/>
        </w:rPr>
        <w:t>me</w:t>
      </w:r>
      <w:r w:rsidRPr="00A54361">
        <w:rPr>
          <w:rFonts w:eastAsia="Times New Roman" w:cstheme="minorHAnsi"/>
          <w:spacing w:val="-1"/>
        </w:rPr>
        <w:t>a</w:t>
      </w:r>
      <w:r w:rsidRPr="00A54361">
        <w:rPr>
          <w:rFonts w:eastAsia="Times New Roman" w:cstheme="minorHAnsi"/>
        </w:rPr>
        <w:t>n</w:t>
      </w:r>
      <w:r w:rsidRPr="00A54361">
        <w:rPr>
          <w:rFonts w:eastAsia="Times New Roman" w:cstheme="minorHAnsi"/>
          <w:spacing w:val="4"/>
        </w:rPr>
        <w:t xml:space="preserve"> </w:t>
      </w:r>
      <w:r w:rsidRPr="00A54361">
        <w:rPr>
          <w:rFonts w:eastAsia="Times New Roman" w:cstheme="minorHAnsi"/>
          <w:spacing w:val="-1"/>
        </w:rPr>
        <w:t>a</w:t>
      </w:r>
      <w:r w:rsidRPr="00A54361">
        <w:rPr>
          <w:rFonts w:eastAsia="Times New Roman" w:cstheme="minorHAnsi"/>
        </w:rPr>
        <w:t>nd include</w:t>
      </w:r>
      <w:r w:rsidRPr="00A54361">
        <w:rPr>
          <w:rFonts w:eastAsia="Times New Roman" w:cstheme="minorHAnsi"/>
          <w:spacing w:val="2"/>
        </w:rPr>
        <w:t xml:space="preserve"> </w:t>
      </w:r>
      <w:r w:rsidRPr="00A54361">
        <w:rPr>
          <w:rFonts w:eastAsia="Times New Roman" w:cstheme="minorHAnsi"/>
        </w:rPr>
        <w:t>a</w:t>
      </w:r>
      <w:r w:rsidRPr="00A54361">
        <w:rPr>
          <w:rFonts w:eastAsia="Times New Roman" w:cstheme="minorHAnsi"/>
          <w:spacing w:val="2"/>
        </w:rPr>
        <w:t xml:space="preserve"> </w:t>
      </w:r>
      <w:r w:rsidRPr="00A54361">
        <w:rPr>
          <w:rFonts w:eastAsia="Times New Roman" w:cstheme="minorHAnsi"/>
        </w:rPr>
        <w:t>publ</w:t>
      </w:r>
      <w:r w:rsidRPr="00A54361">
        <w:rPr>
          <w:rFonts w:eastAsia="Times New Roman" w:cstheme="minorHAnsi"/>
          <w:spacing w:val="1"/>
        </w:rPr>
        <w:t>i</w:t>
      </w:r>
      <w:r w:rsidRPr="00A54361">
        <w:rPr>
          <w:rFonts w:eastAsia="Times New Roman" w:cstheme="minorHAnsi"/>
        </w:rPr>
        <w:t>c</w:t>
      </w:r>
      <w:r w:rsidRPr="00A54361">
        <w:rPr>
          <w:rFonts w:eastAsia="Times New Roman" w:cstheme="minorHAnsi"/>
          <w:spacing w:val="2"/>
        </w:rPr>
        <w:t xml:space="preserve"> </w:t>
      </w:r>
      <w:r w:rsidRPr="00A54361">
        <w:rPr>
          <w:rFonts w:eastAsia="Times New Roman" w:cstheme="minorHAnsi"/>
        </w:rPr>
        <w:t>l</w:t>
      </w:r>
      <w:r w:rsidRPr="00A54361">
        <w:rPr>
          <w:rFonts w:eastAsia="Times New Roman" w:cstheme="minorHAnsi"/>
          <w:spacing w:val="1"/>
        </w:rPr>
        <w:t>i</w:t>
      </w:r>
      <w:r w:rsidRPr="00A54361">
        <w:rPr>
          <w:rFonts w:eastAsia="Times New Roman" w:cstheme="minorHAnsi"/>
        </w:rPr>
        <w:t>m</w:t>
      </w:r>
      <w:r w:rsidRPr="00A54361">
        <w:rPr>
          <w:rFonts w:eastAsia="Times New Roman" w:cstheme="minorHAnsi"/>
          <w:spacing w:val="1"/>
        </w:rPr>
        <w:t>i</w:t>
      </w:r>
      <w:r w:rsidRPr="00A54361">
        <w:rPr>
          <w:rFonts w:eastAsia="Times New Roman" w:cstheme="minorHAnsi"/>
        </w:rPr>
        <w:t xml:space="preserve">ted </w:t>
      </w:r>
      <w:r w:rsidRPr="00A54361">
        <w:rPr>
          <w:rFonts w:eastAsia="Times New Roman" w:cstheme="minorHAnsi"/>
          <w:spacing w:val="-2"/>
        </w:rPr>
        <w:t>B</w:t>
      </w:r>
      <w:r w:rsidRPr="00A54361">
        <w:rPr>
          <w:rFonts w:eastAsia="Times New Roman" w:cstheme="minorHAnsi"/>
          <w:spacing w:val="-1"/>
        </w:rPr>
        <w:t>a</w:t>
      </w:r>
      <w:r w:rsidRPr="00A54361">
        <w:rPr>
          <w:rFonts w:eastAsia="Times New Roman" w:cstheme="minorHAnsi"/>
        </w:rPr>
        <w:t>nk</w:t>
      </w:r>
      <w:r w:rsidRPr="00A54361">
        <w:rPr>
          <w:rFonts w:eastAsia="Times New Roman" w:cstheme="minorHAnsi"/>
          <w:spacing w:val="3"/>
        </w:rPr>
        <w:t xml:space="preserve"> </w:t>
      </w:r>
      <w:r w:rsidRPr="00A54361">
        <w:rPr>
          <w:rFonts w:eastAsia="Times New Roman" w:cstheme="minorHAnsi"/>
        </w:rPr>
        <w:t>or</w:t>
      </w:r>
      <w:r w:rsidRPr="00A54361">
        <w:rPr>
          <w:rFonts w:eastAsia="Times New Roman" w:cstheme="minorHAnsi"/>
          <w:spacing w:val="2"/>
        </w:rPr>
        <w:t xml:space="preserve"> </w:t>
      </w:r>
      <w:r w:rsidRPr="00A54361">
        <w:rPr>
          <w:rFonts w:eastAsia="Times New Roman" w:cstheme="minorHAnsi"/>
        </w:rPr>
        <w:t>a</w:t>
      </w:r>
      <w:r w:rsidRPr="00A54361">
        <w:rPr>
          <w:rFonts w:eastAsia="Times New Roman" w:cstheme="minorHAnsi"/>
          <w:spacing w:val="2"/>
        </w:rPr>
        <w:t xml:space="preserve"> </w:t>
      </w:r>
      <w:r w:rsidRPr="00A54361">
        <w:rPr>
          <w:rFonts w:eastAsia="Times New Roman" w:cstheme="minorHAnsi"/>
        </w:rPr>
        <w:t>priv</w:t>
      </w:r>
      <w:r w:rsidRPr="00A54361">
        <w:rPr>
          <w:rFonts w:eastAsia="Times New Roman" w:cstheme="minorHAnsi"/>
          <w:spacing w:val="-1"/>
        </w:rPr>
        <w:t>a</w:t>
      </w:r>
      <w:r w:rsidRPr="00A54361">
        <w:rPr>
          <w:rFonts w:eastAsia="Times New Roman" w:cstheme="minorHAnsi"/>
        </w:rPr>
        <w:t>te</w:t>
      </w:r>
      <w:r w:rsidRPr="00A54361">
        <w:rPr>
          <w:rFonts w:eastAsia="Times New Roman" w:cstheme="minorHAnsi"/>
          <w:spacing w:val="3"/>
        </w:rPr>
        <w:t xml:space="preserve"> </w:t>
      </w:r>
      <w:r w:rsidRPr="00A54361">
        <w:rPr>
          <w:rFonts w:eastAsia="Times New Roman" w:cstheme="minorHAnsi"/>
        </w:rPr>
        <w:t>l</w:t>
      </w:r>
      <w:r w:rsidRPr="00A54361">
        <w:rPr>
          <w:rFonts w:eastAsia="Times New Roman" w:cstheme="minorHAnsi"/>
          <w:spacing w:val="1"/>
        </w:rPr>
        <w:t>i</w:t>
      </w:r>
      <w:r w:rsidRPr="00A54361">
        <w:rPr>
          <w:rFonts w:eastAsia="Times New Roman" w:cstheme="minorHAnsi"/>
        </w:rPr>
        <w:t>m</w:t>
      </w:r>
      <w:r w:rsidRPr="00A54361">
        <w:rPr>
          <w:rFonts w:eastAsia="Times New Roman" w:cstheme="minorHAnsi"/>
          <w:spacing w:val="1"/>
        </w:rPr>
        <w:t>i</w:t>
      </w:r>
      <w:r w:rsidRPr="00A54361">
        <w:rPr>
          <w:rFonts w:eastAsia="Times New Roman" w:cstheme="minorHAnsi"/>
        </w:rPr>
        <w:t>ted</w:t>
      </w:r>
      <w:r w:rsidRPr="00A54361">
        <w:rPr>
          <w:rFonts w:eastAsia="Times New Roman" w:cstheme="minorHAnsi"/>
          <w:spacing w:val="3"/>
        </w:rPr>
        <w:t xml:space="preserve"> </w:t>
      </w:r>
      <w:r w:rsidRPr="00A54361">
        <w:rPr>
          <w:rFonts w:eastAsia="Times New Roman" w:cstheme="minorHAnsi"/>
          <w:spacing w:val="-2"/>
        </w:rPr>
        <w:t>B</w:t>
      </w:r>
      <w:r w:rsidRPr="00A54361">
        <w:rPr>
          <w:rFonts w:eastAsia="Times New Roman" w:cstheme="minorHAnsi"/>
          <w:spacing w:val="-1"/>
        </w:rPr>
        <w:t>a</w:t>
      </w:r>
      <w:r w:rsidRPr="00A54361">
        <w:rPr>
          <w:rFonts w:eastAsia="Times New Roman" w:cstheme="minorHAnsi"/>
        </w:rPr>
        <w:t>nk,</w:t>
      </w:r>
      <w:r w:rsidRPr="00A54361">
        <w:rPr>
          <w:rFonts w:eastAsia="Times New Roman" w:cstheme="minorHAnsi"/>
          <w:spacing w:val="3"/>
        </w:rPr>
        <w:t xml:space="preserve"> </w:t>
      </w:r>
      <w:r w:rsidRPr="00A54361">
        <w:rPr>
          <w:rFonts w:eastAsia="Times New Roman" w:cstheme="minorHAnsi"/>
        </w:rPr>
        <w:t>a</w:t>
      </w:r>
      <w:r w:rsidRPr="00A54361">
        <w:rPr>
          <w:rFonts w:eastAsia="Times New Roman" w:cstheme="minorHAnsi"/>
          <w:spacing w:val="2"/>
        </w:rPr>
        <w:t xml:space="preserve"> </w:t>
      </w:r>
      <w:r w:rsidRPr="00A54361">
        <w:rPr>
          <w:rFonts w:eastAsia="Times New Roman" w:cstheme="minorHAnsi"/>
        </w:rPr>
        <w:t>fi</w:t>
      </w:r>
      <w:r w:rsidRPr="00A54361">
        <w:rPr>
          <w:rFonts w:eastAsia="Times New Roman" w:cstheme="minorHAnsi"/>
          <w:spacing w:val="-1"/>
        </w:rPr>
        <w:t>r</w:t>
      </w:r>
      <w:r w:rsidRPr="00A54361">
        <w:rPr>
          <w:rFonts w:eastAsia="Times New Roman" w:cstheme="minorHAnsi"/>
        </w:rPr>
        <w:t>m</w:t>
      </w:r>
      <w:r w:rsidRPr="00A54361">
        <w:rPr>
          <w:rFonts w:eastAsia="Times New Roman" w:cstheme="minorHAnsi"/>
          <w:spacing w:val="4"/>
        </w:rPr>
        <w:t xml:space="preserve"> </w:t>
      </w:r>
      <w:r w:rsidRPr="00A54361">
        <w:rPr>
          <w:rFonts w:eastAsia="Times New Roman" w:cstheme="minorHAnsi"/>
        </w:rPr>
        <w:t>wh</w:t>
      </w:r>
      <w:r w:rsidRPr="00A54361">
        <w:rPr>
          <w:rFonts w:eastAsia="Times New Roman" w:cstheme="minorHAnsi"/>
          <w:spacing w:val="-1"/>
        </w:rPr>
        <w:t>e</w:t>
      </w:r>
      <w:r w:rsidRPr="00A54361">
        <w:rPr>
          <w:rFonts w:eastAsia="Times New Roman" w:cstheme="minorHAnsi"/>
        </w:rPr>
        <w:t>ther</w:t>
      </w:r>
      <w:r w:rsidRPr="00A54361">
        <w:rPr>
          <w:rFonts w:eastAsia="Times New Roman" w:cstheme="minorHAnsi"/>
          <w:spacing w:val="2"/>
        </w:rPr>
        <w:t xml:space="preserve"> </w:t>
      </w:r>
      <w:r w:rsidRPr="00A54361">
        <w:rPr>
          <w:rFonts w:eastAsia="Times New Roman" w:cstheme="minorHAnsi"/>
          <w:spacing w:val="1"/>
        </w:rPr>
        <w:t>re</w:t>
      </w:r>
      <w:r w:rsidRPr="00A54361">
        <w:rPr>
          <w:rFonts w:eastAsia="Times New Roman" w:cstheme="minorHAnsi"/>
          <w:spacing w:val="-2"/>
        </w:rPr>
        <w:t>g</w:t>
      </w:r>
      <w:r w:rsidRPr="00A54361">
        <w:rPr>
          <w:rFonts w:eastAsia="Times New Roman" w:cstheme="minorHAnsi"/>
        </w:rPr>
        <w:t>is</w:t>
      </w:r>
      <w:r w:rsidRPr="00A54361">
        <w:rPr>
          <w:rFonts w:eastAsia="Times New Roman" w:cstheme="minorHAnsi"/>
          <w:spacing w:val="1"/>
        </w:rPr>
        <w:t>t</w:t>
      </w:r>
      <w:r w:rsidRPr="00A54361">
        <w:rPr>
          <w:rFonts w:eastAsia="Times New Roman" w:cstheme="minorHAnsi"/>
          <w:spacing w:val="-1"/>
        </w:rPr>
        <w:t>e</w:t>
      </w:r>
      <w:r w:rsidRPr="00A54361">
        <w:rPr>
          <w:rFonts w:eastAsia="Times New Roman" w:cstheme="minorHAnsi"/>
          <w:spacing w:val="1"/>
        </w:rPr>
        <w:t>r</w:t>
      </w:r>
      <w:r w:rsidRPr="00A54361">
        <w:rPr>
          <w:rFonts w:eastAsia="Times New Roman" w:cstheme="minorHAnsi"/>
          <w:spacing w:val="-1"/>
        </w:rPr>
        <w:t>e</w:t>
      </w:r>
      <w:r w:rsidRPr="00A54361">
        <w:rPr>
          <w:rFonts w:eastAsia="Times New Roman" w:cstheme="minorHAnsi"/>
        </w:rPr>
        <w:t>d</w:t>
      </w:r>
      <w:r w:rsidRPr="00A54361">
        <w:rPr>
          <w:rFonts w:eastAsia="Times New Roman" w:cstheme="minorHAnsi"/>
          <w:spacing w:val="3"/>
        </w:rPr>
        <w:t xml:space="preserve"> </w:t>
      </w:r>
      <w:r w:rsidRPr="00A54361">
        <w:rPr>
          <w:rFonts w:eastAsia="Times New Roman" w:cstheme="minorHAnsi"/>
        </w:rPr>
        <w:t>or</w:t>
      </w:r>
      <w:r w:rsidRPr="00A54361">
        <w:rPr>
          <w:rFonts w:eastAsia="Times New Roman" w:cstheme="minorHAnsi"/>
          <w:spacing w:val="2"/>
        </w:rPr>
        <w:t xml:space="preserve"> </w:t>
      </w:r>
      <w:r w:rsidRPr="00A54361">
        <w:rPr>
          <w:rFonts w:eastAsia="Times New Roman" w:cstheme="minorHAnsi"/>
        </w:rPr>
        <w:t>not,</w:t>
      </w:r>
      <w:r w:rsidRPr="00A54361">
        <w:rPr>
          <w:rFonts w:eastAsia="Times New Roman" w:cstheme="minorHAnsi"/>
          <w:spacing w:val="4"/>
        </w:rPr>
        <w:t xml:space="preserve"> </w:t>
      </w:r>
      <w:r w:rsidRPr="00A54361">
        <w:rPr>
          <w:rFonts w:eastAsia="Times New Roman" w:cstheme="minorHAnsi"/>
          <w:spacing w:val="-1"/>
        </w:rPr>
        <w:t>a</w:t>
      </w:r>
      <w:r w:rsidRPr="00A54361">
        <w:rPr>
          <w:rFonts w:eastAsia="Times New Roman" w:cstheme="minorHAnsi"/>
        </w:rPr>
        <w:t>n ind</w:t>
      </w:r>
      <w:r w:rsidRPr="00A54361">
        <w:rPr>
          <w:rFonts w:eastAsia="Times New Roman" w:cstheme="minorHAnsi"/>
          <w:spacing w:val="1"/>
        </w:rPr>
        <w:t>i</w:t>
      </w:r>
      <w:r w:rsidRPr="00A54361">
        <w:rPr>
          <w:rFonts w:eastAsia="Times New Roman" w:cstheme="minorHAnsi"/>
        </w:rPr>
        <w:t>vidual,</w:t>
      </w:r>
      <w:r w:rsidRPr="00A54361">
        <w:rPr>
          <w:rFonts w:eastAsia="Times New Roman" w:cstheme="minorHAnsi"/>
          <w:spacing w:val="4"/>
        </w:rPr>
        <w:t xml:space="preserve"> </w:t>
      </w:r>
      <w:r w:rsidRPr="00A54361">
        <w:rPr>
          <w:rFonts w:eastAsia="Times New Roman" w:cstheme="minorHAnsi"/>
        </w:rPr>
        <w:t>a</w:t>
      </w:r>
      <w:r w:rsidRPr="00A54361">
        <w:rPr>
          <w:rFonts w:eastAsia="Times New Roman" w:cstheme="minorHAnsi"/>
          <w:spacing w:val="3"/>
        </w:rPr>
        <w:t xml:space="preserve"> </w:t>
      </w:r>
      <w:r w:rsidRPr="00A54361">
        <w:rPr>
          <w:rFonts w:eastAsia="Times New Roman" w:cstheme="minorHAnsi"/>
          <w:spacing w:val="-1"/>
        </w:rPr>
        <w:t>c</w:t>
      </w:r>
      <w:r w:rsidRPr="00A54361">
        <w:rPr>
          <w:rFonts w:eastAsia="Times New Roman" w:cstheme="minorHAnsi"/>
        </w:rPr>
        <w:t>oop</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2"/>
        </w:rPr>
        <w:t>a</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ve</w:t>
      </w:r>
      <w:r w:rsidRPr="00A54361">
        <w:rPr>
          <w:rFonts w:eastAsia="Times New Roman" w:cstheme="minorHAnsi"/>
          <w:spacing w:val="3"/>
        </w:rPr>
        <w:t xml:space="preserve"> </w:t>
      </w:r>
      <w:r w:rsidRPr="00A54361">
        <w:rPr>
          <w:rFonts w:eastAsia="Times New Roman" w:cstheme="minorHAnsi"/>
        </w:rPr>
        <w:t>so</w:t>
      </w:r>
      <w:r w:rsidRPr="00A54361">
        <w:rPr>
          <w:rFonts w:eastAsia="Times New Roman" w:cstheme="minorHAnsi"/>
          <w:spacing w:val="-1"/>
        </w:rPr>
        <w:t>c</w:t>
      </w:r>
      <w:r w:rsidRPr="00A54361">
        <w:rPr>
          <w:rFonts w:eastAsia="Times New Roman" w:cstheme="minorHAnsi"/>
        </w:rPr>
        <w:t>ie</w:t>
      </w:r>
      <w:r w:rsidRPr="00A54361">
        <w:rPr>
          <w:rFonts w:eastAsia="Times New Roman" w:cstheme="minorHAnsi"/>
          <w:spacing w:val="2"/>
        </w:rPr>
        <w:t>t</w:t>
      </w:r>
      <w:r w:rsidRPr="00A54361">
        <w:rPr>
          <w:rFonts w:eastAsia="Times New Roman" w:cstheme="minorHAnsi"/>
        </w:rPr>
        <w:t>y or</w:t>
      </w:r>
      <w:r w:rsidRPr="00A54361">
        <w:rPr>
          <w:rFonts w:eastAsia="Times New Roman" w:cstheme="minorHAnsi"/>
          <w:spacing w:val="4"/>
        </w:rPr>
        <w:t xml:space="preserve"> </w:t>
      </w:r>
      <w:r w:rsidRPr="00A54361">
        <w:rPr>
          <w:rFonts w:eastAsia="Times New Roman" w:cstheme="minorHAnsi"/>
          <w:spacing w:val="-1"/>
        </w:rPr>
        <w:t>a</w:t>
      </w:r>
      <w:r w:rsidRPr="00A54361">
        <w:rPr>
          <w:rFonts w:eastAsia="Times New Roman" w:cstheme="minorHAnsi"/>
        </w:rPr>
        <w:t>n</w:t>
      </w:r>
      <w:r w:rsidRPr="00A54361">
        <w:rPr>
          <w:rFonts w:eastAsia="Times New Roman" w:cstheme="minorHAnsi"/>
          <w:spacing w:val="4"/>
        </w:rPr>
        <w:t xml:space="preserve"> </w:t>
      </w:r>
      <w:r w:rsidRPr="00A54361">
        <w:rPr>
          <w:rFonts w:eastAsia="Times New Roman" w:cstheme="minorHAnsi"/>
          <w:spacing w:val="-1"/>
        </w:rPr>
        <w:t>a</w:t>
      </w:r>
      <w:r w:rsidRPr="00A54361">
        <w:rPr>
          <w:rFonts w:eastAsia="Times New Roman" w:cstheme="minorHAnsi"/>
        </w:rPr>
        <w:t>ssoci</w:t>
      </w:r>
      <w:r w:rsidRPr="00A54361">
        <w:rPr>
          <w:rFonts w:eastAsia="Times New Roman" w:cstheme="minorHAnsi"/>
          <w:spacing w:val="-1"/>
        </w:rPr>
        <w:t>a</w:t>
      </w:r>
      <w:r w:rsidRPr="00A54361">
        <w:rPr>
          <w:rFonts w:eastAsia="Times New Roman" w:cstheme="minorHAnsi"/>
          <w:spacing w:val="3"/>
        </w:rPr>
        <w:t>t</w:t>
      </w:r>
      <w:r w:rsidRPr="00A54361">
        <w:rPr>
          <w:rFonts w:eastAsia="Times New Roman" w:cstheme="minorHAnsi"/>
        </w:rPr>
        <w:t>ion</w:t>
      </w:r>
      <w:r w:rsidRPr="00A54361">
        <w:rPr>
          <w:rFonts w:eastAsia="Times New Roman" w:cstheme="minorHAnsi"/>
          <w:spacing w:val="5"/>
        </w:rPr>
        <w:t xml:space="preserve"> </w:t>
      </w:r>
      <w:r w:rsidRPr="00A54361">
        <w:rPr>
          <w:rFonts w:eastAsia="Times New Roman" w:cstheme="minorHAnsi"/>
        </w:rPr>
        <w:t>or</w:t>
      </w:r>
      <w:r w:rsidRPr="00A54361">
        <w:rPr>
          <w:rFonts w:eastAsia="Times New Roman" w:cstheme="minorHAnsi"/>
          <w:spacing w:val="4"/>
        </w:rPr>
        <w:t xml:space="preserve"> </w:t>
      </w:r>
      <w:r w:rsidRPr="00A54361">
        <w:rPr>
          <w:rFonts w:eastAsia="Times New Roman" w:cstheme="minorHAnsi"/>
        </w:rPr>
        <w:t>a</w:t>
      </w:r>
      <w:r w:rsidRPr="00A54361">
        <w:rPr>
          <w:rFonts w:eastAsia="Times New Roman" w:cstheme="minorHAnsi"/>
          <w:spacing w:val="3"/>
        </w:rPr>
        <w:t xml:space="preserve"> </w:t>
      </w:r>
      <w:r w:rsidRPr="00A54361">
        <w:rPr>
          <w:rFonts w:eastAsia="Times New Roman" w:cstheme="minorHAnsi"/>
          <w:spacing w:val="-2"/>
        </w:rPr>
        <w:t>g</w:t>
      </w:r>
      <w:r w:rsidRPr="00A54361">
        <w:rPr>
          <w:rFonts w:eastAsia="Times New Roman" w:cstheme="minorHAnsi"/>
        </w:rPr>
        <w:t>roup</w:t>
      </w:r>
      <w:r w:rsidRPr="00A54361">
        <w:rPr>
          <w:rFonts w:eastAsia="Times New Roman" w:cstheme="minorHAnsi"/>
          <w:spacing w:val="4"/>
        </w:rPr>
        <w:t xml:space="preserve"> </w:t>
      </w:r>
      <w:r w:rsidRPr="00A54361">
        <w:rPr>
          <w:rFonts w:eastAsia="Times New Roman" w:cstheme="minorHAnsi"/>
        </w:rPr>
        <w:t>of</w:t>
      </w:r>
      <w:r w:rsidRPr="00A54361">
        <w:rPr>
          <w:rFonts w:eastAsia="Times New Roman" w:cstheme="minorHAnsi"/>
          <w:spacing w:val="4"/>
        </w:rPr>
        <w:t xml:space="preserve"> </w:t>
      </w:r>
      <w:r w:rsidRPr="00A54361">
        <w:rPr>
          <w:rFonts w:eastAsia="Times New Roman" w:cstheme="minorHAnsi"/>
        </w:rPr>
        <w:t>p</w:t>
      </w:r>
      <w:r w:rsidRPr="00A54361">
        <w:rPr>
          <w:rFonts w:eastAsia="Times New Roman" w:cstheme="minorHAnsi"/>
          <w:spacing w:val="-1"/>
        </w:rPr>
        <w:t>e</w:t>
      </w:r>
      <w:r w:rsidRPr="00A54361">
        <w:rPr>
          <w:rFonts w:eastAsia="Times New Roman" w:cstheme="minorHAnsi"/>
        </w:rPr>
        <w:t>rsons</w:t>
      </w:r>
      <w:r w:rsidRPr="00A54361">
        <w:rPr>
          <w:rFonts w:eastAsia="Times New Roman" w:cstheme="minorHAnsi"/>
          <w:spacing w:val="9"/>
        </w:rPr>
        <w:t xml:space="preserve"> </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2"/>
        </w:rPr>
        <w:t>g</w:t>
      </w:r>
      <w:r w:rsidRPr="00A54361">
        <w:rPr>
          <w:rFonts w:eastAsia="Times New Roman" w:cstheme="minorHAnsi"/>
          <w:spacing w:val="1"/>
        </w:rPr>
        <w:t>a</w:t>
      </w:r>
      <w:r w:rsidRPr="00A54361">
        <w:rPr>
          <w:rFonts w:eastAsia="Times New Roman" w:cstheme="minorHAnsi"/>
        </w:rPr>
        <w:t>g</w:t>
      </w:r>
      <w:r w:rsidRPr="00A54361">
        <w:rPr>
          <w:rFonts w:eastAsia="Times New Roman" w:cstheme="minorHAnsi"/>
          <w:spacing w:val="-1"/>
        </w:rPr>
        <w:t>e</w:t>
      </w:r>
      <w:r w:rsidRPr="00A54361">
        <w:rPr>
          <w:rFonts w:eastAsia="Times New Roman" w:cstheme="minorHAnsi"/>
        </w:rPr>
        <w:t>d</w:t>
      </w:r>
      <w:r w:rsidRPr="00A54361">
        <w:rPr>
          <w:rFonts w:eastAsia="Times New Roman" w:cstheme="minorHAnsi"/>
          <w:spacing w:val="4"/>
        </w:rPr>
        <w:t xml:space="preserve"> </w:t>
      </w:r>
      <w:r w:rsidRPr="00A54361">
        <w:rPr>
          <w:rFonts w:eastAsia="Times New Roman" w:cstheme="minorHAnsi"/>
        </w:rPr>
        <w:t>in</w:t>
      </w:r>
      <w:r w:rsidRPr="00A54361">
        <w:rPr>
          <w:rFonts w:eastAsia="Times New Roman" w:cstheme="minorHAnsi"/>
          <w:spacing w:val="5"/>
        </w:rPr>
        <w:t xml:space="preserve"> </w:t>
      </w:r>
      <w:r w:rsidRPr="00A54361">
        <w:rPr>
          <w:rFonts w:eastAsia="Times New Roman" w:cstheme="minorHAnsi"/>
          <w:spacing w:val="-1"/>
        </w:rPr>
        <w:t>a</w:t>
      </w:r>
      <w:r w:rsidRPr="00A54361">
        <w:rPr>
          <w:rFonts w:eastAsia="Times New Roman" w:cstheme="minorHAnsi"/>
          <w:spacing w:val="2"/>
        </w:rPr>
        <w:t>n</w:t>
      </w:r>
      <w:r w:rsidRPr="00A54361">
        <w:rPr>
          <w:rFonts w:eastAsia="Times New Roman" w:cstheme="minorHAnsi"/>
        </w:rPr>
        <w:t xml:space="preserve">y </w:t>
      </w:r>
      <w:r w:rsidRPr="00A54361">
        <w:rPr>
          <w:rFonts w:eastAsia="Times New Roman" w:cstheme="minorHAnsi"/>
          <w:spacing w:val="-1"/>
        </w:rPr>
        <w:t>c</w:t>
      </w:r>
      <w:r w:rsidRPr="00A54361">
        <w:rPr>
          <w:rFonts w:eastAsia="Times New Roman" w:cstheme="minorHAnsi"/>
        </w:rPr>
        <w:t>om</w:t>
      </w:r>
      <w:r w:rsidRPr="00A54361">
        <w:rPr>
          <w:rFonts w:eastAsia="Times New Roman" w:cstheme="minorHAnsi"/>
          <w:spacing w:val="1"/>
        </w:rPr>
        <w:t>m</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2"/>
        </w:rPr>
        <w:t>c</w:t>
      </w:r>
      <w:r w:rsidRPr="00A54361">
        <w:rPr>
          <w:rFonts w:eastAsia="Times New Roman" w:cstheme="minorHAnsi"/>
          <w:spacing w:val="-1"/>
        </w:rPr>
        <w:t>e</w:t>
      </w:r>
      <w:r w:rsidRPr="00A54361">
        <w:rPr>
          <w:rFonts w:eastAsia="Times New Roman" w:cstheme="minorHAnsi"/>
        </w:rPr>
        <w:t>,</w:t>
      </w:r>
      <w:r w:rsidRPr="00A54361">
        <w:rPr>
          <w:rFonts w:eastAsia="Times New Roman" w:cstheme="minorHAnsi"/>
          <w:spacing w:val="4"/>
        </w:rPr>
        <w:t xml:space="preserve"> </w:t>
      </w:r>
      <w:r w:rsidRPr="00A54361">
        <w:rPr>
          <w:rFonts w:eastAsia="Times New Roman" w:cstheme="minorHAnsi"/>
        </w:rPr>
        <w:t>tr</w:t>
      </w:r>
      <w:r w:rsidRPr="00A54361">
        <w:rPr>
          <w:rFonts w:eastAsia="Times New Roman" w:cstheme="minorHAnsi"/>
          <w:spacing w:val="-1"/>
        </w:rPr>
        <w:t>a</w:t>
      </w:r>
      <w:r w:rsidRPr="00A54361">
        <w:rPr>
          <w:rFonts w:eastAsia="Times New Roman" w:cstheme="minorHAnsi"/>
          <w:spacing w:val="2"/>
        </w:rPr>
        <w:t>d</w:t>
      </w:r>
      <w:r w:rsidRPr="00A54361">
        <w:rPr>
          <w:rFonts w:eastAsia="Times New Roman" w:cstheme="minorHAnsi"/>
          <w:spacing w:val="-1"/>
        </w:rPr>
        <w:t>e</w:t>
      </w:r>
      <w:r w:rsidRPr="00A54361">
        <w:rPr>
          <w:rFonts w:eastAsia="Times New Roman" w:cstheme="minorHAnsi"/>
        </w:rPr>
        <w:t>,</w:t>
      </w:r>
      <w:r w:rsidRPr="00A54361">
        <w:rPr>
          <w:rFonts w:eastAsia="Times New Roman" w:cstheme="minorHAnsi"/>
          <w:spacing w:val="2"/>
        </w:rPr>
        <w:t xml:space="preserve"> </w:t>
      </w:r>
      <w:r w:rsidRPr="00A54361">
        <w:rPr>
          <w:rFonts w:eastAsia="Times New Roman" w:cstheme="minorHAnsi"/>
        </w:rPr>
        <w:t>indust</w:t>
      </w:r>
      <w:r w:rsidRPr="00A54361">
        <w:rPr>
          <w:rFonts w:eastAsia="Times New Roman" w:cstheme="minorHAnsi"/>
          <w:spacing w:val="2"/>
        </w:rPr>
        <w:t>r</w:t>
      </w:r>
      <w:r w:rsidRPr="00A54361">
        <w:rPr>
          <w:rFonts w:eastAsia="Times New Roman" w:cstheme="minorHAnsi"/>
          <w:spacing w:val="-5"/>
        </w:rPr>
        <w:t>y</w:t>
      </w:r>
      <w:r w:rsidRPr="00A54361">
        <w:rPr>
          <w:rFonts w:eastAsia="Times New Roman" w:cstheme="minorHAnsi"/>
        </w:rPr>
        <w:t>,</w:t>
      </w:r>
      <w:r w:rsidRPr="00A54361">
        <w:rPr>
          <w:rFonts w:eastAsia="Times New Roman" w:cstheme="minorHAnsi"/>
          <w:spacing w:val="7"/>
        </w:rPr>
        <w:t xml:space="preserve"> </w:t>
      </w:r>
      <w:r w:rsidRPr="00A54361">
        <w:rPr>
          <w:rFonts w:eastAsia="Times New Roman" w:cstheme="minorHAnsi"/>
          <w:spacing w:val="-1"/>
        </w:rPr>
        <w:t>e</w:t>
      </w:r>
      <w:r w:rsidRPr="00A54361">
        <w:rPr>
          <w:rFonts w:eastAsia="Times New Roman" w:cstheme="minorHAnsi"/>
        </w:rPr>
        <w:t>tc.</w:t>
      </w:r>
      <w:r w:rsidRPr="00A54361">
        <w:rPr>
          <w:rFonts w:eastAsia="Times New Roman" w:cstheme="minorHAnsi"/>
          <w:spacing w:val="2"/>
        </w:rPr>
        <w:t xml:space="preserve"> </w:t>
      </w:r>
      <w:r w:rsidRPr="00A54361">
        <w:rPr>
          <w:rFonts w:eastAsia="Times New Roman" w:cstheme="minorHAnsi"/>
        </w:rPr>
        <w:t>‘P</w:t>
      </w:r>
      <w:r w:rsidRPr="00A54361">
        <w:rPr>
          <w:rFonts w:eastAsia="Times New Roman" w:cstheme="minorHAnsi"/>
          <w:spacing w:val="1"/>
        </w:rPr>
        <w:t>a</w:t>
      </w:r>
      <w:r w:rsidRPr="00A54361">
        <w:rPr>
          <w:rFonts w:eastAsia="Times New Roman" w:cstheme="minorHAnsi"/>
        </w:rPr>
        <w:t>r</w:t>
      </w:r>
      <w:r w:rsidRPr="00A54361">
        <w:rPr>
          <w:rFonts w:eastAsia="Times New Roman" w:cstheme="minorHAnsi"/>
          <w:spacing w:val="4"/>
        </w:rPr>
        <w:t>t</w:t>
      </w:r>
      <w:r w:rsidRPr="00A54361">
        <w:rPr>
          <w:rFonts w:eastAsia="Times New Roman" w:cstheme="minorHAnsi"/>
        </w:rPr>
        <w:t>y</w:t>
      </w:r>
      <w:r w:rsidRPr="00A54361">
        <w:rPr>
          <w:rFonts w:eastAsia="Times New Roman" w:cstheme="minorHAnsi"/>
          <w:spacing w:val="-3"/>
        </w:rPr>
        <w:t xml:space="preserve"> </w:t>
      </w:r>
      <w:r w:rsidRPr="00A54361">
        <w:rPr>
          <w:rFonts w:eastAsia="Times New Roman" w:cstheme="minorHAnsi"/>
        </w:rPr>
        <w:t>/</w:t>
      </w:r>
      <w:r w:rsidRPr="00A54361">
        <w:rPr>
          <w:rFonts w:eastAsia="Times New Roman" w:cstheme="minorHAnsi"/>
          <w:spacing w:val="3"/>
        </w:rPr>
        <w:t xml:space="preserve"> </w:t>
      </w:r>
      <w:r w:rsidRPr="00A54361">
        <w:rPr>
          <w:rFonts w:eastAsia="Times New Roman" w:cstheme="minorHAnsi"/>
        </w:rPr>
        <w:t>Contr</w:t>
      </w:r>
      <w:r w:rsidRPr="00A54361">
        <w:rPr>
          <w:rFonts w:eastAsia="Times New Roman" w:cstheme="minorHAnsi"/>
          <w:spacing w:val="-1"/>
        </w:rPr>
        <w:t>ac</w:t>
      </w:r>
      <w:r w:rsidRPr="00A54361">
        <w:rPr>
          <w:rFonts w:eastAsia="Times New Roman" w:cstheme="minorHAnsi"/>
        </w:rPr>
        <w:t>t</w:t>
      </w:r>
      <w:r w:rsidRPr="00A54361">
        <w:rPr>
          <w:rFonts w:eastAsia="Times New Roman" w:cstheme="minorHAnsi"/>
          <w:spacing w:val="3"/>
        </w:rPr>
        <w:t>o</w:t>
      </w:r>
      <w:r w:rsidRPr="00A54361">
        <w:rPr>
          <w:rFonts w:eastAsia="Times New Roman" w:cstheme="minorHAnsi"/>
        </w:rPr>
        <w:t>r</w:t>
      </w:r>
      <w:r w:rsidRPr="00A54361">
        <w:rPr>
          <w:rFonts w:eastAsia="Times New Roman" w:cstheme="minorHAnsi"/>
          <w:spacing w:val="4"/>
        </w:rPr>
        <w:t xml:space="preserve"> </w:t>
      </w:r>
      <w:r w:rsidRPr="00A54361">
        <w:rPr>
          <w:rFonts w:eastAsia="Times New Roman" w:cstheme="minorHAnsi"/>
        </w:rPr>
        <w:t>/</w:t>
      </w:r>
      <w:r w:rsidRPr="00A54361">
        <w:rPr>
          <w:rFonts w:eastAsia="Times New Roman" w:cstheme="minorHAnsi"/>
          <w:spacing w:val="3"/>
        </w:rPr>
        <w:t xml:space="preserve"> </w:t>
      </w:r>
      <w:r w:rsidRPr="00A54361">
        <w:rPr>
          <w:rFonts w:eastAsia="Times New Roman" w:cstheme="minorHAnsi"/>
          <w:spacing w:val="1"/>
        </w:rPr>
        <w:t>S</w:t>
      </w:r>
      <w:r w:rsidRPr="00A54361">
        <w:rPr>
          <w:rFonts w:eastAsia="Times New Roman" w:cstheme="minorHAnsi"/>
        </w:rPr>
        <w:t>uppl</w:t>
      </w:r>
      <w:r w:rsidRPr="00A54361">
        <w:rPr>
          <w:rFonts w:eastAsia="Times New Roman" w:cstheme="minorHAnsi"/>
          <w:spacing w:val="1"/>
        </w:rPr>
        <w:t>i</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1"/>
        </w:rPr>
        <w:t xml:space="preserve"> </w:t>
      </w:r>
      <w:r w:rsidRPr="00A54361">
        <w:rPr>
          <w:rFonts w:eastAsia="Times New Roman" w:cstheme="minorHAnsi"/>
        </w:rPr>
        <w:t>/</w:t>
      </w:r>
      <w:r w:rsidRPr="00A54361">
        <w:rPr>
          <w:rFonts w:eastAsia="Times New Roman" w:cstheme="minorHAnsi"/>
          <w:spacing w:val="3"/>
        </w:rPr>
        <w:t xml:space="preserve"> </w:t>
      </w:r>
      <w:r w:rsidRPr="00A54361">
        <w:rPr>
          <w:rFonts w:eastAsia="Times New Roman" w:cstheme="minorHAnsi"/>
          <w:spacing w:val="1"/>
        </w:rPr>
        <w:t>P</w:t>
      </w:r>
      <w:r w:rsidRPr="00A54361">
        <w:rPr>
          <w:rFonts w:eastAsia="Times New Roman" w:cstheme="minorHAnsi"/>
        </w:rPr>
        <w:t>ur</w:t>
      </w:r>
      <w:r w:rsidRPr="00A54361">
        <w:rPr>
          <w:rFonts w:eastAsia="Times New Roman" w:cstheme="minorHAnsi"/>
          <w:spacing w:val="-2"/>
        </w:rPr>
        <w:t>c</w:t>
      </w:r>
      <w:r w:rsidRPr="00A54361">
        <w:rPr>
          <w:rFonts w:eastAsia="Times New Roman" w:cstheme="minorHAnsi"/>
        </w:rPr>
        <w:t>h</w:t>
      </w:r>
      <w:r w:rsidRPr="00A54361">
        <w:rPr>
          <w:rFonts w:eastAsia="Times New Roman" w:cstheme="minorHAnsi"/>
          <w:spacing w:val="-1"/>
        </w:rPr>
        <w:t>a</w:t>
      </w:r>
      <w:r w:rsidRPr="00A54361">
        <w:rPr>
          <w:rFonts w:eastAsia="Times New Roman" w:cstheme="minorHAnsi"/>
          <w:spacing w:val="2"/>
        </w:rPr>
        <w:t>s</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1"/>
        </w:rPr>
        <w:t xml:space="preserve"> </w:t>
      </w:r>
      <w:r w:rsidRPr="00A54361">
        <w:rPr>
          <w:rFonts w:eastAsia="Times New Roman" w:cstheme="minorHAnsi"/>
        </w:rPr>
        <w:t>/</w:t>
      </w:r>
      <w:r w:rsidRPr="00A54361">
        <w:rPr>
          <w:rFonts w:eastAsia="Times New Roman" w:cstheme="minorHAnsi"/>
          <w:spacing w:val="5"/>
        </w:rPr>
        <w:t xml:space="preserve"> </w:t>
      </w:r>
      <w:r w:rsidRPr="00A54361">
        <w:rPr>
          <w:rFonts w:eastAsia="Times New Roman" w:cstheme="minorHAnsi"/>
        </w:rPr>
        <w:t>Custo</w:t>
      </w:r>
      <w:r w:rsidRPr="00A54361">
        <w:rPr>
          <w:rFonts w:eastAsia="Times New Roman" w:cstheme="minorHAnsi"/>
          <w:spacing w:val="1"/>
        </w:rPr>
        <w:t>m</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2"/>
        </w:rPr>
        <w:t xml:space="preserve"> </w:t>
      </w:r>
      <w:r w:rsidRPr="00A54361">
        <w:rPr>
          <w:rFonts w:eastAsia="Times New Roman" w:cstheme="minorHAnsi"/>
          <w:spacing w:val="-2"/>
        </w:rPr>
        <w:t>B</w:t>
      </w:r>
      <w:r w:rsidRPr="00A54361">
        <w:rPr>
          <w:rFonts w:eastAsia="Times New Roman" w:cstheme="minorHAnsi"/>
        </w:rPr>
        <w:t>idder</w:t>
      </w:r>
      <w:r w:rsidRPr="00A54361">
        <w:rPr>
          <w:rFonts w:eastAsia="Times New Roman" w:cstheme="minorHAnsi"/>
          <w:spacing w:val="1"/>
        </w:rPr>
        <w:t xml:space="preserve"> </w:t>
      </w:r>
      <w:r w:rsidRPr="00A54361">
        <w:rPr>
          <w:rFonts w:eastAsia="Times New Roman" w:cstheme="minorHAnsi"/>
        </w:rPr>
        <w:t>/ T</w:t>
      </w:r>
      <w:r w:rsidRPr="00A54361">
        <w:rPr>
          <w:rFonts w:eastAsia="Times New Roman" w:cstheme="minorHAnsi"/>
          <w:spacing w:val="-1"/>
        </w:rPr>
        <w:t>e</w:t>
      </w:r>
      <w:r w:rsidRPr="00A54361">
        <w:rPr>
          <w:rFonts w:eastAsia="Times New Roman" w:cstheme="minorHAnsi"/>
        </w:rPr>
        <w:t>nd</w:t>
      </w:r>
      <w:r w:rsidRPr="00A54361">
        <w:rPr>
          <w:rFonts w:eastAsia="Times New Roman" w:cstheme="minorHAnsi"/>
          <w:spacing w:val="-1"/>
        </w:rPr>
        <w:t>e</w:t>
      </w:r>
      <w:r w:rsidRPr="00A54361">
        <w:rPr>
          <w:rFonts w:eastAsia="Times New Roman" w:cstheme="minorHAnsi"/>
          <w:spacing w:val="1"/>
        </w:rPr>
        <w:t>r</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1"/>
        </w:rPr>
        <w:t xml:space="preserve"> </w:t>
      </w:r>
      <w:r w:rsidRPr="00A54361">
        <w:rPr>
          <w:rFonts w:eastAsia="Times New Roman" w:cstheme="minorHAnsi"/>
        </w:rPr>
        <w:t xml:space="preserve">in </w:t>
      </w:r>
      <w:r w:rsidRPr="00A54361">
        <w:rPr>
          <w:rFonts w:eastAsia="Times New Roman" w:cstheme="minorHAnsi"/>
          <w:spacing w:val="1"/>
        </w:rPr>
        <w:t>t</w:t>
      </w:r>
      <w:r w:rsidRPr="00A54361">
        <w:rPr>
          <w:rFonts w:eastAsia="Times New Roman" w:cstheme="minorHAnsi"/>
        </w:rPr>
        <w:t>he</w:t>
      </w:r>
      <w:r w:rsidRPr="00A54361">
        <w:rPr>
          <w:rFonts w:eastAsia="Times New Roman" w:cstheme="minorHAnsi"/>
          <w:spacing w:val="1"/>
        </w:rPr>
        <w:t xml:space="preserve"> </w:t>
      </w:r>
      <w:r w:rsidRPr="00A54361">
        <w:rPr>
          <w:rFonts w:eastAsia="Times New Roman" w:cstheme="minorHAnsi"/>
          <w:spacing w:val="-1"/>
        </w:rPr>
        <w:t>c</w:t>
      </w:r>
      <w:r w:rsidRPr="00A54361">
        <w:rPr>
          <w:rFonts w:eastAsia="Times New Roman" w:cstheme="minorHAnsi"/>
        </w:rPr>
        <w:t>onte</w:t>
      </w:r>
      <w:r w:rsidRPr="00A54361">
        <w:rPr>
          <w:rFonts w:eastAsia="Times New Roman" w:cstheme="minorHAnsi"/>
          <w:spacing w:val="2"/>
        </w:rPr>
        <w:t>x</w:t>
      </w:r>
      <w:r w:rsidRPr="00A54361">
        <w:rPr>
          <w:rFonts w:eastAsia="Times New Roman" w:cstheme="minorHAnsi"/>
        </w:rPr>
        <w:t>t of th</w:t>
      </w:r>
      <w:r w:rsidRPr="00A54361">
        <w:rPr>
          <w:rFonts w:eastAsia="Times New Roman" w:cstheme="minorHAnsi"/>
          <w:spacing w:val="-1"/>
        </w:rPr>
        <w:t>e</w:t>
      </w:r>
      <w:r w:rsidRPr="00A54361">
        <w:rPr>
          <w:rFonts w:eastAsia="Times New Roman" w:cstheme="minorHAnsi"/>
        </w:rPr>
        <w:t>se</w:t>
      </w:r>
      <w:r w:rsidRPr="00A54361">
        <w:rPr>
          <w:rFonts w:eastAsia="Times New Roman" w:cstheme="minorHAnsi"/>
          <w:spacing w:val="1"/>
        </w:rPr>
        <w:t xml:space="preserve"> </w:t>
      </w:r>
      <w:r w:rsidRPr="00A54361">
        <w:rPr>
          <w:rFonts w:eastAsia="Times New Roman" w:cstheme="minorHAnsi"/>
          <w:spacing w:val="-2"/>
        </w:rPr>
        <w:t>g</w:t>
      </w:r>
      <w:r w:rsidRPr="00A54361">
        <w:rPr>
          <w:rFonts w:eastAsia="Times New Roman" w:cstheme="minorHAnsi"/>
        </w:rPr>
        <w:t xml:space="preserve">uidelines is </w:t>
      </w:r>
      <w:r w:rsidRPr="00A54361">
        <w:rPr>
          <w:rFonts w:eastAsia="Times New Roman" w:cstheme="minorHAnsi"/>
          <w:spacing w:val="1"/>
        </w:rPr>
        <w:t>i</w:t>
      </w:r>
      <w:r w:rsidRPr="00A54361">
        <w:rPr>
          <w:rFonts w:eastAsia="Times New Roman" w:cstheme="minorHAnsi"/>
        </w:rPr>
        <w:t>ndic</w:t>
      </w:r>
      <w:r w:rsidRPr="00A54361">
        <w:rPr>
          <w:rFonts w:eastAsia="Times New Roman" w:cstheme="minorHAnsi"/>
          <w:spacing w:val="-1"/>
        </w:rPr>
        <w:t>a</w:t>
      </w:r>
      <w:r w:rsidRPr="00A54361">
        <w:rPr>
          <w:rFonts w:eastAsia="Times New Roman" w:cstheme="minorHAnsi"/>
        </w:rPr>
        <w:t xml:space="preserve">ted </w:t>
      </w:r>
      <w:r w:rsidRPr="00A54361">
        <w:rPr>
          <w:rFonts w:eastAsia="Times New Roman" w:cstheme="minorHAnsi"/>
          <w:spacing w:val="-1"/>
        </w:rPr>
        <w:t>a</w:t>
      </w:r>
      <w:r w:rsidRPr="00A54361">
        <w:rPr>
          <w:rFonts w:eastAsia="Times New Roman" w:cstheme="minorHAnsi"/>
        </w:rPr>
        <w:t>s</w:t>
      </w:r>
      <w:r w:rsidRPr="00A54361">
        <w:rPr>
          <w:rFonts w:eastAsia="Times New Roman" w:cstheme="minorHAnsi"/>
          <w:spacing w:val="2"/>
        </w:rPr>
        <w:t xml:space="preserve"> </w:t>
      </w:r>
      <w:r w:rsidRPr="00A54361">
        <w:rPr>
          <w:rFonts w:eastAsia="Times New Roman" w:cstheme="minorHAnsi"/>
        </w:rPr>
        <w:t>‘</w:t>
      </w:r>
      <w:r w:rsidRPr="00A54361">
        <w:rPr>
          <w:rFonts w:eastAsia="Times New Roman" w:cstheme="minorHAnsi"/>
          <w:spacing w:val="1"/>
        </w:rPr>
        <w:t>A</w:t>
      </w:r>
      <w:r w:rsidRPr="00A54361">
        <w:rPr>
          <w:rFonts w:eastAsia="Times New Roman" w:cstheme="minorHAnsi"/>
          <w:spacing w:val="-2"/>
        </w:rPr>
        <w:t>g</w:t>
      </w:r>
      <w:r w:rsidRPr="00A54361">
        <w:rPr>
          <w:rFonts w:eastAsia="Times New Roman" w:cstheme="minorHAnsi"/>
          <w:spacing w:val="-1"/>
        </w:rPr>
        <w:t>e</w:t>
      </w:r>
      <w:r w:rsidRPr="00A54361">
        <w:rPr>
          <w:rFonts w:eastAsia="Times New Roman" w:cstheme="minorHAnsi"/>
          <w:spacing w:val="2"/>
        </w:rPr>
        <w:t>n</w:t>
      </w:r>
      <w:r w:rsidRPr="00A54361">
        <w:rPr>
          <w:rFonts w:eastAsia="Times New Roman" w:cstheme="minorHAnsi"/>
          <w:spacing w:val="4"/>
        </w:rPr>
        <w:t>c</w:t>
      </w:r>
      <w:r w:rsidRPr="00A54361">
        <w:rPr>
          <w:rFonts w:eastAsia="Times New Roman" w:cstheme="minorHAnsi"/>
          <w:spacing w:val="-5"/>
        </w:rPr>
        <w:t>y</w:t>
      </w:r>
      <w:r w:rsidRPr="00A54361">
        <w:rPr>
          <w:rFonts w:eastAsia="Times New Roman" w:cstheme="minorHAnsi"/>
        </w:rPr>
        <w:t>’.</w:t>
      </w:r>
    </w:p>
    <w:p w14:paraId="68EE90FE" w14:textId="77777777" w:rsidR="0054549F" w:rsidRPr="00A54361" w:rsidRDefault="0054549F" w:rsidP="00A54361">
      <w:pPr>
        <w:ind w:right="77"/>
        <w:jc w:val="both"/>
        <w:rPr>
          <w:rFonts w:cstheme="minorHAnsi"/>
        </w:rPr>
      </w:pPr>
      <w:r w:rsidRPr="00A54361">
        <w:rPr>
          <w:rFonts w:eastAsia="Times New Roman" w:cstheme="minorHAnsi"/>
        </w:rPr>
        <w:t>i</w:t>
      </w:r>
      <w:r w:rsidRPr="00A54361">
        <w:rPr>
          <w:rFonts w:eastAsia="Times New Roman" w:cstheme="minorHAnsi"/>
          <w:spacing w:val="1"/>
        </w:rPr>
        <w:t>i</w:t>
      </w:r>
      <w:r w:rsidRPr="00A54361">
        <w:rPr>
          <w:rFonts w:eastAsia="Times New Roman" w:cstheme="minorHAnsi"/>
        </w:rPr>
        <w:t>)</w:t>
      </w:r>
      <w:r w:rsidRPr="00A54361">
        <w:rPr>
          <w:rFonts w:eastAsia="Times New Roman" w:cstheme="minorHAnsi"/>
          <w:spacing w:val="2"/>
        </w:rPr>
        <w:t xml:space="preserve"> </w:t>
      </w:r>
      <w:r w:rsidRPr="00A54361">
        <w:rPr>
          <w:rFonts w:eastAsia="Times New Roman" w:cstheme="minorHAnsi"/>
          <w:spacing w:val="1"/>
        </w:rPr>
        <w:t>‘</w:t>
      </w:r>
      <w:r w:rsidRPr="00A54361">
        <w:rPr>
          <w:rFonts w:eastAsia="Times New Roman" w:cstheme="minorHAnsi"/>
          <w:spacing w:val="-6"/>
        </w:rPr>
        <w:t>I</w:t>
      </w:r>
      <w:r w:rsidRPr="00A54361">
        <w:rPr>
          <w:rFonts w:eastAsia="Times New Roman" w:cstheme="minorHAnsi"/>
        </w:rPr>
        <w:t>nt</w:t>
      </w:r>
      <w:r w:rsidRPr="00A54361">
        <w:rPr>
          <w:rFonts w:eastAsia="Times New Roman" w:cstheme="minorHAnsi"/>
          <w:spacing w:val="2"/>
        </w:rPr>
        <w:t>e</w:t>
      </w:r>
      <w:r w:rsidRPr="00A54361">
        <w:rPr>
          <w:rFonts w:eastAsia="Times New Roman" w:cstheme="minorHAnsi"/>
        </w:rPr>
        <w:t>r</w:t>
      </w:r>
      <w:r w:rsidRPr="00A54361">
        <w:rPr>
          <w:rFonts w:eastAsia="Times New Roman" w:cstheme="minorHAnsi"/>
          <w:spacing w:val="-1"/>
        </w:rPr>
        <w:t>-c</w:t>
      </w:r>
      <w:r w:rsidRPr="00A54361">
        <w:rPr>
          <w:rFonts w:eastAsia="Times New Roman" w:cstheme="minorHAnsi"/>
        </w:rPr>
        <w:t>on</w:t>
      </w:r>
      <w:r w:rsidRPr="00A54361">
        <w:rPr>
          <w:rFonts w:eastAsia="Times New Roman" w:cstheme="minorHAnsi"/>
          <w:spacing w:val="2"/>
        </w:rPr>
        <w:t>n</w:t>
      </w:r>
      <w:r w:rsidRPr="00A54361">
        <w:rPr>
          <w:rFonts w:eastAsia="Times New Roman" w:cstheme="minorHAnsi"/>
          <w:spacing w:val="-1"/>
        </w:rPr>
        <w:t>ec</w:t>
      </w:r>
      <w:r w:rsidRPr="00A54361">
        <w:rPr>
          <w:rFonts w:eastAsia="Times New Roman" w:cstheme="minorHAnsi"/>
        </w:rPr>
        <w:t>ted</w:t>
      </w:r>
      <w:r w:rsidRPr="00A54361">
        <w:rPr>
          <w:rFonts w:eastAsia="Times New Roman" w:cstheme="minorHAnsi"/>
          <w:spacing w:val="2"/>
        </w:rPr>
        <w:t xml:space="preserve"> A</w:t>
      </w:r>
      <w:r w:rsidRPr="00A54361">
        <w:rPr>
          <w:rFonts w:eastAsia="Times New Roman" w:cstheme="minorHAnsi"/>
          <w:spacing w:val="-2"/>
        </w:rPr>
        <w:t>g</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1"/>
        </w:rPr>
        <w:t>c</w:t>
      </w:r>
      <w:r w:rsidRPr="00A54361">
        <w:rPr>
          <w:rFonts w:eastAsia="Times New Roman" w:cstheme="minorHAnsi"/>
          <w:spacing w:val="-5"/>
        </w:rPr>
        <w:t>y</w:t>
      </w:r>
      <w:r w:rsidRPr="00A54361">
        <w:rPr>
          <w:rFonts w:eastAsia="Times New Roman" w:cstheme="minorHAnsi"/>
        </w:rPr>
        <w:t>’</w:t>
      </w:r>
      <w:r w:rsidRPr="00A54361">
        <w:rPr>
          <w:rFonts w:eastAsia="Times New Roman" w:cstheme="minorHAnsi"/>
          <w:spacing w:val="2"/>
        </w:rPr>
        <w:t xml:space="preserve"> </w:t>
      </w:r>
      <w:r w:rsidRPr="00A54361">
        <w:rPr>
          <w:rFonts w:eastAsia="Times New Roman" w:cstheme="minorHAnsi"/>
        </w:rPr>
        <w:t>s</w:t>
      </w:r>
      <w:r w:rsidRPr="00A54361">
        <w:rPr>
          <w:rFonts w:eastAsia="Times New Roman" w:cstheme="minorHAnsi"/>
          <w:spacing w:val="2"/>
        </w:rPr>
        <w:t>h</w:t>
      </w:r>
      <w:r w:rsidRPr="00A54361">
        <w:rPr>
          <w:rFonts w:eastAsia="Times New Roman" w:cstheme="minorHAnsi"/>
          <w:spacing w:val="-1"/>
        </w:rPr>
        <w:t>a</w:t>
      </w:r>
      <w:r w:rsidRPr="00A54361">
        <w:rPr>
          <w:rFonts w:eastAsia="Times New Roman" w:cstheme="minorHAnsi"/>
        </w:rPr>
        <w:t>ll</w:t>
      </w:r>
      <w:r w:rsidRPr="00A54361">
        <w:rPr>
          <w:rFonts w:eastAsia="Times New Roman" w:cstheme="minorHAnsi"/>
          <w:spacing w:val="3"/>
        </w:rPr>
        <w:t xml:space="preserve"> </w:t>
      </w:r>
      <w:r w:rsidRPr="00A54361">
        <w:rPr>
          <w:rFonts w:eastAsia="Times New Roman" w:cstheme="minorHAnsi"/>
        </w:rPr>
        <w:t>me</w:t>
      </w:r>
      <w:r w:rsidRPr="00A54361">
        <w:rPr>
          <w:rFonts w:eastAsia="Times New Roman" w:cstheme="minorHAnsi"/>
          <w:spacing w:val="-1"/>
        </w:rPr>
        <w:t>a</w:t>
      </w:r>
      <w:r w:rsidRPr="00A54361">
        <w:rPr>
          <w:rFonts w:eastAsia="Times New Roman" w:cstheme="minorHAnsi"/>
        </w:rPr>
        <w:t>n</w:t>
      </w:r>
      <w:r w:rsidRPr="00A54361">
        <w:rPr>
          <w:rFonts w:eastAsia="Times New Roman" w:cstheme="minorHAnsi"/>
          <w:spacing w:val="3"/>
        </w:rPr>
        <w:t xml:space="preserve"> </w:t>
      </w:r>
      <w:r w:rsidRPr="00A54361">
        <w:rPr>
          <w:rFonts w:eastAsia="Times New Roman" w:cstheme="minorHAnsi"/>
        </w:rPr>
        <w:t>two</w:t>
      </w:r>
      <w:r w:rsidRPr="00A54361">
        <w:rPr>
          <w:rFonts w:eastAsia="Times New Roman" w:cstheme="minorHAnsi"/>
          <w:spacing w:val="3"/>
        </w:rPr>
        <w:t xml:space="preserve"> </w:t>
      </w:r>
      <w:r w:rsidRPr="00A54361">
        <w:rPr>
          <w:rFonts w:eastAsia="Times New Roman" w:cstheme="minorHAnsi"/>
        </w:rPr>
        <w:t>or more</w:t>
      </w:r>
      <w:r w:rsidRPr="00A54361">
        <w:rPr>
          <w:rFonts w:eastAsia="Times New Roman" w:cstheme="minorHAnsi"/>
          <w:spacing w:val="2"/>
        </w:rPr>
        <w:t xml:space="preserve"> </w:t>
      </w:r>
      <w:r w:rsidRPr="00A54361">
        <w:rPr>
          <w:rFonts w:eastAsia="Times New Roman" w:cstheme="minorHAnsi"/>
          <w:spacing w:val="-1"/>
        </w:rPr>
        <w:t>c</w:t>
      </w:r>
      <w:r w:rsidRPr="00A54361">
        <w:rPr>
          <w:rFonts w:eastAsia="Times New Roman" w:cstheme="minorHAnsi"/>
        </w:rPr>
        <w:t>ompani</w:t>
      </w:r>
      <w:r w:rsidRPr="00A54361">
        <w:rPr>
          <w:rFonts w:eastAsia="Times New Roman" w:cstheme="minorHAnsi"/>
          <w:spacing w:val="-1"/>
        </w:rPr>
        <w:t>e</w:t>
      </w:r>
      <w:r w:rsidRPr="00A54361">
        <w:rPr>
          <w:rFonts w:eastAsia="Times New Roman" w:cstheme="minorHAnsi"/>
        </w:rPr>
        <w:t>s</w:t>
      </w:r>
      <w:r w:rsidRPr="00A54361">
        <w:rPr>
          <w:rFonts w:eastAsia="Times New Roman" w:cstheme="minorHAnsi"/>
          <w:spacing w:val="3"/>
        </w:rPr>
        <w:t xml:space="preserve"> </w:t>
      </w:r>
      <w:r w:rsidRPr="00A54361">
        <w:rPr>
          <w:rFonts w:eastAsia="Times New Roman" w:cstheme="minorHAnsi"/>
        </w:rPr>
        <w:t>h</w:t>
      </w:r>
      <w:r w:rsidRPr="00A54361">
        <w:rPr>
          <w:rFonts w:eastAsia="Times New Roman" w:cstheme="minorHAnsi"/>
          <w:spacing w:val="-1"/>
        </w:rPr>
        <w:t>a</w:t>
      </w:r>
      <w:r w:rsidRPr="00A54361">
        <w:rPr>
          <w:rFonts w:eastAsia="Times New Roman" w:cstheme="minorHAnsi"/>
        </w:rPr>
        <w:t>vi</w:t>
      </w:r>
      <w:r w:rsidRPr="00A54361">
        <w:rPr>
          <w:rFonts w:eastAsia="Times New Roman" w:cstheme="minorHAnsi"/>
          <w:spacing w:val="3"/>
        </w:rPr>
        <w:t>n</w:t>
      </w:r>
      <w:r w:rsidRPr="00A54361">
        <w:rPr>
          <w:rFonts w:eastAsia="Times New Roman" w:cstheme="minorHAnsi"/>
        </w:rPr>
        <w:t xml:space="preserve">g </w:t>
      </w:r>
      <w:r w:rsidRPr="00A54361">
        <w:rPr>
          <w:rFonts w:eastAsia="Times New Roman" w:cstheme="minorHAnsi"/>
          <w:spacing w:val="-1"/>
        </w:rPr>
        <w:t>a</w:t>
      </w:r>
      <w:r w:rsidRPr="00A54361">
        <w:rPr>
          <w:rFonts w:eastAsia="Times New Roman" w:cstheme="minorHAnsi"/>
          <w:spacing w:val="2"/>
        </w:rPr>
        <w:t>n</w:t>
      </w:r>
      <w:r w:rsidRPr="00A54361">
        <w:rPr>
          <w:rFonts w:eastAsia="Times New Roman" w:cstheme="minorHAnsi"/>
        </w:rPr>
        <w:t>y</w:t>
      </w:r>
      <w:r w:rsidRPr="00A54361">
        <w:rPr>
          <w:rFonts w:eastAsia="Times New Roman" w:cstheme="minorHAnsi"/>
          <w:spacing w:val="4"/>
        </w:rPr>
        <w:t xml:space="preserve"> </w:t>
      </w:r>
      <w:r w:rsidRPr="00A54361">
        <w:rPr>
          <w:rFonts w:eastAsia="Times New Roman" w:cstheme="minorHAnsi"/>
        </w:rPr>
        <w:t>of</w:t>
      </w:r>
      <w:r w:rsidRPr="00A54361">
        <w:rPr>
          <w:rFonts w:eastAsia="Times New Roman" w:cstheme="minorHAnsi"/>
          <w:spacing w:val="2"/>
        </w:rPr>
        <w:t xml:space="preserve"> </w:t>
      </w:r>
      <w:r w:rsidRPr="00A54361">
        <w:rPr>
          <w:rFonts w:eastAsia="Times New Roman" w:cstheme="minorHAnsi"/>
        </w:rPr>
        <w:t>the</w:t>
      </w:r>
      <w:r w:rsidRPr="00A54361">
        <w:rPr>
          <w:rFonts w:eastAsia="Times New Roman" w:cstheme="minorHAnsi"/>
          <w:spacing w:val="2"/>
        </w:rPr>
        <w:t xml:space="preserve"> </w:t>
      </w:r>
      <w:r w:rsidRPr="00A54361">
        <w:rPr>
          <w:rFonts w:eastAsia="Times New Roman" w:cstheme="minorHAnsi"/>
        </w:rPr>
        <w:t>followi</w:t>
      </w:r>
      <w:r w:rsidRPr="00A54361">
        <w:rPr>
          <w:rFonts w:eastAsia="Times New Roman" w:cstheme="minorHAnsi"/>
          <w:spacing w:val="2"/>
        </w:rPr>
        <w:t>n</w:t>
      </w:r>
      <w:r w:rsidRPr="00A54361">
        <w:rPr>
          <w:rFonts w:eastAsia="Times New Roman" w:cstheme="minorHAnsi"/>
        </w:rPr>
        <w:t>g f</w:t>
      </w:r>
      <w:r w:rsidRPr="00A54361">
        <w:rPr>
          <w:rFonts w:eastAsia="Times New Roman" w:cstheme="minorHAnsi"/>
          <w:spacing w:val="-2"/>
        </w:rPr>
        <w:t>e</w:t>
      </w:r>
      <w:r w:rsidRPr="00A54361">
        <w:rPr>
          <w:rFonts w:eastAsia="Times New Roman" w:cstheme="minorHAnsi"/>
          <w:spacing w:val="-1"/>
        </w:rPr>
        <w:t>a</w:t>
      </w:r>
      <w:r w:rsidRPr="00A54361">
        <w:rPr>
          <w:rFonts w:eastAsia="Times New Roman" w:cstheme="minorHAnsi"/>
        </w:rPr>
        <w:t>tu</w:t>
      </w:r>
      <w:r w:rsidRPr="00A54361">
        <w:rPr>
          <w:rFonts w:eastAsia="Times New Roman" w:cstheme="minorHAnsi"/>
          <w:spacing w:val="2"/>
        </w:rPr>
        <w:t>r</w:t>
      </w:r>
      <w:r w:rsidRPr="00A54361">
        <w:rPr>
          <w:rFonts w:eastAsia="Times New Roman" w:cstheme="minorHAnsi"/>
          <w:spacing w:val="-1"/>
        </w:rPr>
        <w:t>e</w:t>
      </w:r>
      <w:r w:rsidRPr="00A54361">
        <w:rPr>
          <w:rFonts w:eastAsia="Times New Roman" w:cstheme="minorHAnsi"/>
        </w:rPr>
        <w:t>s:</w:t>
      </w:r>
    </w:p>
    <w:p w14:paraId="233D522B" w14:textId="3534BCFF" w:rsidR="0054549F" w:rsidRPr="00A54361" w:rsidRDefault="0054549F" w:rsidP="00A54361">
      <w:pPr>
        <w:ind w:right="5641" w:hanging="142"/>
        <w:jc w:val="both"/>
        <w:rPr>
          <w:rFonts w:cstheme="minorHAnsi"/>
        </w:rPr>
      </w:pPr>
      <w:r w:rsidRPr="00A54361">
        <w:rPr>
          <w:rFonts w:eastAsia="Times New Roman" w:cstheme="minorHAnsi"/>
          <w:spacing w:val="-1"/>
        </w:rPr>
        <w:t>a</w:t>
      </w:r>
      <w:r w:rsidRPr="00A54361">
        <w:rPr>
          <w:rFonts w:eastAsia="Times New Roman" w:cstheme="minorHAnsi"/>
        </w:rPr>
        <w:t>)</w:t>
      </w:r>
      <w:r w:rsidRPr="00A54361">
        <w:rPr>
          <w:rFonts w:eastAsia="Times New Roman" w:cstheme="minorHAnsi"/>
          <w:spacing w:val="1"/>
        </w:rPr>
        <w:t xml:space="preserve"> </w:t>
      </w:r>
      <w:r w:rsidRPr="00A54361">
        <w:rPr>
          <w:rFonts w:eastAsia="Times New Roman" w:cstheme="minorHAnsi"/>
          <w:spacing w:val="-3"/>
        </w:rPr>
        <w:t>I</w:t>
      </w:r>
      <w:r w:rsidRPr="00A54361">
        <w:rPr>
          <w:rFonts w:eastAsia="Times New Roman" w:cstheme="minorHAnsi"/>
        </w:rPr>
        <w:t>f o</w:t>
      </w:r>
      <w:r w:rsidRPr="00A54361">
        <w:rPr>
          <w:rFonts w:eastAsia="Times New Roman" w:cstheme="minorHAnsi"/>
          <w:spacing w:val="1"/>
        </w:rPr>
        <w:t>n</w:t>
      </w:r>
      <w:r w:rsidRPr="00A54361">
        <w:rPr>
          <w:rFonts w:eastAsia="Times New Roman" w:cstheme="minorHAnsi"/>
        </w:rPr>
        <w:t>e</w:t>
      </w:r>
      <w:r w:rsidRPr="00A54361">
        <w:rPr>
          <w:rFonts w:eastAsia="Times New Roman" w:cstheme="minorHAnsi"/>
          <w:spacing w:val="-1"/>
        </w:rPr>
        <w:t xml:space="preserve"> </w:t>
      </w:r>
      <w:r w:rsidRPr="00A54361">
        <w:rPr>
          <w:rFonts w:eastAsia="Times New Roman" w:cstheme="minorHAnsi"/>
        </w:rPr>
        <w:t>is a subsidia</w:t>
      </w:r>
      <w:r w:rsidRPr="00A54361">
        <w:rPr>
          <w:rFonts w:eastAsia="Times New Roman" w:cstheme="minorHAnsi"/>
          <w:spacing w:val="3"/>
        </w:rPr>
        <w:t>r</w:t>
      </w:r>
      <w:r w:rsidRPr="00A54361">
        <w:rPr>
          <w:rFonts w:eastAsia="Times New Roman" w:cstheme="minorHAnsi"/>
        </w:rPr>
        <w:t>y</w:t>
      </w:r>
      <w:r w:rsidRPr="00A54361">
        <w:rPr>
          <w:rFonts w:eastAsia="Times New Roman" w:cstheme="minorHAnsi"/>
          <w:spacing w:val="-5"/>
        </w:rPr>
        <w:t xml:space="preserve"> </w:t>
      </w:r>
      <w:r w:rsidRPr="00A54361">
        <w:rPr>
          <w:rFonts w:eastAsia="Times New Roman" w:cstheme="minorHAnsi"/>
          <w:spacing w:val="2"/>
        </w:rPr>
        <w:t>o</w:t>
      </w:r>
      <w:r w:rsidRPr="00A54361">
        <w:rPr>
          <w:rFonts w:eastAsia="Times New Roman" w:cstheme="minorHAnsi"/>
        </w:rPr>
        <w:t>f the</w:t>
      </w:r>
      <w:r w:rsidRPr="00A54361">
        <w:rPr>
          <w:rFonts w:eastAsia="Times New Roman" w:cstheme="minorHAnsi"/>
          <w:spacing w:val="-1"/>
        </w:rPr>
        <w:t xml:space="preserve"> o</w:t>
      </w:r>
      <w:r w:rsidRPr="00A54361">
        <w:rPr>
          <w:rFonts w:eastAsia="Times New Roman" w:cstheme="minorHAnsi"/>
        </w:rPr>
        <w:t>the</w:t>
      </w:r>
      <w:r w:rsidRPr="00A54361">
        <w:rPr>
          <w:rFonts w:eastAsia="Times New Roman" w:cstheme="minorHAnsi"/>
          <w:spacing w:val="-1"/>
        </w:rPr>
        <w:t>r</w:t>
      </w:r>
      <w:r w:rsidRPr="00A54361">
        <w:rPr>
          <w:rFonts w:eastAsia="Times New Roman" w:cstheme="minorHAnsi"/>
        </w:rPr>
        <w:t>.</w:t>
      </w:r>
    </w:p>
    <w:p w14:paraId="0285F2B3" w14:textId="77777777" w:rsidR="0054549F" w:rsidRPr="00A54361" w:rsidRDefault="0054549F" w:rsidP="00A54361">
      <w:pPr>
        <w:ind w:right="1608" w:hanging="142"/>
        <w:jc w:val="both"/>
        <w:rPr>
          <w:rFonts w:cstheme="minorHAnsi"/>
        </w:rPr>
      </w:pPr>
      <w:r w:rsidRPr="00A54361">
        <w:rPr>
          <w:rFonts w:eastAsia="Times New Roman" w:cstheme="minorHAnsi"/>
        </w:rPr>
        <w:t>b)</w:t>
      </w:r>
      <w:r w:rsidRPr="00A54361">
        <w:rPr>
          <w:rFonts w:eastAsia="Times New Roman" w:cstheme="minorHAnsi"/>
          <w:spacing w:val="1"/>
        </w:rPr>
        <w:t xml:space="preserve"> </w:t>
      </w:r>
      <w:r w:rsidRPr="00A54361">
        <w:rPr>
          <w:rFonts w:eastAsia="Times New Roman" w:cstheme="minorHAnsi"/>
          <w:spacing w:val="-3"/>
        </w:rPr>
        <w:t>I</w:t>
      </w:r>
      <w:r w:rsidRPr="00A54361">
        <w:rPr>
          <w:rFonts w:eastAsia="Times New Roman" w:cstheme="minorHAnsi"/>
        </w:rPr>
        <w:t>f the</w:t>
      </w:r>
      <w:r w:rsidRPr="00A54361">
        <w:rPr>
          <w:rFonts w:eastAsia="Times New Roman" w:cstheme="minorHAnsi"/>
          <w:spacing w:val="-1"/>
        </w:rPr>
        <w:t xml:space="preserve"> </w:t>
      </w:r>
      <w:r w:rsidRPr="00A54361">
        <w:rPr>
          <w:rFonts w:eastAsia="Times New Roman" w:cstheme="minorHAnsi"/>
        </w:rPr>
        <w:t>Di</w:t>
      </w:r>
      <w:r w:rsidRPr="00A54361">
        <w:rPr>
          <w:rFonts w:eastAsia="Times New Roman" w:cstheme="minorHAnsi"/>
          <w:spacing w:val="1"/>
        </w:rPr>
        <w:t>r</w:t>
      </w:r>
      <w:r w:rsidRPr="00A54361">
        <w:rPr>
          <w:rFonts w:eastAsia="Times New Roman" w:cstheme="minorHAnsi"/>
          <w:spacing w:val="-1"/>
        </w:rPr>
        <w:t>ec</w:t>
      </w:r>
      <w:r w:rsidRPr="00A54361">
        <w:rPr>
          <w:rFonts w:eastAsia="Times New Roman" w:cstheme="minorHAnsi"/>
        </w:rPr>
        <w:t>to</w:t>
      </w:r>
      <w:r w:rsidRPr="00A54361">
        <w:rPr>
          <w:rFonts w:eastAsia="Times New Roman" w:cstheme="minorHAnsi"/>
          <w:spacing w:val="2"/>
        </w:rPr>
        <w:t>r</w:t>
      </w:r>
      <w:r w:rsidRPr="00A54361">
        <w:rPr>
          <w:rFonts w:eastAsia="Times New Roman" w:cstheme="minorHAnsi"/>
        </w:rPr>
        <w:t>(s</w:t>
      </w:r>
      <w:r w:rsidRPr="00A54361">
        <w:rPr>
          <w:rFonts w:eastAsia="Times New Roman" w:cstheme="minorHAnsi"/>
          <w:spacing w:val="-1"/>
        </w:rPr>
        <w:t>)</w:t>
      </w:r>
      <w:r w:rsidRPr="00A54361">
        <w:rPr>
          <w:rFonts w:eastAsia="Times New Roman" w:cstheme="minorHAnsi"/>
        </w:rPr>
        <w:t xml:space="preserve">, </w:t>
      </w:r>
      <w:r w:rsidRPr="00A54361">
        <w:rPr>
          <w:rFonts w:eastAsia="Times New Roman" w:cstheme="minorHAnsi"/>
          <w:spacing w:val="1"/>
        </w:rPr>
        <w:t>P</w:t>
      </w:r>
      <w:r w:rsidRPr="00A54361">
        <w:rPr>
          <w:rFonts w:eastAsia="Times New Roman" w:cstheme="minorHAnsi"/>
          <w:spacing w:val="-1"/>
        </w:rPr>
        <w:t>a</w:t>
      </w:r>
      <w:r w:rsidRPr="00A54361">
        <w:rPr>
          <w:rFonts w:eastAsia="Times New Roman" w:cstheme="minorHAnsi"/>
        </w:rPr>
        <w:t>r</w:t>
      </w:r>
      <w:r w:rsidRPr="00A54361">
        <w:rPr>
          <w:rFonts w:eastAsia="Times New Roman" w:cstheme="minorHAnsi"/>
          <w:spacing w:val="2"/>
        </w:rPr>
        <w:t>t</w:t>
      </w:r>
      <w:r w:rsidRPr="00A54361">
        <w:rPr>
          <w:rFonts w:eastAsia="Times New Roman" w:cstheme="minorHAnsi"/>
        </w:rPr>
        <w:t>n</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1"/>
        </w:rPr>
        <w:t>(</w:t>
      </w:r>
      <w:r w:rsidRPr="00A54361">
        <w:rPr>
          <w:rFonts w:eastAsia="Times New Roman" w:cstheme="minorHAnsi"/>
        </w:rPr>
        <w:t xml:space="preserve">s), </w:t>
      </w:r>
      <w:r w:rsidRPr="00A54361">
        <w:rPr>
          <w:rFonts w:eastAsia="Times New Roman" w:cstheme="minorHAnsi"/>
          <w:spacing w:val="2"/>
        </w:rPr>
        <w:t>M</w:t>
      </w:r>
      <w:r w:rsidRPr="00A54361">
        <w:rPr>
          <w:rFonts w:eastAsia="Times New Roman" w:cstheme="minorHAnsi"/>
          <w:spacing w:val="-1"/>
        </w:rPr>
        <w:t>a</w:t>
      </w:r>
      <w:r w:rsidRPr="00A54361">
        <w:rPr>
          <w:rFonts w:eastAsia="Times New Roman" w:cstheme="minorHAnsi"/>
        </w:rPr>
        <w:t>n</w:t>
      </w:r>
      <w:r w:rsidRPr="00A54361">
        <w:rPr>
          <w:rFonts w:eastAsia="Times New Roman" w:cstheme="minorHAnsi"/>
          <w:spacing w:val="1"/>
        </w:rPr>
        <w:t>a</w:t>
      </w:r>
      <w:r w:rsidRPr="00A54361">
        <w:rPr>
          <w:rFonts w:eastAsia="Times New Roman" w:cstheme="minorHAnsi"/>
          <w:spacing w:val="-2"/>
        </w:rPr>
        <w:t>g</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1"/>
        </w:rPr>
        <w:t>(</w:t>
      </w:r>
      <w:r w:rsidRPr="00A54361">
        <w:rPr>
          <w:rFonts w:eastAsia="Times New Roman" w:cstheme="minorHAnsi"/>
        </w:rPr>
        <w:t>s) or</w:t>
      </w:r>
      <w:r w:rsidRPr="00A54361">
        <w:rPr>
          <w:rFonts w:eastAsia="Times New Roman" w:cstheme="minorHAnsi"/>
          <w:spacing w:val="-1"/>
        </w:rPr>
        <w:t xml:space="preserve"> </w:t>
      </w:r>
      <w:r w:rsidRPr="00A54361">
        <w:rPr>
          <w:rFonts w:eastAsia="Times New Roman" w:cstheme="minorHAnsi"/>
          <w:spacing w:val="3"/>
        </w:rPr>
        <w:t>R</w:t>
      </w:r>
      <w:r w:rsidRPr="00A54361">
        <w:rPr>
          <w:rFonts w:eastAsia="Times New Roman" w:cstheme="minorHAnsi"/>
          <w:spacing w:val="1"/>
        </w:rPr>
        <w:t>e</w:t>
      </w:r>
      <w:r w:rsidRPr="00A54361">
        <w:rPr>
          <w:rFonts w:eastAsia="Times New Roman" w:cstheme="minorHAnsi"/>
        </w:rPr>
        <w:t>pr</w:t>
      </w:r>
      <w:r w:rsidRPr="00A54361">
        <w:rPr>
          <w:rFonts w:eastAsia="Times New Roman" w:cstheme="minorHAnsi"/>
          <w:spacing w:val="-2"/>
        </w:rPr>
        <w:t>e</w:t>
      </w:r>
      <w:r w:rsidRPr="00A54361">
        <w:rPr>
          <w:rFonts w:eastAsia="Times New Roman" w:cstheme="minorHAnsi"/>
        </w:rPr>
        <w:t>s</w:t>
      </w:r>
      <w:r w:rsidRPr="00A54361">
        <w:rPr>
          <w:rFonts w:eastAsia="Times New Roman" w:cstheme="minorHAnsi"/>
          <w:spacing w:val="-1"/>
        </w:rPr>
        <w:t>e</w:t>
      </w:r>
      <w:r w:rsidRPr="00A54361">
        <w:rPr>
          <w:rFonts w:eastAsia="Times New Roman" w:cstheme="minorHAnsi"/>
        </w:rPr>
        <w:t>ntative</w:t>
      </w:r>
      <w:r w:rsidRPr="00A54361">
        <w:rPr>
          <w:rFonts w:eastAsia="Times New Roman" w:cstheme="minorHAnsi"/>
          <w:spacing w:val="-1"/>
        </w:rPr>
        <w:t>(</w:t>
      </w:r>
      <w:r w:rsidRPr="00A54361">
        <w:rPr>
          <w:rFonts w:eastAsia="Times New Roman" w:cstheme="minorHAnsi"/>
          <w:spacing w:val="2"/>
        </w:rPr>
        <w:t>s</w:t>
      </w:r>
      <w:r w:rsidRPr="00A54361">
        <w:rPr>
          <w:rFonts w:eastAsia="Times New Roman" w:cstheme="minorHAnsi"/>
        </w:rPr>
        <w:t xml:space="preserve">) </w:t>
      </w:r>
      <w:r w:rsidRPr="00A54361">
        <w:rPr>
          <w:rFonts w:eastAsia="Times New Roman" w:cstheme="minorHAnsi"/>
          <w:spacing w:val="-2"/>
        </w:rPr>
        <w:t>a</w:t>
      </w:r>
      <w:r w:rsidRPr="00A54361">
        <w:rPr>
          <w:rFonts w:eastAsia="Times New Roman" w:cstheme="minorHAnsi"/>
          <w:spacing w:val="1"/>
        </w:rPr>
        <w:t>r</w:t>
      </w:r>
      <w:r w:rsidRPr="00A54361">
        <w:rPr>
          <w:rFonts w:eastAsia="Times New Roman" w:cstheme="minorHAnsi"/>
        </w:rPr>
        <w:t>e</w:t>
      </w:r>
      <w:r w:rsidRPr="00A54361">
        <w:rPr>
          <w:rFonts w:eastAsia="Times New Roman" w:cstheme="minorHAnsi"/>
          <w:spacing w:val="-1"/>
        </w:rPr>
        <w:t xml:space="preserve"> c</w:t>
      </w:r>
      <w:r w:rsidRPr="00A54361">
        <w:rPr>
          <w:rFonts w:eastAsia="Times New Roman" w:cstheme="minorHAnsi"/>
        </w:rPr>
        <w:t>om</w:t>
      </w:r>
      <w:r w:rsidRPr="00A54361">
        <w:rPr>
          <w:rFonts w:eastAsia="Times New Roman" w:cstheme="minorHAnsi"/>
          <w:spacing w:val="3"/>
        </w:rPr>
        <w:t>m</w:t>
      </w:r>
      <w:r w:rsidRPr="00A54361">
        <w:rPr>
          <w:rFonts w:eastAsia="Times New Roman" w:cstheme="minorHAnsi"/>
        </w:rPr>
        <w:t>on;</w:t>
      </w:r>
    </w:p>
    <w:p w14:paraId="67BC5D8B" w14:textId="77777777" w:rsidR="0054549F" w:rsidRPr="00A54361" w:rsidRDefault="0054549F" w:rsidP="00A54361">
      <w:pPr>
        <w:ind w:right="6232" w:hanging="142"/>
        <w:jc w:val="both"/>
        <w:rPr>
          <w:rFonts w:cstheme="minorHAnsi"/>
        </w:rPr>
      </w:pPr>
      <w:r w:rsidRPr="00A54361">
        <w:rPr>
          <w:rFonts w:eastAsia="Times New Roman" w:cstheme="minorHAnsi"/>
          <w:spacing w:val="-1"/>
        </w:rPr>
        <w:t>c</w:t>
      </w:r>
      <w:r w:rsidRPr="00A54361">
        <w:rPr>
          <w:rFonts w:eastAsia="Times New Roman" w:cstheme="minorHAnsi"/>
        </w:rPr>
        <w:t>)</w:t>
      </w:r>
      <w:r w:rsidRPr="00A54361">
        <w:rPr>
          <w:rFonts w:eastAsia="Times New Roman" w:cstheme="minorHAnsi"/>
          <w:spacing w:val="1"/>
        </w:rPr>
        <w:t xml:space="preserve"> </w:t>
      </w:r>
      <w:r w:rsidRPr="00A54361">
        <w:rPr>
          <w:rFonts w:eastAsia="Times New Roman" w:cstheme="minorHAnsi"/>
          <w:spacing w:val="-3"/>
        </w:rPr>
        <w:t>I</w:t>
      </w:r>
      <w:r w:rsidRPr="00A54361">
        <w:rPr>
          <w:rFonts w:eastAsia="Times New Roman" w:cstheme="minorHAnsi"/>
        </w:rPr>
        <w:t>f m</w:t>
      </w:r>
      <w:r w:rsidRPr="00A54361">
        <w:rPr>
          <w:rFonts w:eastAsia="Times New Roman" w:cstheme="minorHAnsi"/>
          <w:spacing w:val="-1"/>
        </w:rPr>
        <w:t>a</w:t>
      </w:r>
      <w:r w:rsidRPr="00A54361">
        <w:rPr>
          <w:rFonts w:eastAsia="Times New Roman" w:cstheme="minorHAnsi"/>
          <w:spacing w:val="2"/>
        </w:rPr>
        <w:t>n</w:t>
      </w:r>
      <w:r w:rsidRPr="00A54361">
        <w:rPr>
          <w:rFonts w:eastAsia="Times New Roman" w:cstheme="minorHAnsi"/>
          <w:spacing w:val="1"/>
        </w:rPr>
        <w:t>a</w:t>
      </w:r>
      <w:r w:rsidRPr="00A54361">
        <w:rPr>
          <w:rFonts w:eastAsia="Times New Roman" w:cstheme="minorHAnsi"/>
          <w:spacing w:val="-2"/>
        </w:rPr>
        <w:t>g</w:t>
      </w:r>
      <w:r w:rsidRPr="00A54361">
        <w:rPr>
          <w:rFonts w:eastAsia="Times New Roman" w:cstheme="minorHAnsi"/>
          <w:spacing w:val="-1"/>
        </w:rPr>
        <w:t>e</w:t>
      </w:r>
      <w:r w:rsidRPr="00A54361">
        <w:rPr>
          <w:rFonts w:eastAsia="Times New Roman" w:cstheme="minorHAnsi"/>
        </w:rPr>
        <w:t xml:space="preserve">ment is </w:t>
      </w:r>
      <w:r w:rsidRPr="00A54361">
        <w:rPr>
          <w:rFonts w:eastAsia="Times New Roman" w:cstheme="minorHAnsi"/>
          <w:spacing w:val="-1"/>
        </w:rPr>
        <w:t>c</w:t>
      </w:r>
      <w:r w:rsidRPr="00A54361">
        <w:rPr>
          <w:rFonts w:eastAsia="Times New Roman" w:cstheme="minorHAnsi"/>
        </w:rPr>
        <w:t>o</w:t>
      </w:r>
      <w:r w:rsidRPr="00A54361">
        <w:rPr>
          <w:rFonts w:eastAsia="Times New Roman" w:cstheme="minorHAnsi"/>
          <w:spacing w:val="3"/>
        </w:rPr>
        <w:t>m</w:t>
      </w:r>
      <w:r w:rsidRPr="00A54361">
        <w:rPr>
          <w:rFonts w:eastAsia="Times New Roman" w:cstheme="minorHAnsi"/>
        </w:rPr>
        <w:t>mon;</w:t>
      </w:r>
    </w:p>
    <w:p w14:paraId="405D9742" w14:textId="77777777" w:rsidR="0054549F" w:rsidRPr="00A54361" w:rsidRDefault="0054549F" w:rsidP="00A54361">
      <w:pPr>
        <w:ind w:right="4218" w:hanging="142"/>
        <w:jc w:val="both"/>
        <w:rPr>
          <w:rFonts w:cstheme="minorHAnsi"/>
        </w:rPr>
      </w:pPr>
      <w:r w:rsidRPr="00A54361">
        <w:rPr>
          <w:rFonts w:eastAsia="Times New Roman" w:cstheme="minorHAnsi"/>
        </w:rPr>
        <w:t>d)</w:t>
      </w:r>
      <w:r w:rsidRPr="00A54361">
        <w:rPr>
          <w:rFonts w:eastAsia="Times New Roman" w:cstheme="minorHAnsi"/>
          <w:spacing w:val="1"/>
        </w:rPr>
        <w:t xml:space="preserve"> </w:t>
      </w:r>
      <w:r w:rsidRPr="00A54361">
        <w:rPr>
          <w:rFonts w:eastAsia="Times New Roman" w:cstheme="minorHAnsi"/>
          <w:spacing w:val="-3"/>
        </w:rPr>
        <w:t>I</w:t>
      </w:r>
      <w:r w:rsidRPr="00A54361">
        <w:rPr>
          <w:rFonts w:eastAsia="Times New Roman" w:cstheme="minorHAnsi"/>
        </w:rPr>
        <w:t>f one</w:t>
      </w:r>
      <w:r w:rsidRPr="00A54361">
        <w:rPr>
          <w:rFonts w:eastAsia="Times New Roman" w:cstheme="minorHAnsi"/>
          <w:spacing w:val="-2"/>
        </w:rPr>
        <w:t xml:space="preserve"> </w:t>
      </w:r>
      <w:r w:rsidRPr="00A54361">
        <w:rPr>
          <w:rFonts w:eastAsia="Times New Roman" w:cstheme="minorHAnsi"/>
          <w:spacing w:val="2"/>
        </w:rPr>
        <w:t>o</w:t>
      </w:r>
      <w:r w:rsidRPr="00A54361">
        <w:rPr>
          <w:rFonts w:eastAsia="Times New Roman" w:cstheme="minorHAnsi"/>
        </w:rPr>
        <w:t>wns or</w:t>
      </w:r>
      <w:r w:rsidRPr="00A54361">
        <w:rPr>
          <w:rFonts w:eastAsia="Times New Roman" w:cstheme="minorHAnsi"/>
          <w:spacing w:val="-1"/>
        </w:rPr>
        <w:t xml:space="preserve"> c</w:t>
      </w:r>
      <w:r w:rsidRPr="00A54361">
        <w:rPr>
          <w:rFonts w:eastAsia="Times New Roman" w:cstheme="minorHAnsi"/>
        </w:rPr>
        <w:t>ontro</w:t>
      </w:r>
      <w:r w:rsidRPr="00A54361">
        <w:rPr>
          <w:rFonts w:eastAsia="Times New Roman" w:cstheme="minorHAnsi"/>
          <w:spacing w:val="2"/>
        </w:rPr>
        <w:t>l</w:t>
      </w:r>
      <w:r w:rsidRPr="00A54361">
        <w:rPr>
          <w:rFonts w:eastAsia="Times New Roman" w:cstheme="minorHAnsi"/>
        </w:rPr>
        <w:t>s the oth</w:t>
      </w:r>
      <w:r w:rsidRPr="00A54361">
        <w:rPr>
          <w:rFonts w:eastAsia="Times New Roman" w:cstheme="minorHAnsi"/>
          <w:spacing w:val="-1"/>
        </w:rPr>
        <w:t>e</w:t>
      </w:r>
      <w:r w:rsidRPr="00A54361">
        <w:rPr>
          <w:rFonts w:eastAsia="Times New Roman" w:cstheme="minorHAnsi"/>
        </w:rPr>
        <w:t xml:space="preserve">r in </w:t>
      </w:r>
      <w:r w:rsidRPr="00A54361">
        <w:rPr>
          <w:rFonts w:eastAsia="Times New Roman" w:cstheme="minorHAnsi"/>
          <w:spacing w:val="-1"/>
        </w:rPr>
        <w:t>a</w:t>
      </w:r>
      <w:r w:rsidRPr="00A54361">
        <w:rPr>
          <w:rFonts w:eastAsia="Times New Roman" w:cstheme="minorHAnsi"/>
          <w:spacing w:val="5"/>
        </w:rPr>
        <w:t>n</w:t>
      </w:r>
      <w:r w:rsidRPr="00A54361">
        <w:rPr>
          <w:rFonts w:eastAsia="Times New Roman" w:cstheme="minorHAnsi"/>
        </w:rPr>
        <w:t>y</w:t>
      </w:r>
      <w:r w:rsidRPr="00A54361">
        <w:rPr>
          <w:rFonts w:eastAsia="Times New Roman" w:cstheme="minorHAnsi"/>
          <w:spacing w:val="-5"/>
        </w:rPr>
        <w:t xml:space="preserve"> </w:t>
      </w:r>
      <w:r w:rsidRPr="00A54361">
        <w:rPr>
          <w:rFonts w:eastAsia="Times New Roman" w:cstheme="minorHAnsi"/>
        </w:rPr>
        <w:t>mann</w:t>
      </w:r>
      <w:r w:rsidRPr="00A54361">
        <w:rPr>
          <w:rFonts w:eastAsia="Times New Roman" w:cstheme="minorHAnsi"/>
          <w:spacing w:val="1"/>
        </w:rPr>
        <w:t>er</w:t>
      </w:r>
      <w:r w:rsidRPr="00A54361">
        <w:rPr>
          <w:rFonts w:eastAsia="Times New Roman" w:cstheme="minorHAnsi"/>
        </w:rPr>
        <w:t>;</w:t>
      </w:r>
    </w:p>
    <w:p w14:paraId="61808FD3" w14:textId="77777777" w:rsidR="0054549F" w:rsidRPr="00A54361" w:rsidRDefault="0054549F" w:rsidP="00A54361">
      <w:pPr>
        <w:ind w:right="1509" w:hanging="142"/>
        <w:jc w:val="both"/>
        <w:rPr>
          <w:rFonts w:cstheme="minorHAnsi"/>
        </w:rPr>
      </w:pPr>
      <w:r w:rsidRPr="00A54361">
        <w:rPr>
          <w:rFonts w:eastAsia="Times New Roman" w:cstheme="minorHAnsi"/>
        </w:rPr>
        <w:t>i</w:t>
      </w:r>
      <w:r w:rsidRPr="00A54361">
        <w:rPr>
          <w:rFonts w:eastAsia="Times New Roman" w:cstheme="minorHAnsi"/>
          <w:spacing w:val="1"/>
        </w:rPr>
        <w:t>i</w:t>
      </w:r>
      <w:r w:rsidRPr="00A54361">
        <w:rPr>
          <w:rFonts w:eastAsia="Times New Roman" w:cstheme="minorHAnsi"/>
        </w:rPr>
        <w:t xml:space="preserve">i) </w:t>
      </w:r>
      <w:r w:rsidRPr="00A54361">
        <w:rPr>
          <w:rFonts w:eastAsia="Times New Roman" w:cstheme="minorHAnsi"/>
          <w:spacing w:val="-1"/>
        </w:rPr>
        <w:t>‘</w:t>
      </w:r>
      <w:r w:rsidRPr="00A54361">
        <w:rPr>
          <w:rFonts w:eastAsia="Times New Roman" w:cstheme="minorHAnsi"/>
        </w:rPr>
        <w:t>Compet</w:t>
      </w:r>
      <w:r w:rsidRPr="00A54361">
        <w:rPr>
          <w:rFonts w:eastAsia="Times New Roman" w:cstheme="minorHAnsi"/>
          <w:spacing w:val="-1"/>
        </w:rPr>
        <w:t>e</w:t>
      </w:r>
      <w:r w:rsidRPr="00A54361">
        <w:rPr>
          <w:rFonts w:eastAsia="Times New Roman" w:cstheme="minorHAnsi"/>
        </w:rPr>
        <w:t>nt Authorit</w:t>
      </w:r>
      <w:r w:rsidRPr="00A54361">
        <w:rPr>
          <w:rFonts w:eastAsia="Times New Roman" w:cstheme="minorHAnsi"/>
          <w:spacing w:val="-4"/>
        </w:rPr>
        <w:t>y</w:t>
      </w:r>
      <w:r w:rsidRPr="00A54361">
        <w:rPr>
          <w:rFonts w:eastAsia="Times New Roman" w:cstheme="minorHAnsi"/>
        </w:rPr>
        <w:t>’</w:t>
      </w:r>
      <w:r w:rsidRPr="00A54361">
        <w:rPr>
          <w:rFonts w:eastAsia="Times New Roman" w:cstheme="minorHAnsi"/>
          <w:spacing w:val="4"/>
        </w:rPr>
        <w:t xml:space="preserve"> </w:t>
      </w:r>
      <w:r w:rsidRPr="00A54361">
        <w:rPr>
          <w:rFonts w:eastAsia="Times New Roman" w:cstheme="minorHAnsi"/>
          <w:spacing w:val="-1"/>
        </w:rPr>
        <w:t>a</w:t>
      </w:r>
      <w:r w:rsidRPr="00A54361">
        <w:rPr>
          <w:rFonts w:eastAsia="Times New Roman" w:cstheme="minorHAnsi"/>
        </w:rPr>
        <w:t>nd ‘</w:t>
      </w:r>
      <w:r w:rsidRPr="00A54361">
        <w:rPr>
          <w:rFonts w:eastAsia="Times New Roman" w:cstheme="minorHAnsi"/>
          <w:spacing w:val="-1"/>
        </w:rPr>
        <w:t>A</w:t>
      </w:r>
      <w:r w:rsidRPr="00A54361">
        <w:rPr>
          <w:rFonts w:eastAsia="Times New Roman" w:cstheme="minorHAnsi"/>
        </w:rPr>
        <w:t>p</w:t>
      </w:r>
      <w:r w:rsidRPr="00A54361">
        <w:rPr>
          <w:rFonts w:eastAsia="Times New Roman" w:cstheme="minorHAnsi"/>
          <w:spacing w:val="2"/>
        </w:rPr>
        <w:t>p</w:t>
      </w:r>
      <w:r w:rsidRPr="00A54361">
        <w:rPr>
          <w:rFonts w:eastAsia="Times New Roman" w:cstheme="minorHAnsi"/>
          <w:spacing w:val="-1"/>
        </w:rPr>
        <w:t>e</w:t>
      </w:r>
      <w:r w:rsidRPr="00A54361">
        <w:rPr>
          <w:rFonts w:eastAsia="Times New Roman" w:cstheme="minorHAnsi"/>
        </w:rPr>
        <w:t>l</w:t>
      </w:r>
      <w:r w:rsidRPr="00A54361">
        <w:rPr>
          <w:rFonts w:eastAsia="Times New Roman" w:cstheme="minorHAnsi"/>
          <w:spacing w:val="1"/>
        </w:rPr>
        <w:t>l</w:t>
      </w:r>
      <w:r w:rsidRPr="00A54361">
        <w:rPr>
          <w:rFonts w:eastAsia="Times New Roman" w:cstheme="minorHAnsi"/>
          <w:spacing w:val="-1"/>
        </w:rPr>
        <w:t>a</w:t>
      </w:r>
      <w:r w:rsidRPr="00A54361">
        <w:rPr>
          <w:rFonts w:eastAsia="Times New Roman" w:cstheme="minorHAnsi"/>
        </w:rPr>
        <w:t xml:space="preserve">te </w:t>
      </w:r>
      <w:r w:rsidRPr="00A54361">
        <w:rPr>
          <w:rFonts w:eastAsia="Times New Roman" w:cstheme="minorHAnsi"/>
          <w:spacing w:val="-1"/>
        </w:rPr>
        <w:t>A</w:t>
      </w:r>
      <w:r w:rsidRPr="00A54361">
        <w:rPr>
          <w:rFonts w:eastAsia="Times New Roman" w:cstheme="minorHAnsi"/>
        </w:rPr>
        <w:t>utho</w:t>
      </w:r>
      <w:r w:rsidRPr="00A54361">
        <w:rPr>
          <w:rFonts w:eastAsia="Times New Roman" w:cstheme="minorHAnsi"/>
          <w:spacing w:val="2"/>
        </w:rPr>
        <w:t>r</w:t>
      </w:r>
      <w:r w:rsidRPr="00A54361">
        <w:rPr>
          <w:rFonts w:eastAsia="Times New Roman" w:cstheme="minorHAnsi"/>
        </w:rPr>
        <w:t>i</w:t>
      </w:r>
      <w:r w:rsidRPr="00A54361">
        <w:rPr>
          <w:rFonts w:eastAsia="Times New Roman" w:cstheme="minorHAnsi"/>
          <w:spacing w:val="3"/>
        </w:rPr>
        <w:t>t</w:t>
      </w:r>
      <w:r w:rsidRPr="00A54361">
        <w:rPr>
          <w:rFonts w:eastAsia="Times New Roman" w:cstheme="minorHAnsi"/>
          <w:spacing w:val="-5"/>
        </w:rPr>
        <w:t>y</w:t>
      </w:r>
      <w:r w:rsidRPr="00A54361">
        <w:rPr>
          <w:rFonts w:eastAsia="Times New Roman" w:cstheme="minorHAnsi"/>
        </w:rPr>
        <w:t>’ sh</w:t>
      </w:r>
      <w:r w:rsidRPr="00A54361">
        <w:rPr>
          <w:rFonts w:eastAsia="Times New Roman" w:cstheme="minorHAnsi"/>
          <w:spacing w:val="-1"/>
        </w:rPr>
        <w:t>a</w:t>
      </w:r>
      <w:r w:rsidRPr="00A54361">
        <w:rPr>
          <w:rFonts w:eastAsia="Times New Roman" w:cstheme="minorHAnsi"/>
        </w:rPr>
        <w:t>ll</w:t>
      </w:r>
      <w:r w:rsidRPr="00A54361">
        <w:rPr>
          <w:rFonts w:eastAsia="Times New Roman" w:cstheme="minorHAnsi"/>
          <w:spacing w:val="1"/>
        </w:rPr>
        <w:t xml:space="preserve"> </w:t>
      </w:r>
      <w:r w:rsidRPr="00A54361">
        <w:rPr>
          <w:rFonts w:eastAsia="Times New Roman" w:cstheme="minorHAnsi"/>
        </w:rPr>
        <w:t>me</w:t>
      </w:r>
      <w:r w:rsidRPr="00A54361">
        <w:rPr>
          <w:rFonts w:eastAsia="Times New Roman" w:cstheme="minorHAnsi"/>
          <w:spacing w:val="-1"/>
        </w:rPr>
        <w:t>a</w:t>
      </w:r>
      <w:r w:rsidRPr="00A54361">
        <w:rPr>
          <w:rFonts w:eastAsia="Times New Roman" w:cstheme="minorHAnsi"/>
        </w:rPr>
        <w:t>n t</w:t>
      </w:r>
      <w:r w:rsidRPr="00A54361">
        <w:rPr>
          <w:rFonts w:eastAsia="Times New Roman" w:cstheme="minorHAnsi"/>
          <w:spacing w:val="3"/>
        </w:rPr>
        <w:t>h</w:t>
      </w:r>
      <w:r w:rsidRPr="00A54361">
        <w:rPr>
          <w:rFonts w:eastAsia="Times New Roman" w:cstheme="minorHAnsi"/>
        </w:rPr>
        <w:t>e</w:t>
      </w:r>
      <w:r w:rsidRPr="00A54361">
        <w:rPr>
          <w:rFonts w:eastAsia="Times New Roman" w:cstheme="minorHAnsi"/>
          <w:spacing w:val="-1"/>
        </w:rPr>
        <w:t xml:space="preserve"> </w:t>
      </w:r>
      <w:r w:rsidRPr="00A54361">
        <w:rPr>
          <w:rFonts w:eastAsia="Times New Roman" w:cstheme="minorHAnsi"/>
        </w:rPr>
        <w:t>followin</w:t>
      </w:r>
      <w:r w:rsidRPr="00A54361">
        <w:rPr>
          <w:rFonts w:eastAsia="Times New Roman" w:cstheme="minorHAnsi"/>
          <w:spacing w:val="-2"/>
        </w:rPr>
        <w:t>g</w:t>
      </w:r>
      <w:r w:rsidRPr="00A54361">
        <w:rPr>
          <w:rFonts w:eastAsia="Times New Roman" w:cstheme="minorHAnsi"/>
        </w:rPr>
        <w:t>:</w:t>
      </w:r>
    </w:p>
    <w:p w14:paraId="1C1A6B1F" w14:textId="52AF752A" w:rsidR="0054549F" w:rsidRPr="00A54361" w:rsidRDefault="0054549F" w:rsidP="00A54361">
      <w:pPr>
        <w:ind w:right="78"/>
        <w:jc w:val="both"/>
        <w:rPr>
          <w:rFonts w:cstheme="minorHAnsi"/>
        </w:rPr>
      </w:pPr>
      <w:r w:rsidRPr="00A54361">
        <w:rPr>
          <w:rFonts w:eastAsia="Times New Roman" w:cstheme="minorHAnsi"/>
          <w:spacing w:val="-1"/>
        </w:rPr>
        <w:t>a</w:t>
      </w:r>
      <w:r w:rsidRPr="00A54361">
        <w:rPr>
          <w:rFonts w:eastAsia="Times New Roman" w:cstheme="minorHAnsi"/>
        </w:rPr>
        <w:t>)</w:t>
      </w:r>
      <w:r w:rsidRPr="00A54361">
        <w:rPr>
          <w:rFonts w:eastAsia="Times New Roman" w:cstheme="minorHAnsi"/>
          <w:spacing w:val="2"/>
        </w:rPr>
        <w:t xml:space="preserve"> </w:t>
      </w:r>
      <w:r w:rsidRPr="00A54361">
        <w:rPr>
          <w:rFonts w:eastAsia="Times New Roman" w:cstheme="minorHAnsi"/>
          <w:spacing w:val="-1"/>
        </w:rPr>
        <w:t>F</w:t>
      </w:r>
      <w:r w:rsidRPr="00A54361">
        <w:rPr>
          <w:rFonts w:eastAsia="Times New Roman" w:cstheme="minorHAnsi"/>
        </w:rPr>
        <w:t>or</w:t>
      </w:r>
      <w:r w:rsidRPr="00A54361">
        <w:rPr>
          <w:rFonts w:eastAsia="Times New Roman" w:cstheme="minorHAnsi"/>
          <w:spacing w:val="5"/>
        </w:rPr>
        <w:t xml:space="preserve"> </w:t>
      </w:r>
      <w:r w:rsidRPr="00A54361">
        <w:rPr>
          <w:rFonts w:eastAsia="Times New Roman" w:cstheme="minorHAnsi"/>
          <w:spacing w:val="-2"/>
        </w:rPr>
        <w:t>B</w:t>
      </w:r>
      <w:r w:rsidRPr="00A54361">
        <w:rPr>
          <w:rFonts w:eastAsia="Times New Roman" w:cstheme="minorHAnsi"/>
          <w:spacing w:val="-1"/>
        </w:rPr>
        <w:t>a</w:t>
      </w:r>
      <w:r w:rsidRPr="00A54361">
        <w:rPr>
          <w:rFonts w:eastAsia="Times New Roman" w:cstheme="minorHAnsi"/>
        </w:rPr>
        <w:t>nk</w:t>
      </w:r>
      <w:r w:rsidRPr="00A54361">
        <w:rPr>
          <w:rFonts w:eastAsia="Times New Roman" w:cstheme="minorHAnsi"/>
          <w:spacing w:val="5"/>
        </w:rPr>
        <w:t xml:space="preserve"> </w:t>
      </w:r>
      <w:r w:rsidRPr="00A54361">
        <w:rPr>
          <w:rFonts w:eastAsia="Times New Roman" w:cstheme="minorHAnsi"/>
        </w:rPr>
        <w:t>(</w:t>
      </w:r>
      <w:r w:rsidRPr="00A54361">
        <w:rPr>
          <w:rFonts w:eastAsia="Times New Roman" w:cstheme="minorHAnsi"/>
          <w:spacing w:val="-2"/>
        </w:rPr>
        <w:t>e</w:t>
      </w:r>
      <w:r w:rsidRPr="00A54361">
        <w:rPr>
          <w:rFonts w:eastAsia="Times New Roman" w:cstheme="minorHAnsi"/>
        </w:rPr>
        <w:t>nt</w:t>
      </w:r>
      <w:r w:rsidRPr="00A54361">
        <w:rPr>
          <w:rFonts w:eastAsia="Times New Roman" w:cstheme="minorHAnsi"/>
          <w:spacing w:val="1"/>
        </w:rPr>
        <w:t>i</w:t>
      </w:r>
      <w:r w:rsidRPr="00A54361">
        <w:rPr>
          <w:rFonts w:eastAsia="Times New Roman" w:cstheme="minorHAnsi"/>
        </w:rPr>
        <w:t>re</w:t>
      </w:r>
      <w:r w:rsidRPr="00A54361">
        <w:rPr>
          <w:rFonts w:eastAsia="Times New Roman" w:cstheme="minorHAnsi"/>
          <w:spacing w:val="1"/>
        </w:rPr>
        <w:t xml:space="preserve"> </w:t>
      </w:r>
      <w:r w:rsidRPr="00A54361">
        <w:rPr>
          <w:rFonts w:eastAsia="Times New Roman" w:cstheme="minorHAnsi"/>
        </w:rPr>
        <w:t>CE</w:t>
      </w:r>
      <w:r w:rsidRPr="00A54361">
        <w:rPr>
          <w:rFonts w:eastAsia="Times New Roman" w:cstheme="minorHAnsi"/>
          <w:spacing w:val="1"/>
        </w:rPr>
        <w:t>N</w:t>
      </w:r>
      <w:r w:rsidRPr="00A54361">
        <w:rPr>
          <w:rFonts w:eastAsia="Times New Roman" w:cstheme="minorHAnsi"/>
        </w:rPr>
        <w:t>TR</w:t>
      </w:r>
      <w:r w:rsidRPr="00A54361">
        <w:rPr>
          <w:rFonts w:eastAsia="Times New Roman" w:cstheme="minorHAnsi"/>
          <w:spacing w:val="2"/>
        </w:rPr>
        <w:t>A</w:t>
      </w:r>
      <w:r w:rsidRPr="00A54361">
        <w:rPr>
          <w:rFonts w:eastAsia="Times New Roman" w:cstheme="minorHAnsi"/>
        </w:rPr>
        <w:t xml:space="preserve">L </w:t>
      </w:r>
      <w:r w:rsidRPr="00A54361">
        <w:rPr>
          <w:rFonts w:eastAsia="Times New Roman" w:cstheme="minorHAnsi"/>
          <w:spacing w:val="-2"/>
        </w:rPr>
        <w:t>B</w:t>
      </w:r>
      <w:r w:rsidRPr="00A54361">
        <w:rPr>
          <w:rFonts w:eastAsia="Times New Roman" w:cstheme="minorHAnsi"/>
        </w:rPr>
        <w:t>A</w:t>
      </w:r>
      <w:r w:rsidRPr="00A54361">
        <w:rPr>
          <w:rFonts w:eastAsia="Times New Roman" w:cstheme="minorHAnsi"/>
          <w:spacing w:val="-1"/>
        </w:rPr>
        <w:t>N</w:t>
      </w:r>
      <w:r w:rsidRPr="00A54361">
        <w:rPr>
          <w:rFonts w:eastAsia="Times New Roman" w:cstheme="minorHAnsi"/>
        </w:rPr>
        <w:t>K</w:t>
      </w:r>
      <w:r w:rsidRPr="00A54361">
        <w:rPr>
          <w:rFonts w:eastAsia="Times New Roman" w:cstheme="minorHAnsi"/>
          <w:spacing w:val="2"/>
        </w:rPr>
        <w:t xml:space="preserve"> O</w:t>
      </w:r>
      <w:r w:rsidRPr="00A54361">
        <w:rPr>
          <w:rFonts w:eastAsia="Times New Roman" w:cstheme="minorHAnsi"/>
        </w:rPr>
        <w:t>F</w:t>
      </w:r>
      <w:r w:rsidRPr="00A54361">
        <w:rPr>
          <w:rFonts w:eastAsia="Times New Roman" w:cstheme="minorHAnsi"/>
          <w:spacing w:val="4"/>
        </w:rPr>
        <w:t xml:space="preserve"> </w:t>
      </w:r>
      <w:r w:rsidRPr="00A54361">
        <w:rPr>
          <w:rFonts w:eastAsia="Times New Roman" w:cstheme="minorHAnsi"/>
          <w:spacing w:val="-3"/>
        </w:rPr>
        <w:t>I</w:t>
      </w:r>
      <w:r w:rsidRPr="00A54361">
        <w:rPr>
          <w:rFonts w:eastAsia="Times New Roman" w:cstheme="minorHAnsi"/>
          <w:spacing w:val="2"/>
        </w:rPr>
        <w:t>ND</w:t>
      </w:r>
      <w:r w:rsidRPr="00A54361">
        <w:rPr>
          <w:rFonts w:eastAsia="Times New Roman" w:cstheme="minorHAnsi"/>
        </w:rPr>
        <w:t>I</w:t>
      </w:r>
      <w:r w:rsidRPr="00A54361">
        <w:rPr>
          <w:rFonts w:eastAsia="Times New Roman" w:cstheme="minorHAnsi"/>
          <w:spacing w:val="-1"/>
        </w:rPr>
        <w:t>A</w:t>
      </w:r>
      <w:r w:rsidRPr="00A54361">
        <w:rPr>
          <w:rFonts w:eastAsia="Times New Roman" w:cstheme="minorHAnsi"/>
        </w:rPr>
        <w:t>)</w:t>
      </w:r>
      <w:r w:rsidRPr="00A54361">
        <w:rPr>
          <w:rFonts w:eastAsia="Times New Roman" w:cstheme="minorHAnsi"/>
          <w:spacing w:val="2"/>
        </w:rPr>
        <w:t xml:space="preserve"> </w:t>
      </w:r>
      <w:r w:rsidRPr="00A54361">
        <w:rPr>
          <w:rFonts w:eastAsia="Times New Roman" w:cstheme="minorHAnsi"/>
        </w:rPr>
        <w:t>wide</w:t>
      </w:r>
      <w:r w:rsidRPr="00A54361">
        <w:rPr>
          <w:rFonts w:eastAsia="Times New Roman" w:cstheme="minorHAnsi"/>
          <w:spacing w:val="2"/>
        </w:rPr>
        <w:t xml:space="preserve"> </w:t>
      </w:r>
      <w:r w:rsidRPr="00A54361">
        <w:rPr>
          <w:rFonts w:eastAsia="Times New Roman" w:cstheme="minorHAnsi"/>
        </w:rPr>
        <w:t>B</w:t>
      </w:r>
      <w:r w:rsidRPr="00A54361">
        <w:rPr>
          <w:rFonts w:eastAsia="Times New Roman" w:cstheme="minorHAnsi"/>
          <w:spacing w:val="-1"/>
        </w:rPr>
        <w:t>a</w:t>
      </w:r>
      <w:r w:rsidRPr="00A54361">
        <w:rPr>
          <w:rFonts w:eastAsia="Times New Roman" w:cstheme="minorHAnsi"/>
        </w:rPr>
        <w:t>nni</w:t>
      </w:r>
      <w:r w:rsidRPr="00A54361">
        <w:rPr>
          <w:rFonts w:eastAsia="Times New Roman" w:cstheme="minorHAnsi"/>
          <w:spacing w:val="3"/>
        </w:rPr>
        <w:t>n</w:t>
      </w:r>
      <w:r w:rsidRPr="00A54361">
        <w:rPr>
          <w:rFonts w:eastAsia="Times New Roman" w:cstheme="minorHAnsi"/>
        </w:rPr>
        <w:t>g</w:t>
      </w:r>
      <w:r w:rsidRPr="00A54361">
        <w:rPr>
          <w:rFonts w:eastAsia="Times New Roman" w:cstheme="minorHAnsi"/>
          <w:spacing w:val="1"/>
        </w:rPr>
        <w:t xml:space="preserve"> </w:t>
      </w:r>
      <w:r w:rsidRPr="00A54361">
        <w:rPr>
          <w:rFonts w:eastAsia="Times New Roman" w:cstheme="minorHAnsi"/>
        </w:rPr>
        <w:t>E</w:t>
      </w:r>
      <w:r w:rsidRPr="00A54361">
        <w:rPr>
          <w:rFonts w:eastAsia="Times New Roman" w:cstheme="minorHAnsi"/>
          <w:spacing w:val="2"/>
        </w:rPr>
        <w:t>x</w:t>
      </w:r>
      <w:r w:rsidRPr="00A54361">
        <w:rPr>
          <w:rFonts w:eastAsia="Times New Roman" w:cstheme="minorHAnsi"/>
          <w:spacing w:val="-1"/>
        </w:rPr>
        <w:t>ec</w:t>
      </w:r>
      <w:r w:rsidRPr="00A54361">
        <w:rPr>
          <w:rFonts w:eastAsia="Times New Roman" w:cstheme="minorHAnsi"/>
        </w:rPr>
        <w:t>ut</w:t>
      </w:r>
      <w:r w:rsidRPr="00A54361">
        <w:rPr>
          <w:rFonts w:eastAsia="Times New Roman" w:cstheme="minorHAnsi"/>
          <w:spacing w:val="7"/>
        </w:rPr>
        <w:t>i</w:t>
      </w:r>
      <w:r w:rsidRPr="00A54361">
        <w:rPr>
          <w:rFonts w:eastAsia="Times New Roman" w:cstheme="minorHAnsi"/>
        </w:rPr>
        <w:t>ve</w:t>
      </w:r>
      <w:r w:rsidRPr="00A54361">
        <w:rPr>
          <w:rFonts w:eastAsia="Times New Roman" w:cstheme="minorHAnsi"/>
          <w:spacing w:val="2"/>
        </w:rPr>
        <w:t xml:space="preserve"> </w:t>
      </w:r>
      <w:r w:rsidRPr="00A54361">
        <w:rPr>
          <w:rFonts w:eastAsia="Times New Roman" w:cstheme="minorHAnsi"/>
        </w:rPr>
        <w:t>Dir</w:t>
      </w:r>
      <w:r w:rsidRPr="00A54361">
        <w:rPr>
          <w:rFonts w:eastAsia="Times New Roman" w:cstheme="minorHAnsi"/>
          <w:spacing w:val="-2"/>
        </w:rPr>
        <w:t>e</w:t>
      </w:r>
      <w:r w:rsidRPr="00A54361">
        <w:rPr>
          <w:rFonts w:eastAsia="Times New Roman" w:cstheme="minorHAnsi"/>
          <w:spacing w:val="-1"/>
        </w:rPr>
        <w:t>c</w:t>
      </w:r>
      <w:r w:rsidRPr="00A54361">
        <w:rPr>
          <w:rFonts w:eastAsia="Times New Roman" w:cstheme="minorHAnsi"/>
        </w:rPr>
        <w:t>tor</w:t>
      </w:r>
      <w:r w:rsidRPr="00A54361">
        <w:rPr>
          <w:rFonts w:eastAsia="Times New Roman" w:cstheme="minorHAnsi"/>
          <w:spacing w:val="3"/>
        </w:rPr>
        <w:t xml:space="preserve"> </w:t>
      </w:r>
      <w:r w:rsidRPr="00A54361">
        <w:rPr>
          <w:rFonts w:eastAsia="Times New Roman" w:cstheme="minorHAnsi"/>
          <w:spacing w:val="1"/>
        </w:rPr>
        <w:t>(</w:t>
      </w:r>
      <w:r w:rsidR="00917777" w:rsidRPr="00A54361">
        <w:rPr>
          <w:rFonts w:eastAsia="Times New Roman" w:cstheme="minorHAnsi"/>
        </w:rPr>
        <w:t>BSD</w:t>
      </w:r>
      <w:r w:rsidRPr="00A54361">
        <w:rPr>
          <w:rFonts w:eastAsia="Times New Roman" w:cstheme="minorHAnsi"/>
        </w:rPr>
        <w:t>) sh</w:t>
      </w:r>
      <w:r w:rsidRPr="00A54361">
        <w:rPr>
          <w:rFonts w:eastAsia="Times New Roman" w:cstheme="minorHAnsi"/>
          <w:spacing w:val="-1"/>
        </w:rPr>
        <w:t>a</w:t>
      </w:r>
      <w:r w:rsidRPr="00A54361">
        <w:rPr>
          <w:rFonts w:eastAsia="Times New Roman" w:cstheme="minorHAnsi"/>
        </w:rPr>
        <w:t>ll</w:t>
      </w:r>
      <w:r w:rsidRPr="00A54361">
        <w:rPr>
          <w:rFonts w:eastAsia="Times New Roman" w:cstheme="minorHAnsi"/>
          <w:spacing w:val="-6"/>
        </w:rPr>
        <w:t xml:space="preserve"> </w:t>
      </w:r>
      <w:r w:rsidRPr="00A54361">
        <w:rPr>
          <w:rFonts w:eastAsia="Times New Roman" w:cstheme="minorHAnsi"/>
        </w:rPr>
        <w:t>be</w:t>
      </w:r>
      <w:r w:rsidRPr="00A54361">
        <w:rPr>
          <w:rFonts w:eastAsia="Times New Roman" w:cstheme="minorHAnsi"/>
          <w:spacing w:val="-8"/>
        </w:rPr>
        <w:t xml:space="preserve"> </w:t>
      </w:r>
      <w:r w:rsidRPr="00A54361">
        <w:rPr>
          <w:rFonts w:eastAsia="Times New Roman" w:cstheme="minorHAnsi"/>
        </w:rPr>
        <w:t>the</w:t>
      </w:r>
      <w:r w:rsidRPr="00A54361">
        <w:rPr>
          <w:rFonts w:eastAsia="Times New Roman" w:cstheme="minorHAnsi"/>
          <w:spacing w:val="-8"/>
        </w:rPr>
        <w:t xml:space="preserve"> </w:t>
      </w:r>
      <w:r w:rsidRPr="00A54361">
        <w:rPr>
          <w:rFonts w:eastAsia="Times New Roman" w:cstheme="minorHAnsi"/>
          <w:spacing w:val="-1"/>
        </w:rPr>
        <w:t>“</w:t>
      </w:r>
      <w:r w:rsidRPr="00A54361">
        <w:rPr>
          <w:rFonts w:eastAsia="Times New Roman" w:cstheme="minorHAnsi"/>
        </w:rPr>
        <w:t>Compet</w:t>
      </w:r>
      <w:r w:rsidRPr="00A54361">
        <w:rPr>
          <w:rFonts w:eastAsia="Times New Roman" w:cstheme="minorHAnsi"/>
          <w:spacing w:val="-1"/>
        </w:rPr>
        <w:t>e</w:t>
      </w:r>
      <w:r w:rsidRPr="00A54361">
        <w:rPr>
          <w:rFonts w:eastAsia="Times New Roman" w:cstheme="minorHAnsi"/>
        </w:rPr>
        <w:t>nt</w:t>
      </w:r>
      <w:r w:rsidRPr="00A54361">
        <w:rPr>
          <w:rFonts w:eastAsia="Times New Roman" w:cstheme="minorHAnsi"/>
          <w:spacing w:val="-9"/>
        </w:rPr>
        <w:t xml:space="preserve"> </w:t>
      </w:r>
      <w:r w:rsidRPr="00A54361">
        <w:rPr>
          <w:rFonts w:eastAsia="Times New Roman" w:cstheme="minorHAnsi"/>
        </w:rPr>
        <w:t>Autho</w:t>
      </w:r>
      <w:r w:rsidRPr="00A54361">
        <w:rPr>
          <w:rFonts w:eastAsia="Times New Roman" w:cstheme="minorHAnsi"/>
          <w:spacing w:val="-1"/>
        </w:rPr>
        <w:t>r</w:t>
      </w:r>
      <w:r w:rsidRPr="00A54361">
        <w:rPr>
          <w:rFonts w:eastAsia="Times New Roman" w:cstheme="minorHAnsi"/>
        </w:rPr>
        <w:t>i</w:t>
      </w:r>
      <w:r w:rsidRPr="00A54361">
        <w:rPr>
          <w:rFonts w:eastAsia="Times New Roman" w:cstheme="minorHAnsi"/>
          <w:spacing w:val="3"/>
        </w:rPr>
        <w:t>t</w:t>
      </w:r>
      <w:r w:rsidRPr="00A54361">
        <w:rPr>
          <w:rFonts w:eastAsia="Times New Roman" w:cstheme="minorHAnsi"/>
          <w:spacing w:val="-5"/>
        </w:rPr>
        <w:t>y</w:t>
      </w:r>
      <w:r w:rsidRPr="00A54361">
        <w:rPr>
          <w:rFonts w:eastAsia="Times New Roman" w:cstheme="minorHAnsi"/>
        </w:rPr>
        <w:t>”</w:t>
      </w:r>
      <w:r w:rsidRPr="00A54361">
        <w:rPr>
          <w:rFonts w:eastAsia="Times New Roman" w:cstheme="minorHAnsi"/>
          <w:spacing w:val="-7"/>
        </w:rPr>
        <w:t xml:space="preserve"> </w:t>
      </w:r>
      <w:r w:rsidRPr="00A54361">
        <w:rPr>
          <w:rFonts w:eastAsia="Times New Roman" w:cstheme="minorHAnsi"/>
        </w:rPr>
        <w:t>f</w:t>
      </w:r>
      <w:r w:rsidRPr="00A54361">
        <w:rPr>
          <w:rFonts w:eastAsia="Times New Roman" w:cstheme="minorHAnsi"/>
          <w:spacing w:val="1"/>
        </w:rPr>
        <w:t>o</w:t>
      </w:r>
      <w:r w:rsidRPr="00A54361">
        <w:rPr>
          <w:rFonts w:eastAsia="Times New Roman" w:cstheme="minorHAnsi"/>
        </w:rPr>
        <w:t>r</w:t>
      </w:r>
      <w:r w:rsidRPr="00A54361">
        <w:rPr>
          <w:rFonts w:eastAsia="Times New Roman" w:cstheme="minorHAnsi"/>
          <w:spacing w:val="-8"/>
        </w:rPr>
        <w:t xml:space="preserve"> </w:t>
      </w:r>
      <w:r w:rsidRPr="00A54361">
        <w:rPr>
          <w:rFonts w:eastAsia="Times New Roman" w:cstheme="minorHAnsi"/>
        </w:rPr>
        <w:t>the</w:t>
      </w:r>
      <w:r w:rsidRPr="00A54361">
        <w:rPr>
          <w:rFonts w:eastAsia="Times New Roman" w:cstheme="minorHAnsi"/>
          <w:spacing w:val="-8"/>
        </w:rPr>
        <w:t xml:space="preserve"> </w:t>
      </w:r>
      <w:r w:rsidRPr="00A54361">
        <w:rPr>
          <w:rFonts w:eastAsia="Times New Roman" w:cstheme="minorHAnsi"/>
        </w:rPr>
        <w:t>purp</w:t>
      </w:r>
      <w:r w:rsidRPr="00A54361">
        <w:rPr>
          <w:rFonts w:eastAsia="Times New Roman" w:cstheme="minorHAnsi"/>
          <w:spacing w:val="-1"/>
        </w:rPr>
        <w:t>o</w:t>
      </w:r>
      <w:r w:rsidRPr="00A54361">
        <w:rPr>
          <w:rFonts w:eastAsia="Times New Roman" w:cstheme="minorHAnsi"/>
        </w:rPr>
        <w:t>se</w:t>
      </w:r>
      <w:r w:rsidRPr="00A54361">
        <w:rPr>
          <w:rFonts w:eastAsia="Times New Roman" w:cstheme="minorHAnsi"/>
          <w:spacing w:val="-8"/>
        </w:rPr>
        <w:t xml:space="preserve"> </w:t>
      </w:r>
      <w:r w:rsidRPr="00A54361">
        <w:rPr>
          <w:rFonts w:eastAsia="Times New Roman" w:cstheme="minorHAnsi"/>
        </w:rPr>
        <w:t>of</w:t>
      </w:r>
      <w:r w:rsidRPr="00A54361">
        <w:rPr>
          <w:rFonts w:eastAsia="Times New Roman" w:cstheme="minorHAnsi"/>
          <w:spacing w:val="-8"/>
        </w:rPr>
        <w:t xml:space="preserve"> </w:t>
      </w:r>
      <w:r w:rsidRPr="00A54361">
        <w:rPr>
          <w:rFonts w:eastAsia="Times New Roman" w:cstheme="minorHAnsi"/>
        </w:rPr>
        <w:t>these</w:t>
      </w:r>
      <w:r w:rsidRPr="00A54361">
        <w:rPr>
          <w:rFonts w:eastAsia="Times New Roman" w:cstheme="minorHAnsi"/>
          <w:spacing w:val="-8"/>
        </w:rPr>
        <w:t xml:space="preserve"> </w:t>
      </w:r>
      <w:r w:rsidRPr="00A54361">
        <w:rPr>
          <w:rFonts w:eastAsia="Times New Roman" w:cstheme="minorHAnsi"/>
          <w:spacing w:val="-2"/>
        </w:rPr>
        <w:t>g</w:t>
      </w:r>
      <w:r w:rsidRPr="00A54361">
        <w:rPr>
          <w:rFonts w:eastAsia="Times New Roman" w:cstheme="minorHAnsi"/>
        </w:rPr>
        <w:t>uidelines.</w:t>
      </w:r>
      <w:r w:rsidRPr="00A54361">
        <w:rPr>
          <w:rFonts w:eastAsia="Times New Roman" w:cstheme="minorHAnsi"/>
          <w:spacing w:val="-7"/>
        </w:rPr>
        <w:t xml:space="preserve"> </w:t>
      </w:r>
      <w:r w:rsidRPr="00A54361">
        <w:rPr>
          <w:rFonts w:eastAsia="Times New Roman" w:cstheme="minorHAnsi"/>
        </w:rPr>
        <w:t>Ch</w:t>
      </w:r>
      <w:r w:rsidRPr="00A54361">
        <w:rPr>
          <w:rFonts w:eastAsia="Times New Roman" w:cstheme="minorHAnsi"/>
          <w:spacing w:val="1"/>
        </w:rPr>
        <w:t>a</w:t>
      </w:r>
      <w:r w:rsidRPr="00A54361">
        <w:rPr>
          <w:rFonts w:eastAsia="Times New Roman" w:cstheme="minorHAnsi"/>
        </w:rPr>
        <w:t>irm</w:t>
      </w:r>
      <w:r w:rsidRPr="00A54361">
        <w:rPr>
          <w:rFonts w:eastAsia="Times New Roman" w:cstheme="minorHAnsi"/>
          <w:spacing w:val="-1"/>
        </w:rPr>
        <w:t>a</w:t>
      </w:r>
      <w:r w:rsidRPr="00A54361">
        <w:rPr>
          <w:rFonts w:eastAsia="Times New Roman" w:cstheme="minorHAnsi"/>
        </w:rPr>
        <w:t>n</w:t>
      </w:r>
      <w:r w:rsidRPr="00A54361">
        <w:rPr>
          <w:rFonts w:eastAsia="Times New Roman" w:cstheme="minorHAnsi"/>
          <w:spacing w:val="-7"/>
        </w:rPr>
        <w:t xml:space="preserve"> </w:t>
      </w:r>
      <w:r w:rsidRPr="00A54361">
        <w:rPr>
          <w:rFonts w:eastAsia="Times New Roman" w:cstheme="minorHAnsi"/>
        </w:rPr>
        <w:t>&amp;</w:t>
      </w:r>
      <w:r w:rsidRPr="00A54361">
        <w:rPr>
          <w:rFonts w:eastAsia="Times New Roman" w:cstheme="minorHAnsi"/>
          <w:spacing w:val="-9"/>
        </w:rPr>
        <w:t xml:space="preserve"> </w:t>
      </w:r>
      <w:r w:rsidRPr="00A54361">
        <w:rPr>
          <w:rFonts w:eastAsia="Times New Roman" w:cstheme="minorHAnsi"/>
        </w:rPr>
        <w:t>M</w:t>
      </w:r>
      <w:r w:rsidRPr="00A54361">
        <w:rPr>
          <w:rFonts w:eastAsia="Times New Roman" w:cstheme="minorHAnsi"/>
          <w:spacing w:val="-1"/>
        </w:rPr>
        <w:t>a</w:t>
      </w:r>
      <w:r w:rsidRPr="00A54361">
        <w:rPr>
          <w:rFonts w:eastAsia="Times New Roman" w:cstheme="minorHAnsi"/>
        </w:rPr>
        <w:t>n</w:t>
      </w:r>
      <w:r w:rsidRPr="00A54361">
        <w:rPr>
          <w:rFonts w:eastAsia="Times New Roman" w:cstheme="minorHAnsi"/>
          <w:spacing w:val="1"/>
        </w:rPr>
        <w:t>a</w:t>
      </w:r>
      <w:r w:rsidRPr="00A54361">
        <w:rPr>
          <w:rFonts w:eastAsia="Times New Roman" w:cstheme="minorHAnsi"/>
          <w:spacing w:val="-2"/>
        </w:rPr>
        <w:t>g</w:t>
      </w:r>
      <w:r w:rsidRPr="00A54361">
        <w:rPr>
          <w:rFonts w:eastAsia="Times New Roman" w:cstheme="minorHAnsi"/>
        </w:rPr>
        <w:t>i</w:t>
      </w:r>
      <w:r w:rsidRPr="00A54361">
        <w:rPr>
          <w:rFonts w:eastAsia="Times New Roman" w:cstheme="minorHAnsi"/>
          <w:spacing w:val="3"/>
        </w:rPr>
        <w:t>n</w:t>
      </w:r>
      <w:r w:rsidRPr="00A54361">
        <w:rPr>
          <w:rFonts w:eastAsia="Times New Roman" w:cstheme="minorHAnsi"/>
        </w:rPr>
        <w:t>g Dir</w:t>
      </w:r>
      <w:r w:rsidRPr="00A54361">
        <w:rPr>
          <w:rFonts w:eastAsia="Times New Roman" w:cstheme="minorHAnsi"/>
          <w:spacing w:val="-2"/>
        </w:rPr>
        <w:t>e</w:t>
      </w:r>
      <w:r w:rsidRPr="00A54361">
        <w:rPr>
          <w:rFonts w:eastAsia="Times New Roman" w:cstheme="minorHAnsi"/>
          <w:spacing w:val="-1"/>
        </w:rPr>
        <w:t>c</w:t>
      </w:r>
      <w:r w:rsidRPr="00A54361">
        <w:rPr>
          <w:rFonts w:eastAsia="Times New Roman" w:cstheme="minorHAnsi"/>
        </w:rPr>
        <w:t>tor, CE</w:t>
      </w:r>
      <w:r w:rsidRPr="00A54361">
        <w:rPr>
          <w:rFonts w:eastAsia="Times New Roman" w:cstheme="minorHAnsi"/>
          <w:spacing w:val="-1"/>
        </w:rPr>
        <w:t>N</w:t>
      </w:r>
      <w:r w:rsidRPr="00A54361">
        <w:rPr>
          <w:rFonts w:eastAsia="Times New Roman" w:cstheme="minorHAnsi"/>
        </w:rPr>
        <w:t>TR</w:t>
      </w:r>
      <w:r w:rsidRPr="00A54361">
        <w:rPr>
          <w:rFonts w:eastAsia="Times New Roman" w:cstheme="minorHAnsi"/>
          <w:spacing w:val="2"/>
        </w:rPr>
        <w:t>A</w:t>
      </w:r>
      <w:r w:rsidRPr="00A54361">
        <w:rPr>
          <w:rFonts w:eastAsia="Times New Roman" w:cstheme="minorHAnsi"/>
        </w:rPr>
        <w:t xml:space="preserve">L </w:t>
      </w:r>
      <w:r w:rsidRPr="00A54361">
        <w:rPr>
          <w:rFonts w:eastAsia="Times New Roman" w:cstheme="minorHAnsi"/>
          <w:spacing w:val="-2"/>
        </w:rPr>
        <w:t>B</w:t>
      </w:r>
      <w:r w:rsidRPr="00A54361">
        <w:rPr>
          <w:rFonts w:eastAsia="Times New Roman" w:cstheme="minorHAnsi"/>
          <w:spacing w:val="2"/>
        </w:rPr>
        <w:t>A</w:t>
      </w:r>
      <w:r w:rsidRPr="00A54361">
        <w:rPr>
          <w:rFonts w:eastAsia="Times New Roman" w:cstheme="minorHAnsi"/>
        </w:rPr>
        <w:t>NK OF</w:t>
      </w:r>
      <w:r w:rsidRPr="00A54361">
        <w:rPr>
          <w:rFonts w:eastAsia="Times New Roman" w:cstheme="minorHAnsi"/>
          <w:spacing w:val="1"/>
        </w:rPr>
        <w:t xml:space="preserve"> </w:t>
      </w:r>
      <w:r w:rsidRPr="00A54361">
        <w:rPr>
          <w:rFonts w:eastAsia="Times New Roman" w:cstheme="minorHAnsi"/>
          <w:spacing w:val="-3"/>
        </w:rPr>
        <w:t>I</w:t>
      </w:r>
      <w:r w:rsidRPr="00A54361">
        <w:rPr>
          <w:rFonts w:eastAsia="Times New Roman" w:cstheme="minorHAnsi"/>
          <w:spacing w:val="4"/>
        </w:rPr>
        <w:t>N</w:t>
      </w:r>
      <w:r w:rsidRPr="00A54361">
        <w:rPr>
          <w:rFonts w:eastAsia="Times New Roman" w:cstheme="minorHAnsi"/>
          <w:spacing w:val="2"/>
        </w:rPr>
        <w:t>D</w:t>
      </w:r>
      <w:r w:rsidRPr="00A54361">
        <w:rPr>
          <w:rFonts w:eastAsia="Times New Roman" w:cstheme="minorHAnsi"/>
          <w:spacing w:val="-3"/>
        </w:rPr>
        <w:t>I</w:t>
      </w:r>
      <w:r w:rsidRPr="00A54361">
        <w:rPr>
          <w:rFonts w:eastAsia="Times New Roman" w:cstheme="minorHAnsi"/>
        </w:rPr>
        <w:t>A sh</w:t>
      </w:r>
      <w:r w:rsidRPr="00A54361">
        <w:rPr>
          <w:rFonts w:eastAsia="Times New Roman" w:cstheme="minorHAnsi"/>
          <w:spacing w:val="-1"/>
        </w:rPr>
        <w:t>a</w:t>
      </w:r>
      <w:r w:rsidRPr="00A54361">
        <w:rPr>
          <w:rFonts w:eastAsia="Times New Roman" w:cstheme="minorHAnsi"/>
        </w:rPr>
        <w:t>ll</w:t>
      </w:r>
      <w:r w:rsidRPr="00A54361">
        <w:rPr>
          <w:rFonts w:eastAsia="Times New Roman" w:cstheme="minorHAnsi"/>
          <w:spacing w:val="1"/>
        </w:rPr>
        <w:t xml:space="preserve"> </w:t>
      </w:r>
      <w:r w:rsidRPr="00A54361">
        <w:rPr>
          <w:rFonts w:eastAsia="Times New Roman" w:cstheme="minorHAnsi"/>
        </w:rPr>
        <w:t xml:space="preserve">be </w:t>
      </w:r>
      <w:r w:rsidRPr="00A54361">
        <w:rPr>
          <w:rFonts w:eastAsia="Times New Roman" w:cstheme="minorHAnsi"/>
          <w:spacing w:val="3"/>
        </w:rPr>
        <w:t>t</w:t>
      </w:r>
      <w:r w:rsidRPr="00A54361">
        <w:rPr>
          <w:rFonts w:eastAsia="Times New Roman" w:cstheme="minorHAnsi"/>
        </w:rPr>
        <w:t xml:space="preserve">he </w:t>
      </w:r>
      <w:r w:rsidRPr="00A54361">
        <w:rPr>
          <w:rFonts w:eastAsia="Times New Roman" w:cstheme="minorHAnsi"/>
          <w:spacing w:val="-1"/>
        </w:rPr>
        <w:t>“</w:t>
      </w:r>
      <w:r w:rsidRPr="00A54361">
        <w:rPr>
          <w:rFonts w:eastAsia="Times New Roman" w:cstheme="minorHAnsi"/>
        </w:rPr>
        <w:t>App</w:t>
      </w:r>
      <w:r w:rsidRPr="00A54361">
        <w:rPr>
          <w:rFonts w:eastAsia="Times New Roman" w:cstheme="minorHAnsi"/>
          <w:spacing w:val="-1"/>
        </w:rPr>
        <w:t>e</w:t>
      </w:r>
      <w:r w:rsidRPr="00A54361">
        <w:rPr>
          <w:rFonts w:eastAsia="Times New Roman" w:cstheme="minorHAnsi"/>
        </w:rPr>
        <w:t>l</w:t>
      </w:r>
      <w:r w:rsidRPr="00A54361">
        <w:rPr>
          <w:rFonts w:eastAsia="Times New Roman" w:cstheme="minorHAnsi"/>
          <w:spacing w:val="1"/>
        </w:rPr>
        <w:t>l</w:t>
      </w:r>
      <w:r w:rsidRPr="00A54361">
        <w:rPr>
          <w:rFonts w:eastAsia="Times New Roman" w:cstheme="minorHAnsi"/>
          <w:spacing w:val="-1"/>
        </w:rPr>
        <w:t>a</w:t>
      </w:r>
      <w:r w:rsidRPr="00A54361">
        <w:rPr>
          <w:rFonts w:eastAsia="Times New Roman" w:cstheme="minorHAnsi"/>
        </w:rPr>
        <w:t>te Autho</w:t>
      </w:r>
      <w:r w:rsidRPr="00A54361">
        <w:rPr>
          <w:rFonts w:eastAsia="Times New Roman" w:cstheme="minorHAnsi"/>
          <w:spacing w:val="-1"/>
        </w:rPr>
        <w:t>r</w:t>
      </w:r>
      <w:r w:rsidRPr="00A54361">
        <w:rPr>
          <w:rFonts w:eastAsia="Times New Roman" w:cstheme="minorHAnsi"/>
        </w:rPr>
        <w:t>i</w:t>
      </w:r>
      <w:r w:rsidRPr="00A54361">
        <w:rPr>
          <w:rFonts w:eastAsia="Times New Roman" w:cstheme="minorHAnsi"/>
          <w:spacing w:val="6"/>
        </w:rPr>
        <w:t>t</w:t>
      </w:r>
      <w:r w:rsidRPr="00A54361">
        <w:rPr>
          <w:rFonts w:eastAsia="Times New Roman" w:cstheme="minorHAnsi"/>
          <w:spacing w:val="-5"/>
        </w:rPr>
        <w:t>y</w:t>
      </w:r>
      <w:r w:rsidRPr="00A54361">
        <w:rPr>
          <w:rFonts w:eastAsia="Times New Roman" w:cstheme="minorHAnsi"/>
        </w:rPr>
        <w:t>”</w:t>
      </w:r>
      <w:r w:rsidRPr="00A54361">
        <w:rPr>
          <w:rFonts w:eastAsia="Times New Roman" w:cstheme="minorHAnsi"/>
          <w:spacing w:val="5"/>
        </w:rPr>
        <w:t xml:space="preserve"> </w:t>
      </w:r>
      <w:r w:rsidRPr="00A54361">
        <w:rPr>
          <w:rFonts w:eastAsia="Times New Roman" w:cstheme="minorHAnsi"/>
        </w:rPr>
        <w:t>in</w:t>
      </w:r>
      <w:r w:rsidRPr="00A54361">
        <w:rPr>
          <w:rFonts w:eastAsia="Times New Roman" w:cstheme="minorHAnsi"/>
          <w:spacing w:val="1"/>
        </w:rPr>
        <w:t xml:space="preserve"> </w:t>
      </w:r>
      <w:r w:rsidRPr="00A54361">
        <w:rPr>
          <w:rFonts w:eastAsia="Times New Roman" w:cstheme="minorHAnsi"/>
        </w:rPr>
        <w:t>r</w:t>
      </w:r>
      <w:r w:rsidRPr="00A54361">
        <w:rPr>
          <w:rFonts w:eastAsia="Times New Roman" w:cstheme="minorHAnsi"/>
          <w:spacing w:val="-2"/>
        </w:rPr>
        <w:t>e</w:t>
      </w:r>
      <w:r w:rsidRPr="00A54361">
        <w:rPr>
          <w:rFonts w:eastAsia="Times New Roman" w:cstheme="minorHAnsi"/>
        </w:rPr>
        <w:t>sp</w:t>
      </w:r>
      <w:r w:rsidRPr="00A54361">
        <w:rPr>
          <w:rFonts w:eastAsia="Times New Roman" w:cstheme="minorHAnsi"/>
          <w:spacing w:val="-1"/>
        </w:rPr>
        <w:t>ec</w:t>
      </w:r>
      <w:r w:rsidRPr="00A54361">
        <w:rPr>
          <w:rFonts w:eastAsia="Times New Roman" w:cstheme="minorHAnsi"/>
        </w:rPr>
        <w:t>t</w:t>
      </w:r>
      <w:r w:rsidRPr="00A54361">
        <w:rPr>
          <w:rFonts w:eastAsia="Times New Roman" w:cstheme="minorHAnsi"/>
          <w:spacing w:val="1"/>
        </w:rPr>
        <w:t xml:space="preserve"> </w:t>
      </w:r>
      <w:r w:rsidRPr="00A54361">
        <w:rPr>
          <w:rFonts w:eastAsia="Times New Roman" w:cstheme="minorHAnsi"/>
        </w:rPr>
        <w:t>of su</w:t>
      </w:r>
      <w:r w:rsidRPr="00A54361">
        <w:rPr>
          <w:rFonts w:eastAsia="Times New Roman" w:cstheme="minorHAnsi"/>
          <w:spacing w:val="-1"/>
        </w:rPr>
        <w:t>c</w:t>
      </w:r>
      <w:r w:rsidRPr="00A54361">
        <w:rPr>
          <w:rFonts w:eastAsia="Times New Roman" w:cstheme="minorHAnsi"/>
        </w:rPr>
        <w:t xml:space="preserve">h </w:t>
      </w:r>
      <w:r w:rsidRPr="00A54361">
        <w:rPr>
          <w:rFonts w:eastAsia="Times New Roman" w:cstheme="minorHAnsi"/>
          <w:spacing w:val="-1"/>
        </w:rPr>
        <w:t>ca</w:t>
      </w:r>
      <w:r w:rsidRPr="00A54361">
        <w:rPr>
          <w:rFonts w:eastAsia="Times New Roman" w:cstheme="minorHAnsi"/>
        </w:rPr>
        <w:t>s</w:t>
      </w:r>
      <w:r w:rsidRPr="00A54361">
        <w:rPr>
          <w:rFonts w:eastAsia="Times New Roman" w:cstheme="minorHAnsi"/>
          <w:spacing w:val="-1"/>
        </w:rPr>
        <w:t>e</w:t>
      </w:r>
      <w:r w:rsidRPr="00A54361">
        <w:rPr>
          <w:rFonts w:eastAsia="Times New Roman" w:cstheme="minorHAnsi"/>
        </w:rPr>
        <w:t xml:space="preserve">s </w:t>
      </w:r>
      <w:r w:rsidRPr="00A54361">
        <w:rPr>
          <w:rFonts w:eastAsia="Times New Roman" w:cstheme="minorHAnsi"/>
          <w:spacing w:val="-1"/>
        </w:rPr>
        <w:t>e</w:t>
      </w:r>
      <w:r w:rsidRPr="00A54361">
        <w:rPr>
          <w:rFonts w:eastAsia="Times New Roman" w:cstheme="minorHAnsi"/>
          <w:spacing w:val="2"/>
        </w:rPr>
        <w:t>x</w:t>
      </w:r>
      <w:r w:rsidRPr="00A54361">
        <w:rPr>
          <w:rFonts w:eastAsia="Times New Roman" w:cstheme="minorHAnsi"/>
          <w:spacing w:val="-1"/>
        </w:rPr>
        <w:t>ce</w:t>
      </w:r>
      <w:r w:rsidRPr="00A54361">
        <w:rPr>
          <w:rFonts w:eastAsia="Times New Roman" w:cstheme="minorHAnsi"/>
        </w:rPr>
        <w:t>pt banni</w:t>
      </w:r>
      <w:r w:rsidRPr="00A54361">
        <w:rPr>
          <w:rFonts w:eastAsia="Times New Roman" w:cstheme="minorHAnsi"/>
          <w:spacing w:val="2"/>
        </w:rPr>
        <w:t>n</w:t>
      </w:r>
      <w:r w:rsidRPr="00A54361">
        <w:rPr>
          <w:rFonts w:eastAsia="Times New Roman" w:cstheme="minorHAnsi"/>
        </w:rPr>
        <w:t>g</w:t>
      </w:r>
      <w:r w:rsidRPr="00A54361">
        <w:rPr>
          <w:rFonts w:eastAsia="Times New Roman" w:cstheme="minorHAnsi"/>
          <w:spacing w:val="-2"/>
        </w:rPr>
        <w:t xml:space="preserve"> </w:t>
      </w:r>
      <w:r w:rsidRPr="00A54361">
        <w:rPr>
          <w:rFonts w:eastAsia="Times New Roman" w:cstheme="minorHAnsi"/>
        </w:rPr>
        <w:t>of</w:t>
      </w:r>
      <w:r w:rsidRPr="00A54361">
        <w:rPr>
          <w:rFonts w:eastAsia="Times New Roman" w:cstheme="minorHAnsi"/>
          <w:spacing w:val="1"/>
        </w:rPr>
        <w:t xml:space="preserve"> </w:t>
      </w:r>
      <w:r w:rsidRPr="00A54361">
        <w:rPr>
          <w:rFonts w:eastAsia="Times New Roman" w:cstheme="minorHAnsi"/>
        </w:rPr>
        <w:t>busin</w:t>
      </w:r>
      <w:r w:rsidRPr="00A54361">
        <w:rPr>
          <w:rFonts w:eastAsia="Times New Roman" w:cstheme="minorHAnsi"/>
          <w:spacing w:val="-1"/>
        </w:rPr>
        <w:t>e</w:t>
      </w:r>
      <w:r w:rsidRPr="00A54361">
        <w:rPr>
          <w:rFonts w:eastAsia="Times New Roman" w:cstheme="minorHAnsi"/>
        </w:rPr>
        <w:t>ss de</w:t>
      </w:r>
      <w:r w:rsidRPr="00A54361">
        <w:rPr>
          <w:rFonts w:eastAsia="Times New Roman" w:cstheme="minorHAnsi"/>
          <w:spacing w:val="-1"/>
        </w:rPr>
        <w:t>a</w:t>
      </w:r>
      <w:r w:rsidRPr="00A54361">
        <w:rPr>
          <w:rFonts w:eastAsia="Times New Roman" w:cstheme="minorHAnsi"/>
        </w:rPr>
        <w:t>l</w:t>
      </w:r>
      <w:r w:rsidRPr="00A54361">
        <w:rPr>
          <w:rFonts w:eastAsia="Times New Roman" w:cstheme="minorHAnsi"/>
          <w:spacing w:val="1"/>
        </w:rPr>
        <w:t>i</w:t>
      </w:r>
      <w:r w:rsidRPr="00A54361">
        <w:rPr>
          <w:rFonts w:eastAsia="Times New Roman" w:cstheme="minorHAnsi"/>
        </w:rPr>
        <w:t>n</w:t>
      </w:r>
      <w:r w:rsidRPr="00A54361">
        <w:rPr>
          <w:rFonts w:eastAsia="Times New Roman" w:cstheme="minorHAnsi"/>
          <w:spacing w:val="-2"/>
        </w:rPr>
        <w:t>g</w:t>
      </w:r>
      <w:r w:rsidRPr="00A54361">
        <w:rPr>
          <w:rFonts w:eastAsia="Times New Roman" w:cstheme="minorHAnsi"/>
        </w:rPr>
        <w:t>s with</w:t>
      </w:r>
      <w:r w:rsidRPr="00A54361">
        <w:rPr>
          <w:rFonts w:eastAsia="Times New Roman" w:cstheme="minorHAnsi"/>
          <w:spacing w:val="3"/>
        </w:rPr>
        <w:t xml:space="preserve"> </w:t>
      </w:r>
      <w:r w:rsidRPr="00A54361">
        <w:rPr>
          <w:rFonts w:eastAsia="Times New Roman" w:cstheme="minorHAnsi"/>
          <w:spacing w:val="1"/>
        </w:rPr>
        <w:t>F</w:t>
      </w:r>
      <w:r w:rsidRPr="00A54361">
        <w:rPr>
          <w:rFonts w:eastAsia="Times New Roman" w:cstheme="minorHAnsi"/>
        </w:rPr>
        <w:t>or</w:t>
      </w:r>
      <w:r w:rsidRPr="00A54361">
        <w:rPr>
          <w:rFonts w:eastAsia="Times New Roman" w:cstheme="minorHAnsi"/>
          <w:spacing w:val="-2"/>
        </w:rPr>
        <w:t>e</w:t>
      </w:r>
      <w:r w:rsidRPr="00A54361">
        <w:rPr>
          <w:rFonts w:eastAsia="Times New Roman" w:cstheme="minorHAnsi"/>
        </w:rPr>
        <w:t>i</w:t>
      </w:r>
      <w:r w:rsidRPr="00A54361">
        <w:rPr>
          <w:rFonts w:eastAsia="Times New Roman" w:cstheme="minorHAnsi"/>
          <w:spacing w:val="-2"/>
        </w:rPr>
        <w:t>g</w:t>
      </w:r>
      <w:r w:rsidRPr="00A54361">
        <w:rPr>
          <w:rFonts w:eastAsia="Times New Roman" w:cstheme="minorHAnsi"/>
        </w:rPr>
        <w:t xml:space="preserve">n </w:t>
      </w:r>
      <w:r w:rsidRPr="00A54361">
        <w:rPr>
          <w:rFonts w:eastAsia="Times New Roman" w:cstheme="minorHAnsi"/>
          <w:spacing w:val="1"/>
        </w:rPr>
        <w:t>S</w:t>
      </w:r>
      <w:r w:rsidRPr="00A54361">
        <w:rPr>
          <w:rFonts w:eastAsia="Times New Roman" w:cstheme="minorHAnsi"/>
        </w:rPr>
        <w:t>uppl</w:t>
      </w:r>
      <w:r w:rsidRPr="00A54361">
        <w:rPr>
          <w:rFonts w:eastAsia="Times New Roman" w:cstheme="minorHAnsi"/>
          <w:spacing w:val="1"/>
        </w:rPr>
        <w:t>i</w:t>
      </w:r>
      <w:r w:rsidRPr="00A54361">
        <w:rPr>
          <w:rFonts w:eastAsia="Times New Roman" w:cstheme="minorHAnsi"/>
          <w:spacing w:val="-1"/>
        </w:rPr>
        <w:t>e</w:t>
      </w:r>
      <w:r w:rsidRPr="00A54361">
        <w:rPr>
          <w:rFonts w:eastAsia="Times New Roman" w:cstheme="minorHAnsi"/>
        </w:rPr>
        <w:t xml:space="preserve">rs </w:t>
      </w:r>
      <w:r w:rsidRPr="00A54361">
        <w:rPr>
          <w:rFonts w:eastAsia="Times New Roman" w:cstheme="minorHAnsi"/>
          <w:spacing w:val="2"/>
        </w:rPr>
        <w:t>o</w:t>
      </w:r>
      <w:r w:rsidRPr="00A54361">
        <w:rPr>
          <w:rFonts w:eastAsia="Times New Roman" w:cstheme="minorHAnsi"/>
        </w:rPr>
        <w:t>f import</w:t>
      </w:r>
      <w:r w:rsidRPr="00A54361">
        <w:rPr>
          <w:rFonts w:eastAsia="Times New Roman" w:cstheme="minorHAnsi"/>
          <w:spacing w:val="-1"/>
        </w:rPr>
        <w:t>e</w:t>
      </w:r>
      <w:r w:rsidRPr="00A54361">
        <w:rPr>
          <w:rFonts w:eastAsia="Times New Roman" w:cstheme="minorHAnsi"/>
        </w:rPr>
        <w:t xml:space="preserve">d </w:t>
      </w:r>
      <w:r w:rsidRPr="00A54361">
        <w:rPr>
          <w:rFonts w:eastAsia="Times New Roman" w:cstheme="minorHAnsi"/>
          <w:spacing w:val="-1"/>
        </w:rPr>
        <w:t>c</w:t>
      </w:r>
      <w:r w:rsidRPr="00A54361">
        <w:rPr>
          <w:rFonts w:eastAsia="Times New Roman" w:cstheme="minorHAnsi"/>
        </w:rPr>
        <w:t>o</w:t>
      </w:r>
      <w:r w:rsidRPr="00A54361">
        <w:rPr>
          <w:rFonts w:eastAsia="Times New Roman" w:cstheme="minorHAnsi"/>
          <w:spacing w:val="-1"/>
        </w:rPr>
        <w:t>a</w:t>
      </w:r>
      <w:r w:rsidRPr="00A54361">
        <w:rPr>
          <w:rFonts w:eastAsia="Times New Roman" w:cstheme="minorHAnsi"/>
        </w:rPr>
        <w:t>l</w:t>
      </w:r>
      <w:r w:rsidRPr="00A54361">
        <w:rPr>
          <w:rFonts w:eastAsia="Times New Roman" w:cstheme="minorHAnsi"/>
          <w:spacing w:val="1"/>
        </w:rPr>
        <w:t>/</w:t>
      </w:r>
      <w:r w:rsidRPr="00A54361">
        <w:rPr>
          <w:rFonts w:eastAsia="Times New Roman" w:cstheme="minorHAnsi"/>
          <w:spacing w:val="-1"/>
        </w:rPr>
        <w:t>c</w:t>
      </w:r>
      <w:r w:rsidRPr="00A54361">
        <w:rPr>
          <w:rFonts w:eastAsia="Times New Roman" w:cstheme="minorHAnsi"/>
        </w:rPr>
        <w:t>o</w:t>
      </w:r>
      <w:r w:rsidRPr="00A54361">
        <w:rPr>
          <w:rFonts w:eastAsia="Times New Roman" w:cstheme="minorHAnsi"/>
          <w:spacing w:val="2"/>
        </w:rPr>
        <w:t>k</w:t>
      </w:r>
      <w:r w:rsidRPr="00A54361">
        <w:rPr>
          <w:rFonts w:eastAsia="Times New Roman" w:cstheme="minorHAnsi"/>
          <w:spacing w:val="-1"/>
        </w:rPr>
        <w:t>e</w:t>
      </w:r>
      <w:r w:rsidRPr="00A54361">
        <w:rPr>
          <w:rFonts w:eastAsia="Times New Roman" w:cstheme="minorHAnsi"/>
        </w:rPr>
        <w:t>.</w:t>
      </w:r>
    </w:p>
    <w:p w14:paraId="3C8C3318" w14:textId="77777777" w:rsidR="0054549F" w:rsidRPr="00A54361" w:rsidRDefault="0054549F" w:rsidP="00A54361">
      <w:pPr>
        <w:ind w:right="77"/>
        <w:jc w:val="both"/>
        <w:rPr>
          <w:rFonts w:cstheme="minorHAnsi"/>
        </w:rPr>
      </w:pPr>
      <w:r w:rsidRPr="00A54361">
        <w:rPr>
          <w:rFonts w:eastAsia="Times New Roman" w:cstheme="minorHAnsi"/>
        </w:rPr>
        <w:t xml:space="preserve">b) </w:t>
      </w:r>
      <w:r w:rsidRPr="00A54361">
        <w:rPr>
          <w:rFonts w:eastAsia="Times New Roman" w:cstheme="minorHAnsi"/>
          <w:spacing w:val="-1"/>
        </w:rPr>
        <w:t>F</w:t>
      </w:r>
      <w:r w:rsidRPr="00A54361">
        <w:rPr>
          <w:rFonts w:eastAsia="Times New Roman" w:cstheme="minorHAnsi"/>
          <w:spacing w:val="2"/>
        </w:rPr>
        <w:t>o</w:t>
      </w:r>
      <w:r w:rsidRPr="00A54361">
        <w:rPr>
          <w:rFonts w:eastAsia="Times New Roman" w:cstheme="minorHAnsi"/>
        </w:rPr>
        <w:t xml:space="preserve">r </w:t>
      </w:r>
      <w:r w:rsidRPr="00A54361">
        <w:rPr>
          <w:rFonts w:eastAsia="Times New Roman" w:cstheme="minorHAnsi"/>
          <w:spacing w:val="2"/>
        </w:rPr>
        <w:t>b</w:t>
      </w:r>
      <w:r w:rsidRPr="00A54361">
        <w:rPr>
          <w:rFonts w:eastAsia="Times New Roman" w:cstheme="minorHAnsi"/>
          <w:spacing w:val="-1"/>
        </w:rPr>
        <w:t>a</w:t>
      </w:r>
      <w:r w:rsidRPr="00A54361">
        <w:rPr>
          <w:rFonts w:eastAsia="Times New Roman" w:cstheme="minorHAnsi"/>
        </w:rPr>
        <w:t>nning</w:t>
      </w:r>
      <w:r w:rsidRPr="00A54361">
        <w:rPr>
          <w:rFonts w:eastAsia="Times New Roman" w:cstheme="minorHAnsi"/>
          <w:spacing w:val="1"/>
        </w:rPr>
        <w:t xml:space="preserve"> </w:t>
      </w:r>
      <w:r w:rsidRPr="00A54361">
        <w:rPr>
          <w:rFonts w:eastAsia="Times New Roman" w:cstheme="minorHAnsi"/>
        </w:rPr>
        <w:t>of</w:t>
      </w:r>
      <w:r w:rsidRPr="00A54361">
        <w:rPr>
          <w:rFonts w:eastAsia="Times New Roman" w:cstheme="minorHAnsi"/>
          <w:spacing w:val="2"/>
        </w:rPr>
        <w:t xml:space="preserve"> </w:t>
      </w:r>
      <w:r w:rsidRPr="00A54361">
        <w:rPr>
          <w:rFonts w:eastAsia="Times New Roman" w:cstheme="minorHAnsi"/>
        </w:rPr>
        <w:t>busin</w:t>
      </w:r>
      <w:r w:rsidRPr="00A54361">
        <w:rPr>
          <w:rFonts w:eastAsia="Times New Roman" w:cstheme="minorHAnsi"/>
          <w:spacing w:val="-1"/>
        </w:rPr>
        <w:t>e</w:t>
      </w:r>
      <w:r w:rsidRPr="00A54361">
        <w:rPr>
          <w:rFonts w:eastAsia="Times New Roman" w:cstheme="minorHAnsi"/>
        </w:rPr>
        <w:t>ss</w:t>
      </w:r>
      <w:r w:rsidRPr="00A54361">
        <w:rPr>
          <w:rFonts w:eastAsia="Times New Roman" w:cstheme="minorHAnsi"/>
          <w:spacing w:val="1"/>
        </w:rPr>
        <w:t xml:space="preserve"> </w:t>
      </w:r>
      <w:r w:rsidRPr="00A54361">
        <w:rPr>
          <w:rFonts w:eastAsia="Times New Roman" w:cstheme="minorHAnsi"/>
        </w:rPr>
        <w:t>d</w:t>
      </w:r>
      <w:r w:rsidRPr="00A54361">
        <w:rPr>
          <w:rFonts w:eastAsia="Times New Roman" w:cstheme="minorHAnsi"/>
          <w:spacing w:val="-1"/>
        </w:rPr>
        <w:t>ea</w:t>
      </w:r>
      <w:r w:rsidRPr="00A54361">
        <w:rPr>
          <w:rFonts w:eastAsia="Times New Roman" w:cstheme="minorHAnsi"/>
        </w:rPr>
        <w:t>l</w:t>
      </w:r>
      <w:r w:rsidRPr="00A54361">
        <w:rPr>
          <w:rFonts w:eastAsia="Times New Roman" w:cstheme="minorHAnsi"/>
          <w:spacing w:val="1"/>
        </w:rPr>
        <w:t>i</w:t>
      </w:r>
      <w:r w:rsidRPr="00A54361">
        <w:rPr>
          <w:rFonts w:eastAsia="Times New Roman" w:cstheme="minorHAnsi"/>
          <w:spacing w:val="2"/>
        </w:rPr>
        <w:t>n</w:t>
      </w:r>
      <w:r w:rsidRPr="00A54361">
        <w:rPr>
          <w:rFonts w:eastAsia="Times New Roman" w:cstheme="minorHAnsi"/>
          <w:spacing w:val="-2"/>
        </w:rPr>
        <w:t>g</w:t>
      </w:r>
      <w:r w:rsidRPr="00A54361">
        <w:rPr>
          <w:rFonts w:eastAsia="Times New Roman" w:cstheme="minorHAnsi"/>
        </w:rPr>
        <w:t>s</w:t>
      </w:r>
      <w:r w:rsidRPr="00A54361">
        <w:rPr>
          <w:rFonts w:eastAsia="Times New Roman" w:cstheme="minorHAnsi"/>
          <w:spacing w:val="3"/>
        </w:rPr>
        <w:t xml:space="preserve"> </w:t>
      </w:r>
      <w:r w:rsidRPr="00A54361">
        <w:rPr>
          <w:rFonts w:eastAsia="Times New Roman" w:cstheme="minorHAnsi"/>
        </w:rPr>
        <w:t>with</w:t>
      </w:r>
      <w:r w:rsidRPr="00A54361">
        <w:rPr>
          <w:rFonts w:eastAsia="Times New Roman" w:cstheme="minorHAnsi"/>
          <w:spacing w:val="1"/>
        </w:rPr>
        <w:t xml:space="preserve"> </w:t>
      </w:r>
      <w:r w:rsidRPr="00A54361">
        <w:rPr>
          <w:rFonts w:eastAsia="Times New Roman" w:cstheme="minorHAnsi"/>
          <w:spacing w:val="-1"/>
        </w:rPr>
        <w:t>F</w:t>
      </w:r>
      <w:r w:rsidRPr="00A54361">
        <w:rPr>
          <w:rFonts w:eastAsia="Times New Roman" w:cstheme="minorHAnsi"/>
          <w:spacing w:val="2"/>
        </w:rPr>
        <w:t>o</w:t>
      </w:r>
      <w:r w:rsidRPr="00A54361">
        <w:rPr>
          <w:rFonts w:eastAsia="Times New Roman" w:cstheme="minorHAnsi"/>
        </w:rPr>
        <w:t>r</w:t>
      </w:r>
      <w:r w:rsidRPr="00A54361">
        <w:rPr>
          <w:rFonts w:eastAsia="Times New Roman" w:cstheme="minorHAnsi"/>
          <w:spacing w:val="-2"/>
        </w:rPr>
        <w:t>e</w:t>
      </w:r>
      <w:r w:rsidRPr="00A54361">
        <w:rPr>
          <w:rFonts w:eastAsia="Times New Roman" w:cstheme="minorHAnsi"/>
          <w:spacing w:val="3"/>
        </w:rPr>
        <w:t>i</w:t>
      </w:r>
      <w:r w:rsidRPr="00A54361">
        <w:rPr>
          <w:rFonts w:eastAsia="Times New Roman" w:cstheme="minorHAnsi"/>
        </w:rPr>
        <w:t>gn</w:t>
      </w:r>
      <w:r w:rsidRPr="00A54361">
        <w:rPr>
          <w:rFonts w:eastAsia="Times New Roman" w:cstheme="minorHAnsi"/>
          <w:spacing w:val="1"/>
        </w:rPr>
        <w:t xml:space="preserve"> S</w:t>
      </w:r>
      <w:r w:rsidRPr="00A54361">
        <w:rPr>
          <w:rFonts w:eastAsia="Times New Roman" w:cstheme="minorHAnsi"/>
        </w:rPr>
        <w:t>uppl</w:t>
      </w:r>
      <w:r w:rsidRPr="00A54361">
        <w:rPr>
          <w:rFonts w:eastAsia="Times New Roman" w:cstheme="minorHAnsi"/>
          <w:spacing w:val="1"/>
        </w:rPr>
        <w:t>i</w:t>
      </w:r>
      <w:r w:rsidRPr="00A54361">
        <w:rPr>
          <w:rFonts w:eastAsia="Times New Roman" w:cstheme="minorHAnsi"/>
          <w:spacing w:val="-1"/>
        </w:rPr>
        <w:t>e</w:t>
      </w:r>
      <w:r w:rsidRPr="00A54361">
        <w:rPr>
          <w:rFonts w:eastAsia="Times New Roman" w:cstheme="minorHAnsi"/>
        </w:rPr>
        <w:t>rs of i</w:t>
      </w:r>
      <w:r w:rsidRPr="00A54361">
        <w:rPr>
          <w:rFonts w:eastAsia="Times New Roman" w:cstheme="minorHAnsi"/>
          <w:spacing w:val="1"/>
        </w:rPr>
        <w:t>m</w:t>
      </w:r>
      <w:r w:rsidRPr="00A54361">
        <w:rPr>
          <w:rFonts w:eastAsia="Times New Roman" w:cstheme="minorHAnsi"/>
        </w:rPr>
        <w:t>por</w:t>
      </w:r>
      <w:r w:rsidRPr="00A54361">
        <w:rPr>
          <w:rFonts w:eastAsia="Times New Roman" w:cstheme="minorHAnsi"/>
          <w:spacing w:val="2"/>
        </w:rPr>
        <w:t>t</w:t>
      </w:r>
      <w:r w:rsidRPr="00A54361">
        <w:rPr>
          <w:rFonts w:eastAsia="Times New Roman" w:cstheme="minorHAnsi"/>
          <w:spacing w:val="-1"/>
        </w:rPr>
        <w:t>e</w:t>
      </w:r>
      <w:r w:rsidRPr="00A54361">
        <w:rPr>
          <w:rFonts w:eastAsia="Times New Roman" w:cstheme="minorHAnsi"/>
        </w:rPr>
        <w:t>d</w:t>
      </w:r>
      <w:r w:rsidRPr="00A54361">
        <w:rPr>
          <w:rFonts w:eastAsia="Times New Roman" w:cstheme="minorHAnsi"/>
          <w:spacing w:val="3"/>
        </w:rPr>
        <w:t xml:space="preserve"> </w:t>
      </w:r>
      <w:r w:rsidRPr="00A54361">
        <w:rPr>
          <w:rFonts w:eastAsia="Times New Roman" w:cstheme="minorHAnsi"/>
          <w:spacing w:val="-2"/>
        </w:rPr>
        <w:t>g</w:t>
      </w:r>
      <w:r w:rsidRPr="00A54361">
        <w:rPr>
          <w:rFonts w:eastAsia="Times New Roman" w:cstheme="minorHAnsi"/>
        </w:rPr>
        <w:t>oods,</w:t>
      </w:r>
      <w:r w:rsidRPr="00A54361">
        <w:rPr>
          <w:rFonts w:eastAsia="Times New Roman" w:cstheme="minorHAnsi"/>
          <w:spacing w:val="1"/>
        </w:rPr>
        <w:t xml:space="preserve"> </w:t>
      </w:r>
      <w:r w:rsidRPr="00A54361">
        <w:rPr>
          <w:rFonts w:eastAsia="Times New Roman" w:cstheme="minorHAnsi"/>
        </w:rPr>
        <w:t>CE</w:t>
      </w:r>
      <w:r w:rsidRPr="00A54361">
        <w:rPr>
          <w:rFonts w:eastAsia="Times New Roman" w:cstheme="minorHAnsi"/>
          <w:spacing w:val="-1"/>
        </w:rPr>
        <w:t>N</w:t>
      </w:r>
      <w:r w:rsidRPr="00A54361">
        <w:rPr>
          <w:rFonts w:eastAsia="Times New Roman" w:cstheme="minorHAnsi"/>
        </w:rPr>
        <w:t>TR</w:t>
      </w:r>
      <w:r w:rsidRPr="00A54361">
        <w:rPr>
          <w:rFonts w:eastAsia="Times New Roman" w:cstheme="minorHAnsi"/>
          <w:spacing w:val="5"/>
        </w:rPr>
        <w:t>A</w:t>
      </w:r>
      <w:r w:rsidRPr="00A54361">
        <w:rPr>
          <w:rFonts w:eastAsia="Times New Roman" w:cstheme="minorHAnsi"/>
        </w:rPr>
        <w:t xml:space="preserve">L </w:t>
      </w:r>
      <w:r w:rsidRPr="00A54361">
        <w:rPr>
          <w:rFonts w:eastAsia="Times New Roman" w:cstheme="minorHAnsi"/>
          <w:spacing w:val="-2"/>
        </w:rPr>
        <w:t>B</w:t>
      </w:r>
      <w:r w:rsidRPr="00A54361">
        <w:rPr>
          <w:rFonts w:eastAsia="Times New Roman" w:cstheme="minorHAnsi"/>
        </w:rPr>
        <w:t>A</w:t>
      </w:r>
      <w:r w:rsidRPr="00A54361">
        <w:rPr>
          <w:rFonts w:eastAsia="Times New Roman" w:cstheme="minorHAnsi"/>
          <w:spacing w:val="-1"/>
        </w:rPr>
        <w:t>N</w:t>
      </w:r>
      <w:r w:rsidRPr="00A54361">
        <w:rPr>
          <w:rFonts w:eastAsia="Times New Roman" w:cstheme="minorHAnsi"/>
        </w:rPr>
        <w:t>K</w:t>
      </w:r>
      <w:r w:rsidRPr="00A54361">
        <w:rPr>
          <w:rFonts w:eastAsia="Times New Roman" w:cstheme="minorHAnsi"/>
          <w:spacing w:val="4"/>
        </w:rPr>
        <w:t xml:space="preserve"> </w:t>
      </w:r>
      <w:r w:rsidRPr="00A54361">
        <w:rPr>
          <w:rFonts w:eastAsia="Times New Roman" w:cstheme="minorHAnsi"/>
        </w:rPr>
        <w:t>OF</w:t>
      </w:r>
      <w:r w:rsidRPr="00A54361">
        <w:rPr>
          <w:rFonts w:eastAsia="Times New Roman" w:cstheme="minorHAnsi"/>
          <w:spacing w:val="5"/>
        </w:rPr>
        <w:t xml:space="preserve"> </w:t>
      </w:r>
      <w:r w:rsidRPr="00A54361">
        <w:rPr>
          <w:rFonts w:eastAsia="Times New Roman" w:cstheme="minorHAnsi"/>
          <w:spacing w:val="-3"/>
        </w:rPr>
        <w:t>I</w:t>
      </w:r>
      <w:r w:rsidRPr="00A54361">
        <w:rPr>
          <w:rFonts w:eastAsia="Times New Roman" w:cstheme="minorHAnsi"/>
        </w:rPr>
        <w:t>N</w:t>
      </w:r>
      <w:r w:rsidRPr="00A54361">
        <w:rPr>
          <w:rFonts w:eastAsia="Times New Roman" w:cstheme="minorHAnsi"/>
          <w:spacing w:val="1"/>
        </w:rPr>
        <w:t>D</w:t>
      </w:r>
      <w:r w:rsidRPr="00A54361">
        <w:rPr>
          <w:rFonts w:eastAsia="Times New Roman" w:cstheme="minorHAnsi"/>
          <w:spacing w:val="-3"/>
        </w:rPr>
        <w:t>I</w:t>
      </w:r>
      <w:r w:rsidRPr="00A54361">
        <w:rPr>
          <w:rFonts w:eastAsia="Times New Roman" w:cstheme="minorHAnsi"/>
        </w:rPr>
        <w:t>A</w:t>
      </w:r>
      <w:r w:rsidRPr="00A54361">
        <w:rPr>
          <w:rFonts w:eastAsia="Times New Roman" w:cstheme="minorHAnsi"/>
          <w:spacing w:val="3"/>
        </w:rPr>
        <w:t xml:space="preserve"> </w:t>
      </w:r>
      <w:r w:rsidRPr="00A54361">
        <w:rPr>
          <w:rFonts w:eastAsia="Times New Roman" w:cstheme="minorHAnsi"/>
        </w:rPr>
        <w:t>E</w:t>
      </w:r>
      <w:r w:rsidRPr="00A54361">
        <w:rPr>
          <w:rFonts w:eastAsia="Times New Roman" w:cstheme="minorHAnsi"/>
          <w:spacing w:val="2"/>
        </w:rPr>
        <w:t>x</w:t>
      </w:r>
      <w:r w:rsidRPr="00A54361">
        <w:rPr>
          <w:rFonts w:eastAsia="Times New Roman" w:cstheme="minorHAnsi"/>
          <w:spacing w:val="-1"/>
        </w:rPr>
        <w:t>ec</w:t>
      </w:r>
      <w:r w:rsidRPr="00A54361">
        <w:rPr>
          <w:rFonts w:eastAsia="Times New Roman" w:cstheme="minorHAnsi"/>
        </w:rPr>
        <w:t>ut</w:t>
      </w:r>
      <w:r w:rsidRPr="00A54361">
        <w:rPr>
          <w:rFonts w:eastAsia="Times New Roman" w:cstheme="minorHAnsi"/>
          <w:spacing w:val="1"/>
        </w:rPr>
        <w:t>i</w:t>
      </w:r>
      <w:r w:rsidRPr="00A54361">
        <w:rPr>
          <w:rFonts w:eastAsia="Times New Roman" w:cstheme="minorHAnsi"/>
        </w:rPr>
        <w:t>ve</w:t>
      </w:r>
      <w:r w:rsidRPr="00A54361">
        <w:rPr>
          <w:rFonts w:eastAsia="Times New Roman" w:cstheme="minorHAnsi"/>
          <w:spacing w:val="3"/>
        </w:rPr>
        <w:t xml:space="preserve"> </w:t>
      </w:r>
      <w:r w:rsidRPr="00A54361">
        <w:rPr>
          <w:rFonts w:eastAsia="Times New Roman" w:cstheme="minorHAnsi"/>
        </w:rPr>
        <w:t>Di</w:t>
      </w:r>
      <w:r w:rsidRPr="00A54361">
        <w:rPr>
          <w:rFonts w:eastAsia="Times New Roman" w:cstheme="minorHAnsi"/>
          <w:spacing w:val="1"/>
        </w:rPr>
        <w:t>r</w:t>
      </w:r>
      <w:r w:rsidRPr="00A54361">
        <w:rPr>
          <w:rFonts w:eastAsia="Times New Roman" w:cstheme="minorHAnsi"/>
          <w:spacing w:val="-1"/>
        </w:rPr>
        <w:t>ec</w:t>
      </w:r>
      <w:r w:rsidRPr="00A54361">
        <w:rPr>
          <w:rFonts w:eastAsia="Times New Roman" w:cstheme="minorHAnsi"/>
        </w:rPr>
        <w:t>tors‟</w:t>
      </w:r>
      <w:r w:rsidRPr="00A54361">
        <w:rPr>
          <w:rFonts w:eastAsia="Times New Roman" w:cstheme="minorHAnsi"/>
          <w:spacing w:val="1"/>
        </w:rPr>
        <w:t xml:space="preserve"> </w:t>
      </w:r>
      <w:r w:rsidRPr="00A54361">
        <w:rPr>
          <w:rFonts w:eastAsia="Times New Roman" w:cstheme="minorHAnsi"/>
        </w:rPr>
        <w:t>C</w:t>
      </w:r>
      <w:r w:rsidRPr="00A54361">
        <w:rPr>
          <w:rFonts w:eastAsia="Times New Roman" w:cstheme="minorHAnsi"/>
          <w:spacing w:val="2"/>
        </w:rPr>
        <w:t>o</w:t>
      </w:r>
      <w:r w:rsidRPr="00A54361">
        <w:rPr>
          <w:rFonts w:eastAsia="Times New Roman" w:cstheme="minorHAnsi"/>
        </w:rPr>
        <w:t>m</w:t>
      </w:r>
      <w:r w:rsidRPr="00A54361">
        <w:rPr>
          <w:rFonts w:eastAsia="Times New Roman" w:cstheme="minorHAnsi"/>
          <w:spacing w:val="1"/>
        </w:rPr>
        <w:t>m</w:t>
      </w:r>
      <w:r w:rsidRPr="00A54361">
        <w:rPr>
          <w:rFonts w:eastAsia="Times New Roman" w:cstheme="minorHAnsi"/>
        </w:rPr>
        <w:t>i</w:t>
      </w:r>
      <w:r w:rsidRPr="00A54361">
        <w:rPr>
          <w:rFonts w:eastAsia="Times New Roman" w:cstheme="minorHAnsi"/>
          <w:spacing w:val="1"/>
        </w:rPr>
        <w:t>t</w:t>
      </w:r>
      <w:r w:rsidRPr="00A54361">
        <w:rPr>
          <w:rFonts w:eastAsia="Times New Roman" w:cstheme="minorHAnsi"/>
        </w:rPr>
        <w:t>tee (</w:t>
      </w:r>
      <w:r w:rsidRPr="00A54361">
        <w:rPr>
          <w:rFonts w:eastAsia="Times New Roman" w:cstheme="minorHAnsi"/>
          <w:spacing w:val="-1"/>
        </w:rPr>
        <w:t>E</w:t>
      </w:r>
      <w:r w:rsidRPr="00A54361">
        <w:rPr>
          <w:rFonts w:eastAsia="Times New Roman" w:cstheme="minorHAnsi"/>
        </w:rPr>
        <w:t>DC)</w:t>
      </w:r>
      <w:r w:rsidRPr="00A54361">
        <w:rPr>
          <w:rFonts w:eastAsia="Times New Roman" w:cstheme="minorHAnsi"/>
          <w:spacing w:val="1"/>
        </w:rPr>
        <w:t xml:space="preserve"> </w:t>
      </w:r>
      <w:r w:rsidRPr="00A54361">
        <w:rPr>
          <w:rFonts w:eastAsia="Times New Roman" w:cstheme="minorHAnsi"/>
        </w:rPr>
        <w:t>sh</w:t>
      </w:r>
      <w:r w:rsidRPr="00A54361">
        <w:rPr>
          <w:rFonts w:eastAsia="Times New Roman" w:cstheme="minorHAnsi"/>
          <w:spacing w:val="-1"/>
        </w:rPr>
        <w:t>a</w:t>
      </w:r>
      <w:r w:rsidRPr="00A54361">
        <w:rPr>
          <w:rFonts w:eastAsia="Times New Roman" w:cstheme="minorHAnsi"/>
        </w:rPr>
        <w:t>ll</w:t>
      </w:r>
      <w:r w:rsidRPr="00A54361">
        <w:rPr>
          <w:rFonts w:eastAsia="Times New Roman" w:cstheme="minorHAnsi"/>
          <w:spacing w:val="5"/>
        </w:rPr>
        <w:t xml:space="preserve"> </w:t>
      </w:r>
      <w:r w:rsidRPr="00A54361">
        <w:rPr>
          <w:rFonts w:eastAsia="Times New Roman" w:cstheme="minorHAnsi"/>
        </w:rPr>
        <w:t>be</w:t>
      </w:r>
      <w:r w:rsidRPr="00A54361">
        <w:rPr>
          <w:rFonts w:eastAsia="Times New Roman" w:cstheme="minorHAnsi"/>
          <w:spacing w:val="1"/>
        </w:rPr>
        <w:t xml:space="preserve"> </w:t>
      </w:r>
      <w:r w:rsidRPr="00A54361">
        <w:rPr>
          <w:rFonts w:eastAsia="Times New Roman" w:cstheme="minorHAnsi"/>
        </w:rPr>
        <w:t>the</w:t>
      </w:r>
      <w:r w:rsidRPr="00A54361">
        <w:rPr>
          <w:rFonts w:eastAsia="Times New Roman" w:cstheme="minorHAnsi"/>
          <w:spacing w:val="1"/>
        </w:rPr>
        <w:t xml:space="preserve"> </w:t>
      </w:r>
      <w:r w:rsidRPr="00A54361">
        <w:rPr>
          <w:rFonts w:eastAsia="Times New Roman" w:cstheme="minorHAnsi"/>
          <w:spacing w:val="3"/>
        </w:rPr>
        <w:t>“</w:t>
      </w:r>
      <w:r w:rsidRPr="00A54361">
        <w:rPr>
          <w:rFonts w:eastAsia="Times New Roman" w:cstheme="minorHAnsi"/>
        </w:rPr>
        <w:t>Compet</w:t>
      </w:r>
      <w:r w:rsidRPr="00A54361">
        <w:rPr>
          <w:rFonts w:eastAsia="Times New Roman" w:cstheme="minorHAnsi"/>
          <w:spacing w:val="-1"/>
        </w:rPr>
        <w:t>e</w:t>
      </w:r>
      <w:r w:rsidRPr="00A54361">
        <w:rPr>
          <w:rFonts w:eastAsia="Times New Roman" w:cstheme="minorHAnsi"/>
        </w:rPr>
        <w:t>nt Authori</w:t>
      </w:r>
      <w:r w:rsidRPr="00A54361">
        <w:rPr>
          <w:rFonts w:eastAsia="Times New Roman" w:cstheme="minorHAnsi"/>
          <w:spacing w:val="2"/>
        </w:rPr>
        <w:t>t</w:t>
      </w:r>
      <w:r w:rsidRPr="00A54361">
        <w:rPr>
          <w:rFonts w:eastAsia="Times New Roman" w:cstheme="minorHAnsi"/>
          <w:spacing w:val="-5"/>
        </w:rPr>
        <w:t>y</w:t>
      </w:r>
      <w:r w:rsidRPr="00A54361">
        <w:rPr>
          <w:rFonts w:eastAsia="Times New Roman" w:cstheme="minorHAnsi"/>
          <w:spacing w:val="-1"/>
        </w:rPr>
        <w:t>”</w:t>
      </w:r>
      <w:r w:rsidRPr="00A54361">
        <w:rPr>
          <w:rFonts w:eastAsia="Times New Roman" w:cstheme="minorHAnsi"/>
        </w:rPr>
        <w:t>.</w:t>
      </w:r>
      <w:r w:rsidRPr="00A54361">
        <w:rPr>
          <w:rFonts w:eastAsia="Times New Roman" w:cstheme="minorHAnsi"/>
          <w:spacing w:val="-10"/>
        </w:rPr>
        <w:t xml:space="preserve"> </w:t>
      </w:r>
      <w:r w:rsidRPr="00A54361">
        <w:rPr>
          <w:rFonts w:eastAsia="Times New Roman" w:cstheme="minorHAnsi"/>
        </w:rPr>
        <w:t>The</w:t>
      </w:r>
      <w:r w:rsidRPr="00A54361">
        <w:rPr>
          <w:rFonts w:eastAsia="Times New Roman" w:cstheme="minorHAnsi"/>
          <w:spacing w:val="-11"/>
        </w:rPr>
        <w:t xml:space="preserve"> </w:t>
      </w:r>
      <w:r w:rsidRPr="00A54361">
        <w:rPr>
          <w:rFonts w:eastAsia="Times New Roman" w:cstheme="minorHAnsi"/>
        </w:rPr>
        <w:t>App</w:t>
      </w:r>
      <w:r w:rsidRPr="00A54361">
        <w:rPr>
          <w:rFonts w:eastAsia="Times New Roman" w:cstheme="minorHAnsi"/>
          <w:spacing w:val="-1"/>
        </w:rPr>
        <w:t>ea</w:t>
      </w:r>
      <w:r w:rsidRPr="00A54361">
        <w:rPr>
          <w:rFonts w:eastAsia="Times New Roman" w:cstheme="minorHAnsi"/>
        </w:rPr>
        <w:t>l</w:t>
      </w:r>
      <w:r w:rsidRPr="00A54361">
        <w:rPr>
          <w:rFonts w:eastAsia="Times New Roman" w:cstheme="minorHAnsi"/>
          <w:spacing w:val="-9"/>
        </w:rPr>
        <w:t xml:space="preserve"> </w:t>
      </w:r>
      <w:r w:rsidRPr="00A54361">
        <w:rPr>
          <w:rFonts w:eastAsia="Times New Roman" w:cstheme="minorHAnsi"/>
          <w:spacing w:val="1"/>
        </w:rPr>
        <w:t>a</w:t>
      </w:r>
      <w:r w:rsidRPr="00A54361">
        <w:rPr>
          <w:rFonts w:eastAsia="Times New Roman" w:cstheme="minorHAnsi"/>
          <w:spacing w:val="-2"/>
        </w:rPr>
        <w:t>g</w:t>
      </w:r>
      <w:r w:rsidRPr="00A54361">
        <w:rPr>
          <w:rFonts w:eastAsia="Times New Roman" w:cstheme="minorHAnsi"/>
          <w:spacing w:val="-1"/>
        </w:rPr>
        <w:t>a</w:t>
      </w:r>
      <w:r w:rsidRPr="00A54361">
        <w:rPr>
          <w:rFonts w:eastAsia="Times New Roman" w:cstheme="minorHAnsi"/>
        </w:rPr>
        <w:t>inst</w:t>
      </w:r>
      <w:r w:rsidRPr="00A54361">
        <w:rPr>
          <w:rFonts w:eastAsia="Times New Roman" w:cstheme="minorHAnsi"/>
          <w:spacing w:val="-11"/>
        </w:rPr>
        <w:t xml:space="preserve"> </w:t>
      </w:r>
      <w:r w:rsidRPr="00A54361">
        <w:rPr>
          <w:rFonts w:eastAsia="Times New Roman" w:cstheme="minorHAnsi"/>
        </w:rPr>
        <w:t>the</w:t>
      </w:r>
      <w:r w:rsidRPr="00A54361">
        <w:rPr>
          <w:rFonts w:eastAsia="Times New Roman" w:cstheme="minorHAnsi"/>
          <w:spacing w:val="-10"/>
        </w:rPr>
        <w:t xml:space="preserve"> </w:t>
      </w:r>
      <w:r w:rsidRPr="00A54361">
        <w:rPr>
          <w:rFonts w:eastAsia="Times New Roman" w:cstheme="minorHAnsi"/>
        </w:rPr>
        <w:t>O</w:t>
      </w:r>
      <w:r w:rsidRPr="00A54361">
        <w:rPr>
          <w:rFonts w:eastAsia="Times New Roman" w:cstheme="minorHAnsi"/>
          <w:spacing w:val="-1"/>
        </w:rPr>
        <w:t>r</w:t>
      </w:r>
      <w:r w:rsidRPr="00A54361">
        <w:rPr>
          <w:rFonts w:eastAsia="Times New Roman" w:cstheme="minorHAnsi"/>
          <w:spacing w:val="2"/>
        </w:rPr>
        <w:t>d</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13"/>
        </w:rPr>
        <w:t xml:space="preserve"> </w:t>
      </w:r>
      <w:r w:rsidRPr="00A54361">
        <w:rPr>
          <w:rFonts w:eastAsia="Times New Roman" w:cstheme="minorHAnsi"/>
          <w:spacing w:val="2"/>
        </w:rPr>
        <w:t>p</w:t>
      </w:r>
      <w:r w:rsidRPr="00A54361">
        <w:rPr>
          <w:rFonts w:eastAsia="Times New Roman" w:cstheme="minorHAnsi"/>
          <w:spacing w:val="-1"/>
        </w:rPr>
        <w:t>a</w:t>
      </w:r>
      <w:r w:rsidRPr="00A54361">
        <w:rPr>
          <w:rFonts w:eastAsia="Times New Roman" w:cstheme="minorHAnsi"/>
        </w:rPr>
        <w:t>ssed</w:t>
      </w:r>
      <w:r w:rsidRPr="00A54361">
        <w:rPr>
          <w:rFonts w:eastAsia="Times New Roman" w:cstheme="minorHAnsi"/>
          <w:spacing w:val="-12"/>
        </w:rPr>
        <w:t xml:space="preserve"> </w:t>
      </w:r>
      <w:r w:rsidRPr="00A54361">
        <w:rPr>
          <w:rFonts w:eastAsia="Times New Roman" w:cstheme="minorHAnsi"/>
          <w:spacing w:val="2"/>
        </w:rPr>
        <w:t>b</w:t>
      </w:r>
      <w:r w:rsidRPr="00A54361">
        <w:rPr>
          <w:rFonts w:eastAsia="Times New Roman" w:cstheme="minorHAnsi"/>
        </w:rPr>
        <w:t>y</w:t>
      </w:r>
      <w:r w:rsidRPr="00A54361">
        <w:rPr>
          <w:rFonts w:eastAsia="Times New Roman" w:cstheme="minorHAnsi"/>
          <w:spacing w:val="-14"/>
        </w:rPr>
        <w:t xml:space="preserve"> </w:t>
      </w:r>
      <w:r w:rsidRPr="00A54361">
        <w:rPr>
          <w:rFonts w:eastAsia="Times New Roman" w:cstheme="minorHAnsi"/>
          <w:spacing w:val="2"/>
        </w:rPr>
        <w:t>E</w:t>
      </w:r>
      <w:r w:rsidRPr="00A54361">
        <w:rPr>
          <w:rFonts w:eastAsia="Times New Roman" w:cstheme="minorHAnsi"/>
        </w:rPr>
        <w:t>DC,</w:t>
      </w:r>
      <w:r w:rsidRPr="00A54361">
        <w:rPr>
          <w:rFonts w:eastAsia="Times New Roman" w:cstheme="minorHAnsi"/>
          <w:spacing w:val="-12"/>
        </w:rPr>
        <w:t xml:space="preserve"> </w:t>
      </w:r>
      <w:r w:rsidRPr="00A54361">
        <w:rPr>
          <w:rFonts w:eastAsia="Times New Roman" w:cstheme="minorHAnsi"/>
        </w:rPr>
        <w:t>sh</w:t>
      </w:r>
      <w:r w:rsidRPr="00A54361">
        <w:rPr>
          <w:rFonts w:eastAsia="Times New Roman" w:cstheme="minorHAnsi"/>
          <w:spacing w:val="-1"/>
        </w:rPr>
        <w:t>a</w:t>
      </w:r>
      <w:r w:rsidRPr="00A54361">
        <w:rPr>
          <w:rFonts w:eastAsia="Times New Roman" w:cstheme="minorHAnsi"/>
        </w:rPr>
        <w:t>ll</w:t>
      </w:r>
      <w:r w:rsidRPr="00A54361">
        <w:rPr>
          <w:rFonts w:eastAsia="Times New Roman" w:cstheme="minorHAnsi"/>
          <w:spacing w:val="-11"/>
        </w:rPr>
        <w:t xml:space="preserve"> </w:t>
      </w:r>
      <w:r w:rsidRPr="00A54361">
        <w:rPr>
          <w:rFonts w:eastAsia="Times New Roman" w:cstheme="minorHAnsi"/>
        </w:rPr>
        <w:t>l</w:t>
      </w:r>
      <w:r w:rsidRPr="00A54361">
        <w:rPr>
          <w:rFonts w:eastAsia="Times New Roman" w:cstheme="minorHAnsi"/>
          <w:spacing w:val="1"/>
        </w:rPr>
        <w:t>i</w:t>
      </w:r>
      <w:r w:rsidRPr="00A54361">
        <w:rPr>
          <w:rFonts w:eastAsia="Times New Roman" w:cstheme="minorHAnsi"/>
        </w:rPr>
        <w:t>e</w:t>
      </w:r>
      <w:r w:rsidRPr="00A54361">
        <w:rPr>
          <w:rFonts w:eastAsia="Times New Roman" w:cstheme="minorHAnsi"/>
          <w:spacing w:val="-13"/>
        </w:rPr>
        <w:t xml:space="preserve"> </w:t>
      </w:r>
      <w:r w:rsidRPr="00A54361">
        <w:rPr>
          <w:rFonts w:eastAsia="Times New Roman" w:cstheme="minorHAnsi"/>
        </w:rPr>
        <w:t>with</w:t>
      </w:r>
      <w:r w:rsidRPr="00A54361">
        <w:rPr>
          <w:rFonts w:eastAsia="Times New Roman" w:cstheme="minorHAnsi"/>
          <w:spacing w:val="-12"/>
        </w:rPr>
        <w:t xml:space="preserve"> </w:t>
      </w:r>
      <w:r w:rsidRPr="00A54361">
        <w:rPr>
          <w:rFonts w:eastAsia="Times New Roman" w:cstheme="minorHAnsi"/>
        </w:rPr>
        <w:t>Ch</w:t>
      </w:r>
      <w:r w:rsidRPr="00A54361">
        <w:rPr>
          <w:rFonts w:eastAsia="Times New Roman" w:cstheme="minorHAnsi"/>
          <w:spacing w:val="1"/>
        </w:rPr>
        <w:t>a</w:t>
      </w:r>
      <w:r w:rsidRPr="00A54361">
        <w:rPr>
          <w:rFonts w:eastAsia="Times New Roman" w:cstheme="minorHAnsi"/>
        </w:rPr>
        <w:t>irm</w:t>
      </w:r>
      <w:r w:rsidRPr="00A54361">
        <w:rPr>
          <w:rFonts w:eastAsia="Times New Roman" w:cstheme="minorHAnsi"/>
          <w:spacing w:val="-1"/>
        </w:rPr>
        <w:t>a</w:t>
      </w:r>
      <w:r w:rsidRPr="00A54361">
        <w:rPr>
          <w:rFonts w:eastAsia="Times New Roman" w:cstheme="minorHAnsi"/>
        </w:rPr>
        <w:t>n</w:t>
      </w:r>
      <w:r w:rsidRPr="00A54361">
        <w:rPr>
          <w:rFonts w:eastAsia="Times New Roman" w:cstheme="minorHAnsi"/>
          <w:spacing w:val="-12"/>
        </w:rPr>
        <w:t xml:space="preserve"> </w:t>
      </w:r>
      <w:r w:rsidRPr="00A54361">
        <w:rPr>
          <w:rFonts w:eastAsia="Times New Roman" w:cstheme="minorHAnsi"/>
        </w:rPr>
        <w:t>&amp;</w:t>
      </w:r>
      <w:r w:rsidRPr="00A54361">
        <w:rPr>
          <w:rFonts w:eastAsia="Times New Roman" w:cstheme="minorHAnsi"/>
          <w:spacing w:val="-12"/>
        </w:rPr>
        <w:t xml:space="preserve"> </w:t>
      </w:r>
      <w:r w:rsidRPr="00A54361">
        <w:rPr>
          <w:rFonts w:eastAsia="Times New Roman" w:cstheme="minorHAnsi"/>
        </w:rPr>
        <w:t>M</w:t>
      </w:r>
      <w:r w:rsidRPr="00A54361">
        <w:rPr>
          <w:rFonts w:eastAsia="Times New Roman" w:cstheme="minorHAnsi"/>
          <w:spacing w:val="-1"/>
        </w:rPr>
        <w:t>a</w:t>
      </w:r>
      <w:r w:rsidRPr="00A54361">
        <w:rPr>
          <w:rFonts w:eastAsia="Times New Roman" w:cstheme="minorHAnsi"/>
        </w:rPr>
        <w:t>n</w:t>
      </w:r>
      <w:r w:rsidRPr="00A54361">
        <w:rPr>
          <w:rFonts w:eastAsia="Times New Roman" w:cstheme="minorHAnsi"/>
          <w:spacing w:val="1"/>
        </w:rPr>
        <w:t>a</w:t>
      </w:r>
      <w:r w:rsidRPr="00A54361">
        <w:rPr>
          <w:rFonts w:eastAsia="Times New Roman" w:cstheme="minorHAnsi"/>
          <w:spacing w:val="-2"/>
        </w:rPr>
        <w:t>g</w:t>
      </w:r>
      <w:r w:rsidRPr="00A54361">
        <w:rPr>
          <w:rFonts w:eastAsia="Times New Roman" w:cstheme="minorHAnsi"/>
        </w:rPr>
        <w:t>i</w:t>
      </w:r>
      <w:r w:rsidRPr="00A54361">
        <w:rPr>
          <w:rFonts w:eastAsia="Times New Roman" w:cstheme="minorHAnsi"/>
          <w:spacing w:val="3"/>
        </w:rPr>
        <w:t>n</w:t>
      </w:r>
      <w:r w:rsidRPr="00A54361">
        <w:rPr>
          <w:rFonts w:eastAsia="Times New Roman" w:cstheme="minorHAnsi"/>
        </w:rPr>
        <w:t>g Dir</w:t>
      </w:r>
      <w:r w:rsidRPr="00A54361">
        <w:rPr>
          <w:rFonts w:eastAsia="Times New Roman" w:cstheme="minorHAnsi"/>
          <w:spacing w:val="-2"/>
        </w:rPr>
        <w:t>e</w:t>
      </w:r>
      <w:r w:rsidRPr="00A54361">
        <w:rPr>
          <w:rFonts w:eastAsia="Times New Roman" w:cstheme="minorHAnsi"/>
          <w:spacing w:val="-1"/>
        </w:rPr>
        <w:t>c</w:t>
      </w:r>
      <w:r w:rsidRPr="00A54361">
        <w:rPr>
          <w:rFonts w:eastAsia="Times New Roman" w:cstheme="minorHAnsi"/>
        </w:rPr>
        <w:t>tor,</w:t>
      </w:r>
      <w:r w:rsidRPr="00A54361">
        <w:rPr>
          <w:rFonts w:eastAsia="Times New Roman" w:cstheme="minorHAnsi"/>
          <w:spacing w:val="2"/>
        </w:rPr>
        <w:t xml:space="preserve"> </w:t>
      </w:r>
      <w:r w:rsidRPr="00A54361">
        <w:rPr>
          <w:rFonts w:eastAsia="Times New Roman" w:cstheme="minorHAnsi"/>
          <w:spacing w:val="-1"/>
        </w:rPr>
        <w:t>a</w:t>
      </w:r>
      <w:r w:rsidRPr="00A54361">
        <w:rPr>
          <w:rFonts w:eastAsia="Times New Roman" w:cstheme="minorHAnsi"/>
        </w:rPr>
        <w:t xml:space="preserve">s </w:t>
      </w:r>
      <w:r w:rsidRPr="00A54361">
        <w:rPr>
          <w:rFonts w:eastAsia="Times New Roman" w:cstheme="minorHAnsi"/>
          <w:spacing w:val="-1"/>
        </w:rPr>
        <w:t>F</w:t>
      </w:r>
      <w:r w:rsidRPr="00A54361">
        <w:rPr>
          <w:rFonts w:eastAsia="Times New Roman" w:cstheme="minorHAnsi"/>
        </w:rPr>
        <w:t>irst Ap</w:t>
      </w:r>
      <w:r w:rsidRPr="00A54361">
        <w:rPr>
          <w:rFonts w:eastAsia="Times New Roman" w:cstheme="minorHAnsi"/>
          <w:spacing w:val="2"/>
        </w:rPr>
        <w:t>p</w:t>
      </w:r>
      <w:r w:rsidRPr="00A54361">
        <w:rPr>
          <w:rFonts w:eastAsia="Times New Roman" w:cstheme="minorHAnsi"/>
          <w:spacing w:val="-1"/>
        </w:rPr>
        <w:t>e</w:t>
      </w:r>
      <w:r w:rsidRPr="00A54361">
        <w:rPr>
          <w:rFonts w:eastAsia="Times New Roman" w:cstheme="minorHAnsi"/>
        </w:rPr>
        <w:t>l</w:t>
      </w:r>
      <w:r w:rsidRPr="00A54361">
        <w:rPr>
          <w:rFonts w:eastAsia="Times New Roman" w:cstheme="minorHAnsi"/>
          <w:spacing w:val="1"/>
        </w:rPr>
        <w:t>l</w:t>
      </w:r>
      <w:r w:rsidRPr="00A54361">
        <w:rPr>
          <w:rFonts w:eastAsia="Times New Roman" w:cstheme="minorHAnsi"/>
          <w:spacing w:val="-1"/>
        </w:rPr>
        <w:t>a</w:t>
      </w:r>
      <w:r w:rsidRPr="00A54361">
        <w:rPr>
          <w:rFonts w:eastAsia="Times New Roman" w:cstheme="minorHAnsi"/>
        </w:rPr>
        <w:t xml:space="preserve">te </w:t>
      </w:r>
      <w:r w:rsidRPr="00A54361">
        <w:rPr>
          <w:rFonts w:eastAsia="Times New Roman" w:cstheme="minorHAnsi"/>
          <w:spacing w:val="-1"/>
        </w:rPr>
        <w:t>A</w:t>
      </w:r>
      <w:r w:rsidRPr="00A54361">
        <w:rPr>
          <w:rFonts w:eastAsia="Times New Roman" w:cstheme="minorHAnsi"/>
        </w:rPr>
        <w:t>uthori</w:t>
      </w:r>
      <w:r w:rsidRPr="00A54361">
        <w:rPr>
          <w:rFonts w:eastAsia="Times New Roman" w:cstheme="minorHAnsi"/>
          <w:spacing w:val="3"/>
        </w:rPr>
        <w:t>t</w:t>
      </w:r>
      <w:r w:rsidRPr="00A54361">
        <w:rPr>
          <w:rFonts w:eastAsia="Times New Roman" w:cstheme="minorHAnsi"/>
          <w:spacing w:val="-5"/>
        </w:rPr>
        <w:t>y</w:t>
      </w:r>
      <w:r w:rsidRPr="00A54361">
        <w:rPr>
          <w:rFonts w:eastAsia="Times New Roman" w:cstheme="minorHAnsi"/>
        </w:rPr>
        <w:t>.</w:t>
      </w:r>
    </w:p>
    <w:p w14:paraId="6990E759" w14:textId="77777777" w:rsidR="0054549F" w:rsidRPr="00A54361" w:rsidRDefault="0054549F" w:rsidP="00A54361">
      <w:pPr>
        <w:ind w:right="81" w:hanging="142"/>
        <w:jc w:val="both"/>
        <w:rPr>
          <w:rFonts w:cstheme="minorHAnsi"/>
        </w:rPr>
      </w:pPr>
      <w:r w:rsidRPr="00A54361">
        <w:rPr>
          <w:rFonts w:eastAsia="Times New Roman" w:cstheme="minorHAnsi"/>
          <w:spacing w:val="-1"/>
        </w:rPr>
        <w:t>c</w:t>
      </w:r>
      <w:r w:rsidRPr="00A54361">
        <w:rPr>
          <w:rFonts w:eastAsia="Times New Roman" w:cstheme="minorHAnsi"/>
        </w:rPr>
        <w:t>)</w:t>
      </w:r>
      <w:r w:rsidRPr="00A54361">
        <w:rPr>
          <w:rFonts w:eastAsia="Times New Roman" w:cstheme="minorHAnsi"/>
          <w:spacing w:val="4"/>
        </w:rPr>
        <w:t xml:space="preserve"> </w:t>
      </w:r>
      <w:r w:rsidRPr="00A54361">
        <w:rPr>
          <w:rFonts w:eastAsia="Times New Roman" w:cstheme="minorHAnsi"/>
          <w:spacing w:val="-3"/>
        </w:rPr>
        <w:t>I</w:t>
      </w:r>
      <w:r w:rsidRPr="00A54361">
        <w:rPr>
          <w:rFonts w:eastAsia="Times New Roman" w:cstheme="minorHAnsi"/>
        </w:rPr>
        <w:t>n</w:t>
      </w:r>
      <w:r w:rsidRPr="00A54361">
        <w:rPr>
          <w:rFonts w:eastAsia="Times New Roman" w:cstheme="minorHAnsi"/>
          <w:spacing w:val="4"/>
        </w:rPr>
        <w:t xml:space="preserve"> </w:t>
      </w:r>
      <w:r w:rsidRPr="00A54361">
        <w:rPr>
          <w:rFonts w:eastAsia="Times New Roman" w:cstheme="minorHAnsi"/>
          <w:spacing w:val="-1"/>
        </w:rPr>
        <w:t>ca</w:t>
      </w:r>
      <w:r w:rsidRPr="00A54361">
        <w:rPr>
          <w:rFonts w:eastAsia="Times New Roman" w:cstheme="minorHAnsi"/>
          <w:spacing w:val="2"/>
        </w:rPr>
        <w:t>s</w:t>
      </w:r>
      <w:r w:rsidRPr="00A54361">
        <w:rPr>
          <w:rFonts w:eastAsia="Times New Roman" w:cstheme="minorHAnsi"/>
        </w:rPr>
        <w:t>e</w:t>
      </w:r>
      <w:r w:rsidRPr="00A54361">
        <w:rPr>
          <w:rFonts w:eastAsia="Times New Roman" w:cstheme="minorHAnsi"/>
          <w:spacing w:val="1"/>
        </w:rPr>
        <w:t xml:space="preserve"> </w:t>
      </w:r>
      <w:r w:rsidRPr="00A54361">
        <w:rPr>
          <w:rFonts w:eastAsia="Times New Roman" w:cstheme="minorHAnsi"/>
        </w:rPr>
        <w:t>the</w:t>
      </w:r>
      <w:r w:rsidRPr="00A54361">
        <w:rPr>
          <w:rFonts w:eastAsia="Times New Roman" w:cstheme="minorHAnsi"/>
          <w:spacing w:val="4"/>
        </w:rPr>
        <w:t xml:space="preserve"> </w:t>
      </w:r>
      <w:r w:rsidRPr="00A54361">
        <w:rPr>
          <w:rFonts w:eastAsia="Times New Roman" w:cstheme="minorHAnsi"/>
        </w:rPr>
        <w:t>fo</w:t>
      </w:r>
      <w:r w:rsidRPr="00A54361">
        <w:rPr>
          <w:rFonts w:eastAsia="Times New Roman" w:cstheme="minorHAnsi"/>
          <w:spacing w:val="-1"/>
        </w:rPr>
        <w:t>re</w:t>
      </w:r>
      <w:r w:rsidRPr="00A54361">
        <w:rPr>
          <w:rFonts w:eastAsia="Times New Roman" w:cstheme="minorHAnsi"/>
          <w:spacing w:val="3"/>
        </w:rPr>
        <w:t>i</w:t>
      </w:r>
      <w:r w:rsidRPr="00A54361">
        <w:rPr>
          <w:rFonts w:eastAsia="Times New Roman" w:cstheme="minorHAnsi"/>
          <w:spacing w:val="-2"/>
        </w:rPr>
        <w:t>g</w:t>
      </w:r>
      <w:r w:rsidRPr="00A54361">
        <w:rPr>
          <w:rFonts w:eastAsia="Times New Roman" w:cstheme="minorHAnsi"/>
        </w:rPr>
        <w:t>n</w:t>
      </w:r>
      <w:r w:rsidRPr="00A54361">
        <w:rPr>
          <w:rFonts w:eastAsia="Times New Roman" w:cstheme="minorHAnsi"/>
          <w:spacing w:val="2"/>
        </w:rPr>
        <w:t xml:space="preserve"> </w:t>
      </w:r>
      <w:r w:rsidRPr="00A54361">
        <w:rPr>
          <w:rFonts w:eastAsia="Times New Roman" w:cstheme="minorHAnsi"/>
        </w:rPr>
        <w:t>su</w:t>
      </w:r>
      <w:r w:rsidRPr="00A54361">
        <w:rPr>
          <w:rFonts w:eastAsia="Times New Roman" w:cstheme="minorHAnsi"/>
          <w:spacing w:val="2"/>
        </w:rPr>
        <w:t>p</w:t>
      </w:r>
      <w:r w:rsidRPr="00A54361">
        <w:rPr>
          <w:rFonts w:eastAsia="Times New Roman" w:cstheme="minorHAnsi"/>
        </w:rPr>
        <w:t>pl</w:t>
      </w:r>
      <w:r w:rsidRPr="00A54361">
        <w:rPr>
          <w:rFonts w:eastAsia="Times New Roman" w:cstheme="minorHAnsi"/>
          <w:spacing w:val="1"/>
        </w:rPr>
        <w:t>i</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1"/>
        </w:rPr>
        <w:t xml:space="preserve"> </w:t>
      </w:r>
      <w:r w:rsidRPr="00A54361">
        <w:rPr>
          <w:rFonts w:eastAsia="Times New Roman" w:cstheme="minorHAnsi"/>
        </w:rPr>
        <w:t>is</w:t>
      </w:r>
      <w:r w:rsidRPr="00A54361">
        <w:rPr>
          <w:rFonts w:eastAsia="Times New Roman" w:cstheme="minorHAnsi"/>
          <w:spacing w:val="3"/>
        </w:rPr>
        <w:t xml:space="preserve"> </w:t>
      </w:r>
      <w:r w:rsidRPr="00A54361">
        <w:rPr>
          <w:rFonts w:eastAsia="Times New Roman" w:cstheme="minorHAnsi"/>
        </w:rPr>
        <w:t>not</w:t>
      </w:r>
      <w:r w:rsidRPr="00A54361">
        <w:rPr>
          <w:rFonts w:eastAsia="Times New Roman" w:cstheme="minorHAnsi"/>
          <w:spacing w:val="3"/>
        </w:rPr>
        <w:t xml:space="preserve"> </w:t>
      </w:r>
      <w:r w:rsidRPr="00A54361">
        <w:rPr>
          <w:rFonts w:eastAsia="Times New Roman" w:cstheme="minorHAnsi"/>
        </w:rPr>
        <w:t>s</w:t>
      </w:r>
      <w:r w:rsidRPr="00A54361">
        <w:rPr>
          <w:rFonts w:eastAsia="Times New Roman" w:cstheme="minorHAnsi"/>
          <w:spacing w:val="-1"/>
        </w:rPr>
        <w:t>a</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sfi</w:t>
      </w:r>
      <w:r w:rsidRPr="00A54361">
        <w:rPr>
          <w:rFonts w:eastAsia="Times New Roman" w:cstheme="minorHAnsi"/>
          <w:spacing w:val="-1"/>
        </w:rPr>
        <w:t>e</w:t>
      </w:r>
      <w:r w:rsidRPr="00A54361">
        <w:rPr>
          <w:rFonts w:eastAsia="Times New Roman" w:cstheme="minorHAnsi"/>
        </w:rPr>
        <w:t>d</w:t>
      </w:r>
      <w:r w:rsidRPr="00A54361">
        <w:rPr>
          <w:rFonts w:eastAsia="Times New Roman" w:cstheme="minorHAnsi"/>
          <w:spacing w:val="2"/>
        </w:rPr>
        <w:t xml:space="preserve"> </w:t>
      </w:r>
      <w:r w:rsidRPr="00A54361">
        <w:rPr>
          <w:rFonts w:eastAsia="Times New Roman" w:cstheme="minorHAnsi"/>
          <w:spacing w:val="5"/>
        </w:rPr>
        <w:t>b</w:t>
      </w:r>
      <w:r w:rsidRPr="00A54361">
        <w:rPr>
          <w:rFonts w:eastAsia="Times New Roman" w:cstheme="minorHAnsi"/>
        </w:rPr>
        <w:t>y</w:t>
      </w:r>
      <w:r w:rsidRPr="00A54361">
        <w:rPr>
          <w:rFonts w:eastAsia="Times New Roman" w:cstheme="minorHAnsi"/>
          <w:spacing w:val="-3"/>
        </w:rPr>
        <w:t xml:space="preserve"> </w:t>
      </w:r>
      <w:r w:rsidRPr="00A54361">
        <w:rPr>
          <w:rFonts w:eastAsia="Times New Roman" w:cstheme="minorHAnsi"/>
        </w:rPr>
        <w:t>t</w:t>
      </w:r>
      <w:r w:rsidRPr="00A54361">
        <w:rPr>
          <w:rFonts w:eastAsia="Times New Roman" w:cstheme="minorHAnsi"/>
          <w:spacing w:val="3"/>
        </w:rPr>
        <w:t>h</w:t>
      </w:r>
      <w:r w:rsidRPr="00A54361">
        <w:rPr>
          <w:rFonts w:eastAsia="Times New Roman" w:cstheme="minorHAnsi"/>
        </w:rPr>
        <w:t>e</w:t>
      </w:r>
      <w:r w:rsidRPr="00A54361">
        <w:rPr>
          <w:rFonts w:eastAsia="Times New Roman" w:cstheme="minorHAnsi"/>
          <w:spacing w:val="1"/>
        </w:rPr>
        <w:t xml:space="preserve"> </w:t>
      </w:r>
      <w:r w:rsidRPr="00A54361">
        <w:rPr>
          <w:rFonts w:eastAsia="Times New Roman" w:cstheme="minorHAnsi"/>
        </w:rPr>
        <w:t>d</w:t>
      </w:r>
      <w:r w:rsidRPr="00A54361">
        <w:rPr>
          <w:rFonts w:eastAsia="Times New Roman" w:cstheme="minorHAnsi"/>
          <w:spacing w:val="-1"/>
        </w:rPr>
        <w:t>ec</w:t>
      </w:r>
      <w:r w:rsidRPr="00A54361">
        <w:rPr>
          <w:rFonts w:eastAsia="Times New Roman" w:cstheme="minorHAnsi"/>
        </w:rPr>
        <w:t>is</w:t>
      </w:r>
      <w:r w:rsidRPr="00A54361">
        <w:rPr>
          <w:rFonts w:eastAsia="Times New Roman" w:cstheme="minorHAnsi"/>
          <w:spacing w:val="1"/>
        </w:rPr>
        <w:t>i</w:t>
      </w:r>
      <w:r w:rsidRPr="00A54361">
        <w:rPr>
          <w:rFonts w:eastAsia="Times New Roman" w:cstheme="minorHAnsi"/>
        </w:rPr>
        <w:t>on</w:t>
      </w:r>
      <w:r w:rsidRPr="00A54361">
        <w:rPr>
          <w:rFonts w:eastAsia="Times New Roman" w:cstheme="minorHAnsi"/>
          <w:spacing w:val="2"/>
        </w:rPr>
        <w:t xml:space="preserve"> o</w:t>
      </w:r>
      <w:r w:rsidRPr="00A54361">
        <w:rPr>
          <w:rFonts w:eastAsia="Times New Roman" w:cstheme="minorHAnsi"/>
        </w:rPr>
        <w:t>f</w:t>
      </w:r>
      <w:r w:rsidRPr="00A54361">
        <w:rPr>
          <w:rFonts w:eastAsia="Times New Roman" w:cstheme="minorHAnsi"/>
          <w:spacing w:val="1"/>
        </w:rPr>
        <w:t xml:space="preserve"> </w:t>
      </w:r>
      <w:r w:rsidRPr="00A54361">
        <w:rPr>
          <w:rFonts w:eastAsia="Times New Roman" w:cstheme="minorHAnsi"/>
        </w:rPr>
        <w:t>the</w:t>
      </w:r>
      <w:r w:rsidRPr="00A54361">
        <w:rPr>
          <w:rFonts w:eastAsia="Times New Roman" w:cstheme="minorHAnsi"/>
          <w:spacing w:val="11"/>
        </w:rPr>
        <w:t xml:space="preserve"> </w:t>
      </w:r>
      <w:r w:rsidRPr="00A54361">
        <w:rPr>
          <w:rFonts w:eastAsia="Times New Roman" w:cstheme="minorHAnsi"/>
          <w:spacing w:val="-1"/>
        </w:rPr>
        <w:t>F</w:t>
      </w:r>
      <w:r w:rsidRPr="00A54361">
        <w:rPr>
          <w:rFonts w:eastAsia="Times New Roman" w:cstheme="minorHAnsi"/>
        </w:rPr>
        <w:t>irst</w:t>
      </w:r>
      <w:r w:rsidRPr="00A54361">
        <w:rPr>
          <w:rFonts w:eastAsia="Times New Roman" w:cstheme="minorHAnsi"/>
          <w:spacing w:val="3"/>
        </w:rPr>
        <w:t xml:space="preserve"> </w:t>
      </w:r>
      <w:r w:rsidRPr="00A54361">
        <w:rPr>
          <w:rFonts w:eastAsia="Times New Roman" w:cstheme="minorHAnsi"/>
        </w:rPr>
        <w:t>A</w:t>
      </w:r>
      <w:r w:rsidRPr="00A54361">
        <w:rPr>
          <w:rFonts w:eastAsia="Times New Roman" w:cstheme="minorHAnsi"/>
          <w:spacing w:val="2"/>
        </w:rPr>
        <w:t>p</w:t>
      </w:r>
      <w:r w:rsidRPr="00A54361">
        <w:rPr>
          <w:rFonts w:eastAsia="Times New Roman" w:cstheme="minorHAnsi"/>
        </w:rPr>
        <w:t>p</w:t>
      </w:r>
      <w:r w:rsidRPr="00A54361">
        <w:rPr>
          <w:rFonts w:eastAsia="Times New Roman" w:cstheme="minorHAnsi"/>
          <w:spacing w:val="-1"/>
        </w:rPr>
        <w:t>e</w:t>
      </w:r>
      <w:r w:rsidRPr="00A54361">
        <w:rPr>
          <w:rFonts w:eastAsia="Times New Roman" w:cstheme="minorHAnsi"/>
        </w:rPr>
        <w:t>l</w:t>
      </w:r>
      <w:r w:rsidRPr="00A54361">
        <w:rPr>
          <w:rFonts w:eastAsia="Times New Roman" w:cstheme="minorHAnsi"/>
          <w:spacing w:val="1"/>
        </w:rPr>
        <w:t>l</w:t>
      </w:r>
      <w:r w:rsidRPr="00A54361">
        <w:rPr>
          <w:rFonts w:eastAsia="Times New Roman" w:cstheme="minorHAnsi"/>
          <w:spacing w:val="-1"/>
        </w:rPr>
        <w:t>a</w:t>
      </w:r>
      <w:r w:rsidRPr="00A54361">
        <w:rPr>
          <w:rFonts w:eastAsia="Times New Roman" w:cstheme="minorHAnsi"/>
        </w:rPr>
        <w:t>te</w:t>
      </w:r>
      <w:r w:rsidRPr="00A54361">
        <w:rPr>
          <w:rFonts w:eastAsia="Times New Roman" w:cstheme="minorHAnsi"/>
          <w:spacing w:val="2"/>
        </w:rPr>
        <w:t xml:space="preserve"> </w:t>
      </w:r>
      <w:r w:rsidRPr="00A54361">
        <w:rPr>
          <w:rFonts w:eastAsia="Times New Roman" w:cstheme="minorHAnsi"/>
        </w:rPr>
        <w:t>Autho</w:t>
      </w:r>
      <w:r w:rsidRPr="00A54361">
        <w:rPr>
          <w:rFonts w:eastAsia="Times New Roman" w:cstheme="minorHAnsi"/>
          <w:spacing w:val="-1"/>
        </w:rPr>
        <w:t>r</w:t>
      </w:r>
      <w:r w:rsidRPr="00A54361">
        <w:rPr>
          <w:rFonts w:eastAsia="Times New Roman" w:cstheme="minorHAnsi"/>
        </w:rPr>
        <w:t>i</w:t>
      </w:r>
      <w:r w:rsidRPr="00A54361">
        <w:rPr>
          <w:rFonts w:eastAsia="Times New Roman" w:cstheme="minorHAnsi"/>
          <w:spacing w:val="6"/>
        </w:rPr>
        <w:t>t</w:t>
      </w:r>
      <w:r w:rsidRPr="00A54361">
        <w:rPr>
          <w:rFonts w:eastAsia="Times New Roman" w:cstheme="minorHAnsi"/>
          <w:spacing w:val="-5"/>
        </w:rPr>
        <w:t>y</w:t>
      </w:r>
      <w:r w:rsidRPr="00A54361">
        <w:rPr>
          <w:rFonts w:eastAsia="Times New Roman" w:cstheme="minorHAnsi"/>
        </w:rPr>
        <w:t>, it</w:t>
      </w:r>
      <w:r w:rsidRPr="00A54361">
        <w:rPr>
          <w:rFonts w:eastAsia="Times New Roman" w:cstheme="minorHAnsi"/>
          <w:spacing w:val="1"/>
        </w:rPr>
        <w:t xml:space="preserve"> </w:t>
      </w:r>
      <w:r w:rsidRPr="00A54361">
        <w:rPr>
          <w:rFonts w:eastAsia="Times New Roman" w:cstheme="minorHAnsi"/>
        </w:rPr>
        <w:t>m</w:t>
      </w:r>
      <w:r w:rsidRPr="00A54361">
        <w:rPr>
          <w:rFonts w:eastAsia="Times New Roman" w:cstheme="minorHAnsi"/>
          <w:spacing w:val="2"/>
        </w:rPr>
        <w:t>a</w:t>
      </w:r>
      <w:r w:rsidRPr="00A54361">
        <w:rPr>
          <w:rFonts w:eastAsia="Times New Roman" w:cstheme="minorHAnsi"/>
        </w:rPr>
        <w:t>y</w:t>
      </w:r>
      <w:r w:rsidRPr="00A54361">
        <w:rPr>
          <w:rFonts w:eastAsia="Times New Roman" w:cstheme="minorHAnsi"/>
          <w:spacing w:val="-5"/>
        </w:rPr>
        <w:t xml:space="preserve"> </w:t>
      </w:r>
      <w:r w:rsidRPr="00A54361">
        <w:rPr>
          <w:rFonts w:eastAsia="Times New Roman" w:cstheme="minorHAnsi"/>
          <w:spacing w:val="-1"/>
        </w:rPr>
        <w:t>a</w:t>
      </w:r>
      <w:r w:rsidRPr="00A54361">
        <w:rPr>
          <w:rFonts w:eastAsia="Times New Roman" w:cstheme="minorHAnsi"/>
        </w:rPr>
        <w:t>ppr</w:t>
      </w:r>
      <w:r w:rsidRPr="00A54361">
        <w:rPr>
          <w:rFonts w:eastAsia="Times New Roman" w:cstheme="minorHAnsi"/>
          <w:spacing w:val="1"/>
        </w:rPr>
        <w:t>o</w:t>
      </w:r>
      <w:r w:rsidRPr="00A54361">
        <w:rPr>
          <w:rFonts w:eastAsia="Times New Roman" w:cstheme="minorHAnsi"/>
          <w:spacing w:val="-1"/>
        </w:rPr>
        <w:t>ac</w:t>
      </w:r>
      <w:r w:rsidRPr="00A54361">
        <w:rPr>
          <w:rFonts w:eastAsia="Times New Roman" w:cstheme="minorHAnsi"/>
        </w:rPr>
        <w:t>h CE</w:t>
      </w:r>
      <w:r w:rsidRPr="00A54361">
        <w:rPr>
          <w:rFonts w:eastAsia="Times New Roman" w:cstheme="minorHAnsi"/>
          <w:spacing w:val="-1"/>
        </w:rPr>
        <w:t>N</w:t>
      </w:r>
      <w:r w:rsidRPr="00A54361">
        <w:rPr>
          <w:rFonts w:eastAsia="Times New Roman" w:cstheme="minorHAnsi"/>
        </w:rPr>
        <w:t>T</w:t>
      </w:r>
      <w:r w:rsidRPr="00A54361">
        <w:rPr>
          <w:rFonts w:eastAsia="Times New Roman" w:cstheme="minorHAnsi"/>
          <w:spacing w:val="3"/>
        </w:rPr>
        <w:t>R</w:t>
      </w:r>
      <w:r w:rsidRPr="00A54361">
        <w:rPr>
          <w:rFonts w:eastAsia="Times New Roman" w:cstheme="minorHAnsi"/>
          <w:spacing w:val="2"/>
        </w:rPr>
        <w:t>A</w:t>
      </w:r>
      <w:r w:rsidRPr="00A54361">
        <w:rPr>
          <w:rFonts w:eastAsia="Times New Roman" w:cstheme="minorHAnsi"/>
        </w:rPr>
        <w:t>L</w:t>
      </w:r>
      <w:r w:rsidRPr="00A54361">
        <w:rPr>
          <w:rFonts w:eastAsia="Times New Roman" w:cstheme="minorHAnsi"/>
          <w:spacing w:val="-3"/>
        </w:rPr>
        <w:t xml:space="preserve"> </w:t>
      </w:r>
      <w:r w:rsidRPr="00A54361">
        <w:rPr>
          <w:rFonts w:eastAsia="Times New Roman" w:cstheme="minorHAnsi"/>
          <w:spacing w:val="-2"/>
        </w:rPr>
        <w:t>B</w:t>
      </w:r>
      <w:r w:rsidRPr="00A54361">
        <w:rPr>
          <w:rFonts w:eastAsia="Times New Roman" w:cstheme="minorHAnsi"/>
        </w:rPr>
        <w:t>A</w:t>
      </w:r>
      <w:r w:rsidRPr="00A54361">
        <w:rPr>
          <w:rFonts w:eastAsia="Times New Roman" w:cstheme="minorHAnsi"/>
          <w:spacing w:val="1"/>
        </w:rPr>
        <w:t>N</w:t>
      </w:r>
      <w:r w:rsidRPr="00A54361">
        <w:rPr>
          <w:rFonts w:eastAsia="Times New Roman" w:cstheme="minorHAnsi"/>
        </w:rPr>
        <w:t xml:space="preserve">K </w:t>
      </w:r>
      <w:r w:rsidRPr="00A54361">
        <w:rPr>
          <w:rFonts w:eastAsia="Times New Roman" w:cstheme="minorHAnsi"/>
          <w:spacing w:val="1"/>
        </w:rPr>
        <w:t>O</w:t>
      </w:r>
      <w:r w:rsidRPr="00A54361">
        <w:rPr>
          <w:rFonts w:eastAsia="Times New Roman" w:cstheme="minorHAnsi"/>
        </w:rPr>
        <w:t>F</w:t>
      </w:r>
      <w:r w:rsidRPr="00A54361">
        <w:rPr>
          <w:rFonts w:eastAsia="Times New Roman" w:cstheme="minorHAnsi"/>
          <w:spacing w:val="1"/>
        </w:rPr>
        <w:t xml:space="preserve"> </w:t>
      </w:r>
      <w:r w:rsidRPr="00A54361">
        <w:rPr>
          <w:rFonts w:eastAsia="Times New Roman" w:cstheme="minorHAnsi"/>
          <w:spacing w:val="-3"/>
        </w:rPr>
        <w:t>I</w:t>
      </w:r>
      <w:r w:rsidRPr="00A54361">
        <w:rPr>
          <w:rFonts w:eastAsia="Times New Roman" w:cstheme="minorHAnsi"/>
        </w:rPr>
        <w:t>N</w:t>
      </w:r>
      <w:r w:rsidRPr="00A54361">
        <w:rPr>
          <w:rFonts w:eastAsia="Times New Roman" w:cstheme="minorHAnsi"/>
          <w:spacing w:val="4"/>
        </w:rPr>
        <w:t>D</w:t>
      </w:r>
      <w:r w:rsidRPr="00A54361">
        <w:rPr>
          <w:rFonts w:eastAsia="Times New Roman" w:cstheme="minorHAnsi"/>
          <w:spacing w:val="-3"/>
        </w:rPr>
        <w:t>I</w:t>
      </w:r>
      <w:r w:rsidRPr="00A54361">
        <w:rPr>
          <w:rFonts w:eastAsia="Times New Roman" w:cstheme="minorHAnsi"/>
        </w:rPr>
        <w:t>A</w:t>
      </w:r>
      <w:r w:rsidRPr="00A54361">
        <w:rPr>
          <w:rFonts w:eastAsia="Times New Roman" w:cstheme="minorHAnsi"/>
          <w:spacing w:val="2"/>
        </w:rPr>
        <w:t xml:space="preserve"> </w:t>
      </w:r>
      <w:r w:rsidRPr="00A54361">
        <w:rPr>
          <w:rFonts w:eastAsia="Times New Roman" w:cstheme="minorHAnsi"/>
        </w:rPr>
        <w:t>Bo</w:t>
      </w:r>
      <w:r w:rsidRPr="00A54361">
        <w:rPr>
          <w:rFonts w:eastAsia="Times New Roman" w:cstheme="minorHAnsi"/>
          <w:spacing w:val="-1"/>
        </w:rPr>
        <w:t>a</w:t>
      </w:r>
      <w:r w:rsidRPr="00A54361">
        <w:rPr>
          <w:rFonts w:eastAsia="Times New Roman" w:cstheme="minorHAnsi"/>
        </w:rPr>
        <w:t xml:space="preserve">rd </w:t>
      </w:r>
      <w:r w:rsidRPr="00A54361">
        <w:rPr>
          <w:rFonts w:eastAsia="Times New Roman" w:cstheme="minorHAnsi"/>
          <w:spacing w:val="-2"/>
        </w:rPr>
        <w:t>a</w:t>
      </w:r>
      <w:r w:rsidRPr="00A54361">
        <w:rPr>
          <w:rFonts w:eastAsia="Times New Roman" w:cstheme="minorHAnsi"/>
        </w:rPr>
        <w:t xml:space="preserve">s </w:t>
      </w:r>
      <w:r w:rsidRPr="00A54361">
        <w:rPr>
          <w:rFonts w:eastAsia="Times New Roman" w:cstheme="minorHAnsi"/>
          <w:spacing w:val="1"/>
        </w:rPr>
        <w:t>S</w:t>
      </w:r>
      <w:r w:rsidRPr="00A54361">
        <w:rPr>
          <w:rFonts w:eastAsia="Times New Roman" w:cstheme="minorHAnsi"/>
          <w:spacing w:val="-1"/>
        </w:rPr>
        <w:t>ec</w:t>
      </w:r>
      <w:r w:rsidRPr="00A54361">
        <w:rPr>
          <w:rFonts w:eastAsia="Times New Roman" w:cstheme="minorHAnsi"/>
        </w:rPr>
        <w:t>ond</w:t>
      </w:r>
      <w:r w:rsidRPr="00A54361">
        <w:rPr>
          <w:rFonts w:eastAsia="Times New Roman" w:cstheme="minorHAnsi"/>
          <w:spacing w:val="2"/>
        </w:rPr>
        <w:t xml:space="preserve"> </w:t>
      </w:r>
      <w:r w:rsidRPr="00A54361">
        <w:rPr>
          <w:rFonts w:eastAsia="Times New Roman" w:cstheme="minorHAnsi"/>
        </w:rPr>
        <w:t>App</w:t>
      </w:r>
      <w:r w:rsidRPr="00A54361">
        <w:rPr>
          <w:rFonts w:eastAsia="Times New Roman" w:cstheme="minorHAnsi"/>
          <w:spacing w:val="-1"/>
        </w:rPr>
        <w:t>e</w:t>
      </w:r>
      <w:r w:rsidRPr="00A54361">
        <w:rPr>
          <w:rFonts w:eastAsia="Times New Roman" w:cstheme="minorHAnsi"/>
        </w:rPr>
        <w:t>l</w:t>
      </w:r>
      <w:r w:rsidRPr="00A54361">
        <w:rPr>
          <w:rFonts w:eastAsia="Times New Roman" w:cstheme="minorHAnsi"/>
          <w:spacing w:val="1"/>
        </w:rPr>
        <w:t>l</w:t>
      </w:r>
      <w:r w:rsidRPr="00A54361">
        <w:rPr>
          <w:rFonts w:eastAsia="Times New Roman" w:cstheme="minorHAnsi"/>
          <w:spacing w:val="-1"/>
        </w:rPr>
        <w:t>a</w:t>
      </w:r>
      <w:r w:rsidRPr="00A54361">
        <w:rPr>
          <w:rFonts w:eastAsia="Times New Roman" w:cstheme="minorHAnsi"/>
        </w:rPr>
        <w:t>te</w:t>
      </w:r>
      <w:r w:rsidRPr="00A54361">
        <w:rPr>
          <w:rFonts w:eastAsia="Times New Roman" w:cstheme="minorHAnsi"/>
          <w:spacing w:val="2"/>
        </w:rPr>
        <w:t xml:space="preserve"> </w:t>
      </w:r>
      <w:r w:rsidRPr="00A54361">
        <w:rPr>
          <w:rFonts w:eastAsia="Times New Roman" w:cstheme="minorHAnsi"/>
        </w:rPr>
        <w:t>Autho</w:t>
      </w:r>
      <w:r w:rsidRPr="00A54361">
        <w:rPr>
          <w:rFonts w:eastAsia="Times New Roman" w:cstheme="minorHAnsi"/>
          <w:spacing w:val="-1"/>
        </w:rPr>
        <w:t>r</w:t>
      </w:r>
      <w:r w:rsidRPr="00A54361">
        <w:rPr>
          <w:rFonts w:eastAsia="Times New Roman" w:cstheme="minorHAnsi"/>
        </w:rPr>
        <w:t>i</w:t>
      </w:r>
      <w:r w:rsidRPr="00A54361">
        <w:rPr>
          <w:rFonts w:eastAsia="Times New Roman" w:cstheme="minorHAnsi"/>
          <w:spacing w:val="3"/>
        </w:rPr>
        <w:t>t</w:t>
      </w:r>
      <w:r w:rsidRPr="00A54361">
        <w:rPr>
          <w:rFonts w:eastAsia="Times New Roman" w:cstheme="minorHAnsi"/>
          <w:spacing w:val="-5"/>
        </w:rPr>
        <w:t>y</w:t>
      </w:r>
      <w:r w:rsidRPr="00A54361">
        <w:rPr>
          <w:rFonts w:eastAsia="Times New Roman" w:cstheme="minorHAnsi"/>
        </w:rPr>
        <w:t>.</w:t>
      </w:r>
    </w:p>
    <w:p w14:paraId="7708340B" w14:textId="77777777" w:rsidR="0054549F" w:rsidRPr="00A54361" w:rsidRDefault="0054549F" w:rsidP="00A54361">
      <w:pPr>
        <w:ind w:left="142" w:right="6644" w:hanging="426"/>
        <w:jc w:val="both"/>
        <w:rPr>
          <w:rFonts w:cstheme="minorHAnsi"/>
        </w:rPr>
      </w:pPr>
      <w:r w:rsidRPr="00A54361">
        <w:rPr>
          <w:rFonts w:eastAsia="Times New Roman" w:cstheme="minorHAnsi"/>
        </w:rPr>
        <w:t xml:space="preserve"> d) </w:t>
      </w:r>
      <w:r w:rsidRPr="00A54361">
        <w:rPr>
          <w:rFonts w:eastAsia="Times New Roman" w:cstheme="minorHAnsi"/>
          <w:spacing w:val="-2"/>
        </w:rPr>
        <w:t>F</w:t>
      </w:r>
      <w:r w:rsidRPr="00A54361">
        <w:rPr>
          <w:rFonts w:eastAsia="Times New Roman" w:cstheme="minorHAnsi"/>
        </w:rPr>
        <w:t>or</w:t>
      </w:r>
      <w:r w:rsidRPr="00A54361">
        <w:rPr>
          <w:rFonts w:eastAsia="Times New Roman" w:cstheme="minorHAnsi"/>
          <w:spacing w:val="1"/>
        </w:rPr>
        <w:t xml:space="preserve"> </w:t>
      </w:r>
      <w:r w:rsidRPr="00A54361">
        <w:rPr>
          <w:rFonts w:eastAsia="Times New Roman" w:cstheme="minorHAnsi"/>
          <w:spacing w:val="-3"/>
        </w:rPr>
        <w:t>Z</w:t>
      </w:r>
      <w:r w:rsidRPr="00A54361">
        <w:rPr>
          <w:rFonts w:eastAsia="Times New Roman" w:cstheme="minorHAnsi"/>
        </w:rPr>
        <w:t>o</w:t>
      </w:r>
      <w:r w:rsidRPr="00A54361">
        <w:rPr>
          <w:rFonts w:eastAsia="Times New Roman" w:cstheme="minorHAnsi"/>
          <w:spacing w:val="2"/>
        </w:rPr>
        <w:t>n</w:t>
      </w:r>
      <w:r w:rsidRPr="00A54361">
        <w:rPr>
          <w:rFonts w:eastAsia="Times New Roman" w:cstheme="minorHAnsi"/>
          <w:spacing w:val="-1"/>
        </w:rPr>
        <w:t>a</w:t>
      </w:r>
      <w:r w:rsidRPr="00A54361">
        <w:rPr>
          <w:rFonts w:eastAsia="Times New Roman" w:cstheme="minorHAnsi"/>
        </w:rPr>
        <w:t>l Of</w:t>
      </w:r>
      <w:r w:rsidRPr="00A54361">
        <w:rPr>
          <w:rFonts w:eastAsia="Times New Roman" w:cstheme="minorHAnsi"/>
          <w:spacing w:val="-1"/>
        </w:rPr>
        <w:t>f</w:t>
      </w:r>
      <w:r w:rsidRPr="00A54361">
        <w:rPr>
          <w:rFonts w:eastAsia="Times New Roman" w:cstheme="minorHAnsi"/>
          <w:spacing w:val="3"/>
        </w:rPr>
        <w:t>i</w:t>
      </w:r>
      <w:r w:rsidRPr="00A54361">
        <w:rPr>
          <w:rFonts w:eastAsia="Times New Roman" w:cstheme="minorHAnsi"/>
          <w:spacing w:val="-1"/>
        </w:rPr>
        <w:t>ce</w:t>
      </w:r>
      <w:r w:rsidRPr="00A54361">
        <w:rPr>
          <w:rFonts w:eastAsia="Times New Roman" w:cstheme="minorHAnsi"/>
        </w:rPr>
        <w:t>s On</w:t>
      </w:r>
      <w:r w:rsidRPr="00A54361">
        <w:rPr>
          <w:rFonts w:eastAsia="Times New Roman" w:cstheme="minorHAnsi"/>
          <w:spacing w:val="3"/>
        </w:rPr>
        <w:t>l</w:t>
      </w:r>
      <w:r w:rsidRPr="00A54361">
        <w:rPr>
          <w:rFonts w:eastAsia="Times New Roman" w:cstheme="minorHAnsi"/>
        </w:rPr>
        <w:t>y</w:t>
      </w:r>
    </w:p>
    <w:p w14:paraId="10C18DB9" w14:textId="77777777" w:rsidR="0054549F" w:rsidRPr="00A54361" w:rsidRDefault="0054549F" w:rsidP="00A54361">
      <w:pPr>
        <w:ind w:right="80"/>
        <w:jc w:val="both"/>
        <w:rPr>
          <w:rFonts w:cstheme="minorHAnsi"/>
        </w:rPr>
      </w:pPr>
      <w:r w:rsidRPr="00A54361">
        <w:rPr>
          <w:rFonts w:eastAsia="Times New Roman" w:cstheme="minorHAnsi"/>
        </w:rPr>
        <w:t>A</w:t>
      </w:r>
      <w:r w:rsidRPr="00A54361">
        <w:rPr>
          <w:rFonts w:eastAsia="Times New Roman" w:cstheme="minorHAnsi"/>
          <w:spacing w:val="2"/>
        </w:rPr>
        <w:t>n</w:t>
      </w:r>
      <w:r w:rsidRPr="00A54361">
        <w:rPr>
          <w:rFonts w:eastAsia="Times New Roman" w:cstheme="minorHAnsi"/>
        </w:rPr>
        <w:t>y</w:t>
      </w:r>
      <w:r w:rsidRPr="00A54361">
        <w:rPr>
          <w:rFonts w:eastAsia="Times New Roman" w:cstheme="minorHAnsi"/>
          <w:spacing w:val="17"/>
        </w:rPr>
        <w:t xml:space="preserve"> </w:t>
      </w:r>
      <w:r w:rsidRPr="00A54361">
        <w:rPr>
          <w:rFonts w:eastAsia="Times New Roman" w:cstheme="minorHAnsi"/>
          <w:spacing w:val="2"/>
        </w:rPr>
        <w:t>o</w:t>
      </w:r>
      <w:r w:rsidRPr="00A54361">
        <w:rPr>
          <w:rFonts w:eastAsia="Times New Roman" w:cstheme="minorHAnsi"/>
        </w:rPr>
        <w:t>f</w:t>
      </w:r>
      <w:r w:rsidRPr="00A54361">
        <w:rPr>
          <w:rFonts w:eastAsia="Times New Roman" w:cstheme="minorHAnsi"/>
          <w:spacing w:val="-1"/>
        </w:rPr>
        <w:t>f</w:t>
      </w:r>
      <w:r w:rsidRPr="00A54361">
        <w:rPr>
          <w:rFonts w:eastAsia="Times New Roman" w:cstheme="minorHAnsi"/>
        </w:rPr>
        <w:t>i</w:t>
      </w:r>
      <w:r w:rsidRPr="00A54361">
        <w:rPr>
          <w:rFonts w:eastAsia="Times New Roman" w:cstheme="minorHAnsi"/>
          <w:spacing w:val="2"/>
        </w:rPr>
        <w:t>c</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21"/>
        </w:rPr>
        <w:t xml:space="preserve"> </w:t>
      </w:r>
      <w:r w:rsidRPr="00A54361">
        <w:rPr>
          <w:rFonts w:eastAsia="Times New Roman" w:cstheme="minorHAnsi"/>
        </w:rPr>
        <w:t>not</w:t>
      </w:r>
      <w:r w:rsidRPr="00A54361">
        <w:rPr>
          <w:rFonts w:eastAsia="Times New Roman" w:cstheme="minorHAnsi"/>
          <w:spacing w:val="22"/>
        </w:rPr>
        <w:t xml:space="preserve"> </w:t>
      </w:r>
      <w:r w:rsidRPr="00A54361">
        <w:rPr>
          <w:rFonts w:eastAsia="Times New Roman" w:cstheme="minorHAnsi"/>
          <w:spacing w:val="2"/>
        </w:rPr>
        <w:t>b</w:t>
      </w:r>
      <w:r w:rsidRPr="00A54361">
        <w:rPr>
          <w:rFonts w:eastAsia="Times New Roman" w:cstheme="minorHAnsi"/>
          <w:spacing w:val="-1"/>
        </w:rPr>
        <w:t>e</w:t>
      </w:r>
      <w:r w:rsidRPr="00A54361">
        <w:rPr>
          <w:rFonts w:eastAsia="Times New Roman" w:cstheme="minorHAnsi"/>
        </w:rPr>
        <w:t>low</w:t>
      </w:r>
      <w:r w:rsidRPr="00A54361">
        <w:rPr>
          <w:rFonts w:eastAsia="Times New Roman" w:cstheme="minorHAnsi"/>
          <w:spacing w:val="21"/>
        </w:rPr>
        <w:t xml:space="preserve"> </w:t>
      </w:r>
      <w:r w:rsidRPr="00A54361">
        <w:rPr>
          <w:rFonts w:eastAsia="Times New Roman" w:cstheme="minorHAnsi"/>
          <w:spacing w:val="3"/>
        </w:rPr>
        <w:t>t</w:t>
      </w:r>
      <w:r w:rsidRPr="00A54361">
        <w:rPr>
          <w:rFonts w:eastAsia="Times New Roman" w:cstheme="minorHAnsi"/>
        </w:rPr>
        <w:t>he</w:t>
      </w:r>
      <w:r w:rsidRPr="00A54361">
        <w:rPr>
          <w:rFonts w:eastAsia="Times New Roman" w:cstheme="minorHAnsi"/>
          <w:spacing w:val="20"/>
        </w:rPr>
        <w:t xml:space="preserve"> </w:t>
      </w:r>
      <w:r w:rsidRPr="00A54361">
        <w:rPr>
          <w:rFonts w:eastAsia="Times New Roman" w:cstheme="minorHAnsi"/>
        </w:rPr>
        <w:t>r</w:t>
      </w:r>
      <w:r w:rsidRPr="00A54361">
        <w:rPr>
          <w:rFonts w:eastAsia="Times New Roman" w:cstheme="minorHAnsi"/>
          <w:spacing w:val="-2"/>
        </w:rPr>
        <w:t>a</w:t>
      </w:r>
      <w:r w:rsidRPr="00A54361">
        <w:rPr>
          <w:rFonts w:eastAsia="Times New Roman" w:cstheme="minorHAnsi"/>
        </w:rPr>
        <w:t>nk</w:t>
      </w:r>
      <w:r w:rsidRPr="00A54361">
        <w:rPr>
          <w:rFonts w:eastAsia="Times New Roman" w:cstheme="minorHAnsi"/>
          <w:spacing w:val="24"/>
        </w:rPr>
        <w:t xml:space="preserve"> </w:t>
      </w:r>
      <w:r w:rsidRPr="00A54361">
        <w:rPr>
          <w:rFonts w:eastAsia="Times New Roman" w:cstheme="minorHAnsi"/>
        </w:rPr>
        <w:t>of</w:t>
      </w:r>
      <w:r w:rsidRPr="00A54361">
        <w:rPr>
          <w:rFonts w:eastAsia="Times New Roman" w:cstheme="minorHAnsi"/>
          <w:spacing w:val="21"/>
        </w:rPr>
        <w:t xml:space="preserve"> </w:t>
      </w:r>
      <w:r w:rsidRPr="00A54361">
        <w:rPr>
          <w:rFonts w:eastAsia="Times New Roman" w:cstheme="minorHAnsi"/>
          <w:spacing w:val="2"/>
        </w:rPr>
        <w:t>D</w:t>
      </w:r>
      <w:r w:rsidRPr="00A54361">
        <w:rPr>
          <w:rFonts w:eastAsia="Times New Roman" w:cstheme="minorHAnsi"/>
          <w:spacing w:val="-1"/>
        </w:rPr>
        <w:t>e</w:t>
      </w:r>
      <w:r w:rsidRPr="00A54361">
        <w:rPr>
          <w:rFonts w:eastAsia="Times New Roman" w:cstheme="minorHAnsi"/>
        </w:rPr>
        <w:t>pu</w:t>
      </w:r>
      <w:r w:rsidRPr="00A54361">
        <w:rPr>
          <w:rFonts w:eastAsia="Times New Roman" w:cstheme="minorHAnsi"/>
          <w:spacing w:val="3"/>
        </w:rPr>
        <w:t>t</w:t>
      </w:r>
      <w:r w:rsidRPr="00A54361">
        <w:rPr>
          <w:rFonts w:eastAsia="Times New Roman" w:cstheme="minorHAnsi"/>
        </w:rPr>
        <w:t>y</w:t>
      </w:r>
      <w:r w:rsidRPr="00A54361">
        <w:rPr>
          <w:rFonts w:eastAsia="Times New Roman" w:cstheme="minorHAnsi"/>
          <w:spacing w:val="19"/>
        </w:rPr>
        <w:t xml:space="preserve"> </w:t>
      </w:r>
      <w:r w:rsidRPr="00A54361">
        <w:rPr>
          <w:rFonts w:eastAsia="Times New Roman" w:cstheme="minorHAnsi"/>
        </w:rPr>
        <w:t>G</w:t>
      </w:r>
      <w:r w:rsidRPr="00A54361">
        <w:rPr>
          <w:rFonts w:eastAsia="Times New Roman" w:cstheme="minorHAnsi"/>
          <w:spacing w:val="-1"/>
        </w:rPr>
        <w:t>e</w:t>
      </w:r>
      <w:r w:rsidRPr="00A54361">
        <w:rPr>
          <w:rFonts w:eastAsia="Times New Roman" w:cstheme="minorHAnsi"/>
          <w:spacing w:val="2"/>
        </w:rPr>
        <w:t>n</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2"/>
        </w:rPr>
        <w:t>a</w:t>
      </w:r>
      <w:r w:rsidRPr="00A54361">
        <w:rPr>
          <w:rFonts w:eastAsia="Times New Roman" w:cstheme="minorHAnsi"/>
        </w:rPr>
        <w:t>l</w:t>
      </w:r>
      <w:r w:rsidRPr="00A54361">
        <w:rPr>
          <w:rFonts w:eastAsia="Times New Roman" w:cstheme="minorHAnsi"/>
          <w:spacing w:val="22"/>
        </w:rPr>
        <w:t xml:space="preserve"> </w:t>
      </w:r>
      <w:r w:rsidRPr="00A54361">
        <w:rPr>
          <w:rFonts w:eastAsia="Times New Roman" w:cstheme="minorHAnsi"/>
        </w:rPr>
        <w:t>M</w:t>
      </w:r>
      <w:r w:rsidRPr="00A54361">
        <w:rPr>
          <w:rFonts w:eastAsia="Times New Roman" w:cstheme="minorHAnsi"/>
          <w:spacing w:val="-1"/>
        </w:rPr>
        <w:t>a</w:t>
      </w:r>
      <w:r w:rsidRPr="00A54361">
        <w:rPr>
          <w:rFonts w:eastAsia="Times New Roman" w:cstheme="minorHAnsi"/>
        </w:rPr>
        <w:t>n</w:t>
      </w:r>
      <w:r w:rsidRPr="00A54361">
        <w:rPr>
          <w:rFonts w:eastAsia="Times New Roman" w:cstheme="minorHAnsi"/>
          <w:spacing w:val="1"/>
        </w:rPr>
        <w:t>a</w:t>
      </w:r>
      <w:r w:rsidRPr="00A54361">
        <w:rPr>
          <w:rFonts w:eastAsia="Times New Roman" w:cstheme="minorHAnsi"/>
        </w:rPr>
        <w:t>g</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23"/>
        </w:rPr>
        <w:t xml:space="preserve"> </w:t>
      </w:r>
      <w:r w:rsidRPr="00A54361">
        <w:rPr>
          <w:rFonts w:eastAsia="Times New Roman" w:cstheme="minorHAnsi"/>
          <w:spacing w:val="-1"/>
        </w:rPr>
        <w:t>a</w:t>
      </w:r>
      <w:r w:rsidRPr="00A54361">
        <w:rPr>
          <w:rFonts w:eastAsia="Times New Roman" w:cstheme="minorHAnsi"/>
        </w:rPr>
        <w:t>ppoin</w:t>
      </w:r>
      <w:r w:rsidRPr="00A54361">
        <w:rPr>
          <w:rFonts w:eastAsia="Times New Roman" w:cstheme="minorHAnsi"/>
          <w:spacing w:val="1"/>
        </w:rPr>
        <w:t>t</w:t>
      </w:r>
      <w:r w:rsidRPr="00A54361">
        <w:rPr>
          <w:rFonts w:eastAsia="Times New Roman" w:cstheme="minorHAnsi"/>
          <w:spacing w:val="-1"/>
        </w:rPr>
        <w:t>e</w:t>
      </w:r>
      <w:r w:rsidRPr="00A54361">
        <w:rPr>
          <w:rFonts w:eastAsia="Times New Roman" w:cstheme="minorHAnsi"/>
        </w:rPr>
        <w:t>d</w:t>
      </w:r>
      <w:r w:rsidRPr="00A54361">
        <w:rPr>
          <w:rFonts w:eastAsia="Times New Roman" w:cstheme="minorHAnsi"/>
          <w:spacing w:val="21"/>
        </w:rPr>
        <w:t xml:space="preserve"> </w:t>
      </w:r>
      <w:r w:rsidRPr="00A54361">
        <w:rPr>
          <w:rFonts w:eastAsia="Times New Roman" w:cstheme="minorHAnsi"/>
          <w:spacing w:val="2"/>
        </w:rPr>
        <w:t>o</w:t>
      </w:r>
      <w:r w:rsidRPr="00A54361">
        <w:rPr>
          <w:rFonts w:eastAsia="Times New Roman" w:cstheme="minorHAnsi"/>
        </w:rPr>
        <w:t>r</w:t>
      </w:r>
      <w:r w:rsidRPr="00A54361">
        <w:rPr>
          <w:rFonts w:eastAsia="Times New Roman" w:cstheme="minorHAnsi"/>
          <w:spacing w:val="21"/>
        </w:rPr>
        <w:t xml:space="preserve"> </w:t>
      </w:r>
      <w:r w:rsidRPr="00A54361">
        <w:rPr>
          <w:rFonts w:eastAsia="Times New Roman" w:cstheme="minorHAnsi"/>
        </w:rPr>
        <w:t>nom</w:t>
      </w:r>
      <w:r w:rsidRPr="00A54361">
        <w:rPr>
          <w:rFonts w:eastAsia="Times New Roman" w:cstheme="minorHAnsi"/>
          <w:spacing w:val="1"/>
        </w:rPr>
        <w:t>i</w:t>
      </w:r>
      <w:r w:rsidRPr="00A54361">
        <w:rPr>
          <w:rFonts w:eastAsia="Times New Roman" w:cstheme="minorHAnsi"/>
        </w:rPr>
        <w:t>n</w:t>
      </w:r>
      <w:r w:rsidRPr="00A54361">
        <w:rPr>
          <w:rFonts w:eastAsia="Times New Roman" w:cstheme="minorHAnsi"/>
          <w:spacing w:val="-1"/>
        </w:rPr>
        <w:t>a</w:t>
      </w:r>
      <w:r w:rsidRPr="00A54361">
        <w:rPr>
          <w:rFonts w:eastAsia="Times New Roman" w:cstheme="minorHAnsi"/>
        </w:rPr>
        <w:t>ted</w:t>
      </w:r>
      <w:r w:rsidRPr="00A54361">
        <w:rPr>
          <w:rFonts w:eastAsia="Times New Roman" w:cstheme="minorHAnsi"/>
          <w:spacing w:val="21"/>
        </w:rPr>
        <w:t xml:space="preserve"> </w:t>
      </w:r>
      <w:r w:rsidRPr="00A54361">
        <w:rPr>
          <w:rFonts w:eastAsia="Times New Roman" w:cstheme="minorHAnsi"/>
          <w:spacing w:val="5"/>
        </w:rPr>
        <w:t>b</w:t>
      </w:r>
      <w:r w:rsidRPr="00A54361">
        <w:rPr>
          <w:rFonts w:eastAsia="Times New Roman" w:cstheme="minorHAnsi"/>
        </w:rPr>
        <w:t>y</w:t>
      </w:r>
      <w:r w:rsidRPr="00A54361">
        <w:rPr>
          <w:rFonts w:eastAsia="Times New Roman" w:cstheme="minorHAnsi"/>
          <w:spacing w:val="17"/>
        </w:rPr>
        <w:t xml:space="preserve"> </w:t>
      </w:r>
      <w:r w:rsidRPr="00A54361">
        <w:rPr>
          <w:rFonts w:eastAsia="Times New Roman" w:cstheme="minorHAnsi"/>
        </w:rPr>
        <w:t>the H</w:t>
      </w:r>
      <w:r w:rsidRPr="00A54361">
        <w:rPr>
          <w:rFonts w:eastAsia="Times New Roman" w:cstheme="minorHAnsi"/>
          <w:spacing w:val="-1"/>
        </w:rPr>
        <w:t>ea</w:t>
      </w:r>
      <w:r w:rsidRPr="00A54361">
        <w:rPr>
          <w:rFonts w:eastAsia="Times New Roman" w:cstheme="minorHAnsi"/>
        </w:rPr>
        <w:t>d</w:t>
      </w:r>
      <w:r w:rsidRPr="00A54361">
        <w:rPr>
          <w:rFonts w:eastAsia="Times New Roman" w:cstheme="minorHAnsi"/>
          <w:spacing w:val="5"/>
        </w:rPr>
        <w:t xml:space="preserve"> </w:t>
      </w:r>
      <w:r w:rsidRPr="00A54361">
        <w:rPr>
          <w:rFonts w:eastAsia="Times New Roman" w:cstheme="minorHAnsi"/>
        </w:rPr>
        <w:t>of</w:t>
      </w:r>
      <w:r w:rsidRPr="00A54361">
        <w:rPr>
          <w:rFonts w:eastAsia="Times New Roman" w:cstheme="minorHAnsi"/>
          <w:spacing w:val="6"/>
        </w:rPr>
        <w:t xml:space="preserve"> </w:t>
      </w:r>
      <w:r w:rsidRPr="00A54361">
        <w:rPr>
          <w:rFonts w:eastAsia="Times New Roman" w:cstheme="minorHAnsi"/>
          <w:spacing w:val="-3"/>
        </w:rPr>
        <w:t>Z</w:t>
      </w:r>
      <w:r w:rsidRPr="00A54361">
        <w:rPr>
          <w:rFonts w:eastAsia="Times New Roman" w:cstheme="minorHAnsi"/>
        </w:rPr>
        <w:t>o</w:t>
      </w:r>
      <w:r w:rsidRPr="00A54361">
        <w:rPr>
          <w:rFonts w:eastAsia="Times New Roman" w:cstheme="minorHAnsi"/>
          <w:spacing w:val="2"/>
        </w:rPr>
        <w:t>n</w:t>
      </w:r>
      <w:r w:rsidRPr="00A54361">
        <w:rPr>
          <w:rFonts w:eastAsia="Times New Roman" w:cstheme="minorHAnsi"/>
          <w:spacing w:val="-1"/>
        </w:rPr>
        <w:t>a</w:t>
      </w:r>
      <w:r w:rsidRPr="00A54361">
        <w:rPr>
          <w:rFonts w:eastAsia="Times New Roman" w:cstheme="minorHAnsi"/>
        </w:rPr>
        <w:t>l</w:t>
      </w:r>
      <w:r w:rsidRPr="00A54361">
        <w:rPr>
          <w:rFonts w:eastAsia="Times New Roman" w:cstheme="minorHAnsi"/>
          <w:spacing w:val="5"/>
        </w:rPr>
        <w:t xml:space="preserve"> </w:t>
      </w:r>
      <w:r w:rsidRPr="00A54361">
        <w:rPr>
          <w:rFonts w:eastAsia="Times New Roman" w:cstheme="minorHAnsi"/>
        </w:rPr>
        <w:t>O</w:t>
      </w:r>
      <w:r w:rsidRPr="00A54361">
        <w:rPr>
          <w:rFonts w:eastAsia="Times New Roman" w:cstheme="minorHAnsi"/>
          <w:spacing w:val="-1"/>
        </w:rPr>
        <w:t>f</w:t>
      </w:r>
      <w:r w:rsidRPr="00A54361">
        <w:rPr>
          <w:rFonts w:eastAsia="Times New Roman" w:cstheme="minorHAnsi"/>
        </w:rPr>
        <w:t>fi</w:t>
      </w:r>
      <w:r w:rsidRPr="00A54361">
        <w:rPr>
          <w:rFonts w:eastAsia="Times New Roman" w:cstheme="minorHAnsi"/>
          <w:spacing w:val="1"/>
        </w:rPr>
        <w:t>c</w:t>
      </w:r>
      <w:r w:rsidRPr="00A54361">
        <w:rPr>
          <w:rFonts w:eastAsia="Times New Roman" w:cstheme="minorHAnsi"/>
        </w:rPr>
        <w:t>e</w:t>
      </w:r>
      <w:r w:rsidRPr="00A54361">
        <w:rPr>
          <w:rFonts w:eastAsia="Times New Roman" w:cstheme="minorHAnsi"/>
          <w:spacing w:val="4"/>
        </w:rPr>
        <w:t xml:space="preserve"> </w:t>
      </w:r>
      <w:r w:rsidRPr="00A54361">
        <w:rPr>
          <w:rFonts w:eastAsia="Times New Roman" w:cstheme="minorHAnsi"/>
        </w:rPr>
        <w:t>sh</w:t>
      </w:r>
      <w:r w:rsidRPr="00A54361">
        <w:rPr>
          <w:rFonts w:eastAsia="Times New Roman" w:cstheme="minorHAnsi"/>
          <w:spacing w:val="-1"/>
        </w:rPr>
        <w:t>a</w:t>
      </w:r>
      <w:r w:rsidRPr="00A54361">
        <w:rPr>
          <w:rFonts w:eastAsia="Times New Roman" w:cstheme="minorHAnsi"/>
        </w:rPr>
        <w:t>ll</w:t>
      </w:r>
      <w:r w:rsidRPr="00A54361">
        <w:rPr>
          <w:rFonts w:eastAsia="Times New Roman" w:cstheme="minorHAnsi"/>
          <w:spacing w:val="5"/>
        </w:rPr>
        <w:t xml:space="preserve"> </w:t>
      </w:r>
      <w:r w:rsidRPr="00A54361">
        <w:rPr>
          <w:rFonts w:eastAsia="Times New Roman" w:cstheme="minorHAnsi"/>
        </w:rPr>
        <w:t>be</w:t>
      </w:r>
      <w:r w:rsidRPr="00A54361">
        <w:rPr>
          <w:rFonts w:eastAsia="Times New Roman" w:cstheme="minorHAnsi"/>
          <w:spacing w:val="4"/>
        </w:rPr>
        <w:t xml:space="preserve"> </w:t>
      </w:r>
      <w:r w:rsidRPr="00A54361">
        <w:rPr>
          <w:rFonts w:eastAsia="Times New Roman" w:cstheme="minorHAnsi"/>
        </w:rPr>
        <w:t>the</w:t>
      </w:r>
      <w:r w:rsidRPr="00A54361">
        <w:rPr>
          <w:rFonts w:eastAsia="Times New Roman" w:cstheme="minorHAnsi"/>
          <w:spacing w:val="7"/>
        </w:rPr>
        <w:t xml:space="preserve"> </w:t>
      </w:r>
      <w:r w:rsidRPr="00A54361">
        <w:rPr>
          <w:rFonts w:eastAsia="Times New Roman" w:cstheme="minorHAnsi"/>
          <w:spacing w:val="-1"/>
        </w:rPr>
        <w:t>“</w:t>
      </w:r>
      <w:r w:rsidRPr="00A54361">
        <w:rPr>
          <w:rFonts w:eastAsia="Times New Roman" w:cstheme="minorHAnsi"/>
        </w:rPr>
        <w:t>Com</w:t>
      </w:r>
      <w:r w:rsidRPr="00A54361">
        <w:rPr>
          <w:rFonts w:eastAsia="Times New Roman" w:cstheme="minorHAnsi"/>
          <w:spacing w:val="1"/>
        </w:rPr>
        <w:t>p</w:t>
      </w:r>
      <w:r w:rsidRPr="00A54361">
        <w:rPr>
          <w:rFonts w:eastAsia="Times New Roman" w:cstheme="minorHAnsi"/>
          <w:spacing w:val="-1"/>
        </w:rPr>
        <w:t>e</w:t>
      </w:r>
      <w:r w:rsidRPr="00A54361">
        <w:rPr>
          <w:rFonts w:eastAsia="Times New Roman" w:cstheme="minorHAnsi"/>
        </w:rPr>
        <w:t>tent</w:t>
      </w:r>
      <w:r w:rsidRPr="00A54361">
        <w:rPr>
          <w:rFonts w:eastAsia="Times New Roman" w:cstheme="minorHAnsi"/>
          <w:spacing w:val="5"/>
        </w:rPr>
        <w:t xml:space="preserve"> </w:t>
      </w:r>
      <w:r w:rsidRPr="00A54361">
        <w:rPr>
          <w:rFonts w:eastAsia="Times New Roman" w:cstheme="minorHAnsi"/>
          <w:spacing w:val="2"/>
        </w:rPr>
        <w:t>A</w:t>
      </w:r>
      <w:r w:rsidRPr="00A54361">
        <w:rPr>
          <w:rFonts w:eastAsia="Times New Roman" w:cstheme="minorHAnsi"/>
        </w:rPr>
        <w:t>uthori</w:t>
      </w:r>
      <w:r w:rsidRPr="00A54361">
        <w:rPr>
          <w:rFonts w:eastAsia="Times New Roman" w:cstheme="minorHAnsi"/>
          <w:spacing w:val="3"/>
        </w:rPr>
        <w:t>t</w:t>
      </w:r>
      <w:r w:rsidRPr="00A54361">
        <w:rPr>
          <w:rFonts w:eastAsia="Times New Roman" w:cstheme="minorHAnsi"/>
          <w:spacing w:val="-5"/>
        </w:rPr>
        <w:t>y</w:t>
      </w:r>
      <w:r w:rsidRPr="00A54361">
        <w:rPr>
          <w:rFonts w:eastAsia="Times New Roman" w:cstheme="minorHAnsi"/>
        </w:rPr>
        <w:t>”</w:t>
      </w:r>
      <w:r w:rsidRPr="00A54361">
        <w:rPr>
          <w:rFonts w:eastAsia="Times New Roman" w:cstheme="minorHAnsi"/>
          <w:spacing w:val="5"/>
        </w:rPr>
        <w:t xml:space="preserve"> </w:t>
      </w:r>
      <w:r w:rsidRPr="00A54361">
        <w:rPr>
          <w:rFonts w:eastAsia="Times New Roman" w:cstheme="minorHAnsi"/>
        </w:rPr>
        <w:t>f</w:t>
      </w:r>
      <w:r w:rsidRPr="00A54361">
        <w:rPr>
          <w:rFonts w:eastAsia="Times New Roman" w:cstheme="minorHAnsi"/>
          <w:spacing w:val="1"/>
        </w:rPr>
        <w:t>o</w:t>
      </w:r>
      <w:r w:rsidRPr="00A54361">
        <w:rPr>
          <w:rFonts w:eastAsia="Times New Roman" w:cstheme="minorHAnsi"/>
        </w:rPr>
        <w:t>r</w:t>
      </w:r>
      <w:r w:rsidRPr="00A54361">
        <w:rPr>
          <w:rFonts w:eastAsia="Times New Roman" w:cstheme="minorHAnsi"/>
          <w:spacing w:val="4"/>
        </w:rPr>
        <w:t xml:space="preserve"> </w:t>
      </w:r>
      <w:r w:rsidRPr="00A54361">
        <w:rPr>
          <w:rFonts w:eastAsia="Times New Roman" w:cstheme="minorHAnsi"/>
        </w:rPr>
        <w:t>the</w:t>
      </w:r>
      <w:r w:rsidRPr="00A54361">
        <w:rPr>
          <w:rFonts w:eastAsia="Times New Roman" w:cstheme="minorHAnsi"/>
          <w:spacing w:val="4"/>
        </w:rPr>
        <w:t xml:space="preserve"> </w:t>
      </w:r>
      <w:r w:rsidRPr="00A54361">
        <w:rPr>
          <w:rFonts w:eastAsia="Times New Roman" w:cstheme="minorHAnsi"/>
        </w:rPr>
        <w:t>purp</w:t>
      </w:r>
      <w:r w:rsidRPr="00A54361">
        <w:rPr>
          <w:rFonts w:eastAsia="Times New Roman" w:cstheme="minorHAnsi"/>
          <w:spacing w:val="-1"/>
        </w:rPr>
        <w:t>o</w:t>
      </w:r>
      <w:r w:rsidRPr="00A54361">
        <w:rPr>
          <w:rFonts w:eastAsia="Times New Roman" w:cstheme="minorHAnsi"/>
        </w:rPr>
        <w:t>se</w:t>
      </w:r>
      <w:r w:rsidRPr="00A54361">
        <w:rPr>
          <w:rFonts w:eastAsia="Times New Roman" w:cstheme="minorHAnsi"/>
          <w:spacing w:val="6"/>
        </w:rPr>
        <w:t xml:space="preserve"> </w:t>
      </w:r>
      <w:r w:rsidRPr="00A54361">
        <w:rPr>
          <w:rFonts w:eastAsia="Times New Roman" w:cstheme="minorHAnsi"/>
        </w:rPr>
        <w:t>of</w:t>
      </w:r>
      <w:r w:rsidRPr="00A54361">
        <w:rPr>
          <w:rFonts w:eastAsia="Times New Roman" w:cstheme="minorHAnsi"/>
          <w:spacing w:val="4"/>
        </w:rPr>
        <w:t xml:space="preserve"> </w:t>
      </w:r>
      <w:r w:rsidRPr="00A54361">
        <w:rPr>
          <w:rFonts w:eastAsia="Times New Roman" w:cstheme="minorHAnsi"/>
        </w:rPr>
        <w:t>these</w:t>
      </w:r>
      <w:r w:rsidRPr="00A54361">
        <w:rPr>
          <w:rFonts w:eastAsia="Times New Roman" w:cstheme="minorHAnsi"/>
          <w:spacing w:val="3"/>
        </w:rPr>
        <w:t xml:space="preserve"> </w:t>
      </w:r>
      <w:r w:rsidRPr="00A54361">
        <w:rPr>
          <w:rFonts w:eastAsia="Times New Roman" w:cstheme="minorHAnsi"/>
          <w:spacing w:val="-2"/>
        </w:rPr>
        <w:t>g</w:t>
      </w:r>
      <w:r w:rsidRPr="00A54361">
        <w:rPr>
          <w:rFonts w:eastAsia="Times New Roman" w:cstheme="minorHAnsi"/>
        </w:rPr>
        <w:t>ui</w:t>
      </w:r>
      <w:r w:rsidRPr="00A54361">
        <w:rPr>
          <w:rFonts w:eastAsia="Times New Roman" w:cstheme="minorHAnsi"/>
          <w:spacing w:val="3"/>
        </w:rPr>
        <w:t>d</w:t>
      </w:r>
      <w:r w:rsidRPr="00A54361">
        <w:rPr>
          <w:rFonts w:eastAsia="Times New Roman" w:cstheme="minorHAnsi"/>
          <w:spacing w:val="-1"/>
        </w:rPr>
        <w:t>e</w:t>
      </w:r>
      <w:r w:rsidRPr="00A54361">
        <w:rPr>
          <w:rFonts w:eastAsia="Times New Roman" w:cstheme="minorHAnsi"/>
        </w:rPr>
        <w:t>l</w:t>
      </w:r>
      <w:r w:rsidRPr="00A54361">
        <w:rPr>
          <w:rFonts w:eastAsia="Times New Roman" w:cstheme="minorHAnsi"/>
          <w:spacing w:val="1"/>
        </w:rPr>
        <w:t>i</w:t>
      </w:r>
      <w:r w:rsidRPr="00A54361">
        <w:rPr>
          <w:rFonts w:eastAsia="Times New Roman" w:cstheme="minorHAnsi"/>
        </w:rPr>
        <w:t>n</w:t>
      </w:r>
      <w:r w:rsidRPr="00A54361">
        <w:rPr>
          <w:rFonts w:eastAsia="Times New Roman" w:cstheme="minorHAnsi"/>
          <w:spacing w:val="-1"/>
        </w:rPr>
        <w:t>e</w:t>
      </w:r>
      <w:r w:rsidRPr="00A54361">
        <w:rPr>
          <w:rFonts w:eastAsia="Times New Roman" w:cstheme="minorHAnsi"/>
        </w:rPr>
        <w:t>s. The</w:t>
      </w:r>
      <w:r w:rsidRPr="00A54361">
        <w:rPr>
          <w:rFonts w:eastAsia="Times New Roman" w:cstheme="minorHAnsi"/>
          <w:spacing w:val="-1"/>
        </w:rPr>
        <w:t xml:space="preserve"> </w:t>
      </w:r>
      <w:r w:rsidRPr="00A54361">
        <w:rPr>
          <w:rFonts w:eastAsia="Times New Roman" w:cstheme="minorHAnsi"/>
        </w:rPr>
        <w:t>H</w:t>
      </w:r>
      <w:r w:rsidRPr="00A54361">
        <w:rPr>
          <w:rFonts w:eastAsia="Times New Roman" w:cstheme="minorHAnsi"/>
          <w:spacing w:val="-1"/>
        </w:rPr>
        <w:t>ea</w:t>
      </w:r>
      <w:r w:rsidRPr="00A54361">
        <w:rPr>
          <w:rFonts w:eastAsia="Times New Roman" w:cstheme="minorHAnsi"/>
        </w:rPr>
        <w:t xml:space="preserve">d </w:t>
      </w:r>
      <w:r w:rsidRPr="00A54361">
        <w:rPr>
          <w:rFonts w:eastAsia="Times New Roman" w:cstheme="minorHAnsi"/>
          <w:spacing w:val="2"/>
        </w:rPr>
        <w:t>o</w:t>
      </w:r>
      <w:r w:rsidRPr="00A54361">
        <w:rPr>
          <w:rFonts w:eastAsia="Times New Roman" w:cstheme="minorHAnsi"/>
        </w:rPr>
        <w:t>f the</w:t>
      </w:r>
      <w:r w:rsidRPr="00A54361">
        <w:rPr>
          <w:rFonts w:eastAsia="Times New Roman" w:cstheme="minorHAnsi"/>
          <w:spacing w:val="-1"/>
        </w:rPr>
        <w:t xml:space="preserve"> c</w:t>
      </w:r>
      <w:r w:rsidRPr="00A54361">
        <w:rPr>
          <w:rFonts w:eastAsia="Times New Roman" w:cstheme="minorHAnsi"/>
        </w:rPr>
        <w:t>o</w:t>
      </w:r>
      <w:r w:rsidRPr="00A54361">
        <w:rPr>
          <w:rFonts w:eastAsia="Times New Roman" w:cstheme="minorHAnsi"/>
          <w:spacing w:val="2"/>
        </w:rPr>
        <w:t>n</w:t>
      </w:r>
      <w:r w:rsidRPr="00A54361">
        <w:rPr>
          <w:rFonts w:eastAsia="Times New Roman" w:cstheme="minorHAnsi"/>
          <w:spacing w:val="-1"/>
        </w:rPr>
        <w:t>ce</w:t>
      </w:r>
      <w:r w:rsidRPr="00A54361">
        <w:rPr>
          <w:rFonts w:eastAsia="Times New Roman" w:cstheme="minorHAnsi"/>
        </w:rPr>
        <w:t>r</w:t>
      </w:r>
      <w:r w:rsidRPr="00A54361">
        <w:rPr>
          <w:rFonts w:eastAsia="Times New Roman" w:cstheme="minorHAnsi"/>
          <w:spacing w:val="1"/>
        </w:rPr>
        <w:t>n</w:t>
      </w:r>
      <w:r w:rsidRPr="00A54361">
        <w:rPr>
          <w:rFonts w:eastAsia="Times New Roman" w:cstheme="minorHAnsi"/>
          <w:spacing w:val="-1"/>
        </w:rPr>
        <w:t>e</w:t>
      </w:r>
      <w:r w:rsidRPr="00A54361">
        <w:rPr>
          <w:rFonts w:eastAsia="Times New Roman" w:cstheme="minorHAnsi"/>
        </w:rPr>
        <w:t xml:space="preserve">d </w:t>
      </w:r>
      <w:r w:rsidRPr="00A54361">
        <w:rPr>
          <w:rFonts w:eastAsia="Times New Roman" w:cstheme="minorHAnsi"/>
          <w:spacing w:val="-3"/>
        </w:rPr>
        <w:t>Z</w:t>
      </w:r>
      <w:r w:rsidRPr="00A54361">
        <w:rPr>
          <w:rFonts w:eastAsia="Times New Roman" w:cstheme="minorHAnsi"/>
        </w:rPr>
        <w:t>o</w:t>
      </w:r>
      <w:r w:rsidRPr="00A54361">
        <w:rPr>
          <w:rFonts w:eastAsia="Times New Roman" w:cstheme="minorHAnsi"/>
          <w:spacing w:val="2"/>
        </w:rPr>
        <w:t>n</w:t>
      </w:r>
      <w:r w:rsidRPr="00A54361">
        <w:rPr>
          <w:rFonts w:eastAsia="Times New Roman" w:cstheme="minorHAnsi"/>
          <w:spacing w:val="-1"/>
        </w:rPr>
        <w:t>a</w:t>
      </w:r>
      <w:r w:rsidRPr="00A54361">
        <w:rPr>
          <w:rFonts w:eastAsia="Times New Roman" w:cstheme="minorHAnsi"/>
        </w:rPr>
        <w:t>l Of</w:t>
      </w:r>
      <w:r w:rsidRPr="00A54361">
        <w:rPr>
          <w:rFonts w:eastAsia="Times New Roman" w:cstheme="minorHAnsi"/>
          <w:spacing w:val="-1"/>
        </w:rPr>
        <w:t>f</w:t>
      </w:r>
      <w:r w:rsidRPr="00A54361">
        <w:rPr>
          <w:rFonts w:eastAsia="Times New Roman" w:cstheme="minorHAnsi"/>
          <w:spacing w:val="3"/>
        </w:rPr>
        <w:t>i</w:t>
      </w:r>
      <w:r w:rsidRPr="00A54361">
        <w:rPr>
          <w:rFonts w:eastAsia="Times New Roman" w:cstheme="minorHAnsi"/>
          <w:spacing w:val="-1"/>
        </w:rPr>
        <w:t>c</w:t>
      </w:r>
      <w:r w:rsidRPr="00A54361">
        <w:rPr>
          <w:rFonts w:eastAsia="Times New Roman" w:cstheme="minorHAnsi"/>
        </w:rPr>
        <w:t>e</w:t>
      </w:r>
      <w:r w:rsidRPr="00A54361">
        <w:rPr>
          <w:rFonts w:eastAsia="Times New Roman" w:cstheme="minorHAnsi"/>
          <w:spacing w:val="-1"/>
        </w:rPr>
        <w:t xml:space="preserve"> </w:t>
      </w:r>
      <w:r w:rsidRPr="00A54361">
        <w:rPr>
          <w:rFonts w:eastAsia="Times New Roman" w:cstheme="minorHAnsi"/>
        </w:rPr>
        <w:t>sh</w:t>
      </w:r>
      <w:r w:rsidRPr="00A54361">
        <w:rPr>
          <w:rFonts w:eastAsia="Times New Roman" w:cstheme="minorHAnsi"/>
          <w:spacing w:val="-1"/>
        </w:rPr>
        <w:t>a</w:t>
      </w:r>
      <w:r w:rsidRPr="00A54361">
        <w:rPr>
          <w:rFonts w:eastAsia="Times New Roman" w:cstheme="minorHAnsi"/>
        </w:rPr>
        <w:t>ll</w:t>
      </w:r>
      <w:r w:rsidRPr="00A54361">
        <w:rPr>
          <w:rFonts w:eastAsia="Times New Roman" w:cstheme="minorHAnsi"/>
          <w:spacing w:val="1"/>
        </w:rPr>
        <w:t xml:space="preserve"> </w:t>
      </w:r>
      <w:r w:rsidRPr="00A54361">
        <w:rPr>
          <w:rFonts w:eastAsia="Times New Roman" w:cstheme="minorHAnsi"/>
        </w:rPr>
        <w:t>be</w:t>
      </w:r>
      <w:r w:rsidRPr="00A54361">
        <w:rPr>
          <w:rFonts w:eastAsia="Times New Roman" w:cstheme="minorHAnsi"/>
          <w:spacing w:val="-1"/>
        </w:rPr>
        <w:t xml:space="preserve"> </w:t>
      </w:r>
      <w:r w:rsidRPr="00A54361">
        <w:rPr>
          <w:rFonts w:eastAsia="Times New Roman" w:cstheme="minorHAnsi"/>
          <w:spacing w:val="3"/>
        </w:rPr>
        <w:t>t</w:t>
      </w:r>
      <w:r w:rsidRPr="00A54361">
        <w:rPr>
          <w:rFonts w:eastAsia="Times New Roman" w:cstheme="minorHAnsi"/>
        </w:rPr>
        <w:t>he</w:t>
      </w:r>
      <w:r w:rsidRPr="00A54361">
        <w:rPr>
          <w:rFonts w:eastAsia="Times New Roman" w:cstheme="minorHAnsi"/>
          <w:spacing w:val="-1"/>
        </w:rPr>
        <w:t xml:space="preserve"> “</w:t>
      </w:r>
      <w:r w:rsidRPr="00A54361">
        <w:rPr>
          <w:rFonts w:eastAsia="Times New Roman" w:cstheme="minorHAnsi"/>
        </w:rPr>
        <w:t>App</w:t>
      </w:r>
      <w:r w:rsidRPr="00A54361">
        <w:rPr>
          <w:rFonts w:eastAsia="Times New Roman" w:cstheme="minorHAnsi"/>
          <w:spacing w:val="-1"/>
        </w:rPr>
        <w:t>e</w:t>
      </w:r>
      <w:r w:rsidRPr="00A54361">
        <w:rPr>
          <w:rFonts w:eastAsia="Times New Roman" w:cstheme="minorHAnsi"/>
        </w:rPr>
        <w:t>l</w:t>
      </w:r>
      <w:r w:rsidRPr="00A54361">
        <w:rPr>
          <w:rFonts w:eastAsia="Times New Roman" w:cstheme="minorHAnsi"/>
          <w:spacing w:val="1"/>
        </w:rPr>
        <w:t>l</w:t>
      </w:r>
      <w:r w:rsidRPr="00A54361">
        <w:rPr>
          <w:rFonts w:eastAsia="Times New Roman" w:cstheme="minorHAnsi"/>
          <w:spacing w:val="-1"/>
        </w:rPr>
        <w:t>a</w:t>
      </w:r>
      <w:r w:rsidRPr="00A54361">
        <w:rPr>
          <w:rFonts w:eastAsia="Times New Roman" w:cstheme="minorHAnsi"/>
          <w:spacing w:val="3"/>
        </w:rPr>
        <w:t>t</w:t>
      </w:r>
      <w:r w:rsidRPr="00A54361">
        <w:rPr>
          <w:rFonts w:eastAsia="Times New Roman" w:cstheme="minorHAnsi"/>
        </w:rPr>
        <w:t>e</w:t>
      </w:r>
      <w:r w:rsidRPr="00A54361">
        <w:rPr>
          <w:rFonts w:eastAsia="Times New Roman" w:cstheme="minorHAnsi"/>
          <w:spacing w:val="-1"/>
        </w:rPr>
        <w:t xml:space="preserve"> </w:t>
      </w:r>
      <w:r w:rsidRPr="00A54361">
        <w:rPr>
          <w:rFonts w:eastAsia="Times New Roman" w:cstheme="minorHAnsi"/>
        </w:rPr>
        <w:t>Autho</w:t>
      </w:r>
      <w:r w:rsidRPr="00A54361">
        <w:rPr>
          <w:rFonts w:eastAsia="Times New Roman" w:cstheme="minorHAnsi"/>
          <w:spacing w:val="-1"/>
        </w:rPr>
        <w:t>r</w:t>
      </w:r>
      <w:r w:rsidRPr="00A54361">
        <w:rPr>
          <w:rFonts w:eastAsia="Times New Roman" w:cstheme="minorHAnsi"/>
        </w:rPr>
        <w:t>i</w:t>
      </w:r>
      <w:r w:rsidRPr="00A54361">
        <w:rPr>
          <w:rFonts w:eastAsia="Times New Roman" w:cstheme="minorHAnsi"/>
          <w:spacing w:val="3"/>
        </w:rPr>
        <w:t>t</w:t>
      </w:r>
      <w:r w:rsidRPr="00A54361">
        <w:rPr>
          <w:rFonts w:eastAsia="Times New Roman" w:cstheme="minorHAnsi"/>
          <w:spacing w:val="-5"/>
        </w:rPr>
        <w:t>y</w:t>
      </w:r>
      <w:r w:rsidRPr="00A54361">
        <w:rPr>
          <w:rFonts w:eastAsia="Times New Roman" w:cstheme="minorHAnsi"/>
        </w:rPr>
        <w:t>”</w:t>
      </w:r>
      <w:r w:rsidRPr="00A54361">
        <w:rPr>
          <w:rFonts w:eastAsia="Times New Roman" w:cstheme="minorHAnsi"/>
          <w:spacing w:val="7"/>
        </w:rPr>
        <w:t xml:space="preserve"> </w:t>
      </w:r>
      <w:r w:rsidRPr="00A54361">
        <w:rPr>
          <w:rFonts w:eastAsia="Times New Roman" w:cstheme="minorHAnsi"/>
        </w:rPr>
        <w:t>in all su</w:t>
      </w:r>
      <w:r w:rsidRPr="00A54361">
        <w:rPr>
          <w:rFonts w:eastAsia="Times New Roman" w:cstheme="minorHAnsi"/>
          <w:spacing w:val="-1"/>
        </w:rPr>
        <w:t>c</w:t>
      </w:r>
      <w:r w:rsidRPr="00A54361">
        <w:rPr>
          <w:rFonts w:eastAsia="Times New Roman" w:cstheme="minorHAnsi"/>
        </w:rPr>
        <w:t xml:space="preserve">h </w:t>
      </w:r>
      <w:r w:rsidRPr="00A54361">
        <w:rPr>
          <w:rFonts w:eastAsia="Times New Roman" w:cstheme="minorHAnsi"/>
          <w:spacing w:val="-1"/>
        </w:rPr>
        <w:t>ca</w:t>
      </w:r>
      <w:r w:rsidRPr="00A54361">
        <w:rPr>
          <w:rFonts w:eastAsia="Times New Roman" w:cstheme="minorHAnsi"/>
        </w:rPr>
        <w:t>s</w:t>
      </w:r>
      <w:r w:rsidRPr="00A54361">
        <w:rPr>
          <w:rFonts w:eastAsia="Times New Roman" w:cstheme="minorHAnsi"/>
          <w:spacing w:val="-1"/>
        </w:rPr>
        <w:t>e</w:t>
      </w:r>
      <w:r w:rsidRPr="00A54361">
        <w:rPr>
          <w:rFonts w:eastAsia="Times New Roman" w:cstheme="minorHAnsi"/>
        </w:rPr>
        <w:t xml:space="preserve">s. </w:t>
      </w:r>
      <w:r w:rsidRPr="00A54361">
        <w:rPr>
          <w:rFonts w:eastAsia="Times New Roman" w:cstheme="minorHAnsi"/>
          <w:spacing w:val="-1"/>
        </w:rPr>
        <w:t>e</w:t>
      </w:r>
      <w:r w:rsidRPr="00A54361">
        <w:rPr>
          <w:rFonts w:eastAsia="Times New Roman" w:cstheme="minorHAnsi"/>
        </w:rPr>
        <w:t xml:space="preserve">) </w:t>
      </w:r>
      <w:r w:rsidRPr="00A54361">
        <w:rPr>
          <w:rFonts w:eastAsia="Times New Roman" w:cstheme="minorHAnsi"/>
          <w:spacing w:val="-2"/>
        </w:rPr>
        <w:t>F</w:t>
      </w:r>
      <w:r w:rsidRPr="00A54361">
        <w:rPr>
          <w:rFonts w:eastAsia="Times New Roman" w:cstheme="minorHAnsi"/>
          <w:spacing w:val="2"/>
        </w:rPr>
        <w:t>o</w:t>
      </w:r>
      <w:r w:rsidRPr="00A54361">
        <w:rPr>
          <w:rFonts w:eastAsia="Times New Roman" w:cstheme="minorHAnsi"/>
        </w:rPr>
        <w:t>r Co</w:t>
      </w:r>
      <w:r w:rsidRPr="00A54361">
        <w:rPr>
          <w:rFonts w:eastAsia="Times New Roman" w:cstheme="minorHAnsi"/>
          <w:spacing w:val="-1"/>
        </w:rPr>
        <w:t>r</w:t>
      </w:r>
      <w:r w:rsidRPr="00A54361">
        <w:rPr>
          <w:rFonts w:eastAsia="Times New Roman" w:cstheme="minorHAnsi"/>
        </w:rPr>
        <w:t>por</w:t>
      </w:r>
      <w:r w:rsidRPr="00A54361">
        <w:rPr>
          <w:rFonts w:eastAsia="Times New Roman" w:cstheme="minorHAnsi"/>
          <w:spacing w:val="-2"/>
        </w:rPr>
        <w:t>a</w:t>
      </w:r>
      <w:r w:rsidRPr="00A54361">
        <w:rPr>
          <w:rFonts w:eastAsia="Times New Roman" w:cstheme="minorHAnsi"/>
          <w:spacing w:val="3"/>
        </w:rPr>
        <w:t>t</w:t>
      </w:r>
      <w:r w:rsidRPr="00A54361">
        <w:rPr>
          <w:rFonts w:eastAsia="Times New Roman" w:cstheme="minorHAnsi"/>
        </w:rPr>
        <w:t>e</w:t>
      </w:r>
      <w:r w:rsidRPr="00A54361">
        <w:rPr>
          <w:rFonts w:eastAsia="Times New Roman" w:cstheme="minorHAnsi"/>
          <w:spacing w:val="-1"/>
        </w:rPr>
        <w:t xml:space="preserve"> </w:t>
      </w:r>
      <w:r w:rsidRPr="00A54361">
        <w:rPr>
          <w:rFonts w:eastAsia="Times New Roman" w:cstheme="minorHAnsi"/>
        </w:rPr>
        <w:t>O</w:t>
      </w:r>
      <w:r w:rsidRPr="00A54361">
        <w:rPr>
          <w:rFonts w:eastAsia="Times New Roman" w:cstheme="minorHAnsi"/>
          <w:spacing w:val="-1"/>
        </w:rPr>
        <w:t>f</w:t>
      </w:r>
      <w:r w:rsidRPr="00A54361">
        <w:rPr>
          <w:rFonts w:eastAsia="Times New Roman" w:cstheme="minorHAnsi"/>
        </w:rPr>
        <w:t>f</w:t>
      </w:r>
      <w:r w:rsidRPr="00A54361">
        <w:rPr>
          <w:rFonts w:eastAsia="Times New Roman" w:cstheme="minorHAnsi"/>
          <w:spacing w:val="2"/>
        </w:rPr>
        <w:t>i</w:t>
      </w:r>
      <w:r w:rsidRPr="00A54361">
        <w:rPr>
          <w:rFonts w:eastAsia="Times New Roman" w:cstheme="minorHAnsi"/>
          <w:spacing w:val="-1"/>
        </w:rPr>
        <w:t>c</w:t>
      </w:r>
      <w:r w:rsidRPr="00A54361">
        <w:rPr>
          <w:rFonts w:eastAsia="Times New Roman" w:cstheme="minorHAnsi"/>
        </w:rPr>
        <w:t>e</w:t>
      </w:r>
      <w:r w:rsidRPr="00A54361">
        <w:rPr>
          <w:rFonts w:eastAsia="Times New Roman" w:cstheme="minorHAnsi"/>
          <w:spacing w:val="-1"/>
        </w:rPr>
        <w:t xml:space="preserve"> </w:t>
      </w:r>
      <w:r w:rsidRPr="00A54361">
        <w:rPr>
          <w:rFonts w:eastAsia="Times New Roman" w:cstheme="minorHAnsi"/>
          <w:spacing w:val="2"/>
        </w:rPr>
        <w:t>o</w:t>
      </w:r>
      <w:r w:rsidRPr="00A54361">
        <w:rPr>
          <w:rFonts w:eastAsia="Times New Roman" w:cstheme="minorHAnsi"/>
        </w:rPr>
        <w:t>n</w:t>
      </w:r>
      <w:r w:rsidRPr="00A54361">
        <w:rPr>
          <w:rFonts w:eastAsia="Times New Roman" w:cstheme="minorHAnsi"/>
          <w:spacing w:val="3"/>
        </w:rPr>
        <w:t>l</w:t>
      </w:r>
      <w:r w:rsidRPr="00A54361">
        <w:rPr>
          <w:rFonts w:eastAsia="Times New Roman" w:cstheme="minorHAnsi"/>
        </w:rPr>
        <w:t>y</w:t>
      </w:r>
    </w:p>
    <w:p w14:paraId="6C66B245" w14:textId="1BC1FD23" w:rsidR="0054549F" w:rsidRPr="00A54361" w:rsidRDefault="0054549F" w:rsidP="00A54361">
      <w:pPr>
        <w:ind w:right="79"/>
        <w:jc w:val="both"/>
        <w:rPr>
          <w:rFonts w:cstheme="minorHAnsi"/>
        </w:rPr>
      </w:pPr>
      <w:r w:rsidRPr="00A54361">
        <w:rPr>
          <w:rFonts w:eastAsia="Times New Roman" w:cstheme="minorHAnsi"/>
          <w:spacing w:val="-1"/>
        </w:rPr>
        <w:t>F</w:t>
      </w:r>
      <w:r w:rsidRPr="00A54361">
        <w:rPr>
          <w:rFonts w:eastAsia="Times New Roman" w:cstheme="minorHAnsi"/>
        </w:rPr>
        <w:t>or pro</w:t>
      </w:r>
      <w:r w:rsidRPr="00A54361">
        <w:rPr>
          <w:rFonts w:eastAsia="Times New Roman" w:cstheme="minorHAnsi"/>
          <w:spacing w:val="-2"/>
        </w:rPr>
        <w:t>c</w:t>
      </w:r>
      <w:r w:rsidRPr="00A54361">
        <w:rPr>
          <w:rFonts w:eastAsia="Times New Roman" w:cstheme="minorHAnsi"/>
          <w:spacing w:val="2"/>
        </w:rPr>
        <w:t>u</w:t>
      </w:r>
      <w:r w:rsidRPr="00A54361">
        <w:rPr>
          <w:rFonts w:eastAsia="Times New Roman" w:cstheme="minorHAnsi"/>
        </w:rPr>
        <w:t>r</w:t>
      </w:r>
      <w:r w:rsidRPr="00A54361">
        <w:rPr>
          <w:rFonts w:eastAsia="Times New Roman" w:cstheme="minorHAnsi"/>
          <w:spacing w:val="-2"/>
        </w:rPr>
        <w:t>e</w:t>
      </w:r>
      <w:r w:rsidRPr="00A54361">
        <w:rPr>
          <w:rFonts w:eastAsia="Times New Roman" w:cstheme="minorHAnsi"/>
        </w:rPr>
        <w:t>ment</w:t>
      </w:r>
      <w:r w:rsidRPr="00A54361">
        <w:rPr>
          <w:rFonts w:eastAsia="Times New Roman" w:cstheme="minorHAnsi"/>
          <w:spacing w:val="1"/>
        </w:rPr>
        <w:t xml:space="preserve"> </w:t>
      </w:r>
      <w:r w:rsidRPr="00A54361">
        <w:rPr>
          <w:rFonts w:eastAsia="Times New Roman" w:cstheme="minorHAnsi"/>
        </w:rPr>
        <w:t>of i</w:t>
      </w:r>
      <w:r w:rsidRPr="00A54361">
        <w:rPr>
          <w:rFonts w:eastAsia="Times New Roman" w:cstheme="minorHAnsi"/>
          <w:spacing w:val="1"/>
        </w:rPr>
        <w:t>t</w:t>
      </w:r>
      <w:r w:rsidRPr="00A54361">
        <w:rPr>
          <w:rFonts w:eastAsia="Times New Roman" w:cstheme="minorHAnsi"/>
          <w:spacing w:val="-1"/>
        </w:rPr>
        <w:t>e</w:t>
      </w:r>
      <w:r w:rsidRPr="00A54361">
        <w:rPr>
          <w:rFonts w:eastAsia="Times New Roman" w:cstheme="minorHAnsi"/>
          <w:spacing w:val="3"/>
        </w:rPr>
        <w:t>m</w:t>
      </w:r>
      <w:r w:rsidRPr="00A54361">
        <w:rPr>
          <w:rFonts w:eastAsia="Times New Roman" w:cstheme="minorHAnsi"/>
        </w:rPr>
        <w:t>s</w:t>
      </w:r>
      <w:r w:rsidRPr="00A54361">
        <w:rPr>
          <w:rFonts w:eastAsia="Times New Roman" w:cstheme="minorHAnsi"/>
          <w:spacing w:val="1"/>
        </w:rPr>
        <w:t xml:space="preserve"> </w:t>
      </w:r>
      <w:r w:rsidRPr="00A54361">
        <w:rPr>
          <w:rFonts w:eastAsia="Times New Roman" w:cstheme="minorHAnsi"/>
        </w:rPr>
        <w:t>/</w:t>
      </w:r>
      <w:r w:rsidRPr="00A54361">
        <w:rPr>
          <w:rFonts w:eastAsia="Times New Roman" w:cstheme="minorHAnsi"/>
          <w:spacing w:val="1"/>
        </w:rPr>
        <w:t xml:space="preserve"> </w:t>
      </w:r>
      <w:r w:rsidRPr="00A54361">
        <w:rPr>
          <w:rFonts w:eastAsia="Times New Roman" w:cstheme="minorHAnsi"/>
          <w:spacing w:val="-1"/>
        </w:rPr>
        <w:t>a</w:t>
      </w:r>
      <w:r w:rsidRPr="00A54361">
        <w:rPr>
          <w:rFonts w:eastAsia="Times New Roman" w:cstheme="minorHAnsi"/>
        </w:rPr>
        <w:t>w</w:t>
      </w:r>
      <w:r w:rsidRPr="00A54361">
        <w:rPr>
          <w:rFonts w:eastAsia="Times New Roman" w:cstheme="minorHAnsi"/>
          <w:spacing w:val="-1"/>
        </w:rPr>
        <w:t>a</w:t>
      </w:r>
      <w:r w:rsidRPr="00A54361">
        <w:rPr>
          <w:rFonts w:eastAsia="Times New Roman" w:cstheme="minorHAnsi"/>
        </w:rPr>
        <w:t xml:space="preserve">rd of </w:t>
      </w:r>
      <w:r w:rsidRPr="00A54361">
        <w:rPr>
          <w:rFonts w:eastAsia="Times New Roman" w:cstheme="minorHAnsi"/>
          <w:spacing w:val="-1"/>
        </w:rPr>
        <w:t>c</w:t>
      </w:r>
      <w:r w:rsidRPr="00A54361">
        <w:rPr>
          <w:rFonts w:eastAsia="Times New Roman" w:cstheme="minorHAnsi"/>
        </w:rPr>
        <w:t>ont</w:t>
      </w:r>
      <w:r w:rsidRPr="00A54361">
        <w:rPr>
          <w:rFonts w:eastAsia="Times New Roman" w:cstheme="minorHAnsi"/>
          <w:spacing w:val="2"/>
        </w:rPr>
        <w:t>r</w:t>
      </w:r>
      <w:r w:rsidRPr="00A54361">
        <w:rPr>
          <w:rFonts w:eastAsia="Times New Roman" w:cstheme="minorHAnsi"/>
          <w:spacing w:val="-1"/>
        </w:rPr>
        <w:t>ac</w:t>
      </w:r>
      <w:r w:rsidRPr="00A54361">
        <w:rPr>
          <w:rFonts w:eastAsia="Times New Roman" w:cstheme="minorHAnsi"/>
        </w:rPr>
        <w:t>ts,</w:t>
      </w:r>
      <w:r w:rsidRPr="00A54361">
        <w:rPr>
          <w:rFonts w:eastAsia="Times New Roman" w:cstheme="minorHAnsi"/>
          <w:spacing w:val="2"/>
        </w:rPr>
        <w:t xml:space="preserve"> </w:t>
      </w:r>
      <w:r w:rsidRPr="00A54361">
        <w:rPr>
          <w:rFonts w:eastAsia="Times New Roman" w:cstheme="minorHAnsi"/>
        </w:rPr>
        <w:t>to</w:t>
      </w:r>
      <w:r w:rsidRPr="00A54361">
        <w:rPr>
          <w:rFonts w:eastAsia="Times New Roman" w:cstheme="minorHAnsi"/>
          <w:spacing w:val="1"/>
        </w:rPr>
        <w:t xml:space="preserve"> </w:t>
      </w:r>
      <w:r w:rsidRPr="00A54361">
        <w:rPr>
          <w:rFonts w:eastAsia="Times New Roman" w:cstheme="minorHAnsi"/>
        </w:rPr>
        <w:t>me</w:t>
      </w:r>
      <w:r w:rsidRPr="00A54361">
        <w:rPr>
          <w:rFonts w:eastAsia="Times New Roman" w:cstheme="minorHAnsi"/>
          <w:spacing w:val="-1"/>
        </w:rPr>
        <w:t>e</w:t>
      </w:r>
      <w:r w:rsidRPr="00A54361">
        <w:rPr>
          <w:rFonts w:eastAsia="Times New Roman" w:cstheme="minorHAnsi"/>
        </w:rPr>
        <w:t>t</w:t>
      </w:r>
      <w:r w:rsidRPr="00A54361">
        <w:rPr>
          <w:rFonts w:eastAsia="Times New Roman" w:cstheme="minorHAnsi"/>
          <w:spacing w:val="1"/>
        </w:rPr>
        <w:t xml:space="preserve"> </w:t>
      </w:r>
      <w:r w:rsidRPr="00A54361">
        <w:rPr>
          <w:rFonts w:eastAsia="Times New Roman" w:cstheme="minorHAnsi"/>
        </w:rPr>
        <w:t>the r</w:t>
      </w:r>
      <w:r w:rsidRPr="00A54361">
        <w:rPr>
          <w:rFonts w:eastAsia="Times New Roman" w:cstheme="minorHAnsi"/>
          <w:spacing w:val="-2"/>
        </w:rPr>
        <w:t>e</w:t>
      </w:r>
      <w:r w:rsidRPr="00A54361">
        <w:rPr>
          <w:rFonts w:eastAsia="Times New Roman" w:cstheme="minorHAnsi"/>
        </w:rPr>
        <w:t>quir</w:t>
      </w:r>
      <w:r w:rsidRPr="00A54361">
        <w:rPr>
          <w:rFonts w:eastAsia="Times New Roman" w:cstheme="minorHAnsi"/>
          <w:spacing w:val="-1"/>
        </w:rPr>
        <w:t>e</w:t>
      </w:r>
      <w:r w:rsidRPr="00A54361">
        <w:rPr>
          <w:rFonts w:eastAsia="Times New Roman" w:cstheme="minorHAnsi"/>
        </w:rPr>
        <w:t>ment</w:t>
      </w:r>
      <w:r w:rsidRPr="00A54361">
        <w:rPr>
          <w:rFonts w:eastAsia="Times New Roman" w:cstheme="minorHAnsi"/>
          <w:spacing w:val="1"/>
        </w:rPr>
        <w:t xml:space="preserve"> </w:t>
      </w:r>
      <w:r w:rsidRPr="00A54361">
        <w:rPr>
          <w:rFonts w:eastAsia="Times New Roman" w:cstheme="minorHAnsi"/>
        </w:rPr>
        <w:t>of</w:t>
      </w:r>
      <w:r w:rsidRPr="00A54361">
        <w:rPr>
          <w:rFonts w:eastAsia="Times New Roman" w:cstheme="minorHAnsi"/>
          <w:spacing w:val="2"/>
        </w:rPr>
        <w:t xml:space="preserve"> </w:t>
      </w:r>
      <w:r w:rsidRPr="00A54361">
        <w:rPr>
          <w:rFonts w:eastAsia="Times New Roman" w:cstheme="minorHAnsi"/>
        </w:rPr>
        <w:t>Cor</w:t>
      </w:r>
      <w:r w:rsidRPr="00A54361">
        <w:rPr>
          <w:rFonts w:eastAsia="Times New Roman" w:cstheme="minorHAnsi"/>
          <w:spacing w:val="5"/>
        </w:rPr>
        <w:t>p</w:t>
      </w:r>
      <w:r w:rsidRPr="00A54361">
        <w:rPr>
          <w:rFonts w:eastAsia="Times New Roman" w:cstheme="minorHAnsi"/>
        </w:rPr>
        <w:t>or</w:t>
      </w:r>
      <w:r w:rsidRPr="00A54361">
        <w:rPr>
          <w:rFonts w:eastAsia="Times New Roman" w:cstheme="minorHAnsi"/>
          <w:spacing w:val="-2"/>
        </w:rPr>
        <w:t>a</w:t>
      </w:r>
      <w:r w:rsidRPr="00A54361">
        <w:rPr>
          <w:rFonts w:eastAsia="Times New Roman" w:cstheme="minorHAnsi"/>
        </w:rPr>
        <w:t>te O</w:t>
      </w:r>
      <w:r w:rsidRPr="00A54361">
        <w:rPr>
          <w:rFonts w:eastAsia="Times New Roman" w:cstheme="minorHAnsi"/>
          <w:spacing w:val="-1"/>
        </w:rPr>
        <w:t>f</w:t>
      </w:r>
      <w:r w:rsidRPr="00A54361">
        <w:rPr>
          <w:rFonts w:eastAsia="Times New Roman" w:cstheme="minorHAnsi"/>
        </w:rPr>
        <w:t>f</w:t>
      </w:r>
      <w:r w:rsidRPr="00A54361">
        <w:rPr>
          <w:rFonts w:eastAsia="Times New Roman" w:cstheme="minorHAnsi"/>
          <w:spacing w:val="2"/>
        </w:rPr>
        <w:t>i</w:t>
      </w:r>
      <w:r w:rsidRPr="00A54361">
        <w:rPr>
          <w:rFonts w:eastAsia="Times New Roman" w:cstheme="minorHAnsi"/>
          <w:spacing w:val="-1"/>
        </w:rPr>
        <w:t>c</w:t>
      </w:r>
      <w:r w:rsidRPr="00A54361">
        <w:rPr>
          <w:rFonts w:eastAsia="Times New Roman" w:cstheme="minorHAnsi"/>
        </w:rPr>
        <w:t>e on</w:t>
      </w:r>
      <w:r w:rsidRPr="00A54361">
        <w:rPr>
          <w:rFonts w:eastAsia="Times New Roman" w:cstheme="minorHAnsi"/>
          <w:spacing w:val="3"/>
        </w:rPr>
        <w:t>l</w:t>
      </w:r>
      <w:r w:rsidRPr="00A54361">
        <w:rPr>
          <w:rFonts w:eastAsia="Times New Roman" w:cstheme="minorHAnsi"/>
          <w:spacing w:val="-5"/>
        </w:rPr>
        <w:t>y</w:t>
      </w:r>
      <w:r w:rsidRPr="00A54361">
        <w:rPr>
          <w:rFonts w:eastAsia="Times New Roman" w:cstheme="minorHAnsi"/>
        </w:rPr>
        <w:t>,</w:t>
      </w:r>
      <w:r w:rsidRPr="00A54361">
        <w:rPr>
          <w:rFonts w:eastAsia="Times New Roman" w:cstheme="minorHAnsi"/>
          <w:spacing w:val="1"/>
        </w:rPr>
        <w:t xml:space="preserve"> </w:t>
      </w:r>
      <w:r w:rsidRPr="00A54361">
        <w:rPr>
          <w:rFonts w:eastAsia="Times New Roman" w:cstheme="minorHAnsi"/>
          <w:spacing w:val="2"/>
        </w:rPr>
        <w:t>H</w:t>
      </w:r>
      <w:r w:rsidRPr="00A54361">
        <w:rPr>
          <w:rFonts w:eastAsia="Times New Roman" w:cstheme="minorHAnsi"/>
          <w:spacing w:val="-1"/>
        </w:rPr>
        <w:t>ea</w:t>
      </w:r>
      <w:r w:rsidRPr="00A54361">
        <w:rPr>
          <w:rFonts w:eastAsia="Times New Roman" w:cstheme="minorHAnsi"/>
        </w:rPr>
        <w:t>d</w:t>
      </w:r>
      <w:r w:rsidRPr="00A54361">
        <w:rPr>
          <w:rFonts w:eastAsia="Times New Roman" w:cstheme="minorHAnsi"/>
          <w:spacing w:val="3"/>
        </w:rPr>
        <w:t xml:space="preserve"> </w:t>
      </w:r>
      <w:r w:rsidRPr="00A54361">
        <w:rPr>
          <w:rFonts w:eastAsia="Times New Roman" w:cstheme="minorHAnsi"/>
        </w:rPr>
        <w:t>of</w:t>
      </w:r>
      <w:r w:rsidRPr="00A54361">
        <w:rPr>
          <w:rFonts w:eastAsia="Times New Roman" w:cstheme="minorHAnsi"/>
          <w:spacing w:val="3"/>
        </w:rPr>
        <w:t xml:space="preserve"> </w:t>
      </w:r>
      <w:r w:rsidR="00917777" w:rsidRPr="00A54361">
        <w:rPr>
          <w:rFonts w:eastAsia="Times New Roman" w:cstheme="minorHAnsi"/>
        </w:rPr>
        <w:t>Business Support Department (BSD)</w:t>
      </w:r>
      <w:r w:rsidR="00917777" w:rsidRPr="00A54361">
        <w:rPr>
          <w:rFonts w:eastAsia="Times New Roman" w:cstheme="minorHAnsi"/>
          <w:spacing w:val="3"/>
        </w:rPr>
        <w:t xml:space="preserve"> </w:t>
      </w:r>
      <w:r w:rsidRPr="00A54361">
        <w:rPr>
          <w:rFonts w:eastAsia="Times New Roman" w:cstheme="minorHAnsi"/>
        </w:rPr>
        <w:t>sh</w:t>
      </w:r>
      <w:r w:rsidRPr="00A54361">
        <w:rPr>
          <w:rFonts w:eastAsia="Times New Roman" w:cstheme="minorHAnsi"/>
          <w:spacing w:val="-1"/>
        </w:rPr>
        <w:t>a</w:t>
      </w:r>
      <w:r w:rsidRPr="00A54361">
        <w:rPr>
          <w:rFonts w:eastAsia="Times New Roman" w:cstheme="minorHAnsi"/>
          <w:spacing w:val="3"/>
        </w:rPr>
        <w:t>l</w:t>
      </w:r>
      <w:r w:rsidRPr="00A54361">
        <w:rPr>
          <w:rFonts w:eastAsia="Times New Roman" w:cstheme="minorHAnsi"/>
        </w:rPr>
        <w:t>l</w:t>
      </w:r>
      <w:r w:rsidRPr="00A54361">
        <w:rPr>
          <w:rFonts w:eastAsia="Times New Roman" w:cstheme="minorHAnsi"/>
          <w:spacing w:val="2"/>
        </w:rPr>
        <w:t xml:space="preserve"> </w:t>
      </w:r>
      <w:r w:rsidRPr="00A54361">
        <w:rPr>
          <w:rFonts w:eastAsia="Times New Roman" w:cstheme="minorHAnsi"/>
        </w:rPr>
        <w:t>be the</w:t>
      </w:r>
      <w:r w:rsidRPr="00A54361">
        <w:rPr>
          <w:rFonts w:eastAsia="Times New Roman" w:cstheme="minorHAnsi"/>
          <w:spacing w:val="6"/>
        </w:rPr>
        <w:t xml:space="preserve"> </w:t>
      </w:r>
      <w:r w:rsidRPr="00A54361">
        <w:rPr>
          <w:rFonts w:eastAsia="Times New Roman" w:cstheme="minorHAnsi"/>
          <w:spacing w:val="-1"/>
        </w:rPr>
        <w:t>“</w:t>
      </w:r>
      <w:r w:rsidRPr="00A54361">
        <w:rPr>
          <w:rFonts w:eastAsia="Times New Roman" w:cstheme="minorHAnsi"/>
        </w:rPr>
        <w:t>Compet</w:t>
      </w:r>
      <w:r w:rsidRPr="00A54361">
        <w:rPr>
          <w:rFonts w:eastAsia="Times New Roman" w:cstheme="minorHAnsi"/>
          <w:spacing w:val="-1"/>
        </w:rPr>
        <w:t>e</w:t>
      </w:r>
      <w:r w:rsidRPr="00A54361">
        <w:rPr>
          <w:rFonts w:eastAsia="Times New Roman" w:cstheme="minorHAnsi"/>
        </w:rPr>
        <w:t>nt</w:t>
      </w:r>
      <w:r w:rsidRPr="00A54361">
        <w:rPr>
          <w:rFonts w:eastAsia="Times New Roman" w:cstheme="minorHAnsi"/>
          <w:spacing w:val="4"/>
        </w:rPr>
        <w:t xml:space="preserve"> </w:t>
      </w:r>
      <w:r w:rsidRPr="00A54361">
        <w:rPr>
          <w:rFonts w:eastAsia="Times New Roman" w:cstheme="minorHAnsi"/>
        </w:rPr>
        <w:t>Autho</w:t>
      </w:r>
      <w:r w:rsidRPr="00A54361">
        <w:rPr>
          <w:rFonts w:eastAsia="Times New Roman" w:cstheme="minorHAnsi"/>
          <w:spacing w:val="-1"/>
        </w:rPr>
        <w:t>r</w:t>
      </w:r>
      <w:r w:rsidRPr="00A54361">
        <w:rPr>
          <w:rFonts w:eastAsia="Times New Roman" w:cstheme="minorHAnsi"/>
        </w:rPr>
        <w:t>i</w:t>
      </w:r>
      <w:r w:rsidRPr="00A54361">
        <w:rPr>
          <w:rFonts w:eastAsia="Times New Roman" w:cstheme="minorHAnsi"/>
          <w:spacing w:val="3"/>
        </w:rPr>
        <w:t>t</w:t>
      </w:r>
      <w:r w:rsidRPr="00A54361">
        <w:rPr>
          <w:rFonts w:eastAsia="Times New Roman" w:cstheme="minorHAnsi"/>
          <w:spacing w:val="-5"/>
        </w:rPr>
        <w:t>y</w:t>
      </w:r>
      <w:r w:rsidRPr="00A54361">
        <w:rPr>
          <w:rFonts w:eastAsia="Times New Roman" w:cstheme="minorHAnsi"/>
        </w:rPr>
        <w:t>”</w:t>
      </w:r>
      <w:r w:rsidRPr="00A54361">
        <w:rPr>
          <w:rFonts w:eastAsia="Times New Roman" w:cstheme="minorHAnsi"/>
          <w:spacing w:val="2"/>
        </w:rPr>
        <w:t xml:space="preserve"> </w:t>
      </w:r>
      <w:r w:rsidRPr="00A54361">
        <w:rPr>
          <w:rFonts w:eastAsia="Times New Roman" w:cstheme="minorHAnsi"/>
          <w:spacing w:val="-1"/>
        </w:rPr>
        <w:t>a</w:t>
      </w:r>
      <w:r w:rsidRPr="00A54361">
        <w:rPr>
          <w:rFonts w:eastAsia="Times New Roman" w:cstheme="minorHAnsi"/>
        </w:rPr>
        <w:t>nd</w:t>
      </w:r>
      <w:r w:rsidRPr="00A54361">
        <w:rPr>
          <w:rFonts w:eastAsia="Times New Roman" w:cstheme="minorHAnsi"/>
          <w:spacing w:val="3"/>
        </w:rPr>
        <w:t xml:space="preserve"> </w:t>
      </w:r>
      <w:r w:rsidRPr="00A54361">
        <w:rPr>
          <w:rFonts w:eastAsia="Times New Roman" w:cstheme="minorHAnsi"/>
          <w:spacing w:val="-1"/>
        </w:rPr>
        <w:t>c</w:t>
      </w:r>
      <w:r w:rsidRPr="00A54361">
        <w:rPr>
          <w:rFonts w:eastAsia="Times New Roman" w:cstheme="minorHAnsi"/>
        </w:rPr>
        <w:t>on</w:t>
      </w:r>
      <w:r w:rsidRPr="00A54361">
        <w:rPr>
          <w:rFonts w:eastAsia="Times New Roman" w:cstheme="minorHAnsi"/>
          <w:spacing w:val="1"/>
        </w:rPr>
        <w:t>c</w:t>
      </w:r>
      <w:r w:rsidRPr="00A54361">
        <w:rPr>
          <w:rFonts w:eastAsia="Times New Roman" w:cstheme="minorHAnsi"/>
          <w:spacing w:val="-1"/>
        </w:rPr>
        <w:t>e</w:t>
      </w:r>
      <w:r w:rsidRPr="00A54361">
        <w:rPr>
          <w:rFonts w:eastAsia="Times New Roman" w:cstheme="minorHAnsi"/>
        </w:rPr>
        <w:t>rn</w:t>
      </w:r>
      <w:r w:rsidRPr="00A54361">
        <w:rPr>
          <w:rFonts w:eastAsia="Times New Roman" w:cstheme="minorHAnsi"/>
          <w:spacing w:val="-2"/>
        </w:rPr>
        <w:t>e</w:t>
      </w:r>
      <w:r w:rsidRPr="00A54361">
        <w:rPr>
          <w:rFonts w:eastAsia="Times New Roman" w:cstheme="minorHAnsi"/>
        </w:rPr>
        <w:t>d</w:t>
      </w:r>
      <w:r w:rsidRPr="00A54361">
        <w:rPr>
          <w:rFonts w:eastAsia="Times New Roman" w:cstheme="minorHAnsi"/>
          <w:spacing w:val="3"/>
        </w:rPr>
        <w:t xml:space="preserve"> </w:t>
      </w:r>
      <w:r w:rsidRPr="00A54361">
        <w:rPr>
          <w:rFonts w:eastAsia="Times New Roman" w:cstheme="minorHAnsi"/>
          <w:spacing w:val="2"/>
        </w:rPr>
        <w:t>Ex</w:t>
      </w:r>
      <w:r w:rsidRPr="00A54361">
        <w:rPr>
          <w:rFonts w:eastAsia="Times New Roman" w:cstheme="minorHAnsi"/>
          <w:spacing w:val="-1"/>
        </w:rPr>
        <w:t>ec</w:t>
      </w:r>
      <w:r w:rsidRPr="00A54361">
        <w:rPr>
          <w:rFonts w:eastAsia="Times New Roman" w:cstheme="minorHAnsi"/>
        </w:rPr>
        <w:t>ut</w:t>
      </w:r>
      <w:r w:rsidRPr="00A54361">
        <w:rPr>
          <w:rFonts w:eastAsia="Times New Roman" w:cstheme="minorHAnsi"/>
          <w:spacing w:val="1"/>
        </w:rPr>
        <w:t>i</w:t>
      </w:r>
      <w:r w:rsidRPr="00A54361">
        <w:rPr>
          <w:rFonts w:eastAsia="Times New Roman" w:cstheme="minorHAnsi"/>
        </w:rPr>
        <w:t>ve Dir</w:t>
      </w:r>
      <w:r w:rsidRPr="00A54361">
        <w:rPr>
          <w:rFonts w:eastAsia="Times New Roman" w:cstheme="minorHAnsi"/>
          <w:spacing w:val="-2"/>
        </w:rPr>
        <w:t>e</w:t>
      </w:r>
      <w:r w:rsidRPr="00A54361">
        <w:rPr>
          <w:rFonts w:eastAsia="Times New Roman" w:cstheme="minorHAnsi"/>
          <w:spacing w:val="-1"/>
        </w:rPr>
        <w:t>c</w:t>
      </w:r>
      <w:r w:rsidRPr="00A54361">
        <w:rPr>
          <w:rFonts w:eastAsia="Times New Roman" w:cstheme="minorHAnsi"/>
        </w:rPr>
        <w:t>tor (</w:t>
      </w:r>
      <w:r w:rsidR="00917777" w:rsidRPr="00A54361">
        <w:rPr>
          <w:rFonts w:eastAsia="Times New Roman" w:cstheme="minorHAnsi"/>
          <w:spacing w:val="-1"/>
        </w:rPr>
        <w:t>BSD</w:t>
      </w:r>
      <w:r w:rsidRPr="00A54361">
        <w:rPr>
          <w:rFonts w:eastAsia="Times New Roman" w:cstheme="minorHAnsi"/>
        </w:rPr>
        <w:t>) s</w:t>
      </w:r>
      <w:r w:rsidRPr="00A54361">
        <w:rPr>
          <w:rFonts w:eastAsia="Times New Roman" w:cstheme="minorHAnsi"/>
          <w:spacing w:val="2"/>
        </w:rPr>
        <w:t>h</w:t>
      </w:r>
      <w:r w:rsidRPr="00A54361">
        <w:rPr>
          <w:rFonts w:eastAsia="Times New Roman" w:cstheme="minorHAnsi"/>
          <w:spacing w:val="-1"/>
        </w:rPr>
        <w:t>a</w:t>
      </w:r>
      <w:r w:rsidRPr="00A54361">
        <w:rPr>
          <w:rFonts w:eastAsia="Times New Roman" w:cstheme="minorHAnsi"/>
        </w:rPr>
        <w:t>ll</w:t>
      </w:r>
      <w:r w:rsidRPr="00A54361">
        <w:rPr>
          <w:rFonts w:eastAsia="Times New Roman" w:cstheme="minorHAnsi"/>
          <w:spacing w:val="1"/>
        </w:rPr>
        <w:t xml:space="preserve"> </w:t>
      </w:r>
      <w:r w:rsidRPr="00A54361">
        <w:rPr>
          <w:rFonts w:eastAsia="Times New Roman" w:cstheme="minorHAnsi"/>
        </w:rPr>
        <w:t>be</w:t>
      </w:r>
      <w:r w:rsidRPr="00A54361">
        <w:rPr>
          <w:rFonts w:eastAsia="Times New Roman" w:cstheme="minorHAnsi"/>
          <w:spacing w:val="-1"/>
        </w:rPr>
        <w:t xml:space="preserve"> </w:t>
      </w:r>
      <w:r w:rsidRPr="00A54361">
        <w:rPr>
          <w:rFonts w:eastAsia="Times New Roman" w:cstheme="minorHAnsi"/>
        </w:rPr>
        <w:t xml:space="preserve">the </w:t>
      </w:r>
      <w:r w:rsidRPr="00A54361">
        <w:rPr>
          <w:rFonts w:eastAsia="Times New Roman" w:cstheme="minorHAnsi"/>
          <w:spacing w:val="-1"/>
        </w:rPr>
        <w:t>“</w:t>
      </w:r>
      <w:r w:rsidRPr="00A54361">
        <w:rPr>
          <w:rFonts w:eastAsia="Times New Roman" w:cstheme="minorHAnsi"/>
        </w:rPr>
        <w:t>Ap</w:t>
      </w:r>
      <w:r w:rsidRPr="00A54361">
        <w:rPr>
          <w:rFonts w:eastAsia="Times New Roman" w:cstheme="minorHAnsi"/>
          <w:spacing w:val="2"/>
        </w:rPr>
        <w:t>p</w:t>
      </w:r>
      <w:r w:rsidRPr="00A54361">
        <w:rPr>
          <w:rFonts w:eastAsia="Times New Roman" w:cstheme="minorHAnsi"/>
          <w:spacing w:val="-1"/>
        </w:rPr>
        <w:t>e</w:t>
      </w:r>
      <w:r w:rsidRPr="00A54361">
        <w:rPr>
          <w:rFonts w:eastAsia="Times New Roman" w:cstheme="minorHAnsi"/>
        </w:rPr>
        <w:t>l</w:t>
      </w:r>
      <w:r w:rsidRPr="00A54361">
        <w:rPr>
          <w:rFonts w:eastAsia="Times New Roman" w:cstheme="minorHAnsi"/>
          <w:spacing w:val="1"/>
        </w:rPr>
        <w:t>l</w:t>
      </w:r>
      <w:r w:rsidRPr="00A54361">
        <w:rPr>
          <w:rFonts w:eastAsia="Times New Roman" w:cstheme="minorHAnsi"/>
          <w:spacing w:val="-1"/>
        </w:rPr>
        <w:t>a</w:t>
      </w:r>
      <w:r w:rsidRPr="00A54361">
        <w:rPr>
          <w:rFonts w:eastAsia="Times New Roman" w:cstheme="minorHAnsi"/>
        </w:rPr>
        <w:t xml:space="preserve">te </w:t>
      </w:r>
      <w:r w:rsidRPr="00A54361">
        <w:rPr>
          <w:rFonts w:eastAsia="Times New Roman" w:cstheme="minorHAnsi"/>
          <w:spacing w:val="-1"/>
        </w:rPr>
        <w:t>A</w:t>
      </w:r>
      <w:r w:rsidRPr="00A54361">
        <w:rPr>
          <w:rFonts w:eastAsia="Times New Roman" w:cstheme="minorHAnsi"/>
        </w:rPr>
        <w:t>uthori</w:t>
      </w:r>
      <w:r w:rsidRPr="00A54361">
        <w:rPr>
          <w:rFonts w:eastAsia="Times New Roman" w:cstheme="minorHAnsi"/>
          <w:spacing w:val="3"/>
        </w:rPr>
        <w:t>t</w:t>
      </w:r>
      <w:r w:rsidRPr="00A54361">
        <w:rPr>
          <w:rFonts w:eastAsia="Times New Roman" w:cstheme="minorHAnsi"/>
          <w:spacing w:val="-5"/>
        </w:rPr>
        <w:t>y</w:t>
      </w:r>
      <w:r w:rsidRPr="00A54361">
        <w:rPr>
          <w:rFonts w:eastAsia="Times New Roman" w:cstheme="minorHAnsi"/>
          <w:spacing w:val="1"/>
        </w:rPr>
        <w:t>”</w:t>
      </w:r>
      <w:r w:rsidRPr="00A54361">
        <w:rPr>
          <w:rFonts w:eastAsia="Times New Roman" w:cstheme="minorHAnsi"/>
        </w:rPr>
        <w:t>.</w:t>
      </w:r>
    </w:p>
    <w:p w14:paraId="3AD1E685" w14:textId="7ACC67B9" w:rsidR="0054549F" w:rsidRPr="00A54361" w:rsidRDefault="0054549F" w:rsidP="00A54361">
      <w:pPr>
        <w:ind w:right="82" w:hanging="142"/>
        <w:jc w:val="both"/>
        <w:rPr>
          <w:rFonts w:cstheme="minorHAnsi"/>
        </w:rPr>
      </w:pPr>
      <w:r w:rsidRPr="00A54361">
        <w:rPr>
          <w:rFonts w:eastAsia="Times New Roman" w:cstheme="minorHAnsi"/>
          <w:spacing w:val="-1"/>
        </w:rPr>
        <w:t>e</w:t>
      </w:r>
      <w:r w:rsidRPr="00A54361">
        <w:rPr>
          <w:rFonts w:eastAsia="Times New Roman" w:cstheme="minorHAnsi"/>
        </w:rPr>
        <w:t>)</w:t>
      </w:r>
      <w:r w:rsidRPr="00A54361">
        <w:rPr>
          <w:rFonts w:eastAsia="Times New Roman" w:cstheme="minorHAnsi"/>
          <w:spacing w:val="-3"/>
        </w:rPr>
        <w:t xml:space="preserve"> </w:t>
      </w:r>
      <w:r w:rsidRPr="00A54361">
        <w:rPr>
          <w:rFonts w:eastAsia="Times New Roman" w:cstheme="minorHAnsi"/>
          <w:spacing w:val="2"/>
        </w:rPr>
        <w:t>M</w:t>
      </w:r>
      <w:r w:rsidRPr="00A54361">
        <w:rPr>
          <w:rFonts w:eastAsia="Times New Roman" w:cstheme="minorHAnsi"/>
          <w:spacing w:val="-1"/>
        </w:rPr>
        <w:t>a</w:t>
      </w:r>
      <w:r w:rsidRPr="00A54361">
        <w:rPr>
          <w:rFonts w:eastAsia="Times New Roman" w:cstheme="minorHAnsi"/>
        </w:rPr>
        <w:t>n</w:t>
      </w:r>
      <w:r w:rsidRPr="00A54361">
        <w:rPr>
          <w:rFonts w:eastAsia="Times New Roman" w:cstheme="minorHAnsi"/>
          <w:spacing w:val="1"/>
        </w:rPr>
        <w:t>a</w:t>
      </w:r>
      <w:r w:rsidRPr="00A54361">
        <w:rPr>
          <w:rFonts w:eastAsia="Times New Roman" w:cstheme="minorHAnsi"/>
          <w:spacing w:val="-2"/>
        </w:rPr>
        <w:t>g</w:t>
      </w:r>
      <w:r w:rsidRPr="00A54361">
        <w:rPr>
          <w:rFonts w:eastAsia="Times New Roman" w:cstheme="minorHAnsi"/>
        </w:rPr>
        <w:t>i</w:t>
      </w:r>
      <w:r w:rsidRPr="00A54361">
        <w:rPr>
          <w:rFonts w:eastAsia="Times New Roman" w:cstheme="minorHAnsi"/>
          <w:spacing w:val="3"/>
        </w:rPr>
        <w:t>n</w:t>
      </w:r>
      <w:r w:rsidRPr="00A54361">
        <w:rPr>
          <w:rFonts w:eastAsia="Times New Roman" w:cstheme="minorHAnsi"/>
        </w:rPr>
        <w:t>g</w:t>
      </w:r>
      <w:r w:rsidRPr="00A54361">
        <w:rPr>
          <w:rFonts w:eastAsia="Times New Roman" w:cstheme="minorHAnsi"/>
          <w:spacing w:val="-5"/>
        </w:rPr>
        <w:t xml:space="preserve"> </w:t>
      </w:r>
      <w:r w:rsidRPr="00A54361">
        <w:rPr>
          <w:rFonts w:eastAsia="Times New Roman" w:cstheme="minorHAnsi"/>
        </w:rPr>
        <w:t>Di</w:t>
      </w:r>
      <w:r w:rsidRPr="00A54361">
        <w:rPr>
          <w:rFonts w:eastAsia="Times New Roman" w:cstheme="minorHAnsi"/>
          <w:spacing w:val="1"/>
        </w:rPr>
        <w:t>r</w:t>
      </w:r>
      <w:r w:rsidRPr="00A54361">
        <w:rPr>
          <w:rFonts w:eastAsia="Times New Roman" w:cstheme="minorHAnsi"/>
          <w:spacing w:val="-1"/>
        </w:rPr>
        <w:t>ec</w:t>
      </w:r>
      <w:r w:rsidRPr="00A54361">
        <w:rPr>
          <w:rFonts w:eastAsia="Times New Roman" w:cstheme="minorHAnsi"/>
        </w:rPr>
        <w:t>tor</w:t>
      </w:r>
      <w:r w:rsidR="00917777" w:rsidRPr="00A54361">
        <w:rPr>
          <w:rFonts w:eastAsia="Times New Roman" w:cstheme="minorHAnsi"/>
        </w:rPr>
        <w:t xml:space="preserve"> &amp; CEO </w:t>
      </w:r>
      <w:r w:rsidRPr="00A54361">
        <w:rPr>
          <w:rFonts w:eastAsia="Times New Roman" w:cstheme="minorHAnsi"/>
        </w:rPr>
        <w:t>,</w:t>
      </w:r>
      <w:r w:rsidRPr="00A54361">
        <w:rPr>
          <w:rFonts w:eastAsia="Times New Roman" w:cstheme="minorHAnsi"/>
          <w:spacing w:val="-3"/>
        </w:rPr>
        <w:t xml:space="preserve"> </w:t>
      </w:r>
      <w:r w:rsidRPr="00A54361">
        <w:rPr>
          <w:rFonts w:eastAsia="Times New Roman" w:cstheme="minorHAnsi"/>
        </w:rPr>
        <w:t>CE</w:t>
      </w:r>
      <w:r w:rsidRPr="00A54361">
        <w:rPr>
          <w:rFonts w:eastAsia="Times New Roman" w:cstheme="minorHAnsi"/>
          <w:spacing w:val="-1"/>
        </w:rPr>
        <w:t>N</w:t>
      </w:r>
      <w:r w:rsidRPr="00A54361">
        <w:rPr>
          <w:rFonts w:eastAsia="Times New Roman" w:cstheme="minorHAnsi"/>
        </w:rPr>
        <w:t>TR</w:t>
      </w:r>
      <w:r w:rsidRPr="00A54361">
        <w:rPr>
          <w:rFonts w:eastAsia="Times New Roman" w:cstheme="minorHAnsi"/>
          <w:spacing w:val="2"/>
        </w:rPr>
        <w:t>A</w:t>
      </w:r>
      <w:r w:rsidRPr="00A54361">
        <w:rPr>
          <w:rFonts w:eastAsia="Times New Roman" w:cstheme="minorHAnsi"/>
        </w:rPr>
        <w:t>L</w:t>
      </w:r>
      <w:r w:rsidRPr="00A54361">
        <w:rPr>
          <w:rFonts w:eastAsia="Times New Roman" w:cstheme="minorHAnsi"/>
          <w:spacing w:val="-5"/>
        </w:rPr>
        <w:t xml:space="preserve"> </w:t>
      </w:r>
      <w:r w:rsidRPr="00A54361">
        <w:rPr>
          <w:rFonts w:eastAsia="Times New Roman" w:cstheme="minorHAnsi"/>
        </w:rPr>
        <w:t>BA</w:t>
      </w:r>
      <w:r w:rsidRPr="00A54361">
        <w:rPr>
          <w:rFonts w:eastAsia="Times New Roman" w:cstheme="minorHAnsi"/>
          <w:spacing w:val="-1"/>
        </w:rPr>
        <w:t>N</w:t>
      </w:r>
      <w:r w:rsidRPr="00A54361">
        <w:rPr>
          <w:rFonts w:eastAsia="Times New Roman" w:cstheme="minorHAnsi"/>
        </w:rPr>
        <w:t>K</w:t>
      </w:r>
      <w:r w:rsidRPr="00A54361">
        <w:rPr>
          <w:rFonts w:eastAsia="Times New Roman" w:cstheme="minorHAnsi"/>
          <w:spacing w:val="-3"/>
        </w:rPr>
        <w:t xml:space="preserve"> </w:t>
      </w:r>
      <w:r w:rsidRPr="00A54361">
        <w:rPr>
          <w:rFonts w:eastAsia="Times New Roman" w:cstheme="minorHAnsi"/>
        </w:rPr>
        <w:t>OF</w:t>
      </w:r>
      <w:r w:rsidRPr="00A54361">
        <w:rPr>
          <w:rFonts w:eastAsia="Times New Roman" w:cstheme="minorHAnsi"/>
          <w:spacing w:val="-2"/>
        </w:rPr>
        <w:t xml:space="preserve"> </w:t>
      </w:r>
      <w:r w:rsidRPr="00A54361">
        <w:rPr>
          <w:rFonts w:eastAsia="Times New Roman" w:cstheme="minorHAnsi"/>
          <w:spacing w:val="-3"/>
        </w:rPr>
        <w:t>I</w:t>
      </w:r>
      <w:r w:rsidRPr="00A54361">
        <w:rPr>
          <w:rFonts w:eastAsia="Times New Roman" w:cstheme="minorHAnsi"/>
          <w:spacing w:val="2"/>
        </w:rPr>
        <w:t>ND</w:t>
      </w:r>
      <w:r w:rsidRPr="00A54361">
        <w:rPr>
          <w:rFonts w:eastAsia="Times New Roman" w:cstheme="minorHAnsi"/>
          <w:spacing w:val="-3"/>
        </w:rPr>
        <w:t>I</w:t>
      </w:r>
      <w:r w:rsidRPr="00A54361">
        <w:rPr>
          <w:rFonts w:eastAsia="Times New Roman" w:cstheme="minorHAnsi"/>
        </w:rPr>
        <w:t>A</w:t>
      </w:r>
      <w:r w:rsidRPr="00A54361">
        <w:rPr>
          <w:rFonts w:eastAsia="Times New Roman" w:cstheme="minorHAnsi"/>
          <w:spacing w:val="-3"/>
        </w:rPr>
        <w:t xml:space="preserve"> </w:t>
      </w:r>
      <w:r w:rsidRPr="00A54361">
        <w:rPr>
          <w:rFonts w:eastAsia="Times New Roman" w:cstheme="minorHAnsi"/>
        </w:rPr>
        <w:t>sh</w:t>
      </w:r>
      <w:r w:rsidRPr="00A54361">
        <w:rPr>
          <w:rFonts w:eastAsia="Times New Roman" w:cstheme="minorHAnsi"/>
          <w:spacing w:val="-1"/>
        </w:rPr>
        <w:t>a</w:t>
      </w:r>
      <w:r w:rsidRPr="00A54361">
        <w:rPr>
          <w:rFonts w:eastAsia="Times New Roman" w:cstheme="minorHAnsi"/>
        </w:rPr>
        <w:t>ll</w:t>
      </w:r>
      <w:r w:rsidRPr="00A54361">
        <w:rPr>
          <w:rFonts w:eastAsia="Times New Roman" w:cstheme="minorHAnsi"/>
          <w:spacing w:val="-2"/>
        </w:rPr>
        <w:t xml:space="preserve"> </w:t>
      </w:r>
      <w:r w:rsidRPr="00A54361">
        <w:rPr>
          <w:rFonts w:eastAsia="Times New Roman" w:cstheme="minorHAnsi"/>
        </w:rPr>
        <w:t>h</w:t>
      </w:r>
      <w:r w:rsidRPr="00A54361">
        <w:rPr>
          <w:rFonts w:eastAsia="Times New Roman" w:cstheme="minorHAnsi"/>
          <w:spacing w:val="1"/>
        </w:rPr>
        <w:t>a</w:t>
      </w:r>
      <w:r w:rsidRPr="00A54361">
        <w:rPr>
          <w:rFonts w:eastAsia="Times New Roman" w:cstheme="minorHAnsi"/>
        </w:rPr>
        <w:t>ve</w:t>
      </w:r>
      <w:r w:rsidRPr="00A54361">
        <w:rPr>
          <w:rFonts w:eastAsia="Times New Roman" w:cstheme="minorHAnsi"/>
          <w:spacing w:val="-3"/>
        </w:rPr>
        <w:t xml:space="preserve"> </w:t>
      </w:r>
      <w:r w:rsidRPr="00A54361">
        <w:rPr>
          <w:rFonts w:eastAsia="Times New Roman" w:cstheme="minorHAnsi"/>
        </w:rPr>
        <w:t>ov</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2"/>
        </w:rPr>
        <w:t>a</w:t>
      </w:r>
      <w:r w:rsidRPr="00A54361">
        <w:rPr>
          <w:rFonts w:eastAsia="Times New Roman" w:cstheme="minorHAnsi"/>
        </w:rPr>
        <w:t>ll</w:t>
      </w:r>
      <w:r w:rsidRPr="00A54361">
        <w:rPr>
          <w:rFonts w:eastAsia="Times New Roman" w:cstheme="minorHAnsi"/>
          <w:spacing w:val="-2"/>
        </w:rPr>
        <w:t xml:space="preserve"> </w:t>
      </w:r>
      <w:r w:rsidRPr="00A54361">
        <w:rPr>
          <w:rFonts w:eastAsia="Times New Roman" w:cstheme="minorHAnsi"/>
        </w:rPr>
        <w:t>pow</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3"/>
        </w:rPr>
        <w:t xml:space="preserve"> </w:t>
      </w:r>
      <w:r w:rsidRPr="00A54361">
        <w:rPr>
          <w:rFonts w:eastAsia="Times New Roman" w:cstheme="minorHAnsi"/>
        </w:rPr>
        <w:t>to take</w:t>
      </w:r>
      <w:r w:rsidRPr="00A54361">
        <w:rPr>
          <w:rFonts w:eastAsia="Times New Roman" w:cstheme="minorHAnsi"/>
          <w:spacing w:val="3"/>
        </w:rPr>
        <w:t xml:space="preserve"> </w:t>
      </w:r>
      <w:r w:rsidRPr="00A54361">
        <w:rPr>
          <w:rFonts w:eastAsia="Times New Roman" w:cstheme="minorHAnsi"/>
        </w:rPr>
        <w:t>suo</w:t>
      </w:r>
      <w:r w:rsidRPr="00A54361">
        <w:rPr>
          <w:rFonts w:eastAsia="Times New Roman" w:cstheme="minorHAnsi"/>
          <w:spacing w:val="-1"/>
        </w:rPr>
        <w:t>-</w:t>
      </w:r>
      <w:r w:rsidRPr="00A54361">
        <w:rPr>
          <w:rFonts w:eastAsia="Times New Roman" w:cstheme="minorHAnsi"/>
        </w:rPr>
        <w:t>mo</w:t>
      </w:r>
      <w:r w:rsidRPr="00A54361">
        <w:rPr>
          <w:rFonts w:eastAsia="Times New Roman" w:cstheme="minorHAnsi"/>
          <w:spacing w:val="1"/>
        </w:rPr>
        <w:t>t</w:t>
      </w:r>
      <w:r w:rsidRPr="00A54361">
        <w:rPr>
          <w:rFonts w:eastAsia="Times New Roman" w:cstheme="minorHAnsi"/>
        </w:rPr>
        <w:t>o</w:t>
      </w:r>
      <w:r w:rsidRPr="00A54361">
        <w:rPr>
          <w:rFonts w:eastAsia="Times New Roman" w:cstheme="minorHAnsi"/>
          <w:spacing w:val="4"/>
        </w:rPr>
        <w:t xml:space="preserve"> </w:t>
      </w:r>
      <w:r w:rsidRPr="00A54361">
        <w:rPr>
          <w:rFonts w:eastAsia="Times New Roman" w:cstheme="minorHAnsi"/>
          <w:spacing w:val="-1"/>
        </w:rPr>
        <w:t>ac</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on</w:t>
      </w:r>
      <w:r w:rsidRPr="00A54361">
        <w:rPr>
          <w:rFonts w:eastAsia="Times New Roman" w:cstheme="minorHAnsi"/>
          <w:spacing w:val="4"/>
        </w:rPr>
        <w:t xml:space="preserve"> </w:t>
      </w:r>
      <w:r w:rsidRPr="00A54361">
        <w:rPr>
          <w:rFonts w:eastAsia="Times New Roman" w:cstheme="minorHAnsi"/>
        </w:rPr>
        <w:t>on</w:t>
      </w:r>
      <w:r w:rsidRPr="00A54361">
        <w:rPr>
          <w:rFonts w:eastAsia="Times New Roman" w:cstheme="minorHAnsi"/>
          <w:spacing w:val="2"/>
        </w:rPr>
        <w:t xml:space="preserve"> </w:t>
      </w:r>
      <w:r w:rsidRPr="00A54361">
        <w:rPr>
          <w:rFonts w:eastAsia="Times New Roman" w:cstheme="minorHAnsi"/>
          <w:spacing w:val="-1"/>
        </w:rPr>
        <w:t>a</w:t>
      </w:r>
      <w:r w:rsidRPr="00A54361">
        <w:rPr>
          <w:rFonts w:eastAsia="Times New Roman" w:cstheme="minorHAnsi"/>
          <w:spacing w:val="2"/>
        </w:rPr>
        <w:t>n</w:t>
      </w:r>
      <w:r w:rsidRPr="00A54361">
        <w:rPr>
          <w:rFonts w:eastAsia="Times New Roman" w:cstheme="minorHAnsi"/>
        </w:rPr>
        <w:t>y in</w:t>
      </w:r>
      <w:r w:rsidRPr="00A54361">
        <w:rPr>
          <w:rFonts w:eastAsia="Times New Roman" w:cstheme="minorHAnsi"/>
          <w:spacing w:val="2"/>
        </w:rPr>
        <w:t>f</w:t>
      </w:r>
      <w:r w:rsidRPr="00A54361">
        <w:rPr>
          <w:rFonts w:eastAsia="Times New Roman" w:cstheme="minorHAnsi"/>
        </w:rPr>
        <w:t>or</w:t>
      </w:r>
      <w:r w:rsidRPr="00A54361">
        <w:rPr>
          <w:rFonts w:eastAsia="Times New Roman" w:cstheme="minorHAnsi"/>
          <w:spacing w:val="2"/>
        </w:rPr>
        <w:t>m</w:t>
      </w:r>
      <w:r w:rsidRPr="00A54361">
        <w:rPr>
          <w:rFonts w:eastAsia="Times New Roman" w:cstheme="minorHAnsi"/>
          <w:spacing w:val="-1"/>
        </w:rPr>
        <w:t>a</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on</w:t>
      </w:r>
      <w:r w:rsidRPr="00A54361">
        <w:rPr>
          <w:rFonts w:eastAsia="Times New Roman" w:cstheme="minorHAnsi"/>
          <w:spacing w:val="4"/>
        </w:rPr>
        <w:t xml:space="preserve"> </w:t>
      </w:r>
      <w:r w:rsidRPr="00A54361">
        <w:rPr>
          <w:rFonts w:eastAsia="Times New Roman" w:cstheme="minorHAnsi"/>
          <w:spacing w:val="-1"/>
        </w:rPr>
        <w:t>a</w:t>
      </w:r>
      <w:r w:rsidRPr="00A54361">
        <w:rPr>
          <w:rFonts w:eastAsia="Times New Roman" w:cstheme="minorHAnsi"/>
        </w:rPr>
        <w:t>v</w:t>
      </w:r>
      <w:r w:rsidRPr="00A54361">
        <w:rPr>
          <w:rFonts w:eastAsia="Times New Roman" w:cstheme="minorHAnsi"/>
          <w:spacing w:val="-1"/>
        </w:rPr>
        <w:t>a</w:t>
      </w:r>
      <w:r w:rsidRPr="00A54361">
        <w:rPr>
          <w:rFonts w:eastAsia="Times New Roman" w:cstheme="minorHAnsi"/>
        </w:rPr>
        <w:t>i</w:t>
      </w:r>
      <w:r w:rsidRPr="00A54361">
        <w:rPr>
          <w:rFonts w:eastAsia="Times New Roman" w:cstheme="minorHAnsi"/>
          <w:spacing w:val="1"/>
        </w:rPr>
        <w:t>l</w:t>
      </w:r>
      <w:r w:rsidRPr="00A54361">
        <w:rPr>
          <w:rFonts w:eastAsia="Times New Roman" w:cstheme="minorHAnsi"/>
          <w:spacing w:val="-1"/>
        </w:rPr>
        <w:t>a</w:t>
      </w:r>
      <w:r w:rsidRPr="00A54361">
        <w:rPr>
          <w:rFonts w:eastAsia="Times New Roman" w:cstheme="minorHAnsi"/>
        </w:rPr>
        <w:t>ble</w:t>
      </w:r>
      <w:r w:rsidRPr="00A54361">
        <w:rPr>
          <w:rFonts w:eastAsia="Times New Roman" w:cstheme="minorHAnsi"/>
          <w:spacing w:val="4"/>
        </w:rPr>
        <w:t xml:space="preserve"> </w:t>
      </w:r>
      <w:r w:rsidRPr="00A54361">
        <w:rPr>
          <w:rFonts w:eastAsia="Times New Roman" w:cstheme="minorHAnsi"/>
        </w:rPr>
        <w:t>or</w:t>
      </w:r>
      <w:r w:rsidRPr="00A54361">
        <w:rPr>
          <w:rFonts w:eastAsia="Times New Roman" w:cstheme="minorHAnsi"/>
          <w:spacing w:val="4"/>
        </w:rPr>
        <w:t xml:space="preserve"> </w:t>
      </w:r>
      <w:r w:rsidRPr="00A54361">
        <w:rPr>
          <w:rFonts w:eastAsia="Times New Roman" w:cstheme="minorHAnsi"/>
        </w:rPr>
        <w:t>r</w:t>
      </w:r>
      <w:r w:rsidRPr="00A54361">
        <w:rPr>
          <w:rFonts w:eastAsia="Times New Roman" w:cstheme="minorHAnsi"/>
          <w:spacing w:val="-2"/>
        </w:rPr>
        <w:t>e</w:t>
      </w:r>
      <w:r w:rsidRPr="00A54361">
        <w:rPr>
          <w:rFonts w:eastAsia="Times New Roman" w:cstheme="minorHAnsi"/>
          <w:spacing w:val="-1"/>
        </w:rPr>
        <w:t>ce</w:t>
      </w:r>
      <w:r w:rsidRPr="00A54361">
        <w:rPr>
          <w:rFonts w:eastAsia="Times New Roman" w:cstheme="minorHAnsi"/>
        </w:rPr>
        <w:t>i</w:t>
      </w:r>
      <w:r w:rsidRPr="00A54361">
        <w:rPr>
          <w:rFonts w:eastAsia="Times New Roman" w:cstheme="minorHAnsi"/>
          <w:spacing w:val="3"/>
        </w:rPr>
        <w:t>v</w:t>
      </w:r>
      <w:r w:rsidRPr="00A54361">
        <w:rPr>
          <w:rFonts w:eastAsia="Times New Roman" w:cstheme="minorHAnsi"/>
          <w:spacing w:val="-1"/>
        </w:rPr>
        <w:t>e</w:t>
      </w:r>
      <w:r w:rsidRPr="00A54361">
        <w:rPr>
          <w:rFonts w:eastAsia="Times New Roman" w:cstheme="minorHAnsi"/>
        </w:rPr>
        <w:t>d</w:t>
      </w:r>
      <w:r w:rsidRPr="00A54361">
        <w:rPr>
          <w:rFonts w:eastAsia="Times New Roman" w:cstheme="minorHAnsi"/>
          <w:spacing w:val="4"/>
        </w:rPr>
        <w:t xml:space="preserve"> </w:t>
      </w:r>
      <w:r w:rsidRPr="00A54361">
        <w:rPr>
          <w:rFonts w:eastAsia="Times New Roman" w:cstheme="minorHAnsi"/>
          <w:spacing w:val="2"/>
        </w:rPr>
        <w:t>b</w:t>
      </w:r>
      <w:r w:rsidRPr="00A54361">
        <w:rPr>
          <w:rFonts w:eastAsia="Times New Roman" w:cstheme="minorHAnsi"/>
        </w:rPr>
        <w:t>y him</w:t>
      </w:r>
      <w:r w:rsidRPr="00A54361">
        <w:rPr>
          <w:rFonts w:eastAsia="Times New Roman" w:cstheme="minorHAnsi"/>
          <w:spacing w:val="5"/>
        </w:rPr>
        <w:t xml:space="preserve"> </w:t>
      </w:r>
      <w:r w:rsidRPr="00A54361">
        <w:rPr>
          <w:rFonts w:eastAsia="Times New Roman" w:cstheme="minorHAnsi"/>
          <w:spacing w:val="-1"/>
        </w:rPr>
        <w:t>a</w:t>
      </w:r>
      <w:r w:rsidRPr="00A54361">
        <w:rPr>
          <w:rFonts w:eastAsia="Times New Roman" w:cstheme="minorHAnsi"/>
        </w:rPr>
        <w:t>nd</w:t>
      </w:r>
      <w:r w:rsidRPr="00A54361">
        <w:rPr>
          <w:rFonts w:eastAsia="Times New Roman" w:cstheme="minorHAnsi"/>
          <w:spacing w:val="7"/>
        </w:rPr>
        <w:t xml:space="preserve"> </w:t>
      </w:r>
      <w:r w:rsidRPr="00A54361">
        <w:rPr>
          <w:rFonts w:eastAsia="Times New Roman" w:cstheme="minorHAnsi"/>
        </w:rPr>
        <w:t>p</w:t>
      </w:r>
      <w:r w:rsidRPr="00A54361">
        <w:rPr>
          <w:rFonts w:eastAsia="Times New Roman" w:cstheme="minorHAnsi"/>
          <w:spacing w:val="-1"/>
        </w:rPr>
        <w:t>a</w:t>
      </w:r>
      <w:r w:rsidRPr="00A54361">
        <w:rPr>
          <w:rFonts w:eastAsia="Times New Roman" w:cstheme="minorHAnsi"/>
        </w:rPr>
        <w:t>ss</w:t>
      </w:r>
      <w:r w:rsidRPr="00A54361">
        <w:rPr>
          <w:rFonts w:eastAsia="Times New Roman" w:cstheme="minorHAnsi"/>
          <w:spacing w:val="5"/>
        </w:rPr>
        <w:t xml:space="preserve"> </w:t>
      </w:r>
      <w:r w:rsidRPr="00A54361">
        <w:rPr>
          <w:rFonts w:eastAsia="Times New Roman" w:cstheme="minorHAnsi"/>
        </w:rPr>
        <w:t>su</w:t>
      </w:r>
      <w:r w:rsidRPr="00A54361">
        <w:rPr>
          <w:rFonts w:eastAsia="Times New Roman" w:cstheme="minorHAnsi"/>
          <w:spacing w:val="-1"/>
        </w:rPr>
        <w:t>c</w:t>
      </w:r>
      <w:r w:rsidRPr="00A54361">
        <w:rPr>
          <w:rFonts w:eastAsia="Times New Roman" w:cstheme="minorHAnsi"/>
        </w:rPr>
        <w:t>h</w:t>
      </w:r>
      <w:r w:rsidRPr="00A54361">
        <w:rPr>
          <w:rFonts w:eastAsia="Times New Roman" w:cstheme="minorHAnsi"/>
          <w:spacing w:val="4"/>
        </w:rPr>
        <w:t xml:space="preserve"> </w:t>
      </w:r>
      <w:r w:rsidRPr="00A54361">
        <w:rPr>
          <w:rFonts w:eastAsia="Times New Roman" w:cstheme="minorHAnsi"/>
        </w:rPr>
        <w:t>ord</w:t>
      </w:r>
      <w:r w:rsidRPr="00A54361">
        <w:rPr>
          <w:rFonts w:eastAsia="Times New Roman" w:cstheme="minorHAnsi"/>
          <w:spacing w:val="-2"/>
        </w:rPr>
        <w:t>e</w:t>
      </w:r>
      <w:r w:rsidRPr="00A54361">
        <w:rPr>
          <w:rFonts w:eastAsia="Times New Roman" w:cstheme="minorHAnsi"/>
        </w:rPr>
        <w:t>r</w:t>
      </w:r>
      <w:r w:rsidRPr="00A54361">
        <w:rPr>
          <w:rFonts w:eastAsia="Times New Roman" w:cstheme="minorHAnsi"/>
          <w:spacing w:val="-1"/>
        </w:rPr>
        <w:t>(</w:t>
      </w:r>
      <w:r w:rsidRPr="00A54361">
        <w:rPr>
          <w:rFonts w:eastAsia="Times New Roman" w:cstheme="minorHAnsi"/>
        </w:rPr>
        <w:t xml:space="preserve">s) </w:t>
      </w:r>
      <w:r w:rsidRPr="00A54361">
        <w:rPr>
          <w:rFonts w:eastAsia="Times New Roman" w:cstheme="minorHAnsi"/>
          <w:spacing w:val="-1"/>
        </w:rPr>
        <w:t>a</w:t>
      </w:r>
      <w:r w:rsidRPr="00A54361">
        <w:rPr>
          <w:rFonts w:eastAsia="Times New Roman" w:cstheme="minorHAnsi"/>
        </w:rPr>
        <w:t>s</w:t>
      </w:r>
      <w:r w:rsidRPr="00A54361">
        <w:rPr>
          <w:rFonts w:eastAsia="Times New Roman" w:cstheme="minorHAnsi"/>
          <w:spacing w:val="5"/>
        </w:rPr>
        <w:t xml:space="preserve"> </w:t>
      </w:r>
      <w:r w:rsidRPr="00A54361">
        <w:rPr>
          <w:rFonts w:eastAsia="Times New Roman" w:cstheme="minorHAnsi"/>
        </w:rPr>
        <w:t>he</w:t>
      </w:r>
      <w:r w:rsidRPr="00A54361">
        <w:rPr>
          <w:rFonts w:eastAsia="Times New Roman" w:cstheme="minorHAnsi"/>
          <w:spacing w:val="4"/>
        </w:rPr>
        <w:t xml:space="preserve"> </w:t>
      </w:r>
      <w:r w:rsidRPr="00A54361">
        <w:rPr>
          <w:rFonts w:eastAsia="Times New Roman" w:cstheme="minorHAnsi"/>
        </w:rPr>
        <w:t>m</w:t>
      </w:r>
      <w:r w:rsidRPr="00A54361">
        <w:rPr>
          <w:rFonts w:eastAsia="Times New Roman" w:cstheme="minorHAnsi"/>
          <w:spacing w:val="4"/>
        </w:rPr>
        <w:t>a</w:t>
      </w:r>
      <w:r w:rsidRPr="00A54361">
        <w:rPr>
          <w:rFonts w:eastAsia="Times New Roman" w:cstheme="minorHAnsi"/>
        </w:rPr>
        <w:t>y th</w:t>
      </w:r>
      <w:r w:rsidRPr="00A54361">
        <w:rPr>
          <w:rFonts w:eastAsia="Times New Roman" w:cstheme="minorHAnsi"/>
          <w:spacing w:val="1"/>
        </w:rPr>
        <w:t>i</w:t>
      </w:r>
      <w:r w:rsidRPr="00A54361">
        <w:rPr>
          <w:rFonts w:eastAsia="Times New Roman" w:cstheme="minorHAnsi"/>
        </w:rPr>
        <w:t>nk</w:t>
      </w:r>
      <w:r w:rsidRPr="00A54361">
        <w:rPr>
          <w:rFonts w:eastAsia="Times New Roman" w:cstheme="minorHAnsi"/>
          <w:spacing w:val="7"/>
        </w:rPr>
        <w:t xml:space="preserve"> </w:t>
      </w:r>
      <w:r w:rsidRPr="00A54361">
        <w:rPr>
          <w:rFonts w:eastAsia="Times New Roman" w:cstheme="minorHAnsi"/>
          <w:spacing w:val="-1"/>
        </w:rPr>
        <w:t>a</w:t>
      </w:r>
      <w:r w:rsidRPr="00A54361">
        <w:rPr>
          <w:rFonts w:eastAsia="Times New Roman" w:cstheme="minorHAnsi"/>
        </w:rPr>
        <w:t>ppro</w:t>
      </w:r>
      <w:r w:rsidRPr="00A54361">
        <w:rPr>
          <w:rFonts w:eastAsia="Times New Roman" w:cstheme="minorHAnsi"/>
          <w:spacing w:val="-1"/>
        </w:rPr>
        <w:t>p</w:t>
      </w:r>
      <w:r w:rsidRPr="00A54361">
        <w:rPr>
          <w:rFonts w:eastAsia="Times New Roman" w:cstheme="minorHAnsi"/>
        </w:rPr>
        <w:t>r</w:t>
      </w:r>
      <w:r w:rsidRPr="00A54361">
        <w:rPr>
          <w:rFonts w:eastAsia="Times New Roman" w:cstheme="minorHAnsi"/>
          <w:spacing w:val="2"/>
        </w:rPr>
        <w:t>i</w:t>
      </w:r>
      <w:r w:rsidRPr="00A54361">
        <w:rPr>
          <w:rFonts w:eastAsia="Times New Roman" w:cstheme="minorHAnsi"/>
          <w:spacing w:val="-1"/>
        </w:rPr>
        <w:t>a</w:t>
      </w:r>
      <w:r w:rsidRPr="00A54361">
        <w:rPr>
          <w:rFonts w:eastAsia="Times New Roman" w:cstheme="minorHAnsi"/>
        </w:rPr>
        <w:t>te,</w:t>
      </w:r>
      <w:r w:rsidRPr="00A54361">
        <w:rPr>
          <w:rFonts w:eastAsia="Times New Roman" w:cstheme="minorHAnsi"/>
          <w:spacing w:val="4"/>
        </w:rPr>
        <w:t xml:space="preserve"> </w:t>
      </w:r>
      <w:r w:rsidRPr="00A54361">
        <w:rPr>
          <w:rFonts w:eastAsia="Times New Roman" w:cstheme="minorHAnsi"/>
        </w:rPr>
        <w:t>includi</w:t>
      </w:r>
      <w:r w:rsidRPr="00A54361">
        <w:rPr>
          <w:rFonts w:eastAsia="Times New Roman" w:cstheme="minorHAnsi"/>
          <w:spacing w:val="3"/>
        </w:rPr>
        <w:t>n</w:t>
      </w:r>
      <w:r w:rsidRPr="00A54361">
        <w:rPr>
          <w:rFonts w:eastAsia="Times New Roman" w:cstheme="minorHAnsi"/>
        </w:rPr>
        <w:t>g</w:t>
      </w:r>
      <w:r w:rsidRPr="00A54361">
        <w:rPr>
          <w:rFonts w:eastAsia="Times New Roman" w:cstheme="minorHAnsi"/>
          <w:spacing w:val="2"/>
        </w:rPr>
        <w:t xml:space="preserve"> </w:t>
      </w:r>
      <w:r w:rsidRPr="00A54361">
        <w:rPr>
          <w:rFonts w:eastAsia="Times New Roman" w:cstheme="minorHAnsi"/>
        </w:rPr>
        <w:t>mod</w:t>
      </w:r>
      <w:r w:rsidRPr="00A54361">
        <w:rPr>
          <w:rFonts w:eastAsia="Times New Roman" w:cstheme="minorHAnsi"/>
          <w:spacing w:val="1"/>
        </w:rPr>
        <w:t>i</w:t>
      </w:r>
      <w:r w:rsidRPr="00A54361">
        <w:rPr>
          <w:rFonts w:eastAsia="Times New Roman" w:cstheme="minorHAnsi"/>
          <w:spacing w:val="4"/>
        </w:rPr>
        <w:t>f</w:t>
      </w:r>
      <w:r w:rsidRPr="00A54361">
        <w:rPr>
          <w:rFonts w:eastAsia="Times New Roman" w:cstheme="minorHAnsi"/>
          <w:spacing w:val="-7"/>
        </w:rPr>
        <w:t>y</w:t>
      </w:r>
      <w:r w:rsidRPr="00A54361">
        <w:rPr>
          <w:rFonts w:eastAsia="Times New Roman" w:cstheme="minorHAnsi"/>
        </w:rPr>
        <w:t>i</w:t>
      </w:r>
      <w:r w:rsidRPr="00A54361">
        <w:rPr>
          <w:rFonts w:eastAsia="Times New Roman" w:cstheme="minorHAnsi"/>
          <w:spacing w:val="3"/>
        </w:rPr>
        <w:t>n</w:t>
      </w:r>
      <w:r w:rsidRPr="00A54361">
        <w:rPr>
          <w:rFonts w:eastAsia="Times New Roman" w:cstheme="minorHAnsi"/>
        </w:rPr>
        <w:t>g</w:t>
      </w:r>
      <w:r w:rsidRPr="00A54361">
        <w:rPr>
          <w:rFonts w:eastAsia="Times New Roman" w:cstheme="minorHAnsi"/>
          <w:spacing w:val="5"/>
        </w:rPr>
        <w:t xml:space="preserve"> </w:t>
      </w:r>
      <w:r w:rsidRPr="00A54361">
        <w:rPr>
          <w:rFonts w:eastAsia="Times New Roman" w:cstheme="minorHAnsi"/>
        </w:rPr>
        <w:t>the</w:t>
      </w:r>
      <w:r w:rsidRPr="00A54361">
        <w:rPr>
          <w:rFonts w:eastAsia="Times New Roman" w:cstheme="minorHAnsi"/>
          <w:spacing w:val="4"/>
        </w:rPr>
        <w:t xml:space="preserve"> </w:t>
      </w:r>
      <w:r w:rsidRPr="00A54361">
        <w:rPr>
          <w:rFonts w:eastAsia="Times New Roman" w:cstheme="minorHAnsi"/>
        </w:rPr>
        <w:t>order</w:t>
      </w:r>
      <w:r w:rsidRPr="00A54361">
        <w:rPr>
          <w:rFonts w:eastAsia="Times New Roman" w:cstheme="minorHAnsi"/>
          <w:spacing w:val="-1"/>
        </w:rPr>
        <w:t>(</w:t>
      </w:r>
      <w:r w:rsidRPr="00A54361">
        <w:rPr>
          <w:rFonts w:eastAsia="Times New Roman" w:cstheme="minorHAnsi"/>
        </w:rPr>
        <w:t>s)</w:t>
      </w:r>
      <w:r w:rsidRPr="00A54361">
        <w:rPr>
          <w:rFonts w:eastAsia="Times New Roman" w:cstheme="minorHAnsi"/>
          <w:spacing w:val="4"/>
        </w:rPr>
        <w:t xml:space="preserve"> </w:t>
      </w:r>
      <w:r w:rsidRPr="00A54361">
        <w:rPr>
          <w:rFonts w:eastAsia="Times New Roman" w:cstheme="minorHAnsi"/>
          <w:spacing w:val="2"/>
        </w:rPr>
        <w:t>p</w:t>
      </w:r>
      <w:r w:rsidRPr="00A54361">
        <w:rPr>
          <w:rFonts w:eastAsia="Times New Roman" w:cstheme="minorHAnsi"/>
          <w:spacing w:val="-1"/>
        </w:rPr>
        <w:t>a</w:t>
      </w:r>
      <w:r w:rsidRPr="00A54361">
        <w:rPr>
          <w:rFonts w:eastAsia="Times New Roman" w:cstheme="minorHAnsi"/>
        </w:rPr>
        <w:t>ssed</w:t>
      </w:r>
      <w:r w:rsidRPr="00A54361">
        <w:rPr>
          <w:rFonts w:eastAsia="Times New Roman" w:cstheme="minorHAnsi"/>
          <w:spacing w:val="4"/>
        </w:rPr>
        <w:t xml:space="preserve"> </w:t>
      </w:r>
      <w:r w:rsidRPr="00A54361">
        <w:rPr>
          <w:rFonts w:eastAsia="Times New Roman" w:cstheme="minorHAnsi"/>
          <w:spacing w:val="5"/>
        </w:rPr>
        <w:t>b</w:t>
      </w:r>
      <w:r w:rsidRPr="00A54361">
        <w:rPr>
          <w:rFonts w:eastAsia="Times New Roman" w:cstheme="minorHAnsi"/>
        </w:rPr>
        <w:t>y</w:t>
      </w:r>
      <w:r w:rsidRPr="00A54361">
        <w:rPr>
          <w:rFonts w:eastAsia="Times New Roman" w:cstheme="minorHAnsi"/>
          <w:spacing w:val="2"/>
        </w:rPr>
        <w:t xml:space="preserve"> </w:t>
      </w:r>
      <w:r w:rsidRPr="00A54361">
        <w:rPr>
          <w:rFonts w:eastAsia="Times New Roman" w:cstheme="minorHAnsi"/>
          <w:spacing w:val="1"/>
        </w:rPr>
        <w:t>a</w:t>
      </w:r>
      <w:r w:rsidRPr="00A54361">
        <w:rPr>
          <w:rFonts w:eastAsia="Times New Roman" w:cstheme="minorHAnsi"/>
          <w:spacing w:val="2"/>
        </w:rPr>
        <w:t>n</w:t>
      </w:r>
      <w:r w:rsidRPr="00A54361">
        <w:rPr>
          <w:rFonts w:eastAsia="Times New Roman" w:cstheme="minorHAnsi"/>
        </w:rPr>
        <w:t>y</w:t>
      </w:r>
      <w:r w:rsidRPr="00A54361">
        <w:rPr>
          <w:rFonts w:eastAsia="Times New Roman" w:cstheme="minorHAnsi"/>
          <w:spacing w:val="2"/>
        </w:rPr>
        <w:t xml:space="preserve"> </w:t>
      </w:r>
      <w:r w:rsidRPr="00A54361">
        <w:rPr>
          <w:rFonts w:eastAsia="Times New Roman" w:cstheme="minorHAnsi"/>
          <w:spacing w:val="-1"/>
        </w:rPr>
        <w:t>a</w:t>
      </w:r>
      <w:r w:rsidRPr="00A54361">
        <w:rPr>
          <w:rFonts w:eastAsia="Times New Roman" w:cstheme="minorHAnsi"/>
        </w:rPr>
        <w:t>uthori</w:t>
      </w:r>
      <w:r w:rsidRPr="00A54361">
        <w:rPr>
          <w:rFonts w:eastAsia="Times New Roman" w:cstheme="minorHAnsi"/>
          <w:spacing w:val="3"/>
        </w:rPr>
        <w:t>t</w:t>
      </w:r>
      <w:r w:rsidRPr="00A54361">
        <w:rPr>
          <w:rFonts w:eastAsia="Times New Roman" w:cstheme="minorHAnsi"/>
        </w:rPr>
        <w:t>y</w:t>
      </w:r>
      <w:r w:rsidRPr="00A54361">
        <w:rPr>
          <w:rFonts w:eastAsia="Times New Roman" w:cstheme="minorHAnsi"/>
          <w:spacing w:val="2"/>
        </w:rPr>
        <w:t xml:space="preserve"> </w:t>
      </w:r>
      <w:r w:rsidRPr="00A54361">
        <w:rPr>
          <w:rFonts w:eastAsia="Times New Roman" w:cstheme="minorHAnsi"/>
        </w:rPr>
        <w:t>und</w:t>
      </w:r>
      <w:r w:rsidRPr="00A54361">
        <w:rPr>
          <w:rFonts w:eastAsia="Times New Roman" w:cstheme="minorHAnsi"/>
          <w:spacing w:val="-1"/>
        </w:rPr>
        <w:t>e</w:t>
      </w:r>
      <w:r w:rsidRPr="00A54361">
        <w:rPr>
          <w:rFonts w:eastAsia="Times New Roman" w:cstheme="minorHAnsi"/>
        </w:rPr>
        <w:t>r these</w:t>
      </w:r>
      <w:r w:rsidRPr="00A54361">
        <w:rPr>
          <w:rFonts w:eastAsia="Times New Roman" w:cstheme="minorHAnsi"/>
          <w:spacing w:val="-1"/>
        </w:rPr>
        <w:t xml:space="preserve"> </w:t>
      </w:r>
      <w:r w:rsidRPr="00A54361">
        <w:rPr>
          <w:rFonts w:eastAsia="Times New Roman" w:cstheme="minorHAnsi"/>
          <w:spacing w:val="-2"/>
        </w:rPr>
        <w:t>g</w:t>
      </w:r>
      <w:r w:rsidRPr="00A54361">
        <w:rPr>
          <w:rFonts w:eastAsia="Times New Roman" w:cstheme="minorHAnsi"/>
        </w:rPr>
        <w:t>ui</w:t>
      </w:r>
      <w:r w:rsidRPr="00A54361">
        <w:rPr>
          <w:rFonts w:eastAsia="Times New Roman" w:cstheme="minorHAnsi"/>
          <w:spacing w:val="3"/>
        </w:rPr>
        <w:t>d</w:t>
      </w:r>
      <w:r w:rsidRPr="00A54361">
        <w:rPr>
          <w:rFonts w:eastAsia="Times New Roman" w:cstheme="minorHAnsi"/>
          <w:spacing w:val="-1"/>
        </w:rPr>
        <w:t>e</w:t>
      </w:r>
      <w:r w:rsidRPr="00A54361">
        <w:rPr>
          <w:rFonts w:eastAsia="Times New Roman" w:cstheme="minorHAnsi"/>
        </w:rPr>
        <w:t>l</w:t>
      </w:r>
      <w:r w:rsidRPr="00A54361">
        <w:rPr>
          <w:rFonts w:eastAsia="Times New Roman" w:cstheme="minorHAnsi"/>
          <w:spacing w:val="1"/>
        </w:rPr>
        <w:t>i</w:t>
      </w:r>
      <w:r w:rsidRPr="00A54361">
        <w:rPr>
          <w:rFonts w:eastAsia="Times New Roman" w:cstheme="minorHAnsi"/>
        </w:rPr>
        <w:t>n</w:t>
      </w:r>
      <w:r w:rsidRPr="00A54361">
        <w:rPr>
          <w:rFonts w:eastAsia="Times New Roman" w:cstheme="minorHAnsi"/>
          <w:spacing w:val="-1"/>
        </w:rPr>
        <w:t>e</w:t>
      </w:r>
      <w:r w:rsidRPr="00A54361">
        <w:rPr>
          <w:rFonts w:eastAsia="Times New Roman" w:cstheme="minorHAnsi"/>
        </w:rPr>
        <w:t>s.</w:t>
      </w:r>
    </w:p>
    <w:p w14:paraId="2185540F" w14:textId="77777777" w:rsidR="0054549F" w:rsidRPr="00A54361" w:rsidRDefault="0054549F" w:rsidP="00A54361">
      <w:pPr>
        <w:ind w:right="74" w:hanging="142"/>
        <w:jc w:val="both"/>
        <w:rPr>
          <w:rFonts w:cstheme="minorHAnsi"/>
        </w:rPr>
      </w:pPr>
      <w:r w:rsidRPr="00A54361">
        <w:rPr>
          <w:rFonts w:eastAsia="Times New Roman" w:cstheme="minorHAnsi"/>
        </w:rPr>
        <w:t>iv)</w:t>
      </w:r>
      <w:r w:rsidRPr="00A54361">
        <w:rPr>
          <w:rFonts w:eastAsia="Times New Roman" w:cstheme="minorHAnsi"/>
          <w:spacing w:val="52"/>
        </w:rPr>
        <w:t xml:space="preserve"> </w:t>
      </w:r>
      <w:r w:rsidRPr="00A54361">
        <w:rPr>
          <w:rFonts w:eastAsia="Times New Roman" w:cstheme="minorHAnsi"/>
          <w:spacing w:val="1"/>
        </w:rPr>
        <w:t>‘</w:t>
      </w:r>
      <w:r w:rsidRPr="00A54361">
        <w:rPr>
          <w:rFonts w:eastAsia="Times New Roman" w:cstheme="minorHAnsi"/>
          <w:spacing w:val="-6"/>
        </w:rPr>
        <w:t>I</w:t>
      </w:r>
      <w:r w:rsidRPr="00A54361">
        <w:rPr>
          <w:rFonts w:eastAsia="Times New Roman" w:cstheme="minorHAnsi"/>
        </w:rPr>
        <w:t>n</w:t>
      </w:r>
      <w:r w:rsidRPr="00A54361">
        <w:rPr>
          <w:rFonts w:eastAsia="Times New Roman" w:cstheme="minorHAnsi"/>
          <w:spacing w:val="2"/>
        </w:rPr>
        <w:t>v</w:t>
      </w:r>
      <w:r w:rsidRPr="00A54361">
        <w:rPr>
          <w:rFonts w:eastAsia="Times New Roman" w:cstheme="minorHAnsi"/>
          <w:spacing w:val="-1"/>
        </w:rPr>
        <w:t>e</w:t>
      </w:r>
      <w:r w:rsidRPr="00A54361">
        <w:rPr>
          <w:rFonts w:eastAsia="Times New Roman" w:cstheme="minorHAnsi"/>
        </w:rPr>
        <w:t>st</w:t>
      </w:r>
      <w:r w:rsidRPr="00A54361">
        <w:rPr>
          <w:rFonts w:eastAsia="Times New Roman" w:cstheme="minorHAnsi"/>
          <w:spacing w:val="1"/>
        </w:rPr>
        <w:t>i</w:t>
      </w:r>
      <w:r w:rsidRPr="00A54361">
        <w:rPr>
          <w:rFonts w:eastAsia="Times New Roman" w:cstheme="minorHAnsi"/>
        </w:rPr>
        <w:t>g</w:t>
      </w:r>
      <w:r w:rsidRPr="00A54361">
        <w:rPr>
          <w:rFonts w:eastAsia="Times New Roman" w:cstheme="minorHAnsi"/>
          <w:spacing w:val="-1"/>
        </w:rPr>
        <w:t>a</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ng</w:t>
      </w:r>
      <w:r w:rsidRPr="00A54361">
        <w:rPr>
          <w:rFonts w:eastAsia="Times New Roman" w:cstheme="minorHAnsi"/>
          <w:spacing w:val="50"/>
        </w:rPr>
        <w:t xml:space="preserve"> </w:t>
      </w:r>
      <w:r w:rsidRPr="00A54361">
        <w:rPr>
          <w:rFonts w:eastAsia="Times New Roman" w:cstheme="minorHAnsi"/>
        </w:rPr>
        <w:t>D</w:t>
      </w:r>
      <w:r w:rsidRPr="00A54361">
        <w:rPr>
          <w:rFonts w:eastAsia="Times New Roman" w:cstheme="minorHAnsi"/>
          <w:spacing w:val="-1"/>
        </w:rPr>
        <w:t>e</w:t>
      </w:r>
      <w:r w:rsidRPr="00A54361">
        <w:rPr>
          <w:rFonts w:eastAsia="Times New Roman" w:cstheme="minorHAnsi"/>
          <w:spacing w:val="2"/>
        </w:rPr>
        <w:t>p</w:t>
      </w:r>
      <w:r w:rsidRPr="00A54361">
        <w:rPr>
          <w:rFonts w:eastAsia="Times New Roman" w:cstheme="minorHAnsi"/>
          <w:spacing w:val="-1"/>
        </w:rPr>
        <w:t>a</w:t>
      </w:r>
      <w:r w:rsidRPr="00A54361">
        <w:rPr>
          <w:rFonts w:eastAsia="Times New Roman" w:cstheme="minorHAnsi"/>
          <w:spacing w:val="1"/>
        </w:rPr>
        <w:t>r</w:t>
      </w:r>
      <w:r w:rsidRPr="00A54361">
        <w:rPr>
          <w:rFonts w:eastAsia="Times New Roman" w:cstheme="minorHAnsi"/>
        </w:rPr>
        <w:t>t</w:t>
      </w:r>
      <w:r w:rsidRPr="00A54361">
        <w:rPr>
          <w:rFonts w:eastAsia="Times New Roman" w:cstheme="minorHAnsi"/>
          <w:spacing w:val="1"/>
        </w:rPr>
        <w:t>m</w:t>
      </w:r>
      <w:r w:rsidRPr="00A54361">
        <w:rPr>
          <w:rFonts w:eastAsia="Times New Roman" w:cstheme="minorHAnsi"/>
          <w:spacing w:val="-1"/>
        </w:rPr>
        <w:t>e</w:t>
      </w:r>
      <w:r w:rsidRPr="00A54361">
        <w:rPr>
          <w:rFonts w:eastAsia="Times New Roman" w:cstheme="minorHAnsi"/>
        </w:rPr>
        <w:t>nt’</w:t>
      </w:r>
      <w:r w:rsidRPr="00A54361">
        <w:rPr>
          <w:rFonts w:eastAsia="Times New Roman" w:cstheme="minorHAnsi"/>
          <w:spacing w:val="52"/>
        </w:rPr>
        <w:t xml:space="preserve"> </w:t>
      </w:r>
      <w:r w:rsidRPr="00A54361">
        <w:rPr>
          <w:rFonts w:eastAsia="Times New Roman" w:cstheme="minorHAnsi"/>
        </w:rPr>
        <w:t>sh</w:t>
      </w:r>
      <w:r w:rsidRPr="00A54361">
        <w:rPr>
          <w:rFonts w:eastAsia="Times New Roman" w:cstheme="minorHAnsi"/>
          <w:spacing w:val="-1"/>
        </w:rPr>
        <w:t>a</w:t>
      </w:r>
      <w:r w:rsidRPr="00A54361">
        <w:rPr>
          <w:rFonts w:eastAsia="Times New Roman" w:cstheme="minorHAnsi"/>
        </w:rPr>
        <w:t>ll</w:t>
      </w:r>
      <w:r w:rsidRPr="00A54361">
        <w:rPr>
          <w:rFonts w:eastAsia="Times New Roman" w:cstheme="minorHAnsi"/>
          <w:spacing w:val="53"/>
        </w:rPr>
        <w:t xml:space="preserve"> </w:t>
      </w:r>
      <w:r w:rsidRPr="00A54361">
        <w:rPr>
          <w:rFonts w:eastAsia="Times New Roman" w:cstheme="minorHAnsi"/>
        </w:rPr>
        <w:t>me</w:t>
      </w:r>
      <w:r w:rsidRPr="00A54361">
        <w:rPr>
          <w:rFonts w:eastAsia="Times New Roman" w:cstheme="minorHAnsi"/>
          <w:spacing w:val="-1"/>
        </w:rPr>
        <w:t>a</w:t>
      </w:r>
      <w:r w:rsidRPr="00A54361">
        <w:rPr>
          <w:rFonts w:eastAsia="Times New Roman" w:cstheme="minorHAnsi"/>
        </w:rPr>
        <w:t>n</w:t>
      </w:r>
      <w:r w:rsidRPr="00A54361">
        <w:rPr>
          <w:rFonts w:eastAsia="Times New Roman" w:cstheme="minorHAnsi"/>
          <w:spacing w:val="53"/>
        </w:rPr>
        <w:t xml:space="preserve"> </w:t>
      </w:r>
      <w:r w:rsidRPr="00A54361">
        <w:rPr>
          <w:rFonts w:eastAsia="Times New Roman" w:cstheme="minorHAnsi"/>
          <w:spacing w:val="-1"/>
        </w:rPr>
        <w:t>a</w:t>
      </w:r>
      <w:r w:rsidRPr="00A54361">
        <w:rPr>
          <w:rFonts w:eastAsia="Times New Roman" w:cstheme="minorHAnsi"/>
          <w:spacing w:val="2"/>
        </w:rPr>
        <w:t>n</w:t>
      </w:r>
      <w:r w:rsidRPr="00A54361">
        <w:rPr>
          <w:rFonts w:eastAsia="Times New Roman" w:cstheme="minorHAnsi"/>
        </w:rPr>
        <w:t>y</w:t>
      </w:r>
      <w:r w:rsidRPr="00A54361">
        <w:rPr>
          <w:rFonts w:eastAsia="Times New Roman" w:cstheme="minorHAnsi"/>
          <w:spacing w:val="48"/>
        </w:rPr>
        <w:t xml:space="preserve"> </w:t>
      </w:r>
      <w:r w:rsidRPr="00A54361">
        <w:rPr>
          <w:rFonts w:eastAsia="Times New Roman" w:cstheme="minorHAnsi"/>
        </w:rPr>
        <w:t>D</w:t>
      </w:r>
      <w:r w:rsidRPr="00A54361">
        <w:rPr>
          <w:rFonts w:eastAsia="Times New Roman" w:cstheme="minorHAnsi"/>
          <w:spacing w:val="-1"/>
        </w:rPr>
        <w:t>e</w:t>
      </w:r>
      <w:r w:rsidRPr="00A54361">
        <w:rPr>
          <w:rFonts w:eastAsia="Times New Roman" w:cstheme="minorHAnsi"/>
        </w:rPr>
        <w:t>p</w:t>
      </w:r>
      <w:r w:rsidRPr="00A54361">
        <w:rPr>
          <w:rFonts w:eastAsia="Times New Roman" w:cstheme="minorHAnsi"/>
          <w:spacing w:val="-1"/>
        </w:rPr>
        <w:t>a</w:t>
      </w:r>
      <w:r w:rsidRPr="00A54361">
        <w:rPr>
          <w:rFonts w:eastAsia="Times New Roman" w:cstheme="minorHAnsi"/>
        </w:rPr>
        <w:t>rtm</w:t>
      </w:r>
      <w:r w:rsidRPr="00A54361">
        <w:rPr>
          <w:rFonts w:eastAsia="Times New Roman" w:cstheme="minorHAnsi"/>
          <w:spacing w:val="-1"/>
        </w:rPr>
        <w:t>e</w:t>
      </w:r>
      <w:r w:rsidRPr="00A54361">
        <w:rPr>
          <w:rFonts w:eastAsia="Times New Roman" w:cstheme="minorHAnsi"/>
        </w:rPr>
        <w:t>nt</w:t>
      </w:r>
      <w:r w:rsidRPr="00A54361">
        <w:rPr>
          <w:rFonts w:eastAsia="Times New Roman" w:cstheme="minorHAnsi"/>
          <w:spacing w:val="53"/>
        </w:rPr>
        <w:t xml:space="preserve"> </w:t>
      </w:r>
      <w:r w:rsidRPr="00A54361">
        <w:rPr>
          <w:rFonts w:eastAsia="Times New Roman" w:cstheme="minorHAnsi"/>
        </w:rPr>
        <w:t>or</w:t>
      </w:r>
      <w:r w:rsidRPr="00A54361">
        <w:rPr>
          <w:rFonts w:eastAsia="Times New Roman" w:cstheme="minorHAnsi"/>
          <w:spacing w:val="52"/>
        </w:rPr>
        <w:t xml:space="preserve"> </w:t>
      </w:r>
      <w:r w:rsidRPr="00A54361">
        <w:rPr>
          <w:rFonts w:eastAsia="Times New Roman" w:cstheme="minorHAnsi"/>
        </w:rPr>
        <w:t>Unit</w:t>
      </w:r>
      <w:r w:rsidRPr="00A54361">
        <w:rPr>
          <w:rFonts w:eastAsia="Times New Roman" w:cstheme="minorHAnsi"/>
          <w:spacing w:val="53"/>
        </w:rPr>
        <w:t xml:space="preserve"> </w:t>
      </w:r>
      <w:r w:rsidRPr="00A54361">
        <w:rPr>
          <w:rFonts w:eastAsia="Times New Roman" w:cstheme="minorHAnsi"/>
        </w:rPr>
        <w:t>investi</w:t>
      </w:r>
      <w:r w:rsidRPr="00A54361">
        <w:rPr>
          <w:rFonts w:eastAsia="Times New Roman" w:cstheme="minorHAnsi"/>
          <w:spacing w:val="-2"/>
        </w:rPr>
        <w:t>g</w:t>
      </w:r>
      <w:r w:rsidRPr="00A54361">
        <w:rPr>
          <w:rFonts w:eastAsia="Times New Roman" w:cstheme="minorHAnsi"/>
          <w:spacing w:val="-1"/>
        </w:rPr>
        <w:t>a</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spacing w:val="2"/>
        </w:rPr>
        <w:t>n</w:t>
      </w:r>
      <w:r w:rsidRPr="00A54361">
        <w:rPr>
          <w:rFonts w:eastAsia="Times New Roman" w:cstheme="minorHAnsi"/>
        </w:rPr>
        <w:t>g</w:t>
      </w:r>
      <w:r w:rsidRPr="00A54361">
        <w:rPr>
          <w:rFonts w:eastAsia="Times New Roman" w:cstheme="minorHAnsi"/>
          <w:spacing w:val="50"/>
        </w:rPr>
        <w:t xml:space="preserve"> </w:t>
      </w:r>
      <w:r w:rsidRPr="00A54361">
        <w:rPr>
          <w:rFonts w:eastAsia="Times New Roman" w:cstheme="minorHAnsi"/>
        </w:rPr>
        <w:t>in</w:t>
      </w:r>
      <w:r w:rsidRPr="00A54361">
        <w:rPr>
          <w:rFonts w:eastAsia="Times New Roman" w:cstheme="minorHAnsi"/>
          <w:spacing w:val="1"/>
        </w:rPr>
        <w:t>t</w:t>
      </w:r>
      <w:r w:rsidRPr="00A54361">
        <w:rPr>
          <w:rFonts w:eastAsia="Times New Roman" w:cstheme="minorHAnsi"/>
        </w:rPr>
        <w:t xml:space="preserve">o  the </w:t>
      </w:r>
      <w:r w:rsidRPr="00A54361">
        <w:rPr>
          <w:rFonts w:eastAsia="Times New Roman" w:cstheme="minorHAnsi"/>
          <w:spacing w:val="-1"/>
        </w:rPr>
        <w:t>c</w:t>
      </w:r>
      <w:r w:rsidRPr="00A54361">
        <w:rPr>
          <w:rFonts w:eastAsia="Times New Roman" w:cstheme="minorHAnsi"/>
        </w:rPr>
        <w:t>ondu</w:t>
      </w:r>
      <w:r w:rsidRPr="00A54361">
        <w:rPr>
          <w:rFonts w:eastAsia="Times New Roman" w:cstheme="minorHAnsi"/>
          <w:spacing w:val="-1"/>
        </w:rPr>
        <w:t>c</w:t>
      </w:r>
      <w:r w:rsidRPr="00A54361">
        <w:rPr>
          <w:rFonts w:eastAsia="Times New Roman" w:cstheme="minorHAnsi"/>
        </w:rPr>
        <w:t>t</w:t>
      </w:r>
      <w:r w:rsidRPr="00A54361">
        <w:rPr>
          <w:rFonts w:eastAsia="Times New Roman" w:cstheme="minorHAnsi"/>
          <w:spacing w:val="3"/>
        </w:rPr>
        <w:t xml:space="preserve"> </w:t>
      </w:r>
      <w:r w:rsidRPr="00A54361">
        <w:rPr>
          <w:rFonts w:eastAsia="Times New Roman" w:cstheme="minorHAnsi"/>
        </w:rPr>
        <w:t>of</w:t>
      </w:r>
      <w:r w:rsidRPr="00A54361">
        <w:rPr>
          <w:rFonts w:eastAsia="Times New Roman" w:cstheme="minorHAnsi"/>
          <w:spacing w:val="2"/>
        </w:rPr>
        <w:t xml:space="preserve"> </w:t>
      </w:r>
      <w:r w:rsidRPr="00A54361">
        <w:rPr>
          <w:rFonts w:eastAsia="Times New Roman" w:cstheme="minorHAnsi"/>
        </w:rPr>
        <w:t>the</w:t>
      </w:r>
      <w:r w:rsidRPr="00A54361">
        <w:rPr>
          <w:rFonts w:eastAsia="Times New Roman" w:cstheme="minorHAnsi"/>
          <w:spacing w:val="4"/>
        </w:rPr>
        <w:t xml:space="preserve"> </w:t>
      </w:r>
      <w:r w:rsidRPr="00A54361">
        <w:rPr>
          <w:rFonts w:eastAsia="Times New Roman" w:cstheme="minorHAnsi"/>
          <w:spacing w:val="2"/>
        </w:rPr>
        <w:t>A</w:t>
      </w:r>
      <w:r w:rsidRPr="00A54361">
        <w:rPr>
          <w:rFonts w:eastAsia="Times New Roman" w:cstheme="minorHAnsi"/>
          <w:spacing w:val="-2"/>
        </w:rPr>
        <w:t>g</w:t>
      </w:r>
      <w:r w:rsidRPr="00A54361">
        <w:rPr>
          <w:rFonts w:eastAsia="Times New Roman" w:cstheme="minorHAnsi"/>
          <w:spacing w:val="-1"/>
        </w:rPr>
        <w:t>e</w:t>
      </w:r>
      <w:r w:rsidRPr="00A54361">
        <w:rPr>
          <w:rFonts w:eastAsia="Times New Roman" w:cstheme="minorHAnsi"/>
          <w:spacing w:val="2"/>
        </w:rPr>
        <w:t>n</w:t>
      </w:r>
      <w:r w:rsidRPr="00A54361">
        <w:rPr>
          <w:rFonts w:eastAsia="Times New Roman" w:cstheme="minorHAnsi"/>
          <w:spacing w:val="4"/>
        </w:rPr>
        <w:t>c</w:t>
      </w:r>
      <w:r w:rsidRPr="00A54361">
        <w:rPr>
          <w:rFonts w:eastAsia="Times New Roman" w:cstheme="minorHAnsi"/>
        </w:rPr>
        <w:t xml:space="preserve">y </w:t>
      </w:r>
      <w:r w:rsidRPr="00A54361">
        <w:rPr>
          <w:rFonts w:eastAsia="Times New Roman" w:cstheme="minorHAnsi"/>
          <w:spacing w:val="-1"/>
        </w:rPr>
        <w:t>a</w:t>
      </w:r>
      <w:r w:rsidRPr="00A54361">
        <w:rPr>
          <w:rFonts w:eastAsia="Times New Roman" w:cstheme="minorHAnsi"/>
        </w:rPr>
        <w:t>nd</w:t>
      </w:r>
      <w:r w:rsidRPr="00A54361">
        <w:rPr>
          <w:rFonts w:eastAsia="Times New Roman" w:cstheme="minorHAnsi"/>
          <w:spacing w:val="3"/>
        </w:rPr>
        <w:t xml:space="preserve"> </w:t>
      </w:r>
      <w:r w:rsidRPr="00A54361">
        <w:rPr>
          <w:rFonts w:eastAsia="Times New Roman" w:cstheme="minorHAnsi"/>
        </w:rPr>
        <w:t>sh</w:t>
      </w:r>
      <w:r w:rsidRPr="00A54361">
        <w:rPr>
          <w:rFonts w:eastAsia="Times New Roman" w:cstheme="minorHAnsi"/>
          <w:spacing w:val="-1"/>
        </w:rPr>
        <w:t>a</w:t>
      </w:r>
      <w:r w:rsidRPr="00A54361">
        <w:rPr>
          <w:rFonts w:eastAsia="Times New Roman" w:cstheme="minorHAnsi"/>
        </w:rPr>
        <w:t>ll</w:t>
      </w:r>
      <w:r w:rsidRPr="00A54361">
        <w:rPr>
          <w:rFonts w:eastAsia="Times New Roman" w:cstheme="minorHAnsi"/>
          <w:spacing w:val="3"/>
        </w:rPr>
        <w:t xml:space="preserve"> </w:t>
      </w:r>
      <w:r w:rsidRPr="00A54361">
        <w:rPr>
          <w:rFonts w:eastAsia="Times New Roman" w:cstheme="minorHAnsi"/>
        </w:rPr>
        <w:t>include</w:t>
      </w:r>
      <w:r w:rsidRPr="00A54361">
        <w:rPr>
          <w:rFonts w:eastAsia="Times New Roman" w:cstheme="minorHAnsi"/>
          <w:spacing w:val="2"/>
        </w:rPr>
        <w:t xml:space="preserve"> </w:t>
      </w:r>
      <w:r w:rsidRPr="00A54361">
        <w:rPr>
          <w:rFonts w:eastAsia="Times New Roman" w:cstheme="minorHAnsi"/>
        </w:rPr>
        <w:t>t</w:t>
      </w:r>
      <w:r w:rsidRPr="00A54361">
        <w:rPr>
          <w:rFonts w:eastAsia="Times New Roman" w:cstheme="minorHAnsi"/>
          <w:spacing w:val="3"/>
        </w:rPr>
        <w:t>h</w:t>
      </w:r>
      <w:r w:rsidRPr="00A54361">
        <w:rPr>
          <w:rFonts w:eastAsia="Times New Roman" w:cstheme="minorHAnsi"/>
        </w:rPr>
        <w:t>e</w:t>
      </w:r>
      <w:r w:rsidRPr="00A54361">
        <w:rPr>
          <w:rFonts w:eastAsia="Times New Roman" w:cstheme="minorHAnsi"/>
          <w:spacing w:val="4"/>
        </w:rPr>
        <w:t xml:space="preserve"> </w:t>
      </w:r>
      <w:r w:rsidRPr="00A54361">
        <w:rPr>
          <w:rFonts w:eastAsia="Times New Roman" w:cstheme="minorHAnsi"/>
        </w:rPr>
        <w:t>Vi</w:t>
      </w:r>
      <w:r w:rsidRPr="00A54361">
        <w:rPr>
          <w:rFonts w:eastAsia="Times New Roman" w:cstheme="minorHAnsi"/>
          <w:spacing w:val="-2"/>
        </w:rPr>
        <w:t>g</w:t>
      </w:r>
      <w:r w:rsidRPr="00A54361">
        <w:rPr>
          <w:rFonts w:eastAsia="Times New Roman" w:cstheme="minorHAnsi"/>
        </w:rPr>
        <w:t>i</w:t>
      </w:r>
      <w:r w:rsidRPr="00A54361">
        <w:rPr>
          <w:rFonts w:eastAsia="Times New Roman" w:cstheme="minorHAnsi"/>
          <w:spacing w:val="1"/>
        </w:rPr>
        <w:t>l</w:t>
      </w:r>
      <w:r w:rsidRPr="00A54361">
        <w:rPr>
          <w:rFonts w:eastAsia="Times New Roman" w:cstheme="minorHAnsi"/>
          <w:spacing w:val="-1"/>
        </w:rPr>
        <w:t>a</w:t>
      </w:r>
      <w:r w:rsidRPr="00A54361">
        <w:rPr>
          <w:rFonts w:eastAsia="Times New Roman" w:cstheme="minorHAnsi"/>
        </w:rPr>
        <w:t>n</w:t>
      </w:r>
      <w:r w:rsidRPr="00A54361">
        <w:rPr>
          <w:rFonts w:eastAsia="Times New Roman" w:cstheme="minorHAnsi"/>
          <w:spacing w:val="1"/>
        </w:rPr>
        <w:t>c</w:t>
      </w:r>
      <w:r w:rsidRPr="00A54361">
        <w:rPr>
          <w:rFonts w:eastAsia="Times New Roman" w:cstheme="minorHAnsi"/>
        </w:rPr>
        <w:t>e</w:t>
      </w:r>
      <w:r w:rsidRPr="00A54361">
        <w:rPr>
          <w:rFonts w:eastAsia="Times New Roman" w:cstheme="minorHAnsi"/>
          <w:spacing w:val="2"/>
        </w:rPr>
        <w:t xml:space="preserve"> D</w:t>
      </w:r>
      <w:r w:rsidRPr="00A54361">
        <w:rPr>
          <w:rFonts w:eastAsia="Times New Roman" w:cstheme="minorHAnsi"/>
          <w:spacing w:val="-1"/>
        </w:rPr>
        <w:t>e</w:t>
      </w:r>
      <w:r w:rsidRPr="00A54361">
        <w:rPr>
          <w:rFonts w:eastAsia="Times New Roman" w:cstheme="minorHAnsi"/>
        </w:rPr>
        <w:t>p</w:t>
      </w:r>
      <w:r w:rsidRPr="00A54361">
        <w:rPr>
          <w:rFonts w:eastAsia="Times New Roman" w:cstheme="minorHAnsi"/>
          <w:spacing w:val="-1"/>
        </w:rPr>
        <w:t>a</w:t>
      </w:r>
      <w:r w:rsidRPr="00A54361">
        <w:rPr>
          <w:rFonts w:eastAsia="Times New Roman" w:cstheme="minorHAnsi"/>
        </w:rPr>
        <w:t>rtm</w:t>
      </w:r>
      <w:r w:rsidRPr="00A54361">
        <w:rPr>
          <w:rFonts w:eastAsia="Times New Roman" w:cstheme="minorHAnsi"/>
          <w:spacing w:val="-1"/>
        </w:rPr>
        <w:t>e</w:t>
      </w:r>
      <w:r w:rsidRPr="00A54361">
        <w:rPr>
          <w:rFonts w:eastAsia="Times New Roman" w:cstheme="minorHAnsi"/>
        </w:rPr>
        <w:t>nt,</w:t>
      </w:r>
      <w:r w:rsidRPr="00A54361">
        <w:rPr>
          <w:rFonts w:eastAsia="Times New Roman" w:cstheme="minorHAnsi"/>
          <w:spacing w:val="5"/>
        </w:rPr>
        <w:t xml:space="preserve"> </w:t>
      </w:r>
      <w:r w:rsidRPr="00A54361">
        <w:rPr>
          <w:rFonts w:eastAsia="Times New Roman" w:cstheme="minorHAnsi"/>
        </w:rPr>
        <w:t>C</w:t>
      </w:r>
      <w:r w:rsidRPr="00A54361">
        <w:rPr>
          <w:rFonts w:eastAsia="Times New Roman" w:cstheme="minorHAnsi"/>
          <w:spacing w:val="-1"/>
        </w:rPr>
        <w:t>e</w:t>
      </w:r>
      <w:r w:rsidRPr="00A54361">
        <w:rPr>
          <w:rFonts w:eastAsia="Times New Roman" w:cstheme="minorHAnsi"/>
        </w:rPr>
        <w:t>ntr</w:t>
      </w:r>
      <w:r w:rsidRPr="00A54361">
        <w:rPr>
          <w:rFonts w:eastAsia="Times New Roman" w:cstheme="minorHAnsi"/>
          <w:spacing w:val="-1"/>
        </w:rPr>
        <w:t>a</w:t>
      </w:r>
      <w:r w:rsidRPr="00A54361">
        <w:rPr>
          <w:rFonts w:eastAsia="Times New Roman" w:cstheme="minorHAnsi"/>
        </w:rPr>
        <w:t>l</w:t>
      </w:r>
      <w:r w:rsidRPr="00A54361">
        <w:rPr>
          <w:rFonts w:eastAsia="Times New Roman" w:cstheme="minorHAnsi"/>
          <w:spacing w:val="3"/>
        </w:rPr>
        <w:t xml:space="preserve"> </w:t>
      </w:r>
      <w:r w:rsidRPr="00A54361">
        <w:rPr>
          <w:rFonts w:eastAsia="Times New Roman" w:cstheme="minorHAnsi"/>
          <w:spacing w:val="-2"/>
        </w:rPr>
        <w:t>B</w:t>
      </w:r>
      <w:r w:rsidRPr="00A54361">
        <w:rPr>
          <w:rFonts w:eastAsia="Times New Roman" w:cstheme="minorHAnsi"/>
          <w:spacing w:val="2"/>
        </w:rPr>
        <w:t>u</w:t>
      </w:r>
      <w:r w:rsidRPr="00A54361">
        <w:rPr>
          <w:rFonts w:eastAsia="Times New Roman" w:cstheme="minorHAnsi"/>
        </w:rPr>
        <w:t>r</w:t>
      </w:r>
      <w:r w:rsidRPr="00A54361">
        <w:rPr>
          <w:rFonts w:eastAsia="Times New Roman" w:cstheme="minorHAnsi"/>
          <w:spacing w:val="-2"/>
        </w:rPr>
        <w:t>e</w:t>
      </w:r>
      <w:r w:rsidRPr="00A54361">
        <w:rPr>
          <w:rFonts w:eastAsia="Times New Roman" w:cstheme="minorHAnsi"/>
          <w:spacing w:val="-1"/>
        </w:rPr>
        <w:t>a</w:t>
      </w:r>
      <w:r w:rsidRPr="00A54361">
        <w:rPr>
          <w:rFonts w:eastAsia="Times New Roman" w:cstheme="minorHAnsi"/>
        </w:rPr>
        <w:t>u</w:t>
      </w:r>
      <w:r w:rsidRPr="00A54361">
        <w:rPr>
          <w:rFonts w:eastAsia="Times New Roman" w:cstheme="minorHAnsi"/>
          <w:spacing w:val="5"/>
        </w:rPr>
        <w:t xml:space="preserve"> </w:t>
      </w:r>
      <w:r w:rsidRPr="00A54361">
        <w:rPr>
          <w:rFonts w:eastAsia="Times New Roman" w:cstheme="minorHAnsi"/>
        </w:rPr>
        <w:t xml:space="preserve">of </w:t>
      </w:r>
      <w:r w:rsidRPr="00A54361">
        <w:rPr>
          <w:rFonts w:eastAsia="Times New Roman" w:cstheme="minorHAnsi"/>
          <w:spacing w:val="-3"/>
        </w:rPr>
        <w:t>I</w:t>
      </w:r>
      <w:r w:rsidRPr="00A54361">
        <w:rPr>
          <w:rFonts w:eastAsia="Times New Roman" w:cstheme="minorHAnsi"/>
        </w:rPr>
        <w:t>n</w:t>
      </w:r>
      <w:r w:rsidRPr="00A54361">
        <w:rPr>
          <w:rFonts w:eastAsia="Times New Roman" w:cstheme="minorHAnsi"/>
          <w:spacing w:val="2"/>
        </w:rPr>
        <w:t>v</w:t>
      </w:r>
      <w:r w:rsidRPr="00A54361">
        <w:rPr>
          <w:rFonts w:eastAsia="Times New Roman" w:cstheme="minorHAnsi"/>
          <w:spacing w:val="-1"/>
        </w:rPr>
        <w:t>e</w:t>
      </w:r>
      <w:r w:rsidRPr="00A54361">
        <w:rPr>
          <w:rFonts w:eastAsia="Times New Roman" w:cstheme="minorHAnsi"/>
        </w:rPr>
        <w:t>st</w:t>
      </w:r>
      <w:r w:rsidRPr="00A54361">
        <w:rPr>
          <w:rFonts w:eastAsia="Times New Roman" w:cstheme="minorHAnsi"/>
          <w:spacing w:val="1"/>
        </w:rPr>
        <w:t>i</w:t>
      </w:r>
      <w:r w:rsidRPr="00A54361">
        <w:rPr>
          <w:rFonts w:eastAsia="Times New Roman" w:cstheme="minorHAnsi"/>
        </w:rPr>
        <w:t>g</w:t>
      </w:r>
      <w:r w:rsidRPr="00A54361">
        <w:rPr>
          <w:rFonts w:eastAsia="Times New Roman" w:cstheme="minorHAnsi"/>
          <w:spacing w:val="-1"/>
        </w:rPr>
        <w:t>a</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on,</w:t>
      </w:r>
      <w:r w:rsidRPr="00A54361">
        <w:rPr>
          <w:rFonts w:eastAsia="Times New Roman" w:cstheme="minorHAnsi"/>
          <w:spacing w:val="5"/>
        </w:rPr>
        <w:t xml:space="preserve"> </w:t>
      </w:r>
      <w:r w:rsidRPr="00A54361">
        <w:rPr>
          <w:rFonts w:eastAsia="Times New Roman" w:cstheme="minorHAnsi"/>
        </w:rPr>
        <w:t>the</w:t>
      </w:r>
      <w:r w:rsidRPr="00A54361">
        <w:rPr>
          <w:rFonts w:eastAsia="Times New Roman" w:cstheme="minorHAnsi"/>
          <w:spacing w:val="4"/>
        </w:rPr>
        <w:t xml:space="preserve"> </w:t>
      </w:r>
      <w:r w:rsidRPr="00A54361">
        <w:rPr>
          <w:rFonts w:eastAsia="Times New Roman" w:cstheme="minorHAnsi"/>
          <w:spacing w:val="1"/>
        </w:rPr>
        <w:t>S</w:t>
      </w:r>
      <w:r w:rsidRPr="00A54361">
        <w:rPr>
          <w:rFonts w:eastAsia="Times New Roman" w:cstheme="minorHAnsi"/>
        </w:rPr>
        <w:t>tate</w:t>
      </w:r>
      <w:r w:rsidRPr="00A54361">
        <w:rPr>
          <w:rFonts w:eastAsia="Times New Roman" w:cstheme="minorHAnsi"/>
          <w:spacing w:val="6"/>
        </w:rPr>
        <w:t xml:space="preserve"> </w:t>
      </w:r>
      <w:r w:rsidRPr="00A54361">
        <w:rPr>
          <w:rFonts w:eastAsia="Times New Roman" w:cstheme="minorHAnsi"/>
          <w:spacing w:val="1"/>
        </w:rPr>
        <w:t>P</w:t>
      </w:r>
      <w:r w:rsidRPr="00A54361">
        <w:rPr>
          <w:rFonts w:eastAsia="Times New Roman" w:cstheme="minorHAnsi"/>
        </w:rPr>
        <w:t>ol</w:t>
      </w:r>
      <w:r w:rsidRPr="00A54361">
        <w:rPr>
          <w:rFonts w:eastAsia="Times New Roman" w:cstheme="minorHAnsi"/>
          <w:spacing w:val="1"/>
        </w:rPr>
        <w:t>i</w:t>
      </w:r>
      <w:r w:rsidRPr="00A54361">
        <w:rPr>
          <w:rFonts w:eastAsia="Times New Roman" w:cstheme="minorHAnsi"/>
          <w:spacing w:val="-1"/>
        </w:rPr>
        <w:t>c</w:t>
      </w:r>
      <w:r w:rsidRPr="00A54361">
        <w:rPr>
          <w:rFonts w:eastAsia="Times New Roman" w:cstheme="minorHAnsi"/>
        </w:rPr>
        <w:t>e</w:t>
      </w:r>
      <w:r w:rsidRPr="00A54361">
        <w:rPr>
          <w:rFonts w:eastAsia="Times New Roman" w:cstheme="minorHAnsi"/>
          <w:spacing w:val="4"/>
        </w:rPr>
        <w:t xml:space="preserve"> </w:t>
      </w:r>
      <w:r w:rsidRPr="00A54361">
        <w:rPr>
          <w:rFonts w:eastAsia="Times New Roman" w:cstheme="minorHAnsi"/>
        </w:rPr>
        <w:t>or</w:t>
      </w:r>
      <w:r w:rsidRPr="00A54361">
        <w:rPr>
          <w:rFonts w:eastAsia="Times New Roman" w:cstheme="minorHAnsi"/>
          <w:spacing w:val="6"/>
        </w:rPr>
        <w:t xml:space="preserve"> </w:t>
      </w:r>
      <w:r w:rsidRPr="00A54361">
        <w:rPr>
          <w:rFonts w:eastAsia="Times New Roman" w:cstheme="minorHAnsi"/>
          <w:spacing w:val="-1"/>
        </w:rPr>
        <w:t>a</w:t>
      </w:r>
      <w:r w:rsidRPr="00A54361">
        <w:rPr>
          <w:rFonts w:eastAsia="Times New Roman" w:cstheme="minorHAnsi"/>
          <w:spacing w:val="5"/>
        </w:rPr>
        <w:t>n</w:t>
      </w:r>
      <w:r w:rsidRPr="00A54361">
        <w:rPr>
          <w:rFonts w:eastAsia="Times New Roman" w:cstheme="minorHAnsi"/>
        </w:rPr>
        <w:t>y ot</w:t>
      </w:r>
      <w:r w:rsidRPr="00A54361">
        <w:rPr>
          <w:rFonts w:eastAsia="Times New Roman" w:cstheme="minorHAnsi"/>
          <w:spacing w:val="3"/>
        </w:rPr>
        <w:t>h</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4"/>
        </w:rPr>
        <w:t xml:space="preserve"> </w:t>
      </w:r>
      <w:r w:rsidRPr="00A54361">
        <w:rPr>
          <w:rFonts w:eastAsia="Times New Roman" w:cstheme="minorHAnsi"/>
          <w:spacing w:val="2"/>
        </w:rPr>
        <w:t>d</w:t>
      </w:r>
      <w:r w:rsidRPr="00A54361">
        <w:rPr>
          <w:rFonts w:eastAsia="Times New Roman" w:cstheme="minorHAnsi"/>
          <w:spacing w:val="-1"/>
        </w:rPr>
        <w:t>e</w:t>
      </w:r>
      <w:r w:rsidRPr="00A54361">
        <w:rPr>
          <w:rFonts w:eastAsia="Times New Roman" w:cstheme="minorHAnsi"/>
        </w:rPr>
        <w:t>p</w:t>
      </w:r>
      <w:r w:rsidRPr="00A54361">
        <w:rPr>
          <w:rFonts w:eastAsia="Times New Roman" w:cstheme="minorHAnsi"/>
          <w:spacing w:val="-1"/>
        </w:rPr>
        <w:t>a</w:t>
      </w:r>
      <w:r w:rsidRPr="00A54361">
        <w:rPr>
          <w:rFonts w:eastAsia="Times New Roman" w:cstheme="minorHAnsi"/>
        </w:rPr>
        <w:t>rtm</w:t>
      </w:r>
      <w:r w:rsidRPr="00A54361">
        <w:rPr>
          <w:rFonts w:eastAsia="Times New Roman" w:cstheme="minorHAnsi"/>
          <w:spacing w:val="-1"/>
        </w:rPr>
        <w:t>e</w:t>
      </w:r>
      <w:r w:rsidRPr="00A54361">
        <w:rPr>
          <w:rFonts w:eastAsia="Times New Roman" w:cstheme="minorHAnsi"/>
        </w:rPr>
        <w:t>nt</w:t>
      </w:r>
      <w:r w:rsidRPr="00A54361">
        <w:rPr>
          <w:rFonts w:eastAsia="Times New Roman" w:cstheme="minorHAnsi"/>
          <w:spacing w:val="5"/>
        </w:rPr>
        <w:t xml:space="preserve"> </w:t>
      </w:r>
      <w:r w:rsidRPr="00A54361">
        <w:rPr>
          <w:rFonts w:eastAsia="Times New Roman" w:cstheme="minorHAnsi"/>
          <w:spacing w:val="2"/>
        </w:rPr>
        <w:t>s</w:t>
      </w:r>
      <w:r w:rsidRPr="00A54361">
        <w:rPr>
          <w:rFonts w:eastAsia="Times New Roman" w:cstheme="minorHAnsi"/>
          <w:spacing w:val="-1"/>
        </w:rPr>
        <w:t>e</w:t>
      </w:r>
      <w:r w:rsidRPr="00A54361">
        <w:rPr>
          <w:rFonts w:eastAsia="Times New Roman" w:cstheme="minorHAnsi"/>
        </w:rPr>
        <w:t>t</w:t>
      </w:r>
      <w:r w:rsidRPr="00A54361">
        <w:rPr>
          <w:rFonts w:eastAsia="Times New Roman" w:cstheme="minorHAnsi"/>
          <w:spacing w:val="5"/>
        </w:rPr>
        <w:t xml:space="preserve"> </w:t>
      </w:r>
      <w:r w:rsidRPr="00A54361">
        <w:rPr>
          <w:rFonts w:eastAsia="Times New Roman" w:cstheme="minorHAnsi"/>
        </w:rPr>
        <w:t>up</w:t>
      </w:r>
      <w:r w:rsidRPr="00A54361">
        <w:rPr>
          <w:rFonts w:eastAsia="Times New Roman" w:cstheme="minorHAnsi"/>
          <w:spacing w:val="5"/>
        </w:rPr>
        <w:t xml:space="preserve"> b</w:t>
      </w:r>
      <w:r w:rsidRPr="00A54361">
        <w:rPr>
          <w:rFonts w:eastAsia="Times New Roman" w:cstheme="minorHAnsi"/>
        </w:rPr>
        <w:t>y</w:t>
      </w:r>
      <w:r w:rsidRPr="00A54361">
        <w:rPr>
          <w:rFonts w:eastAsia="Times New Roman" w:cstheme="minorHAnsi"/>
          <w:spacing w:val="3"/>
        </w:rPr>
        <w:t xml:space="preserve"> </w:t>
      </w:r>
      <w:r w:rsidRPr="00A54361">
        <w:rPr>
          <w:rFonts w:eastAsia="Times New Roman" w:cstheme="minorHAnsi"/>
        </w:rPr>
        <w:t>t</w:t>
      </w:r>
      <w:r w:rsidRPr="00A54361">
        <w:rPr>
          <w:rFonts w:eastAsia="Times New Roman" w:cstheme="minorHAnsi"/>
          <w:spacing w:val="3"/>
        </w:rPr>
        <w:t>h</w:t>
      </w:r>
      <w:r w:rsidRPr="00A54361">
        <w:rPr>
          <w:rFonts w:eastAsia="Times New Roman" w:cstheme="minorHAnsi"/>
        </w:rPr>
        <w:t>e</w:t>
      </w:r>
      <w:r w:rsidRPr="00A54361">
        <w:rPr>
          <w:rFonts w:eastAsia="Times New Roman" w:cstheme="minorHAnsi"/>
          <w:spacing w:val="4"/>
        </w:rPr>
        <w:t xml:space="preserve"> </w:t>
      </w:r>
      <w:r w:rsidRPr="00A54361">
        <w:rPr>
          <w:rFonts w:eastAsia="Times New Roman" w:cstheme="minorHAnsi"/>
        </w:rPr>
        <w:t>C</w:t>
      </w:r>
      <w:r w:rsidRPr="00A54361">
        <w:rPr>
          <w:rFonts w:eastAsia="Times New Roman" w:cstheme="minorHAnsi"/>
          <w:spacing w:val="-1"/>
        </w:rPr>
        <w:t>e</w:t>
      </w:r>
      <w:r w:rsidRPr="00A54361">
        <w:rPr>
          <w:rFonts w:eastAsia="Times New Roman" w:cstheme="minorHAnsi"/>
        </w:rPr>
        <w:t>ntr</w:t>
      </w:r>
      <w:r w:rsidRPr="00A54361">
        <w:rPr>
          <w:rFonts w:eastAsia="Times New Roman" w:cstheme="minorHAnsi"/>
          <w:spacing w:val="-1"/>
        </w:rPr>
        <w:t>a</w:t>
      </w:r>
      <w:r w:rsidRPr="00A54361">
        <w:rPr>
          <w:rFonts w:eastAsia="Times New Roman" w:cstheme="minorHAnsi"/>
        </w:rPr>
        <w:t>l</w:t>
      </w:r>
      <w:r w:rsidRPr="00A54361">
        <w:rPr>
          <w:rFonts w:eastAsia="Times New Roman" w:cstheme="minorHAnsi"/>
          <w:spacing w:val="8"/>
        </w:rPr>
        <w:t xml:space="preserve"> </w:t>
      </w:r>
      <w:r w:rsidRPr="00A54361">
        <w:rPr>
          <w:rFonts w:eastAsia="Times New Roman" w:cstheme="minorHAnsi"/>
        </w:rPr>
        <w:t>or</w:t>
      </w:r>
      <w:r w:rsidRPr="00A54361">
        <w:rPr>
          <w:rFonts w:eastAsia="Times New Roman" w:cstheme="minorHAnsi"/>
          <w:spacing w:val="4"/>
        </w:rPr>
        <w:t xml:space="preserve"> </w:t>
      </w:r>
      <w:r w:rsidRPr="00A54361">
        <w:rPr>
          <w:rFonts w:eastAsia="Times New Roman" w:cstheme="minorHAnsi"/>
          <w:spacing w:val="1"/>
        </w:rPr>
        <w:t>S</w:t>
      </w:r>
      <w:r w:rsidRPr="00A54361">
        <w:rPr>
          <w:rFonts w:eastAsia="Times New Roman" w:cstheme="minorHAnsi"/>
        </w:rPr>
        <w:t>tate Gov</w:t>
      </w:r>
      <w:r w:rsidRPr="00A54361">
        <w:rPr>
          <w:rFonts w:eastAsia="Times New Roman" w:cstheme="minorHAnsi"/>
          <w:spacing w:val="-1"/>
        </w:rPr>
        <w:t>e</w:t>
      </w:r>
      <w:r w:rsidRPr="00A54361">
        <w:rPr>
          <w:rFonts w:eastAsia="Times New Roman" w:cstheme="minorHAnsi"/>
        </w:rPr>
        <w:t>rnm</w:t>
      </w:r>
      <w:r w:rsidRPr="00A54361">
        <w:rPr>
          <w:rFonts w:eastAsia="Times New Roman" w:cstheme="minorHAnsi"/>
          <w:spacing w:val="-1"/>
        </w:rPr>
        <w:t>e</w:t>
      </w:r>
      <w:r w:rsidRPr="00A54361">
        <w:rPr>
          <w:rFonts w:eastAsia="Times New Roman" w:cstheme="minorHAnsi"/>
        </w:rPr>
        <w:t>nt havi</w:t>
      </w:r>
      <w:r w:rsidRPr="00A54361">
        <w:rPr>
          <w:rFonts w:eastAsia="Times New Roman" w:cstheme="minorHAnsi"/>
          <w:spacing w:val="2"/>
        </w:rPr>
        <w:t>n</w:t>
      </w:r>
      <w:r w:rsidRPr="00A54361">
        <w:rPr>
          <w:rFonts w:eastAsia="Times New Roman" w:cstheme="minorHAnsi"/>
        </w:rPr>
        <w:t>g</w:t>
      </w:r>
      <w:r w:rsidRPr="00A54361">
        <w:rPr>
          <w:rFonts w:eastAsia="Times New Roman" w:cstheme="minorHAnsi"/>
          <w:spacing w:val="-2"/>
        </w:rPr>
        <w:t xml:space="preserve"> </w:t>
      </w:r>
      <w:r w:rsidRPr="00A54361">
        <w:rPr>
          <w:rFonts w:eastAsia="Times New Roman" w:cstheme="minorHAnsi"/>
        </w:rPr>
        <w:t>po</w:t>
      </w:r>
      <w:r w:rsidRPr="00A54361">
        <w:rPr>
          <w:rFonts w:eastAsia="Times New Roman" w:cstheme="minorHAnsi"/>
          <w:spacing w:val="2"/>
        </w:rPr>
        <w:t>w</w:t>
      </w:r>
      <w:r w:rsidRPr="00A54361">
        <w:rPr>
          <w:rFonts w:eastAsia="Times New Roman" w:cstheme="minorHAnsi"/>
          <w:spacing w:val="-1"/>
        </w:rPr>
        <w:t>e</w:t>
      </w:r>
      <w:r w:rsidRPr="00A54361">
        <w:rPr>
          <w:rFonts w:eastAsia="Times New Roman" w:cstheme="minorHAnsi"/>
        </w:rPr>
        <w:t>rs to investi</w:t>
      </w:r>
      <w:r w:rsidRPr="00A54361">
        <w:rPr>
          <w:rFonts w:eastAsia="Times New Roman" w:cstheme="minorHAnsi"/>
          <w:spacing w:val="-2"/>
        </w:rPr>
        <w:t>g</w:t>
      </w:r>
      <w:r w:rsidRPr="00A54361">
        <w:rPr>
          <w:rFonts w:eastAsia="Times New Roman" w:cstheme="minorHAnsi"/>
          <w:spacing w:val="-1"/>
        </w:rPr>
        <w:t>a</w:t>
      </w:r>
      <w:r w:rsidRPr="00A54361">
        <w:rPr>
          <w:rFonts w:eastAsia="Times New Roman" w:cstheme="minorHAnsi"/>
          <w:spacing w:val="3"/>
        </w:rPr>
        <w:t>t</w:t>
      </w:r>
      <w:r w:rsidRPr="00A54361">
        <w:rPr>
          <w:rFonts w:eastAsia="Times New Roman" w:cstheme="minorHAnsi"/>
          <w:spacing w:val="-1"/>
        </w:rPr>
        <w:t>e</w:t>
      </w:r>
      <w:r w:rsidRPr="00A54361">
        <w:rPr>
          <w:rFonts w:eastAsia="Times New Roman" w:cstheme="minorHAnsi"/>
        </w:rPr>
        <w:t>.</w:t>
      </w:r>
    </w:p>
    <w:p w14:paraId="12F691D4" w14:textId="77777777" w:rsidR="0054549F" w:rsidRPr="00A54361" w:rsidRDefault="0054549F" w:rsidP="00A54361">
      <w:pPr>
        <w:ind w:right="78" w:hanging="142"/>
        <w:jc w:val="both"/>
        <w:rPr>
          <w:rFonts w:cstheme="minorHAnsi"/>
        </w:rPr>
      </w:pPr>
      <w:r w:rsidRPr="00A54361">
        <w:rPr>
          <w:rFonts w:eastAsia="Times New Roman" w:cstheme="minorHAnsi"/>
        </w:rPr>
        <w:t xml:space="preserve">v) </w:t>
      </w:r>
      <w:r w:rsidRPr="00A54361">
        <w:rPr>
          <w:rFonts w:eastAsia="Times New Roman" w:cstheme="minorHAnsi"/>
          <w:spacing w:val="1"/>
        </w:rPr>
        <w:t>‘</w:t>
      </w:r>
      <w:r w:rsidRPr="00A54361">
        <w:rPr>
          <w:rFonts w:eastAsia="Times New Roman" w:cstheme="minorHAnsi"/>
          <w:spacing w:val="-3"/>
        </w:rPr>
        <w:t>L</w:t>
      </w:r>
      <w:r w:rsidRPr="00A54361">
        <w:rPr>
          <w:rFonts w:eastAsia="Times New Roman" w:cstheme="minorHAnsi"/>
        </w:rPr>
        <w:t>ist</w:t>
      </w:r>
      <w:r w:rsidRPr="00A54361">
        <w:rPr>
          <w:rFonts w:eastAsia="Times New Roman" w:cstheme="minorHAnsi"/>
          <w:spacing w:val="1"/>
        </w:rPr>
        <w:t xml:space="preserve"> </w:t>
      </w:r>
      <w:r w:rsidRPr="00A54361">
        <w:rPr>
          <w:rFonts w:eastAsia="Times New Roman" w:cstheme="minorHAnsi"/>
        </w:rPr>
        <w:t xml:space="preserve">of </w:t>
      </w:r>
      <w:r w:rsidRPr="00A54361">
        <w:rPr>
          <w:rFonts w:eastAsia="Times New Roman" w:cstheme="minorHAnsi"/>
          <w:spacing w:val="-1"/>
        </w:rPr>
        <w:t>a</w:t>
      </w:r>
      <w:r w:rsidRPr="00A54361">
        <w:rPr>
          <w:rFonts w:eastAsia="Times New Roman" w:cstheme="minorHAnsi"/>
        </w:rPr>
        <w:t>p</w:t>
      </w:r>
      <w:r w:rsidRPr="00A54361">
        <w:rPr>
          <w:rFonts w:eastAsia="Times New Roman" w:cstheme="minorHAnsi"/>
          <w:spacing w:val="2"/>
        </w:rPr>
        <w:t>p</w:t>
      </w:r>
      <w:r w:rsidRPr="00A54361">
        <w:rPr>
          <w:rFonts w:eastAsia="Times New Roman" w:cstheme="minorHAnsi"/>
        </w:rPr>
        <w:t>rov</w:t>
      </w:r>
      <w:r w:rsidRPr="00A54361">
        <w:rPr>
          <w:rFonts w:eastAsia="Times New Roman" w:cstheme="minorHAnsi"/>
          <w:spacing w:val="-2"/>
        </w:rPr>
        <w:t>e</w:t>
      </w:r>
      <w:r w:rsidRPr="00A54361">
        <w:rPr>
          <w:rFonts w:eastAsia="Times New Roman" w:cstheme="minorHAnsi"/>
        </w:rPr>
        <w:t xml:space="preserve">d </w:t>
      </w:r>
      <w:r w:rsidRPr="00A54361">
        <w:rPr>
          <w:rFonts w:eastAsia="Times New Roman" w:cstheme="minorHAnsi"/>
          <w:spacing w:val="2"/>
        </w:rPr>
        <w:t>A</w:t>
      </w:r>
      <w:r w:rsidRPr="00A54361">
        <w:rPr>
          <w:rFonts w:eastAsia="Times New Roman" w:cstheme="minorHAnsi"/>
        </w:rPr>
        <w:t>g</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1"/>
        </w:rPr>
        <w:t>c</w:t>
      </w:r>
      <w:r w:rsidRPr="00A54361">
        <w:rPr>
          <w:rFonts w:eastAsia="Times New Roman" w:cstheme="minorHAnsi"/>
        </w:rPr>
        <w:t>ies</w:t>
      </w:r>
      <w:r w:rsidRPr="00A54361">
        <w:rPr>
          <w:rFonts w:eastAsia="Times New Roman" w:cstheme="minorHAnsi"/>
          <w:spacing w:val="3"/>
        </w:rPr>
        <w:t xml:space="preserve"> </w:t>
      </w:r>
      <w:r w:rsidRPr="00A54361">
        <w:rPr>
          <w:rFonts w:eastAsia="Times New Roman" w:cstheme="minorHAnsi"/>
        </w:rPr>
        <w:t xml:space="preserve">- </w:t>
      </w:r>
      <w:r w:rsidRPr="00A54361">
        <w:rPr>
          <w:rFonts w:eastAsia="Times New Roman" w:cstheme="minorHAnsi"/>
          <w:spacing w:val="1"/>
        </w:rPr>
        <w:t>Pa</w:t>
      </w:r>
      <w:r w:rsidRPr="00A54361">
        <w:rPr>
          <w:rFonts w:eastAsia="Times New Roman" w:cstheme="minorHAnsi"/>
        </w:rPr>
        <w:t>rti</w:t>
      </w:r>
      <w:r w:rsidRPr="00A54361">
        <w:rPr>
          <w:rFonts w:eastAsia="Times New Roman" w:cstheme="minorHAnsi"/>
          <w:spacing w:val="-1"/>
        </w:rPr>
        <w:t>e</w:t>
      </w:r>
      <w:r w:rsidRPr="00A54361">
        <w:rPr>
          <w:rFonts w:eastAsia="Times New Roman" w:cstheme="minorHAnsi"/>
        </w:rPr>
        <w:t>s</w:t>
      </w:r>
      <w:r w:rsidRPr="00A54361">
        <w:rPr>
          <w:rFonts w:eastAsia="Times New Roman" w:cstheme="minorHAnsi"/>
          <w:spacing w:val="1"/>
        </w:rPr>
        <w:t xml:space="preserve"> </w:t>
      </w:r>
      <w:r w:rsidRPr="00A54361">
        <w:rPr>
          <w:rFonts w:eastAsia="Times New Roman" w:cstheme="minorHAnsi"/>
        </w:rPr>
        <w:t>/</w:t>
      </w:r>
      <w:r w:rsidRPr="00A54361">
        <w:rPr>
          <w:rFonts w:eastAsia="Times New Roman" w:cstheme="minorHAnsi"/>
          <w:spacing w:val="1"/>
        </w:rPr>
        <w:t xml:space="preserve"> </w:t>
      </w:r>
      <w:r w:rsidRPr="00A54361">
        <w:rPr>
          <w:rFonts w:eastAsia="Times New Roman" w:cstheme="minorHAnsi"/>
        </w:rPr>
        <w:t>Contr</w:t>
      </w:r>
      <w:r w:rsidRPr="00A54361">
        <w:rPr>
          <w:rFonts w:eastAsia="Times New Roman" w:cstheme="minorHAnsi"/>
          <w:spacing w:val="1"/>
        </w:rPr>
        <w:t>a</w:t>
      </w:r>
      <w:r w:rsidRPr="00A54361">
        <w:rPr>
          <w:rFonts w:eastAsia="Times New Roman" w:cstheme="minorHAnsi"/>
          <w:spacing w:val="-1"/>
        </w:rPr>
        <w:t>c</w:t>
      </w:r>
      <w:r w:rsidRPr="00A54361">
        <w:rPr>
          <w:rFonts w:eastAsia="Times New Roman" w:cstheme="minorHAnsi"/>
        </w:rPr>
        <w:t>tors /</w:t>
      </w:r>
      <w:r w:rsidRPr="00A54361">
        <w:rPr>
          <w:rFonts w:eastAsia="Times New Roman" w:cstheme="minorHAnsi"/>
          <w:spacing w:val="1"/>
        </w:rPr>
        <w:t xml:space="preserve"> S</w:t>
      </w:r>
      <w:r w:rsidRPr="00A54361">
        <w:rPr>
          <w:rFonts w:eastAsia="Times New Roman" w:cstheme="minorHAnsi"/>
        </w:rPr>
        <w:t>uppl</w:t>
      </w:r>
      <w:r w:rsidRPr="00A54361">
        <w:rPr>
          <w:rFonts w:eastAsia="Times New Roman" w:cstheme="minorHAnsi"/>
          <w:spacing w:val="1"/>
        </w:rPr>
        <w:t>i</w:t>
      </w:r>
      <w:r w:rsidRPr="00A54361">
        <w:rPr>
          <w:rFonts w:eastAsia="Times New Roman" w:cstheme="minorHAnsi"/>
          <w:spacing w:val="-1"/>
        </w:rPr>
        <w:t>e</w:t>
      </w:r>
      <w:r w:rsidRPr="00A54361">
        <w:rPr>
          <w:rFonts w:eastAsia="Times New Roman" w:cstheme="minorHAnsi"/>
        </w:rPr>
        <w:t>rs /</w:t>
      </w:r>
      <w:r w:rsidRPr="00A54361">
        <w:rPr>
          <w:rFonts w:eastAsia="Times New Roman" w:cstheme="minorHAnsi"/>
          <w:spacing w:val="1"/>
        </w:rPr>
        <w:t xml:space="preserve"> P</w:t>
      </w:r>
      <w:r w:rsidRPr="00A54361">
        <w:rPr>
          <w:rFonts w:eastAsia="Times New Roman" w:cstheme="minorHAnsi"/>
        </w:rPr>
        <w:t>ur</w:t>
      </w:r>
      <w:r w:rsidRPr="00A54361">
        <w:rPr>
          <w:rFonts w:eastAsia="Times New Roman" w:cstheme="minorHAnsi"/>
          <w:spacing w:val="-2"/>
        </w:rPr>
        <w:t>c</w:t>
      </w:r>
      <w:r w:rsidRPr="00A54361">
        <w:rPr>
          <w:rFonts w:eastAsia="Times New Roman" w:cstheme="minorHAnsi"/>
          <w:spacing w:val="2"/>
        </w:rPr>
        <w:t>h</w:t>
      </w:r>
      <w:r w:rsidRPr="00A54361">
        <w:rPr>
          <w:rFonts w:eastAsia="Times New Roman" w:cstheme="minorHAnsi"/>
          <w:spacing w:val="-1"/>
        </w:rPr>
        <w:t>a</w:t>
      </w:r>
      <w:r w:rsidRPr="00A54361">
        <w:rPr>
          <w:rFonts w:eastAsia="Times New Roman" w:cstheme="minorHAnsi"/>
        </w:rPr>
        <w:t>s</w:t>
      </w:r>
      <w:r w:rsidRPr="00A54361">
        <w:rPr>
          <w:rFonts w:eastAsia="Times New Roman" w:cstheme="minorHAnsi"/>
          <w:spacing w:val="-1"/>
        </w:rPr>
        <w:t>e</w:t>
      </w:r>
      <w:r w:rsidRPr="00A54361">
        <w:rPr>
          <w:rFonts w:eastAsia="Times New Roman" w:cstheme="minorHAnsi"/>
        </w:rPr>
        <w:t>rs /</w:t>
      </w:r>
      <w:r w:rsidRPr="00A54361">
        <w:rPr>
          <w:rFonts w:eastAsia="Times New Roman" w:cstheme="minorHAnsi"/>
          <w:spacing w:val="1"/>
        </w:rPr>
        <w:t xml:space="preserve"> </w:t>
      </w:r>
      <w:r w:rsidRPr="00A54361">
        <w:rPr>
          <w:rFonts w:eastAsia="Times New Roman" w:cstheme="minorHAnsi"/>
        </w:rPr>
        <w:t>Custo</w:t>
      </w:r>
      <w:r w:rsidRPr="00A54361">
        <w:rPr>
          <w:rFonts w:eastAsia="Times New Roman" w:cstheme="minorHAnsi"/>
          <w:spacing w:val="1"/>
        </w:rPr>
        <w:t>m</w:t>
      </w:r>
      <w:r w:rsidRPr="00A54361">
        <w:rPr>
          <w:rFonts w:eastAsia="Times New Roman" w:cstheme="minorHAnsi"/>
          <w:spacing w:val="-1"/>
        </w:rPr>
        <w:t>e</w:t>
      </w:r>
      <w:r w:rsidRPr="00A54361">
        <w:rPr>
          <w:rFonts w:eastAsia="Times New Roman" w:cstheme="minorHAnsi"/>
        </w:rPr>
        <w:t xml:space="preserve">rs / </w:t>
      </w:r>
      <w:r w:rsidRPr="00A54361">
        <w:rPr>
          <w:rFonts w:eastAsia="Times New Roman" w:cstheme="minorHAnsi"/>
          <w:spacing w:val="-2"/>
        </w:rPr>
        <w:t>B</w:t>
      </w:r>
      <w:r w:rsidRPr="00A54361">
        <w:rPr>
          <w:rFonts w:eastAsia="Times New Roman" w:cstheme="minorHAnsi"/>
        </w:rPr>
        <w:t>idde</w:t>
      </w:r>
      <w:r w:rsidRPr="00A54361">
        <w:rPr>
          <w:rFonts w:eastAsia="Times New Roman" w:cstheme="minorHAnsi"/>
          <w:spacing w:val="-1"/>
        </w:rPr>
        <w:t>r</w:t>
      </w:r>
      <w:r w:rsidRPr="00A54361">
        <w:rPr>
          <w:rFonts w:eastAsia="Times New Roman" w:cstheme="minorHAnsi"/>
        </w:rPr>
        <w:t>s</w:t>
      </w:r>
      <w:r w:rsidRPr="00A54361">
        <w:rPr>
          <w:rFonts w:eastAsia="Times New Roman" w:cstheme="minorHAnsi"/>
          <w:spacing w:val="2"/>
        </w:rPr>
        <w:t xml:space="preserve"> </w:t>
      </w:r>
      <w:r w:rsidRPr="00A54361">
        <w:rPr>
          <w:rFonts w:eastAsia="Times New Roman" w:cstheme="minorHAnsi"/>
        </w:rPr>
        <w:t>/</w:t>
      </w:r>
      <w:r w:rsidRPr="00A54361">
        <w:rPr>
          <w:rFonts w:eastAsia="Times New Roman" w:cstheme="minorHAnsi"/>
          <w:spacing w:val="2"/>
        </w:rPr>
        <w:t xml:space="preserve"> </w:t>
      </w:r>
      <w:r w:rsidRPr="00A54361">
        <w:rPr>
          <w:rFonts w:eastAsia="Times New Roman" w:cstheme="minorHAnsi"/>
        </w:rPr>
        <w:t>T</w:t>
      </w:r>
      <w:r w:rsidRPr="00A54361">
        <w:rPr>
          <w:rFonts w:eastAsia="Times New Roman" w:cstheme="minorHAnsi"/>
          <w:spacing w:val="-1"/>
        </w:rPr>
        <w:t>e</w:t>
      </w:r>
      <w:r w:rsidRPr="00A54361">
        <w:rPr>
          <w:rFonts w:eastAsia="Times New Roman" w:cstheme="minorHAnsi"/>
        </w:rPr>
        <w:t>nd</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2"/>
        </w:rPr>
        <w:t>e</w:t>
      </w:r>
      <w:r w:rsidRPr="00A54361">
        <w:rPr>
          <w:rFonts w:eastAsia="Times New Roman" w:cstheme="minorHAnsi"/>
        </w:rPr>
        <w:t>rs</w:t>
      </w:r>
      <w:r w:rsidRPr="00A54361">
        <w:rPr>
          <w:rFonts w:eastAsia="Times New Roman" w:cstheme="minorHAnsi"/>
          <w:spacing w:val="1"/>
        </w:rPr>
        <w:t xml:space="preserve"> </w:t>
      </w:r>
      <w:r w:rsidRPr="00A54361">
        <w:rPr>
          <w:rFonts w:eastAsia="Times New Roman" w:cstheme="minorHAnsi"/>
        </w:rPr>
        <w:t>sh</w:t>
      </w:r>
      <w:r w:rsidRPr="00A54361">
        <w:rPr>
          <w:rFonts w:eastAsia="Times New Roman" w:cstheme="minorHAnsi"/>
          <w:spacing w:val="-1"/>
        </w:rPr>
        <w:t>a</w:t>
      </w:r>
      <w:r w:rsidRPr="00A54361">
        <w:rPr>
          <w:rFonts w:eastAsia="Times New Roman" w:cstheme="minorHAnsi"/>
          <w:spacing w:val="3"/>
        </w:rPr>
        <w:t>l</w:t>
      </w:r>
      <w:r w:rsidRPr="00A54361">
        <w:rPr>
          <w:rFonts w:eastAsia="Times New Roman" w:cstheme="minorHAnsi"/>
        </w:rPr>
        <w:t>l</w:t>
      </w:r>
      <w:r w:rsidRPr="00A54361">
        <w:rPr>
          <w:rFonts w:eastAsia="Times New Roman" w:cstheme="minorHAnsi"/>
          <w:spacing w:val="2"/>
        </w:rPr>
        <w:t xml:space="preserve"> </w:t>
      </w:r>
      <w:r w:rsidRPr="00A54361">
        <w:rPr>
          <w:rFonts w:eastAsia="Times New Roman" w:cstheme="minorHAnsi"/>
        </w:rPr>
        <w:t>me</w:t>
      </w:r>
      <w:r w:rsidRPr="00A54361">
        <w:rPr>
          <w:rFonts w:eastAsia="Times New Roman" w:cstheme="minorHAnsi"/>
          <w:spacing w:val="-1"/>
        </w:rPr>
        <w:t>a</w:t>
      </w:r>
      <w:r w:rsidRPr="00A54361">
        <w:rPr>
          <w:rFonts w:eastAsia="Times New Roman" w:cstheme="minorHAnsi"/>
        </w:rPr>
        <w:t>n</w:t>
      </w:r>
      <w:r w:rsidRPr="00A54361">
        <w:rPr>
          <w:rFonts w:eastAsia="Times New Roman" w:cstheme="minorHAnsi"/>
          <w:spacing w:val="1"/>
        </w:rPr>
        <w:t xml:space="preserve"> </w:t>
      </w:r>
      <w:r w:rsidRPr="00A54361">
        <w:rPr>
          <w:rFonts w:eastAsia="Times New Roman" w:cstheme="minorHAnsi"/>
          <w:spacing w:val="-1"/>
        </w:rPr>
        <w:t>a</w:t>
      </w:r>
      <w:r w:rsidRPr="00A54361">
        <w:rPr>
          <w:rFonts w:eastAsia="Times New Roman" w:cstheme="minorHAnsi"/>
        </w:rPr>
        <w:t>nd</w:t>
      </w:r>
      <w:r w:rsidRPr="00A54361">
        <w:rPr>
          <w:rFonts w:eastAsia="Times New Roman" w:cstheme="minorHAnsi"/>
          <w:spacing w:val="1"/>
        </w:rPr>
        <w:t xml:space="preserve"> </w:t>
      </w:r>
      <w:r w:rsidRPr="00A54361">
        <w:rPr>
          <w:rFonts w:eastAsia="Times New Roman" w:cstheme="minorHAnsi"/>
        </w:rPr>
        <w:t>include l</w:t>
      </w:r>
      <w:r w:rsidRPr="00A54361">
        <w:rPr>
          <w:rFonts w:eastAsia="Times New Roman" w:cstheme="minorHAnsi"/>
          <w:spacing w:val="1"/>
        </w:rPr>
        <w:t>i</w:t>
      </w:r>
      <w:r w:rsidRPr="00A54361">
        <w:rPr>
          <w:rFonts w:eastAsia="Times New Roman" w:cstheme="minorHAnsi"/>
        </w:rPr>
        <w:t>st</w:t>
      </w:r>
      <w:r w:rsidRPr="00A54361">
        <w:rPr>
          <w:rFonts w:eastAsia="Times New Roman" w:cstheme="minorHAnsi"/>
          <w:spacing w:val="2"/>
        </w:rPr>
        <w:t xml:space="preserve"> </w:t>
      </w:r>
      <w:r w:rsidRPr="00A54361">
        <w:rPr>
          <w:rFonts w:eastAsia="Times New Roman" w:cstheme="minorHAnsi"/>
        </w:rPr>
        <w:t>of</w:t>
      </w:r>
      <w:r w:rsidRPr="00A54361">
        <w:rPr>
          <w:rFonts w:eastAsia="Times New Roman" w:cstheme="minorHAnsi"/>
          <w:spacing w:val="1"/>
        </w:rPr>
        <w:t xml:space="preserve"> </w:t>
      </w:r>
      <w:r w:rsidRPr="00A54361">
        <w:rPr>
          <w:rFonts w:eastAsia="Times New Roman" w:cstheme="minorHAnsi"/>
          <w:spacing w:val="-1"/>
        </w:rPr>
        <w:t>a</w:t>
      </w:r>
      <w:r w:rsidRPr="00A54361">
        <w:rPr>
          <w:rFonts w:eastAsia="Times New Roman" w:cstheme="minorHAnsi"/>
        </w:rPr>
        <w:t>ppro</w:t>
      </w:r>
      <w:r w:rsidRPr="00A54361">
        <w:rPr>
          <w:rFonts w:eastAsia="Times New Roman" w:cstheme="minorHAnsi"/>
          <w:spacing w:val="-1"/>
        </w:rPr>
        <w:t>ve</w:t>
      </w:r>
      <w:r w:rsidRPr="00A54361">
        <w:rPr>
          <w:rFonts w:eastAsia="Times New Roman" w:cstheme="minorHAnsi"/>
        </w:rPr>
        <w:t>d</w:t>
      </w:r>
      <w:r w:rsidRPr="00A54361">
        <w:rPr>
          <w:rFonts w:eastAsia="Times New Roman" w:cstheme="minorHAnsi"/>
          <w:spacing w:val="1"/>
        </w:rPr>
        <w:t xml:space="preserve"> </w:t>
      </w:r>
      <w:r w:rsidRPr="00A54361">
        <w:rPr>
          <w:rFonts w:eastAsia="Times New Roman" w:cstheme="minorHAnsi"/>
        </w:rPr>
        <w:t>/</w:t>
      </w:r>
      <w:r w:rsidRPr="00A54361">
        <w:rPr>
          <w:rFonts w:eastAsia="Times New Roman" w:cstheme="minorHAnsi"/>
          <w:spacing w:val="2"/>
        </w:rPr>
        <w:t xml:space="preserve"> </w:t>
      </w:r>
      <w:r w:rsidRPr="00A54361">
        <w:rPr>
          <w:rFonts w:eastAsia="Times New Roman" w:cstheme="minorHAnsi"/>
        </w:rPr>
        <w:t>re</w:t>
      </w:r>
      <w:r w:rsidRPr="00A54361">
        <w:rPr>
          <w:rFonts w:eastAsia="Times New Roman" w:cstheme="minorHAnsi"/>
          <w:spacing w:val="-2"/>
        </w:rPr>
        <w:t>g</w:t>
      </w:r>
      <w:r w:rsidRPr="00A54361">
        <w:rPr>
          <w:rFonts w:eastAsia="Times New Roman" w:cstheme="minorHAnsi"/>
        </w:rPr>
        <w:t>is</w:t>
      </w:r>
      <w:r w:rsidRPr="00A54361">
        <w:rPr>
          <w:rFonts w:eastAsia="Times New Roman" w:cstheme="minorHAnsi"/>
          <w:spacing w:val="1"/>
        </w:rPr>
        <w:t>te</w:t>
      </w:r>
      <w:r w:rsidRPr="00A54361">
        <w:rPr>
          <w:rFonts w:eastAsia="Times New Roman" w:cstheme="minorHAnsi"/>
        </w:rPr>
        <w:t>r</w:t>
      </w:r>
      <w:r w:rsidRPr="00A54361">
        <w:rPr>
          <w:rFonts w:eastAsia="Times New Roman" w:cstheme="minorHAnsi"/>
          <w:spacing w:val="-2"/>
        </w:rPr>
        <w:t>e</w:t>
      </w:r>
      <w:r w:rsidRPr="00A54361">
        <w:rPr>
          <w:rFonts w:eastAsia="Times New Roman" w:cstheme="minorHAnsi"/>
        </w:rPr>
        <w:t>d</w:t>
      </w:r>
      <w:r w:rsidRPr="00A54361">
        <w:rPr>
          <w:rFonts w:eastAsia="Times New Roman" w:cstheme="minorHAnsi"/>
          <w:spacing w:val="4"/>
        </w:rPr>
        <w:t xml:space="preserve"> </w:t>
      </w:r>
      <w:r w:rsidRPr="00A54361">
        <w:rPr>
          <w:rFonts w:eastAsia="Times New Roman" w:cstheme="minorHAnsi"/>
        </w:rPr>
        <w:t>Ag</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1"/>
        </w:rPr>
        <w:t>c</w:t>
      </w:r>
      <w:r w:rsidRPr="00A54361">
        <w:rPr>
          <w:rFonts w:eastAsia="Times New Roman" w:cstheme="minorHAnsi"/>
        </w:rPr>
        <w:t>ies</w:t>
      </w:r>
      <w:r w:rsidRPr="00A54361">
        <w:rPr>
          <w:rFonts w:eastAsia="Times New Roman" w:cstheme="minorHAnsi"/>
          <w:spacing w:val="7"/>
        </w:rPr>
        <w:t xml:space="preserve"> </w:t>
      </w:r>
      <w:r w:rsidRPr="00A54361">
        <w:rPr>
          <w:rFonts w:eastAsia="Times New Roman" w:cstheme="minorHAnsi"/>
        </w:rPr>
        <w:t>-</w:t>
      </w:r>
      <w:r w:rsidRPr="00A54361">
        <w:rPr>
          <w:rFonts w:eastAsia="Times New Roman" w:cstheme="minorHAnsi"/>
          <w:spacing w:val="1"/>
        </w:rPr>
        <w:t xml:space="preserve"> P</w:t>
      </w:r>
      <w:r w:rsidRPr="00A54361">
        <w:rPr>
          <w:rFonts w:eastAsia="Times New Roman" w:cstheme="minorHAnsi"/>
          <w:spacing w:val="-1"/>
        </w:rPr>
        <w:t>a</w:t>
      </w:r>
      <w:r w:rsidRPr="00A54361">
        <w:rPr>
          <w:rFonts w:eastAsia="Times New Roman" w:cstheme="minorHAnsi"/>
        </w:rPr>
        <w:t>rti</w:t>
      </w:r>
      <w:r w:rsidRPr="00A54361">
        <w:rPr>
          <w:rFonts w:eastAsia="Times New Roman" w:cstheme="minorHAnsi"/>
          <w:spacing w:val="-1"/>
        </w:rPr>
        <w:t>e</w:t>
      </w:r>
      <w:r w:rsidRPr="00A54361">
        <w:rPr>
          <w:rFonts w:eastAsia="Times New Roman" w:cstheme="minorHAnsi"/>
        </w:rPr>
        <w:t>s/ Contr</w:t>
      </w:r>
      <w:r w:rsidRPr="00A54361">
        <w:rPr>
          <w:rFonts w:eastAsia="Times New Roman" w:cstheme="minorHAnsi"/>
          <w:spacing w:val="-1"/>
        </w:rPr>
        <w:t>ac</w:t>
      </w:r>
      <w:r w:rsidRPr="00A54361">
        <w:rPr>
          <w:rFonts w:eastAsia="Times New Roman" w:cstheme="minorHAnsi"/>
        </w:rPr>
        <w:t xml:space="preserve">tors / </w:t>
      </w:r>
      <w:r w:rsidRPr="00A54361">
        <w:rPr>
          <w:rFonts w:eastAsia="Times New Roman" w:cstheme="minorHAnsi"/>
          <w:spacing w:val="1"/>
        </w:rPr>
        <w:t>S</w:t>
      </w:r>
      <w:r w:rsidRPr="00A54361">
        <w:rPr>
          <w:rFonts w:eastAsia="Times New Roman" w:cstheme="minorHAnsi"/>
        </w:rPr>
        <w:t>uppl</w:t>
      </w:r>
      <w:r w:rsidRPr="00A54361">
        <w:rPr>
          <w:rFonts w:eastAsia="Times New Roman" w:cstheme="minorHAnsi"/>
          <w:spacing w:val="1"/>
        </w:rPr>
        <w:t>i</w:t>
      </w:r>
      <w:r w:rsidRPr="00A54361">
        <w:rPr>
          <w:rFonts w:eastAsia="Times New Roman" w:cstheme="minorHAnsi"/>
          <w:spacing w:val="-1"/>
        </w:rPr>
        <w:t>e</w:t>
      </w:r>
      <w:r w:rsidRPr="00A54361">
        <w:rPr>
          <w:rFonts w:eastAsia="Times New Roman" w:cstheme="minorHAnsi"/>
        </w:rPr>
        <w:t xml:space="preserve">rs / </w:t>
      </w:r>
      <w:r w:rsidRPr="00A54361">
        <w:rPr>
          <w:rFonts w:eastAsia="Times New Roman" w:cstheme="minorHAnsi"/>
          <w:spacing w:val="1"/>
        </w:rPr>
        <w:t>P</w:t>
      </w:r>
      <w:r w:rsidRPr="00A54361">
        <w:rPr>
          <w:rFonts w:eastAsia="Times New Roman" w:cstheme="minorHAnsi"/>
        </w:rPr>
        <w:t>ur</w:t>
      </w:r>
      <w:r w:rsidRPr="00A54361">
        <w:rPr>
          <w:rFonts w:eastAsia="Times New Roman" w:cstheme="minorHAnsi"/>
          <w:spacing w:val="-2"/>
        </w:rPr>
        <w:t>c</w:t>
      </w:r>
      <w:r w:rsidRPr="00A54361">
        <w:rPr>
          <w:rFonts w:eastAsia="Times New Roman" w:cstheme="minorHAnsi"/>
        </w:rPr>
        <w:t>h</w:t>
      </w:r>
      <w:r w:rsidRPr="00A54361">
        <w:rPr>
          <w:rFonts w:eastAsia="Times New Roman" w:cstheme="minorHAnsi"/>
          <w:spacing w:val="-1"/>
        </w:rPr>
        <w:t>a</w:t>
      </w:r>
      <w:r w:rsidRPr="00A54361">
        <w:rPr>
          <w:rFonts w:eastAsia="Times New Roman" w:cstheme="minorHAnsi"/>
        </w:rPr>
        <w:t>s</w:t>
      </w:r>
      <w:r w:rsidRPr="00A54361">
        <w:rPr>
          <w:rFonts w:eastAsia="Times New Roman" w:cstheme="minorHAnsi"/>
          <w:spacing w:val="-1"/>
        </w:rPr>
        <w:t>e</w:t>
      </w:r>
      <w:r w:rsidRPr="00A54361">
        <w:rPr>
          <w:rFonts w:eastAsia="Times New Roman" w:cstheme="minorHAnsi"/>
        </w:rPr>
        <w:t>rs / Custo</w:t>
      </w:r>
      <w:r w:rsidRPr="00A54361">
        <w:rPr>
          <w:rFonts w:eastAsia="Times New Roman" w:cstheme="minorHAnsi"/>
          <w:spacing w:val="1"/>
        </w:rPr>
        <w:t>m</w:t>
      </w:r>
      <w:r w:rsidRPr="00A54361">
        <w:rPr>
          <w:rFonts w:eastAsia="Times New Roman" w:cstheme="minorHAnsi"/>
          <w:spacing w:val="-1"/>
        </w:rPr>
        <w:t>e</w:t>
      </w:r>
      <w:r w:rsidRPr="00A54361">
        <w:rPr>
          <w:rFonts w:eastAsia="Times New Roman" w:cstheme="minorHAnsi"/>
        </w:rPr>
        <w:t>rs /</w:t>
      </w:r>
      <w:r w:rsidRPr="00A54361">
        <w:rPr>
          <w:rFonts w:eastAsia="Times New Roman" w:cstheme="minorHAnsi"/>
          <w:spacing w:val="2"/>
        </w:rPr>
        <w:t xml:space="preserve"> </w:t>
      </w:r>
      <w:r w:rsidRPr="00A54361">
        <w:rPr>
          <w:rFonts w:eastAsia="Times New Roman" w:cstheme="minorHAnsi"/>
          <w:spacing w:val="-2"/>
        </w:rPr>
        <w:t>B</w:t>
      </w:r>
      <w:r w:rsidRPr="00A54361">
        <w:rPr>
          <w:rFonts w:eastAsia="Times New Roman" w:cstheme="minorHAnsi"/>
        </w:rPr>
        <w:t>idde</w:t>
      </w:r>
      <w:r w:rsidRPr="00A54361">
        <w:rPr>
          <w:rFonts w:eastAsia="Times New Roman" w:cstheme="minorHAnsi"/>
          <w:spacing w:val="-1"/>
        </w:rPr>
        <w:t>r</w:t>
      </w:r>
      <w:r w:rsidRPr="00A54361">
        <w:rPr>
          <w:rFonts w:eastAsia="Times New Roman" w:cstheme="minorHAnsi"/>
        </w:rPr>
        <w:t>s / Ten</w:t>
      </w:r>
      <w:r w:rsidRPr="00A54361">
        <w:rPr>
          <w:rFonts w:eastAsia="Times New Roman" w:cstheme="minorHAnsi"/>
          <w:spacing w:val="2"/>
        </w:rPr>
        <w:t>d</w:t>
      </w:r>
      <w:r w:rsidRPr="00A54361">
        <w:rPr>
          <w:rFonts w:eastAsia="Times New Roman" w:cstheme="minorHAnsi"/>
          <w:spacing w:val="-1"/>
        </w:rPr>
        <w:t>e</w:t>
      </w:r>
      <w:r w:rsidRPr="00A54361">
        <w:rPr>
          <w:rFonts w:eastAsia="Times New Roman" w:cstheme="minorHAnsi"/>
        </w:rPr>
        <w:t xml:space="preserve">rers, </w:t>
      </w:r>
      <w:r w:rsidRPr="00A54361">
        <w:rPr>
          <w:rFonts w:eastAsia="Times New Roman" w:cstheme="minorHAnsi"/>
          <w:spacing w:val="-1"/>
        </w:rPr>
        <w:t>e</w:t>
      </w:r>
      <w:r w:rsidRPr="00A54361">
        <w:rPr>
          <w:rFonts w:eastAsia="Times New Roman" w:cstheme="minorHAnsi"/>
        </w:rPr>
        <w:t>tc.</w:t>
      </w:r>
    </w:p>
    <w:p w14:paraId="18452558" w14:textId="77777777" w:rsidR="0054549F" w:rsidRPr="00A54361" w:rsidRDefault="0054549F" w:rsidP="00A54361">
      <w:pPr>
        <w:spacing w:before="29"/>
        <w:ind w:left="100" w:right="5387" w:hanging="142"/>
        <w:jc w:val="both"/>
        <w:rPr>
          <w:rFonts w:cstheme="minorHAnsi"/>
        </w:rPr>
      </w:pPr>
      <w:r w:rsidRPr="00A54361">
        <w:rPr>
          <w:rFonts w:eastAsia="Times New Roman" w:cstheme="minorHAnsi"/>
          <w:b/>
        </w:rPr>
        <w:t>4. I</w:t>
      </w:r>
      <w:r w:rsidRPr="00A54361">
        <w:rPr>
          <w:rFonts w:eastAsia="Times New Roman" w:cstheme="minorHAnsi"/>
          <w:b/>
          <w:spacing w:val="1"/>
        </w:rPr>
        <w:t>n</w:t>
      </w:r>
      <w:r w:rsidRPr="00A54361">
        <w:rPr>
          <w:rFonts w:eastAsia="Times New Roman" w:cstheme="minorHAnsi"/>
          <w:b/>
        </w:rPr>
        <w:t>itiation</w:t>
      </w:r>
      <w:r w:rsidRPr="00A54361">
        <w:rPr>
          <w:rFonts w:eastAsia="Times New Roman" w:cstheme="minorHAnsi"/>
          <w:b/>
          <w:spacing w:val="1"/>
        </w:rPr>
        <w:t xml:space="preserve"> </w:t>
      </w:r>
      <w:r w:rsidRPr="00A54361">
        <w:rPr>
          <w:rFonts w:eastAsia="Times New Roman" w:cstheme="minorHAnsi"/>
          <w:b/>
          <w:spacing w:val="-2"/>
        </w:rPr>
        <w:t>o</w:t>
      </w:r>
      <w:r w:rsidRPr="00A54361">
        <w:rPr>
          <w:rFonts w:eastAsia="Times New Roman" w:cstheme="minorHAnsi"/>
          <w:b/>
        </w:rPr>
        <w:t>f</w:t>
      </w:r>
      <w:r w:rsidRPr="00A54361">
        <w:rPr>
          <w:rFonts w:eastAsia="Times New Roman" w:cstheme="minorHAnsi"/>
          <w:b/>
          <w:spacing w:val="1"/>
        </w:rPr>
        <w:t xml:space="preserve"> </w:t>
      </w:r>
      <w:r w:rsidRPr="00A54361">
        <w:rPr>
          <w:rFonts w:eastAsia="Times New Roman" w:cstheme="minorHAnsi"/>
          <w:b/>
        </w:rPr>
        <w:t>Ba</w:t>
      </w:r>
      <w:r w:rsidRPr="00A54361">
        <w:rPr>
          <w:rFonts w:eastAsia="Times New Roman" w:cstheme="minorHAnsi"/>
          <w:b/>
          <w:spacing w:val="-1"/>
        </w:rPr>
        <w:t>n</w:t>
      </w:r>
      <w:r w:rsidRPr="00A54361">
        <w:rPr>
          <w:rFonts w:eastAsia="Times New Roman" w:cstheme="minorHAnsi"/>
          <w:b/>
          <w:spacing w:val="1"/>
        </w:rPr>
        <w:t>n</w:t>
      </w:r>
      <w:r w:rsidRPr="00A54361">
        <w:rPr>
          <w:rFonts w:eastAsia="Times New Roman" w:cstheme="minorHAnsi"/>
          <w:b/>
        </w:rPr>
        <w:t>i</w:t>
      </w:r>
      <w:r w:rsidRPr="00A54361">
        <w:rPr>
          <w:rFonts w:eastAsia="Times New Roman" w:cstheme="minorHAnsi"/>
          <w:b/>
          <w:spacing w:val="1"/>
        </w:rPr>
        <w:t>n</w:t>
      </w:r>
      <w:r w:rsidRPr="00A54361">
        <w:rPr>
          <w:rFonts w:eastAsia="Times New Roman" w:cstheme="minorHAnsi"/>
          <w:b/>
        </w:rPr>
        <w:t>g</w:t>
      </w:r>
      <w:r w:rsidRPr="00A54361">
        <w:rPr>
          <w:rFonts w:eastAsia="Times New Roman" w:cstheme="minorHAnsi"/>
          <w:b/>
          <w:spacing w:val="-2"/>
        </w:rPr>
        <w:t xml:space="preserve"> </w:t>
      </w:r>
      <w:r w:rsidRPr="00A54361">
        <w:rPr>
          <w:rFonts w:eastAsia="Times New Roman" w:cstheme="minorHAnsi"/>
          <w:b/>
        </w:rPr>
        <w:t xml:space="preserve">/ </w:t>
      </w:r>
      <w:r w:rsidRPr="00A54361">
        <w:rPr>
          <w:rFonts w:eastAsia="Times New Roman" w:cstheme="minorHAnsi"/>
          <w:b/>
          <w:spacing w:val="1"/>
        </w:rPr>
        <w:t>Su</w:t>
      </w:r>
      <w:r w:rsidRPr="00A54361">
        <w:rPr>
          <w:rFonts w:eastAsia="Times New Roman" w:cstheme="minorHAnsi"/>
          <w:b/>
          <w:spacing w:val="3"/>
        </w:rPr>
        <w:t>s</w:t>
      </w:r>
      <w:r w:rsidRPr="00A54361">
        <w:rPr>
          <w:rFonts w:eastAsia="Times New Roman" w:cstheme="minorHAnsi"/>
          <w:b/>
          <w:spacing w:val="1"/>
        </w:rPr>
        <w:t>p</w:t>
      </w:r>
      <w:r w:rsidRPr="00A54361">
        <w:rPr>
          <w:rFonts w:eastAsia="Times New Roman" w:cstheme="minorHAnsi"/>
          <w:b/>
          <w:spacing w:val="-1"/>
        </w:rPr>
        <w:t>en</w:t>
      </w:r>
      <w:r w:rsidRPr="00A54361">
        <w:rPr>
          <w:rFonts w:eastAsia="Times New Roman" w:cstheme="minorHAnsi"/>
          <w:b/>
        </w:rPr>
        <w:t>sion</w:t>
      </w:r>
    </w:p>
    <w:p w14:paraId="2FB664B5" w14:textId="77777777" w:rsidR="0054549F" w:rsidRPr="00A54361" w:rsidRDefault="0054549F" w:rsidP="00A54361">
      <w:pPr>
        <w:spacing w:line="260" w:lineRule="exact"/>
        <w:ind w:left="100" w:right="90" w:hanging="142"/>
        <w:jc w:val="both"/>
        <w:rPr>
          <w:rFonts w:cstheme="minorHAnsi"/>
        </w:rPr>
      </w:pPr>
      <w:r w:rsidRPr="00A54361">
        <w:rPr>
          <w:rFonts w:eastAsia="Times New Roman" w:cstheme="minorHAnsi"/>
        </w:rPr>
        <w:t>A</w:t>
      </w:r>
      <w:r w:rsidRPr="00A54361">
        <w:rPr>
          <w:rFonts w:eastAsia="Times New Roman" w:cstheme="minorHAnsi"/>
          <w:spacing w:val="-1"/>
        </w:rPr>
        <w:t>c</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on</w:t>
      </w:r>
      <w:r w:rsidRPr="00A54361">
        <w:rPr>
          <w:rFonts w:eastAsia="Times New Roman" w:cstheme="minorHAnsi"/>
          <w:spacing w:val="2"/>
        </w:rPr>
        <w:t xml:space="preserve"> </w:t>
      </w:r>
      <w:r w:rsidRPr="00A54361">
        <w:rPr>
          <w:rFonts w:eastAsia="Times New Roman" w:cstheme="minorHAnsi"/>
        </w:rPr>
        <w:t>for</w:t>
      </w:r>
      <w:r w:rsidRPr="00A54361">
        <w:rPr>
          <w:rFonts w:eastAsia="Times New Roman" w:cstheme="minorHAnsi"/>
          <w:spacing w:val="1"/>
        </w:rPr>
        <w:t xml:space="preserve"> </w:t>
      </w:r>
      <w:r w:rsidRPr="00A54361">
        <w:rPr>
          <w:rFonts w:eastAsia="Times New Roman" w:cstheme="minorHAnsi"/>
          <w:spacing w:val="2"/>
        </w:rPr>
        <w:t>b</w:t>
      </w:r>
      <w:r w:rsidRPr="00A54361">
        <w:rPr>
          <w:rFonts w:eastAsia="Times New Roman" w:cstheme="minorHAnsi"/>
          <w:spacing w:val="-1"/>
        </w:rPr>
        <w:t>a</w:t>
      </w:r>
      <w:r w:rsidRPr="00A54361">
        <w:rPr>
          <w:rFonts w:eastAsia="Times New Roman" w:cstheme="minorHAnsi"/>
        </w:rPr>
        <w:t>nning</w:t>
      </w:r>
      <w:r w:rsidRPr="00A54361">
        <w:rPr>
          <w:rFonts w:eastAsia="Times New Roman" w:cstheme="minorHAnsi"/>
          <w:spacing w:val="3"/>
        </w:rPr>
        <w:t xml:space="preserve"> </w:t>
      </w:r>
      <w:r w:rsidRPr="00A54361">
        <w:rPr>
          <w:rFonts w:eastAsia="Times New Roman" w:cstheme="minorHAnsi"/>
        </w:rPr>
        <w:t>/</w:t>
      </w:r>
      <w:r w:rsidRPr="00A54361">
        <w:rPr>
          <w:rFonts w:eastAsia="Times New Roman" w:cstheme="minorHAnsi"/>
          <w:spacing w:val="3"/>
        </w:rPr>
        <w:t xml:space="preserve"> </w:t>
      </w:r>
      <w:r w:rsidRPr="00A54361">
        <w:rPr>
          <w:rFonts w:eastAsia="Times New Roman" w:cstheme="minorHAnsi"/>
        </w:rPr>
        <w:t>sus</w:t>
      </w:r>
      <w:r w:rsidRPr="00A54361">
        <w:rPr>
          <w:rFonts w:eastAsia="Times New Roman" w:cstheme="minorHAnsi"/>
          <w:spacing w:val="3"/>
        </w:rPr>
        <w:t>p</w:t>
      </w:r>
      <w:r w:rsidRPr="00A54361">
        <w:rPr>
          <w:rFonts w:eastAsia="Times New Roman" w:cstheme="minorHAnsi"/>
          <w:spacing w:val="-1"/>
        </w:rPr>
        <w:t>e</w:t>
      </w:r>
      <w:r w:rsidRPr="00A54361">
        <w:rPr>
          <w:rFonts w:eastAsia="Times New Roman" w:cstheme="minorHAnsi"/>
        </w:rPr>
        <w:t>nsion</w:t>
      </w:r>
      <w:r w:rsidRPr="00A54361">
        <w:rPr>
          <w:rFonts w:eastAsia="Times New Roman" w:cstheme="minorHAnsi"/>
          <w:spacing w:val="3"/>
        </w:rPr>
        <w:t xml:space="preserve"> </w:t>
      </w:r>
      <w:r w:rsidRPr="00A54361">
        <w:rPr>
          <w:rFonts w:eastAsia="Times New Roman" w:cstheme="minorHAnsi"/>
        </w:rPr>
        <w:t>busin</w:t>
      </w:r>
      <w:r w:rsidRPr="00A54361">
        <w:rPr>
          <w:rFonts w:eastAsia="Times New Roman" w:cstheme="minorHAnsi"/>
          <w:spacing w:val="-1"/>
        </w:rPr>
        <w:t>e</w:t>
      </w:r>
      <w:r w:rsidRPr="00A54361">
        <w:rPr>
          <w:rFonts w:eastAsia="Times New Roman" w:cstheme="minorHAnsi"/>
        </w:rPr>
        <w:t>ss</w:t>
      </w:r>
      <w:r w:rsidRPr="00A54361">
        <w:rPr>
          <w:rFonts w:eastAsia="Times New Roman" w:cstheme="minorHAnsi"/>
          <w:spacing w:val="3"/>
        </w:rPr>
        <w:t xml:space="preserve"> </w:t>
      </w:r>
      <w:r w:rsidRPr="00A54361">
        <w:rPr>
          <w:rFonts w:eastAsia="Times New Roman" w:cstheme="minorHAnsi"/>
        </w:rPr>
        <w:t>d</w:t>
      </w:r>
      <w:r w:rsidRPr="00A54361">
        <w:rPr>
          <w:rFonts w:eastAsia="Times New Roman" w:cstheme="minorHAnsi"/>
          <w:spacing w:val="-1"/>
        </w:rPr>
        <w:t>ea</w:t>
      </w:r>
      <w:r w:rsidRPr="00A54361">
        <w:rPr>
          <w:rFonts w:eastAsia="Times New Roman" w:cstheme="minorHAnsi"/>
        </w:rPr>
        <w:t>l</w:t>
      </w:r>
      <w:r w:rsidRPr="00A54361">
        <w:rPr>
          <w:rFonts w:eastAsia="Times New Roman" w:cstheme="minorHAnsi"/>
          <w:spacing w:val="1"/>
        </w:rPr>
        <w:t>i</w:t>
      </w:r>
      <w:r w:rsidRPr="00A54361">
        <w:rPr>
          <w:rFonts w:eastAsia="Times New Roman" w:cstheme="minorHAnsi"/>
          <w:spacing w:val="2"/>
        </w:rPr>
        <w:t>n</w:t>
      </w:r>
      <w:r w:rsidRPr="00A54361">
        <w:rPr>
          <w:rFonts w:eastAsia="Times New Roman" w:cstheme="minorHAnsi"/>
          <w:spacing w:val="-2"/>
        </w:rPr>
        <w:t>g</w:t>
      </w:r>
      <w:r w:rsidRPr="00A54361">
        <w:rPr>
          <w:rFonts w:eastAsia="Times New Roman" w:cstheme="minorHAnsi"/>
        </w:rPr>
        <w:t>s</w:t>
      </w:r>
      <w:r w:rsidRPr="00A54361">
        <w:rPr>
          <w:rFonts w:eastAsia="Times New Roman" w:cstheme="minorHAnsi"/>
          <w:spacing w:val="5"/>
        </w:rPr>
        <w:t xml:space="preserve"> </w:t>
      </w:r>
      <w:r w:rsidRPr="00A54361">
        <w:rPr>
          <w:rFonts w:eastAsia="Times New Roman" w:cstheme="minorHAnsi"/>
        </w:rPr>
        <w:t>with</w:t>
      </w:r>
      <w:r w:rsidRPr="00A54361">
        <w:rPr>
          <w:rFonts w:eastAsia="Times New Roman" w:cstheme="minorHAnsi"/>
          <w:spacing w:val="3"/>
        </w:rPr>
        <w:t xml:space="preserve"> </w:t>
      </w:r>
      <w:r w:rsidRPr="00A54361">
        <w:rPr>
          <w:rFonts w:eastAsia="Times New Roman" w:cstheme="minorHAnsi"/>
          <w:spacing w:val="-1"/>
        </w:rPr>
        <w:t>a</w:t>
      </w:r>
      <w:r w:rsidRPr="00A54361">
        <w:rPr>
          <w:rFonts w:eastAsia="Times New Roman" w:cstheme="minorHAnsi"/>
          <w:spacing w:val="2"/>
        </w:rPr>
        <w:t>n</w:t>
      </w:r>
      <w:r w:rsidRPr="00A54361">
        <w:rPr>
          <w:rFonts w:eastAsia="Times New Roman" w:cstheme="minorHAnsi"/>
        </w:rPr>
        <w:t xml:space="preserve">y </w:t>
      </w:r>
      <w:r w:rsidRPr="00A54361">
        <w:rPr>
          <w:rFonts w:eastAsia="Times New Roman" w:cstheme="minorHAnsi"/>
          <w:spacing w:val="2"/>
        </w:rPr>
        <w:t>A</w:t>
      </w:r>
      <w:r w:rsidRPr="00A54361">
        <w:rPr>
          <w:rFonts w:eastAsia="Times New Roman" w:cstheme="minorHAnsi"/>
          <w:spacing w:val="-2"/>
        </w:rPr>
        <w:t>g</w:t>
      </w:r>
      <w:r w:rsidRPr="00A54361">
        <w:rPr>
          <w:rFonts w:eastAsia="Times New Roman" w:cstheme="minorHAnsi"/>
          <w:spacing w:val="-1"/>
        </w:rPr>
        <w:t>e</w:t>
      </w:r>
      <w:r w:rsidRPr="00A54361">
        <w:rPr>
          <w:rFonts w:eastAsia="Times New Roman" w:cstheme="minorHAnsi"/>
          <w:spacing w:val="2"/>
        </w:rPr>
        <w:t>n</w:t>
      </w:r>
      <w:r w:rsidRPr="00A54361">
        <w:rPr>
          <w:rFonts w:eastAsia="Times New Roman" w:cstheme="minorHAnsi"/>
          <w:spacing w:val="4"/>
        </w:rPr>
        <w:t>c</w:t>
      </w:r>
      <w:r w:rsidRPr="00A54361">
        <w:rPr>
          <w:rFonts w:eastAsia="Times New Roman" w:cstheme="minorHAnsi"/>
        </w:rPr>
        <w:t>y</w:t>
      </w:r>
      <w:r w:rsidRPr="00A54361">
        <w:rPr>
          <w:rFonts w:eastAsia="Times New Roman" w:cstheme="minorHAnsi"/>
          <w:spacing w:val="-3"/>
        </w:rPr>
        <w:t xml:space="preserve"> </w:t>
      </w:r>
      <w:r w:rsidRPr="00A54361">
        <w:rPr>
          <w:rFonts w:eastAsia="Times New Roman" w:cstheme="minorHAnsi"/>
        </w:rPr>
        <w:t>should</w:t>
      </w:r>
      <w:r w:rsidRPr="00A54361">
        <w:rPr>
          <w:rFonts w:eastAsia="Times New Roman" w:cstheme="minorHAnsi"/>
          <w:spacing w:val="5"/>
        </w:rPr>
        <w:t xml:space="preserve"> </w:t>
      </w:r>
      <w:r w:rsidRPr="00A54361">
        <w:rPr>
          <w:rFonts w:eastAsia="Times New Roman" w:cstheme="minorHAnsi"/>
        </w:rPr>
        <w:t>be</w:t>
      </w:r>
      <w:r w:rsidRPr="00A54361">
        <w:rPr>
          <w:rFonts w:eastAsia="Times New Roman" w:cstheme="minorHAnsi"/>
          <w:spacing w:val="1"/>
        </w:rPr>
        <w:t xml:space="preserve"> </w:t>
      </w:r>
      <w:r w:rsidRPr="00A54361">
        <w:rPr>
          <w:rFonts w:eastAsia="Times New Roman" w:cstheme="minorHAnsi"/>
        </w:rPr>
        <w:t>in</w:t>
      </w:r>
      <w:r w:rsidRPr="00A54361">
        <w:rPr>
          <w:rFonts w:eastAsia="Times New Roman" w:cstheme="minorHAnsi"/>
          <w:spacing w:val="1"/>
        </w:rPr>
        <w:t>i</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spacing w:val="-1"/>
        </w:rPr>
        <w:t>a</w:t>
      </w:r>
      <w:r w:rsidRPr="00A54361">
        <w:rPr>
          <w:rFonts w:eastAsia="Times New Roman" w:cstheme="minorHAnsi"/>
        </w:rPr>
        <w:t>ted</w:t>
      </w:r>
      <w:r w:rsidRPr="00A54361">
        <w:rPr>
          <w:rFonts w:eastAsia="Times New Roman" w:cstheme="minorHAnsi"/>
          <w:spacing w:val="2"/>
        </w:rPr>
        <w:t xml:space="preserve"> </w:t>
      </w:r>
      <w:r w:rsidRPr="00A54361">
        <w:rPr>
          <w:rFonts w:eastAsia="Times New Roman" w:cstheme="minorHAnsi"/>
          <w:spacing w:val="5"/>
        </w:rPr>
        <w:t>b</w:t>
      </w:r>
      <w:r w:rsidRPr="00A54361">
        <w:rPr>
          <w:rFonts w:eastAsia="Times New Roman" w:cstheme="minorHAnsi"/>
        </w:rPr>
        <w:t>y</w:t>
      </w:r>
      <w:r w:rsidRPr="00A54361">
        <w:rPr>
          <w:rFonts w:eastAsia="Times New Roman" w:cstheme="minorHAnsi"/>
          <w:spacing w:val="-3"/>
        </w:rPr>
        <w:t xml:space="preserve"> </w:t>
      </w:r>
      <w:r w:rsidRPr="00A54361">
        <w:rPr>
          <w:rFonts w:eastAsia="Times New Roman" w:cstheme="minorHAnsi"/>
        </w:rPr>
        <w:t>the d</w:t>
      </w:r>
      <w:r w:rsidRPr="00A54361">
        <w:rPr>
          <w:rFonts w:eastAsia="Times New Roman" w:cstheme="minorHAnsi"/>
          <w:spacing w:val="-1"/>
        </w:rPr>
        <w:t>e</w:t>
      </w:r>
      <w:r w:rsidRPr="00A54361">
        <w:rPr>
          <w:rFonts w:eastAsia="Times New Roman" w:cstheme="minorHAnsi"/>
        </w:rPr>
        <w:t>p</w:t>
      </w:r>
      <w:r w:rsidRPr="00A54361">
        <w:rPr>
          <w:rFonts w:eastAsia="Times New Roman" w:cstheme="minorHAnsi"/>
          <w:spacing w:val="-1"/>
        </w:rPr>
        <w:t>a</w:t>
      </w:r>
      <w:r w:rsidRPr="00A54361">
        <w:rPr>
          <w:rFonts w:eastAsia="Times New Roman" w:cstheme="minorHAnsi"/>
        </w:rPr>
        <w:t>rtm</w:t>
      </w:r>
      <w:r w:rsidRPr="00A54361">
        <w:rPr>
          <w:rFonts w:eastAsia="Times New Roman" w:cstheme="minorHAnsi"/>
          <w:spacing w:val="-1"/>
        </w:rPr>
        <w:t>e</w:t>
      </w:r>
      <w:r w:rsidRPr="00A54361">
        <w:rPr>
          <w:rFonts w:eastAsia="Times New Roman" w:cstheme="minorHAnsi"/>
        </w:rPr>
        <w:t>nt</w:t>
      </w:r>
      <w:r w:rsidRPr="00A54361">
        <w:rPr>
          <w:rFonts w:eastAsia="Times New Roman" w:cstheme="minorHAnsi"/>
          <w:spacing w:val="3"/>
        </w:rPr>
        <w:t xml:space="preserve"> </w:t>
      </w:r>
      <w:r w:rsidRPr="00A54361">
        <w:rPr>
          <w:rFonts w:eastAsia="Times New Roman" w:cstheme="minorHAnsi"/>
          <w:spacing w:val="2"/>
        </w:rPr>
        <w:t>h</w:t>
      </w:r>
      <w:r w:rsidRPr="00A54361">
        <w:rPr>
          <w:rFonts w:eastAsia="Times New Roman" w:cstheme="minorHAnsi"/>
          <w:spacing w:val="-1"/>
        </w:rPr>
        <w:t>a</w:t>
      </w:r>
      <w:r w:rsidRPr="00A54361">
        <w:rPr>
          <w:rFonts w:eastAsia="Times New Roman" w:cstheme="minorHAnsi"/>
        </w:rPr>
        <w:t>ving</w:t>
      </w:r>
      <w:r w:rsidRPr="00A54361">
        <w:rPr>
          <w:rFonts w:eastAsia="Times New Roman" w:cstheme="minorHAnsi"/>
          <w:spacing w:val="3"/>
        </w:rPr>
        <w:t xml:space="preserve"> </w:t>
      </w:r>
      <w:r w:rsidRPr="00A54361">
        <w:rPr>
          <w:rFonts w:eastAsia="Times New Roman" w:cstheme="minorHAnsi"/>
        </w:rPr>
        <w:t>busin</w:t>
      </w:r>
      <w:r w:rsidRPr="00A54361">
        <w:rPr>
          <w:rFonts w:eastAsia="Times New Roman" w:cstheme="minorHAnsi"/>
          <w:spacing w:val="-1"/>
        </w:rPr>
        <w:t>e</w:t>
      </w:r>
      <w:r w:rsidRPr="00A54361">
        <w:rPr>
          <w:rFonts w:eastAsia="Times New Roman" w:cstheme="minorHAnsi"/>
        </w:rPr>
        <w:t>ss</w:t>
      </w:r>
      <w:r w:rsidRPr="00A54361">
        <w:rPr>
          <w:rFonts w:eastAsia="Times New Roman" w:cstheme="minorHAnsi"/>
          <w:spacing w:val="3"/>
        </w:rPr>
        <w:t xml:space="preserve"> </w:t>
      </w:r>
      <w:r w:rsidRPr="00A54361">
        <w:rPr>
          <w:rFonts w:eastAsia="Times New Roman" w:cstheme="minorHAnsi"/>
        </w:rPr>
        <w:t>d</w:t>
      </w:r>
      <w:r w:rsidRPr="00A54361">
        <w:rPr>
          <w:rFonts w:eastAsia="Times New Roman" w:cstheme="minorHAnsi"/>
          <w:spacing w:val="-1"/>
        </w:rPr>
        <w:t>ea</w:t>
      </w:r>
      <w:r w:rsidRPr="00A54361">
        <w:rPr>
          <w:rFonts w:eastAsia="Times New Roman" w:cstheme="minorHAnsi"/>
        </w:rPr>
        <w:t>l</w:t>
      </w:r>
      <w:r w:rsidRPr="00A54361">
        <w:rPr>
          <w:rFonts w:eastAsia="Times New Roman" w:cstheme="minorHAnsi"/>
          <w:spacing w:val="1"/>
        </w:rPr>
        <w:t>i</w:t>
      </w:r>
      <w:r w:rsidRPr="00A54361">
        <w:rPr>
          <w:rFonts w:eastAsia="Times New Roman" w:cstheme="minorHAnsi"/>
          <w:spacing w:val="2"/>
        </w:rPr>
        <w:t>n</w:t>
      </w:r>
      <w:r w:rsidRPr="00A54361">
        <w:rPr>
          <w:rFonts w:eastAsia="Times New Roman" w:cstheme="minorHAnsi"/>
          <w:spacing w:val="-2"/>
        </w:rPr>
        <w:t>g</w:t>
      </w:r>
      <w:r w:rsidRPr="00A54361">
        <w:rPr>
          <w:rFonts w:eastAsia="Times New Roman" w:cstheme="minorHAnsi"/>
        </w:rPr>
        <w:t>s</w:t>
      </w:r>
      <w:r w:rsidRPr="00A54361">
        <w:rPr>
          <w:rFonts w:eastAsia="Times New Roman" w:cstheme="minorHAnsi"/>
          <w:spacing w:val="3"/>
        </w:rPr>
        <w:t xml:space="preserve"> </w:t>
      </w:r>
      <w:r w:rsidRPr="00A54361">
        <w:rPr>
          <w:rFonts w:eastAsia="Times New Roman" w:cstheme="minorHAnsi"/>
        </w:rPr>
        <w:t>with</w:t>
      </w:r>
      <w:r w:rsidRPr="00A54361">
        <w:rPr>
          <w:rFonts w:eastAsia="Times New Roman" w:cstheme="minorHAnsi"/>
          <w:spacing w:val="3"/>
        </w:rPr>
        <w:t xml:space="preserve"> </w:t>
      </w:r>
      <w:r w:rsidRPr="00A54361">
        <w:rPr>
          <w:rFonts w:eastAsia="Times New Roman" w:cstheme="minorHAnsi"/>
        </w:rPr>
        <w:t>t</w:t>
      </w:r>
      <w:r w:rsidRPr="00A54361">
        <w:rPr>
          <w:rFonts w:eastAsia="Times New Roman" w:cstheme="minorHAnsi"/>
          <w:spacing w:val="3"/>
        </w:rPr>
        <w:t>h</w:t>
      </w:r>
      <w:r w:rsidRPr="00A54361">
        <w:rPr>
          <w:rFonts w:eastAsia="Times New Roman" w:cstheme="minorHAnsi"/>
          <w:spacing w:val="-1"/>
        </w:rPr>
        <w:t>e</w:t>
      </w:r>
      <w:r w:rsidRPr="00A54361">
        <w:rPr>
          <w:rFonts w:eastAsia="Times New Roman" w:cstheme="minorHAnsi"/>
        </w:rPr>
        <w:t>m</w:t>
      </w:r>
      <w:r w:rsidRPr="00A54361">
        <w:rPr>
          <w:rFonts w:eastAsia="Times New Roman" w:cstheme="minorHAnsi"/>
          <w:spacing w:val="3"/>
        </w:rPr>
        <w:t xml:space="preserve"> </w:t>
      </w:r>
      <w:r w:rsidRPr="00A54361">
        <w:rPr>
          <w:rFonts w:eastAsia="Times New Roman" w:cstheme="minorHAnsi"/>
          <w:spacing w:val="-1"/>
        </w:rPr>
        <w:t>a</w:t>
      </w:r>
      <w:r w:rsidRPr="00A54361">
        <w:rPr>
          <w:rFonts w:eastAsia="Times New Roman" w:cstheme="minorHAnsi"/>
          <w:spacing w:val="1"/>
        </w:rPr>
        <w:t>f</w:t>
      </w:r>
      <w:r w:rsidRPr="00A54361">
        <w:rPr>
          <w:rFonts w:eastAsia="Times New Roman" w:cstheme="minorHAnsi"/>
        </w:rPr>
        <w:t>ter</w:t>
      </w:r>
      <w:r w:rsidRPr="00A54361">
        <w:rPr>
          <w:rFonts w:eastAsia="Times New Roman" w:cstheme="minorHAnsi"/>
          <w:spacing w:val="1"/>
        </w:rPr>
        <w:t xml:space="preserve"> </w:t>
      </w:r>
      <w:r w:rsidRPr="00A54361">
        <w:rPr>
          <w:rFonts w:eastAsia="Times New Roman" w:cstheme="minorHAnsi"/>
        </w:rPr>
        <w:t>not</w:t>
      </w:r>
      <w:r w:rsidRPr="00A54361">
        <w:rPr>
          <w:rFonts w:eastAsia="Times New Roman" w:cstheme="minorHAnsi"/>
          <w:spacing w:val="1"/>
        </w:rPr>
        <w:t>i</w:t>
      </w:r>
      <w:r w:rsidRPr="00A54361">
        <w:rPr>
          <w:rFonts w:eastAsia="Times New Roman" w:cstheme="minorHAnsi"/>
          <w:spacing w:val="-1"/>
        </w:rPr>
        <w:t>c</w:t>
      </w:r>
      <w:r w:rsidRPr="00A54361">
        <w:rPr>
          <w:rFonts w:eastAsia="Times New Roman" w:cstheme="minorHAnsi"/>
        </w:rPr>
        <w:t>i</w:t>
      </w:r>
      <w:r w:rsidRPr="00A54361">
        <w:rPr>
          <w:rFonts w:eastAsia="Times New Roman" w:cstheme="minorHAnsi"/>
          <w:spacing w:val="3"/>
        </w:rPr>
        <w:t>n</w:t>
      </w:r>
      <w:r w:rsidRPr="00A54361">
        <w:rPr>
          <w:rFonts w:eastAsia="Times New Roman" w:cstheme="minorHAnsi"/>
        </w:rPr>
        <w:t>g the</w:t>
      </w:r>
      <w:r w:rsidRPr="00A54361">
        <w:rPr>
          <w:rFonts w:eastAsia="Times New Roman" w:cstheme="minorHAnsi"/>
          <w:spacing w:val="4"/>
        </w:rPr>
        <w:t xml:space="preserve"> </w:t>
      </w:r>
      <w:r w:rsidRPr="00A54361">
        <w:rPr>
          <w:rFonts w:eastAsia="Times New Roman" w:cstheme="minorHAnsi"/>
        </w:rPr>
        <w:t>ir</w:t>
      </w:r>
      <w:r w:rsidRPr="00A54361">
        <w:rPr>
          <w:rFonts w:eastAsia="Times New Roman" w:cstheme="minorHAnsi"/>
          <w:spacing w:val="-1"/>
        </w:rPr>
        <w:t>r</w:t>
      </w:r>
      <w:r w:rsidRPr="00A54361">
        <w:rPr>
          <w:rFonts w:eastAsia="Times New Roman" w:cstheme="minorHAnsi"/>
          <w:spacing w:val="1"/>
        </w:rPr>
        <w:t>e</w:t>
      </w:r>
      <w:r w:rsidRPr="00A54361">
        <w:rPr>
          <w:rFonts w:eastAsia="Times New Roman" w:cstheme="minorHAnsi"/>
          <w:spacing w:val="-2"/>
        </w:rPr>
        <w:t>g</w:t>
      </w:r>
      <w:r w:rsidRPr="00A54361">
        <w:rPr>
          <w:rFonts w:eastAsia="Times New Roman" w:cstheme="minorHAnsi"/>
        </w:rPr>
        <w:t>ul</w:t>
      </w:r>
      <w:r w:rsidRPr="00A54361">
        <w:rPr>
          <w:rFonts w:eastAsia="Times New Roman" w:cstheme="minorHAnsi"/>
          <w:spacing w:val="2"/>
        </w:rPr>
        <w:t>a</w:t>
      </w:r>
      <w:r w:rsidRPr="00A54361">
        <w:rPr>
          <w:rFonts w:eastAsia="Times New Roman" w:cstheme="minorHAnsi"/>
        </w:rPr>
        <w:t>r</w:t>
      </w:r>
      <w:r w:rsidRPr="00A54361">
        <w:rPr>
          <w:rFonts w:eastAsia="Times New Roman" w:cstheme="minorHAnsi"/>
          <w:spacing w:val="2"/>
        </w:rPr>
        <w:t>i</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spacing w:val="-1"/>
        </w:rPr>
        <w:t>e</w:t>
      </w:r>
      <w:r w:rsidRPr="00A54361">
        <w:rPr>
          <w:rFonts w:eastAsia="Times New Roman" w:cstheme="minorHAnsi"/>
        </w:rPr>
        <w:t>s</w:t>
      </w:r>
      <w:r w:rsidRPr="00A54361">
        <w:rPr>
          <w:rFonts w:eastAsia="Times New Roman" w:cstheme="minorHAnsi"/>
          <w:spacing w:val="3"/>
        </w:rPr>
        <w:t xml:space="preserve"> </w:t>
      </w:r>
      <w:r w:rsidRPr="00A54361">
        <w:rPr>
          <w:rFonts w:eastAsia="Times New Roman" w:cstheme="minorHAnsi"/>
        </w:rPr>
        <w:t>or</w:t>
      </w:r>
      <w:r w:rsidRPr="00A54361">
        <w:rPr>
          <w:rFonts w:eastAsia="Times New Roman" w:cstheme="minorHAnsi"/>
          <w:spacing w:val="2"/>
        </w:rPr>
        <w:t xml:space="preserve"> </w:t>
      </w:r>
      <w:r w:rsidRPr="00A54361">
        <w:rPr>
          <w:rFonts w:eastAsia="Times New Roman" w:cstheme="minorHAnsi"/>
        </w:rPr>
        <w:t>m</w:t>
      </w:r>
      <w:r w:rsidRPr="00A54361">
        <w:rPr>
          <w:rFonts w:eastAsia="Times New Roman" w:cstheme="minorHAnsi"/>
          <w:spacing w:val="1"/>
        </w:rPr>
        <w:t>i</w:t>
      </w:r>
      <w:r w:rsidRPr="00A54361">
        <w:rPr>
          <w:rFonts w:eastAsia="Times New Roman" w:cstheme="minorHAnsi"/>
        </w:rPr>
        <w:t>s</w:t>
      </w:r>
      <w:r w:rsidRPr="00A54361">
        <w:rPr>
          <w:rFonts w:eastAsia="Times New Roman" w:cstheme="minorHAnsi"/>
          <w:spacing w:val="-1"/>
        </w:rPr>
        <w:t>c</w:t>
      </w:r>
      <w:r w:rsidRPr="00A54361">
        <w:rPr>
          <w:rFonts w:eastAsia="Times New Roman" w:cstheme="minorHAnsi"/>
        </w:rPr>
        <w:t>ondu</w:t>
      </w:r>
      <w:r w:rsidRPr="00A54361">
        <w:rPr>
          <w:rFonts w:eastAsia="Times New Roman" w:cstheme="minorHAnsi"/>
          <w:spacing w:val="-1"/>
        </w:rPr>
        <w:t>c</w:t>
      </w:r>
      <w:r w:rsidRPr="00A54361">
        <w:rPr>
          <w:rFonts w:eastAsia="Times New Roman" w:cstheme="minorHAnsi"/>
        </w:rPr>
        <w:t>t on</w:t>
      </w:r>
      <w:r w:rsidRPr="00A54361">
        <w:rPr>
          <w:rFonts w:eastAsia="Times New Roman" w:cstheme="minorHAnsi"/>
          <w:spacing w:val="-10"/>
        </w:rPr>
        <w:t xml:space="preserve"> </w:t>
      </w:r>
      <w:r w:rsidRPr="00A54361">
        <w:rPr>
          <w:rFonts w:eastAsia="Times New Roman" w:cstheme="minorHAnsi"/>
        </w:rPr>
        <w:t>their</w:t>
      </w:r>
      <w:r w:rsidRPr="00A54361">
        <w:rPr>
          <w:rFonts w:eastAsia="Times New Roman" w:cstheme="minorHAnsi"/>
          <w:spacing w:val="-10"/>
        </w:rPr>
        <w:t xml:space="preserve"> </w:t>
      </w:r>
      <w:r w:rsidRPr="00A54361">
        <w:rPr>
          <w:rFonts w:eastAsia="Times New Roman" w:cstheme="minorHAnsi"/>
        </w:rPr>
        <w:t>p</w:t>
      </w:r>
      <w:r w:rsidRPr="00A54361">
        <w:rPr>
          <w:rFonts w:eastAsia="Times New Roman" w:cstheme="minorHAnsi"/>
          <w:spacing w:val="-1"/>
        </w:rPr>
        <w:t>a</w:t>
      </w:r>
      <w:r w:rsidRPr="00A54361">
        <w:rPr>
          <w:rFonts w:eastAsia="Times New Roman" w:cstheme="minorHAnsi"/>
        </w:rPr>
        <w:t>rt.</w:t>
      </w:r>
      <w:r w:rsidRPr="00A54361">
        <w:rPr>
          <w:rFonts w:eastAsia="Times New Roman" w:cstheme="minorHAnsi"/>
          <w:spacing w:val="-10"/>
        </w:rPr>
        <w:t xml:space="preserve"> </w:t>
      </w:r>
      <w:r w:rsidRPr="00A54361">
        <w:rPr>
          <w:rFonts w:eastAsia="Times New Roman" w:cstheme="minorHAnsi"/>
          <w:spacing w:val="-2"/>
        </w:rPr>
        <w:t>B</w:t>
      </w:r>
      <w:r w:rsidRPr="00A54361">
        <w:rPr>
          <w:rFonts w:eastAsia="Times New Roman" w:cstheme="minorHAnsi"/>
          <w:spacing w:val="-1"/>
        </w:rPr>
        <w:t>e</w:t>
      </w:r>
      <w:r w:rsidRPr="00A54361">
        <w:rPr>
          <w:rFonts w:eastAsia="Times New Roman" w:cstheme="minorHAnsi"/>
        </w:rPr>
        <w:t>sides</w:t>
      </w:r>
      <w:r w:rsidRPr="00A54361">
        <w:rPr>
          <w:rFonts w:eastAsia="Times New Roman" w:cstheme="minorHAnsi"/>
          <w:spacing w:val="-10"/>
        </w:rPr>
        <w:t xml:space="preserve"> </w:t>
      </w:r>
      <w:r w:rsidRPr="00A54361">
        <w:rPr>
          <w:rFonts w:eastAsia="Times New Roman" w:cstheme="minorHAnsi"/>
        </w:rPr>
        <w:t>the</w:t>
      </w:r>
      <w:r w:rsidRPr="00A54361">
        <w:rPr>
          <w:rFonts w:eastAsia="Times New Roman" w:cstheme="minorHAnsi"/>
          <w:spacing w:val="-10"/>
        </w:rPr>
        <w:t xml:space="preserve"> </w:t>
      </w:r>
      <w:r w:rsidRPr="00A54361">
        <w:rPr>
          <w:rFonts w:eastAsia="Times New Roman" w:cstheme="minorHAnsi"/>
          <w:spacing w:val="-1"/>
        </w:rPr>
        <w:t>c</w:t>
      </w:r>
      <w:r w:rsidRPr="00A54361">
        <w:rPr>
          <w:rFonts w:eastAsia="Times New Roman" w:cstheme="minorHAnsi"/>
        </w:rPr>
        <w:t>on</w:t>
      </w:r>
      <w:r w:rsidRPr="00A54361">
        <w:rPr>
          <w:rFonts w:eastAsia="Times New Roman" w:cstheme="minorHAnsi"/>
          <w:spacing w:val="-1"/>
        </w:rPr>
        <w:t>ce</w:t>
      </w:r>
      <w:r w:rsidRPr="00A54361">
        <w:rPr>
          <w:rFonts w:eastAsia="Times New Roman" w:cstheme="minorHAnsi"/>
        </w:rPr>
        <w:t>r</w:t>
      </w:r>
      <w:r w:rsidRPr="00A54361">
        <w:rPr>
          <w:rFonts w:eastAsia="Times New Roman" w:cstheme="minorHAnsi"/>
          <w:spacing w:val="1"/>
        </w:rPr>
        <w:t>n</w:t>
      </w:r>
      <w:r w:rsidRPr="00A54361">
        <w:rPr>
          <w:rFonts w:eastAsia="Times New Roman" w:cstheme="minorHAnsi"/>
          <w:spacing w:val="-1"/>
        </w:rPr>
        <w:t>e</w:t>
      </w:r>
      <w:r w:rsidRPr="00A54361">
        <w:rPr>
          <w:rFonts w:eastAsia="Times New Roman" w:cstheme="minorHAnsi"/>
        </w:rPr>
        <w:t>d</w:t>
      </w:r>
      <w:r w:rsidRPr="00A54361">
        <w:rPr>
          <w:rFonts w:eastAsia="Times New Roman" w:cstheme="minorHAnsi"/>
          <w:spacing w:val="-12"/>
        </w:rPr>
        <w:t xml:space="preserve"> </w:t>
      </w:r>
      <w:r w:rsidRPr="00A54361">
        <w:rPr>
          <w:rFonts w:eastAsia="Times New Roman" w:cstheme="minorHAnsi"/>
          <w:spacing w:val="2"/>
        </w:rPr>
        <w:t>d</w:t>
      </w:r>
      <w:r w:rsidRPr="00A54361">
        <w:rPr>
          <w:rFonts w:eastAsia="Times New Roman" w:cstheme="minorHAnsi"/>
          <w:spacing w:val="-1"/>
        </w:rPr>
        <w:t>e</w:t>
      </w:r>
      <w:r w:rsidRPr="00A54361">
        <w:rPr>
          <w:rFonts w:eastAsia="Times New Roman" w:cstheme="minorHAnsi"/>
        </w:rPr>
        <w:t>p</w:t>
      </w:r>
      <w:r w:rsidRPr="00A54361">
        <w:rPr>
          <w:rFonts w:eastAsia="Times New Roman" w:cstheme="minorHAnsi"/>
          <w:spacing w:val="-1"/>
        </w:rPr>
        <w:t>a</w:t>
      </w:r>
      <w:r w:rsidRPr="00A54361">
        <w:rPr>
          <w:rFonts w:eastAsia="Times New Roman" w:cstheme="minorHAnsi"/>
        </w:rPr>
        <w:t>rtm</w:t>
      </w:r>
      <w:r w:rsidRPr="00A54361">
        <w:rPr>
          <w:rFonts w:eastAsia="Times New Roman" w:cstheme="minorHAnsi"/>
          <w:spacing w:val="-1"/>
        </w:rPr>
        <w:t>e</w:t>
      </w:r>
      <w:r w:rsidRPr="00A54361">
        <w:rPr>
          <w:rFonts w:eastAsia="Times New Roman" w:cstheme="minorHAnsi"/>
        </w:rPr>
        <w:t>nt,</w:t>
      </w:r>
      <w:r w:rsidRPr="00A54361">
        <w:rPr>
          <w:rFonts w:eastAsia="Times New Roman" w:cstheme="minorHAnsi"/>
          <w:spacing w:val="-9"/>
        </w:rPr>
        <w:t xml:space="preserve"> </w:t>
      </w:r>
      <w:r w:rsidRPr="00A54361">
        <w:rPr>
          <w:rFonts w:eastAsia="Times New Roman" w:cstheme="minorHAnsi"/>
          <w:spacing w:val="2"/>
        </w:rPr>
        <w:t>V</w:t>
      </w:r>
      <w:r w:rsidRPr="00A54361">
        <w:rPr>
          <w:rFonts w:eastAsia="Times New Roman" w:cstheme="minorHAnsi"/>
        </w:rPr>
        <w:t>i</w:t>
      </w:r>
      <w:r w:rsidRPr="00A54361">
        <w:rPr>
          <w:rFonts w:eastAsia="Times New Roman" w:cstheme="minorHAnsi"/>
          <w:spacing w:val="-2"/>
        </w:rPr>
        <w:t>g</w:t>
      </w:r>
      <w:r w:rsidRPr="00A54361">
        <w:rPr>
          <w:rFonts w:eastAsia="Times New Roman" w:cstheme="minorHAnsi"/>
        </w:rPr>
        <w:t>i</w:t>
      </w:r>
      <w:r w:rsidRPr="00A54361">
        <w:rPr>
          <w:rFonts w:eastAsia="Times New Roman" w:cstheme="minorHAnsi"/>
          <w:spacing w:val="1"/>
        </w:rPr>
        <w:t>l</w:t>
      </w:r>
      <w:r w:rsidRPr="00A54361">
        <w:rPr>
          <w:rFonts w:eastAsia="Times New Roman" w:cstheme="minorHAnsi"/>
          <w:spacing w:val="-1"/>
        </w:rPr>
        <w:t>a</w:t>
      </w:r>
      <w:r w:rsidRPr="00A54361">
        <w:rPr>
          <w:rFonts w:eastAsia="Times New Roman" w:cstheme="minorHAnsi"/>
        </w:rPr>
        <w:t>n</w:t>
      </w:r>
      <w:r w:rsidRPr="00A54361">
        <w:rPr>
          <w:rFonts w:eastAsia="Times New Roman" w:cstheme="minorHAnsi"/>
          <w:spacing w:val="1"/>
        </w:rPr>
        <w:t>c</w:t>
      </w:r>
      <w:r w:rsidRPr="00A54361">
        <w:rPr>
          <w:rFonts w:eastAsia="Times New Roman" w:cstheme="minorHAnsi"/>
        </w:rPr>
        <w:t>e</w:t>
      </w:r>
      <w:r w:rsidRPr="00A54361">
        <w:rPr>
          <w:rFonts w:eastAsia="Times New Roman" w:cstheme="minorHAnsi"/>
          <w:spacing w:val="-11"/>
        </w:rPr>
        <w:t xml:space="preserve"> </w:t>
      </w:r>
      <w:r w:rsidRPr="00A54361">
        <w:rPr>
          <w:rFonts w:eastAsia="Times New Roman" w:cstheme="minorHAnsi"/>
          <w:spacing w:val="2"/>
        </w:rPr>
        <w:t>D</w:t>
      </w:r>
      <w:r w:rsidRPr="00A54361">
        <w:rPr>
          <w:rFonts w:eastAsia="Times New Roman" w:cstheme="minorHAnsi"/>
          <w:spacing w:val="-1"/>
        </w:rPr>
        <w:t>e</w:t>
      </w:r>
      <w:r w:rsidRPr="00A54361">
        <w:rPr>
          <w:rFonts w:eastAsia="Times New Roman" w:cstheme="minorHAnsi"/>
        </w:rPr>
        <w:t>p</w:t>
      </w:r>
      <w:r w:rsidRPr="00A54361">
        <w:rPr>
          <w:rFonts w:eastAsia="Times New Roman" w:cstheme="minorHAnsi"/>
          <w:spacing w:val="-1"/>
        </w:rPr>
        <w:t>a</w:t>
      </w:r>
      <w:r w:rsidRPr="00A54361">
        <w:rPr>
          <w:rFonts w:eastAsia="Times New Roman" w:cstheme="minorHAnsi"/>
        </w:rPr>
        <w:t>rtm</w:t>
      </w:r>
      <w:r w:rsidRPr="00A54361">
        <w:rPr>
          <w:rFonts w:eastAsia="Times New Roman" w:cstheme="minorHAnsi"/>
          <w:spacing w:val="-1"/>
        </w:rPr>
        <w:t>e</w:t>
      </w:r>
      <w:r w:rsidRPr="00A54361">
        <w:rPr>
          <w:rFonts w:eastAsia="Times New Roman" w:cstheme="minorHAnsi"/>
        </w:rPr>
        <w:t>nt</w:t>
      </w:r>
      <w:r w:rsidRPr="00A54361">
        <w:rPr>
          <w:rFonts w:eastAsia="Times New Roman" w:cstheme="minorHAnsi"/>
          <w:spacing w:val="-9"/>
        </w:rPr>
        <w:t xml:space="preserve"> </w:t>
      </w:r>
      <w:r w:rsidRPr="00A54361">
        <w:rPr>
          <w:rFonts w:eastAsia="Times New Roman" w:cstheme="minorHAnsi"/>
        </w:rPr>
        <w:t>of</w:t>
      </w:r>
      <w:r w:rsidRPr="00A54361">
        <w:rPr>
          <w:rFonts w:eastAsia="Times New Roman" w:cstheme="minorHAnsi"/>
          <w:spacing w:val="-10"/>
        </w:rPr>
        <w:t xml:space="preserve"> </w:t>
      </w:r>
      <w:r w:rsidRPr="00A54361">
        <w:rPr>
          <w:rFonts w:eastAsia="Times New Roman" w:cstheme="minorHAnsi"/>
          <w:spacing w:val="-1"/>
        </w:rPr>
        <w:t>e</w:t>
      </w:r>
      <w:r w:rsidRPr="00A54361">
        <w:rPr>
          <w:rFonts w:eastAsia="Times New Roman" w:cstheme="minorHAnsi"/>
          <w:spacing w:val="1"/>
        </w:rPr>
        <w:t>a</w:t>
      </w:r>
      <w:r w:rsidRPr="00A54361">
        <w:rPr>
          <w:rFonts w:eastAsia="Times New Roman" w:cstheme="minorHAnsi"/>
          <w:spacing w:val="-1"/>
        </w:rPr>
        <w:t>c</w:t>
      </w:r>
      <w:r w:rsidRPr="00A54361">
        <w:rPr>
          <w:rFonts w:eastAsia="Times New Roman" w:cstheme="minorHAnsi"/>
        </w:rPr>
        <w:t>h</w:t>
      </w:r>
      <w:r w:rsidRPr="00A54361">
        <w:rPr>
          <w:rFonts w:eastAsia="Times New Roman" w:cstheme="minorHAnsi"/>
          <w:spacing w:val="-10"/>
        </w:rPr>
        <w:t xml:space="preserve"> </w:t>
      </w:r>
      <w:r w:rsidRPr="00A54361">
        <w:rPr>
          <w:rFonts w:eastAsia="Times New Roman" w:cstheme="minorHAnsi"/>
        </w:rPr>
        <w:t>Unit</w:t>
      </w:r>
      <w:r w:rsidRPr="00A54361">
        <w:rPr>
          <w:rFonts w:eastAsia="Times New Roman" w:cstheme="minorHAnsi"/>
          <w:spacing w:val="-12"/>
        </w:rPr>
        <w:t xml:space="preserve"> </w:t>
      </w:r>
      <w:r w:rsidRPr="00A54361">
        <w:rPr>
          <w:rFonts w:eastAsia="Times New Roman" w:cstheme="minorHAnsi"/>
        </w:rPr>
        <w:t>/</w:t>
      </w:r>
      <w:r w:rsidRPr="00A54361">
        <w:rPr>
          <w:rFonts w:eastAsia="Times New Roman" w:cstheme="minorHAnsi"/>
          <w:spacing w:val="1"/>
        </w:rPr>
        <w:t>C</w:t>
      </w:r>
      <w:r w:rsidRPr="00A54361">
        <w:rPr>
          <w:rFonts w:eastAsia="Times New Roman" w:cstheme="minorHAnsi"/>
        </w:rPr>
        <w:t>orpo</w:t>
      </w:r>
      <w:r w:rsidRPr="00A54361">
        <w:rPr>
          <w:rFonts w:eastAsia="Times New Roman" w:cstheme="minorHAnsi"/>
          <w:spacing w:val="-1"/>
        </w:rPr>
        <w:t>ra</w:t>
      </w:r>
      <w:r w:rsidRPr="00A54361">
        <w:rPr>
          <w:rFonts w:eastAsia="Times New Roman" w:cstheme="minorHAnsi"/>
        </w:rPr>
        <w:t>te Vi</w:t>
      </w:r>
      <w:r w:rsidRPr="00A54361">
        <w:rPr>
          <w:rFonts w:eastAsia="Times New Roman" w:cstheme="minorHAnsi"/>
          <w:spacing w:val="-2"/>
        </w:rPr>
        <w:t>g</w:t>
      </w:r>
      <w:r w:rsidRPr="00A54361">
        <w:rPr>
          <w:rFonts w:eastAsia="Times New Roman" w:cstheme="minorHAnsi"/>
        </w:rPr>
        <w:t>i</w:t>
      </w:r>
      <w:r w:rsidRPr="00A54361">
        <w:rPr>
          <w:rFonts w:eastAsia="Times New Roman" w:cstheme="minorHAnsi"/>
          <w:spacing w:val="1"/>
        </w:rPr>
        <w:t>l</w:t>
      </w:r>
      <w:r w:rsidRPr="00A54361">
        <w:rPr>
          <w:rFonts w:eastAsia="Times New Roman" w:cstheme="minorHAnsi"/>
          <w:spacing w:val="-1"/>
        </w:rPr>
        <w:t>a</w:t>
      </w:r>
      <w:r w:rsidRPr="00A54361">
        <w:rPr>
          <w:rFonts w:eastAsia="Times New Roman" w:cstheme="minorHAnsi"/>
        </w:rPr>
        <w:t>n</w:t>
      </w:r>
      <w:r w:rsidRPr="00A54361">
        <w:rPr>
          <w:rFonts w:eastAsia="Times New Roman" w:cstheme="minorHAnsi"/>
          <w:spacing w:val="1"/>
        </w:rPr>
        <w:t>c</w:t>
      </w:r>
      <w:r w:rsidRPr="00A54361">
        <w:rPr>
          <w:rFonts w:eastAsia="Times New Roman" w:cstheme="minorHAnsi"/>
        </w:rPr>
        <w:t>e</w:t>
      </w:r>
      <w:r w:rsidRPr="00A54361">
        <w:rPr>
          <w:rFonts w:eastAsia="Times New Roman" w:cstheme="minorHAnsi"/>
          <w:spacing w:val="-1"/>
        </w:rPr>
        <w:t xml:space="preserve"> </w:t>
      </w:r>
      <w:r w:rsidRPr="00A54361">
        <w:rPr>
          <w:rFonts w:eastAsia="Times New Roman" w:cstheme="minorHAnsi"/>
        </w:rPr>
        <w:t>m</w:t>
      </w:r>
      <w:r w:rsidRPr="00A54361">
        <w:rPr>
          <w:rFonts w:eastAsia="Times New Roman" w:cstheme="minorHAnsi"/>
          <w:spacing w:val="4"/>
        </w:rPr>
        <w:t>a</w:t>
      </w:r>
      <w:r w:rsidRPr="00A54361">
        <w:rPr>
          <w:rFonts w:eastAsia="Times New Roman" w:cstheme="minorHAnsi"/>
        </w:rPr>
        <w:t>y</w:t>
      </w:r>
      <w:r w:rsidRPr="00A54361">
        <w:rPr>
          <w:rFonts w:eastAsia="Times New Roman" w:cstheme="minorHAnsi"/>
          <w:spacing w:val="-5"/>
        </w:rPr>
        <w:t xml:space="preserve"> </w:t>
      </w:r>
      <w:r w:rsidRPr="00A54361">
        <w:rPr>
          <w:rFonts w:eastAsia="Times New Roman" w:cstheme="minorHAnsi"/>
          <w:spacing w:val="-1"/>
        </w:rPr>
        <w:t>a</w:t>
      </w:r>
      <w:r w:rsidRPr="00A54361">
        <w:rPr>
          <w:rFonts w:eastAsia="Times New Roman" w:cstheme="minorHAnsi"/>
        </w:rPr>
        <w:t>lso be</w:t>
      </w:r>
      <w:r w:rsidRPr="00A54361">
        <w:rPr>
          <w:rFonts w:eastAsia="Times New Roman" w:cstheme="minorHAnsi"/>
          <w:spacing w:val="2"/>
        </w:rPr>
        <w:t xml:space="preserve"> </w:t>
      </w:r>
      <w:r w:rsidRPr="00A54361">
        <w:rPr>
          <w:rFonts w:eastAsia="Times New Roman" w:cstheme="minorHAnsi"/>
          <w:spacing w:val="-1"/>
        </w:rPr>
        <w:t>c</w:t>
      </w:r>
      <w:r w:rsidRPr="00A54361">
        <w:rPr>
          <w:rFonts w:eastAsia="Times New Roman" w:cstheme="minorHAnsi"/>
          <w:spacing w:val="2"/>
        </w:rPr>
        <w:t>o</w:t>
      </w:r>
      <w:r w:rsidRPr="00A54361">
        <w:rPr>
          <w:rFonts w:eastAsia="Times New Roman" w:cstheme="minorHAnsi"/>
        </w:rPr>
        <w:t>mpet</w:t>
      </w:r>
      <w:r w:rsidRPr="00A54361">
        <w:rPr>
          <w:rFonts w:eastAsia="Times New Roman" w:cstheme="minorHAnsi"/>
          <w:spacing w:val="-1"/>
        </w:rPr>
        <w:t>e</w:t>
      </w:r>
      <w:r w:rsidRPr="00A54361">
        <w:rPr>
          <w:rFonts w:eastAsia="Times New Roman" w:cstheme="minorHAnsi"/>
        </w:rPr>
        <w:t xml:space="preserve">nt </w:t>
      </w:r>
      <w:r w:rsidRPr="00A54361">
        <w:rPr>
          <w:rFonts w:eastAsia="Times New Roman" w:cstheme="minorHAnsi"/>
          <w:spacing w:val="1"/>
        </w:rPr>
        <w:t>t</w:t>
      </w:r>
      <w:r w:rsidRPr="00A54361">
        <w:rPr>
          <w:rFonts w:eastAsia="Times New Roman" w:cstheme="minorHAnsi"/>
        </w:rPr>
        <w:t xml:space="preserve">o </w:t>
      </w:r>
      <w:r w:rsidRPr="00A54361">
        <w:rPr>
          <w:rFonts w:eastAsia="Times New Roman" w:cstheme="minorHAnsi"/>
          <w:spacing w:val="-1"/>
        </w:rPr>
        <w:t>a</w:t>
      </w:r>
      <w:r w:rsidRPr="00A54361">
        <w:rPr>
          <w:rFonts w:eastAsia="Times New Roman" w:cstheme="minorHAnsi"/>
        </w:rPr>
        <w:t>dvise su</w:t>
      </w:r>
      <w:r w:rsidRPr="00A54361">
        <w:rPr>
          <w:rFonts w:eastAsia="Times New Roman" w:cstheme="minorHAnsi"/>
          <w:spacing w:val="-1"/>
        </w:rPr>
        <w:t>c</w:t>
      </w:r>
      <w:r w:rsidRPr="00A54361">
        <w:rPr>
          <w:rFonts w:eastAsia="Times New Roman" w:cstheme="minorHAnsi"/>
        </w:rPr>
        <w:t xml:space="preserve">h </w:t>
      </w:r>
      <w:r w:rsidRPr="00A54361">
        <w:rPr>
          <w:rFonts w:eastAsia="Times New Roman" w:cstheme="minorHAnsi"/>
          <w:spacing w:val="1"/>
        </w:rPr>
        <w:t>a</w:t>
      </w:r>
      <w:r w:rsidRPr="00A54361">
        <w:rPr>
          <w:rFonts w:eastAsia="Times New Roman" w:cstheme="minorHAnsi"/>
          <w:spacing w:val="-1"/>
        </w:rPr>
        <w:t>c</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on.</w:t>
      </w:r>
    </w:p>
    <w:p w14:paraId="03422F07" w14:textId="77777777" w:rsidR="0054549F" w:rsidRPr="00A54361" w:rsidRDefault="0054549F" w:rsidP="00A54361">
      <w:pPr>
        <w:ind w:left="100" w:right="5585" w:hanging="384"/>
        <w:jc w:val="both"/>
        <w:rPr>
          <w:rFonts w:cstheme="minorHAnsi"/>
        </w:rPr>
      </w:pPr>
      <w:r w:rsidRPr="00A54361">
        <w:rPr>
          <w:rFonts w:eastAsia="Times New Roman" w:cstheme="minorHAnsi"/>
          <w:b/>
        </w:rPr>
        <w:t xml:space="preserve">5. </w:t>
      </w:r>
      <w:r w:rsidRPr="00A54361">
        <w:rPr>
          <w:rFonts w:eastAsia="Times New Roman" w:cstheme="minorHAnsi"/>
          <w:b/>
          <w:spacing w:val="1"/>
        </w:rPr>
        <w:t>Su</w:t>
      </w:r>
      <w:r w:rsidRPr="00A54361">
        <w:rPr>
          <w:rFonts w:eastAsia="Times New Roman" w:cstheme="minorHAnsi"/>
          <w:b/>
        </w:rPr>
        <w:t>s</w:t>
      </w:r>
      <w:r w:rsidRPr="00A54361">
        <w:rPr>
          <w:rFonts w:eastAsia="Times New Roman" w:cstheme="minorHAnsi"/>
          <w:b/>
          <w:spacing w:val="1"/>
        </w:rPr>
        <w:t>p</w:t>
      </w:r>
      <w:r w:rsidRPr="00A54361">
        <w:rPr>
          <w:rFonts w:eastAsia="Times New Roman" w:cstheme="minorHAnsi"/>
          <w:b/>
          <w:spacing w:val="-1"/>
        </w:rPr>
        <w:t>e</w:t>
      </w:r>
      <w:r w:rsidRPr="00A54361">
        <w:rPr>
          <w:rFonts w:eastAsia="Times New Roman" w:cstheme="minorHAnsi"/>
          <w:b/>
          <w:spacing w:val="1"/>
        </w:rPr>
        <w:t>n</w:t>
      </w:r>
      <w:r w:rsidRPr="00A54361">
        <w:rPr>
          <w:rFonts w:eastAsia="Times New Roman" w:cstheme="minorHAnsi"/>
          <w:b/>
          <w:spacing w:val="-2"/>
        </w:rPr>
        <w:t>s</w:t>
      </w:r>
      <w:r w:rsidRPr="00A54361">
        <w:rPr>
          <w:rFonts w:eastAsia="Times New Roman" w:cstheme="minorHAnsi"/>
          <w:b/>
        </w:rPr>
        <w:t>ion</w:t>
      </w:r>
      <w:r w:rsidRPr="00A54361">
        <w:rPr>
          <w:rFonts w:eastAsia="Times New Roman" w:cstheme="minorHAnsi"/>
          <w:b/>
          <w:spacing w:val="1"/>
        </w:rPr>
        <w:t xml:space="preserve"> </w:t>
      </w:r>
      <w:r w:rsidRPr="00A54361">
        <w:rPr>
          <w:rFonts w:eastAsia="Times New Roman" w:cstheme="minorHAnsi"/>
          <w:b/>
          <w:spacing w:val="-2"/>
        </w:rPr>
        <w:t>o</w:t>
      </w:r>
      <w:r w:rsidRPr="00A54361">
        <w:rPr>
          <w:rFonts w:eastAsia="Times New Roman" w:cstheme="minorHAnsi"/>
          <w:b/>
        </w:rPr>
        <w:t>f</w:t>
      </w:r>
      <w:r w:rsidRPr="00A54361">
        <w:rPr>
          <w:rFonts w:eastAsia="Times New Roman" w:cstheme="minorHAnsi"/>
          <w:b/>
          <w:spacing w:val="1"/>
        </w:rPr>
        <w:t xml:space="preserve"> </w:t>
      </w:r>
      <w:r w:rsidRPr="00A54361">
        <w:rPr>
          <w:rFonts w:eastAsia="Times New Roman" w:cstheme="minorHAnsi"/>
          <w:b/>
        </w:rPr>
        <w:t>B</w:t>
      </w:r>
      <w:r w:rsidRPr="00A54361">
        <w:rPr>
          <w:rFonts w:eastAsia="Times New Roman" w:cstheme="minorHAnsi"/>
          <w:b/>
          <w:spacing w:val="1"/>
        </w:rPr>
        <w:t>u</w:t>
      </w:r>
      <w:r w:rsidRPr="00A54361">
        <w:rPr>
          <w:rFonts w:eastAsia="Times New Roman" w:cstheme="minorHAnsi"/>
          <w:b/>
          <w:spacing w:val="-2"/>
        </w:rPr>
        <w:t>s</w:t>
      </w:r>
      <w:r w:rsidRPr="00A54361">
        <w:rPr>
          <w:rFonts w:eastAsia="Times New Roman" w:cstheme="minorHAnsi"/>
          <w:b/>
        </w:rPr>
        <w:t>i</w:t>
      </w:r>
      <w:r w:rsidRPr="00A54361">
        <w:rPr>
          <w:rFonts w:eastAsia="Times New Roman" w:cstheme="minorHAnsi"/>
          <w:b/>
          <w:spacing w:val="1"/>
        </w:rPr>
        <w:t>n</w:t>
      </w:r>
      <w:r w:rsidRPr="00A54361">
        <w:rPr>
          <w:rFonts w:eastAsia="Times New Roman" w:cstheme="minorHAnsi"/>
          <w:b/>
          <w:spacing w:val="-3"/>
        </w:rPr>
        <w:t>e</w:t>
      </w:r>
      <w:r w:rsidRPr="00A54361">
        <w:rPr>
          <w:rFonts w:eastAsia="Times New Roman" w:cstheme="minorHAnsi"/>
          <w:b/>
        </w:rPr>
        <w:t>ss D</w:t>
      </w:r>
      <w:r w:rsidRPr="00A54361">
        <w:rPr>
          <w:rFonts w:eastAsia="Times New Roman" w:cstheme="minorHAnsi"/>
          <w:b/>
          <w:spacing w:val="-1"/>
        </w:rPr>
        <w:t>e</w:t>
      </w:r>
      <w:r w:rsidRPr="00A54361">
        <w:rPr>
          <w:rFonts w:eastAsia="Times New Roman" w:cstheme="minorHAnsi"/>
          <w:b/>
        </w:rPr>
        <w:t>al</w:t>
      </w:r>
      <w:r w:rsidRPr="00A54361">
        <w:rPr>
          <w:rFonts w:eastAsia="Times New Roman" w:cstheme="minorHAnsi"/>
          <w:b/>
          <w:spacing w:val="1"/>
        </w:rPr>
        <w:t>in</w:t>
      </w:r>
      <w:r w:rsidRPr="00A54361">
        <w:rPr>
          <w:rFonts w:eastAsia="Times New Roman" w:cstheme="minorHAnsi"/>
          <w:b/>
        </w:rPr>
        <w:t>gs</w:t>
      </w:r>
    </w:p>
    <w:p w14:paraId="1D12C6A8" w14:textId="77777777" w:rsidR="0054549F" w:rsidRPr="00A54361" w:rsidRDefault="0054549F" w:rsidP="00A54361">
      <w:pPr>
        <w:spacing w:line="260" w:lineRule="exact"/>
        <w:ind w:left="100" w:right="91"/>
        <w:jc w:val="both"/>
        <w:rPr>
          <w:rFonts w:cstheme="minorHAnsi"/>
        </w:rPr>
      </w:pPr>
      <w:r w:rsidRPr="00A54361">
        <w:rPr>
          <w:rFonts w:eastAsia="Times New Roman" w:cstheme="minorHAnsi"/>
        </w:rPr>
        <w:t>5.1</w:t>
      </w:r>
      <w:r w:rsidRPr="00A54361">
        <w:rPr>
          <w:rFonts w:eastAsia="Times New Roman" w:cstheme="minorHAnsi"/>
          <w:spacing w:val="57"/>
        </w:rPr>
        <w:t xml:space="preserve"> </w:t>
      </w:r>
      <w:r w:rsidRPr="00A54361">
        <w:rPr>
          <w:rFonts w:eastAsia="Times New Roman" w:cstheme="minorHAnsi"/>
          <w:spacing w:val="-6"/>
        </w:rPr>
        <w:t>I</w:t>
      </w:r>
      <w:r w:rsidRPr="00A54361">
        <w:rPr>
          <w:rFonts w:eastAsia="Times New Roman" w:cstheme="minorHAnsi"/>
        </w:rPr>
        <w:t>f</w:t>
      </w:r>
      <w:r w:rsidRPr="00A54361">
        <w:rPr>
          <w:rFonts w:eastAsia="Times New Roman" w:cstheme="minorHAnsi"/>
          <w:spacing w:val="54"/>
        </w:rPr>
        <w:t xml:space="preserve"> </w:t>
      </w:r>
      <w:r w:rsidRPr="00A54361">
        <w:rPr>
          <w:rFonts w:eastAsia="Times New Roman" w:cstheme="minorHAnsi"/>
        </w:rPr>
        <w:t>t</w:t>
      </w:r>
      <w:r w:rsidRPr="00A54361">
        <w:rPr>
          <w:rFonts w:eastAsia="Times New Roman" w:cstheme="minorHAnsi"/>
          <w:spacing w:val="3"/>
        </w:rPr>
        <w:t>h</w:t>
      </w:r>
      <w:r w:rsidRPr="00A54361">
        <w:rPr>
          <w:rFonts w:eastAsia="Times New Roman" w:cstheme="minorHAnsi"/>
        </w:rPr>
        <w:t>e</w:t>
      </w:r>
      <w:r w:rsidRPr="00A54361">
        <w:rPr>
          <w:rFonts w:eastAsia="Times New Roman" w:cstheme="minorHAnsi"/>
          <w:spacing w:val="54"/>
        </w:rPr>
        <w:t xml:space="preserve"> </w:t>
      </w:r>
      <w:r w:rsidRPr="00A54361">
        <w:rPr>
          <w:rFonts w:eastAsia="Times New Roman" w:cstheme="minorHAnsi"/>
          <w:spacing w:val="-1"/>
        </w:rPr>
        <w:t>c</w:t>
      </w:r>
      <w:r w:rsidRPr="00A54361">
        <w:rPr>
          <w:rFonts w:eastAsia="Times New Roman" w:cstheme="minorHAnsi"/>
        </w:rPr>
        <w:t>ondu</w:t>
      </w:r>
      <w:r w:rsidRPr="00A54361">
        <w:rPr>
          <w:rFonts w:eastAsia="Times New Roman" w:cstheme="minorHAnsi"/>
          <w:spacing w:val="-1"/>
        </w:rPr>
        <w:t>c</w:t>
      </w:r>
      <w:r w:rsidRPr="00A54361">
        <w:rPr>
          <w:rFonts w:eastAsia="Times New Roman" w:cstheme="minorHAnsi"/>
        </w:rPr>
        <w:t>t</w:t>
      </w:r>
      <w:r w:rsidRPr="00A54361">
        <w:rPr>
          <w:rFonts w:eastAsia="Times New Roman" w:cstheme="minorHAnsi"/>
          <w:spacing w:val="55"/>
        </w:rPr>
        <w:t xml:space="preserve"> </w:t>
      </w:r>
      <w:r w:rsidRPr="00A54361">
        <w:rPr>
          <w:rFonts w:eastAsia="Times New Roman" w:cstheme="minorHAnsi"/>
        </w:rPr>
        <w:t>of</w:t>
      </w:r>
      <w:r w:rsidRPr="00A54361">
        <w:rPr>
          <w:rFonts w:eastAsia="Times New Roman" w:cstheme="minorHAnsi"/>
          <w:spacing w:val="54"/>
        </w:rPr>
        <w:t xml:space="preserve"> </w:t>
      </w:r>
      <w:r w:rsidRPr="00A54361">
        <w:rPr>
          <w:rFonts w:eastAsia="Times New Roman" w:cstheme="minorHAnsi"/>
          <w:spacing w:val="1"/>
        </w:rPr>
        <w:t>a</w:t>
      </w:r>
      <w:r w:rsidRPr="00A54361">
        <w:rPr>
          <w:rFonts w:eastAsia="Times New Roman" w:cstheme="minorHAnsi"/>
          <w:spacing w:val="2"/>
        </w:rPr>
        <w:t>n</w:t>
      </w:r>
      <w:r w:rsidRPr="00A54361">
        <w:rPr>
          <w:rFonts w:eastAsia="Times New Roman" w:cstheme="minorHAnsi"/>
        </w:rPr>
        <w:t>y</w:t>
      </w:r>
      <w:r w:rsidRPr="00A54361">
        <w:rPr>
          <w:rFonts w:eastAsia="Times New Roman" w:cstheme="minorHAnsi"/>
          <w:spacing w:val="50"/>
        </w:rPr>
        <w:t xml:space="preserve"> </w:t>
      </w:r>
      <w:r w:rsidRPr="00A54361">
        <w:rPr>
          <w:rFonts w:eastAsia="Times New Roman" w:cstheme="minorHAnsi"/>
          <w:spacing w:val="2"/>
        </w:rPr>
        <w:t>A</w:t>
      </w:r>
      <w:r w:rsidRPr="00A54361">
        <w:rPr>
          <w:rFonts w:eastAsia="Times New Roman" w:cstheme="minorHAnsi"/>
        </w:rPr>
        <w:t>g</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4"/>
        </w:rPr>
        <w:t>c</w:t>
      </w:r>
      <w:r w:rsidRPr="00A54361">
        <w:rPr>
          <w:rFonts w:eastAsia="Times New Roman" w:cstheme="minorHAnsi"/>
        </w:rPr>
        <w:t>y</w:t>
      </w:r>
      <w:r w:rsidRPr="00A54361">
        <w:rPr>
          <w:rFonts w:eastAsia="Times New Roman" w:cstheme="minorHAnsi"/>
          <w:spacing w:val="50"/>
        </w:rPr>
        <w:t xml:space="preserve"> </w:t>
      </w:r>
      <w:r w:rsidRPr="00A54361">
        <w:rPr>
          <w:rFonts w:eastAsia="Times New Roman" w:cstheme="minorHAnsi"/>
        </w:rPr>
        <w:t>d</w:t>
      </w:r>
      <w:r w:rsidRPr="00A54361">
        <w:rPr>
          <w:rFonts w:eastAsia="Times New Roman" w:cstheme="minorHAnsi"/>
          <w:spacing w:val="1"/>
        </w:rPr>
        <w:t>e</w:t>
      </w:r>
      <w:r w:rsidRPr="00A54361">
        <w:rPr>
          <w:rFonts w:eastAsia="Times New Roman" w:cstheme="minorHAnsi"/>
          <w:spacing w:val="-1"/>
        </w:rPr>
        <w:t>a</w:t>
      </w:r>
      <w:r w:rsidRPr="00A54361">
        <w:rPr>
          <w:rFonts w:eastAsia="Times New Roman" w:cstheme="minorHAnsi"/>
        </w:rPr>
        <w:t>l</w:t>
      </w:r>
      <w:r w:rsidRPr="00A54361">
        <w:rPr>
          <w:rFonts w:eastAsia="Times New Roman" w:cstheme="minorHAnsi"/>
          <w:spacing w:val="1"/>
        </w:rPr>
        <w:t>i</w:t>
      </w:r>
      <w:r w:rsidRPr="00A54361">
        <w:rPr>
          <w:rFonts w:eastAsia="Times New Roman" w:cstheme="minorHAnsi"/>
        </w:rPr>
        <w:t>ng</w:t>
      </w:r>
      <w:r w:rsidRPr="00A54361">
        <w:rPr>
          <w:rFonts w:eastAsia="Times New Roman" w:cstheme="minorHAnsi"/>
          <w:spacing w:val="53"/>
        </w:rPr>
        <w:t xml:space="preserve"> </w:t>
      </w:r>
      <w:r w:rsidRPr="00A54361">
        <w:rPr>
          <w:rFonts w:eastAsia="Times New Roman" w:cstheme="minorHAnsi"/>
        </w:rPr>
        <w:t>wi</w:t>
      </w:r>
      <w:r w:rsidRPr="00A54361">
        <w:rPr>
          <w:rFonts w:eastAsia="Times New Roman" w:cstheme="minorHAnsi"/>
          <w:spacing w:val="3"/>
        </w:rPr>
        <w:t>t</w:t>
      </w:r>
      <w:r w:rsidRPr="00A54361">
        <w:rPr>
          <w:rFonts w:eastAsia="Times New Roman" w:cstheme="minorHAnsi"/>
        </w:rPr>
        <w:t>h</w:t>
      </w:r>
      <w:r w:rsidRPr="00A54361">
        <w:rPr>
          <w:rFonts w:eastAsia="Times New Roman" w:cstheme="minorHAnsi"/>
          <w:spacing w:val="55"/>
        </w:rPr>
        <w:t xml:space="preserve"> </w:t>
      </w:r>
      <w:r w:rsidRPr="00A54361">
        <w:rPr>
          <w:rFonts w:eastAsia="Times New Roman" w:cstheme="minorHAnsi"/>
        </w:rPr>
        <w:t>CE</w:t>
      </w:r>
      <w:r w:rsidRPr="00A54361">
        <w:rPr>
          <w:rFonts w:eastAsia="Times New Roman" w:cstheme="minorHAnsi"/>
          <w:spacing w:val="-1"/>
        </w:rPr>
        <w:t>N</w:t>
      </w:r>
      <w:r w:rsidRPr="00A54361">
        <w:rPr>
          <w:rFonts w:eastAsia="Times New Roman" w:cstheme="minorHAnsi"/>
        </w:rPr>
        <w:t>TR</w:t>
      </w:r>
      <w:r w:rsidRPr="00A54361">
        <w:rPr>
          <w:rFonts w:eastAsia="Times New Roman" w:cstheme="minorHAnsi"/>
          <w:spacing w:val="2"/>
        </w:rPr>
        <w:t>A</w:t>
      </w:r>
      <w:r w:rsidRPr="00A54361">
        <w:rPr>
          <w:rFonts w:eastAsia="Times New Roman" w:cstheme="minorHAnsi"/>
        </w:rPr>
        <w:t>L</w:t>
      </w:r>
      <w:r w:rsidRPr="00A54361">
        <w:rPr>
          <w:rFonts w:eastAsia="Times New Roman" w:cstheme="minorHAnsi"/>
          <w:spacing w:val="52"/>
        </w:rPr>
        <w:t xml:space="preserve"> </w:t>
      </w:r>
      <w:r w:rsidRPr="00A54361">
        <w:rPr>
          <w:rFonts w:eastAsia="Times New Roman" w:cstheme="minorHAnsi"/>
          <w:spacing w:val="-2"/>
        </w:rPr>
        <w:t>B</w:t>
      </w:r>
      <w:r w:rsidRPr="00A54361">
        <w:rPr>
          <w:rFonts w:eastAsia="Times New Roman" w:cstheme="minorHAnsi"/>
        </w:rPr>
        <w:t>A</w:t>
      </w:r>
      <w:r w:rsidRPr="00A54361">
        <w:rPr>
          <w:rFonts w:eastAsia="Times New Roman" w:cstheme="minorHAnsi"/>
          <w:spacing w:val="-1"/>
        </w:rPr>
        <w:t>N</w:t>
      </w:r>
      <w:r w:rsidRPr="00A54361">
        <w:rPr>
          <w:rFonts w:eastAsia="Times New Roman" w:cstheme="minorHAnsi"/>
        </w:rPr>
        <w:t>K</w:t>
      </w:r>
      <w:r w:rsidRPr="00A54361">
        <w:rPr>
          <w:rFonts w:eastAsia="Times New Roman" w:cstheme="minorHAnsi"/>
          <w:spacing w:val="54"/>
        </w:rPr>
        <w:t xml:space="preserve"> </w:t>
      </w:r>
      <w:r w:rsidRPr="00A54361">
        <w:rPr>
          <w:rFonts w:eastAsia="Times New Roman" w:cstheme="minorHAnsi"/>
          <w:spacing w:val="2"/>
        </w:rPr>
        <w:t>O</w:t>
      </w:r>
      <w:r w:rsidRPr="00A54361">
        <w:rPr>
          <w:rFonts w:eastAsia="Times New Roman" w:cstheme="minorHAnsi"/>
        </w:rPr>
        <w:t>F</w:t>
      </w:r>
      <w:r w:rsidRPr="00A54361">
        <w:rPr>
          <w:rFonts w:eastAsia="Times New Roman" w:cstheme="minorHAnsi"/>
          <w:spacing w:val="56"/>
        </w:rPr>
        <w:t xml:space="preserve"> </w:t>
      </w:r>
      <w:r w:rsidRPr="00A54361">
        <w:rPr>
          <w:rFonts w:eastAsia="Times New Roman" w:cstheme="minorHAnsi"/>
          <w:spacing w:val="-3"/>
        </w:rPr>
        <w:t>I</w:t>
      </w:r>
      <w:r w:rsidRPr="00A54361">
        <w:rPr>
          <w:rFonts w:eastAsia="Times New Roman" w:cstheme="minorHAnsi"/>
        </w:rPr>
        <w:t>N</w:t>
      </w:r>
      <w:r w:rsidRPr="00A54361">
        <w:rPr>
          <w:rFonts w:eastAsia="Times New Roman" w:cstheme="minorHAnsi"/>
          <w:spacing w:val="4"/>
        </w:rPr>
        <w:t>D</w:t>
      </w:r>
      <w:r w:rsidRPr="00A54361">
        <w:rPr>
          <w:rFonts w:eastAsia="Times New Roman" w:cstheme="minorHAnsi"/>
          <w:spacing w:val="-3"/>
        </w:rPr>
        <w:t>I</w:t>
      </w:r>
      <w:r w:rsidRPr="00A54361">
        <w:rPr>
          <w:rFonts w:eastAsia="Times New Roman" w:cstheme="minorHAnsi"/>
        </w:rPr>
        <w:t>A</w:t>
      </w:r>
      <w:r w:rsidRPr="00A54361">
        <w:rPr>
          <w:rFonts w:eastAsia="Times New Roman" w:cstheme="minorHAnsi"/>
          <w:spacing w:val="54"/>
        </w:rPr>
        <w:t xml:space="preserve"> </w:t>
      </w:r>
      <w:r w:rsidRPr="00A54361">
        <w:rPr>
          <w:rFonts w:eastAsia="Times New Roman" w:cstheme="minorHAnsi"/>
        </w:rPr>
        <w:t>is</w:t>
      </w:r>
      <w:r w:rsidRPr="00A54361">
        <w:rPr>
          <w:rFonts w:eastAsia="Times New Roman" w:cstheme="minorHAnsi"/>
          <w:spacing w:val="56"/>
        </w:rPr>
        <w:t xml:space="preserve"> </w:t>
      </w:r>
      <w:r w:rsidRPr="00A54361">
        <w:rPr>
          <w:rFonts w:eastAsia="Times New Roman" w:cstheme="minorHAnsi"/>
        </w:rPr>
        <w:t>und</w:t>
      </w:r>
      <w:r w:rsidRPr="00A54361">
        <w:rPr>
          <w:rFonts w:eastAsia="Times New Roman" w:cstheme="minorHAnsi"/>
          <w:spacing w:val="-1"/>
        </w:rPr>
        <w:t>e</w:t>
      </w:r>
      <w:r w:rsidRPr="00A54361">
        <w:rPr>
          <w:rFonts w:eastAsia="Times New Roman" w:cstheme="minorHAnsi"/>
        </w:rPr>
        <w:t>r</w:t>
      </w:r>
    </w:p>
    <w:p w14:paraId="745BEDD4" w14:textId="77777777" w:rsidR="0054549F" w:rsidRPr="00A54361" w:rsidRDefault="0054549F" w:rsidP="00A54361">
      <w:pPr>
        <w:ind w:left="100" w:right="78"/>
        <w:jc w:val="both"/>
        <w:rPr>
          <w:rFonts w:cstheme="minorHAnsi"/>
        </w:rPr>
      </w:pPr>
      <w:r w:rsidRPr="00A54361">
        <w:rPr>
          <w:rFonts w:eastAsia="Times New Roman" w:cstheme="minorHAnsi"/>
        </w:rPr>
        <w:t>investi</w:t>
      </w:r>
      <w:r w:rsidRPr="00A54361">
        <w:rPr>
          <w:rFonts w:eastAsia="Times New Roman" w:cstheme="minorHAnsi"/>
          <w:spacing w:val="-2"/>
        </w:rPr>
        <w:t>g</w:t>
      </w:r>
      <w:r w:rsidRPr="00A54361">
        <w:rPr>
          <w:rFonts w:eastAsia="Times New Roman" w:cstheme="minorHAnsi"/>
          <w:spacing w:val="-1"/>
        </w:rPr>
        <w:t>a</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on</w:t>
      </w:r>
      <w:r w:rsidRPr="00A54361">
        <w:rPr>
          <w:rFonts w:eastAsia="Times New Roman" w:cstheme="minorHAnsi"/>
          <w:spacing w:val="-2"/>
        </w:rPr>
        <w:t xml:space="preserve"> </w:t>
      </w:r>
      <w:r w:rsidRPr="00A54361">
        <w:rPr>
          <w:rFonts w:eastAsia="Times New Roman" w:cstheme="minorHAnsi"/>
          <w:spacing w:val="5"/>
        </w:rPr>
        <w:t>b</w:t>
      </w:r>
      <w:r w:rsidRPr="00A54361">
        <w:rPr>
          <w:rFonts w:eastAsia="Times New Roman" w:cstheme="minorHAnsi"/>
        </w:rPr>
        <w:t>y</w:t>
      </w:r>
      <w:r w:rsidRPr="00A54361">
        <w:rPr>
          <w:rFonts w:eastAsia="Times New Roman" w:cstheme="minorHAnsi"/>
          <w:spacing w:val="-7"/>
        </w:rPr>
        <w:t xml:space="preserve"> </w:t>
      </w:r>
      <w:r w:rsidRPr="00A54361">
        <w:rPr>
          <w:rFonts w:eastAsia="Times New Roman" w:cstheme="minorHAnsi"/>
          <w:spacing w:val="-1"/>
        </w:rPr>
        <w:t>a</w:t>
      </w:r>
      <w:r w:rsidRPr="00A54361">
        <w:rPr>
          <w:rFonts w:eastAsia="Times New Roman" w:cstheme="minorHAnsi"/>
          <w:spacing w:val="5"/>
        </w:rPr>
        <w:t>n</w:t>
      </w:r>
      <w:r w:rsidRPr="00A54361">
        <w:rPr>
          <w:rFonts w:eastAsia="Times New Roman" w:cstheme="minorHAnsi"/>
        </w:rPr>
        <w:t>y</w:t>
      </w:r>
      <w:r w:rsidRPr="00A54361">
        <w:rPr>
          <w:rFonts w:eastAsia="Times New Roman" w:cstheme="minorHAnsi"/>
          <w:spacing w:val="-7"/>
        </w:rPr>
        <w:t xml:space="preserve"> </w:t>
      </w:r>
      <w:r w:rsidRPr="00A54361">
        <w:rPr>
          <w:rFonts w:eastAsia="Times New Roman" w:cstheme="minorHAnsi"/>
          <w:spacing w:val="2"/>
        </w:rPr>
        <w:t>d</w:t>
      </w:r>
      <w:r w:rsidRPr="00A54361">
        <w:rPr>
          <w:rFonts w:eastAsia="Times New Roman" w:cstheme="minorHAnsi"/>
          <w:spacing w:val="-1"/>
        </w:rPr>
        <w:t>e</w:t>
      </w:r>
      <w:r w:rsidRPr="00A54361">
        <w:rPr>
          <w:rFonts w:eastAsia="Times New Roman" w:cstheme="minorHAnsi"/>
        </w:rPr>
        <w:t>p</w:t>
      </w:r>
      <w:r w:rsidRPr="00A54361">
        <w:rPr>
          <w:rFonts w:eastAsia="Times New Roman" w:cstheme="minorHAnsi"/>
          <w:spacing w:val="1"/>
        </w:rPr>
        <w:t>a</w:t>
      </w:r>
      <w:r w:rsidRPr="00A54361">
        <w:rPr>
          <w:rFonts w:eastAsia="Times New Roman" w:cstheme="minorHAnsi"/>
        </w:rPr>
        <w:t>rtm</w:t>
      </w:r>
      <w:r w:rsidRPr="00A54361">
        <w:rPr>
          <w:rFonts w:eastAsia="Times New Roman" w:cstheme="minorHAnsi"/>
          <w:spacing w:val="-1"/>
        </w:rPr>
        <w:t>e</w:t>
      </w:r>
      <w:r w:rsidRPr="00A54361">
        <w:rPr>
          <w:rFonts w:eastAsia="Times New Roman" w:cstheme="minorHAnsi"/>
        </w:rPr>
        <w:t>nt</w:t>
      </w:r>
      <w:r w:rsidRPr="00A54361">
        <w:rPr>
          <w:rFonts w:eastAsia="Times New Roman" w:cstheme="minorHAnsi"/>
          <w:spacing w:val="-2"/>
        </w:rPr>
        <w:t xml:space="preserve"> </w:t>
      </w:r>
      <w:r w:rsidRPr="00A54361">
        <w:rPr>
          <w:rFonts w:eastAsia="Times New Roman" w:cstheme="minorHAnsi"/>
        </w:rPr>
        <w:t>(</w:t>
      </w:r>
      <w:r w:rsidRPr="00A54361">
        <w:rPr>
          <w:rFonts w:eastAsia="Times New Roman" w:cstheme="minorHAnsi"/>
          <w:spacing w:val="-2"/>
        </w:rPr>
        <w:t>e</w:t>
      </w:r>
      <w:r w:rsidRPr="00A54361">
        <w:rPr>
          <w:rFonts w:eastAsia="Times New Roman" w:cstheme="minorHAnsi"/>
          <w:spacing w:val="2"/>
        </w:rPr>
        <w:t>x</w:t>
      </w:r>
      <w:r w:rsidRPr="00A54361">
        <w:rPr>
          <w:rFonts w:eastAsia="Times New Roman" w:cstheme="minorHAnsi"/>
          <w:spacing w:val="-1"/>
        </w:rPr>
        <w:t>ce</w:t>
      </w:r>
      <w:r w:rsidRPr="00A54361">
        <w:rPr>
          <w:rFonts w:eastAsia="Times New Roman" w:cstheme="minorHAnsi"/>
        </w:rPr>
        <w:t>pt</w:t>
      </w:r>
      <w:r w:rsidRPr="00A54361">
        <w:rPr>
          <w:rFonts w:eastAsia="Times New Roman" w:cstheme="minorHAnsi"/>
          <w:spacing w:val="-2"/>
        </w:rPr>
        <w:t xml:space="preserve"> </w:t>
      </w:r>
      <w:r w:rsidRPr="00A54361">
        <w:rPr>
          <w:rFonts w:eastAsia="Times New Roman" w:cstheme="minorHAnsi"/>
          <w:spacing w:val="-1"/>
        </w:rPr>
        <w:t>F</w:t>
      </w:r>
      <w:r w:rsidRPr="00A54361">
        <w:rPr>
          <w:rFonts w:eastAsia="Times New Roman" w:cstheme="minorHAnsi"/>
        </w:rPr>
        <w:t>o</w:t>
      </w:r>
      <w:r w:rsidRPr="00A54361">
        <w:rPr>
          <w:rFonts w:eastAsia="Times New Roman" w:cstheme="minorHAnsi"/>
          <w:spacing w:val="1"/>
        </w:rPr>
        <w:t>r</w:t>
      </w:r>
      <w:r w:rsidRPr="00A54361">
        <w:rPr>
          <w:rFonts w:eastAsia="Times New Roman" w:cstheme="minorHAnsi"/>
          <w:spacing w:val="-1"/>
        </w:rPr>
        <w:t>e</w:t>
      </w:r>
      <w:r w:rsidRPr="00A54361">
        <w:rPr>
          <w:rFonts w:eastAsia="Times New Roman" w:cstheme="minorHAnsi"/>
          <w:spacing w:val="3"/>
        </w:rPr>
        <w:t>i</w:t>
      </w:r>
      <w:r w:rsidRPr="00A54361">
        <w:rPr>
          <w:rFonts w:eastAsia="Times New Roman" w:cstheme="minorHAnsi"/>
          <w:spacing w:val="-2"/>
        </w:rPr>
        <w:t>g</w:t>
      </w:r>
      <w:r w:rsidRPr="00A54361">
        <w:rPr>
          <w:rFonts w:eastAsia="Times New Roman" w:cstheme="minorHAnsi"/>
        </w:rPr>
        <w:t>n</w:t>
      </w:r>
      <w:r w:rsidRPr="00A54361">
        <w:rPr>
          <w:rFonts w:eastAsia="Times New Roman" w:cstheme="minorHAnsi"/>
          <w:spacing w:val="-2"/>
        </w:rPr>
        <w:t xml:space="preserve"> </w:t>
      </w:r>
      <w:r w:rsidRPr="00A54361">
        <w:rPr>
          <w:rFonts w:eastAsia="Times New Roman" w:cstheme="minorHAnsi"/>
          <w:spacing w:val="1"/>
        </w:rPr>
        <w:t>S</w:t>
      </w:r>
      <w:r w:rsidRPr="00A54361">
        <w:rPr>
          <w:rFonts w:eastAsia="Times New Roman" w:cstheme="minorHAnsi"/>
        </w:rPr>
        <w:t>upp</w:t>
      </w:r>
      <w:r w:rsidRPr="00A54361">
        <w:rPr>
          <w:rFonts w:eastAsia="Times New Roman" w:cstheme="minorHAnsi"/>
          <w:spacing w:val="4"/>
        </w:rPr>
        <w:t>l</w:t>
      </w:r>
      <w:r w:rsidRPr="00A54361">
        <w:rPr>
          <w:rFonts w:eastAsia="Times New Roman" w:cstheme="minorHAnsi"/>
        </w:rPr>
        <w:t>ie</w:t>
      </w:r>
      <w:r w:rsidRPr="00A54361">
        <w:rPr>
          <w:rFonts w:eastAsia="Times New Roman" w:cstheme="minorHAnsi"/>
          <w:spacing w:val="-1"/>
        </w:rPr>
        <w:t>r</w:t>
      </w:r>
      <w:r w:rsidRPr="00A54361">
        <w:rPr>
          <w:rFonts w:eastAsia="Times New Roman" w:cstheme="minorHAnsi"/>
        </w:rPr>
        <w:t>s</w:t>
      </w:r>
      <w:r w:rsidRPr="00A54361">
        <w:rPr>
          <w:rFonts w:eastAsia="Times New Roman" w:cstheme="minorHAnsi"/>
          <w:spacing w:val="-2"/>
        </w:rPr>
        <w:t xml:space="preserve"> </w:t>
      </w:r>
      <w:r w:rsidRPr="00A54361">
        <w:rPr>
          <w:rFonts w:eastAsia="Times New Roman" w:cstheme="minorHAnsi"/>
        </w:rPr>
        <w:t>of</w:t>
      </w:r>
      <w:r w:rsidRPr="00A54361">
        <w:rPr>
          <w:rFonts w:eastAsia="Times New Roman" w:cstheme="minorHAnsi"/>
          <w:spacing w:val="-3"/>
        </w:rPr>
        <w:t xml:space="preserve"> </w:t>
      </w:r>
      <w:r w:rsidRPr="00A54361">
        <w:rPr>
          <w:rFonts w:eastAsia="Times New Roman" w:cstheme="minorHAnsi"/>
        </w:rPr>
        <w:t>i</w:t>
      </w:r>
      <w:r w:rsidRPr="00A54361">
        <w:rPr>
          <w:rFonts w:eastAsia="Times New Roman" w:cstheme="minorHAnsi"/>
          <w:spacing w:val="1"/>
        </w:rPr>
        <w:t>m</w:t>
      </w:r>
      <w:r w:rsidRPr="00A54361">
        <w:rPr>
          <w:rFonts w:eastAsia="Times New Roman" w:cstheme="minorHAnsi"/>
        </w:rPr>
        <w:t>port</w:t>
      </w:r>
      <w:r w:rsidRPr="00A54361">
        <w:rPr>
          <w:rFonts w:eastAsia="Times New Roman" w:cstheme="minorHAnsi"/>
          <w:spacing w:val="-1"/>
        </w:rPr>
        <w:t>e</w:t>
      </w:r>
      <w:r w:rsidRPr="00A54361">
        <w:rPr>
          <w:rFonts w:eastAsia="Times New Roman" w:cstheme="minorHAnsi"/>
        </w:rPr>
        <w:t xml:space="preserve">d </w:t>
      </w:r>
      <w:r w:rsidRPr="00A54361">
        <w:rPr>
          <w:rFonts w:eastAsia="Times New Roman" w:cstheme="minorHAnsi"/>
          <w:spacing w:val="-2"/>
        </w:rPr>
        <w:t>g</w:t>
      </w:r>
      <w:r w:rsidRPr="00A54361">
        <w:rPr>
          <w:rFonts w:eastAsia="Times New Roman" w:cstheme="minorHAnsi"/>
        </w:rPr>
        <w:t>o</w:t>
      </w:r>
      <w:r w:rsidRPr="00A54361">
        <w:rPr>
          <w:rFonts w:eastAsia="Times New Roman" w:cstheme="minorHAnsi"/>
          <w:spacing w:val="2"/>
        </w:rPr>
        <w:t>o</w:t>
      </w:r>
      <w:r w:rsidRPr="00A54361">
        <w:rPr>
          <w:rFonts w:eastAsia="Times New Roman" w:cstheme="minorHAnsi"/>
        </w:rPr>
        <w:t>ds),</w:t>
      </w:r>
      <w:r w:rsidRPr="00A54361">
        <w:rPr>
          <w:rFonts w:eastAsia="Times New Roman" w:cstheme="minorHAnsi"/>
          <w:spacing w:val="-3"/>
        </w:rPr>
        <w:t xml:space="preserve"> </w:t>
      </w:r>
      <w:r w:rsidRPr="00A54361">
        <w:rPr>
          <w:rFonts w:eastAsia="Times New Roman" w:cstheme="minorHAnsi"/>
        </w:rPr>
        <w:t>the</w:t>
      </w:r>
      <w:r w:rsidRPr="00A54361">
        <w:rPr>
          <w:rFonts w:eastAsia="Times New Roman" w:cstheme="minorHAnsi"/>
          <w:spacing w:val="-3"/>
        </w:rPr>
        <w:t xml:space="preserve"> </w:t>
      </w:r>
      <w:r w:rsidRPr="00A54361">
        <w:rPr>
          <w:rFonts w:eastAsia="Times New Roman" w:cstheme="minorHAnsi"/>
        </w:rPr>
        <w:t>Compet</w:t>
      </w:r>
      <w:r w:rsidRPr="00A54361">
        <w:rPr>
          <w:rFonts w:eastAsia="Times New Roman" w:cstheme="minorHAnsi"/>
          <w:spacing w:val="-1"/>
        </w:rPr>
        <w:t>e</w:t>
      </w:r>
      <w:r w:rsidRPr="00A54361">
        <w:rPr>
          <w:rFonts w:eastAsia="Times New Roman" w:cstheme="minorHAnsi"/>
        </w:rPr>
        <w:t>nt Autho</w:t>
      </w:r>
      <w:r w:rsidRPr="00A54361">
        <w:rPr>
          <w:rFonts w:eastAsia="Times New Roman" w:cstheme="minorHAnsi"/>
          <w:spacing w:val="-1"/>
        </w:rPr>
        <w:t>r</w:t>
      </w:r>
      <w:r w:rsidRPr="00A54361">
        <w:rPr>
          <w:rFonts w:eastAsia="Times New Roman" w:cstheme="minorHAnsi"/>
        </w:rPr>
        <w:t>i</w:t>
      </w:r>
      <w:r w:rsidRPr="00A54361">
        <w:rPr>
          <w:rFonts w:eastAsia="Times New Roman" w:cstheme="minorHAnsi"/>
          <w:spacing w:val="3"/>
        </w:rPr>
        <w:t>t</w:t>
      </w:r>
      <w:r w:rsidRPr="00A54361">
        <w:rPr>
          <w:rFonts w:eastAsia="Times New Roman" w:cstheme="minorHAnsi"/>
        </w:rPr>
        <w:t>y</w:t>
      </w:r>
      <w:r w:rsidRPr="00A54361">
        <w:rPr>
          <w:rFonts w:eastAsia="Times New Roman" w:cstheme="minorHAnsi"/>
          <w:spacing w:val="-7"/>
        </w:rPr>
        <w:t xml:space="preserve"> </w:t>
      </w:r>
      <w:r w:rsidRPr="00A54361">
        <w:rPr>
          <w:rFonts w:eastAsia="Times New Roman" w:cstheme="minorHAnsi"/>
        </w:rPr>
        <w:t>m</w:t>
      </w:r>
      <w:r w:rsidRPr="00A54361">
        <w:rPr>
          <w:rFonts w:eastAsia="Times New Roman" w:cstheme="minorHAnsi"/>
          <w:spacing w:val="4"/>
        </w:rPr>
        <w:t>a</w:t>
      </w:r>
      <w:r w:rsidRPr="00A54361">
        <w:rPr>
          <w:rFonts w:eastAsia="Times New Roman" w:cstheme="minorHAnsi"/>
        </w:rPr>
        <w:t>y</w:t>
      </w:r>
      <w:r w:rsidRPr="00A54361">
        <w:rPr>
          <w:rFonts w:eastAsia="Times New Roman" w:cstheme="minorHAnsi"/>
          <w:spacing w:val="-5"/>
        </w:rPr>
        <w:t xml:space="preserve"> </w:t>
      </w:r>
      <w:r w:rsidRPr="00A54361">
        <w:rPr>
          <w:rFonts w:eastAsia="Times New Roman" w:cstheme="minorHAnsi"/>
          <w:spacing w:val="-1"/>
        </w:rPr>
        <w:t>c</w:t>
      </w:r>
      <w:r w:rsidRPr="00A54361">
        <w:rPr>
          <w:rFonts w:eastAsia="Times New Roman" w:cstheme="minorHAnsi"/>
        </w:rPr>
        <w:t>onsid</w:t>
      </w:r>
      <w:r w:rsidRPr="00A54361">
        <w:rPr>
          <w:rFonts w:eastAsia="Times New Roman" w:cstheme="minorHAnsi"/>
          <w:spacing w:val="-1"/>
        </w:rPr>
        <w:t>e</w:t>
      </w:r>
      <w:r w:rsidRPr="00A54361">
        <w:rPr>
          <w:rFonts w:eastAsia="Times New Roman" w:cstheme="minorHAnsi"/>
        </w:rPr>
        <w:t xml:space="preserve">r </w:t>
      </w:r>
      <w:r w:rsidRPr="00A54361">
        <w:rPr>
          <w:rFonts w:eastAsia="Times New Roman" w:cstheme="minorHAnsi"/>
          <w:spacing w:val="-1"/>
        </w:rPr>
        <w:t>w</w:t>
      </w:r>
      <w:r w:rsidRPr="00A54361">
        <w:rPr>
          <w:rFonts w:eastAsia="Times New Roman" w:cstheme="minorHAnsi"/>
        </w:rPr>
        <w:t>h</w:t>
      </w:r>
      <w:r w:rsidRPr="00A54361">
        <w:rPr>
          <w:rFonts w:eastAsia="Times New Roman" w:cstheme="minorHAnsi"/>
          <w:spacing w:val="-1"/>
        </w:rPr>
        <w:t>e</w:t>
      </w:r>
      <w:r w:rsidRPr="00A54361">
        <w:rPr>
          <w:rFonts w:eastAsia="Times New Roman" w:cstheme="minorHAnsi"/>
        </w:rPr>
        <w:t>ther</w:t>
      </w:r>
      <w:r w:rsidRPr="00A54361">
        <w:rPr>
          <w:rFonts w:eastAsia="Times New Roman" w:cstheme="minorHAnsi"/>
          <w:spacing w:val="-4"/>
        </w:rPr>
        <w:t xml:space="preserve"> </w:t>
      </w:r>
      <w:r w:rsidRPr="00A54361">
        <w:rPr>
          <w:rFonts w:eastAsia="Times New Roman" w:cstheme="minorHAnsi"/>
        </w:rPr>
        <w:t xml:space="preserve">the </w:t>
      </w:r>
      <w:r w:rsidRPr="00A54361">
        <w:rPr>
          <w:rFonts w:eastAsia="Times New Roman" w:cstheme="minorHAnsi"/>
          <w:spacing w:val="-1"/>
        </w:rPr>
        <w:t>a</w:t>
      </w:r>
      <w:r w:rsidRPr="00A54361">
        <w:rPr>
          <w:rFonts w:eastAsia="Times New Roman" w:cstheme="minorHAnsi"/>
        </w:rPr>
        <w:t>l</w:t>
      </w:r>
      <w:r w:rsidRPr="00A54361">
        <w:rPr>
          <w:rFonts w:eastAsia="Times New Roman" w:cstheme="minorHAnsi"/>
          <w:spacing w:val="1"/>
        </w:rPr>
        <w:t>le</w:t>
      </w:r>
      <w:r w:rsidRPr="00A54361">
        <w:rPr>
          <w:rFonts w:eastAsia="Times New Roman" w:cstheme="minorHAnsi"/>
          <w:spacing w:val="-2"/>
        </w:rPr>
        <w:t>g</w:t>
      </w:r>
      <w:r w:rsidRPr="00A54361">
        <w:rPr>
          <w:rFonts w:eastAsia="Times New Roman" w:cstheme="minorHAnsi"/>
          <w:spacing w:val="-1"/>
        </w:rPr>
        <w:t>a</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ons</w:t>
      </w:r>
      <w:r w:rsidRPr="00A54361">
        <w:rPr>
          <w:rFonts w:eastAsia="Times New Roman" w:cstheme="minorHAnsi"/>
          <w:spacing w:val="-2"/>
        </w:rPr>
        <w:t xml:space="preserve"> </w:t>
      </w:r>
      <w:r w:rsidRPr="00A54361">
        <w:rPr>
          <w:rFonts w:eastAsia="Times New Roman" w:cstheme="minorHAnsi"/>
          <w:spacing w:val="2"/>
        </w:rPr>
        <w:t>u</w:t>
      </w:r>
      <w:r w:rsidRPr="00A54361">
        <w:rPr>
          <w:rFonts w:eastAsia="Times New Roman" w:cstheme="minorHAnsi"/>
        </w:rPr>
        <w:t>nd</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3"/>
        </w:rPr>
        <w:t xml:space="preserve"> </w:t>
      </w:r>
      <w:r w:rsidRPr="00A54361">
        <w:rPr>
          <w:rFonts w:eastAsia="Times New Roman" w:cstheme="minorHAnsi"/>
        </w:rPr>
        <w:t>investig</w:t>
      </w:r>
      <w:r w:rsidRPr="00A54361">
        <w:rPr>
          <w:rFonts w:eastAsia="Times New Roman" w:cstheme="minorHAnsi"/>
          <w:spacing w:val="-1"/>
        </w:rPr>
        <w:t>a</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on</w:t>
      </w:r>
      <w:r w:rsidRPr="00A54361">
        <w:rPr>
          <w:rFonts w:eastAsia="Times New Roman" w:cstheme="minorHAnsi"/>
          <w:spacing w:val="-2"/>
        </w:rPr>
        <w:t xml:space="preserve"> </w:t>
      </w:r>
      <w:r w:rsidRPr="00A54361">
        <w:rPr>
          <w:rFonts w:eastAsia="Times New Roman" w:cstheme="minorHAnsi"/>
          <w:spacing w:val="-1"/>
        </w:rPr>
        <w:t>a</w:t>
      </w:r>
      <w:r w:rsidRPr="00A54361">
        <w:rPr>
          <w:rFonts w:eastAsia="Times New Roman" w:cstheme="minorHAnsi"/>
        </w:rPr>
        <w:t>re</w:t>
      </w:r>
      <w:r w:rsidRPr="00A54361">
        <w:rPr>
          <w:rFonts w:eastAsia="Times New Roman" w:cstheme="minorHAnsi"/>
          <w:spacing w:val="-2"/>
        </w:rPr>
        <w:t xml:space="preserve"> </w:t>
      </w:r>
      <w:r w:rsidRPr="00A54361">
        <w:rPr>
          <w:rFonts w:eastAsia="Times New Roman" w:cstheme="minorHAnsi"/>
        </w:rPr>
        <w:t>of a</w:t>
      </w:r>
      <w:r w:rsidRPr="00A54361">
        <w:rPr>
          <w:rFonts w:eastAsia="Times New Roman" w:cstheme="minorHAnsi"/>
          <w:spacing w:val="-4"/>
        </w:rPr>
        <w:t xml:space="preserve"> </w:t>
      </w:r>
      <w:r w:rsidRPr="00A54361">
        <w:rPr>
          <w:rFonts w:eastAsia="Times New Roman" w:cstheme="minorHAnsi"/>
        </w:rPr>
        <w:t>s</w:t>
      </w:r>
      <w:r w:rsidRPr="00A54361">
        <w:rPr>
          <w:rFonts w:eastAsia="Times New Roman" w:cstheme="minorHAnsi"/>
          <w:spacing w:val="-1"/>
        </w:rPr>
        <w:t>e</w:t>
      </w:r>
      <w:r w:rsidRPr="00A54361">
        <w:rPr>
          <w:rFonts w:eastAsia="Times New Roman" w:cstheme="minorHAnsi"/>
        </w:rPr>
        <w:t>rious</w:t>
      </w:r>
      <w:r w:rsidRPr="00A54361">
        <w:rPr>
          <w:rFonts w:eastAsia="Times New Roman" w:cstheme="minorHAnsi"/>
          <w:spacing w:val="-2"/>
        </w:rPr>
        <w:t xml:space="preserve"> </w:t>
      </w:r>
      <w:r w:rsidRPr="00A54361">
        <w:rPr>
          <w:rFonts w:eastAsia="Times New Roman" w:cstheme="minorHAnsi"/>
        </w:rPr>
        <w:t>n</w:t>
      </w:r>
      <w:r w:rsidRPr="00A54361">
        <w:rPr>
          <w:rFonts w:eastAsia="Times New Roman" w:cstheme="minorHAnsi"/>
          <w:spacing w:val="-1"/>
        </w:rPr>
        <w:t>a</w:t>
      </w:r>
      <w:r w:rsidRPr="00A54361">
        <w:rPr>
          <w:rFonts w:eastAsia="Times New Roman" w:cstheme="minorHAnsi"/>
        </w:rPr>
        <w:t>tu</w:t>
      </w:r>
      <w:r w:rsidRPr="00A54361">
        <w:rPr>
          <w:rFonts w:eastAsia="Times New Roman" w:cstheme="minorHAnsi"/>
          <w:spacing w:val="2"/>
        </w:rPr>
        <w:t>r</w:t>
      </w:r>
      <w:r w:rsidRPr="00A54361">
        <w:rPr>
          <w:rFonts w:eastAsia="Times New Roman" w:cstheme="minorHAnsi"/>
        </w:rPr>
        <w:t>e</w:t>
      </w:r>
      <w:r w:rsidRPr="00A54361">
        <w:rPr>
          <w:rFonts w:eastAsia="Times New Roman" w:cstheme="minorHAnsi"/>
          <w:spacing w:val="-3"/>
        </w:rPr>
        <w:t xml:space="preserve"> </w:t>
      </w:r>
      <w:r w:rsidRPr="00A54361">
        <w:rPr>
          <w:rFonts w:eastAsia="Times New Roman" w:cstheme="minorHAnsi"/>
          <w:spacing w:val="-1"/>
        </w:rPr>
        <w:t>a</w:t>
      </w:r>
      <w:r w:rsidRPr="00A54361">
        <w:rPr>
          <w:rFonts w:eastAsia="Times New Roman" w:cstheme="minorHAnsi"/>
        </w:rPr>
        <w:t>nd wh</w:t>
      </w:r>
      <w:r w:rsidRPr="00A54361">
        <w:rPr>
          <w:rFonts w:eastAsia="Times New Roman" w:cstheme="minorHAnsi"/>
          <w:spacing w:val="-1"/>
        </w:rPr>
        <w:t>e</w:t>
      </w:r>
      <w:r w:rsidRPr="00A54361">
        <w:rPr>
          <w:rFonts w:eastAsia="Times New Roman" w:cstheme="minorHAnsi"/>
        </w:rPr>
        <w:t>ther</w:t>
      </w:r>
      <w:r w:rsidRPr="00A54361">
        <w:rPr>
          <w:rFonts w:eastAsia="Times New Roman" w:cstheme="minorHAnsi"/>
          <w:spacing w:val="1"/>
        </w:rPr>
        <w:t xml:space="preserve"> </w:t>
      </w:r>
      <w:r w:rsidRPr="00A54361">
        <w:rPr>
          <w:rFonts w:eastAsia="Times New Roman" w:cstheme="minorHAnsi"/>
        </w:rPr>
        <w:t>p</w:t>
      </w:r>
      <w:r w:rsidRPr="00A54361">
        <w:rPr>
          <w:rFonts w:eastAsia="Times New Roman" w:cstheme="minorHAnsi"/>
          <w:spacing w:val="-1"/>
        </w:rPr>
        <w:t>e</w:t>
      </w:r>
      <w:r w:rsidRPr="00A54361">
        <w:rPr>
          <w:rFonts w:eastAsia="Times New Roman" w:cstheme="minorHAnsi"/>
        </w:rPr>
        <w:t>ndi</w:t>
      </w:r>
      <w:r w:rsidRPr="00A54361">
        <w:rPr>
          <w:rFonts w:eastAsia="Times New Roman" w:cstheme="minorHAnsi"/>
          <w:spacing w:val="3"/>
        </w:rPr>
        <w:t>n</w:t>
      </w:r>
      <w:r w:rsidRPr="00A54361">
        <w:rPr>
          <w:rFonts w:eastAsia="Times New Roman" w:cstheme="minorHAnsi"/>
        </w:rPr>
        <w:t>g invest</w:t>
      </w:r>
      <w:r w:rsidRPr="00A54361">
        <w:rPr>
          <w:rFonts w:eastAsia="Times New Roman" w:cstheme="minorHAnsi"/>
          <w:spacing w:val="3"/>
        </w:rPr>
        <w:t>i</w:t>
      </w:r>
      <w:r w:rsidRPr="00A54361">
        <w:rPr>
          <w:rFonts w:eastAsia="Times New Roman" w:cstheme="minorHAnsi"/>
          <w:spacing w:val="-2"/>
        </w:rPr>
        <w:t>g</w:t>
      </w:r>
      <w:r w:rsidRPr="00A54361">
        <w:rPr>
          <w:rFonts w:eastAsia="Times New Roman" w:cstheme="minorHAnsi"/>
          <w:spacing w:val="-1"/>
        </w:rPr>
        <w:t>a</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on,</w:t>
      </w:r>
      <w:r w:rsidRPr="00A54361">
        <w:rPr>
          <w:rFonts w:eastAsia="Times New Roman" w:cstheme="minorHAnsi"/>
          <w:spacing w:val="3"/>
        </w:rPr>
        <w:t xml:space="preserve"> </w:t>
      </w:r>
      <w:r w:rsidRPr="00A54361">
        <w:rPr>
          <w:rFonts w:eastAsia="Times New Roman" w:cstheme="minorHAnsi"/>
        </w:rPr>
        <w:t>it</w:t>
      </w:r>
      <w:r w:rsidRPr="00A54361">
        <w:rPr>
          <w:rFonts w:eastAsia="Times New Roman" w:cstheme="minorHAnsi"/>
          <w:spacing w:val="3"/>
        </w:rPr>
        <w:t xml:space="preserve"> </w:t>
      </w:r>
      <w:r w:rsidRPr="00A54361">
        <w:rPr>
          <w:rFonts w:eastAsia="Times New Roman" w:cstheme="minorHAnsi"/>
        </w:rPr>
        <w:t>would</w:t>
      </w:r>
      <w:r w:rsidRPr="00A54361">
        <w:rPr>
          <w:rFonts w:eastAsia="Times New Roman" w:cstheme="minorHAnsi"/>
          <w:spacing w:val="3"/>
        </w:rPr>
        <w:t xml:space="preserve"> </w:t>
      </w:r>
      <w:r w:rsidRPr="00A54361">
        <w:rPr>
          <w:rFonts w:eastAsia="Times New Roman" w:cstheme="minorHAnsi"/>
        </w:rPr>
        <w:t>be</w:t>
      </w:r>
      <w:r w:rsidRPr="00A54361">
        <w:rPr>
          <w:rFonts w:eastAsia="Times New Roman" w:cstheme="minorHAnsi"/>
          <w:spacing w:val="2"/>
        </w:rPr>
        <w:t xml:space="preserve"> </w:t>
      </w:r>
      <w:r w:rsidRPr="00A54361">
        <w:rPr>
          <w:rFonts w:eastAsia="Times New Roman" w:cstheme="minorHAnsi"/>
          <w:spacing w:val="-1"/>
        </w:rPr>
        <w:t>a</w:t>
      </w:r>
      <w:r w:rsidRPr="00A54361">
        <w:rPr>
          <w:rFonts w:eastAsia="Times New Roman" w:cstheme="minorHAnsi"/>
        </w:rPr>
        <w:t>dv</w:t>
      </w:r>
      <w:r w:rsidRPr="00A54361">
        <w:rPr>
          <w:rFonts w:eastAsia="Times New Roman" w:cstheme="minorHAnsi"/>
          <w:spacing w:val="3"/>
        </w:rPr>
        <w:t>i</w:t>
      </w:r>
      <w:r w:rsidRPr="00A54361">
        <w:rPr>
          <w:rFonts w:eastAsia="Times New Roman" w:cstheme="minorHAnsi"/>
        </w:rPr>
        <w:t>s</w:t>
      </w:r>
      <w:r w:rsidRPr="00A54361">
        <w:rPr>
          <w:rFonts w:eastAsia="Times New Roman" w:cstheme="minorHAnsi"/>
          <w:spacing w:val="-1"/>
        </w:rPr>
        <w:t>a</w:t>
      </w:r>
      <w:r w:rsidRPr="00A54361">
        <w:rPr>
          <w:rFonts w:eastAsia="Times New Roman" w:cstheme="minorHAnsi"/>
        </w:rPr>
        <w:t>ble</w:t>
      </w:r>
      <w:r w:rsidRPr="00A54361">
        <w:rPr>
          <w:rFonts w:eastAsia="Times New Roman" w:cstheme="minorHAnsi"/>
          <w:spacing w:val="2"/>
        </w:rPr>
        <w:t xml:space="preserve"> </w:t>
      </w:r>
      <w:r w:rsidRPr="00A54361">
        <w:rPr>
          <w:rFonts w:eastAsia="Times New Roman" w:cstheme="minorHAnsi"/>
        </w:rPr>
        <w:t>to</w:t>
      </w:r>
      <w:r w:rsidRPr="00A54361">
        <w:rPr>
          <w:rFonts w:eastAsia="Times New Roman" w:cstheme="minorHAnsi"/>
          <w:spacing w:val="3"/>
        </w:rPr>
        <w:t xml:space="preserve"> </w:t>
      </w:r>
      <w:r w:rsidRPr="00A54361">
        <w:rPr>
          <w:rFonts w:eastAsia="Times New Roman" w:cstheme="minorHAnsi"/>
          <w:spacing w:val="-1"/>
        </w:rPr>
        <w:t>c</w:t>
      </w:r>
      <w:r w:rsidRPr="00A54361">
        <w:rPr>
          <w:rFonts w:eastAsia="Times New Roman" w:cstheme="minorHAnsi"/>
        </w:rPr>
        <w:t>ont</w:t>
      </w:r>
      <w:r w:rsidRPr="00A54361">
        <w:rPr>
          <w:rFonts w:eastAsia="Times New Roman" w:cstheme="minorHAnsi"/>
          <w:spacing w:val="1"/>
        </w:rPr>
        <w:t>i</w:t>
      </w:r>
      <w:r w:rsidRPr="00A54361">
        <w:rPr>
          <w:rFonts w:eastAsia="Times New Roman" w:cstheme="minorHAnsi"/>
        </w:rPr>
        <w:t>nue</w:t>
      </w:r>
      <w:r w:rsidRPr="00A54361">
        <w:rPr>
          <w:rFonts w:eastAsia="Times New Roman" w:cstheme="minorHAnsi"/>
          <w:spacing w:val="2"/>
        </w:rPr>
        <w:t xml:space="preserve"> </w:t>
      </w:r>
      <w:r w:rsidRPr="00A54361">
        <w:rPr>
          <w:rFonts w:eastAsia="Times New Roman" w:cstheme="minorHAnsi"/>
        </w:rPr>
        <w:t>busin</w:t>
      </w:r>
      <w:r w:rsidRPr="00A54361">
        <w:rPr>
          <w:rFonts w:eastAsia="Times New Roman" w:cstheme="minorHAnsi"/>
          <w:spacing w:val="-1"/>
        </w:rPr>
        <w:t>e</w:t>
      </w:r>
      <w:r w:rsidRPr="00A54361">
        <w:rPr>
          <w:rFonts w:eastAsia="Times New Roman" w:cstheme="minorHAnsi"/>
        </w:rPr>
        <w:t>ss</w:t>
      </w:r>
      <w:r w:rsidRPr="00A54361">
        <w:rPr>
          <w:rFonts w:eastAsia="Times New Roman" w:cstheme="minorHAnsi"/>
          <w:spacing w:val="3"/>
        </w:rPr>
        <w:t xml:space="preserve"> </w:t>
      </w:r>
      <w:r w:rsidRPr="00A54361">
        <w:rPr>
          <w:rFonts w:eastAsia="Times New Roman" w:cstheme="minorHAnsi"/>
        </w:rPr>
        <w:t>d</w:t>
      </w:r>
      <w:r w:rsidRPr="00A54361">
        <w:rPr>
          <w:rFonts w:eastAsia="Times New Roman" w:cstheme="minorHAnsi"/>
          <w:spacing w:val="-1"/>
        </w:rPr>
        <w:t>ea</w:t>
      </w:r>
      <w:r w:rsidRPr="00A54361">
        <w:rPr>
          <w:rFonts w:eastAsia="Times New Roman" w:cstheme="minorHAnsi"/>
        </w:rPr>
        <w:t>l</w:t>
      </w:r>
      <w:r w:rsidRPr="00A54361">
        <w:rPr>
          <w:rFonts w:eastAsia="Times New Roman" w:cstheme="minorHAnsi"/>
          <w:spacing w:val="1"/>
        </w:rPr>
        <w:t>i</w:t>
      </w:r>
      <w:r w:rsidRPr="00A54361">
        <w:rPr>
          <w:rFonts w:eastAsia="Times New Roman" w:cstheme="minorHAnsi"/>
        </w:rPr>
        <w:t>ng with</w:t>
      </w:r>
      <w:r w:rsidRPr="00A54361">
        <w:rPr>
          <w:rFonts w:eastAsia="Times New Roman" w:cstheme="minorHAnsi"/>
          <w:spacing w:val="3"/>
        </w:rPr>
        <w:t xml:space="preserve"> </w:t>
      </w:r>
      <w:r w:rsidRPr="00A54361">
        <w:rPr>
          <w:rFonts w:eastAsia="Times New Roman" w:cstheme="minorHAnsi"/>
        </w:rPr>
        <w:t>the Ag</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4"/>
        </w:rPr>
        <w:t>c</w:t>
      </w:r>
      <w:r w:rsidRPr="00A54361">
        <w:rPr>
          <w:rFonts w:eastAsia="Times New Roman" w:cstheme="minorHAnsi"/>
          <w:spacing w:val="-5"/>
        </w:rPr>
        <w:t>y</w:t>
      </w:r>
      <w:r w:rsidRPr="00A54361">
        <w:rPr>
          <w:rFonts w:eastAsia="Times New Roman" w:cstheme="minorHAnsi"/>
        </w:rPr>
        <w:t>.</w:t>
      </w:r>
      <w:r w:rsidRPr="00A54361">
        <w:rPr>
          <w:rFonts w:eastAsia="Times New Roman" w:cstheme="minorHAnsi"/>
          <w:spacing w:val="5"/>
        </w:rPr>
        <w:t xml:space="preserve"> </w:t>
      </w:r>
      <w:r w:rsidRPr="00A54361">
        <w:rPr>
          <w:rFonts w:eastAsia="Times New Roman" w:cstheme="minorHAnsi"/>
          <w:spacing w:val="-3"/>
        </w:rPr>
        <w:t>I</w:t>
      </w:r>
      <w:r w:rsidRPr="00A54361">
        <w:rPr>
          <w:rFonts w:eastAsia="Times New Roman" w:cstheme="minorHAnsi"/>
        </w:rPr>
        <w:t>f</w:t>
      </w:r>
      <w:r w:rsidRPr="00A54361">
        <w:rPr>
          <w:rFonts w:eastAsia="Times New Roman" w:cstheme="minorHAnsi"/>
          <w:spacing w:val="2"/>
        </w:rPr>
        <w:t xml:space="preserve"> </w:t>
      </w:r>
      <w:r w:rsidRPr="00A54361">
        <w:rPr>
          <w:rFonts w:eastAsia="Times New Roman" w:cstheme="minorHAnsi"/>
        </w:rPr>
        <w:t>the</w:t>
      </w:r>
      <w:r w:rsidRPr="00A54361">
        <w:rPr>
          <w:rFonts w:eastAsia="Times New Roman" w:cstheme="minorHAnsi"/>
          <w:spacing w:val="2"/>
        </w:rPr>
        <w:t xml:space="preserve"> </w:t>
      </w:r>
      <w:r w:rsidRPr="00A54361">
        <w:rPr>
          <w:rFonts w:eastAsia="Times New Roman" w:cstheme="minorHAnsi"/>
        </w:rPr>
        <w:t>Comp</w:t>
      </w:r>
      <w:r w:rsidRPr="00A54361">
        <w:rPr>
          <w:rFonts w:eastAsia="Times New Roman" w:cstheme="minorHAnsi"/>
          <w:spacing w:val="2"/>
        </w:rPr>
        <w:t>e</w:t>
      </w:r>
      <w:r w:rsidRPr="00A54361">
        <w:rPr>
          <w:rFonts w:eastAsia="Times New Roman" w:cstheme="minorHAnsi"/>
        </w:rPr>
        <w:t>tent</w:t>
      </w:r>
      <w:r w:rsidRPr="00A54361">
        <w:rPr>
          <w:rFonts w:eastAsia="Times New Roman" w:cstheme="minorHAnsi"/>
          <w:spacing w:val="2"/>
        </w:rPr>
        <w:t xml:space="preserve"> </w:t>
      </w:r>
      <w:r w:rsidRPr="00A54361">
        <w:rPr>
          <w:rFonts w:eastAsia="Times New Roman" w:cstheme="minorHAnsi"/>
        </w:rPr>
        <w:t>Autho</w:t>
      </w:r>
      <w:r w:rsidRPr="00A54361">
        <w:rPr>
          <w:rFonts w:eastAsia="Times New Roman" w:cstheme="minorHAnsi"/>
          <w:spacing w:val="1"/>
        </w:rPr>
        <w:t>r</w:t>
      </w:r>
      <w:r w:rsidRPr="00A54361">
        <w:rPr>
          <w:rFonts w:eastAsia="Times New Roman" w:cstheme="minorHAnsi"/>
        </w:rPr>
        <w:t>i</w:t>
      </w:r>
      <w:r w:rsidRPr="00A54361">
        <w:rPr>
          <w:rFonts w:eastAsia="Times New Roman" w:cstheme="minorHAnsi"/>
          <w:spacing w:val="3"/>
        </w:rPr>
        <w:t>t</w:t>
      </w:r>
      <w:r w:rsidRPr="00A54361">
        <w:rPr>
          <w:rFonts w:eastAsia="Times New Roman" w:cstheme="minorHAnsi"/>
          <w:spacing w:val="-5"/>
        </w:rPr>
        <w:t>y</w:t>
      </w:r>
      <w:r w:rsidRPr="00A54361">
        <w:rPr>
          <w:rFonts w:eastAsia="Times New Roman" w:cstheme="minorHAnsi"/>
        </w:rPr>
        <w:t>,</w:t>
      </w:r>
      <w:r w:rsidRPr="00A54361">
        <w:rPr>
          <w:rFonts w:eastAsia="Times New Roman" w:cstheme="minorHAnsi"/>
          <w:spacing w:val="2"/>
        </w:rPr>
        <w:t xml:space="preserve"> </w:t>
      </w:r>
      <w:r w:rsidRPr="00A54361">
        <w:rPr>
          <w:rFonts w:eastAsia="Times New Roman" w:cstheme="minorHAnsi"/>
          <w:spacing w:val="-1"/>
        </w:rPr>
        <w:t>a</w:t>
      </w:r>
      <w:r w:rsidRPr="00A54361">
        <w:rPr>
          <w:rFonts w:eastAsia="Times New Roman" w:cstheme="minorHAnsi"/>
        </w:rPr>
        <w:t>ft</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2"/>
        </w:rPr>
        <w:t xml:space="preserve"> </w:t>
      </w:r>
      <w:r w:rsidRPr="00A54361">
        <w:rPr>
          <w:rFonts w:eastAsia="Times New Roman" w:cstheme="minorHAnsi"/>
          <w:spacing w:val="1"/>
        </w:rPr>
        <w:t>c</w:t>
      </w:r>
      <w:r w:rsidRPr="00A54361">
        <w:rPr>
          <w:rFonts w:eastAsia="Times New Roman" w:cstheme="minorHAnsi"/>
        </w:rPr>
        <w:t>onsid</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2"/>
        </w:rPr>
        <w:t>a</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on</w:t>
      </w:r>
      <w:r w:rsidRPr="00A54361">
        <w:rPr>
          <w:rFonts w:eastAsia="Times New Roman" w:cstheme="minorHAnsi"/>
          <w:spacing w:val="2"/>
        </w:rPr>
        <w:t xml:space="preserve"> </w:t>
      </w:r>
      <w:r w:rsidRPr="00A54361">
        <w:rPr>
          <w:rFonts w:eastAsia="Times New Roman" w:cstheme="minorHAnsi"/>
        </w:rPr>
        <w:t>of</w:t>
      </w:r>
      <w:r w:rsidRPr="00A54361">
        <w:rPr>
          <w:rFonts w:eastAsia="Times New Roman" w:cstheme="minorHAnsi"/>
          <w:spacing w:val="2"/>
        </w:rPr>
        <w:t xml:space="preserve"> </w:t>
      </w:r>
      <w:r w:rsidRPr="00A54361">
        <w:rPr>
          <w:rFonts w:eastAsia="Times New Roman" w:cstheme="minorHAnsi"/>
        </w:rPr>
        <w:t>the</w:t>
      </w:r>
      <w:r w:rsidRPr="00A54361">
        <w:rPr>
          <w:rFonts w:eastAsia="Times New Roman" w:cstheme="minorHAnsi"/>
          <w:spacing w:val="2"/>
        </w:rPr>
        <w:t xml:space="preserve"> </w:t>
      </w:r>
      <w:r w:rsidRPr="00A54361">
        <w:rPr>
          <w:rFonts w:eastAsia="Times New Roman" w:cstheme="minorHAnsi"/>
        </w:rPr>
        <w:t>matter</w:t>
      </w:r>
      <w:r w:rsidRPr="00A54361">
        <w:rPr>
          <w:rFonts w:eastAsia="Times New Roman" w:cstheme="minorHAnsi"/>
          <w:spacing w:val="1"/>
        </w:rPr>
        <w:t xml:space="preserve"> </w:t>
      </w:r>
      <w:r w:rsidRPr="00A54361">
        <w:rPr>
          <w:rFonts w:eastAsia="Times New Roman" w:cstheme="minorHAnsi"/>
        </w:rPr>
        <w:t>including the r</w:t>
      </w:r>
      <w:r w:rsidRPr="00A54361">
        <w:rPr>
          <w:rFonts w:eastAsia="Times New Roman" w:cstheme="minorHAnsi"/>
          <w:spacing w:val="-2"/>
        </w:rPr>
        <w:t>e</w:t>
      </w:r>
      <w:r w:rsidRPr="00A54361">
        <w:rPr>
          <w:rFonts w:eastAsia="Times New Roman" w:cstheme="minorHAnsi"/>
          <w:spacing w:val="-1"/>
        </w:rPr>
        <w:t>c</w:t>
      </w:r>
      <w:r w:rsidRPr="00A54361">
        <w:rPr>
          <w:rFonts w:eastAsia="Times New Roman" w:cstheme="minorHAnsi"/>
        </w:rPr>
        <w:t>om</w:t>
      </w:r>
      <w:r w:rsidRPr="00A54361">
        <w:rPr>
          <w:rFonts w:eastAsia="Times New Roman" w:cstheme="minorHAnsi"/>
          <w:spacing w:val="1"/>
        </w:rPr>
        <w:t>m</w:t>
      </w:r>
      <w:r w:rsidRPr="00A54361">
        <w:rPr>
          <w:rFonts w:eastAsia="Times New Roman" w:cstheme="minorHAnsi"/>
          <w:spacing w:val="-1"/>
        </w:rPr>
        <w:t>e</w:t>
      </w:r>
      <w:r w:rsidRPr="00A54361">
        <w:rPr>
          <w:rFonts w:eastAsia="Times New Roman" w:cstheme="minorHAnsi"/>
        </w:rPr>
        <w:t>nd</w:t>
      </w:r>
      <w:r w:rsidRPr="00A54361">
        <w:rPr>
          <w:rFonts w:eastAsia="Times New Roman" w:cstheme="minorHAnsi"/>
          <w:spacing w:val="-1"/>
        </w:rPr>
        <w:t>a</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on</w:t>
      </w:r>
      <w:r w:rsidRPr="00A54361">
        <w:rPr>
          <w:rFonts w:eastAsia="Times New Roman" w:cstheme="minorHAnsi"/>
          <w:spacing w:val="2"/>
        </w:rPr>
        <w:t xml:space="preserve"> </w:t>
      </w:r>
      <w:r w:rsidRPr="00A54361">
        <w:rPr>
          <w:rFonts w:eastAsia="Times New Roman" w:cstheme="minorHAnsi"/>
        </w:rPr>
        <w:t>of</w:t>
      </w:r>
      <w:r w:rsidRPr="00A54361">
        <w:rPr>
          <w:rFonts w:eastAsia="Times New Roman" w:cstheme="minorHAnsi"/>
          <w:spacing w:val="1"/>
        </w:rPr>
        <w:t xml:space="preserve"> </w:t>
      </w:r>
      <w:r w:rsidRPr="00A54361">
        <w:rPr>
          <w:rFonts w:eastAsia="Times New Roman" w:cstheme="minorHAnsi"/>
        </w:rPr>
        <w:t>the</w:t>
      </w:r>
      <w:r w:rsidRPr="00A54361">
        <w:rPr>
          <w:rFonts w:eastAsia="Times New Roman" w:cstheme="minorHAnsi"/>
          <w:spacing w:val="4"/>
        </w:rPr>
        <w:t xml:space="preserve"> </w:t>
      </w:r>
      <w:r w:rsidRPr="00A54361">
        <w:rPr>
          <w:rFonts w:eastAsia="Times New Roman" w:cstheme="minorHAnsi"/>
        </w:rPr>
        <w:t>Inv</w:t>
      </w:r>
      <w:r w:rsidRPr="00A54361">
        <w:rPr>
          <w:rFonts w:eastAsia="Times New Roman" w:cstheme="minorHAnsi"/>
          <w:spacing w:val="-2"/>
        </w:rPr>
        <w:t>e</w:t>
      </w:r>
      <w:r w:rsidRPr="00A54361">
        <w:rPr>
          <w:rFonts w:eastAsia="Times New Roman" w:cstheme="minorHAnsi"/>
        </w:rPr>
        <w:t>st</w:t>
      </w:r>
      <w:r w:rsidRPr="00A54361">
        <w:rPr>
          <w:rFonts w:eastAsia="Times New Roman" w:cstheme="minorHAnsi"/>
          <w:spacing w:val="1"/>
        </w:rPr>
        <w:t>i</w:t>
      </w:r>
      <w:r w:rsidRPr="00A54361">
        <w:rPr>
          <w:rFonts w:eastAsia="Times New Roman" w:cstheme="minorHAnsi"/>
          <w:spacing w:val="-2"/>
        </w:rPr>
        <w:t>g</w:t>
      </w:r>
      <w:r w:rsidRPr="00A54361">
        <w:rPr>
          <w:rFonts w:eastAsia="Times New Roman" w:cstheme="minorHAnsi"/>
          <w:spacing w:val="-1"/>
        </w:rPr>
        <w:t>a</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spacing w:val="2"/>
        </w:rPr>
        <w:t>n</w:t>
      </w:r>
      <w:r w:rsidRPr="00A54361">
        <w:rPr>
          <w:rFonts w:eastAsia="Times New Roman" w:cstheme="minorHAnsi"/>
        </w:rPr>
        <w:t>g D</w:t>
      </w:r>
      <w:r w:rsidRPr="00A54361">
        <w:rPr>
          <w:rFonts w:eastAsia="Times New Roman" w:cstheme="minorHAnsi"/>
          <w:spacing w:val="-1"/>
        </w:rPr>
        <w:t>e</w:t>
      </w:r>
      <w:r w:rsidRPr="00A54361">
        <w:rPr>
          <w:rFonts w:eastAsia="Times New Roman" w:cstheme="minorHAnsi"/>
        </w:rPr>
        <w:t>p</w:t>
      </w:r>
      <w:r w:rsidRPr="00A54361">
        <w:rPr>
          <w:rFonts w:eastAsia="Times New Roman" w:cstheme="minorHAnsi"/>
          <w:spacing w:val="1"/>
        </w:rPr>
        <w:t>a</w:t>
      </w:r>
      <w:r w:rsidRPr="00A54361">
        <w:rPr>
          <w:rFonts w:eastAsia="Times New Roman" w:cstheme="minorHAnsi"/>
        </w:rPr>
        <w:t>rtm</w:t>
      </w:r>
      <w:r w:rsidRPr="00A54361">
        <w:rPr>
          <w:rFonts w:eastAsia="Times New Roman" w:cstheme="minorHAnsi"/>
          <w:spacing w:val="-1"/>
        </w:rPr>
        <w:t>e</w:t>
      </w:r>
      <w:r w:rsidRPr="00A54361">
        <w:rPr>
          <w:rFonts w:eastAsia="Times New Roman" w:cstheme="minorHAnsi"/>
        </w:rPr>
        <w:t>nt,</w:t>
      </w:r>
      <w:r w:rsidRPr="00A54361">
        <w:rPr>
          <w:rFonts w:eastAsia="Times New Roman" w:cstheme="minorHAnsi"/>
          <w:spacing w:val="5"/>
        </w:rPr>
        <w:t xml:space="preserve"> </w:t>
      </w:r>
      <w:r w:rsidRPr="00A54361">
        <w:rPr>
          <w:rFonts w:eastAsia="Times New Roman" w:cstheme="minorHAnsi"/>
        </w:rPr>
        <w:t>if</w:t>
      </w:r>
      <w:r w:rsidRPr="00A54361">
        <w:rPr>
          <w:rFonts w:eastAsia="Times New Roman" w:cstheme="minorHAnsi"/>
          <w:spacing w:val="2"/>
        </w:rPr>
        <w:t xml:space="preserve"> </w:t>
      </w:r>
      <w:r w:rsidRPr="00A54361">
        <w:rPr>
          <w:rFonts w:eastAsia="Times New Roman" w:cstheme="minorHAnsi"/>
          <w:spacing w:val="-1"/>
        </w:rPr>
        <w:t>a</w:t>
      </w:r>
      <w:r w:rsidRPr="00A54361">
        <w:rPr>
          <w:rFonts w:eastAsia="Times New Roman" w:cstheme="minorHAnsi"/>
          <w:spacing w:val="2"/>
        </w:rPr>
        <w:t>n</w:t>
      </w:r>
      <w:r w:rsidRPr="00A54361">
        <w:rPr>
          <w:rFonts w:eastAsia="Times New Roman" w:cstheme="minorHAnsi"/>
          <w:spacing w:val="-5"/>
        </w:rPr>
        <w:t>y</w:t>
      </w:r>
      <w:r w:rsidRPr="00A54361">
        <w:rPr>
          <w:rFonts w:eastAsia="Times New Roman" w:cstheme="minorHAnsi"/>
        </w:rPr>
        <w:t>,</w:t>
      </w:r>
      <w:r w:rsidRPr="00A54361">
        <w:rPr>
          <w:rFonts w:eastAsia="Times New Roman" w:cstheme="minorHAnsi"/>
          <w:spacing w:val="2"/>
        </w:rPr>
        <w:t xml:space="preserve"> </w:t>
      </w:r>
      <w:r w:rsidRPr="00A54361">
        <w:rPr>
          <w:rFonts w:eastAsia="Times New Roman" w:cstheme="minorHAnsi"/>
        </w:rPr>
        <w:t>d</w:t>
      </w:r>
      <w:r w:rsidRPr="00A54361">
        <w:rPr>
          <w:rFonts w:eastAsia="Times New Roman" w:cstheme="minorHAnsi"/>
          <w:spacing w:val="-1"/>
        </w:rPr>
        <w:t>ec</w:t>
      </w:r>
      <w:r w:rsidRPr="00A54361">
        <w:rPr>
          <w:rFonts w:eastAsia="Times New Roman" w:cstheme="minorHAnsi"/>
        </w:rPr>
        <w:t>ides</w:t>
      </w:r>
      <w:r w:rsidRPr="00A54361">
        <w:rPr>
          <w:rFonts w:eastAsia="Times New Roman" w:cstheme="minorHAnsi"/>
          <w:spacing w:val="2"/>
        </w:rPr>
        <w:t xml:space="preserve"> </w:t>
      </w:r>
      <w:r w:rsidRPr="00A54361">
        <w:rPr>
          <w:rFonts w:eastAsia="Times New Roman" w:cstheme="minorHAnsi"/>
        </w:rPr>
        <w:t>that</w:t>
      </w:r>
      <w:r w:rsidRPr="00A54361">
        <w:rPr>
          <w:rFonts w:eastAsia="Times New Roman" w:cstheme="minorHAnsi"/>
          <w:spacing w:val="2"/>
        </w:rPr>
        <w:t xml:space="preserve"> </w:t>
      </w:r>
      <w:r w:rsidRPr="00A54361">
        <w:rPr>
          <w:rFonts w:eastAsia="Times New Roman" w:cstheme="minorHAnsi"/>
        </w:rPr>
        <w:t>it</w:t>
      </w:r>
      <w:r w:rsidRPr="00A54361">
        <w:rPr>
          <w:rFonts w:eastAsia="Times New Roman" w:cstheme="minorHAnsi"/>
          <w:spacing w:val="3"/>
        </w:rPr>
        <w:t xml:space="preserve"> </w:t>
      </w:r>
      <w:r w:rsidRPr="00A54361">
        <w:rPr>
          <w:rFonts w:eastAsia="Times New Roman" w:cstheme="minorHAnsi"/>
        </w:rPr>
        <w:t>would</w:t>
      </w:r>
      <w:r w:rsidRPr="00A54361">
        <w:rPr>
          <w:rFonts w:eastAsia="Times New Roman" w:cstheme="minorHAnsi"/>
          <w:spacing w:val="2"/>
        </w:rPr>
        <w:t xml:space="preserve"> </w:t>
      </w:r>
      <w:r w:rsidRPr="00A54361">
        <w:rPr>
          <w:rFonts w:eastAsia="Times New Roman" w:cstheme="minorHAnsi"/>
        </w:rPr>
        <w:t>not</w:t>
      </w:r>
      <w:r w:rsidRPr="00A54361">
        <w:rPr>
          <w:rFonts w:eastAsia="Times New Roman" w:cstheme="minorHAnsi"/>
          <w:spacing w:val="2"/>
        </w:rPr>
        <w:t xml:space="preserve"> </w:t>
      </w:r>
      <w:r w:rsidRPr="00A54361">
        <w:rPr>
          <w:rFonts w:eastAsia="Times New Roman" w:cstheme="minorHAnsi"/>
        </w:rPr>
        <w:t>be</w:t>
      </w:r>
      <w:r w:rsidRPr="00A54361">
        <w:rPr>
          <w:rFonts w:eastAsia="Times New Roman" w:cstheme="minorHAnsi"/>
          <w:spacing w:val="1"/>
        </w:rPr>
        <w:t xml:space="preserve"> </w:t>
      </w:r>
      <w:r w:rsidRPr="00A54361">
        <w:rPr>
          <w:rFonts w:eastAsia="Times New Roman" w:cstheme="minorHAnsi"/>
        </w:rPr>
        <w:t>in t</w:t>
      </w:r>
      <w:r w:rsidRPr="00A54361">
        <w:rPr>
          <w:rFonts w:eastAsia="Times New Roman" w:cstheme="minorHAnsi"/>
          <w:spacing w:val="-2"/>
        </w:rPr>
        <w:t>h</w:t>
      </w:r>
      <w:r w:rsidRPr="00A54361">
        <w:rPr>
          <w:rFonts w:eastAsia="Times New Roman" w:cstheme="minorHAnsi"/>
        </w:rPr>
        <w:t>e in</w:t>
      </w:r>
      <w:r w:rsidRPr="00A54361">
        <w:rPr>
          <w:rFonts w:eastAsia="Times New Roman" w:cstheme="minorHAnsi"/>
          <w:spacing w:val="1"/>
        </w:rPr>
        <w:t>t</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2"/>
        </w:rPr>
        <w:t>e</w:t>
      </w:r>
      <w:r w:rsidRPr="00A54361">
        <w:rPr>
          <w:rFonts w:eastAsia="Times New Roman" w:cstheme="minorHAnsi"/>
        </w:rPr>
        <w:t>st</w:t>
      </w:r>
      <w:r w:rsidRPr="00A54361">
        <w:rPr>
          <w:rFonts w:eastAsia="Times New Roman" w:cstheme="minorHAnsi"/>
          <w:spacing w:val="3"/>
        </w:rPr>
        <w:t xml:space="preserve"> </w:t>
      </w:r>
      <w:r w:rsidRPr="00A54361">
        <w:rPr>
          <w:rFonts w:eastAsia="Times New Roman" w:cstheme="minorHAnsi"/>
        </w:rPr>
        <w:t>to</w:t>
      </w:r>
      <w:r w:rsidRPr="00A54361">
        <w:rPr>
          <w:rFonts w:eastAsia="Times New Roman" w:cstheme="minorHAnsi"/>
          <w:spacing w:val="3"/>
        </w:rPr>
        <w:t xml:space="preserve"> </w:t>
      </w:r>
      <w:r w:rsidRPr="00A54361">
        <w:rPr>
          <w:rFonts w:eastAsia="Times New Roman" w:cstheme="minorHAnsi"/>
          <w:spacing w:val="-1"/>
        </w:rPr>
        <w:t>c</w:t>
      </w:r>
      <w:r w:rsidRPr="00A54361">
        <w:rPr>
          <w:rFonts w:eastAsia="Times New Roman" w:cstheme="minorHAnsi"/>
        </w:rPr>
        <w:t>ont</w:t>
      </w:r>
      <w:r w:rsidRPr="00A54361">
        <w:rPr>
          <w:rFonts w:eastAsia="Times New Roman" w:cstheme="minorHAnsi"/>
          <w:spacing w:val="1"/>
        </w:rPr>
        <w:t>i</w:t>
      </w:r>
      <w:r w:rsidRPr="00A54361">
        <w:rPr>
          <w:rFonts w:eastAsia="Times New Roman" w:cstheme="minorHAnsi"/>
        </w:rPr>
        <w:t>nue</w:t>
      </w:r>
      <w:r w:rsidRPr="00A54361">
        <w:rPr>
          <w:rFonts w:eastAsia="Times New Roman" w:cstheme="minorHAnsi"/>
          <w:spacing w:val="1"/>
        </w:rPr>
        <w:t xml:space="preserve"> </w:t>
      </w:r>
      <w:r w:rsidRPr="00A54361">
        <w:rPr>
          <w:rFonts w:eastAsia="Times New Roman" w:cstheme="minorHAnsi"/>
        </w:rPr>
        <w:t>busin</w:t>
      </w:r>
      <w:r w:rsidRPr="00A54361">
        <w:rPr>
          <w:rFonts w:eastAsia="Times New Roman" w:cstheme="minorHAnsi"/>
          <w:spacing w:val="-1"/>
        </w:rPr>
        <w:t>e</w:t>
      </w:r>
      <w:r w:rsidRPr="00A54361">
        <w:rPr>
          <w:rFonts w:eastAsia="Times New Roman" w:cstheme="minorHAnsi"/>
        </w:rPr>
        <w:t>ss</w:t>
      </w:r>
      <w:r w:rsidRPr="00A54361">
        <w:rPr>
          <w:rFonts w:eastAsia="Times New Roman" w:cstheme="minorHAnsi"/>
          <w:spacing w:val="3"/>
        </w:rPr>
        <w:t xml:space="preserve"> </w:t>
      </w:r>
      <w:r w:rsidRPr="00A54361">
        <w:rPr>
          <w:rFonts w:eastAsia="Times New Roman" w:cstheme="minorHAnsi"/>
        </w:rPr>
        <w:t>d</w:t>
      </w:r>
      <w:r w:rsidRPr="00A54361">
        <w:rPr>
          <w:rFonts w:eastAsia="Times New Roman" w:cstheme="minorHAnsi"/>
          <w:spacing w:val="-1"/>
        </w:rPr>
        <w:t>ea</w:t>
      </w:r>
      <w:r w:rsidRPr="00A54361">
        <w:rPr>
          <w:rFonts w:eastAsia="Times New Roman" w:cstheme="minorHAnsi"/>
        </w:rPr>
        <w:t>l</w:t>
      </w:r>
      <w:r w:rsidRPr="00A54361">
        <w:rPr>
          <w:rFonts w:eastAsia="Times New Roman" w:cstheme="minorHAnsi"/>
          <w:spacing w:val="1"/>
        </w:rPr>
        <w:t>i</w:t>
      </w:r>
      <w:r w:rsidRPr="00A54361">
        <w:rPr>
          <w:rFonts w:eastAsia="Times New Roman" w:cstheme="minorHAnsi"/>
          <w:spacing w:val="2"/>
        </w:rPr>
        <w:t>n</w:t>
      </w:r>
      <w:r w:rsidRPr="00A54361">
        <w:rPr>
          <w:rFonts w:eastAsia="Times New Roman" w:cstheme="minorHAnsi"/>
          <w:spacing w:val="-2"/>
        </w:rPr>
        <w:t>g</w:t>
      </w:r>
      <w:r w:rsidRPr="00A54361">
        <w:rPr>
          <w:rFonts w:eastAsia="Times New Roman" w:cstheme="minorHAnsi"/>
        </w:rPr>
        <w:t>s</w:t>
      </w:r>
      <w:r w:rsidRPr="00A54361">
        <w:rPr>
          <w:rFonts w:eastAsia="Times New Roman" w:cstheme="minorHAnsi"/>
          <w:spacing w:val="2"/>
        </w:rPr>
        <w:t xml:space="preserve"> </w:t>
      </w:r>
      <w:r w:rsidRPr="00A54361">
        <w:rPr>
          <w:rFonts w:eastAsia="Times New Roman" w:cstheme="minorHAnsi"/>
        </w:rPr>
        <w:t>p</w:t>
      </w:r>
      <w:r w:rsidRPr="00A54361">
        <w:rPr>
          <w:rFonts w:eastAsia="Times New Roman" w:cstheme="minorHAnsi"/>
          <w:spacing w:val="-1"/>
        </w:rPr>
        <w:t>e</w:t>
      </w:r>
      <w:r w:rsidRPr="00A54361">
        <w:rPr>
          <w:rFonts w:eastAsia="Times New Roman" w:cstheme="minorHAnsi"/>
        </w:rPr>
        <w:t>ndi</w:t>
      </w:r>
      <w:r w:rsidRPr="00A54361">
        <w:rPr>
          <w:rFonts w:eastAsia="Times New Roman" w:cstheme="minorHAnsi"/>
          <w:spacing w:val="3"/>
        </w:rPr>
        <w:t>n</w:t>
      </w:r>
      <w:r w:rsidRPr="00A54361">
        <w:rPr>
          <w:rFonts w:eastAsia="Times New Roman" w:cstheme="minorHAnsi"/>
        </w:rPr>
        <w:t>g in</w:t>
      </w:r>
      <w:r w:rsidRPr="00A54361">
        <w:rPr>
          <w:rFonts w:eastAsia="Times New Roman" w:cstheme="minorHAnsi"/>
          <w:spacing w:val="3"/>
        </w:rPr>
        <w:t>v</w:t>
      </w:r>
      <w:r w:rsidRPr="00A54361">
        <w:rPr>
          <w:rFonts w:eastAsia="Times New Roman" w:cstheme="minorHAnsi"/>
          <w:spacing w:val="-1"/>
        </w:rPr>
        <w:t>e</w:t>
      </w:r>
      <w:r w:rsidRPr="00A54361">
        <w:rPr>
          <w:rFonts w:eastAsia="Times New Roman" w:cstheme="minorHAnsi"/>
        </w:rPr>
        <w:t>st</w:t>
      </w:r>
      <w:r w:rsidRPr="00A54361">
        <w:rPr>
          <w:rFonts w:eastAsia="Times New Roman" w:cstheme="minorHAnsi"/>
          <w:spacing w:val="1"/>
        </w:rPr>
        <w:t>i</w:t>
      </w:r>
      <w:r w:rsidRPr="00A54361">
        <w:rPr>
          <w:rFonts w:eastAsia="Times New Roman" w:cstheme="minorHAnsi"/>
          <w:spacing w:val="-2"/>
        </w:rPr>
        <w:t>g</w:t>
      </w:r>
      <w:r w:rsidRPr="00A54361">
        <w:rPr>
          <w:rFonts w:eastAsia="Times New Roman" w:cstheme="minorHAnsi"/>
          <w:spacing w:val="-1"/>
        </w:rPr>
        <w:t>a</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on,</w:t>
      </w:r>
      <w:r w:rsidRPr="00A54361">
        <w:rPr>
          <w:rFonts w:eastAsia="Times New Roman" w:cstheme="minorHAnsi"/>
          <w:spacing w:val="2"/>
        </w:rPr>
        <w:t xml:space="preserve"> </w:t>
      </w:r>
      <w:r w:rsidRPr="00A54361">
        <w:rPr>
          <w:rFonts w:eastAsia="Times New Roman" w:cstheme="minorHAnsi"/>
        </w:rPr>
        <w:t>it</w:t>
      </w:r>
      <w:r w:rsidRPr="00A54361">
        <w:rPr>
          <w:rFonts w:eastAsia="Times New Roman" w:cstheme="minorHAnsi"/>
          <w:spacing w:val="3"/>
        </w:rPr>
        <w:t xml:space="preserve"> </w:t>
      </w:r>
      <w:r w:rsidRPr="00A54361">
        <w:rPr>
          <w:rFonts w:eastAsia="Times New Roman" w:cstheme="minorHAnsi"/>
        </w:rPr>
        <w:t>m</w:t>
      </w:r>
      <w:r w:rsidRPr="00A54361">
        <w:rPr>
          <w:rFonts w:eastAsia="Times New Roman" w:cstheme="minorHAnsi"/>
          <w:spacing w:val="4"/>
        </w:rPr>
        <w:t>a</w:t>
      </w:r>
      <w:r w:rsidRPr="00A54361">
        <w:rPr>
          <w:rFonts w:eastAsia="Times New Roman" w:cstheme="minorHAnsi"/>
        </w:rPr>
        <w:t>y</w:t>
      </w:r>
      <w:r w:rsidRPr="00A54361">
        <w:rPr>
          <w:rFonts w:eastAsia="Times New Roman" w:cstheme="minorHAnsi"/>
          <w:spacing w:val="-3"/>
        </w:rPr>
        <w:t xml:space="preserve"> </w:t>
      </w:r>
      <w:r w:rsidRPr="00A54361">
        <w:rPr>
          <w:rFonts w:eastAsia="Times New Roman" w:cstheme="minorHAnsi"/>
        </w:rPr>
        <w:t>suspe</w:t>
      </w:r>
      <w:r w:rsidRPr="00A54361">
        <w:rPr>
          <w:rFonts w:eastAsia="Times New Roman" w:cstheme="minorHAnsi"/>
          <w:spacing w:val="2"/>
        </w:rPr>
        <w:t>n</w:t>
      </w:r>
      <w:r w:rsidRPr="00A54361">
        <w:rPr>
          <w:rFonts w:eastAsia="Times New Roman" w:cstheme="minorHAnsi"/>
        </w:rPr>
        <w:t>d</w:t>
      </w:r>
      <w:r w:rsidRPr="00A54361">
        <w:rPr>
          <w:rFonts w:eastAsia="Times New Roman" w:cstheme="minorHAnsi"/>
          <w:spacing w:val="2"/>
        </w:rPr>
        <w:t xml:space="preserve"> </w:t>
      </w:r>
      <w:r w:rsidRPr="00A54361">
        <w:rPr>
          <w:rFonts w:eastAsia="Times New Roman" w:cstheme="minorHAnsi"/>
        </w:rPr>
        <w:t>busin</w:t>
      </w:r>
      <w:r w:rsidRPr="00A54361">
        <w:rPr>
          <w:rFonts w:eastAsia="Times New Roman" w:cstheme="minorHAnsi"/>
          <w:spacing w:val="-1"/>
        </w:rPr>
        <w:t>e</w:t>
      </w:r>
      <w:r w:rsidRPr="00A54361">
        <w:rPr>
          <w:rFonts w:eastAsia="Times New Roman" w:cstheme="minorHAnsi"/>
        </w:rPr>
        <w:t>ss</w:t>
      </w:r>
      <w:r w:rsidRPr="00A54361">
        <w:rPr>
          <w:rFonts w:eastAsia="Times New Roman" w:cstheme="minorHAnsi"/>
          <w:spacing w:val="3"/>
        </w:rPr>
        <w:t xml:space="preserve"> </w:t>
      </w:r>
      <w:r w:rsidRPr="00A54361">
        <w:rPr>
          <w:rFonts w:eastAsia="Times New Roman" w:cstheme="minorHAnsi"/>
        </w:rPr>
        <w:t>d</w:t>
      </w:r>
      <w:r w:rsidRPr="00A54361">
        <w:rPr>
          <w:rFonts w:eastAsia="Times New Roman" w:cstheme="minorHAnsi"/>
          <w:spacing w:val="-1"/>
        </w:rPr>
        <w:t>ea</w:t>
      </w:r>
      <w:r w:rsidRPr="00A54361">
        <w:rPr>
          <w:rFonts w:eastAsia="Times New Roman" w:cstheme="minorHAnsi"/>
        </w:rPr>
        <w:t>l</w:t>
      </w:r>
      <w:r w:rsidRPr="00A54361">
        <w:rPr>
          <w:rFonts w:eastAsia="Times New Roman" w:cstheme="minorHAnsi"/>
          <w:spacing w:val="1"/>
        </w:rPr>
        <w:t>i</w:t>
      </w:r>
      <w:r w:rsidRPr="00A54361">
        <w:rPr>
          <w:rFonts w:eastAsia="Times New Roman" w:cstheme="minorHAnsi"/>
        </w:rPr>
        <w:t>n</w:t>
      </w:r>
      <w:r w:rsidRPr="00A54361">
        <w:rPr>
          <w:rFonts w:eastAsia="Times New Roman" w:cstheme="minorHAnsi"/>
          <w:spacing w:val="-2"/>
        </w:rPr>
        <w:t>g</w:t>
      </w:r>
      <w:r w:rsidRPr="00A54361">
        <w:rPr>
          <w:rFonts w:eastAsia="Times New Roman" w:cstheme="minorHAnsi"/>
        </w:rPr>
        <w:t>s with</w:t>
      </w:r>
      <w:r w:rsidRPr="00A54361">
        <w:rPr>
          <w:rFonts w:eastAsia="Times New Roman" w:cstheme="minorHAnsi"/>
          <w:spacing w:val="-14"/>
        </w:rPr>
        <w:t xml:space="preserve"> </w:t>
      </w:r>
      <w:r w:rsidRPr="00A54361">
        <w:rPr>
          <w:rFonts w:eastAsia="Times New Roman" w:cstheme="minorHAnsi"/>
        </w:rPr>
        <w:t>the</w:t>
      </w:r>
      <w:r w:rsidRPr="00A54361">
        <w:rPr>
          <w:rFonts w:eastAsia="Times New Roman" w:cstheme="minorHAnsi"/>
          <w:spacing w:val="-15"/>
        </w:rPr>
        <w:t xml:space="preserve"> </w:t>
      </w:r>
      <w:r w:rsidRPr="00A54361">
        <w:rPr>
          <w:rFonts w:eastAsia="Times New Roman" w:cstheme="minorHAnsi"/>
          <w:spacing w:val="2"/>
        </w:rPr>
        <w:t>A</w:t>
      </w:r>
      <w:r w:rsidRPr="00A54361">
        <w:rPr>
          <w:rFonts w:eastAsia="Times New Roman" w:cstheme="minorHAnsi"/>
          <w:spacing w:val="-2"/>
        </w:rPr>
        <w:t>g</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4"/>
        </w:rPr>
        <w:t>c</w:t>
      </w:r>
      <w:r w:rsidRPr="00A54361">
        <w:rPr>
          <w:rFonts w:eastAsia="Times New Roman" w:cstheme="minorHAnsi"/>
          <w:spacing w:val="-5"/>
        </w:rPr>
        <w:t>y</w:t>
      </w:r>
      <w:r w:rsidRPr="00A54361">
        <w:rPr>
          <w:rFonts w:eastAsia="Times New Roman" w:cstheme="minorHAnsi"/>
        </w:rPr>
        <w:t>.</w:t>
      </w:r>
      <w:r w:rsidRPr="00A54361">
        <w:rPr>
          <w:rFonts w:eastAsia="Times New Roman" w:cstheme="minorHAnsi"/>
          <w:spacing w:val="-12"/>
        </w:rPr>
        <w:t xml:space="preserve"> </w:t>
      </w:r>
      <w:r w:rsidRPr="00A54361">
        <w:rPr>
          <w:rFonts w:eastAsia="Times New Roman" w:cstheme="minorHAnsi"/>
        </w:rPr>
        <w:t>The</w:t>
      </w:r>
      <w:r w:rsidRPr="00A54361">
        <w:rPr>
          <w:rFonts w:eastAsia="Times New Roman" w:cstheme="minorHAnsi"/>
          <w:spacing w:val="-16"/>
        </w:rPr>
        <w:t xml:space="preserve"> </w:t>
      </w:r>
      <w:r w:rsidRPr="00A54361">
        <w:rPr>
          <w:rFonts w:eastAsia="Times New Roman" w:cstheme="minorHAnsi"/>
          <w:spacing w:val="2"/>
        </w:rPr>
        <w:t>o</w:t>
      </w:r>
      <w:r w:rsidRPr="00A54361">
        <w:rPr>
          <w:rFonts w:eastAsia="Times New Roman" w:cstheme="minorHAnsi"/>
        </w:rPr>
        <w:t>r</w:t>
      </w:r>
      <w:r w:rsidRPr="00A54361">
        <w:rPr>
          <w:rFonts w:eastAsia="Times New Roman" w:cstheme="minorHAnsi"/>
          <w:spacing w:val="1"/>
        </w:rPr>
        <w:t>d</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15"/>
        </w:rPr>
        <w:t xml:space="preserve"> </w:t>
      </w:r>
      <w:r w:rsidRPr="00A54361">
        <w:rPr>
          <w:rFonts w:eastAsia="Times New Roman" w:cstheme="minorHAnsi"/>
        </w:rPr>
        <w:t>to</w:t>
      </w:r>
      <w:r w:rsidRPr="00A54361">
        <w:rPr>
          <w:rFonts w:eastAsia="Times New Roman" w:cstheme="minorHAnsi"/>
          <w:spacing w:val="-14"/>
        </w:rPr>
        <w:t xml:space="preserve"> </w:t>
      </w:r>
      <w:r w:rsidRPr="00A54361">
        <w:rPr>
          <w:rFonts w:eastAsia="Times New Roman" w:cstheme="minorHAnsi"/>
        </w:rPr>
        <w:t>th</w:t>
      </w:r>
      <w:r w:rsidRPr="00A54361">
        <w:rPr>
          <w:rFonts w:eastAsia="Times New Roman" w:cstheme="minorHAnsi"/>
          <w:spacing w:val="1"/>
        </w:rPr>
        <w:t>i</w:t>
      </w:r>
      <w:r w:rsidRPr="00A54361">
        <w:rPr>
          <w:rFonts w:eastAsia="Times New Roman" w:cstheme="minorHAnsi"/>
        </w:rPr>
        <w:t>s</w:t>
      </w:r>
      <w:r w:rsidRPr="00A54361">
        <w:rPr>
          <w:rFonts w:eastAsia="Times New Roman" w:cstheme="minorHAnsi"/>
          <w:spacing w:val="-14"/>
        </w:rPr>
        <w:t xml:space="preserve"> </w:t>
      </w:r>
      <w:r w:rsidRPr="00A54361">
        <w:rPr>
          <w:rFonts w:eastAsia="Times New Roman" w:cstheme="minorHAnsi"/>
          <w:spacing w:val="-1"/>
        </w:rPr>
        <w:t>e</w:t>
      </w:r>
      <w:r w:rsidRPr="00A54361">
        <w:rPr>
          <w:rFonts w:eastAsia="Times New Roman" w:cstheme="minorHAnsi"/>
          <w:spacing w:val="1"/>
        </w:rPr>
        <w:t>f</w:t>
      </w:r>
      <w:r w:rsidRPr="00A54361">
        <w:rPr>
          <w:rFonts w:eastAsia="Times New Roman" w:cstheme="minorHAnsi"/>
        </w:rPr>
        <w:t>f</w:t>
      </w:r>
      <w:r w:rsidRPr="00A54361">
        <w:rPr>
          <w:rFonts w:eastAsia="Times New Roman" w:cstheme="minorHAnsi"/>
          <w:spacing w:val="-2"/>
        </w:rPr>
        <w:t>e</w:t>
      </w:r>
      <w:r w:rsidRPr="00A54361">
        <w:rPr>
          <w:rFonts w:eastAsia="Times New Roman" w:cstheme="minorHAnsi"/>
          <w:spacing w:val="-1"/>
        </w:rPr>
        <w:t>c</w:t>
      </w:r>
      <w:r w:rsidRPr="00A54361">
        <w:rPr>
          <w:rFonts w:eastAsia="Times New Roman" w:cstheme="minorHAnsi"/>
        </w:rPr>
        <w:t>t</w:t>
      </w:r>
      <w:r w:rsidRPr="00A54361">
        <w:rPr>
          <w:rFonts w:eastAsia="Times New Roman" w:cstheme="minorHAnsi"/>
          <w:spacing w:val="-14"/>
        </w:rPr>
        <w:t xml:space="preserve"> </w:t>
      </w:r>
      <w:r w:rsidRPr="00A54361">
        <w:rPr>
          <w:rFonts w:eastAsia="Times New Roman" w:cstheme="minorHAnsi"/>
        </w:rPr>
        <w:t>m</w:t>
      </w:r>
      <w:r w:rsidRPr="00A54361">
        <w:rPr>
          <w:rFonts w:eastAsia="Times New Roman" w:cstheme="minorHAnsi"/>
          <w:spacing w:val="4"/>
        </w:rPr>
        <w:t>a</w:t>
      </w:r>
      <w:r w:rsidRPr="00A54361">
        <w:rPr>
          <w:rFonts w:eastAsia="Times New Roman" w:cstheme="minorHAnsi"/>
        </w:rPr>
        <w:t>y</w:t>
      </w:r>
      <w:r w:rsidRPr="00A54361">
        <w:rPr>
          <w:rFonts w:eastAsia="Times New Roman" w:cstheme="minorHAnsi"/>
          <w:spacing w:val="-19"/>
        </w:rPr>
        <w:t xml:space="preserve"> </w:t>
      </w:r>
      <w:r w:rsidRPr="00A54361">
        <w:rPr>
          <w:rFonts w:eastAsia="Times New Roman" w:cstheme="minorHAnsi"/>
        </w:rPr>
        <w:t>ind</w:t>
      </w:r>
      <w:r w:rsidRPr="00A54361">
        <w:rPr>
          <w:rFonts w:eastAsia="Times New Roman" w:cstheme="minorHAnsi"/>
          <w:spacing w:val="3"/>
        </w:rPr>
        <w:t>i</w:t>
      </w:r>
      <w:r w:rsidRPr="00A54361">
        <w:rPr>
          <w:rFonts w:eastAsia="Times New Roman" w:cstheme="minorHAnsi"/>
          <w:spacing w:val="1"/>
        </w:rPr>
        <w:t>c</w:t>
      </w:r>
      <w:r w:rsidRPr="00A54361">
        <w:rPr>
          <w:rFonts w:eastAsia="Times New Roman" w:cstheme="minorHAnsi"/>
          <w:spacing w:val="-1"/>
        </w:rPr>
        <w:t>a</w:t>
      </w:r>
      <w:r w:rsidRPr="00A54361">
        <w:rPr>
          <w:rFonts w:eastAsia="Times New Roman" w:cstheme="minorHAnsi"/>
        </w:rPr>
        <w:t>te</w:t>
      </w:r>
      <w:r w:rsidRPr="00A54361">
        <w:rPr>
          <w:rFonts w:eastAsia="Times New Roman" w:cstheme="minorHAnsi"/>
          <w:spacing w:val="-15"/>
        </w:rPr>
        <w:t xml:space="preserve"> </w:t>
      </w:r>
      <w:r w:rsidRPr="00A54361">
        <w:rPr>
          <w:rFonts w:eastAsia="Times New Roman" w:cstheme="minorHAnsi"/>
        </w:rPr>
        <w:t>a</w:t>
      </w:r>
      <w:r w:rsidRPr="00A54361">
        <w:rPr>
          <w:rFonts w:eastAsia="Times New Roman" w:cstheme="minorHAnsi"/>
          <w:spacing w:val="-15"/>
        </w:rPr>
        <w:t xml:space="preserve"> </w:t>
      </w:r>
      <w:r w:rsidRPr="00A54361">
        <w:rPr>
          <w:rFonts w:eastAsia="Times New Roman" w:cstheme="minorHAnsi"/>
          <w:spacing w:val="2"/>
        </w:rPr>
        <w:t>b</w:t>
      </w:r>
      <w:r w:rsidRPr="00A54361">
        <w:rPr>
          <w:rFonts w:eastAsia="Times New Roman" w:cstheme="minorHAnsi"/>
        </w:rPr>
        <w:t>ri</w:t>
      </w:r>
      <w:r w:rsidRPr="00A54361">
        <w:rPr>
          <w:rFonts w:eastAsia="Times New Roman" w:cstheme="minorHAnsi"/>
          <w:spacing w:val="-1"/>
        </w:rPr>
        <w:t>e</w:t>
      </w:r>
      <w:r w:rsidRPr="00A54361">
        <w:rPr>
          <w:rFonts w:eastAsia="Times New Roman" w:cstheme="minorHAnsi"/>
        </w:rPr>
        <w:t>f</w:t>
      </w:r>
      <w:r w:rsidRPr="00A54361">
        <w:rPr>
          <w:rFonts w:eastAsia="Times New Roman" w:cstheme="minorHAnsi"/>
          <w:spacing w:val="-15"/>
        </w:rPr>
        <w:t xml:space="preserve"> </w:t>
      </w:r>
      <w:r w:rsidRPr="00A54361">
        <w:rPr>
          <w:rFonts w:eastAsia="Times New Roman" w:cstheme="minorHAnsi"/>
          <w:spacing w:val="2"/>
        </w:rPr>
        <w:t>o</w:t>
      </w:r>
      <w:r w:rsidRPr="00A54361">
        <w:rPr>
          <w:rFonts w:eastAsia="Times New Roman" w:cstheme="minorHAnsi"/>
        </w:rPr>
        <w:t>f</w:t>
      </w:r>
      <w:r w:rsidRPr="00A54361">
        <w:rPr>
          <w:rFonts w:eastAsia="Times New Roman" w:cstheme="minorHAnsi"/>
          <w:spacing w:val="-15"/>
        </w:rPr>
        <w:t xml:space="preserve"> </w:t>
      </w:r>
      <w:r w:rsidRPr="00A54361">
        <w:rPr>
          <w:rFonts w:eastAsia="Times New Roman" w:cstheme="minorHAnsi"/>
        </w:rPr>
        <w:t>the</w:t>
      </w:r>
      <w:r w:rsidRPr="00A54361">
        <w:rPr>
          <w:rFonts w:eastAsia="Times New Roman" w:cstheme="minorHAnsi"/>
          <w:spacing w:val="-12"/>
        </w:rPr>
        <w:t xml:space="preserve"> </w:t>
      </w:r>
      <w:r w:rsidRPr="00A54361">
        <w:rPr>
          <w:rFonts w:eastAsia="Times New Roman" w:cstheme="minorHAnsi"/>
          <w:spacing w:val="-1"/>
        </w:rPr>
        <w:t>c</w:t>
      </w:r>
      <w:r w:rsidRPr="00A54361">
        <w:rPr>
          <w:rFonts w:eastAsia="Times New Roman" w:cstheme="minorHAnsi"/>
        </w:rPr>
        <w:t>h</w:t>
      </w:r>
      <w:r w:rsidRPr="00A54361">
        <w:rPr>
          <w:rFonts w:eastAsia="Times New Roman" w:cstheme="minorHAnsi"/>
          <w:spacing w:val="-1"/>
        </w:rPr>
        <w:t>a</w:t>
      </w:r>
      <w:r w:rsidRPr="00A54361">
        <w:rPr>
          <w:rFonts w:eastAsia="Times New Roman" w:cstheme="minorHAnsi"/>
          <w:spacing w:val="1"/>
        </w:rPr>
        <w:t>r</w:t>
      </w:r>
      <w:r w:rsidRPr="00A54361">
        <w:rPr>
          <w:rFonts w:eastAsia="Times New Roman" w:cstheme="minorHAnsi"/>
        </w:rPr>
        <w:t>g</w:t>
      </w:r>
      <w:r w:rsidRPr="00A54361">
        <w:rPr>
          <w:rFonts w:eastAsia="Times New Roman" w:cstheme="minorHAnsi"/>
          <w:spacing w:val="-1"/>
        </w:rPr>
        <w:t>e</w:t>
      </w:r>
      <w:r w:rsidRPr="00A54361">
        <w:rPr>
          <w:rFonts w:eastAsia="Times New Roman" w:cstheme="minorHAnsi"/>
        </w:rPr>
        <w:t>s</w:t>
      </w:r>
      <w:r w:rsidRPr="00A54361">
        <w:rPr>
          <w:rFonts w:eastAsia="Times New Roman" w:cstheme="minorHAnsi"/>
          <w:spacing w:val="-12"/>
        </w:rPr>
        <w:t xml:space="preserve"> </w:t>
      </w:r>
      <w:r w:rsidRPr="00A54361">
        <w:rPr>
          <w:rFonts w:eastAsia="Times New Roman" w:cstheme="minorHAnsi"/>
        </w:rPr>
        <w:t>und</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15"/>
        </w:rPr>
        <w:t xml:space="preserve"> </w:t>
      </w:r>
      <w:r w:rsidRPr="00A54361">
        <w:rPr>
          <w:rFonts w:eastAsia="Times New Roman" w:cstheme="minorHAnsi"/>
        </w:rPr>
        <w:t>invest</w:t>
      </w:r>
      <w:r w:rsidRPr="00A54361">
        <w:rPr>
          <w:rFonts w:eastAsia="Times New Roman" w:cstheme="minorHAnsi"/>
          <w:spacing w:val="3"/>
        </w:rPr>
        <w:t>i</w:t>
      </w:r>
      <w:r w:rsidRPr="00A54361">
        <w:rPr>
          <w:rFonts w:eastAsia="Times New Roman" w:cstheme="minorHAnsi"/>
          <w:spacing w:val="-2"/>
        </w:rPr>
        <w:t>g</w:t>
      </w:r>
      <w:r w:rsidRPr="00A54361">
        <w:rPr>
          <w:rFonts w:eastAsia="Times New Roman" w:cstheme="minorHAnsi"/>
          <w:spacing w:val="-1"/>
        </w:rPr>
        <w:t>a</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 xml:space="preserve">on. </w:t>
      </w:r>
      <w:r w:rsidRPr="00A54361">
        <w:rPr>
          <w:rFonts w:eastAsia="Times New Roman" w:cstheme="minorHAnsi"/>
          <w:spacing w:val="-3"/>
        </w:rPr>
        <w:t>I</w:t>
      </w:r>
      <w:r w:rsidRPr="00A54361">
        <w:rPr>
          <w:rFonts w:eastAsia="Times New Roman" w:cstheme="minorHAnsi"/>
        </w:rPr>
        <w:t>f</w:t>
      </w:r>
      <w:r w:rsidRPr="00A54361">
        <w:rPr>
          <w:rFonts w:eastAsia="Times New Roman" w:cstheme="minorHAnsi"/>
          <w:spacing w:val="-1"/>
        </w:rPr>
        <w:t xml:space="preserve"> </w:t>
      </w:r>
      <w:r w:rsidRPr="00A54361">
        <w:rPr>
          <w:rFonts w:eastAsia="Times New Roman" w:cstheme="minorHAnsi"/>
        </w:rPr>
        <w:t>it</w:t>
      </w:r>
      <w:r w:rsidRPr="00A54361">
        <w:rPr>
          <w:rFonts w:eastAsia="Times New Roman" w:cstheme="minorHAnsi"/>
          <w:spacing w:val="-2"/>
        </w:rPr>
        <w:t xml:space="preserve"> </w:t>
      </w:r>
      <w:r w:rsidRPr="00A54361">
        <w:rPr>
          <w:rFonts w:eastAsia="Times New Roman" w:cstheme="minorHAnsi"/>
        </w:rPr>
        <w:t>is</w:t>
      </w:r>
      <w:r w:rsidRPr="00A54361">
        <w:rPr>
          <w:rFonts w:eastAsia="Times New Roman" w:cstheme="minorHAnsi"/>
          <w:spacing w:val="-2"/>
        </w:rPr>
        <w:t xml:space="preserve"> </w:t>
      </w:r>
      <w:r w:rsidRPr="00A54361">
        <w:rPr>
          <w:rFonts w:eastAsia="Times New Roman" w:cstheme="minorHAnsi"/>
        </w:rPr>
        <w:t>d</w:t>
      </w:r>
      <w:r w:rsidRPr="00A54361">
        <w:rPr>
          <w:rFonts w:eastAsia="Times New Roman" w:cstheme="minorHAnsi"/>
          <w:spacing w:val="-1"/>
        </w:rPr>
        <w:t>ec</w:t>
      </w:r>
      <w:r w:rsidRPr="00A54361">
        <w:rPr>
          <w:rFonts w:eastAsia="Times New Roman" w:cstheme="minorHAnsi"/>
        </w:rPr>
        <w:t>ided</w:t>
      </w:r>
      <w:r w:rsidRPr="00A54361">
        <w:rPr>
          <w:rFonts w:eastAsia="Times New Roman" w:cstheme="minorHAnsi"/>
          <w:spacing w:val="-3"/>
        </w:rPr>
        <w:t xml:space="preserve"> </w:t>
      </w:r>
      <w:r w:rsidRPr="00A54361">
        <w:rPr>
          <w:rFonts w:eastAsia="Times New Roman" w:cstheme="minorHAnsi"/>
        </w:rPr>
        <w:t>that</w:t>
      </w:r>
      <w:r w:rsidRPr="00A54361">
        <w:rPr>
          <w:rFonts w:eastAsia="Times New Roman" w:cstheme="minorHAnsi"/>
          <w:spacing w:val="-2"/>
        </w:rPr>
        <w:t xml:space="preserve"> </w:t>
      </w:r>
      <w:r w:rsidRPr="00A54361">
        <w:rPr>
          <w:rFonts w:eastAsia="Times New Roman" w:cstheme="minorHAnsi"/>
        </w:rPr>
        <w:t>in</w:t>
      </w:r>
      <w:r w:rsidRPr="00A54361">
        <w:rPr>
          <w:rFonts w:eastAsia="Times New Roman" w:cstheme="minorHAnsi"/>
          <w:spacing w:val="1"/>
        </w:rPr>
        <w:t>t</w:t>
      </w:r>
      <w:r w:rsidRPr="00A54361">
        <w:rPr>
          <w:rFonts w:eastAsia="Times New Roman" w:cstheme="minorHAnsi"/>
          <w:spacing w:val="-1"/>
        </w:rPr>
        <w:t>e</w:t>
      </w:r>
      <w:r w:rsidRPr="00A54361">
        <w:rPr>
          <w:rFonts w:eastAsia="Times New Roman" w:cstheme="minorHAnsi"/>
          <w:spacing w:val="2"/>
        </w:rPr>
        <w:t>r-</w:t>
      </w:r>
      <w:r w:rsidRPr="00A54361">
        <w:rPr>
          <w:rFonts w:eastAsia="Times New Roman" w:cstheme="minorHAnsi"/>
          <w:spacing w:val="-1"/>
        </w:rPr>
        <w:t>c</w:t>
      </w:r>
      <w:r w:rsidRPr="00A54361">
        <w:rPr>
          <w:rFonts w:eastAsia="Times New Roman" w:cstheme="minorHAnsi"/>
        </w:rPr>
        <w:t>onn</w:t>
      </w:r>
      <w:r w:rsidRPr="00A54361">
        <w:rPr>
          <w:rFonts w:eastAsia="Times New Roman" w:cstheme="minorHAnsi"/>
          <w:spacing w:val="-1"/>
        </w:rPr>
        <w:t>ec</w:t>
      </w:r>
      <w:r w:rsidRPr="00A54361">
        <w:rPr>
          <w:rFonts w:eastAsia="Times New Roman" w:cstheme="minorHAnsi"/>
        </w:rPr>
        <w:t xml:space="preserve">ted </w:t>
      </w:r>
      <w:r w:rsidRPr="00A54361">
        <w:rPr>
          <w:rFonts w:eastAsia="Times New Roman" w:cstheme="minorHAnsi"/>
          <w:spacing w:val="1"/>
        </w:rPr>
        <w:t>A</w:t>
      </w:r>
      <w:r w:rsidRPr="00A54361">
        <w:rPr>
          <w:rFonts w:eastAsia="Times New Roman" w:cstheme="minorHAnsi"/>
          <w:spacing w:val="-2"/>
        </w:rPr>
        <w:t>g</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1"/>
        </w:rPr>
        <w:t>c</w:t>
      </w:r>
      <w:r w:rsidRPr="00A54361">
        <w:rPr>
          <w:rFonts w:eastAsia="Times New Roman" w:cstheme="minorHAnsi"/>
          <w:spacing w:val="3"/>
        </w:rPr>
        <w:t>i</w:t>
      </w:r>
      <w:r w:rsidRPr="00A54361">
        <w:rPr>
          <w:rFonts w:eastAsia="Times New Roman" w:cstheme="minorHAnsi"/>
          <w:spacing w:val="-1"/>
        </w:rPr>
        <w:t>e</w:t>
      </w:r>
      <w:r w:rsidRPr="00A54361">
        <w:rPr>
          <w:rFonts w:eastAsia="Times New Roman" w:cstheme="minorHAnsi"/>
        </w:rPr>
        <w:t>s</w:t>
      </w:r>
      <w:r w:rsidRPr="00A54361">
        <w:rPr>
          <w:rFonts w:eastAsia="Times New Roman" w:cstheme="minorHAnsi"/>
          <w:spacing w:val="-2"/>
        </w:rPr>
        <w:t xml:space="preserve"> </w:t>
      </w:r>
      <w:r w:rsidRPr="00A54361">
        <w:rPr>
          <w:rFonts w:eastAsia="Times New Roman" w:cstheme="minorHAnsi"/>
        </w:rPr>
        <w:t>wo</w:t>
      </w:r>
      <w:r w:rsidRPr="00A54361">
        <w:rPr>
          <w:rFonts w:eastAsia="Times New Roman" w:cstheme="minorHAnsi"/>
          <w:spacing w:val="2"/>
        </w:rPr>
        <w:t>u</w:t>
      </w:r>
      <w:r w:rsidRPr="00A54361">
        <w:rPr>
          <w:rFonts w:eastAsia="Times New Roman" w:cstheme="minorHAnsi"/>
        </w:rPr>
        <w:t>ld</w:t>
      </w:r>
      <w:r w:rsidRPr="00A54361">
        <w:rPr>
          <w:rFonts w:eastAsia="Times New Roman" w:cstheme="minorHAnsi"/>
          <w:spacing w:val="-2"/>
        </w:rPr>
        <w:t xml:space="preserve"> </w:t>
      </w:r>
      <w:r w:rsidRPr="00A54361">
        <w:rPr>
          <w:rFonts w:eastAsia="Times New Roman" w:cstheme="minorHAnsi"/>
          <w:spacing w:val="-1"/>
        </w:rPr>
        <w:t>a</w:t>
      </w:r>
      <w:r w:rsidRPr="00A54361">
        <w:rPr>
          <w:rFonts w:eastAsia="Times New Roman" w:cstheme="minorHAnsi"/>
        </w:rPr>
        <w:t>lso</w:t>
      </w:r>
      <w:r w:rsidRPr="00A54361">
        <w:rPr>
          <w:rFonts w:eastAsia="Times New Roman" w:cstheme="minorHAnsi"/>
          <w:spacing w:val="-2"/>
        </w:rPr>
        <w:t xml:space="preserve"> </w:t>
      </w:r>
      <w:r w:rsidRPr="00A54361">
        <w:rPr>
          <w:rFonts w:eastAsia="Times New Roman" w:cstheme="minorHAnsi"/>
          <w:spacing w:val="-1"/>
        </w:rPr>
        <w:t>c</w:t>
      </w:r>
      <w:r w:rsidRPr="00A54361">
        <w:rPr>
          <w:rFonts w:eastAsia="Times New Roman" w:cstheme="minorHAnsi"/>
        </w:rPr>
        <w:t>ome</w:t>
      </w:r>
      <w:r w:rsidRPr="00A54361">
        <w:rPr>
          <w:rFonts w:eastAsia="Times New Roman" w:cstheme="minorHAnsi"/>
          <w:spacing w:val="-3"/>
        </w:rPr>
        <w:t xml:space="preserve"> </w:t>
      </w:r>
      <w:r w:rsidRPr="00A54361">
        <w:rPr>
          <w:rFonts w:eastAsia="Times New Roman" w:cstheme="minorHAnsi"/>
        </w:rPr>
        <w:t>with</w:t>
      </w:r>
      <w:r w:rsidRPr="00A54361">
        <w:rPr>
          <w:rFonts w:eastAsia="Times New Roman" w:cstheme="minorHAnsi"/>
          <w:spacing w:val="1"/>
        </w:rPr>
        <w:t>i</w:t>
      </w:r>
      <w:r w:rsidRPr="00A54361">
        <w:rPr>
          <w:rFonts w:eastAsia="Times New Roman" w:cstheme="minorHAnsi"/>
        </w:rPr>
        <w:t>n</w:t>
      </w:r>
      <w:r w:rsidRPr="00A54361">
        <w:rPr>
          <w:rFonts w:eastAsia="Times New Roman" w:cstheme="minorHAnsi"/>
          <w:spacing w:val="-2"/>
        </w:rPr>
        <w:t xml:space="preserve"> </w:t>
      </w:r>
      <w:r w:rsidRPr="00A54361">
        <w:rPr>
          <w:rFonts w:eastAsia="Times New Roman" w:cstheme="minorHAnsi"/>
        </w:rPr>
        <w:t>the</w:t>
      </w:r>
      <w:r w:rsidRPr="00A54361">
        <w:rPr>
          <w:rFonts w:eastAsia="Times New Roman" w:cstheme="minorHAnsi"/>
          <w:spacing w:val="-3"/>
        </w:rPr>
        <w:t xml:space="preserve"> </w:t>
      </w:r>
      <w:r w:rsidRPr="00A54361">
        <w:rPr>
          <w:rFonts w:eastAsia="Times New Roman" w:cstheme="minorHAnsi"/>
          <w:spacing w:val="1"/>
        </w:rPr>
        <w:t>a</w:t>
      </w:r>
      <w:r w:rsidRPr="00A54361">
        <w:rPr>
          <w:rFonts w:eastAsia="Times New Roman" w:cstheme="minorHAnsi"/>
        </w:rPr>
        <w:t>mb</w:t>
      </w:r>
      <w:r w:rsidRPr="00A54361">
        <w:rPr>
          <w:rFonts w:eastAsia="Times New Roman" w:cstheme="minorHAnsi"/>
          <w:spacing w:val="1"/>
        </w:rPr>
        <w:t>i</w:t>
      </w:r>
      <w:r w:rsidRPr="00A54361">
        <w:rPr>
          <w:rFonts w:eastAsia="Times New Roman" w:cstheme="minorHAnsi"/>
        </w:rPr>
        <w:t>t</w:t>
      </w:r>
      <w:r w:rsidRPr="00A54361">
        <w:rPr>
          <w:rFonts w:eastAsia="Times New Roman" w:cstheme="minorHAnsi"/>
          <w:spacing w:val="-2"/>
        </w:rPr>
        <w:t xml:space="preserve"> </w:t>
      </w:r>
      <w:r w:rsidRPr="00A54361">
        <w:rPr>
          <w:rFonts w:eastAsia="Times New Roman" w:cstheme="minorHAnsi"/>
        </w:rPr>
        <w:t>of</w:t>
      </w:r>
      <w:r w:rsidRPr="00A54361">
        <w:rPr>
          <w:rFonts w:eastAsia="Times New Roman" w:cstheme="minorHAnsi"/>
          <w:spacing w:val="-3"/>
        </w:rPr>
        <w:t xml:space="preserve"> </w:t>
      </w:r>
      <w:r w:rsidRPr="00A54361">
        <w:rPr>
          <w:rFonts w:eastAsia="Times New Roman" w:cstheme="minorHAnsi"/>
        </w:rPr>
        <w:t>the</w:t>
      </w:r>
      <w:r w:rsidRPr="00A54361">
        <w:rPr>
          <w:rFonts w:eastAsia="Times New Roman" w:cstheme="minorHAnsi"/>
          <w:spacing w:val="-3"/>
        </w:rPr>
        <w:t xml:space="preserve"> </w:t>
      </w:r>
      <w:r w:rsidRPr="00A54361">
        <w:rPr>
          <w:rFonts w:eastAsia="Times New Roman" w:cstheme="minorHAnsi"/>
        </w:rPr>
        <w:t>ord</w:t>
      </w:r>
      <w:r w:rsidRPr="00A54361">
        <w:rPr>
          <w:rFonts w:eastAsia="Times New Roman" w:cstheme="minorHAnsi"/>
          <w:spacing w:val="-2"/>
        </w:rPr>
        <w:t>e</w:t>
      </w:r>
      <w:r w:rsidRPr="00A54361">
        <w:rPr>
          <w:rFonts w:eastAsia="Times New Roman" w:cstheme="minorHAnsi"/>
        </w:rPr>
        <w:t>r</w:t>
      </w:r>
      <w:r w:rsidRPr="00A54361">
        <w:rPr>
          <w:rFonts w:eastAsia="Times New Roman" w:cstheme="minorHAnsi"/>
          <w:spacing w:val="-3"/>
        </w:rPr>
        <w:t xml:space="preserve"> </w:t>
      </w:r>
      <w:r w:rsidRPr="00A54361">
        <w:rPr>
          <w:rFonts w:eastAsia="Times New Roman" w:cstheme="minorHAnsi"/>
        </w:rPr>
        <w:t>of suspension,</w:t>
      </w:r>
      <w:r w:rsidRPr="00A54361">
        <w:rPr>
          <w:rFonts w:eastAsia="Times New Roman" w:cstheme="minorHAnsi"/>
          <w:spacing w:val="-2"/>
        </w:rPr>
        <w:t xml:space="preserve"> </w:t>
      </w:r>
      <w:r w:rsidRPr="00A54361">
        <w:rPr>
          <w:rFonts w:eastAsia="Times New Roman" w:cstheme="minorHAnsi"/>
        </w:rPr>
        <w:t>the</w:t>
      </w:r>
      <w:r w:rsidRPr="00A54361">
        <w:rPr>
          <w:rFonts w:eastAsia="Times New Roman" w:cstheme="minorHAnsi"/>
          <w:spacing w:val="-3"/>
        </w:rPr>
        <w:t xml:space="preserve"> </w:t>
      </w:r>
      <w:r w:rsidRPr="00A54361">
        <w:rPr>
          <w:rFonts w:eastAsia="Times New Roman" w:cstheme="minorHAnsi"/>
        </w:rPr>
        <w:t>s</w:t>
      </w:r>
      <w:r w:rsidRPr="00A54361">
        <w:rPr>
          <w:rFonts w:eastAsia="Times New Roman" w:cstheme="minorHAnsi"/>
          <w:spacing w:val="-1"/>
        </w:rPr>
        <w:t>a</w:t>
      </w:r>
      <w:r w:rsidRPr="00A54361">
        <w:rPr>
          <w:rFonts w:eastAsia="Times New Roman" w:cstheme="minorHAnsi"/>
        </w:rPr>
        <w:t>me</w:t>
      </w:r>
      <w:r w:rsidRPr="00A54361">
        <w:rPr>
          <w:rFonts w:eastAsia="Times New Roman" w:cstheme="minorHAnsi"/>
          <w:spacing w:val="-3"/>
        </w:rPr>
        <w:t xml:space="preserve"> </w:t>
      </w:r>
      <w:r w:rsidRPr="00A54361">
        <w:rPr>
          <w:rFonts w:eastAsia="Times New Roman" w:cstheme="minorHAnsi"/>
        </w:rPr>
        <w:t>sh</w:t>
      </w:r>
      <w:r w:rsidRPr="00A54361">
        <w:rPr>
          <w:rFonts w:eastAsia="Times New Roman" w:cstheme="minorHAnsi"/>
          <w:spacing w:val="2"/>
        </w:rPr>
        <w:t>o</w:t>
      </w:r>
      <w:r w:rsidRPr="00A54361">
        <w:rPr>
          <w:rFonts w:eastAsia="Times New Roman" w:cstheme="minorHAnsi"/>
        </w:rPr>
        <w:t>uld</w:t>
      </w:r>
      <w:r w:rsidRPr="00A54361">
        <w:rPr>
          <w:rFonts w:eastAsia="Times New Roman" w:cstheme="minorHAnsi"/>
          <w:spacing w:val="-2"/>
        </w:rPr>
        <w:t xml:space="preserve"> </w:t>
      </w:r>
      <w:r w:rsidRPr="00A54361">
        <w:rPr>
          <w:rFonts w:eastAsia="Times New Roman" w:cstheme="minorHAnsi"/>
        </w:rPr>
        <w:t>be</w:t>
      </w:r>
      <w:r w:rsidRPr="00A54361">
        <w:rPr>
          <w:rFonts w:eastAsia="Times New Roman" w:cstheme="minorHAnsi"/>
          <w:spacing w:val="-3"/>
        </w:rPr>
        <w:t xml:space="preserve"> </w:t>
      </w:r>
      <w:r w:rsidRPr="00A54361">
        <w:rPr>
          <w:rFonts w:eastAsia="Times New Roman" w:cstheme="minorHAnsi"/>
        </w:rPr>
        <w:t>sp</w:t>
      </w:r>
      <w:r w:rsidRPr="00A54361">
        <w:rPr>
          <w:rFonts w:eastAsia="Times New Roman" w:cstheme="minorHAnsi"/>
          <w:spacing w:val="-1"/>
        </w:rPr>
        <w:t>ec</w:t>
      </w:r>
      <w:r w:rsidRPr="00A54361">
        <w:rPr>
          <w:rFonts w:eastAsia="Times New Roman" w:cstheme="minorHAnsi"/>
          <w:spacing w:val="3"/>
        </w:rPr>
        <w:t>i</w:t>
      </w:r>
      <w:r w:rsidRPr="00A54361">
        <w:rPr>
          <w:rFonts w:eastAsia="Times New Roman" w:cstheme="minorHAnsi"/>
        </w:rPr>
        <w:t>fi</w:t>
      </w:r>
      <w:r w:rsidRPr="00A54361">
        <w:rPr>
          <w:rFonts w:eastAsia="Times New Roman" w:cstheme="minorHAnsi"/>
          <w:spacing w:val="-1"/>
        </w:rPr>
        <w:t>ca</w:t>
      </w:r>
      <w:r w:rsidRPr="00A54361">
        <w:rPr>
          <w:rFonts w:eastAsia="Times New Roman" w:cstheme="minorHAnsi"/>
        </w:rPr>
        <w:t>l</w:t>
      </w:r>
      <w:r w:rsidRPr="00A54361">
        <w:rPr>
          <w:rFonts w:eastAsia="Times New Roman" w:cstheme="minorHAnsi"/>
          <w:spacing w:val="6"/>
        </w:rPr>
        <w:t>l</w:t>
      </w:r>
      <w:r w:rsidRPr="00A54361">
        <w:rPr>
          <w:rFonts w:eastAsia="Times New Roman" w:cstheme="minorHAnsi"/>
        </w:rPr>
        <w:t>y</w:t>
      </w:r>
      <w:r w:rsidRPr="00A54361">
        <w:rPr>
          <w:rFonts w:eastAsia="Times New Roman" w:cstheme="minorHAnsi"/>
          <w:spacing w:val="-7"/>
        </w:rPr>
        <w:t xml:space="preserve"> </w:t>
      </w:r>
      <w:r w:rsidRPr="00A54361">
        <w:rPr>
          <w:rFonts w:eastAsia="Times New Roman" w:cstheme="minorHAnsi"/>
        </w:rPr>
        <w:t>stat</w:t>
      </w:r>
      <w:r w:rsidRPr="00A54361">
        <w:rPr>
          <w:rFonts w:eastAsia="Times New Roman" w:cstheme="minorHAnsi"/>
          <w:spacing w:val="-1"/>
        </w:rPr>
        <w:t>e</w:t>
      </w:r>
      <w:r w:rsidRPr="00A54361">
        <w:rPr>
          <w:rFonts w:eastAsia="Times New Roman" w:cstheme="minorHAnsi"/>
        </w:rPr>
        <w:t>d in</w:t>
      </w:r>
      <w:r w:rsidRPr="00A54361">
        <w:rPr>
          <w:rFonts w:eastAsia="Times New Roman" w:cstheme="minorHAnsi"/>
          <w:spacing w:val="-2"/>
        </w:rPr>
        <w:t xml:space="preserve"> </w:t>
      </w:r>
      <w:r w:rsidRPr="00A54361">
        <w:rPr>
          <w:rFonts w:eastAsia="Times New Roman" w:cstheme="minorHAnsi"/>
        </w:rPr>
        <w:t>the</w:t>
      </w:r>
      <w:r w:rsidRPr="00A54361">
        <w:rPr>
          <w:rFonts w:eastAsia="Times New Roman" w:cstheme="minorHAnsi"/>
          <w:spacing w:val="-3"/>
        </w:rPr>
        <w:t xml:space="preserve"> </w:t>
      </w:r>
      <w:r w:rsidRPr="00A54361">
        <w:rPr>
          <w:rFonts w:eastAsia="Times New Roman" w:cstheme="minorHAnsi"/>
        </w:rPr>
        <w:t>order.</w:t>
      </w:r>
      <w:r w:rsidRPr="00A54361">
        <w:rPr>
          <w:rFonts w:eastAsia="Times New Roman" w:cstheme="minorHAnsi"/>
          <w:spacing w:val="-3"/>
        </w:rPr>
        <w:t xml:space="preserve"> </w:t>
      </w:r>
      <w:r w:rsidRPr="00A54361">
        <w:rPr>
          <w:rFonts w:eastAsia="Times New Roman" w:cstheme="minorHAnsi"/>
        </w:rPr>
        <w:t>The</w:t>
      </w:r>
      <w:r w:rsidRPr="00A54361">
        <w:rPr>
          <w:rFonts w:eastAsia="Times New Roman" w:cstheme="minorHAnsi"/>
          <w:spacing w:val="-1"/>
        </w:rPr>
        <w:t xml:space="preserve"> </w:t>
      </w:r>
      <w:r w:rsidRPr="00A54361">
        <w:rPr>
          <w:rFonts w:eastAsia="Times New Roman" w:cstheme="minorHAnsi"/>
        </w:rPr>
        <w:t>order</w:t>
      </w:r>
      <w:r w:rsidRPr="00A54361">
        <w:rPr>
          <w:rFonts w:eastAsia="Times New Roman" w:cstheme="minorHAnsi"/>
          <w:spacing w:val="-3"/>
        </w:rPr>
        <w:t xml:space="preserve"> </w:t>
      </w:r>
      <w:r w:rsidRPr="00A54361">
        <w:rPr>
          <w:rFonts w:eastAsia="Times New Roman" w:cstheme="minorHAnsi"/>
        </w:rPr>
        <w:t>of</w:t>
      </w:r>
      <w:r w:rsidRPr="00A54361">
        <w:rPr>
          <w:rFonts w:eastAsia="Times New Roman" w:cstheme="minorHAnsi"/>
          <w:spacing w:val="2"/>
        </w:rPr>
        <w:t xml:space="preserve"> </w:t>
      </w:r>
      <w:r w:rsidRPr="00A54361">
        <w:rPr>
          <w:rFonts w:eastAsia="Times New Roman" w:cstheme="minorHAnsi"/>
        </w:rPr>
        <w:t>suspension</w:t>
      </w:r>
      <w:r w:rsidRPr="00A54361">
        <w:rPr>
          <w:rFonts w:eastAsia="Times New Roman" w:cstheme="minorHAnsi"/>
          <w:spacing w:val="-2"/>
        </w:rPr>
        <w:t xml:space="preserve"> </w:t>
      </w:r>
      <w:r w:rsidRPr="00A54361">
        <w:rPr>
          <w:rFonts w:eastAsia="Times New Roman" w:cstheme="minorHAnsi"/>
        </w:rPr>
        <w:t>would op</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2"/>
        </w:rPr>
        <w:t>a</w:t>
      </w:r>
      <w:r w:rsidRPr="00A54361">
        <w:rPr>
          <w:rFonts w:eastAsia="Times New Roman" w:cstheme="minorHAnsi"/>
        </w:rPr>
        <w:t>te</w:t>
      </w:r>
      <w:r w:rsidRPr="00A54361">
        <w:rPr>
          <w:rFonts w:eastAsia="Times New Roman" w:cstheme="minorHAnsi"/>
          <w:spacing w:val="-6"/>
        </w:rPr>
        <w:t xml:space="preserve"> </w:t>
      </w:r>
      <w:r w:rsidRPr="00A54361">
        <w:rPr>
          <w:rFonts w:eastAsia="Times New Roman" w:cstheme="minorHAnsi"/>
        </w:rPr>
        <w:t>for</w:t>
      </w:r>
      <w:r w:rsidRPr="00A54361">
        <w:rPr>
          <w:rFonts w:eastAsia="Times New Roman" w:cstheme="minorHAnsi"/>
          <w:spacing w:val="-6"/>
        </w:rPr>
        <w:t xml:space="preserve"> </w:t>
      </w:r>
      <w:r w:rsidRPr="00A54361">
        <w:rPr>
          <w:rFonts w:eastAsia="Times New Roman" w:cstheme="minorHAnsi"/>
        </w:rPr>
        <w:t>a</w:t>
      </w:r>
      <w:r w:rsidRPr="00A54361">
        <w:rPr>
          <w:rFonts w:eastAsia="Times New Roman" w:cstheme="minorHAnsi"/>
          <w:spacing w:val="-8"/>
        </w:rPr>
        <w:t xml:space="preserve"> </w:t>
      </w:r>
      <w:r w:rsidRPr="00A54361">
        <w:rPr>
          <w:rFonts w:eastAsia="Times New Roman" w:cstheme="minorHAnsi"/>
          <w:spacing w:val="2"/>
        </w:rPr>
        <w:t>p</w:t>
      </w:r>
      <w:r w:rsidRPr="00A54361">
        <w:rPr>
          <w:rFonts w:eastAsia="Times New Roman" w:cstheme="minorHAnsi"/>
          <w:spacing w:val="-1"/>
        </w:rPr>
        <w:t>e</w:t>
      </w:r>
      <w:r w:rsidRPr="00A54361">
        <w:rPr>
          <w:rFonts w:eastAsia="Times New Roman" w:cstheme="minorHAnsi"/>
        </w:rPr>
        <w:t>riod</w:t>
      </w:r>
      <w:r w:rsidRPr="00A54361">
        <w:rPr>
          <w:rFonts w:eastAsia="Times New Roman" w:cstheme="minorHAnsi"/>
          <w:spacing w:val="-7"/>
        </w:rPr>
        <w:t xml:space="preserve"> </w:t>
      </w:r>
      <w:r w:rsidRPr="00A54361">
        <w:rPr>
          <w:rFonts w:eastAsia="Times New Roman" w:cstheme="minorHAnsi"/>
        </w:rPr>
        <w:t>not</w:t>
      </w:r>
      <w:r w:rsidRPr="00A54361">
        <w:rPr>
          <w:rFonts w:eastAsia="Times New Roman" w:cstheme="minorHAnsi"/>
          <w:spacing w:val="-4"/>
        </w:rPr>
        <w:t xml:space="preserve"> </w:t>
      </w:r>
      <w:r w:rsidRPr="00A54361">
        <w:rPr>
          <w:rFonts w:eastAsia="Times New Roman" w:cstheme="minorHAnsi"/>
        </w:rPr>
        <w:t>more</w:t>
      </w:r>
      <w:r w:rsidRPr="00A54361">
        <w:rPr>
          <w:rFonts w:eastAsia="Times New Roman" w:cstheme="minorHAnsi"/>
          <w:spacing w:val="-8"/>
        </w:rPr>
        <w:t xml:space="preserve"> </w:t>
      </w:r>
      <w:r w:rsidRPr="00A54361">
        <w:rPr>
          <w:rFonts w:eastAsia="Times New Roman" w:cstheme="minorHAnsi"/>
        </w:rPr>
        <w:t>than</w:t>
      </w:r>
      <w:r w:rsidRPr="00A54361">
        <w:rPr>
          <w:rFonts w:eastAsia="Times New Roman" w:cstheme="minorHAnsi"/>
          <w:spacing w:val="-8"/>
        </w:rPr>
        <w:t xml:space="preserve"> </w:t>
      </w:r>
      <w:r w:rsidRPr="00A54361">
        <w:rPr>
          <w:rFonts w:eastAsia="Times New Roman" w:cstheme="minorHAnsi"/>
        </w:rPr>
        <w:t>six</w:t>
      </w:r>
      <w:r w:rsidRPr="00A54361">
        <w:rPr>
          <w:rFonts w:eastAsia="Times New Roman" w:cstheme="minorHAnsi"/>
          <w:spacing w:val="-4"/>
        </w:rPr>
        <w:t xml:space="preserve"> </w:t>
      </w:r>
      <w:r w:rsidRPr="00A54361">
        <w:rPr>
          <w:rFonts w:eastAsia="Times New Roman" w:cstheme="minorHAnsi"/>
        </w:rPr>
        <w:t>mon</w:t>
      </w:r>
      <w:r w:rsidRPr="00A54361">
        <w:rPr>
          <w:rFonts w:eastAsia="Times New Roman" w:cstheme="minorHAnsi"/>
          <w:spacing w:val="1"/>
        </w:rPr>
        <w:t>t</w:t>
      </w:r>
      <w:r w:rsidRPr="00A54361">
        <w:rPr>
          <w:rFonts w:eastAsia="Times New Roman" w:cstheme="minorHAnsi"/>
        </w:rPr>
        <w:t>hs</w:t>
      </w:r>
      <w:r w:rsidRPr="00A54361">
        <w:rPr>
          <w:rFonts w:eastAsia="Times New Roman" w:cstheme="minorHAnsi"/>
          <w:spacing w:val="-7"/>
        </w:rPr>
        <w:t xml:space="preserve"> </w:t>
      </w:r>
      <w:r w:rsidRPr="00A54361">
        <w:rPr>
          <w:rFonts w:eastAsia="Times New Roman" w:cstheme="minorHAnsi"/>
          <w:spacing w:val="-1"/>
        </w:rPr>
        <w:t>a</w:t>
      </w:r>
      <w:r w:rsidRPr="00A54361">
        <w:rPr>
          <w:rFonts w:eastAsia="Times New Roman" w:cstheme="minorHAnsi"/>
        </w:rPr>
        <w:t>nd</w:t>
      </w:r>
      <w:r w:rsidRPr="00A54361">
        <w:rPr>
          <w:rFonts w:eastAsia="Times New Roman" w:cstheme="minorHAnsi"/>
          <w:spacing w:val="-7"/>
        </w:rPr>
        <w:t xml:space="preserve"> </w:t>
      </w:r>
      <w:r w:rsidRPr="00A54361">
        <w:rPr>
          <w:rFonts w:eastAsia="Times New Roman" w:cstheme="minorHAnsi"/>
        </w:rPr>
        <w:t>m</w:t>
      </w:r>
      <w:r w:rsidRPr="00A54361">
        <w:rPr>
          <w:rFonts w:eastAsia="Times New Roman" w:cstheme="minorHAnsi"/>
          <w:spacing w:val="2"/>
        </w:rPr>
        <w:t>a</w:t>
      </w:r>
      <w:r w:rsidRPr="00A54361">
        <w:rPr>
          <w:rFonts w:eastAsia="Times New Roman" w:cstheme="minorHAnsi"/>
        </w:rPr>
        <w:t>y</w:t>
      </w:r>
      <w:r w:rsidRPr="00A54361">
        <w:rPr>
          <w:rFonts w:eastAsia="Times New Roman" w:cstheme="minorHAnsi"/>
          <w:spacing w:val="-10"/>
        </w:rPr>
        <w:t xml:space="preserve"> </w:t>
      </w:r>
      <w:r w:rsidRPr="00A54361">
        <w:rPr>
          <w:rFonts w:eastAsia="Times New Roman" w:cstheme="minorHAnsi"/>
        </w:rPr>
        <w:t>be</w:t>
      </w:r>
      <w:r w:rsidRPr="00A54361">
        <w:rPr>
          <w:rFonts w:eastAsia="Times New Roman" w:cstheme="minorHAnsi"/>
          <w:spacing w:val="-6"/>
        </w:rPr>
        <w:t xml:space="preserve"> </w:t>
      </w:r>
      <w:r w:rsidRPr="00A54361">
        <w:rPr>
          <w:rFonts w:eastAsia="Times New Roman" w:cstheme="minorHAnsi"/>
          <w:spacing w:val="-1"/>
        </w:rPr>
        <w:t>c</w:t>
      </w:r>
      <w:r w:rsidRPr="00A54361">
        <w:rPr>
          <w:rFonts w:eastAsia="Times New Roman" w:cstheme="minorHAnsi"/>
        </w:rPr>
        <w:t>om</w:t>
      </w:r>
      <w:r w:rsidRPr="00A54361">
        <w:rPr>
          <w:rFonts w:eastAsia="Times New Roman" w:cstheme="minorHAnsi"/>
          <w:spacing w:val="1"/>
        </w:rPr>
        <w:t>m</w:t>
      </w:r>
      <w:r w:rsidRPr="00A54361">
        <w:rPr>
          <w:rFonts w:eastAsia="Times New Roman" w:cstheme="minorHAnsi"/>
        </w:rPr>
        <w:t>unic</w:t>
      </w:r>
      <w:r w:rsidRPr="00A54361">
        <w:rPr>
          <w:rFonts w:eastAsia="Times New Roman" w:cstheme="minorHAnsi"/>
          <w:spacing w:val="-1"/>
        </w:rPr>
        <w:t>a</w:t>
      </w:r>
      <w:r w:rsidRPr="00A54361">
        <w:rPr>
          <w:rFonts w:eastAsia="Times New Roman" w:cstheme="minorHAnsi"/>
        </w:rPr>
        <w:t>ted</w:t>
      </w:r>
      <w:r w:rsidRPr="00A54361">
        <w:rPr>
          <w:rFonts w:eastAsia="Times New Roman" w:cstheme="minorHAnsi"/>
          <w:spacing w:val="-8"/>
        </w:rPr>
        <w:t xml:space="preserve"> </w:t>
      </w:r>
      <w:r w:rsidRPr="00A54361">
        <w:rPr>
          <w:rFonts w:eastAsia="Times New Roman" w:cstheme="minorHAnsi"/>
        </w:rPr>
        <w:t>to</w:t>
      </w:r>
      <w:r w:rsidRPr="00A54361">
        <w:rPr>
          <w:rFonts w:eastAsia="Times New Roman" w:cstheme="minorHAnsi"/>
          <w:spacing w:val="-5"/>
        </w:rPr>
        <w:t xml:space="preserve"> </w:t>
      </w:r>
      <w:r w:rsidRPr="00A54361">
        <w:rPr>
          <w:rFonts w:eastAsia="Times New Roman" w:cstheme="minorHAnsi"/>
        </w:rPr>
        <w:t>the</w:t>
      </w:r>
      <w:r w:rsidRPr="00A54361">
        <w:rPr>
          <w:rFonts w:eastAsia="Times New Roman" w:cstheme="minorHAnsi"/>
          <w:spacing w:val="-8"/>
        </w:rPr>
        <w:t xml:space="preserve"> </w:t>
      </w:r>
      <w:r w:rsidRPr="00A54361">
        <w:rPr>
          <w:rFonts w:eastAsia="Times New Roman" w:cstheme="minorHAnsi"/>
          <w:spacing w:val="2"/>
        </w:rPr>
        <w:t>A</w:t>
      </w:r>
      <w:r w:rsidRPr="00A54361">
        <w:rPr>
          <w:rFonts w:eastAsia="Times New Roman" w:cstheme="minorHAnsi"/>
          <w:spacing w:val="-2"/>
        </w:rPr>
        <w:t>g</w:t>
      </w:r>
      <w:r w:rsidRPr="00A54361">
        <w:rPr>
          <w:rFonts w:eastAsia="Times New Roman" w:cstheme="minorHAnsi"/>
          <w:spacing w:val="-1"/>
        </w:rPr>
        <w:t>e</w:t>
      </w:r>
      <w:r w:rsidRPr="00A54361">
        <w:rPr>
          <w:rFonts w:eastAsia="Times New Roman" w:cstheme="minorHAnsi"/>
          <w:spacing w:val="2"/>
        </w:rPr>
        <w:t>n</w:t>
      </w:r>
      <w:r w:rsidRPr="00A54361">
        <w:rPr>
          <w:rFonts w:eastAsia="Times New Roman" w:cstheme="minorHAnsi"/>
          <w:spacing w:val="4"/>
        </w:rPr>
        <w:t>c</w:t>
      </w:r>
      <w:r w:rsidRPr="00A54361">
        <w:rPr>
          <w:rFonts w:eastAsia="Times New Roman" w:cstheme="minorHAnsi"/>
        </w:rPr>
        <w:t>y</w:t>
      </w:r>
      <w:r w:rsidRPr="00A54361">
        <w:rPr>
          <w:rFonts w:eastAsia="Times New Roman" w:cstheme="minorHAnsi"/>
          <w:spacing w:val="-12"/>
        </w:rPr>
        <w:t xml:space="preserve"> </w:t>
      </w:r>
      <w:r w:rsidRPr="00A54361">
        <w:rPr>
          <w:rFonts w:eastAsia="Times New Roman" w:cstheme="minorHAnsi"/>
          <w:spacing w:val="-1"/>
        </w:rPr>
        <w:t>a</w:t>
      </w:r>
      <w:r w:rsidRPr="00A54361">
        <w:rPr>
          <w:rFonts w:eastAsia="Times New Roman" w:cstheme="minorHAnsi"/>
        </w:rPr>
        <w:t>s</w:t>
      </w:r>
      <w:r w:rsidRPr="00A54361">
        <w:rPr>
          <w:rFonts w:eastAsia="Times New Roman" w:cstheme="minorHAnsi"/>
          <w:spacing w:val="-5"/>
        </w:rPr>
        <w:t xml:space="preserve"> </w:t>
      </w:r>
      <w:r w:rsidRPr="00A54361">
        <w:rPr>
          <w:rFonts w:eastAsia="Times New Roman" w:cstheme="minorHAnsi"/>
          <w:spacing w:val="-1"/>
        </w:rPr>
        <w:t>a</w:t>
      </w:r>
      <w:r w:rsidRPr="00A54361">
        <w:rPr>
          <w:rFonts w:eastAsia="Times New Roman" w:cstheme="minorHAnsi"/>
        </w:rPr>
        <w:t>lso to</w:t>
      </w:r>
      <w:r w:rsidRPr="00A54361">
        <w:rPr>
          <w:rFonts w:eastAsia="Times New Roman" w:cstheme="minorHAnsi"/>
          <w:spacing w:val="2"/>
        </w:rPr>
        <w:t xml:space="preserve"> </w:t>
      </w:r>
      <w:r w:rsidRPr="00A54361">
        <w:rPr>
          <w:rFonts w:eastAsia="Times New Roman" w:cstheme="minorHAnsi"/>
        </w:rPr>
        <w:t>the</w:t>
      </w:r>
      <w:r w:rsidRPr="00A54361">
        <w:rPr>
          <w:rFonts w:eastAsia="Times New Roman" w:cstheme="minorHAnsi"/>
          <w:spacing w:val="4"/>
        </w:rPr>
        <w:t xml:space="preserve"> </w:t>
      </w:r>
      <w:r w:rsidRPr="00A54361">
        <w:rPr>
          <w:rFonts w:eastAsia="Times New Roman" w:cstheme="minorHAnsi"/>
          <w:spacing w:val="-6"/>
        </w:rPr>
        <w:t>I</w:t>
      </w:r>
      <w:r w:rsidRPr="00A54361">
        <w:rPr>
          <w:rFonts w:eastAsia="Times New Roman" w:cstheme="minorHAnsi"/>
        </w:rPr>
        <w:t>nv</w:t>
      </w:r>
      <w:r w:rsidRPr="00A54361">
        <w:rPr>
          <w:rFonts w:eastAsia="Times New Roman" w:cstheme="minorHAnsi"/>
          <w:spacing w:val="-1"/>
        </w:rPr>
        <w:t>e</w:t>
      </w:r>
      <w:r w:rsidRPr="00A54361">
        <w:rPr>
          <w:rFonts w:eastAsia="Times New Roman" w:cstheme="minorHAnsi"/>
        </w:rPr>
        <w:t>st</w:t>
      </w:r>
      <w:r w:rsidRPr="00A54361">
        <w:rPr>
          <w:rFonts w:eastAsia="Times New Roman" w:cstheme="minorHAnsi"/>
          <w:spacing w:val="1"/>
        </w:rPr>
        <w:t>i</w:t>
      </w:r>
      <w:r w:rsidRPr="00A54361">
        <w:rPr>
          <w:rFonts w:eastAsia="Times New Roman" w:cstheme="minorHAnsi"/>
        </w:rPr>
        <w:t>g</w:t>
      </w:r>
      <w:r w:rsidRPr="00A54361">
        <w:rPr>
          <w:rFonts w:eastAsia="Times New Roman" w:cstheme="minorHAnsi"/>
          <w:spacing w:val="-1"/>
        </w:rPr>
        <w:t>a</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 xml:space="preserve">ng </w:t>
      </w:r>
      <w:r w:rsidRPr="00A54361">
        <w:rPr>
          <w:rFonts w:eastAsia="Times New Roman" w:cstheme="minorHAnsi"/>
          <w:spacing w:val="2"/>
        </w:rPr>
        <w:t>D</w:t>
      </w:r>
      <w:r w:rsidRPr="00A54361">
        <w:rPr>
          <w:rFonts w:eastAsia="Times New Roman" w:cstheme="minorHAnsi"/>
          <w:spacing w:val="-1"/>
        </w:rPr>
        <w:t>e</w:t>
      </w:r>
      <w:r w:rsidRPr="00A54361">
        <w:rPr>
          <w:rFonts w:eastAsia="Times New Roman" w:cstheme="minorHAnsi"/>
        </w:rPr>
        <w:t>p</w:t>
      </w:r>
      <w:r w:rsidRPr="00A54361">
        <w:rPr>
          <w:rFonts w:eastAsia="Times New Roman" w:cstheme="minorHAnsi"/>
          <w:spacing w:val="-1"/>
        </w:rPr>
        <w:t>a</w:t>
      </w:r>
      <w:r w:rsidRPr="00A54361">
        <w:rPr>
          <w:rFonts w:eastAsia="Times New Roman" w:cstheme="minorHAnsi"/>
        </w:rPr>
        <w:t>rtm</w:t>
      </w:r>
      <w:r w:rsidRPr="00A54361">
        <w:rPr>
          <w:rFonts w:eastAsia="Times New Roman" w:cstheme="minorHAnsi"/>
          <w:spacing w:val="-1"/>
        </w:rPr>
        <w:t>e</w:t>
      </w:r>
      <w:r w:rsidRPr="00A54361">
        <w:rPr>
          <w:rFonts w:eastAsia="Times New Roman" w:cstheme="minorHAnsi"/>
        </w:rPr>
        <w:t>nt.</w:t>
      </w:r>
      <w:r w:rsidRPr="00A54361">
        <w:rPr>
          <w:rFonts w:eastAsia="Times New Roman" w:cstheme="minorHAnsi"/>
          <w:spacing w:val="2"/>
        </w:rPr>
        <w:t xml:space="preserve"> </w:t>
      </w:r>
      <w:r w:rsidRPr="00A54361">
        <w:rPr>
          <w:rFonts w:eastAsia="Times New Roman" w:cstheme="minorHAnsi"/>
        </w:rPr>
        <w:t>The</w:t>
      </w:r>
      <w:r w:rsidRPr="00A54361">
        <w:rPr>
          <w:rFonts w:eastAsia="Times New Roman" w:cstheme="minorHAnsi"/>
          <w:spacing w:val="3"/>
        </w:rPr>
        <w:t xml:space="preserve"> </w:t>
      </w:r>
      <w:r w:rsidRPr="00A54361">
        <w:rPr>
          <w:rFonts w:eastAsia="Times New Roman" w:cstheme="minorHAnsi"/>
          <w:spacing w:val="-3"/>
        </w:rPr>
        <w:t>I</w:t>
      </w:r>
      <w:r w:rsidRPr="00A54361">
        <w:rPr>
          <w:rFonts w:eastAsia="Times New Roman" w:cstheme="minorHAnsi"/>
        </w:rPr>
        <w:t>nv</w:t>
      </w:r>
      <w:r w:rsidRPr="00A54361">
        <w:rPr>
          <w:rFonts w:eastAsia="Times New Roman" w:cstheme="minorHAnsi"/>
          <w:spacing w:val="-1"/>
        </w:rPr>
        <w:t>e</w:t>
      </w:r>
      <w:r w:rsidRPr="00A54361">
        <w:rPr>
          <w:rFonts w:eastAsia="Times New Roman" w:cstheme="minorHAnsi"/>
        </w:rPr>
        <w:t>st</w:t>
      </w:r>
      <w:r w:rsidRPr="00A54361">
        <w:rPr>
          <w:rFonts w:eastAsia="Times New Roman" w:cstheme="minorHAnsi"/>
          <w:spacing w:val="3"/>
        </w:rPr>
        <w:t>i</w:t>
      </w:r>
      <w:r w:rsidRPr="00A54361">
        <w:rPr>
          <w:rFonts w:eastAsia="Times New Roman" w:cstheme="minorHAnsi"/>
          <w:spacing w:val="-2"/>
        </w:rPr>
        <w:t>g</w:t>
      </w:r>
      <w:r w:rsidRPr="00A54361">
        <w:rPr>
          <w:rFonts w:eastAsia="Times New Roman" w:cstheme="minorHAnsi"/>
          <w:spacing w:val="-1"/>
        </w:rPr>
        <w:t>a</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spacing w:val="2"/>
        </w:rPr>
        <w:t>n</w:t>
      </w:r>
      <w:r w:rsidRPr="00A54361">
        <w:rPr>
          <w:rFonts w:eastAsia="Times New Roman" w:cstheme="minorHAnsi"/>
        </w:rPr>
        <w:t>g D</w:t>
      </w:r>
      <w:r w:rsidRPr="00A54361">
        <w:rPr>
          <w:rFonts w:eastAsia="Times New Roman" w:cstheme="minorHAnsi"/>
          <w:spacing w:val="-1"/>
        </w:rPr>
        <w:t>e</w:t>
      </w:r>
      <w:r w:rsidRPr="00A54361">
        <w:rPr>
          <w:rFonts w:eastAsia="Times New Roman" w:cstheme="minorHAnsi"/>
          <w:spacing w:val="2"/>
        </w:rPr>
        <w:t>p</w:t>
      </w:r>
      <w:r w:rsidRPr="00A54361">
        <w:rPr>
          <w:rFonts w:eastAsia="Times New Roman" w:cstheme="minorHAnsi"/>
          <w:spacing w:val="-1"/>
        </w:rPr>
        <w:t>a</w:t>
      </w:r>
      <w:r w:rsidRPr="00A54361">
        <w:rPr>
          <w:rFonts w:eastAsia="Times New Roman" w:cstheme="minorHAnsi"/>
        </w:rPr>
        <w:t>rtm</w:t>
      </w:r>
      <w:r w:rsidRPr="00A54361">
        <w:rPr>
          <w:rFonts w:eastAsia="Times New Roman" w:cstheme="minorHAnsi"/>
          <w:spacing w:val="-1"/>
        </w:rPr>
        <w:t>e</w:t>
      </w:r>
      <w:r w:rsidRPr="00A54361">
        <w:rPr>
          <w:rFonts w:eastAsia="Times New Roman" w:cstheme="minorHAnsi"/>
        </w:rPr>
        <w:t>nt</w:t>
      </w:r>
      <w:r w:rsidRPr="00A54361">
        <w:rPr>
          <w:rFonts w:eastAsia="Times New Roman" w:cstheme="minorHAnsi"/>
          <w:spacing w:val="2"/>
        </w:rPr>
        <w:t xml:space="preserve"> </w:t>
      </w:r>
      <w:r w:rsidRPr="00A54361">
        <w:rPr>
          <w:rFonts w:eastAsia="Times New Roman" w:cstheme="minorHAnsi"/>
        </w:rPr>
        <w:t>m</w:t>
      </w:r>
      <w:r w:rsidRPr="00A54361">
        <w:rPr>
          <w:rFonts w:eastAsia="Times New Roman" w:cstheme="minorHAnsi"/>
          <w:spacing w:val="2"/>
        </w:rPr>
        <w:t>a</w:t>
      </w:r>
      <w:r w:rsidRPr="00A54361">
        <w:rPr>
          <w:rFonts w:eastAsia="Times New Roman" w:cstheme="minorHAnsi"/>
        </w:rPr>
        <w:t xml:space="preserve">y </w:t>
      </w:r>
      <w:r w:rsidRPr="00A54361">
        <w:rPr>
          <w:rFonts w:eastAsia="Times New Roman" w:cstheme="minorHAnsi"/>
          <w:spacing w:val="-1"/>
        </w:rPr>
        <w:t>e</w:t>
      </w:r>
      <w:r w:rsidRPr="00A54361">
        <w:rPr>
          <w:rFonts w:eastAsia="Times New Roman" w:cstheme="minorHAnsi"/>
        </w:rPr>
        <w:t>nsure</w:t>
      </w:r>
      <w:r w:rsidRPr="00A54361">
        <w:rPr>
          <w:rFonts w:eastAsia="Times New Roman" w:cstheme="minorHAnsi"/>
          <w:spacing w:val="1"/>
        </w:rPr>
        <w:t xml:space="preserve"> </w:t>
      </w:r>
      <w:r w:rsidRPr="00A54361">
        <w:rPr>
          <w:rFonts w:eastAsia="Times New Roman" w:cstheme="minorHAnsi"/>
        </w:rPr>
        <w:t>that</w:t>
      </w:r>
      <w:r w:rsidRPr="00A54361">
        <w:rPr>
          <w:rFonts w:eastAsia="Times New Roman" w:cstheme="minorHAnsi"/>
          <w:spacing w:val="2"/>
        </w:rPr>
        <w:t xml:space="preserve"> </w:t>
      </w:r>
      <w:r w:rsidRPr="00A54361">
        <w:rPr>
          <w:rFonts w:eastAsia="Times New Roman" w:cstheme="minorHAnsi"/>
        </w:rPr>
        <w:t>their investi</w:t>
      </w:r>
      <w:r w:rsidRPr="00A54361">
        <w:rPr>
          <w:rFonts w:eastAsia="Times New Roman" w:cstheme="minorHAnsi"/>
          <w:spacing w:val="-2"/>
        </w:rPr>
        <w:t>g</w:t>
      </w:r>
      <w:r w:rsidRPr="00A54361">
        <w:rPr>
          <w:rFonts w:eastAsia="Times New Roman" w:cstheme="minorHAnsi"/>
          <w:spacing w:val="-1"/>
        </w:rPr>
        <w:t>a</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 xml:space="preserve">on is </w:t>
      </w:r>
      <w:r w:rsidRPr="00A54361">
        <w:rPr>
          <w:rFonts w:eastAsia="Times New Roman" w:cstheme="minorHAnsi"/>
          <w:spacing w:val="-1"/>
        </w:rPr>
        <w:t>c</w:t>
      </w:r>
      <w:r w:rsidRPr="00A54361">
        <w:rPr>
          <w:rFonts w:eastAsia="Times New Roman" w:cstheme="minorHAnsi"/>
        </w:rPr>
        <w:t>omp</w:t>
      </w:r>
      <w:r w:rsidRPr="00A54361">
        <w:rPr>
          <w:rFonts w:eastAsia="Times New Roman" w:cstheme="minorHAnsi"/>
          <w:spacing w:val="1"/>
        </w:rPr>
        <w:t>l</w:t>
      </w:r>
      <w:r w:rsidRPr="00A54361">
        <w:rPr>
          <w:rFonts w:eastAsia="Times New Roman" w:cstheme="minorHAnsi"/>
          <w:spacing w:val="-1"/>
        </w:rPr>
        <w:t>e</w:t>
      </w:r>
      <w:r w:rsidRPr="00A54361">
        <w:rPr>
          <w:rFonts w:eastAsia="Times New Roman" w:cstheme="minorHAnsi"/>
        </w:rPr>
        <w:t>t</w:t>
      </w:r>
      <w:r w:rsidRPr="00A54361">
        <w:rPr>
          <w:rFonts w:eastAsia="Times New Roman" w:cstheme="minorHAnsi"/>
          <w:spacing w:val="2"/>
        </w:rPr>
        <w:t>e</w:t>
      </w:r>
      <w:r w:rsidRPr="00A54361">
        <w:rPr>
          <w:rFonts w:eastAsia="Times New Roman" w:cstheme="minorHAnsi"/>
        </w:rPr>
        <w:t xml:space="preserve">d </w:t>
      </w:r>
      <w:r w:rsidRPr="00A54361">
        <w:rPr>
          <w:rFonts w:eastAsia="Times New Roman" w:cstheme="minorHAnsi"/>
          <w:spacing w:val="-1"/>
        </w:rPr>
        <w:t>a</w:t>
      </w:r>
      <w:r w:rsidRPr="00A54361">
        <w:rPr>
          <w:rFonts w:eastAsia="Times New Roman" w:cstheme="minorHAnsi"/>
        </w:rPr>
        <w:t>nd whole</w:t>
      </w:r>
      <w:r w:rsidRPr="00A54361">
        <w:rPr>
          <w:rFonts w:eastAsia="Times New Roman" w:cstheme="minorHAnsi"/>
          <w:spacing w:val="-1"/>
        </w:rPr>
        <w:t xml:space="preserve"> </w:t>
      </w:r>
      <w:r w:rsidRPr="00A54361">
        <w:rPr>
          <w:rFonts w:eastAsia="Times New Roman" w:cstheme="minorHAnsi"/>
        </w:rPr>
        <w:t>pr</w:t>
      </w:r>
      <w:r w:rsidRPr="00A54361">
        <w:rPr>
          <w:rFonts w:eastAsia="Times New Roman" w:cstheme="minorHAnsi"/>
          <w:spacing w:val="1"/>
        </w:rPr>
        <w:t>o</w:t>
      </w:r>
      <w:r w:rsidRPr="00A54361">
        <w:rPr>
          <w:rFonts w:eastAsia="Times New Roman" w:cstheme="minorHAnsi"/>
          <w:spacing w:val="-1"/>
        </w:rPr>
        <w:t>ce</w:t>
      </w:r>
      <w:r w:rsidRPr="00A54361">
        <w:rPr>
          <w:rFonts w:eastAsia="Times New Roman" w:cstheme="minorHAnsi"/>
        </w:rPr>
        <w:t xml:space="preserve">ss of </w:t>
      </w:r>
      <w:r w:rsidRPr="00A54361">
        <w:rPr>
          <w:rFonts w:eastAsia="Times New Roman" w:cstheme="minorHAnsi"/>
          <w:spacing w:val="-1"/>
        </w:rPr>
        <w:t>f</w:t>
      </w:r>
      <w:r w:rsidRPr="00A54361">
        <w:rPr>
          <w:rFonts w:eastAsia="Times New Roman" w:cstheme="minorHAnsi"/>
          <w:spacing w:val="3"/>
        </w:rPr>
        <w:t>i</w:t>
      </w:r>
      <w:r w:rsidRPr="00A54361">
        <w:rPr>
          <w:rFonts w:eastAsia="Times New Roman" w:cstheme="minorHAnsi"/>
        </w:rPr>
        <w:t>n</w:t>
      </w:r>
      <w:r w:rsidRPr="00A54361">
        <w:rPr>
          <w:rFonts w:eastAsia="Times New Roman" w:cstheme="minorHAnsi"/>
          <w:spacing w:val="-1"/>
        </w:rPr>
        <w:t>a</w:t>
      </w:r>
      <w:r w:rsidRPr="00A54361">
        <w:rPr>
          <w:rFonts w:eastAsia="Times New Roman" w:cstheme="minorHAnsi"/>
        </w:rPr>
        <w:t>l ord</w:t>
      </w:r>
      <w:r w:rsidRPr="00A54361">
        <w:rPr>
          <w:rFonts w:eastAsia="Times New Roman" w:cstheme="minorHAnsi"/>
          <w:spacing w:val="-1"/>
        </w:rPr>
        <w:t>e</w:t>
      </w:r>
      <w:r w:rsidRPr="00A54361">
        <w:rPr>
          <w:rFonts w:eastAsia="Times New Roman" w:cstheme="minorHAnsi"/>
        </w:rPr>
        <w:t>r is</w:t>
      </w:r>
      <w:r w:rsidRPr="00A54361">
        <w:rPr>
          <w:rFonts w:eastAsia="Times New Roman" w:cstheme="minorHAnsi"/>
          <w:spacing w:val="3"/>
        </w:rPr>
        <w:t xml:space="preserve"> </w:t>
      </w:r>
      <w:r w:rsidRPr="00A54361">
        <w:rPr>
          <w:rFonts w:eastAsia="Times New Roman" w:cstheme="minorHAnsi"/>
        </w:rPr>
        <w:t>ov</w:t>
      </w:r>
      <w:r w:rsidRPr="00A54361">
        <w:rPr>
          <w:rFonts w:eastAsia="Times New Roman" w:cstheme="minorHAnsi"/>
          <w:spacing w:val="1"/>
        </w:rPr>
        <w:t>e</w:t>
      </w:r>
      <w:r w:rsidRPr="00A54361">
        <w:rPr>
          <w:rFonts w:eastAsia="Times New Roman" w:cstheme="minorHAnsi"/>
        </w:rPr>
        <w:t xml:space="preserve">r </w:t>
      </w:r>
      <w:r w:rsidRPr="00A54361">
        <w:rPr>
          <w:rFonts w:eastAsia="Times New Roman" w:cstheme="minorHAnsi"/>
          <w:spacing w:val="-1"/>
        </w:rPr>
        <w:t>w</w:t>
      </w:r>
      <w:r w:rsidRPr="00A54361">
        <w:rPr>
          <w:rFonts w:eastAsia="Times New Roman" w:cstheme="minorHAnsi"/>
        </w:rPr>
        <w:t>i</w:t>
      </w:r>
      <w:r w:rsidRPr="00A54361">
        <w:rPr>
          <w:rFonts w:eastAsia="Times New Roman" w:cstheme="minorHAnsi"/>
          <w:spacing w:val="1"/>
        </w:rPr>
        <w:t>t</w:t>
      </w:r>
      <w:r w:rsidRPr="00A54361">
        <w:rPr>
          <w:rFonts w:eastAsia="Times New Roman" w:cstheme="minorHAnsi"/>
        </w:rPr>
        <w:t>hin su</w:t>
      </w:r>
      <w:r w:rsidRPr="00A54361">
        <w:rPr>
          <w:rFonts w:eastAsia="Times New Roman" w:cstheme="minorHAnsi"/>
          <w:spacing w:val="-1"/>
        </w:rPr>
        <w:t>c</w:t>
      </w:r>
      <w:r w:rsidRPr="00A54361">
        <w:rPr>
          <w:rFonts w:eastAsia="Times New Roman" w:cstheme="minorHAnsi"/>
        </w:rPr>
        <w:t>h p</w:t>
      </w:r>
      <w:r w:rsidRPr="00A54361">
        <w:rPr>
          <w:rFonts w:eastAsia="Times New Roman" w:cstheme="minorHAnsi"/>
          <w:spacing w:val="-1"/>
        </w:rPr>
        <w:t>e</w:t>
      </w:r>
      <w:r w:rsidRPr="00A54361">
        <w:rPr>
          <w:rFonts w:eastAsia="Times New Roman" w:cstheme="minorHAnsi"/>
        </w:rPr>
        <w:t>riod.</w:t>
      </w:r>
    </w:p>
    <w:p w14:paraId="05BFC3D9" w14:textId="77777777" w:rsidR="0054549F" w:rsidRPr="00A54361" w:rsidRDefault="0054549F" w:rsidP="00A54361">
      <w:pPr>
        <w:ind w:left="100" w:right="86"/>
        <w:jc w:val="both"/>
        <w:rPr>
          <w:rFonts w:cstheme="minorHAnsi"/>
        </w:rPr>
      </w:pPr>
      <w:r w:rsidRPr="00A54361">
        <w:rPr>
          <w:rFonts w:eastAsia="Times New Roman" w:cstheme="minorHAnsi"/>
        </w:rPr>
        <w:t>5.2</w:t>
      </w:r>
      <w:r w:rsidRPr="00A54361">
        <w:rPr>
          <w:rFonts w:eastAsia="Times New Roman" w:cstheme="minorHAnsi"/>
          <w:spacing w:val="-12"/>
        </w:rPr>
        <w:t xml:space="preserve"> </w:t>
      </w:r>
      <w:r w:rsidRPr="00A54361">
        <w:rPr>
          <w:rFonts w:eastAsia="Times New Roman" w:cstheme="minorHAnsi"/>
        </w:rPr>
        <w:t>The</w:t>
      </w:r>
      <w:r w:rsidRPr="00A54361">
        <w:rPr>
          <w:rFonts w:eastAsia="Times New Roman" w:cstheme="minorHAnsi"/>
          <w:spacing w:val="-13"/>
        </w:rPr>
        <w:t xml:space="preserve"> </w:t>
      </w:r>
      <w:r w:rsidRPr="00A54361">
        <w:rPr>
          <w:rFonts w:eastAsia="Times New Roman" w:cstheme="minorHAnsi"/>
        </w:rPr>
        <w:t>order</w:t>
      </w:r>
      <w:r w:rsidRPr="00A54361">
        <w:rPr>
          <w:rFonts w:eastAsia="Times New Roman" w:cstheme="minorHAnsi"/>
          <w:spacing w:val="-13"/>
        </w:rPr>
        <w:t xml:space="preserve"> </w:t>
      </w:r>
      <w:r w:rsidRPr="00A54361">
        <w:rPr>
          <w:rFonts w:eastAsia="Times New Roman" w:cstheme="minorHAnsi"/>
        </w:rPr>
        <w:t>of</w:t>
      </w:r>
      <w:r w:rsidRPr="00A54361">
        <w:rPr>
          <w:rFonts w:eastAsia="Times New Roman" w:cstheme="minorHAnsi"/>
          <w:spacing w:val="-13"/>
        </w:rPr>
        <w:t xml:space="preserve"> </w:t>
      </w:r>
      <w:r w:rsidRPr="00A54361">
        <w:rPr>
          <w:rFonts w:eastAsia="Times New Roman" w:cstheme="minorHAnsi"/>
        </w:rPr>
        <w:t>sus</w:t>
      </w:r>
      <w:r w:rsidRPr="00A54361">
        <w:rPr>
          <w:rFonts w:eastAsia="Times New Roman" w:cstheme="minorHAnsi"/>
          <w:spacing w:val="3"/>
        </w:rPr>
        <w:t>p</w:t>
      </w:r>
      <w:r w:rsidRPr="00A54361">
        <w:rPr>
          <w:rFonts w:eastAsia="Times New Roman" w:cstheme="minorHAnsi"/>
          <w:spacing w:val="-1"/>
        </w:rPr>
        <w:t>e</w:t>
      </w:r>
      <w:r w:rsidRPr="00A54361">
        <w:rPr>
          <w:rFonts w:eastAsia="Times New Roman" w:cstheme="minorHAnsi"/>
        </w:rPr>
        <w:t>nsion</w:t>
      </w:r>
      <w:r w:rsidRPr="00A54361">
        <w:rPr>
          <w:rFonts w:eastAsia="Times New Roman" w:cstheme="minorHAnsi"/>
          <w:spacing w:val="-12"/>
        </w:rPr>
        <w:t xml:space="preserve"> </w:t>
      </w:r>
      <w:r w:rsidRPr="00A54361">
        <w:rPr>
          <w:rFonts w:eastAsia="Times New Roman" w:cstheme="minorHAnsi"/>
        </w:rPr>
        <w:t>sh</w:t>
      </w:r>
      <w:r w:rsidRPr="00A54361">
        <w:rPr>
          <w:rFonts w:eastAsia="Times New Roman" w:cstheme="minorHAnsi"/>
          <w:spacing w:val="-1"/>
        </w:rPr>
        <w:t>a</w:t>
      </w:r>
      <w:r w:rsidRPr="00A54361">
        <w:rPr>
          <w:rFonts w:eastAsia="Times New Roman" w:cstheme="minorHAnsi"/>
        </w:rPr>
        <w:t>ll</w:t>
      </w:r>
      <w:r w:rsidRPr="00A54361">
        <w:rPr>
          <w:rFonts w:eastAsia="Times New Roman" w:cstheme="minorHAnsi"/>
          <w:spacing w:val="-11"/>
        </w:rPr>
        <w:t xml:space="preserve"> </w:t>
      </w:r>
      <w:r w:rsidRPr="00A54361">
        <w:rPr>
          <w:rFonts w:eastAsia="Times New Roman" w:cstheme="minorHAnsi"/>
        </w:rPr>
        <w:t>be</w:t>
      </w:r>
      <w:r w:rsidRPr="00A54361">
        <w:rPr>
          <w:rFonts w:eastAsia="Times New Roman" w:cstheme="minorHAnsi"/>
          <w:spacing w:val="-13"/>
        </w:rPr>
        <w:t xml:space="preserve"> </w:t>
      </w:r>
      <w:r w:rsidRPr="00A54361">
        <w:rPr>
          <w:rFonts w:eastAsia="Times New Roman" w:cstheme="minorHAnsi"/>
          <w:spacing w:val="-1"/>
        </w:rPr>
        <w:t>c</w:t>
      </w:r>
      <w:r w:rsidRPr="00A54361">
        <w:rPr>
          <w:rFonts w:eastAsia="Times New Roman" w:cstheme="minorHAnsi"/>
        </w:rPr>
        <w:t>om</w:t>
      </w:r>
      <w:r w:rsidRPr="00A54361">
        <w:rPr>
          <w:rFonts w:eastAsia="Times New Roman" w:cstheme="minorHAnsi"/>
          <w:spacing w:val="1"/>
        </w:rPr>
        <w:t>m</w:t>
      </w:r>
      <w:r w:rsidRPr="00A54361">
        <w:rPr>
          <w:rFonts w:eastAsia="Times New Roman" w:cstheme="minorHAnsi"/>
        </w:rPr>
        <w:t>unic</w:t>
      </w:r>
      <w:r w:rsidRPr="00A54361">
        <w:rPr>
          <w:rFonts w:eastAsia="Times New Roman" w:cstheme="minorHAnsi"/>
          <w:spacing w:val="-1"/>
        </w:rPr>
        <w:t>a</w:t>
      </w:r>
      <w:r w:rsidRPr="00A54361">
        <w:rPr>
          <w:rFonts w:eastAsia="Times New Roman" w:cstheme="minorHAnsi"/>
        </w:rPr>
        <w:t>t</w:t>
      </w:r>
      <w:r w:rsidRPr="00A54361">
        <w:rPr>
          <w:rFonts w:eastAsia="Times New Roman" w:cstheme="minorHAnsi"/>
          <w:spacing w:val="2"/>
        </w:rPr>
        <w:t>e</w:t>
      </w:r>
      <w:r w:rsidRPr="00A54361">
        <w:rPr>
          <w:rFonts w:eastAsia="Times New Roman" w:cstheme="minorHAnsi"/>
        </w:rPr>
        <w:t>d</w:t>
      </w:r>
      <w:r w:rsidRPr="00A54361">
        <w:rPr>
          <w:rFonts w:eastAsia="Times New Roman" w:cstheme="minorHAnsi"/>
          <w:spacing w:val="-12"/>
        </w:rPr>
        <w:t xml:space="preserve"> </w:t>
      </w:r>
      <w:r w:rsidRPr="00A54361">
        <w:rPr>
          <w:rFonts w:eastAsia="Times New Roman" w:cstheme="minorHAnsi"/>
        </w:rPr>
        <w:t>to</w:t>
      </w:r>
      <w:r w:rsidRPr="00A54361">
        <w:rPr>
          <w:rFonts w:eastAsia="Times New Roman" w:cstheme="minorHAnsi"/>
          <w:spacing w:val="-12"/>
        </w:rPr>
        <w:t xml:space="preserve"> </w:t>
      </w:r>
      <w:r w:rsidRPr="00A54361">
        <w:rPr>
          <w:rFonts w:eastAsia="Times New Roman" w:cstheme="minorHAnsi"/>
          <w:spacing w:val="-1"/>
        </w:rPr>
        <w:t>a</w:t>
      </w:r>
      <w:r w:rsidRPr="00A54361">
        <w:rPr>
          <w:rFonts w:eastAsia="Times New Roman" w:cstheme="minorHAnsi"/>
        </w:rPr>
        <w:t>ll</w:t>
      </w:r>
      <w:r w:rsidRPr="00A54361">
        <w:rPr>
          <w:rFonts w:eastAsia="Times New Roman" w:cstheme="minorHAnsi"/>
          <w:spacing w:val="-11"/>
        </w:rPr>
        <w:t xml:space="preserve"> </w:t>
      </w:r>
      <w:r w:rsidRPr="00A54361">
        <w:rPr>
          <w:rFonts w:eastAsia="Times New Roman" w:cstheme="minorHAnsi"/>
        </w:rPr>
        <w:t>D</w:t>
      </w:r>
      <w:r w:rsidRPr="00A54361">
        <w:rPr>
          <w:rFonts w:eastAsia="Times New Roman" w:cstheme="minorHAnsi"/>
          <w:spacing w:val="-1"/>
        </w:rPr>
        <w:t>e</w:t>
      </w:r>
      <w:r w:rsidRPr="00A54361">
        <w:rPr>
          <w:rFonts w:eastAsia="Times New Roman" w:cstheme="minorHAnsi"/>
        </w:rPr>
        <w:t>p</w:t>
      </w:r>
      <w:r w:rsidRPr="00A54361">
        <w:rPr>
          <w:rFonts w:eastAsia="Times New Roman" w:cstheme="minorHAnsi"/>
          <w:spacing w:val="-1"/>
        </w:rPr>
        <w:t>a</w:t>
      </w:r>
      <w:r w:rsidRPr="00A54361">
        <w:rPr>
          <w:rFonts w:eastAsia="Times New Roman" w:cstheme="minorHAnsi"/>
        </w:rPr>
        <w:t>rtm</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3"/>
        </w:rPr>
        <w:t>t</w:t>
      </w:r>
      <w:r w:rsidRPr="00A54361">
        <w:rPr>
          <w:rFonts w:eastAsia="Times New Roman" w:cstheme="minorHAnsi"/>
          <w:spacing w:val="-1"/>
        </w:rPr>
        <w:t>a</w:t>
      </w:r>
      <w:r w:rsidRPr="00A54361">
        <w:rPr>
          <w:rFonts w:eastAsia="Times New Roman" w:cstheme="minorHAnsi"/>
        </w:rPr>
        <w:t>l</w:t>
      </w:r>
      <w:r w:rsidRPr="00A54361">
        <w:rPr>
          <w:rFonts w:eastAsia="Times New Roman" w:cstheme="minorHAnsi"/>
          <w:spacing w:val="-12"/>
        </w:rPr>
        <w:t xml:space="preserve"> </w:t>
      </w:r>
      <w:r w:rsidRPr="00A54361">
        <w:rPr>
          <w:rFonts w:eastAsia="Times New Roman" w:cstheme="minorHAnsi"/>
        </w:rPr>
        <w:t>H</w:t>
      </w:r>
      <w:r w:rsidRPr="00A54361">
        <w:rPr>
          <w:rFonts w:eastAsia="Times New Roman" w:cstheme="minorHAnsi"/>
          <w:spacing w:val="-1"/>
        </w:rPr>
        <w:t>e</w:t>
      </w:r>
      <w:r w:rsidRPr="00A54361">
        <w:rPr>
          <w:rFonts w:eastAsia="Times New Roman" w:cstheme="minorHAnsi"/>
          <w:spacing w:val="1"/>
        </w:rPr>
        <w:t>a</w:t>
      </w:r>
      <w:r w:rsidRPr="00A54361">
        <w:rPr>
          <w:rFonts w:eastAsia="Times New Roman" w:cstheme="minorHAnsi"/>
        </w:rPr>
        <w:t>ds</w:t>
      </w:r>
      <w:r w:rsidRPr="00A54361">
        <w:rPr>
          <w:rFonts w:eastAsia="Times New Roman" w:cstheme="minorHAnsi"/>
          <w:spacing w:val="-12"/>
        </w:rPr>
        <w:t xml:space="preserve"> </w:t>
      </w:r>
      <w:r w:rsidRPr="00A54361">
        <w:rPr>
          <w:rFonts w:eastAsia="Times New Roman" w:cstheme="minorHAnsi"/>
        </w:rPr>
        <w:t>with</w:t>
      </w:r>
      <w:r w:rsidRPr="00A54361">
        <w:rPr>
          <w:rFonts w:eastAsia="Times New Roman" w:cstheme="minorHAnsi"/>
          <w:spacing w:val="1"/>
        </w:rPr>
        <w:t>i</w:t>
      </w:r>
      <w:r w:rsidRPr="00A54361">
        <w:rPr>
          <w:rFonts w:eastAsia="Times New Roman" w:cstheme="minorHAnsi"/>
        </w:rPr>
        <w:t>n</w:t>
      </w:r>
      <w:r w:rsidRPr="00A54361">
        <w:rPr>
          <w:rFonts w:eastAsia="Times New Roman" w:cstheme="minorHAnsi"/>
          <w:spacing w:val="-12"/>
        </w:rPr>
        <w:t xml:space="preserve"> </w:t>
      </w:r>
      <w:r w:rsidRPr="00A54361">
        <w:rPr>
          <w:rFonts w:eastAsia="Times New Roman" w:cstheme="minorHAnsi"/>
        </w:rPr>
        <w:t>the</w:t>
      </w:r>
      <w:r w:rsidRPr="00A54361">
        <w:rPr>
          <w:rFonts w:eastAsia="Times New Roman" w:cstheme="minorHAnsi"/>
          <w:spacing w:val="-12"/>
        </w:rPr>
        <w:t xml:space="preserve"> </w:t>
      </w:r>
      <w:r w:rsidRPr="00A54361">
        <w:rPr>
          <w:rFonts w:eastAsia="Times New Roman" w:cstheme="minorHAnsi"/>
          <w:spacing w:val="1"/>
        </w:rPr>
        <w:t>P</w:t>
      </w:r>
      <w:r w:rsidRPr="00A54361">
        <w:rPr>
          <w:rFonts w:eastAsia="Times New Roman" w:cstheme="minorHAnsi"/>
        </w:rPr>
        <w:t>lants / Uni</w:t>
      </w:r>
      <w:r w:rsidRPr="00A54361">
        <w:rPr>
          <w:rFonts w:eastAsia="Times New Roman" w:cstheme="minorHAnsi"/>
          <w:spacing w:val="1"/>
        </w:rPr>
        <w:t>t</w:t>
      </w:r>
      <w:r w:rsidRPr="00A54361">
        <w:rPr>
          <w:rFonts w:eastAsia="Times New Roman" w:cstheme="minorHAnsi"/>
        </w:rPr>
        <w:t>s. Du</w:t>
      </w:r>
      <w:r w:rsidRPr="00A54361">
        <w:rPr>
          <w:rFonts w:eastAsia="Times New Roman" w:cstheme="minorHAnsi"/>
          <w:spacing w:val="-1"/>
        </w:rPr>
        <w:t>r</w:t>
      </w:r>
      <w:r w:rsidRPr="00A54361">
        <w:rPr>
          <w:rFonts w:eastAsia="Times New Roman" w:cstheme="minorHAnsi"/>
        </w:rPr>
        <w:t>ing</w:t>
      </w:r>
      <w:r w:rsidRPr="00A54361">
        <w:rPr>
          <w:rFonts w:eastAsia="Times New Roman" w:cstheme="minorHAnsi"/>
          <w:spacing w:val="-2"/>
        </w:rPr>
        <w:t xml:space="preserve"> </w:t>
      </w:r>
      <w:r w:rsidRPr="00A54361">
        <w:rPr>
          <w:rFonts w:eastAsia="Times New Roman" w:cstheme="minorHAnsi"/>
        </w:rPr>
        <w:t>the p</w:t>
      </w:r>
      <w:r w:rsidRPr="00A54361">
        <w:rPr>
          <w:rFonts w:eastAsia="Times New Roman" w:cstheme="minorHAnsi"/>
          <w:spacing w:val="1"/>
        </w:rPr>
        <w:t>e</w:t>
      </w:r>
      <w:r w:rsidRPr="00A54361">
        <w:rPr>
          <w:rFonts w:eastAsia="Times New Roman" w:cstheme="minorHAnsi"/>
        </w:rPr>
        <w:t>riod of</w:t>
      </w:r>
      <w:r w:rsidRPr="00A54361">
        <w:rPr>
          <w:rFonts w:eastAsia="Times New Roman" w:cstheme="minorHAnsi"/>
          <w:spacing w:val="-1"/>
        </w:rPr>
        <w:t xml:space="preserve"> </w:t>
      </w:r>
      <w:r w:rsidRPr="00A54361">
        <w:rPr>
          <w:rFonts w:eastAsia="Times New Roman" w:cstheme="minorHAnsi"/>
        </w:rPr>
        <w:t>suspension, no bus</w:t>
      </w:r>
      <w:r w:rsidRPr="00A54361">
        <w:rPr>
          <w:rFonts w:eastAsia="Times New Roman" w:cstheme="minorHAnsi"/>
          <w:spacing w:val="1"/>
        </w:rPr>
        <w:t>i</w:t>
      </w:r>
      <w:r w:rsidRPr="00A54361">
        <w:rPr>
          <w:rFonts w:eastAsia="Times New Roman" w:cstheme="minorHAnsi"/>
        </w:rPr>
        <w:t>n</w:t>
      </w:r>
      <w:r w:rsidRPr="00A54361">
        <w:rPr>
          <w:rFonts w:eastAsia="Times New Roman" w:cstheme="minorHAnsi"/>
          <w:spacing w:val="-1"/>
        </w:rPr>
        <w:t>e</w:t>
      </w:r>
      <w:r w:rsidRPr="00A54361">
        <w:rPr>
          <w:rFonts w:eastAsia="Times New Roman" w:cstheme="minorHAnsi"/>
        </w:rPr>
        <w:t>ss de</w:t>
      </w:r>
      <w:r w:rsidRPr="00A54361">
        <w:rPr>
          <w:rFonts w:eastAsia="Times New Roman" w:cstheme="minorHAnsi"/>
          <w:spacing w:val="-1"/>
        </w:rPr>
        <w:t>a</w:t>
      </w:r>
      <w:r w:rsidRPr="00A54361">
        <w:rPr>
          <w:rFonts w:eastAsia="Times New Roman" w:cstheme="minorHAnsi"/>
        </w:rPr>
        <w:t>l</w:t>
      </w:r>
      <w:r w:rsidRPr="00A54361">
        <w:rPr>
          <w:rFonts w:eastAsia="Times New Roman" w:cstheme="minorHAnsi"/>
          <w:spacing w:val="1"/>
        </w:rPr>
        <w:t>i</w:t>
      </w:r>
      <w:r w:rsidRPr="00A54361">
        <w:rPr>
          <w:rFonts w:eastAsia="Times New Roman" w:cstheme="minorHAnsi"/>
          <w:spacing w:val="2"/>
        </w:rPr>
        <w:t>n</w:t>
      </w:r>
      <w:r w:rsidRPr="00A54361">
        <w:rPr>
          <w:rFonts w:eastAsia="Times New Roman" w:cstheme="minorHAnsi"/>
        </w:rPr>
        <w:t>g</w:t>
      </w:r>
      <w:r w:rsidRPr="00A54361">
        <w:rPr>
          <w:rFonts w:eastAsia="Times New Roman" w:cstheme="minorHAnsi"/>
          <w:spacing w:val="-2"/>
        </w:rPr>
        <w:t xml:space="preserve"> </w:t>
      </w:r>
      <w:r w:rsidRPr="00A54361">
        <w:rPr>
          <w:rFonts w:eastAsia="Times New Roman" w:cstheme="minorHAnsi"/>
        </w:rPr>
        <w:t>m</w:t>
      </w:r>
      <w:r w:rsidRPr="00A54361">
        <w:rPr>
          <w:rFonts w:eastAsia="Times New Roman" w:cstheme="minorHAnsi"/>
          <w:spacing w:val="4"/>
        </w:rPr>
        <w:t>a</w:t>
      </w:r>
      <w:r w:rsidRPr="00A54361">
        <w:rPr>
          <w:rFonts w:eastAsia="Times New Roman" w:cstheme="minorHAnsi"/>
        </w:rPr>
        <w:t>y</w:t>
      </w:r>
      <w:r w:rsidRPr="00A54361">
        <w:rPr>
          <w:rFonts w:eastAsia="Times New Roman" w:cstheme="minorHAnsi"/>
          <w:spacing w:val="-5"/>
        </w:rPr>
        <w:t xml:space="preserve"> </w:t>
      </w:r>
      <w:r w:rsidRPr="00A54361">
        <w:rPr>
          <w:rFonts w:eastAsia="Times New Roman" w:cstheme="minorHAnsi"/>
        </w:rPr>
        <w:t>be</w:t>
      </w:r>
      <w:r w:rsidRPr="00A54361">
        <w:rPr>
          <w:rFonts w:eastAsia="Times New Roman" w:cstheme="minorHAnsi"/>
          <w:spacing w:val="-1"/>
        </w:rPr>
        <w:t xml:space="preserve"> </w:t>
      </w:r>
      <w:r w:rsidRPr="00A54361">
        <w:rPr>
          <w:rFonts w:eastAsia="Times New Roman" w:cstheme="minorHAnsi"/>
          <w:spacing w:val="2"/>
        </w:rPr>
        <w:t>h</w:t>
      </w:r>
      <w:r w:rsidRPr="00A54361">
        <w:rPr>
          <w:rFonts w:eastAsia="Times New Roman" w:cstheme="minorHAnsi"/>
          <w:spacing w:val="-1"/>
        </w:rPr>
        <w:t>e</w:t>
      </w:r>
      <w:r w:rsidRPr="00A54361">
        <w:rPr>
          <w:rFonts w:eastAsia="Times New Roman" w:cstheme="minorHAnsi"/>
        </w:rPr>
        <w:t>ld wi</w:t>
      </w:r>
      <w:r w:rsidRPr="00A54361">
        <w:rPr>
          <w:rFonts w:eastAsia="Times New Roman" w:cstheme="minorHAnsi"/>
          <w:spacing w:val="1"/>
        </w:rPr>
        <w:t>t</w:t>
      </w:r>
      <w:r w:rsidRPr="00A54361">
        <w:rPr>
          <w:rFonts w:eastAsia="Times New Roman" w:cstheme="minorHAnsi"/>
        </w:rPr>
        <w:t xml:space="preserve">h the </w:t>
      </w:r>
      <w:r w:rsidRPr="00A54361">
        <w:rPr>
          <w:rFonts w:eastAsia="Times New Roman" w:cstheme="minorHAnsi"/>
          <w:spacing w:val="-1"/>
        </w:rPr>
        <w:t>A</w:t>
      </w:r>
      <w:r w:rsidRPr="00A54361">
        <w:rPr>
          <w:rFonts w:eastAsia="Times New Roman" w:cstheme="minorHAnsi"/>
        </w:rPr>
        <w:t>g</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4"/>
        </w:rPr>
        <w:t>c</w:t>
      </w:r>
      <w:r w:rsidRPr="00A54361">
        <w:rPr>
          <w:rFonts w:eastAsia="Times New Roman" w:cstheme="minorHAnsi"/>
          <w:spacing w:val="-5"/>
        </w:rPr>
        <w:t>y</w:t>
      </w:r>
      <w:r w:rsidRPr="00A54361">
        <w:rPr>
          <w:rFonts w:eastAsia="Times New Roman" w:cstheme="minorHAnsi"/>
        </w:rPr>
        <w:t>.</w:t>
      </w:r>
    </w:p>
    <w:p w14:paraId="28C9099D" w14:textId="77777777" w:rsidR="0054549F" w:rsidRPr="00A54361" w:rsidRDefault="0054549F" w:rsidP="00A54361">
      <w:pPr>
        <w:ind w:left="100" w:right="77"/>
        <w:jc w:val="both"/>
        <w:rPr>
          <w:rFonts w:cstheme="minorHAnsi"/>
        </w:rPr>
      </w:pPr>
      <w:r w:rsidRPr="00A54361">
        <w:rPr>
          <w:rFonts w:eastAsia="Times New Roman" w:cstheme="minorHAnsi"/>
        </w:rPr>
        <w:t>5.3</w:t>
      </w:r>
      <w:r w:rsidRPr="00A54361">
        <w:rPr>
          <w:rFonts w:eastAsia="Times New Roman" w:cstheme="minorHAnsi"/>
          <w:spacing w:val="45"/>
        </w:rPr>
        <w:t xml:space="preserve"> </w:t>
      </w:r>
      <w:r w:rsidRPr="00A54361">
        <w:rPr>
          <w:rFonts w:eastAsia="Times New Roman" w:cstheme="minorHAnsi"/>
        </w:rPr>
        <w:t>As</w:t>
      </w:r>
      <w:r w:rsidRPr="00A54361">
        <w:rPr>
          <w:rFonts w:eastAsia="Times New Roman" w:cstheme="minorHAnsi"/>
          <w:spacing w:val="45"/>
        </w:rPr>
        <w:t xml:space="preserve"> </w:t>
      </w:r>
      <w:r w:rsidRPr="00A54361">
        <w:rPr>
          <w:rFonts w:eastAsia="Times New Roman" w:cstheme="minorHAnsi"/>
        </w:rPr>
        <w:t>f</w:t>
      </w:r>
      <w:r w:rsidRPr="00A54361">
        <w:rPr>
          <w:rFonts w:eastAsia="Times New Roman" w:cstheme="minorHAnsi"/>
          <w:spacing w:val="-2"/>
        </w:rPr>
        <w:t>a</w:t>
      </w:r>
      <w:r w:rsidRPr="00A54361">
        <w:rPr>
          <w:rFonts w:eastAsia="Times New Roman" w:cstheme="minorHAnsi"/>
        </w:rPr>
        <w:t>r</w:t>
      </w:r>
      <w:r w:rsidRPr="00A54361">
        <w:rPr>
          <w:rFonts w:eastAsia="Times New Roman" w:cstheme="minorHAnsi"/>
          <w:spacing w:val="45"/>
        </w:rPr>
        <w:t xml:space="preserve"> </w:t>
      </w:r>
      <w:r w:rsidRPr="00A54361">
        <w:rPr>
          <w:rFonts w:eastAsia="Times New Roman" w:cstheme="minorHAnsi"/>
          <w:spacing w:val="-1"/>
        </w:rPr>
        <w:t>a</w:t>
      </w:r>
      <w:r w:rsidRPr="00A54361">
        <w:rPr>
          <w:rFonts w:eastAsia="Times New Roman" w:cstheme="minorHAnsi"/>
        </w:rPr>
        <w:t>s</w:t>
      </w:r>
      <w:r w:rsidRPr="00A54361">
        <w:rPr>
          <w:rFonts w:eastAsia="Times New Roman" w:cstheme="minorHAnsi"/>
          <w:spacing w:val="46"/>
        </w:rPr>
        <w:t xml:space="preserve"> </w:t>
      </w:r>
      <w:r w:rsidRPr="00A54361">
        <w:rPr>
          <w:rFonts w:eastAsia="Times New Roman" w:cstheme="minorHAnsi"/>
        </w:rPr>
        <w:t>poss</w:t>
      </w:r>
      <w:r w:rsidRPr="00A54361">
        <w:rPr>
          <w:rFonts w:eastAsia="Times New Roman" w:cstheme="minorHAnsi"/>
          <w:spacing w:val="1"/>
        </w:rPr>
        <w:t>i</w:t>
      </w:r>
      <w:r w:rsidRPr="00A54361">
        <w:rPr>
          <w:rFonts w:eastAsia="Times New Roman" w:cstheme="minorHAnsi"/>
        </w:rPr>
        <w:t>ble,</w:t>
      </w:r>
      <w:r w:rsidRPr="00A54361">
        <w:rPr>
          <w:rFonts w:eastAsia="Times New Roman" w:cstheme="minorHAnsi"/>
          <w:spacing w:val="45"/>
        </w:rPr>
        <w:t xml:space="preserve"> </w:t>
      </w:r>
      <w:r w:rsidRPr="00A54361">
        <w:rPr>
          <w:rFonts w:eastAsia="Times New Roman" w:cstheme="minorHAnsi"/>
        </w:rPr>
        <w:t>the</w:t>
      </w:r>
      <w:r w:rsidRPr="00A54361">
        <w:rPr>
          <w:rFonts w:eastAsia="Times New Roman" w:cstheme="minorHAnsi"/>
          <w:spacing w:val="45"/>
        </w:rPr>
        <w:t xml:space="preserve"> </w:t>
      </w:r>
      <w:r w:rsidRPr="00A54361">
        <w:rPr>
          <w:rFonts w:eastAsia="Times New Roman" w:cstheme="minorHAnsi"/>
          <w:spacing w:val="-1"/>
        </w:rPr>
        <w:t>e</w:t>
      </w:r>
      <w:r w:rsidRPr="00A54361">
        <w:rPr>
          <w:rFonts w:eastAsia="Times New Roman" w:cstheme="minorHAnsi"/>
          <w:spacing w:val="2"/>
        </w:rPr>
        <w:t>x</w:t>
      </w:r>
      <w:r w:rsidRPr="00A54361">
        <w:rPr>
          <w:rFonts w:eastAsia="Times New Roman" w:cstheme="minorHAnsi"/>
        </w:rPr>
        <w:t>is</w:t>
      </w:r>
      <w:r w:rsidRPr="00A54361">
        <w:rPr>
          <w:rFonts w:eastAsia="Times New Roman" w:cstheme="minorHAnsi"/>
          <w:spacing w:val="1"/>
        </w:rPr>
        <w:t>t</w:t>
      </w:r>
      <w:r w:rsidRPr="00A54361">
        <w:rPr>
          <w:rFonts w:eastAsia="Times New Roman" w:cstheme="minorHAnsi"/>
        </w:rPr>
        <w:t>ing</w:t>
      </w:r>
      <w:r w:rsidRPr="00A54361">
        <w:rPr>
          <w:rFonts w:eastAsia="Times New Roman" w:cstheme="minorHAnsi"/>
          <w:spacing w:val="43"/>
        </w:rPr>
        <w:t xml:space="preserve"> </w:t>
      </w:r>
      <w:r w:rsidRPr="00A54361">
        <w:rPr>
          <w:rFonts w:eastAsia="Times New Roman" w:cstheme="minorHAnsi"/>
          <w:spacing w:val="-1"/>
        </w:rPr>
        <w:t>c</w:t>
      </w:r>
      <w:r w:rsidRPr="00A54361">
        <w:rPr>
          <w:rFonts w:eastAsia="Times New Roman" w:cstheme="minorHAnsi"/>
        </w:rPr>
        <w:t>ontr</w:t>
      </w:r>
      <w:r w:rsidRPr="00A54361">
        <w:rPr>
          <w:rFonts w:eastAsia="Times New Roman" w:cstheme="minorHAnsi"/>
          <w:spacing w:val="2"/>
        </w:rPr>
        <w:t>a</w:t>
      </w:r>
      <w:r w:rsidRPr="00A54361">
        <w:rPr>
          <w:rFonts w:eastAsia="Times New Roman" w:cstheme="minorHAnsi"/>
          <w:spacing w:val="-1"/>
        </w:rPr>
        <w:t>c</w:t>
      </w:r>
      <w:r w:rsidRPr="00A54361">
        <w:rPr>
          <w:rFonts w:eastAsia="Times New Roman" w:cstheme="minorHAnsi"/>
        </w:rPr>
        <w:t>t(s)</w:t>
      </w:r>
      <w:r w:rsidRPr="00A54361">
        <w:rPr>
          <w:rFonts w:eastAsia="Times New Roman" w:cstheme="minorHAnsi"/>
          <w:spacing w:val="47"/>
        </w:rPr>
        <w:t xml:space="preserve"> </w:t>
      </w:r>
      <w:r w:rsidRPr="00A54361">
        <w:rPr>
          <w:rFonts w:eastAsia="Times New Roman" w:cstheme="minorHAnsi"/>
        </w:rPr>
        <w:t>with</w:t>
      </w:r>
      <w:r w:rsidRPr="00A54361">
        <w:rPr>
          <w:rFonts w:eastAsia="Times New Roman" w:cstheme="minorHAnsi"/>
          <w:spacing w:val="46"/>
        </w:rPr>
        <w:t xml:space="preserve"> </w:t>
      </w:r>
      <w:r w:rsidRPr="00A54361">
        <w:rPr>
          <w:rFonts w:eastAsia="Times New Roman" w:cstheme="minorHAnsi"/>
        </w:rPr>
        <w:t>the</w:t>
      </w:r>
      <w:r w:rsidRPr="00A54361">
        <w:rPr>
          <w:rFonts w:eastAsia="Times New Roman" w:cstheme="minorHAnsi"/>
          <w:spacing w:val="45"/>
        </w:rPr>
        <w:t xml:space="preserve"> </w:t>
      </w:r>
      <w:r w:rsidRPr="00A54361">
        <w:rPr>
          <w:rFonts w:eastAsia="Times New Roman" w:cstheme="minorHAnsi"/>
        </w:rPr>
        <w:t>A</w:t>
      </w:r>
      <w:r w:rsidRPr="00A54361">
        <w:rPr>
          <w:rFonts w:eastAsia="Times New Roman" w:cstheme="minorHAnsi"/>
          <w:spacing w:val="-3"/>
        </w:rPr>
        <w:t>g</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4"/>
        </w:rPr>
        <w:t>c</w:t>
      </w:r>
      <w:r w:rsidRPr="00A54361">
        <w:rPr>
          <w:rFonts w:eastAsia="Times New Roman" w:cstheme="minorHAnsi"/>
        </w:rPr>
        <w:t>y</w:t>
      </w:r>
      <w:r w:rsidRPr="00A54361">
        <w:rPr>
          <w:rFonts w:eastAsia="Times New Roman" w:cstheme="minorHAnsi"/>
          <w:spacing w:val="41"/>
        </w:rPr>
        <w:t xml:space="preserve"> </w:t>
      </w:r>
      <w:r w:rsidRPr="00A54361">
        <w:rPr>
          <w:rFonts w:eastAsia="Times New Roman" w:cstheme="minorHAnsi"/>
        </w:rPr>
        <w:t>m</w:t>
      </w:r>
      <w:r w:rsidRPr="00A54361">
        <w:rPr>
          <w:rFonts w:eastAsia="Times New Roman" w:cstheme="minorHAnsi"/>
          <w:spacing w:val="4"/>
        </w:rPr>
        <w:t>a</w:t>
      </w:r>
      <w:r w:rsidRPr="00A54361">
        <w:rPr>
          <w:rFonts w:eastAsia="Times New Roman" w:cstheme="minorHAnsi"/>
        </w:rPr>
        <w:t>y</w:t>
      </w:r>
      <w:r w:rsidRPr="00A54361">
        <w:rPr>
          <w:rFonts w:eastAsia="Times New Roman" w:cstheme="minorHAnsi"/>
          <w:spacing w:val="41"/>
        </w:rPr>
        <w:t xml:space="preserve"> </w:t>
      </w:r>
      <w:r w:rsidRPr="00A54361">
        <w:rPr>
          <w:rFonts w:eastAsia="Times New Roman" w:cstheme="minorHAnsi"/>
          <w:spacing w:val="1"/>
        </w:rPr>
        <w:t>c</w:t>
      </w:r>
      <w:r w:rsidRPr="00A54361">
        <w:rPr>
          <w:rFonts w:eastAsia="Times New Roman" w:cstheme="minorHAnsi"/>
        </w:rPr>
        <w:t>ont</w:t>
      </w:r>
      <w:r w:rsidRPr="00A54361">
        <w:rPr>
          <w:rFonts w:eastAsia="Times New Roman" w:cstheme="minorHAnsi"/>
          <w:spacing w:val="1"/>
        </w:rPr>
        <w:t>i</w:t>
      </w:r>
      <w:r w:rsidRPr="00A54361">
        <w:rPr>
          <w:rFonts w:eastAsia="Times New Roman" w:cstheme="minorHAnsi"/>
        </w:rPr>
        <w:t>nue</w:t>
      </w:r>
      <w:r w:rsidRPr="00A54361">
        <w:rPr>
          <w:rFonts w:eastAsia="Times New Roman" w:cstheme="minorHAnsi"/>
          <w:spacing w:val="44"/>
        </w:rPr>
        <w:t xml:space="preserve"> </w:t>
      </w:r>
      <w:r w:rsidRPr="00A54361">
        <w:rPr>
          <w:rFonts w:eastAsia="Times New Roman" w:cstheme="minorHAnsi"/>
        </w:rPr>
        <w:t>unless</w:t>
      </w:r>
      <w:r w:rsidRPr="00A54361">
        <w:rPr>
          <w:rFonts w:eastAsia="Times New Roman" w:cstheme="minorHAnsi"/>
          <w:spacing w:val="45"/>
        </w:rPr>
        <w:t xml:space="preserve"> </w:t>
      </w:r>
      <w:r w:rsidRPr="00A54361">
        <w:rPr>
          <w:rFonts w:eastAsia="Times New Roman" w:cstheme="minorHAnsi"/>
        </w:rPr>
        <w:t>the Compet</w:t>
      </w:r>
      <w:r w:rsidRPr="00A54361">
        <w:rPr>
          <w:rFonts w:eastAsia="Times New Roman" w:cstheme="minorHAnsi"/>
          <w:spacing w:val="-1"/>
        </w:rPr>
        <w:t>e</w:t>
      </w:r>
      <w:r w:rsidRPr="00A54361">
        <w:rPr>
          <w:rFonts w:eastAsia="Times New Roman" w:cstheme="minorHAnsi"/>
        </w:rPr>
        <w:t>nt Authori</w:t>
      </w:r>
      <w:r w:rsidRPr="00A54361">
        <w:rPr>
          <w:rFonts w:eastAsia="Times New Roman" w:cstheme="minorHAnsi"/>
          <w:spacing w:val="3"/>
        </w:rPr>
        <w:t>t</w:t>
      </w:r>
      <w:r w:rsidRPr="00A54361">
        <w:rPr>
          <w:rFonts w:eastAsia="Times New Roman" w:cstheme="minorHAnsi"/>
          <w:spacing w:val="-5"/>
        </w:rPr>
        <w:t>y</w:t>
      </w:r>
      <w:r w:rsidRPr="00A54361">
        <w:rPr>
          <w:rFonts w:eastAsia="Times New Roman" w:cstheme="minorHAnsi"/>
        </w:rPr>
        <w:t>, h</w:t>
      </w:r>
      <w:r w:rsidRPr="00A54361">
        <w:rPr>
          <w:rFonts w:eastAsia="Times New Roman" w:cstheme="minorHAnsi"/>
          <w:spacing w:val="1"/>
        </w:rPr>
        <w:t>a</w:t>
      </w:r>
      <w:r w:rsidRPr="00A54361">
        <w:rPr>
          <w:rFonts w:eastAsia="Times New Roman" w:cstheme="minorHAnsi"/>
        </w:rPr>
        <w:t>ving</w:t>
      </w:r>
      <w:r w:rsidRPr="00A54361">
        <w:rPr>
          <w:rFonts w:eastAsia="Times New Roman" w:cstheme="minorHAnsi"/>
          <w:spacing w:val="-2"/>
        </w:rPr>
        <w:t xml:space="preserve"> </w:t>
      </w:r>
      <w:r w:rsidRPr="00A54361">
        <w:rPr>
          <w:rFonts w:eastAsia="Times New Roman" w:cstheme="minorHAnsi"/>
        </w:rPr>
        <w:t>reg</w:t>
      </w:r>
      <w:r w:rsidRPr="00A54361">
        <w:rPr>
          <w:rFonts w:eastAsia="Times New Roman" w:cstheme="minorHAnsi"/>
          <w:spacing w:val="-1"/>
        </w:rPr>
        <w:t>a</w:t>
      </w:r>
      <w:r w:rsidRPr="00A54361">
        <w:rPr>
          <w:rFonts w:eastAsia="Times New Roman" w:cstheme="minorHAnsi"/>
        </w:rPr>
        <w:t>rd to the</w:t>
      </w:r>
      <w:r w:rsidRPr="00A54361">
        <w:rPr>
          <w:rFonts w:eastAsia="Times New Roman" w:cstheme="minorHAnsi"/>
          <w:spacing w:val="1"/>
        </w:rPr>
        <w:t xml:space="preserve"> </w:t>
      </w:r>
      <w:r w:rsidRPr="00A54361">
        <w:rPr>
          <w:rFonts w:eastAsia="Times New Roman" w:cstheme="minorHAnsi"/>
          <w:spacing w:val="-1"/>
        </w:rPr>
        <w:t>c</w:t>
      </w:r>
      <w:r w:rsidRPr="00A54361">
        <w:rPr>
          <w:rFonts w:eastAsia="Times New Roman" w:cstheme="minorHAnsi"/>
        </w:rPr>
        <w:t>ir</w:t>
      </w:r>
      <w:r w:rsidRPr="00A54361">
        <w:rPr>
          <w:rFonts w:eastAsia="Times New Roman" w:cstheme="minorHAnsi"/>
          <w:spacing w:val="-1"/>
        </w:rPr>
        <w:t>c</w:t>
      </w:r>
      <w:r w:rsidRPr="00A54361">
        <w:rPr>
          <w:rFonts w:eastAsia="Times New Roman" w:cstheme="minorHAnsi"/>
        </w:rPr>
        <w:t>u</w:t>
      </w:r>
      <w:r w:rsidRPr="00A54361">
        <w:rPr>
          <w:rFonts w:eastAsia="Times New Roman" w:cstheme="minorHAnsi"/>
          <w:spacing w:val="3"/>
        </w:rPr>
        <w:t>m</w:t>
      </w:r>
      <w:r w:rsidRPr="00A54361">
        <w:rPr>
          <w:rFonts w:eastAsia="Times New Roman" w:cstheme="minorHAnsi"/>
        </w:rPr>
        <w:t>stan</w:t>
      </w:r>
      <w:r w:rsidRPr="00A54361">
        <w:rPr>
          <w:rFonts w:eastAsia="Times New Roman" w:cstheme="minorHAnsi"/>
          <w:spacing w:val="-1"/>
        </w:rPr>
        <w:t>ce</w:t>
      </w:r>
      <w:r w:rsidRPr="00A54361">
        <w:rPr>
          <w:rFonts w:eastAsia="Times New Roman" w:cstheme="minorHAnsi"/>
        </w:rPr>
        <w:t>s of the</w:t>
      </w:r>
      <w:r w:rsidRPr="00A54361">
        <w:rPr>
          <w:rFonts w:eastAsia="Times New Roman" w:cstheme="minorHAnsi"/>
          <w:spacing w:val="1"/>
        </w:rPr>
        <w:t xml:space="preserve"> </w:t>
      </w:r>
      <w:r w:rsidRPr="00A54361">
        <w:rPr>
          <w:rFonts w:eastAsia="Times New Roman" w:cstheme="minorHAnsi"/>
          <w:spacing w:val="-1"/>
        </w:rPr>
        <w:t>ca</w:t>
      </w:r>
      <w:r w:rsidRPr="00A54361">
        <w:rPr>
          <w:rFonts w:eastAsia="Times New Roman" w:cstheme="minorHAnsi"/>
        </w:rPr>
        <w:t>s</w:t>
      </w:r>
      <w:r w:rsidRPr="00A54361">
        <w:rPr>
          <w:rFonts w:eastAsia="Times New Roman" w:cstheme="minorHAnsi"/>
          <w:spacing w:val="-1"/>
        </w:rPr>
        <w:t>e</w:t>
      </w:r>
      <w:r w:rsidRPr="00A54361">
        <w:rPr>
          <w:rFonts w:eastAsia="Times New Roman" w:cstheme="minorHAnsi"/>
        </w:rPr>
        <w:t xml:space="preserve">, </w:t>
      </w:r>
      <w:r w:rsidRPr="00A54361">
        <w:rPr>
          <w:rFonts w:eastAsia="Times New Roman" w:cstheme="minorHAnsi"/>
          <w:spacing w:val="2"/>
        </w:rPr>
        <w:t>d</w:t>
      </w:r>
      <w:r w:rsidRPr="00A54361">
        <w:rPr>
          <w:rFonts w:eastAsia="Times New Roman" w:cstheme="minorHAnsi"/>
          <w:spacing w:val="-1"/>
        </w:rPr>
        <w:t>ec</w:t>
      </w:r>
      <w:r w:rsidRPr="00A54361">
        <w:rPr>
          <w:rFonts w:eastAsia="Times New Roman" w:cstheme="minorHAnsi"/>
        </w:rPr>
        <w:t>i</w:t>
      </w:r>
      <w:r w:rsidRPr="00A54361">
        <w:rPr>
          <w:rFonts w:eastAsia="Times New Roman" w:cstheme="minorHAnsi"/>
          <w:spacing w:val="3"/>
        </w:rPr>
        <w:t>d</w:t>
      </w:r>
      <w:r w:rsidRPr="00A54361">
        <w:rPr>
          <w:rFonts w:eastAsia="Times New Roman" w:cstheme="minorHAnsi"/>
          <w:spacing w:val="-1"/>
        </w:rPr>
        <w:t>e</w:t>
      </w:r>
      <w:r w:rsidRPr="00A54361">
        <w:rPr>
          <w:rFonts w:eastAsia="Times New Roman" w:cstheme="minorHAnsi"/>
        </w:rPr>
        <w:t>s oth</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1"/>
        </w:rPr>
        <w:t>w</w:t>
      </w:r>
      <w:r w:rsidRPr="00A54361">
        <w:rPr>
          <w:rFonts w:eastAsia="Times New Roman" w:cstheme="minorHAnsi"/>
        </w:rPr>
        <w:t>ise.</w:t>
      </w:r>
    </w:p>
    <w:p w14:paraId="4382A533" w14:textId="77777777" w:rsidR="0054549F" w:rsidRPr="00A54361" w:rsidRDefault="0054549F" w:rsidP="00A54361">
      <w:pPr>
        <w:ind w:left="100" w:right="77"/>
        <w:jc w:val="both"/>
        <w:rPr>
          <w:rFonts w:cstheme="minorHAnsi"/>
        </w:rPr>
      </w:pPr>
      <w:r w:rsidRPr="00A54361">
        <w:rPr>
          <w:rFonts w:eastAsia="Times New Roman" w:cstheme="minorHAnsi"/>
        </w:rPr>
        <w:t>5.4</w:t>
      </w:r>
      <w:r w:rsidRPr="00A54361">
        <w:rPr>
          <w:rFonts w:eastAsia="Times New Roman" w:cstheme="minorHAnsi"/>
          <w:spacing w:val="7"/>
        </w:rPr>
        <w:t xml:space="preserve"> </w:t>
      </w:r>
      <w:r w:rsidRPr="00A54361">
        <w:rPr>
          <w:rFonts w:eastAsia="Times New Roman" w:cstheme="minorHAnsi"/>
          <w:spacing w:val="-3"/>
        </w:rPr>
        <w:t>I</w:t>
      </w:r>
      <w:r w:rsidRPr="00A54361">
        <w:rPr>
          <w:rFonts w:eastAsia="Times New Roman" w:cstheme="minorHAnsi"/>
        </w:rPr>
        <w:t>f</w:t>
      </w:r>
      <w:r w:rsidRPr="00A54361">
        <w:rPr>
          <w:rFonts w:eastAsia="Times New Roman" w:cstheme="minorHAnsi"/>
          <w:spacing w:val="4"/>
        </w:rPr>
        <w:t xml:space="preserve"> </w:t>
      </w:r>
      <w:r w:rsidRPr="00A54361">
        <w:rPr>
          <w:rFonts w:eastAsia="Times New Roman" w:cstheme="minorHAnsi"/>
        </w:rPr>
        <w:t>the</w:t>
      </w:r>
      <w:r w:rsidRPr="00A54361">
        <w:rPr>
          <w:rFonts w:eastAsia="Times New Roman" w:cstheme="minorHAnsi"/>
          <w:spacing w:val="7"/>
        </w:rPr>
        <w:t xml:space="preserve"> </w:t>
      </w:r>
      <w:r w:rsidRPr="00A54361">
        <w:rPr>
          <w:rFonts w:eastAsia="Times New Roman" w:cstheme="minorHAnsi"/>
          <w:spacing w:val="-2"/>
        </w:rPr>
        <w:t>g</w:t>
      </w:r>
      <w:r w:rsidRPr="00A54361">
        <w:rPr>
          <w:rFonts w:eastAsia="Times New Roman" w:cstheme="minorHAnsi"/>
        </w:rPr>
        <w:t>r</w:t>
      </w:r>
      <w:r w:rsidRPr="00A54361">
        <w:rPr>
          <w:rFonts w:eastAsia="Times New Roman" w:cstheme="minorHAnsi"/>
          <w:spacing w:val="-2"/>
        </w:rPr>
        <w:t>a</w:t>
      </w:r>
      <w:r w:rsidRPr="00A54361">
        <w:rPr>
          <w:rFonts w:eastAsia="Times New Roman" w:cstheme="minorHAnsi"/>
        </w:rPr>
        <w:t>vi</w:t>
      </w:r>
      <w:r w:rsidRPr="00A54361">
        <w:rPr>
          <w:rFonts w:eastAsia="Times New Roman" w:cstheme="minorHAnsi"/>
          <w:spacing w:val="6"/>
        </w:rPr>
        <w:t>t</w:t>
      </w:r>
      <w:r w:rsidRPr="00A54361">
        <w:rPr>
          <w:rFonts w:eastAsia="Times New Roman" w:cstheme="minorHAnsi"/>
        </w:rPr>
        <w:t>y of</w:t>
      </w:r>
      <w:r w:rsidRPr="00A54361">
        <w:rPr>
          <w:rFonts w:eastAsia="Times New Roman" w:cstheme="minorHAnsi"/>
          <w:spacing w:val="4"/>
        </w:rPr>
        <w:t xml:space="preserve"> </w:t>
      </w:r>
      <w:r w:rsidRPr="00A54361">
        <w:rPr>
          <w:rFonts w:eastAsia="Times New Roman" w:cstheme="minorHAnsi"/>
        </w:rPr>
        <w:t>t</w:t>
      </w:r>
      <w:r w:rsidRPr="00A54361">
        <w:rPr>
          <w:rFonts w:eastAsia="Times New Roman" w:cstheme="minorHAnsi"/>
          <w:spacing w:val="3"/>
        </w:rPr>
        <w:t>h</w:t>
      </w:r>
      <w:r w:rsidRPr="00A54361">
        <w:rPr>
          <w:rFonts w:eastAsia="Times New Roman" w:cstheme="minorHAnsi"/>
        </w:rPr>
        <w:t>e</w:t>
      </w:r>
      <w:r w:rsidRPr="00A54361">
        <w:rPr>
          <w:rFonts w:eastAsia="Times New Roman" w:cstheme="minorHAnsi"/>
          <w:spacing w:val="6"/>
        </w:rPr>
        <w:t xml:space="preserve"> </w:t>
      </w:r>
      <w:r w:rsidRPr="00A54361">
        <w:rPr>
          <w:rFonts w:eastAsia="Times New Roman" w:cstheme="minorHAnsi"/>
        </w:rPr>
        <w:t>m</w:t>
      </w:r>
      <w:r w:rsidRPr="00A54361">
        <w:rPr>
          <w:rFonts w:eastAsia="Times New Roman" w:cstheme="minorHAnsi"/>
          <w:spacing w:val="1"/>
        </w:rPr>
        <w:t>i</w:t>
      </w:r>
      <w:r w:rsidRPr="00A54361">
        <w:rPr>
          <w:rFonts w:eastAsia="Times New Roman" w:cstheme="minorHAnsi"/>
        </w:rPr>
        <w:t>s</w:t>
      </w:r>
      <w:r w:rsidRPr="00A54361">
        <w:rPr>
          <w:rFonts w:eastAsia="Times New Roman" w:cstheme="minorHAnsi"/>
          <w:spacing w:val="-1"/>
        </w:rPr>
        <w:t>c</w:t>
      </w:r>
      <w:r w:rsidRPr="00A54361">
        <w:rPr>
          <w:rFonts w:eastAsia="Times New Roman" w:cstheme="minorHAnsi"/>
        </w:rPr>
        <w:t>ondu</w:t>
      </w:r>
      <w:r w:rsidRPr="00A54361">
        <w:rPr>
          <w:rFonts w:eastAsia="Times New Roman" w:cstheme="minorHAnsi"/>
          <w:spacing w:val="-1"/>
        </w:rPr>
        <w:t>c</w:t>
      </w:r>
      <w:r w:rsidRPr="00A54361">
        <w:rPr>
          <w:rFonts w:eastAsia="Times New Roman" w:cstheme="minorHAnsi"/>
        </w:rPr>
        <w:t>t</w:t>
      </w:r>
      <w:r w:rsidRPr="00A54361">
        <w:rPr>
          <w:rFonts w:eastAsia="Times New Roman" w:cstheme="minorHAnsi"/>
          <w:spacing w:val="5"/>
        </w:rPr>
        <w:t xml:space="preserve"> </w:t>
      </w:r>
      <w:r w:rsidRPr="00A54361">
        <w:rPr>
          <w:rFonts w:eastAsia="Times New Roman" w:cstheme="minorHAnsi"/>
        </w:rPr>
        <w:t>und</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4"/>
        </w:rPr>
        <w:t xml:space="preserve"> </w:t>
      </w:r>
      <w:r w:rsidRPr="00A54361">
        <w:rPr>
          <w:rFonts w:eastAsia="Times New Roman" w:cstheme="minorHAnsi"/>
        </w:rPr>
        <w:t>investi</w:t>
      </w:r>
      <w:r w:rsidRPr="00A54361">
        <w:rPr>
          <w:rFonts w:eastAsia="Times New Roman" w:cstheme="minorHAnsi"/>
          <w:spacing w:val="-2"/>
        </w:rPr>
        <w:t>g</w:t>
      </w:r>
      <w:r w:rsidRPr="00A54361">
        <w:rPr>
          <w:rFonts w:eastAsia="Times New Roman" w:cstheme="minorHAnsi"/>
          <w:spacing w:val="-1"/>
        </w:rPr>
        <w:t>a</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on</w:t>
      </w:r>
      <w:r w:rsidRPr="00A54361">
        <w:rPr>
          <w:rFonts w:eastAsia="Times New Roman" w:cstheme="minorHAnsi"/>
          <w:spacing w:val="5"/>
        </w:rPr>
        <w:t xml:space="preserve"> </w:t>
      </w:r>
      <w:r w:rsidRPr="00A54361">
        <w:rPr>
          <w:rFonts w:eastAsia="Times New Roman" w:cstheme="minorHAnsi"/>
        </w:rPr>
        <w:t>is</w:t>
      </w:r>
      <w:r w:rsidRPr="00A54361">
        <w:rPr>
          <w:rFonts w:eastAsia="Times New Roman" w:cstheme="minorHAnsi"/>
          <w:spacing w:val="6"/>
        </w:rPr>
        <w:t xml:space="preserve"> </w:t>
      </w:r>
      <w:r w:rsidRPr="00A54361">
        <w:rPr>
          <w:rFonts w:eastAsia="Times New Roman" w:cstheme="minorHAnsi"/>
        </w:rPr>
        <w:t>v</w:t>
      </w:r>
      <w:r w:rsidRPr="00A54361">
        <w:rPr>
          <w:rFonts w:eastAsia="Times New Roman" w:cstheme="minorHAnsi"/>
          <w:spacing w:val="-1"/>
        </w:rPr>
        <w:t>e</w:t>
      </w:r>
      <w:r w:rsidRPr="00A54361">
        <w:rPr>
          <w:rFonts w:eastAsia="Times New Roman" w:cstheme="minorHAnsi"/>
          <w:spacing w:val="4"/>
        </w:rPr>
        <w:t>r</w:t>
      </w:r>
      <w:r w:rsidRPr="00A54361">
        <w:rPr>
          <w:rFonts w:eastAsia="Times New Roman" w:cstheme="minorHAnsi"/>
        </w:rPr>
        <w:t xml:space="preserve">y </w:t>
      </w:r>
      <w:r w:rsidRPr="00A54361">
        <w:rPr>
          <w:rFonts w:eastAsia="Times New Roman" w:cstheme="minorHAnsi"/>
          <w:spacing w:val="2"/>
        </w:rPr>
        <w:t>s</w:t>
      </w:r>
      <w:r w:rsidRPr="00A54361">
        <w:rPr>
          <w:rFonts w:eastAsia="Times New Roman" w:cstheme="minorHAnsi"/>
          <w:spacing w:val="-1"/>
        </w:rPr>
        <w:t>e</w:t>
      </w:r>
      <w:r w:rsidRPr="00A54361">
        <w:rPr>
          <w:rFonts w:eastAsia="Times New Roman" w:cstheme="minorHAnsi"/>
        </w:rPr>
        <w:t>rious</w:t>
      </w:r>
      <w:r w:rsidRPr="00A54361">
        <w:rPr>
          <w:rFonts w:eastAsia="Times New Roman" w:cstheme="minorHAnsi"/>
          <w:spacing w:val="5"/>
        </w:rPr>
        <w:t xml:space="preserve"> </w:t>
      </w:r>
      <w:r w:rsidRPr="00A54361">
        <w:rPr>
          <w:rFonts w:eastAsia="Times New Roman" w:cstheme="minorHAnsi"/>
          <w:spacing w:val="-1"/>
        </w:rPr>
        <w:t>a</w:t>
      </w:r>
      <w:r w:rsidRPr="00A54361">
        <w:rPr>
          <w:rFonts w:eastAsia="Times New Roman" w:cstheme="minorHAnsi"/>
          <w:spacing w:val="2"/>
        </w:rPr>
        <w:t>n</w:t>
      </w:r>
      <w:r w:rsidRPr="00A54361">
        <w:rPr>
          <w:rFonts w:eastAsia="Times New Roman" w:cstheme="minorHAnsi"/>
        </w:rPr>
        <w:t>d</w:t>
      </w:r>
      <w:r w:rsidRPr="00A54361">
        <w:rPr>
          <w:rFonts w:eastAsia="Times New Roman" w:cstheme="minorHAnsi"/>
          <w:spacing w:val="5"/>
        </w:rPr>
        <w:t xml:space="preserve"> </w:t>
      </w:r>
      <w:r w:rsidRPr="00A54361">
        <w:rPr>
          <w:rFonts w:eastAsia="Times New Roman" w:cstheme="minorHAnsi"/>
        </w:rPr>
        <w:t>it</w:t>
      </w:r>
      <w:r w:rsidRPr="00A54361">
        <w:rPr>
          <w:rFonts w:eastAsia="Times New Roman" w:cstheme="minorHAnsi"/>
          <w:spacing w:val="6"/>
        </w:rPr>
        <w:t xml:space="preserve"> </w:t>
      </w:r>
      <w:r w:rsidRPr="00A54361">
        <w:rPr>
          <w:rFonts w:eastAsia="Times New Roman" w:cstheme="minorHAnsi"/>
        </w:rPr>
        <w:t>would</w:t>
      </w:r>
      <w:r w:rsidRPr="00A54361">
        <w:rPr>
          <w:rFonts w:eastAsia="Times New Roman" w:cstheme="minorHAnsi"/>
          <w:spacing w:val="5"/>
        </w:rPr>
        <w:t xml:space="preserve"> </w:t>
      </w:r>
      <w:r w:rsidRPr="00A54361">
        <w:rPr>
          <w:rFonts w:eastAsia="Times New Roman" w:cstheme="minorHAnsi"/>
        </w:rPr>
        <w:t>not</w:t>
      </w:r>
      <w:r w:rsidRPr="00A54361">
        <w:rPr>
          <w:rFonts w:eastAsia="Times New Roman" w:cstheme="minorHAnsi"/>
          <w:spacing w:val="5"/>
        </w:rPr>
        <w:t xml:space="preserve"> </w:t>
      </w:r>
      <w:r w:rsidRPr="00A54361">
        <w:rPr>
          <w:rFonts w:eastAsia="Times New Roman" w:cstheme="minorHAnsi"/>
        </w:rPr>
        <w:t>be</w:t>
      </w:r>
      <w:r w:rsidRPr="00A54361">
        <w:rPr>
          <w:rFonts w:eastAsia="Times New Roman" w:cstheme="minorHAnsi"/>
          <w:spacing w:val="4"/>
        </w:rPr>
        <w:t xml:space="preserve"> </w:t>
      </w:r>
      <w:r w:rsidRPr="00A54361">
        <w:rPr>
          <w:rFonts w:eastAsia="Times New Roman" w:cstheme="minorHAnsi"/>
        </w:rPr>
        <w:t>in the</w:t>
      </w:r>
      <w:r w:rsidRPr="00A54361">
        <w:rPr>
          <w:rFonts w:eastAsia="Times New Roman" w:cstheme="minorHAnsi"/>
          <w:spacing w:val="-8"/>
        </w:rPr>
        <w:t xml:space="preserve"> </w:t>
      </w:r>
      <w:r w:rsidRPr="00A54361">
        <w:rPr>
          <w:rFonts w:eastAsia="Times New Roman" w:cstheme="minorHAnsi"/>
        </w:rPr>
        <w:t>in</w:t>
      </w:r>
      <w:r w:rsidRPr="00A54361">
        <w:rPr>
          <w:rFonts w:eastAsia="Times New Roman" w:cstheme="minorHAnsi"/>
          <w:spacing w:val="1"/>
        </w:rPr>
        <w:t>t</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2"/>
        </w:rPr>
        <w:t>e</w:t>
      </w:r>
      <w:r w:rsidRPr="00A54361">
        <w:rPr>
          <w:rFonts w:eastAsia="Times New Roman" w:cstheme="minorHAnsi"/>
        </w:rPr>
        <w:t>st</w:t>
      </w:r>
      <w:r w:rsidRPr="00A54361">
        <w:rPr>
          <w:rFonts w:eastAsia="Times New Roman" w:cstheme="minorHAnsi"/>
          <w:spacing w:val="-6"/>
        </w:rPr>
        <w:t xml:space="preserve"> </w:t>
      </w:r>
      <w:r w:rsidRPr="00A54361">
        <w:rPr>
          <w:rFonts w:eastAsia="Times New Roman" w:cstheme="minorHAnsi"/>
        </w:rPr>
        <w:t>of</w:t>
      </w:r>
      <w:r w:rsidRPr="00A54361">
        <w:rPr>
          <w:rFonts w:eastAsia="Times New Roman" w:cstheme="minorHAnsi"/>
          <w:spacing w:val="-8"/>
        </w:rPr>
        <w:t xml:space="preserve"> </w:t>
      </w:r>
      <w:r w:rsidRPr="00A54361">
        <w:rPr>
          <w:rFonts w:eastAsia="Times New Roman" w:cstheme="minorHAnsi"/>
        </w:rPr>
        <w:t>CE</w:t>
      </w:r>
      <w:r w:rsidRPr="00A54361">
        <w:rPr>
          <w:rFonts w:eastAsia="Times New Roman" w:cstheme="minorHAnsi"/>
          <w:spacing w:val="-1"/>
        </w:rPr>
        <w:t>N</w:t>
      </w:r>
      <w:r w:rsidRPr="00A54361">
        <w:rPr>
          <w:rFonts w:eastAsia="Times New Roman" w:cstheme="minorHAnsi"/>
        </w:rPr>
        <w:t>TR</w:t>
      </w:r>
      <w:r w:rsidRPr="00A54361">
        <w:rPr>
          <w:rFonts w:eastAsia="Times New Roman" w:cstheme="minorHAnsi"/>
          <w:spacing w:val="2"/>
        </w:rPr>
        <w:t>A</w:t>
      </w:r>
      <w:r w:rsidRPr="00A54361">
        <w:rPr>
          <w:rFonts w:eastAsia="Times New Roman" w:cstheme="minorHAnsi"/>
        </w:rPr>
        <w:t>L</w:t>
      </w:r>
      <w:r w:rsidRPr="00A54361">
        <w:rPr>
          <w:rFonts w:eastAsia="Times New Roman" w:cstheme="minorHAnsi"/>
          <w:spacing w:val="-7"/>
        </w:rPr>
        <w:t xml:space="preserve"> </w:t>
      </w:r>
      <w:r w:rsidRPr="00A54361">
        <w:rPr>
          <w:rFonts w:eastAsia="Times New Roman" w:cstheme="minorHAnsi"/>
        </w:rPr>
        <w:t>BA</w:t>
      </w:r>
      <w:r w:rsidRPr="00A54361">
        <w:rPr>
          <w:rFonts w:eastAsia="Times New Roman" w:cstheme="minorHAnsi"/>
          <w:spacing w:val="-1"/>
        </w:rPr>
        <w:t>N</w:t>
      </w:r>
      <w:r w:rsidRPr="00A54361">
        <w:rPr>
          <w:rFonts w:eastAsia="Times New Roman" w:cstheme="minorHAnsi"/>
        </w:rPr>
        <w:t>K</w:t>
      </w:r>
      <w:r w:rsidRPr="00A54361">
        <w:rPr>
          <w:rFonts w:eastAsia="Times New Roman" w:cstheme="minorHAnsi"/>
          <w:spacing w:val="-5"/>
        </w:rPr>
        <w:t xml:space="preserve"> </w:t>
      </w:r>
      <w:r w:rsidRPr="00A54361">
        <w:rPr>
          <w:rFonts w:eastAsia="Times New Roman" w:cstheme="minorHAnsi"/>
        </w:rPr>
        <w:t>OF</w:t>
      </w:r>
      <w:r w:rsidRPr="00A54361">
        <w:rPr>
          <w:rFonts w:eastAsia="Times New Roman" w:cstheme="minorHAnsi"/>
          <w:spacing w:val="-7"/>
        </w:rPr>
        <w:t xml:space="preserve"> </w:t>
      </w:r>
      <w:r w:rsidRPr="00A54361">
        <w:rPr>
          <w:rFonts w:eastAsia="Times New Roman" w:cstheme="minorHAnsi"/>
          <w:spacing w:val="-3"/>
        </w:rPr>
        <w:t>I</w:t>
      </w:r>
      <w:r w:rsidRPr="00A54361">
        <w:rPr>
          <w:rFonts w:eastAsia="Times New Roman" w:cstheme="minorHAnsi"/>
          <w:spacing w:val="2"/>
        </w:rPr>
        <w:t>ND</w:t>
      </w:r>
      <w:r w:rsidRPr="00A54361">
        <w:rPr>
          <w:rFonts w:eastAsia="Times New Roman" w:cstheme="minorHAnsi"/>
          <w:spacing w:val="-3"/>
        </w:rPr>
        <w:t>I</w:t>
      </w:r>
      <w:r w:rsidRPr="00A54361">
        <w:rPr>
          <w:rFonts w:eastAsia="Times New Roman" w:cstheme="minorHAnsi"/>
        </w:rPr>
        <w:t>A,</w:t>
      </w:r>
      <w:r w:rsidRPr="00A54361">
        <w:rPr>
          <w:rFonts w:eastAsia="Times New Roman" w:cstheme="minorHAnsi"/>
          <w:spacing w:val="-5"/>
        </w:rPr>
        <w:t xml:space="preserve"> </w:t>
      </w:r>
      <w:r w:rsidRPr="00A54361">
        <w:rPr>
          <w:rFonts w:eastAsia="Times New Roman" w:cstheme="minorHAnsi"/>
          <w:spacing w:val="-1"/>
        </w:rPr>
        <w:t>a</w:t>
      </w:r>
      <w:r w:rsidRPr="00A54361">
        <w:rPr>
          <w:rFonts w:eastAsia="Times New Roman" w:cstheme="minorHAnsi"/>
        </w:rPr>
        <w:t>s</w:t>
      </w:r>
      <w:r w:rsidRPr="00A54361">
        <w:rPr>
          <w:rFonts w:eastAsia="Times New Roman" w:cstheme="minorHAnsi"/>
          <w:spacing w:val="-7"/>
        </w:rPr>
        <w:t xml:space="preserve"> </w:t>
      </w:r>
      <w:r w:rsidRPr="00A54361">
        <w:rPr>
          <w:rFonts w:eastAsia="Times New Roman" w:cstheme="minorHAnsi"/>
        </w:rPr>
        <w:t>a</w:t>
      </w:r>
      <w:r w:rsidRPr="00A54361">
        <w:rPr>
          <w:rFonts w:eastAsia="Times New Roman" w:cstheme="minorHAnsi"/>
          <w:spacing w:val="-6"/>
        </w:rPr>
        <w:t xml:space="preserve"> </w:t>
      </w:r>
      <w:r w:rsidRPr="00A54361">
        <w:rPr>
          <w:rFonts w:eastAsia="Times New Roman" w:cstheme="minorHAnsi"/>
        </w:rPr>
        <w:t>whol</w:t>
      </w:r>
      <w:r w:rsidRPr="00A54361">
        <w:rPr>
          <w:rFonts w:eastAsia="Times New Roman" w:cstheme="minorHAnsi"/>
          <w:spacing w:val="-1"/>
        </w:rPr>
        <w:t>e</w:t>
      </w:r>
      <w:r w:rsidRPr="00A54361">
        <w:rPr>
          <w:rFonts w:eastAsia="Times New Roman" w:cstheme="minorHAnsi"/>
        </w:rPr>
        <w:t>,</w:t>
      </w:r>
      <w:r w:rsidRPr="00A54361">
        <w:rPr>
          <w:rFonts w:eastAsia="Times New Roman" w:cstheme="minorHAnsi"/>
          <w:spacing w:val="-7"/>
        </w:rPr>
        <w:t xml:space="preserve"> </w:t>
      </w:r>
      <w:r w:rsidRPr="00A54361">
        <w:rPr>
          <w:rFonts w:eastAsia="Times New Roman" w:cstheme="minorHAnsi"/>
        </w:rPr>
        <w:t>to</w:t>
      </w:r>
      <w:r w:rsidRPr="00A54361">
        <w:rPr>
          <w:rFonts w:eastAsia="Times New Roman" w:cstheme="minorHAnsi"/>
          <w:spacing w:val="-7"/>
        </w:rPr>
        <w:t xml:space="preserve"> </w:t>
      </w:r>
      <w:r w:rsidRPr="00A54361">
        <w:rPr>
          <w:rFonts w:eastAsia="Times New Roman" w:cstheme="minorHAnsi"/>
        </w:rPr>
        <w:t>d</w:t>
      </w:r>
      <w:r w:rsidRPr="00A54361">
        <w:rPr>
          <w:rFonts w:eastAsia="Times New Roman" w:cstheme="minorHAnsi"/>
          <w:spacing w:val="-1"/>
        </w:rPr>
        <w:t>ea</w:t>
      </w:r>
      <w:r w:rsidRPr="00A54361">
        <w:rPr>
          <w:rFonts w:eastAsia="Times New Roman" w:cstheme="minorHAnsi"/>
        </w:rPr>
        <w:t>l</w:t>
      </w:r>
      <w:r w:rsidRPr="00A54361">
        <w:rPr>
          <w:rFonts w:eastAsia="Times New Roman" w:cstheme="minorHAnsi"/>
          <w:spacing w:val="-7"/>
        </w:rPr>
        <w:t xml:space="preserve"> </w:t>
      </w:r>
      <w:r w:rsidRPr="00A54361">
        <w:rPr>
          <w:rFonts w:eastAsia="Times New Roman" w:cstheme="minorHAnsi"/>
        </w:rPr>
        <w:t>with</w:t>
      </w:r>
      <w:r w:rsidRPr="00A54361">
        <w:rPr>
          <w:rFonts w:eastAsia="Times New Roman" w:cstheme="minorHAnsi"/>
          <w:spacing w:val="-7"/>
        </w:rPr>
        <w:t xml:space="preserve"> </w:t>
      </w:r>
      <w:r w:rsidRPr="00A54361">
        <w:rPr>
          <w:rFonts w:eastAsia="Times New Roman" w:cstheme="minorHAnsi"/>
        </w:rPr>
        <w:t>su</w:t>
      </w:r>
      <w:r w:rsidRPr="00A54361">
        <w:rPr>
          <w:rFonts w:eastAsia="Times New Roman" w:cstheme="minorHAnsi"/>
          <w:spacing w:val="-1"/>
        </w:rPr>
        <w:t>c</w:t>
      </w:r>
      <w:r w:rsidRPr="00A54361">
        <w:rPr>
          <w:rFonts w:eastAsia="Times New Roman" w:cstheme="minorHAnsi"/>
        </w:rPr>
        <w:t>h</w:t>
      </w:r>
      <w:r w:rsidRPr="00A54361">
        <w:rPr>
          <w:rFonts w:eastAsia="Times New Roman" w:cstheme="minorHAnsi"/>
          <w:spacing w:val="-7"/>
        </w:rPr>
        <w:t xml:space="preserve"> </w:t>
      </w:r>
      <w:r w:rsidRPr="00A54361">
        <w:rPr>
          <w:rFonts w:eastAsia="Times New Roman" w:cstheme="minorHAnsi"/>
          <w:spacing w:val="-1"/>
        </w:rPr>
        <w:t>a</w:t>
      </w:r>
      <w:r w:rsidRPr="00A54361">
        <w:rPr>
          <w:rFonts w:eastAsia="Times New Roman" w:cstheme="minorHAnsi"/>
        </w:rPr>
        <w:t>n</w:t>
      </w:r>
      <w:r w:rsidRPr="00A54361">
        <w:rPr>
          <w:rFonts w:eastAsia="Times New Roman" w:cstheme="minorHAnsi"/>
          <w:spacing w:val="-7"/>
        </w:rPr>
        <w:t xml:space="preserve"> </w:t>
      </w:r>
      <w:r w:rsidRPr="00A54361">
        <w:rPr>
          <w:rFonts w:eastAsia="Times New Roman" w:cstheme="minorHAnsi"/>
          <w:spacing w:val="2"/>
        </w:rPr>
        <w:t>A</w:t>
      </w:r>
      <w:r w:rsidRPr="00A54361">
        <w:rPr>
          <w:rFonts w:eastAsia="Times New Roman" w:cstheme="minorHAnsi"/>
          <w:spacing w:val="-2"/>
        </w:rPr>
        <w:t>g</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4"/>
        </w:rPr>
        <w:t>c</w:t>
      </w:r>
      <w:r w:rsidRPr="00A54361">
        <w:rPr>
          <w:rFonts w:eastAsia="Times New Roman" w:cstheme="minorHAnsi"/>
        </w:rPr>
        <w:t>y</w:t>
      </w:r>
      <w:r w:rsidRPr="00A54361">
        <w:rPr>
          <w:rFonts w:eastAsia="Times New Roman" w:cstheme="minorHAnsi"/>
          <w:spacing w:val="-12"/>
        </w:rPr>
        <w:t xml:space="preserve"> </w:t>
      </w:r>
      <w:r w:rsidRPr="00A54361">
        <w:rPr>
          <w:rFonts w:eastAsia="Times New Roman" w:cstheme="minorHAnsi"/>
          <w:spacing w:val="2"/>
        </w:rPr>
        <w:t>p</w:t>
      </w:r>
      <w:r w:rsidRPr="00A54361">
        <w:rPr>
          <w:rFonts w:eastAsia="Times New Roman" w:cstheme="minorHAnsi"/>
          <w:spacing w:val="-1"/>
        </w:rPr>
        <w:t>e</w:t>
      </w:r>
      <w:r w:rsidRPr="00A54361">
        <w:rPr>
          <w:rFonts w:eastAsia="Times New Roman" w:cstheme="minorHAnsi"/>
        </w:rPr>
        <w:t>nding investi</w:t>
      </w:r>
      <w:r w:rsidRPr="00A54361">
        <w:rPr>
          <w:rFonts w:eastAsia="Times New Roman" w:cstheme="minorHAnsi"/>
          <w:spacing w:val="-2"/>
        </w:rPr>
        <w:t>g</w:t>
      </w:r>
      <w:r w:rsidRPr="00A54361">
        <w:rPr>
          <w:rFonts w:eastAsia="Times New Roman" w:cstheme="minorHAnsi"/>
          <w:spacing w:val="-1"/>
        </w:rPr>
        <w:t>a</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on,</w:t>
      </w:r>
      <w:r w:rsidRPr="00A54361">
        <w:rPr>
          <w:rFonts w:eastAsia="Times New Roman" w:cstheme="minorHAnsi"/>
          <w:spacing w:val="5"/>
        </w:rPr>
        <w:t xml:space="preserve"> </w:t>
      </w:r>
      <w:r w:rsidRPr="00A54361">
        <w:rPr>
          <w:rFonts w:eastAsia="Times New Roman" w:cstheme="minorHAnsi"/>
        </w:rPr>
        <w:t>the</w:t>
      </w:r>
      <w:r w:rsidRPr="00A54361">
        <w:rPr>
          <w:rFonts w:eastAsia="Times New Roman" w:cstheme="minorHAnsi"/>
          <w:spacing w:val="5"/>
        </w:rPr>
        <w:t xml:space="preserve"> </w:t>
      </w:r>
      <w:r w:rsidRPr="00A54361">
        <w:rPr>
          <w:rFonts w:eastAsia="Times New Roman" w:cstheme="minorHAnsi"/>
        </w:rPr>
        <w:t>Compet</w:t>
      </w:r>
      <w:r w:rsidRPr="00A54361">
        <w:rPr>
          <w:rFonts w:eastAsia="Times New Roman" w:cstheme="minorHAnsi"/>
          <w:spacing w:val="-1"/>
        </w:rPr>
        <w:t>e</w:t>
      </w:r>
      <w:r w:rsidRPr="00A54361">
        <w:rPr>
          <w:rFonts w:eastAsia="Times New Roman" w:cstheme="minorHAnsi"/>
        </w:rPr>
        <w:t>nt</w:t>
      </w:r>
      <w:r w:rsidRPr="00A54361">
        <w:rPr>
          <w:rFonts w:eastAsia="Times New Roman" w:cstheme="minorHAnsi"/>
          <w:spacing w:val="6"/>
        </w:rPr>
        <w:t xml:space="preserve"> </w:t>
      </w:r>
      <w:r w:rsidRPr="00A54361">
        <w:rPr>
          <w:rFonts w:eastAsia="Times New Roman" w:cstheme="minorHAnsi"/>
        </w:rPr>
        <w:t>Autho</w:t>
      </w:r>
      <w:r w:rsidRPr="00A54361">
        <w:rPr>
          <w:rFonts w:eastAsia="Times New Roman" w:cstheme="minorHAnsi"/>
          <w:spacing w:val="-1"/>
        </w:rPr>
        <w:t>r</w:t>
      </w:r>
      <w:r w:rsidRPr="00A54361">
        <w:rPr>
          <w:rFonts w:eastAsia="Times New Roman" w:cstheme="minorHAnsi"/>
        </w:rPr>
        <w:t>i</w:t>
      </w:r>
      <w:r w:rsidRPr="00A54361">
        <w:rPr>
          <w:rFonts w:eastAsia="Times New Roman" w:cstheme="minorHAnsi"/>
          <w:spacing w:val="3"/>
        </w:rPr>
        <w:t>t</w:t>
      </w:r>
      <w:r w:rsidRPr="00A54361">
        <w:rPr>
          <w:rFonts w:eastAsia="Times New Roman" w:cstheme="minorHAnsi"/>
        </w:rPr>
        <w:t>y m</w:t>
      </w:r>
      <w:r w:rsidRPr="00A54361">
        <w:rPr>
          <w:rFonts w:eastAsia="Times New Roman" w:cstheme="minorHAnsi"/>
          <w:spacing w:val="4"/>
        </w:rPr>
        <w:t>a</w:t>
      </w:r>
      <w:r w:rsidRPr="00A54361">
        <w:rPr>
          <w:rFonts w:eastAsia="Times New Roman" w:cstheme="minorHAnsi"/>
        </w:rPr>
        <w:t>y s</w:t>
      </w:r>
      <w:r w:rsidRPr="00A54361">
        <w:rPr>
          <w:rFonts w:eastAsia="Times New Roman" w:cstheme="minorHAnsi"/>
          <w:spacing w:val="-1"/>
        </w:rPr>
        <w:t>e</w:t>
      </w:r>
      <w:r w:rsidRPr="00A54361">
        <w:rPr>
          <w:rFonts w:eastAsia="Times New Roman" w:cstheme="minorHAnsi"/>
        </w:rPr>
        <w:t>nd</w:t>
      </w:r>
      <w:r w:rsidRPr="00A54361">
        <w:rPr>
          <w:rFonts w:eastAsia="Times New Roman" w:cstheme="minorHAnsi"/>
          <w:spacing w:val="5"/>
        </w:rPr>
        <w:t xml:space="preserve"> </w:t>
      </w:r>
      <w:r w:rsidRPr="00A54361">
        <w:rPr>
          <w:rFonts w:eastAsia="Times New Roman" w:cstheme="minorHAnsi"/>
        </w:rPr>
        <w:t>his</w:t>
      </w:r>
      <w:r w:rsidRPr="00A54361">
        <w:rPr>
          <w:rFonts w:eastAsia="Times New Roman" w:cstheme="minorHAnsi"/>
          <w:spacing w:val="6"/>
        </w:rPr>
        <w:t xml:space="preserve"> </w:t>
      </w:r>
      <w:r w:rsidRPr="00A54361">
        <w:rPr>
          <w:rFonts w:eastAsia="Times New Roman" w:cstheme="minorHAnsi"/>
        </w:rPr>
        <w:t>r</w:t>
      </w:r>
      <w:r w:rsidRPr="00A54361">
        <w:rPr>
          <w:rFonts w:eastAsia="Times New Roman" w:cstheme="minorHAnsi"/>
          <w:spacing w:val="-2"/>
        </w:rPr>
        <w:t>e</w:t>
      </w:r>
      <w:r w:rsidRPr="00A54361">
        <w:rPr>
          <w:rFonts w:eastAsia="Times New Roman" w:cstheme="minorHAnsi"/>
          <w:spacing w:val="-1"/>
        </w:rPr>
        <w:t>c</w:t>
      </w:r>
      <w:r w:rsidRPr="00A54361">
        <w:rPr>
          <w:rFonts w:eastAsia="Times New Roman" w:cstheme="minorHAnsi"/>
        </w:rPr>
        <w:t>om</w:t>
      </w:r>
      <w:r w:rsidRPr="00A54361">
        <w:rPr>
          <w:rFonts w:eastAsia="Times New Roman" w:cstheme="minorHAnsi"/>
          <w:spacing w:val="1"/>
        </w:rPr>
        <w:t>m</w:t>
      </w:r>
      <w:r w:rsidRPr="00A54361">
        <w:rPr>
          <w:rFonts w:eastAsia="Times New Roman" w:cstheme="minorHAnsi"/>
          <w:spacing w:val="-1"/>
        </w:rPr>
        <w:t>e</w:t>
      </w:r>
      <w:r w:rsidRPr="00A54361">
        <w:rPr>
          <w:rFonts w:eastAsia="Times New Roman" w:cstheme="minorHAnsi"/>
        </w:rPr>
        <w:t>nd</w:t>
      </w:r>
      <w:r w:rsidRPr="00A54361">
        <w:rPr>
          <w:rFonts w:eastAsia="Times New Roman" w:cstheme="minorHAnsi"/>
          <w:spacing w:val="-1"/>
        </w:rPr>
        <w:t>a</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on</w:t>
      </w:r>
      <w:r w:rsidRPr="00A54361">
        <w:rPr>
          <w:rFonts w:eastAsia="Times New Roman" w:cstheme="minorHAnsi"/>
          <w:spacing w:val="5"/>
        </w:rPr>
        <w:t xml:space="preserve"> </w:t>
      </w:r>
      <w:r w:rsidRPr="00A54361">
        <w:rPr>
          <w:rFonts w:eastAsia="Times New Roman" w:cstheme="minorHAnsi"/>
        </w:rPr>
        <w:t>to</w:t>
      </w:r>
      <w:r w:rsidRPr="00A54361">
        <w:rPr>
          <w:rFonts w:eastAsia="Times New Roman" w:cstheme="minorHAnsi"/>
          <w:spacing w:val="6"/>
        </w:rPr>
        <w:t xml:space="preserve"> </w:t>
      </w:r>
      <w:r w:rsidRPr="00A54361">
        <w:rPr>
          <w:rFonts w:eastAsia="Times New Roman" w:cstheme="minorHAnsi"/>
        </w:rPr>
        <w:t>ED</w:t>
      </w:r>
      <w:r w:rsidRPr="00A54361">
        <w:rPr>
          <w:rFonts w:eastAsia="Times New Roman" w:cstheme="minorHAnsi"/>
          <w:spacing w:val="4"/>
        </w:rPr>
        <w:t xml:space="preserve"> </w:t>
      </w:r>
      <w:r w:rsidRPr="00A54361">
        <w:rPr>
          <w:rFonts w:eastAsia="Times New Roman" w:cstheme="minorHAnsi"/>
        </w:rPr>
        <w:t>(</w:t>
      </w:r>
      <w:r w:rsidRPr="00A54361">
        <w:rPr>
          <w:rFonts w:eastAsia="Times New Roman" w:cstheme="minorHAnsi"/>
          <w:spacing w:val="-1"/>
        </w:rPr>
        <w:t>G</w:t>
      </w:r>
      <w:r w:rsidRPr="00A54361">
        <w:rPr>
          <w:rFonts w:eastAsia="Times New Roman" w:cstheme="minorHAnsi"/>
        </w:rPr>
        <w:t>A</w:t>
      </w:r>
      <w:r w:rsidRPr="00A54361">
        <w:rPr>
          <w:rFonts w:eastAsia="Times New Roman" w:cstheme="minorHAnsi"/>
          <w:spacing w:val="-1"/>
        </w:rPr>
        <w:t>D</w:t>
      </w:r>
      <w:r w:rsidRPr="00A54361">
        <w:rPr>
          <w:rFonts w:eastAsia="Times New Roman" w:cstheme="minorHAnsi"/>
        </w:rPr>
        <w:t>), CE</w:t>
      </w:r>
      <w:r w:rsidRPr="00A54361">
        <w:rPr>
          <w:rFonts w:eastAsia="Times New Roman" w:cstheme="minorHAnsi"/>
          <w:spacing w:val="-1"/>
        </w:rPr>
        <w:t>N</w:t>
      </w:r>
      <w:r w:rsidRPr="00A54361">
        <w:rPr>
          <w:rFonts w:eastAsia="Times New Roman" w:cstheme="minorHAnsi"/>
        </w:rPr>
        <w:t>TR</w:t>
      </w:r>
      <w:r w:rsidRPr="00A54361">
        <w:rPr>
          <w:rFonts w:eastAsia="Times New Roman" w:cstheme="minorHAnsi"/>
          <w:spacing w:val="2"/>
        </w:rPr>
        <w:t>A</w:t>
      </w:r>
      <w:r w:rsidRPr="00A54361">
        <w:rPr>
          <w:rFonts w:eastAsia="Times New Roman" w:cstheme="minorHAnsi"/>
        </w:rPr>
        <w:t>L</w:t>
      </w:r>
      <w:r w:rsidRPr="00A54361">
        <w:rPr>
          <w:rFonts w:eastAsia="Times New Roman" w:cstheme="minorHAnsi"/>
          <w:spacing w:val="-12"/>
        </w:rPr>
        <w:t xml:space="preserve"> </w:t>
      </w:r>
      <w:r w:rsidRPr="00A54361">
        <w:rPr>
          <w:rFonts w:eastAsia="Times New Roman" w:cstheme="minorHAnsi"/>
          <w:spacing w:val="-2"/>
        </w:rPr>
        <w:t>B</w:t>
      </w:r>
      <w:r w:rsidRPr="00A54361">
        <w:rPr>
          <w:rFonts w:eastAsia="Times New Roman" w:cstheme="minorHAnsi"/>
        </w:rPr>
        <w:t>A</w:t>
      </w:r>
      <w:r w:rsidRPr="00A54361">
        <w:rPr>
          <w:rFonts w:eastAsia="Times New Roman" w:cstheme="minorHAnsi"/>
          <w:spacing w:val="-1"/>
        </w:rPr>
        <w:t>N</w:t>
      </w:r>
      <w:r w:rsidRPr="00A54361">
        <w:rPr>
          <w:rFonts w:eastAsia="Times New Roman" w:cstheme="minorHAnsi"/>
        </w:rPr>
        <w:t>K</w:t>
      </w:r>
      <w:r w:rsidRPr="00A54361">
        <w:rPr>
          <w:rFonts w:eastAsia="Times New Roman" w:cstheme="minorHAnsi"/>
          <w:spacing w:val="-10"/>
        </w:rPr>
        <w:t xml:space="preserve"> </w:t>
      </w:r>
      <w:r w:rsidRPr="00A54361">
        <w:rPr>
          <w:rFonts w:eastAsia="Times New Roman" w:cstheme="minorHAnsi"/>
          <w:spacing w:val="2"/>
        </w:rPr>
        <w:t>O</w:t>
      </w:r>
      <w:r w:rsidRPr="00A54361">
        <w:rPr>
          <w:rFonts w:eastAsia="Times New Roman" w:cstheme="minorHAnsi"/>
        </w:rPr>
        <w:t>F</w:t>
      </w:r>
      <w:r w:rsidRPr="00A54361">
        <w:rPr>
          <w:rFonts w:eastAsia="Times New Roman" w:cstheme="minorHAnsi"/>
          <w:spacing w:val="-9"/>
        </w:rPr>
        <w:t xml:space="preserve"> </w:t>
      </w:r>
      <w:r w:rsidRPr="00A54361">
        <w:rPr>
          <w:rFonts w:eastAsia="Times New Roman" w:cstheme="minorHAnsi"/>
        </w:rPr>
        <w:t>I</w:t>
      </w:r>
      <w:r w:rsidRPr="00A54361">
        <w:rPr>
          <w:rFonts w:eastAsia="Times New Roman" w:cstheme="minorHAnsi"/>
          <w:spacing w:val="-1"/>
        </w:rPr>
        <w:t>N</w:t>
      </w:r>
      <w:r w:rsidRPr="00A54361">
        <w:rPr>
          <w:rFonts w:eastAsia="Times New Roman" w:cstheme="minorHAnsi"/>
          <w:spacing w:val="2"/>
        </w:rPr>
        <w:t>D</w:t>
      </w:r>
      <w:r w:rsidRPr="00A54361">
        <w:rPr>
          <w:rFonts w:eastAsia="Times New Roman" w:cstheme="minorHAnsi"/>
          <w:spacing w:val="-3"/>
        </w:rPr>
        <w:t>I</w:t>
      </w:r>
      <w:r w:rsidRPr="00A54361">
        <w:rPr>
          <w:rFonts w:eastAsia="Times New Roman" w:cstheme="minorHAnsi"/>
        </w:rPr>
        <w:t>A</w:t>
      </w:r>
      <w:r w:rsidRPr="00A54361">
        <w:rPr>
          <w:rFonts w:eastAsia="Times New Roman" w:cstheme="minorHAnsi"/>
          <w:spacing w:val="-10"/>
        </w:rPr>
        <w:t xml:space="preserve"> </w:t>
      </w:r>
      <w:r w:rsidRPr="00A54361">
        <w:rPr>
          <w:rFonts w:eastAsia="Times New Roman" w:cstheme="minorHAnsi"/>
        </w:rPr>
        <w:t>Corpo</w:t>
      </w:r>
      <w:r w:rsidRPr="00A54361">
        <w:rPr>
          <w:rFonts w:eastAsia="Times New Roman" w:cstheme="minorHAnsi"/>
          <w:spacing w:val="-1"/>
        </w:rPr>
        <w:t>ra</w:t>
      </w:r>
      <w:r w:rsidRPr="00A54361">
        <w:rPr>
          <w:rFonts w:eastAsia="Times New Roman" w:cstheme="minorHAnsi"/>
          <w:spacing w:val="3"/>
        </w:rPr>
        <w:t>t</w:t>
      </w:r>
      <w:r w:rsidRPr="00A54361">
        <w:rPr>
          <w:rFonts w:eastAsia="Times New Roman" w:cstheme="minorHAnsi"/>
        </w:rPr>
        <w:t>e</w:t>
      </w:r>
      <w:r w:rsidRPr="00A54361">
        <w:rPr>
          <w:rFonts w:eastAsia="Times New Roman" w:cstheme="minorHAnsi"/>
          <w:spacing w:val="-11"/>
        </w:rPr>
        <w:t xml:space="preserve"> </w:t>
      </w:r>
      <w:r w:rsidRPr="00A54361">
        <w:rPr>
          <w:rFonts w:eastAsia="Times New Roman" w:cstheme="minorHAnsi"/>
        </w:rPr>
        <w:t>O</w:t>
      </w:r>
      <w:r w:rsidRPr="00A54361">
        <w:rPr>
          <w:rFonts w:eastAsia="Times New Roman" w:cstheme="minorHAnsi"/>
          <w:spacing w:val="-1"/>
        </w:rPr>
        <w:t>f</w:t>
      </w:r>
      <w:r w:rsidRPr="00A54361">
        <w:rPr>
          <w:rFonts w:eastAsia="Times New Roman" w:cstheme="minorHAnsi"/>
        </w:rPr>
        <w:t>fi</w:t>
      </w:r>
      <w:r w:rsidRPr="00A54361">
        <w:rPr>
          <w:rFonts w:eastAsia="Times New Roman" w:cstheme="minorHAnsi"/>
          <w:spacing w:val="1"/>
        </w:rPr>
        <w:t>c</w:t>
      </w:r>
      <w:r w:rsidRPr="00A54361">
        <w:rPr>
          <w:rFonts w:eastAsia="Times New Roman" w:cstheme="minorHAnsi"/>
        </w:rPr>
        <w:t>e</w:t>
      </w:r>
      <w:r w:rsidRPr="00A54361">
        <w:rPr>
          <w:rFonts w:eastAsia="Times New Roman" w:cstheme="minorHAnsi"/>
          <w:spacing w:val="-8"/>
        </w:rPr>
        <w:t xml:space="preserve"> </w:t>
      </w:r>
      <w:r w:rsidRPr="00A54361">
        <w:rPr>
          <w:rFonts w:eastAsia="Times New Roman" w:cstheme="minorHAnsi"/>
          <w:spacing w:val="1"/>
        </w:rPr>
        <w:t>a</w:t>
      </w:r>
      <w:r w:rsidRPr="00A54361">
        <w:rPr>
          <w:rFonts w:eastAsia="Times New Roman" w:cstheme="minorHAnsi"/>
        </w:rPr>
        <w:t>long</w:t>
      </w:r>
      <w:r w:rsidRPr="00A54361">
        <w:rPr>
          <w:rFonts w:eastAsia="Times New Roman" w:cstheme="minorHAnsi"/>
          <w:spacing w:val="-12"/>
        </w:rPr>
        <w:t xml:space="preserve"> </w:t>
      </w:r>
      <w:r w:rsidRPr="00A54361">
        <w:rPr>
          <w:rFonts w:eastAsia="Times New Roman" w:cstheme="minorHAnsi"/>
        </w:rPr>
        <w:t>with</w:t>
      </w:r>
      <w:r w:rsidRPr="00A54361">
        <w:rPr>
          <w:rFonts w:eastAsia="Times New Roman" w:cstheme="minorHAnsi"/>
          <w:spacing w:val="-8"/>
        </w:rPr>
        <w:t xml:space="preserve"> </w:t>
      </w:r>
      <w:r w:rsidRPr="00A54361">
        <w:rPr>
          <w:rFonts w:eastAsia="Times New Roman" w:cstheme="minorHAnsi"/>
        </w:rPr>
        <w:t>the</w:t>
      </w:r>
      <w:r w:rsidRPr="00A54361">
        <w:rPr>
          <w:rFonts w:eastAsia="Times New Roman" w:cstheme="minorHAnsi"/>
          <w:spacing w:val="-10"/>
        </w:rPr>
        <w:t xml:space="preserve"> </w:t>
      </w:r>
      <w:r w:rsidRPr="00A54361">
        <w:rPr>
          <w:rFonts w:eastAsia="Times New Roman" w:cstheme="minorHAnsi"/>
        </w:rPr>
        <w:t>mat</w:t>
      </w:r>
      <w:r w:rsidRPr="00A54361">
        <w:rPr>
          <w:rFonts w:eastAsia="Times New Roman" w:cstheme="minorHAnsi"/>
          <w:spacing w:val="-1"/>
        </w:rPr>
        <w:t>e</w:t>
      </w:r>
      <w:r w:rsidRPr="00A54361">
        <w:rPr>
          <w:rFonts w:eastAsia="Times New Roman" w:cstheme="minorHAnsi"/>
        </w:rPr>
        <w:t>ri</w:t>
      </w:r>
      <w:r w:rsidRPr="00A54361">
        <w:rPr>
          <w:rFonts w:eastAsia="Times New Roman" w:cstheme="minorHAnsi"/>
          <w:spacing w:val="-1"/>
        </w:rPr>
        <w:t>a</w:t>
      </w:r>
      <w:r w:rsidRPr="00A54361">
        <w:rPr>
          <w:rFonts w:eastAsia="Times New Roman" w:cstheme="minorHAnsi"/>
        </w:rPr>
        <w:t>l</w:t>
      </w:r>
      <w:r w:rsidRPr="00A54361">
        <w:rPr>
          <w:rFonts w:eastAsia="Times New Roman" w:cstheme="minorHAnsi"/>
          <w:spacing w:val="-9"/>
        </w:rPr>
        <w:t xml:space="preserve"> </w:t>
      </w:r>
      <w:r w:rsidRPr="00A54361">
        <w:rPr>
          <w:rFonts w:eastAsia="Times New Roman" w:cstheme="minorHAnsi"/>
          <w:spacing w:val="-1"/>
        </w:rPr>
        <w:t>a</w:t>
      </w:r>
      <w:r w:rsidRPr="00A54361">
        <w:rPr>
          <w:rFonts w:eastAsia="Times New Roman" w:cstheme="minorHAnsi"/>
          <w:spacing w:val="2"/>
        </w:rPr>
        <w:t>v</w:t>
      </w:r>
      <w:r w:rsidRPr="00A54361">
        <w:rPr>
          <w:rFonts w:eastAsia="Times New Roman" w:cstheme="minorHAnsi"/>
          <w:spacing w:val="-1"/>
        </w:rPr>
        <w:t>a</w:t>
      </w:r>
      <w:r w:rsidRPr="00A54361">
        <w:rPr>
          <w:rFonts w:eastAsia="Times New Roman" w:cstheme="minorHAnsi"/>
        </w:rPr>
        <w:t>i</w:t>
      </w:r>
      <w:r w:rsidRPr="00A54361">
        <w:rPr>
          <w:rFonts w:eastAsia="Times New Roman" w:cstheme="minorHAnsi"/>
          <w:spacing w:val="1"/>
        </w:rPr>
        <w:t>l</w:t>
      </w:r>
      <w:r w:rsidRPr="00A54361">
        <w:rPr>
          <w:rFonts w:eastAsia="Times New Roman" w:cstheme="minorHAnsi"/>
          <w:spacing w:val="-1"/>
        </w:rPr>
        <w:t>a</w:t>
      </w:r>
      <w:r w:rsidRPr="00A54361">
        <w:rPr>
          <w:rFonts w:eastAsia="Times New Roman" w:cstheme="minorHAnsi"/>
        </w:rPr>
        <w:t>ble.</w:t>
      </w:r>
      <w:r w:rsidRPr="00A54361">
        <w:rPr>
          <w:rFonts w:eastAsia="Times New Roman" w:cstheme="minorHAnsi"/>
          <w:spacing w:val="-8"/>
        </w:rPr>
        <w:t xml:space="preserve"> </w:t>
      </w:r>
      <w:r w:rsidRPr="00A54361">
        <w:rPr>
          <w:rFonts w:eastAsia="Times New Roman" w:cstheme="minorHAnsi"/>
          <w:spacing w:val="-3"/>
        </w:rPr>
        <w:t>I</w:t>
      </w:r>
      <w:r w:rsidRPr="00A54361">
        <w:rPr>
          <w:rFonts w:eastAsia="Times New Roman" w:cstheme="minorHAnsi"/>
        </w:rPr>
        <w:t>f</w:t>
      </w:r>
      <w:r w:rsidRPr="00A54361">
        <w:rPr>
          <w:rFonts w:eastAsia="Times New Roman" w:cstheme="minorHAnsi"/>
          <w:spacing w:val="-10"/>
        </w:rPr>
        <w:t xml:space="preserve"> </w:t>
      </w:r>
      <w:r w:rsidRPr="00A54361">
        <w:rPr>
          <w:rFonts w:eastAsia="Times New Roman" w:cstheme="minorHAnsi"/>
        </w:rPr>
        <w:t>Corpo</w:t>
      </w:r>
      <w:r w:rsidRPr="00A54361">
        <w:rPr>
          <w:rFonts w:eastAsia="Times New Roman" w:cstheme="minorHAnsi"/>
          <w:spacing w:val="-1"/>
        </w:rPr>
        <w:t>ra</w:t>
      </w:r>
      <w:r w:rsidRPr="00A54361">
        <w:rPr>
          <w:rFonts w:eastAsia="Times New Roman" w:cstheme="minorHAnsi"/>
        </w:rPr>
        <w:t>te O</w:t>
      </w:r>
      <w:r w:rsidRPr="00A54361">
        <w:rPr>
          <w:rFonts w:eastAsia="Times New Roman" w:cstheme="minorHAnsi"/>
          <w:spacing w:val="-1"/>
        </w:rPr>
        <w:t>f</w:t>
      </w:r>
      <w:r w:rsidRPr="00A54361">
        <w:rPr>
          <w:rFonts w:eastAsia="Times New Roman" w:cstheme="minorHAnsi"/>
        </w:rPr>
        <w:t>fi</w:t>
      </w:r>
      <w:r w:rsidRPr="00A54361">
        <w:rPr>
          <w:rFonts w:eastAsia="Times New Roman" w:cstheme="minorHAnsi"/>
          <w:spacing w:val="-1"/>
        </w:rPr>
        <w:t>c</w:t>
      </w:r>
      <w:r w:rsidRPr="00A54361">
        <w:rPr>
          <w:rFonts w:eastAsia="Times New Roman" w:cstheme="minorHAnsi"/>
        </w:rPr>
        <w:t>e</w:t>
      </w:r>
      <w:r w:rsidRPr="00A54361">
        <w:rPr>
          <w:rFonts w:eastAsia="Times New Roman" w:cstheme="minorHAnsi"/>
          <w:spacing w:val="4"/>
        </w:rPr>
        <w:t xml:space="preserve"> </w:t>
      </w:r>
      <w:r w:rsidRPr="00A54361">
        <w:rPr>
          <w:rFonts w:eastAsia="Times New Roman" w:cstheme="minorHAnsi"/>
          <w:spacing w:val="-1"/>
        </w:rPr>
        <w:t>c</w:t>
      </w:r>
      <w:r w:rsidRPr="00A54361">
        <w:rPr>
          <w:rFonts w:eastAsia="Times New Roman" w:cstheme="minorHAnsi"/>
        </w:rPr>
        <w:t>onsid</w:t>
      </w:r>
      <w:r w:rsidRPr="00A54361">
        <w:rPr>
          <w:rFonts w:eastAsia="Times New Roman" w:cstheme="minorHAnsi"/>
          <w:spacing w:val="-1"/>
        </w:rPr>
        <w:t>e</w:t>
      </w:r>
      <w:r w:rsidRPr="00A54361">
        <w:rPr>
          <w:rFonts w:eastAsia="Times New Roman" w:cstheme="minorHAnsi"/>
        </w:rPr>
        <w:t>rs</w:t>
      </w:r>
      <w:r w:rsidRPr="00A54361">
        <w:rPr>
          <w:rFonts w:eastAsia="Times New Roman" w:cstheme="minorHAnsi"/>
          <w:spacing w:val="2"/>
        </w:rPr>
        <w:t xml:space="preserve"> </w:t>
      </w:r>
      <w:r w:rsidRPr="00A54361">
        <w:rPr>
          <w:rFonts w:eastAsia="Times New Roman" w:cstheme="minorHAnsi"/>
        </w:rPr>
        <w:t>that</w:t>
      </w:r>
      <w:r w:rsidRPr="00A54361">
        <w:rPr>
          <w:rFonts w:eastAsia="Times New Roman" w:cstheme="minorHAnsi"/>
          <w:spacing w:val="3"/>
        </w:rPr>
        <w:t xml:space="preserve"> </w:t>
      </w:r>
      <w:r w:rsidRPr="00A54361">
        <w:rPr>
          <w:rFonts w:eastAsia="Times New Roman" w:cstheme="minorHAnsi"/>
        </w:rPr>
        <w:t>d</w:t>
      </w:r>
      <w:r w:rsidRPr="00A54361">
        <w:rPr>
          <w:rFonts w:eastAsia="Times New Roman" w:cstheme="minorHAnsi"/>
          <w:spacing w:val="-1"/>
        </w:rPr>
        <w:t>e</w:t>
      </w:r>
      <w:r w:rsidRPr="00A54361">
        <w:rPr>
          <w:rFonts w:eastAsia="Times New Roman" w:cstheme="minorHAnsi"/>
          <w:spacing w:val="2"/>
        </w:rPr>
        <w:t>p</w:t>
      </w:r>
      <w:r w:rsidRPr="00A54361">
        <w:rPr>
          <w:rFonts w:eastAsia="Times New Roman" w:cstheme="minorHAnsi"/>
          <w:spacing w:val="-1"/>
        </w:rPr>
        <w:t>e</w:t>
      </w:r>
      <w:r w:rsidRPr="00A54361">
        <w:rPr>
          <w:rFonts w:eastAsia="Times New Roman" w:cstheme="minorHAnsi"/>
          <w:spacing w:val="2"/>
        </w:rPr>
        <w:t>n</w:t>
      </w:r>
      <w:r w:rsidRPr="00A54361">
        <w:rPr>
          <w:rFonts w:eastAsia="Times New Roman" w:cstheme="minorHAnsi"/>
        </w:rPr>
        <w:t>ding</w:t>
      </w:r>
      <w:r w:rsidRPr="00A54361">
        <w:rPr>
          <w:rFonts w:eastAsia="Times New Roman" w:cstheme="minorHAnsi"/>
          <w:spacing w:val="1"/>
        </w:rPr>
        <w:t xml:space="preserve"> </w:t>
      </w:r>
      <w:r w:rsidRPr="00A54361">
        <w:rPr>
          <w:rFonts w:eastAsia="Times New Roman" w:cstheme="minorHAnsi"/>
        </w:rPr>
        <w:t>upon</w:t>
      </w:r>
      <w:r w:rsidRPr="00A54361">
        <w:rPr>
          <w:rFonts w:eastAsia="Times New Roman" w:cstheme="minorHAnsi"/>
          <w:spacing w:val="3"/>
        </w:rPr>
        <w:t xml:space="preserve"> </w:t>
      </w:r>
      <w:r w:rsidRPr="00A54361">
        <w:rPr>
          <w:rFonts w:eastAsia="Times New Roman" w:cstheme="minorHAnsi"/>
        </w:rPr>
        <w:t>the</w:t>
      </w:r>
      <w:r w:rsidRPr="00A54361">
        <w:rPr>
          <w:rFonts w:eastAsia="Times New Roman" w:cstheme="minorHAnsi"/>
          <w:spacing w:val="4"/>
        </w:rPr>
        <w:t xml:space="preserve"> </w:t>
      </w:r>
      <w:r w:rsidRPr="00A54361">
        <w:rPr>
          <w:rFonts w:eastAsia="Times New Roman" w:cstheme="minorHAnsi"/>
          <w:spacing w:val="-2"/>
        </w:rPr>
        <w:t>g</w:t>
      </w:r>
      <w:r w:rsidRPr="00A54361">
        <w:rPr>
          <w:rFonts w:eastAsia="Times New Roman" w:cstheme="minorHAnsi"/>
          <w:spacing w:val="1"/>
        </w:rPr>
        <w:t>r</w:t>
      </w:r>
      <w:r w:rsidRPr="00A54361">
        <w:rPr>
          <w:rFonts w:eastAsia="Times New Roman" w:cstheme="minorHAnsi"/>
          <w:spacing w:val="-1"/>
        </w:rPr>
        <w:t>a</w:t>
      </w:r>
      <w:r w:rsidRPr="00A54361">
        <w:rPr>
          <w:rFonts w:eastAsia="Times New Roman" w:cstheme="minorHAnsi"/>
        </w:rPr>
        <w:t>vi</w:t>
      </w:r>
      <w:r w:rsidRPr="00A54361">
        <w:rPr>
          <w:rFonts w:eastAsia="Times New Roman" w:cstheme="minorHAnsi"/>
          <w:spacing w:val="3"/>
        </w:rPr>
        <w:t>t</w:t>
      </w:r>
      <w:r w:rsidRPr="00A54361">
        <w:rPr>
          <w:rFonts w:eastAsia="Times New Roman" w:cstheme="minorHAnsi"/>
        </w:rPr>
        <w:t>y of</w:t>
      </w:r>
      <w:r w:rsidRPr="00A54361">
        <w:rPr>
          <w:rFonts w:eastAsia="Times New Roman" w:cstheme="minorHAnsi"/>
          <w:spacing w:val="2"/>
        </w:rPr>
        <w:t xml:space="preserve"> </w:t>
      </w:r>
      <w:r w:rsidRPr="00A54361">
        <w:rPr>
          <w:rFonts w:eastAsia="Times New Roman" w:cstheme="minorHAnsi"/>
        </w:rPr>
        <w:t>the</w:t>
      </w:r>
      <w:r w:rsidRPr="00A54361">
        <w:rPr>
          <w:rFonts w:eastAsia="Times New Roman" w:cstheme="minorHAnsi"/>
          <w:spacing w:val="2"/>
        </w:rPr>
        <w:t xml:space="preserve"> </w:t>
      </w:r>
      <w:r w:rsidRPr="00A54361">
        <w:rPr>
          <w:rFonts w:eastAsia="Times New Roman" w:cstheme="minorHAnsi"/>
        </w:rPr>
        <w:t>m</w:t>
      </w:r>
      <w:r w:rsidRPr="00A54361">
        <w:rPr>
          <w:rFonts w:eastAsia="Times New Roman" w:cstheme="minorHAnsi"/>
          <w:spacing w:val="1"/>
        </w:rPr>
        <w:t>i</w:t>
      </w:r>
      <w:r w:rsidRPr="00A54361">
        <w:rPr>
          <w:rFonts w:eastAsia="Times New Roman" w:cstheme="minorHAnsi"/>
        </w:rPr>
        <w:t>s</w:t>
      </w:r>
      <w:r w:rsidRPr="00A54361">
        <w:rPr>
          <w:rFonts w:eastAsia="Times New Roman" w:cstheme="minorHAnsi"/>
          <w:spacing w:val="-1"/>
        </w:rPr>
        <w:t>c</w:t>
      </w:r>
      <w:r w:rsidRPr="00A54361">
        <w:rPr>
          <w:rFonts w:eastAsia="Times New Roman" w:cstheme="minorHAnsi"/>
        </w:rPr>
        <w:t>ondu</w:t>
      </w:r>
      <w:r w:rsidRPr="00A54361">
        <w:rPr>
          <w:rFonts w:eastAsia="Times New Roman" w:cstheme="minorHAnsi"/>
          <w:spacing w:val="-1"/>
        </w:rPr>
        <w:t>c</w:t>
      </w:r>
      <w:r w:rsidRPr="00A54361">
        <w:rPr>
          <w:rFonts w:eastAsia="Times New Roman" w:cstheme="minorHAnsi"/>
        </w:rPr>
        <w:t>t,</w:t>
      </w:r>
      <w:r w:rsidRPr="00A54361">
        <w:rPr>
          <w:rFonts w:eastAsia="Times New Roman" w:cstheme="minorHAnsi"/>
          <w:spacing w:val="3"/>
        </w:rPr>
        <w:t xml:space="preserve"> </w:t>
      </w:r>
      <w:r w:rsidRPr="00A54361">
        <w:rPr>
          <w:rFonts w:eastAsia="Times New Roman" w:cstheme="minorHAnsi"/>
        </w:rPr>
        <w:t>it</w:t>
      </w:r>
      <w:r w:rsidRPr="00A54361">
        <w:rPr>
          <w:rFonts w:eastAsia="Times New Roman" w:cstheme="minorHAnsi"/>
          <w:spacing w:val="3"/>
        </w:rPr>
        <w:t xml:space="preserve"> </w:t>
      </w:r>
      <w:r w:rsidRPr="00A54361">
        <w:rPr>
          <w:rFonts w:eastAsia="Times New Roman" w:cstheme="minorHAnsi"/>
        </w:rPr>
        <w:t>would</w:t>
      </w:r>
      <w:r w:rsidRPr="00A54361">
        <w:rPr>
          <w:rFonts w:eastAsia="Times New Roman" w:cstheme="minorHAnsi"/>
          <w:spacing w:val="3"/>
        </w:rPr>
        <w:t xml:space="preserve"> </w:t>
      </w:r>
      <w:r w:rsidRPr="00A54361">
        <w:rPr>
          <w:rFonts w:eastAsia="Times New Roman" w:cstheme="minorHAnsi"/>
        </w:rPr>
        <w:t>not</w:t>
      </w:r>
      <w:r w:rsidRPr="00A54361">
        <w:rPr>
          <w:rFonts w:eastAsia="Times New Roman" w:cstheme="minorHAnsi"/>
          <w:spacing w:val="3"/>
        </w:rPr>
        <w:t xml:space="preserve"> </w:t>
      </w:r>
      <w:r w:rsidRPr="00A54361">
        <w:rPr>
          <w:rFonts w:eastAsia="Times New Roman" w:cstheme="minorHAnsi"/>
        </w:rPr>
        <w:t>be</w:t>
      </w:r>
      <w:r w:rsidRPr="00A54361">
        <w:rPr>
          <w:rFonts w:eastAsia="Times New Roman" w:cstheme="minorHAnsi"/>
          <w:spacing w:val="2"/>
        </w:rPr>
        <w:t xml:space="preserve"> </w:t>
      </w:r>
      <w:r w:rsidRPr="00A54361">
        <w:rPr>
          <w:rFonts w:eastAsia="Times New Roman" w:cstheme="minorHAnsi"/>
        </w:rPr>
        <w:t>d</w:t>
      </w:r>
      <w:r w:rsidRPr="00A54361">
        <w:rPr>
          <w:rFonts w:eastAsia="Times New Roman" w:cstheme="minorHAnsi"/>
          <w:spacing w:val="-1"/>
        </w:rPr>
        <w:t>e</w:t>
      </w:r>
      <w:r w:rsidRPr="00A54361">
        <w:rPr>
          <w:rFonts w:eastAsia="Times New Roman" w:cstheme="minorHAnsi"/>
        </w:rPr>
        <w:t>sir</w:t>
      </w:r>
      <w:r w:rsidRPr="00A54361">
        <w:rPr>
          <w:rFonts w:eastAsia="Times New Roman" w:cstheme="minorHAnsi"/>
          <w:spacing w:val="-1"/>
        </w:rPr>
        <w:t>a</w:t>
      </w:r>
      <w:r w:rsidRPr="00A54361">
        <w:rPr>
          <w:rFonts w:eastAsia="Times New Roman" w:cstheme="minorHAnsi"/>
        </w:rPr>
        <w:t>ble for</w:t>
      </w:r>
      <w:r w:rsidRPr="00A54361">
        <w:rPr>
          <w:rFonts w:eastAsia="Times New Roman" w:cstheme="minorHAnsi"/>
          <w:spacing w:val="1"/>
        </w:rPr>
        <w:t xml:space="preserve"> </w:t>
      </w:r>
      <w:r w:rsidRPr="00A54361">
        <w:rPr>
          <w:rFonts w:eastAsia="Times New Roman" w:cstheme="minorHAnsi"/>
          <w:spacing w:val="-1"/>
        </w:rPr>
        <w:t>a</w:t>
      </w:r>
      <w:r w:rsidRPr="00A54361">
        <w:rPr>
          <w:rFonts w:eastAsia="Times New Roman" w:cstheme="minorHAnsi"/>
        </w:rPr>
        <w:t>ll</w:t>
      </w:r>
      <w:r w:rsidRPr="00A54361">
        <w:rPr>
          <w:rFonts w:eastAsia="Times New Roman" w:cstheme="minorHAnsi"/>
          <w:spacing w:val="3"/>
        </w:rPr>
        <w:t xml:space="preserve"> </w:t>
      </w:r>
      <w:r w:rsidRPr="00A54361">
        <w:rPr>
          <w:rFonts w:eastAsia="Times New Roman" w:cstheme="minorHAnsi"/>
        </w:rPr>
        <w:t>t</w:t>
      </w:r>
      <w:r w:rsidRPr="00A54361">
        <w:rPr>
          <w:rFonts w:eastAsia="Times New Roman" w:cstheme="minorHAnsi"/>
          <w:spacing w:val="3"/>
        </w:rPr>
        <w:t>h</w:t>
      </w:r>
      <w:r w:rsidRPr="00A54361">
        <w:rPr>
          <w:rFonts w:eastAsia="Times New Roman" w:cstheme="minorHAnsi"/>
        </w:rPr>
        <w:t>e</w:t>
      </w:r>
      <w:r w:rsidRPr="00A54361">
        <w:rPr>
          <w:rFonts w:eastAsia="Times New Roman" w:cstheme="minorHAnsi"/>
          <w:spacing w:val="2"/>
        </w:rPr>
        <w:t xml:space="preserve"> </w:t>
      </w:r>
      <w:r w:rsidRPr="00A54361">
        <w:rPr>
          <w:rFonts w:eastAsia="Times New Roman" w:cstheme="minorHAnsi"/>
        </w:rPr>
        <w:t>Units</w:t>
      </w:r>
      <w:r w:rsidRPr="00A54361">
        <w:rPr>
          <w:rFonts w:eastAsia="Times New Roman" w:cstheme="minorHAnsi"/>
          <w:spacing w:val="5"/>
        </w:rPr>
        <w:t xml:space="preserve"> </w:t>
      </w:r>
      <w:r w:rsidRPr="00A54361">
        <w:rPr>
          <w:rFonts w:eastAsia="Times New Roman" w:cstheme="minorHAnsi"/>
          <w:spacing w:val="-1"/>
        </w:rPr>
        <w:t>a</w:t>
      </w:r>
      <w:r w:rsidRPr="00A54361">
        <w:rPr>
          <w:rFonts w:eastAsia="Times New Roman" w:cstheme="minorHAnsi"/>
        </w:rPr>
        <w:t>nd</w:t>
      </w:r>
      <w:r w:rsidRPr="00A54361">
        <w:rPr>
          <w:rFonts w:eastAsia="Times New Roman" w:cstheme="minorHAnsi"/>
          <w:spacing w:val="3"/>
        </w:rPr>
        <w:t xml:space="preserve"> </w:t>
      </w:r>
      <w:r w:rsidRPr="00A54361">
        <w:rPr>
          <w:rFonts w:eastAsia="Times New Roman" w:cstheme="minorHAnsi"/>
          <w:spacing w:val="1"/>
        </w:rPr>
        <w:t>S</w:t>
      </w:r>
      <w:r w:rsidRPr="00A54361">
        <w:rPr>
          <w:rFonts w:eastAsia="Times New Roman" w:cstheme="minorHAnsi"/>
        </w:rPr>
        <w:t>u</w:t>
      </w:r>
      <w:r w:rsidRPr="00A54361">
        <w:rPr>
          <w:rFonts w:eastAsia="Times New Roman" w:cstheme="minorHAnsi"/>
          <w:spacing w:val="2"/>
        </w:rPr>
        <w:t>b</w:t>
      </w:r>
      <w:r w:rsidRPr="00A54361">
        <w:rPr>
          <w:rFonts w:eastAsia="Times New Roman" w:cstheme="minorHAnsi"/>
        </w:rPr>
        <w:t>sid</w:t>
      </w:r>
      <w:r w:rsidRPr="00A54361">
        <w:rPr>
          <w:rFonts w:eastAsia="Times New Roman" w:cstheme="minorHAnsi"/>
          <w:spacing w:val="1"/>
        </w:rPr>
        <w:t>i</w:t>
      </w:r>
      <w:r w:rsidRPr="00A54361">
        <w:rPr>
          <w:rFonts w:eastAsia="Times New Roman" w:cstheme="minorHAnsi"/>
          <w:spacing w:val="-1"/>
        </w:rPr>
        <w:t>a</w:t>
      </w:r>
      <w:r w:rsidRPr="00A54361">
        <w:rPr>
          <w:rFonts w:eastAsia="Times New Roman" w:cstheme="minorHAnsi"/>
        </w:rPr>
        <w:t>ri</w:t>
      </w:r>
      <w:r w:rsidRPr="00A54361">
        <w:rPr>
          <w:rFonts w:eastAsia="Times New Roman" w:cstheme="minorHAnsi"/>
          <w:spacing w:val="-1"/>
        </w:rPr>
        <w:t>e</w:t>
      </w:r>
      <w:r w:rsidRPr="00A54361">
        <w:rPr>
          <w:rFonts w:eastAsia="Times New Roman" w:cstheme="minorHAnsi"/>
        </w:rPr>
        <w:t>s</w:t>
      </w:r>
      <w:r w:rsidRPr="00A54361">
        <w:rPr>
          <w:rFonts w:eastAsia="Times New Roman" w:cstheme="minorHAnsi"/>
          <w:spacing w:val="3"/>
        </w:rPr>
        <w:t xml:space="preserve"> </w:t>
      </w:r>
      <w:r w:rsidRPr="00A54361">
        <w:rPr>
          <w:rFonts w:eastAsia="Times New Roman" w:cstheme="minorHAnsi"/>
        </w:rPr>
        <w:t>of</w:t>
      </w:r>
      <w:r w:rsidRPr="00A54361">
        <w:rPr>
          <w:rFonts w:eastAsia="Times New Roman" w:cstheme="minorHAnsi"/>
          <w:spacing w:val="2"/>
        </w:rPr>
        <w:t xml:space="preserve"> </w:t>
      </w:r>
      <w:r w:rsidRPr="00A54361">
        <w:rPr>
          <w:rFonts w:eastAsia="Times New Roman" w:cstheme="minorHAnsi"/>
        </w:rPr>
        <w:t>C</w:t>
      </w:r>
      <w:r w:rsidRPr="00A54361">
        <w:rPr>
          <w:rFonts w:eastAsia="Times New Roman" w:cstheme="minorHAnsi"/>
          <w:spacing w:val="2"/>
        </w:rPr>
        <w:t>E</w:t>
      </w:r>
      <w:r w:rsidRPr="00A54361">
        <w:rPr>
          <w:rFonts w:eastAsia="Times New Roman" w:cstheme="minorHAnsi"/>
        </w:rPr>
        <w:t>N</w:t>
      </w:r>
      <w:r w:rsidRPr="00A54361">
        <w:rPr>
          <w:rFonts w:eastAsia="Times New Roman" w:cstheme="minorHAnsi"/>
          <w:spacing w:val="-1"/>
        </w:rPr>
        <w:t>T</w:t>
      </w:r>
      <w:r w:rsidRPr="00A54361">
        <w:rPr>
          <w:rFonts w:eastAsia="Times New Roman" w:cstheme="minorHAnsi"/>
        </w:rPr>
        <w:t>R</w:t>
      </w:r>
      <w:r w:rsidRPr="00A54361">
        <w:rPr>
          <w:rFonts w:eastAsia="Times New Roman" w:cstheme="minorHAnsi"/>
          <w:spacing w:val="2"/>
        </w:rPr>
        <w:t>A</w:t>
      </w:r>
      <w:r w:rsidRPr="00A54361">
        <w:rPr>
          <w:rFonts w:eastAsia="Times New Roman" w:cstheme="minorHAnsi"/>
        </w:rPr>
        <w:t>L</w:t>
      </w:r>
      <w:r w:rsidRPr="00A54361">
        <w:rPr>
          <w:rFonts w:eastAsia="Times New Roman" w:cstheme="minorHAnsi"/>
          <w:spacing w:val="2"/>
        </w:rPr>
        <w:t xml:space="preserve"> </w:t>
      </w:r>
      <w:r w:rsidRPr="00A54361">
        <w:rPr>
          <w:rFonts w:eastAsia="Times New Roman" w:cstheme="minorHAnsi"/>
          <w:spacing w:val="-2"/>
        </w:rPr>
        <w:t>B</w:t>
      </w:r>
      <w:r w:rsidRPr="00A54361">
        <w:rPr>
          <w:rFonts w:eastAsia="Times New Roman" w:cstheme="minorHAnsi"/>
        </w:rPr>
        <w:t>A</w:t>
      </w:r>
      <w:r w:rsidRPr="00A54361">
        <w:rPr>
          <w:rFonts w:eastAsia="Times New Roman" w:cstheme="minorHAnsi"/>
          <w:spacing w:val="-1"/>
        </w:rPr>
        <w:t>N</w:t>
      </w:r>
      <w:r w:rsidRPr="00A54361">
        <w:rPr>
          <w:rFonts w:eastAsia="Times New Roman" w:cstheme="minorHAnsi"/>
        </w:rPr>
        <w:t>K</w:t>
      </w:r>
      <w:r w:rsidRPr="00A54361">
        <w:rPr>
          <w:rFonts w:eastAsia="Times New Roman" w:cstheme="minorHAnsi"/>
          <w:spacing w:val="4"/>
        </w:rPr>
        <w:t xml:space="preserve"> </w:t>
      </w:r>
      <w:r w:rsidRPr="00A54361">
        <w:rPr>
          <w:rFonts w:eastAsia="Times New Roman" w:cstheme="minorHAnsi"/>
          <w:spacing w:val="2"/>
        </w:rPr>
        <w:t>O</w:t>
      </w:r>
      <w:r w:rsidRPr="00A54361">
        <w:rPr>
          <w:rFonts w:eastAsia="Times New Roman" w:cstheme="minorHAnsi"/>
        </w:rPr>
        <w:t>F</w:t>
      </w:r>
      <w:r w:rsidRPr="00A54361">
        <w:rPr>
          <w:rFonts w:eastAsia="Times New Roman" w:cstheme="minorHAnsi"/>
          <w:spacing w:val="4"/>
        </w:rPr>
        <w:t xml:space="preserve"> </w:t>
      </w:r>
      <w:r w:rsidRPr="00A54361">
        <w:rPr>
          <w:rFonts w:eastAsia="Times New Roman" w:cstheme="minorHAnsi"/>
          <w:spacing w:val="-3"/>
        </w:rPr>
        <w:t>I</w:t>
      </w:r>
      <w:r w:rsidRPr="00A54361">
        <w:rPr>
          <w:rFonts w:eastAsia="Times New Roman" w:cstheme="minorHAnsi"/>
          <w:spacing w:val="2"/>
        </w:rPr>
        <w:t>ND</w:t>
      </w:r>
      <w:r w:rsidRPr="00A54361">
        <w:rPr>
          <w:rFonts w:eastAsia="Times New Roman" w:cstheme="minorHAnsi"/>
          <w:spacing w:val="-3"/>
        </w:rPr>
        <w:t>I</w:t>
      </w:r>
      <w:r w:rsidRPr="00A54361">
        <w:rPr>
          <w:rFonts w:eastAsia="Times New Roman" w:cstheme="minorHAnsi"/>
        </w:rPr>
        <w:t>A</w:t>
      </w:r>
      <w:r w:rsidRPr="00A54361">
        <w:rPr>
          <w:rFonts w:eastAsia="Times New Roman" w:cstheme="minorHAnsi"/>
          <w:spacing w:val="4"/>
        </w:rPr>
        <w:t xml:space="preserve"> </w:t>
      </w:r>
      <w:r w:rsidRPr="00A54361">
        <w:rPr>
          <w:rFonts w:eastAsia="Times New Roman" w:cstheme="minorHAnsi"/>
        </w:rPr>
        <w:t>to</w:t>
      </w:r>
      <w:r w:rsidRPr="00A54361">
        <w:rPr>
          <w:rFonts w:eastAsia="Times New Roman" w:cstheme="minorHAnsi"/>
          <w:spacing w:val="3"/>
        </w:rPr>
        <w:t xml:space="preserve"> </w:t>
      </w:r>
      <w:r w:rsidRPr="00A54361">
        <w:rPr>
          <w:rFonts w:eastAsia="Times New Roman" w:cstheme="minorHAnsi"/>
        </w:rPr>
        <w:t>h</w:t>
      </w:r>
      <w:r w:rsidRPr="00A54361">
        <w:rPr>
          <w:rFonts w:eastAsia="Times New Roman" w:cstheme="minorHAnsi"/>
          <w:spacing w:val="1"/>
        </w:rPr>
        <w:t>a</w:t>
      </w:r>
      <w:r w:rsidRPr="00A54361">
        <w:rPr>
          <w:rFonts w:eastAsia="Times New Roman" w:cstheme="minorHAnsi"/>
        </w:rPr>
        <w:t>ve</w:t>
      </w:r>
      <w:r w:rsidRPr="00A54361">
        <w:rPr>
          <w:rFonts w:eastAsia="Times New Roman" w:cstheme="minorHAnsi"/>
          <w:spacing w:val="2"/>
        </w:rPr>
        <w:t xml:space="preserve"> </w:t>
      </w:r>
      <w:r w:rsidRPr="00A54361">
        <w:rPr>
          <w:rFonts w:eastAsia="Times New Roman" w:cstheme="minorHAnsi"/>
          <w:spacing w:val="-1"/>
        </w:rPr>
        <w:t>a</w:t>
      </w:r>
      <w:r w:rsidRPr="00A54361">
        <w:rPr>
          <w:rFonts w:eastAsia="Times New Roman" w:cstheme="minorHAnsi"/>
          <w:spacing w:val="5"/>
        </w:rPr>
        <w:t>n</w:t>
      </w:r>
      <w:r w:rsidRPr="00A54361">
        <w:rPr>
          <w:rFonts w:eastAsia="Times New Roman" w:cstheme="minorHAnsi"/>
        </w:rPr>
        <w:t>y d</w:t>
      </w:r>
      <w:r w:rsidRPr="00A54361">
        <w:rPr>
          <w:rFonts w:eastAsia="Times New Roman" w:cstheme="minorHAnsi"/>
          <w:spacing w:val="-1"/>
        </w:rPr>
        <w:t>ea</w:t>
      </w:r>
      <w:r w:rsidRPr="00A54361">
        <w:rPr>
          <w:rFonts w:eastAsia="Times New Roman" w:cstheme="minorHAnsi"/>
        </w:rPr>
        <w:t>l</w:t>
      </w:r>
      <w:r w:rsidRPr="00A54361">
        <w:rPr>
          <w:rFonts w:eastAsia="Times New Roman" w:cstheme="minorHAnsi"/>
          <w:spacing w:val="1"/>
        </w:rPr>
        <w:t>i</w:t>
      </w:r>
      <w:r w:rsidRPr="00A54361">
        <w:rPr>
          <w:rFonts w:eastAsia="Times New Roman" w:cstheme="minorHAnsi"/>
          <w:spacing w:val="2"/>
        </w:rPr>
        <w:t>n</w:t>
      </w:r>
      <w:r w:rsidRPr="00A54361">
        <w:rPr>
          <w:rFonts w:eastAsia="Times New Roman" w:cstheme="minorHAnsi"/>
          <w:spacing w:val="-2"/>
        </w:rPr>
        <w:t>g</w:t>
      </w:r>
      <w:r w:rsidRPr="00A54361">
        <w:rPr>
          <w:rFonts w:eastAsia="Times New Roman" w:cstheme="minorHAnsi"/>
        </w:rPr>
        <w:t>s</w:t>
      </w:r>
      <w:r w:rsidRPr="00A54361">
        <w:rPr>
          <w:rFonts w:eastAsia="Times New Roman" w:cstheme="minorHAnsi"/>
          <w:spacing w:val="5"/>
        </w:rPr>
        <w:t xml:space="preserve"> </w:t>
      </w:r>
      <w:r w:rsidRPr="00A54361">
        <w:rPr>
          <w:rFonts w:eastAsia="Times New Roman" w:cstheme="minorHAnsi"/>
        </w:rPr>
        <w:t>with the</w:t>
      </w:r>
      <w:r w:rsidRPr="00A54361">
        <w:rPr>
          <w:rFonts w:eastAsia="Times New Roman" w:cstheme="minorHAnsi"/>
          <w:spacing w:val="-8"/>
        </w:rPr>
        <w:t xml:space="preserve"> </w:t>
      </w:r>
      <w:r w:rsidRPr="00A54361">
        <w:rPr>
          <w:rFonts w:eastAsia="Times New Roman" w:cstheme="minorHAnsi"/>
          <w:spacing w:val="2"/>
        </w:rPr>
        <w:t>A</w:t>
      </w:r>
      <w:r w:rsidRPr="00A54361">
        <w:rPr>
          <w:rFonts w:eastAsia="Times New Roman" w:cstheme="minorHAnsi"/>
          <w:spacing w:val="-2"/>
        </w:rPr>
        <w:t>g</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4"/>
        </w:rPr>
        <w:t>c</w:t>
      </w:r>
      <w:r w:rsidRPr="00A54361">
        <w:rPr>
          <w:rFonts w:eastAsia="Times New Roman" w:cstheme="minorHAnsi"/>
        </w:rPr>
        <w:t>y</w:t>
      </w:r>
      <w:r w:rsidRPr="00A54361">
        <w:rPr>
          <w:rFonts w:eastAsia="Times New Roman" w:cstheme="minorHAnsi"/>
          <w:spacing w:val="-10"/>
        </w:rPr>
        <w:t xml:space="preserve"> </w:t>
      </w:r>
      <w:r w:rsidRPr="00A54361">
        <w:rPr>
          <w:rFonts w:eastAsia="Times New Roman" w:cstheme="minorHAnsi"/>
          <w:spacing w:val="-1"/>
        </w:rPr>
        <w:t>c</w:t>
      </w:r>
      <w:r w:rsidRPr="00A54361">
        <w:rPr>
          <w:rFonts w:eastAsia="Times New Roman" w:cstheme="minorHAnsi"/>
        </w:rPr>
        <w:t>on</w:t>
      </w:r>
      <w:r w:rsidRPr="00A54361">
        <w:rPr>
          <w:rFonts w:eastAsia="Times New Roman" w:cstheme="minorHAnsi"/>
          <w:spacing w:val="1"/>
        </w:rPr>
        <w:t>c</w:t>
      </w:r>
      <w:r w:rsidRPr="00A54361">
        <w:rPr>
          <w:rFonts w:eastAsia="Times New Roman" w:cstheme="minorHAnsi"/>
          <w:spacing w:val="-1"/>
        </w:rPr>
        <w:t>e</w:t>
      </w:r>
      <w:r w:rsidRPr="00A54361">
        <w:rPr>
          <w:rFonts w:eastAsia="Times New Roman" w:cstheme="minorHAnsi"/>
        </w:rPr>
        <w:t>rn</w:t>
      </w:r>
      <w:r w:rsidRPr="00A54361">
        <w:rPr>
          <w:rFonts w:eastAsia="Times New Roman" w:cstheme="minorHAnsi"/>
          <w:spacing w:val="-2"/>
        </w:rPr>
        <w:t>e</w:t>
      </w:r>
      <w:r w:rsidRPr="00A54361">
        <w:rPr>
          <w:rFonts w:eastAsia="Times New Roman" w:cstheme="minorHAnsi"/>
        </w:rPr>
        <w:t>d,</w:t>
      </w:r>
      <w:r w:rsidRPr="00A54361">
        <w:rPr>
          <w:rFonts w:eastAsia="Times New Roman" w:cstheme="minorHAnsi"/>
          <w:spacing w:val="-5"/>
        </w:rPr>
        <w:t xml:space="preserve"> </w:t>
      </w:r>
      <w:r w:rsidRPr="00A54361">
        <w:rPr>
          <w:rFonts w:eastAsia="Times New Roman" w:cstheme="minorHAnsi"/>
          <w:spacing w:val="1"/>
        </w:rPr>
        <w:t>a</w:t>
      </w:r>
      <w:r w:rsidRPr="00A54361">
        <w:rPr>
          <w:rFonts w:eastAsia="Times New Roman" w:cstheme="minorHAnsi"/>
        </w:rPr>
        <w:t>n</w:t>
      </w:r>
      <w:r w:rsidRPr="00A54361">
        <w:rPr>
          <w:rFonts w:eastAsia="Times New Roman" w:cstheme="minorHAnsi"/>
          <w:spacing w:val="-7"/>
        </w:rPr>
        <w:t xml:space="preserve"> </w:t>
      </w:r>
      <w:r w:rsidRPr="00A54361">
        <w:rPr>
          <w:rFonts w:eastAsia="Times New Roman" w:cstheme="minorHAnsi"/>
        </w:rPr>
        <w:t>ord</w:t>
      </w:r>
      <w:r w:rsidRPr="00A54361">
        <w:rPr>
          <w:rFonts w:eastAsia="Times New Roman" w:cstheme="minorHAnsi"/>
          <w:spacing w:val="-2"/>
        </w:rPr>
        <w:t>e</w:t>
      </w:r>
      <w:r w:rsidRPr="00A54361">
        <w:rPr>
          <w:rFonts w:eastAsia="Times New Roman" w:cstheme="minorHAnsi"/>
        </w:rPr>
        <w:t>r</w:t>
      </w:r>
      <w:r w:rsidRPr="00A54361">
        <w:rPr>
          <w:rFonts w:eastAsia="Times New Roman" w:cstheme="minorHAnsi"/>
          <w:spacing w:val="-8"/>
        </w:rPr>
        <w:t xml:space="preserve"> </w:t>
      </w:r>
      <w:r w:rsidRPr="00A54361">
        <w:rPr>
          <w:rFonts w:eastAsia="Times New Roman" w:cstheme="minorHAnsi"/>
        </w:rPr>
        <w:t>suspendi</w:t>
      </w:r>
      <w:r w:rsidRPr="00A54361">
        <w:rPr>
          <w:rFonts w:eastAsia="Times New Roman" w:cstheme="minorHAnsi"/>
          <w:spacing w:val="2"/>
        </w:rPr>
        <w:t>n</w:t>
      </w:r>
      <w:r w:rsidRPr="00A54361">
        <w:rPr>
          <w:rFonts w:eastAsia="Times New Roman" w:cstheme="minorHAnsi"/>
        </w:rPr>
        <w:t>g</w:t>
      </w:r>
      <w:r w:rsidRPr="00A54361">
        <w:rPr>
          <w:rFonts w:eastAsia="Times New Roman" w:cstheme="minorHAnsi"/>
          <w:spacing w:val="-10"/>
        </w:rPr>
        <w:t xml:space="preserve"> </w:t>
      </w:r>
      <w:r w:rsidRPr="00A54361">
        <w:rPr>
          <w:rFonts w:eastAsia="Times New Roman" w:cstheme="minorHAnsi"/>
        </w:rPr>
        <w:t>busi</w:t>
      </w:r>
      <w:r w:rsidRPr="00A54361">
        <w:rPr>
          <w:rFonts w:eastAsia="Times New Roman" w:cstheme="minorHAnsi"/>
          <w:spacing w:val="2"/>
        </w:rPr>
        <w:t>n</w:t>
      </w:r>
      <w:r w:rsidRPr="00A54361">
        <w:rPr>
          <w:rFonts w:eastAsia="Times New Roman" w:cstheme="minorHAnsi"/>
          <w:spacing w:val="-1"/>
        </w:rPr>
        <w:t>e</w:t>
      </w:r>
      <w:r w:rsidRPr="00A54361">
        <w:rPr>
          <w:rFonts w:eastAsia="Times New Roman" w:cstheme="minorHAnsi"/>
        </w:rPr>
        <w:t>ss</w:t>
      </w:r>
      <w:r w:rsidRPr="00A54361">
        <w:rPr>
          <w:rFonts w:eastAsia="Times New Roman" w:cstheme="minorHAnsi"/>
          <w:spacing w:val="-7"/>
        </w:rPr>
        <w:t xml:space="preserve"> </w:t>
      </w:r>
      <w:r w:rsidRPr="00A54361">
        <w:rPr>
          <w:rFonts w:eastAsia="Times New Roman" w:cstheme="minorHAnsi"/>
        </w:rPr>
        <w:t>d</w:t>
      </w:r>
      <w:r w:rsidRPr="00A54361">
        <w:rPr>
          <w:rFonts w:eastAsia="Times New Roman" w:cstheme="minorHAnsi"/>
          <w:spacing w:val="-1"/>
        </w:rPr>
        <w:t>ea</w:t>
      </w:r>
      <w:r w:rsidRPr="00A54361">
        <w:rPr>
          <w:rFonts w:eastAsia="Times New Roman" w:cstheme="minorHAnsi"/>
        </w:rPr>
        <w:t>l</w:t>
      </w:r>
      <w:r w:rsidRPr="00A54361">
        <w:rPr>
          <w:rFonts w:eastAsia="Times New Roman" w:cstheme="minorHAnsi"/>
          <w:spacing w:val="1"/>
        </w:rPr>
        <w:t>i</w:t>
      </w:r>
      <w:r w:rsidRPr="00A54361">
        <w:rPr>
          <w:rFonts w:eastAsia="Times New Roman" w:cstheme="minorHAnsi"/>
          <w:spacing w:val="2"/>
        </w:rPr>
        <w:t>n</w:t>
      </w:r>
      <w:r w:rsidRPr="00A54361">
        <w:rPr>
          <w:rFonts w:eastAsia="Times New Roman" w:cstheme="minorHAnsi"/>
          <w:spacing w:val="-2"/>
        </w:rPr>
        <w:t>g</w:t>
      </w:r>
      <w:r w:rsidRPr="00A54361">
        <w:rPr>
          <w:rFonts w:eastAsia="Times New Roman" w:cstheme="minorHAnsi"/>
        </w:rPr>
        <w:t>s</w:t>
      </w:r>
      <w:r w:rsidRPr="00A54361">
        <w:rPr>
          <w:rFonts w:eastAsia="Times New Roman" w:cstheme="minorHAnsi"/>
          <w:spacing w:val="-7"/>
        </w:rPr>
        <w:t xml:space="preserve"> </w:t>
      </w:r>
      <w:r w:rsidRPr="00A54361">
        <w:rPr>
          <w:rFonts w:eastAsia="Times New Roman" w:cstheme="minorHAnsi"/>
        </w:rPr>
        <w:t>m</w:t>
      </w:r>
      <w:r w:rsidRPr="00A54361">
        <w:rPr>
          <w:rFonts w:eastAsia="Times New Roman" w:cstheme="minorHAnsi"/>
          <w:spacing w:val="4"/>
        </w:rPr>
        <w:t>a</w:t>
      </w:r>
      <w:r w:rsidRPr="00A54361">
        <w:rPr>
          <w:rFonts w:eastAsia="Times New Roman" w:cstheme="minorHAnsi"/>
        </w:rPr>
        <w:t>y</w:t>
      </w:r>
      <w:r w:rsidRPr="00A54361">
        <w:rPr>
          <w:rFonts w:eastAsia="Times New Roman" w:cstheme="minorHAnsi"/>
          <w:spacing w:val="-12"/>
        </w:rPr>
        <w:t xml:space="preserve"> </w:t>
      </w:r>
      <w:r w:rsidRPr="00A54361">
        <w:rPr>
          <w:rFonts w:eastAsia="Times New Roman" w:cstheme="minorHAnsi"/>
        </w:rPr>
        <w:t>be</w:t>
      </w:r>
      <w:r w:rsidRPr="00A54361">
        <w:rPr>
          <w:rFonts w:eastAsia="Times New Roman" w:cstheme="minorHAnsi"/>
          <w:spacing w:val="-6"/>
        </w:rPr>
        <w:t xml:space="preserve"> </w:t>
      </w:r>
      <w:r w:rsidRPr="00A54361">
        <w:rPr>
          <w:rFonts w:eastAsia="Times New Roman" w:cstheme="minorHAnsi"/>
        </w:rPr>
        <w:t>is</w:t>
      </w:r>
      <w:r w:rsidRPr="00A54361">
        <w:rPr>
          <w:rFonts w:eastAsia="Times New Roman" w:cstheme="minorHAnsi"/>
          <w:spacing w:val="1"/>
        </w:rPr>
        <w:t>s</w:t>
      </w:r>
      <w:r w:rsidRPr="00A54361">
        <w:rPr>
          <w:rFonts w:eastAsia="Times New Roman" w:cstheme="minorHAnsi"/>
        </w:rPr>
        <w:t>u</w:t>
      </w:r>
      <w:r w:rsidRPr="00A54361">
        <w:rPr>
          <w:rFonts w:eastAsia="Times New Roman" w:cstheme="minorHAnsi"/>
          <w:spacing w:val="1"/>
        </w:rPr>
        <w:t>e</w:t>
      </w:r>
      <w:r w:rsidRPr="00A54361">
        <w:rPr>
          <w:rFonts w:eastAsia="Times New Roman" w:cstheme="minorHAnsi"/>
        </w:rPr>
        <w:t>d</w:t>
      </w:r>
      <w:r w:rsidRPr="00A54361">
        <w:rPr>
          <w:rFonts w:eastAsia="Times New Roman" w:cstheme="minorHAnsi"/>
          <w:spacing w:val="-7"/>
        </w:rPr>
        <w:t xml:space="preserve"> </w:t>
      </w:r>
      <w:r w:rsidRPr="00A54361">
        <w:rPr>
          <w:rFonts w:eastAsia="Times New Roman" w:cstheme="minorHAnsi"/>
        </w:rPr>
        <w:t>to</w:t>
      </w:r>
      <w:r w:rsidRPr="00A54361">
        <w:rPr>
          <w:rFonts w:eastAsia="Times New Roman" w:cstheme="minorHAnsi"/>
          <w:spacing w:val="-7"/>
        </w:rPr>
        <w:t xml:space="preserve"> </w:t>
      </w:r>
      <w:r w:rsidRPr="00A54361">
        <w:rPr>
          <w:rFonts w:eastAsia="Times New Roman" w:cstheme="minorHAnsi"/>
          <w:spacing w:val="-1"/>
        </w:rPr>
        <w:t>a</w:t>
      </w:r>
      <w:r w:rsidRPr="00A54361">
        <w:rPr>
          <w:rFonts w:eastAsia="Times New Roman" w:cstheme="minorHAnsi"/>
        </w:rPr>
        <w:t>ll</w:t>
      </w:r>
      <w:r w:rsidRPr="00A54361">
        <w:rPr>
          <w:rFonts w:eastAsia="Times New Roman" w:cstheme="minorHAnsi"/>
          <w:spacing w:val="-6"/>
        </w:rPr>
        <w:t xml:space="preserve"> </w:t>
      </w:r>
      <w:r w:rsidRPr="00A54361">
        <w:rPr>
          <w:rFonts w:eastAsia="Times New Roman" w:cstheme="minorHAnsi"/>
        </w:rPr>
        <w:t>the</w:t>
      </w:r>
      <w:r w:rsidRPr="00A54361">
        <w:rPr>
          <w:rFonts w:eastAsia="Times New Roman" w:cstheme="minorHAnsi"/>
          <w:spacing w:val="-8"/>
        </w:rPr>
        <w:t xml:space="preserve"> </w:t>
      </w:r>
      <w:r w:rsidRPr="00A54361">
        <w:rPr>
          <w:rFonts w:eastAsia="Times New Roman" w:cstheme="minorHAnsi"/>
        </w:rPr>
        <w:t>Units</w:t>
      </w:r>
      <w:r w:rsidRPr="00A54361">
        <w:rPr>
          <w:rFonts w:eastAsia="Times New Roman" w:cstheme="minorHAnsi"/>
          <w:spacing w:val="-7"/>
        </w:rPr>
        <w:t xml:space="preserve"> </w:t>
      </w:r>
      <w:r w:rsidRPr="00A54361">
        <w:rPr>
          <w:rFonts w:eastAsia="Times New Roman" w:cstheme="minorHAnsi"/>
          <w:spacing w:val="2"/>
        </w:rPr>
        <w:t>b</w:t>
      </w:r>
      <w:r w:rsidRPr="00A54361">
        <w:rPr>
          <w:rFonts w:eastAsia="Times New Roman" w:cstheme="minorHAnsi"/>
        </w:rPr>
        <w:t>y the</w:t>
      </w:r>
      <w:r w:rsidRPr="00A54361">
        <w:rPr>
          <w:rFonts w:eastAsia="Times New Roman" w:cstheme="minorHAnsi"/>
          <w:spacing w:val="5"/>
        </w:rPr>
        <w:t xml:space="preserve"> </w:t>
      </w:r>
      <w:r w:rsidRPr="00A54361">
        <w:rPr>
          <w:rFonts w:eastAsia="Times New Roman" w:cstheme="minorHAnsi"/>
        </w:rPr>
        <w:t>Competent</w:t>
      </w:r>
      <w:r w:rsidRPr="00A54361">
        <w:rPr>
          <w:rFonts w:eastAsia="Times New Roman" w:cstheme="minorHAnsi"/>
          <w:spacing w:val="5"/>
        </w:rPr>
        <w:t xml:space="preserve"> </w:t>
      </w:r>
      <w:r w:rsidRPr="00A54361">
        <w:rPr>
          <w:rFonts w:eastAsia="Times New Roman" w:cstheme="minorHAnsi"/>
        </w:rPr>
        <w:t>Autho</w:t>
      </w:r>
      <w:r w:rsidRPr="00A54361">
        <w:rPr>
          <w:rFonts w:eastAsia="Times New Roman" w:cstheme="minorHAnsi"/>
          <w:spacing w:val="-1"/>
        </w:rPr>
        <w:t>r</w:t>
      </w:r>
      <w:r w:rsidRPr="00A54361">
        <w:rPr>
          <w:rFonts w:eastAsia="Times New Roman" w:cstheme="minorHAnsi"/>
        </w:rPr>
        <w:t>i</w:t>
      </w:r>
      <w:r w:rsidRPr="00A54361">
        <w:rPr>
          <w:rFonts w:eastAsia="Times New Roman" w:cstheme="minorHAnsi"/>
          <w:spacing w:val="1"/>
        </w:rPr>
        <w:t>t</w:t>
      </w:r>
      <w:r w:rsidRPr="00A54361">
        <w:rPr>
          <w:rFonts w:eastAsia="Times New Roman" w:cstheme="minorHAnsi"/>
        </w:rPr>
        <w:t>y</w:t>
      </w:r>
      <w:r w:rsidRPr="00A54361">
        <w:rPr>
          <w:rFonts w:eastAsia="Times New Roman" w:cstheme="minorHAnsi"/>
          <w:spacing w:val="3"/>
        </w:rPr>
        <w:t xml:space="preserve"> </w:t>
      </w:r>
      <w:r w:rsidRPr="00A54361">
        <w:rPr>
          <w:rFonts w:eastAsia="Times New Roman" w:cstheme="minorHAnsi"/>
        </w:rPr>
        <w:t>of</w:t>
      </w:r>
      <w:r w:rsidRPr="00A54361">
        <w:rPr>
          <w:rFonts w:eastAsia="Times New Roman" w:cstheme="minorHAnsi"/>
          <w:spacing w:val="7"/>
        </w:rPr>
        <w:t xml:space="preserve"> </w:t>
      </w:r>
      <w:r w:rsidRPr="00A54361">
        <w:rPr>
          <w:rFonts w:eastAsia="Times New Roman" w:cstheme="minorHAnsi"/>
        </w:rPr>
        <w:t>the</w:t>
      </w:r>
      <w:r w:rsidRPr="00A54361">
        <w:rPr>
          <w:rFonts w:eastAsia="Times New Roman" w:cstheme="minorHAnsi"/>
          <w:spacing w:val="5"/>
        </w:rPr>
        <w:t xml:space="preserve"> </w:t>
      </w:r>
      <w:r w:rsidRPr="00A54361">
        <w:rPr>
          <w:rFonts w:eastAsia="Times New Roman" w:cstheme="minorHAnsi"/>
        </w:rPr>
        <w:t>Corpo</w:t>
      </w:r>
      <w:r w:rsidRPr="00A54361">
        <w:rPr>
          <w:rFonts w:eastAsia="Times New Roman" w:cstheme="minorHAnsi"/>
          <w:spacing w:val="1"/>
        </w:rPr>
        <w:t>r</w:t>
      </w:r>
      <w:r w:rsidRPr="00A54361">
        <w:rPr>
          <w:rFonts w:eastAsia="Times New Roman" w:cstheme="minorHAnsi"/>
          <w:spacing w:val="-1"/>
        </w:rPr>
        <w:t>a</w:t>
      </w:r>
      <w:r w:rsidRPr="00A54361">
        <w:rPr>
          <w:rFonts w:eastAsia="Times New Roman" w:cstheme="minorHAnsi"/>
        </w:rPr>
        <w:t>te</w:t>
      </w:r>
      <w:r w:rsidRPr="00A54361">
        <w:rPr>
          <w:rFonts w:eastAsia="Times New Roman" w:cstheme="minorHAnsi"/>
          <w:spacing w:val="5"/>
        </w:rPr>
        <w:t xml:space="preserve"> </w:t>
      </w:r>
      <w:r w:rsidRPr="00A54361">
        <w:rPr>
          <w:rFonts w:eastAsia="Times New Roman" w:cstheme="minorHAnsi"/>
          <w:spacing w:val="2"/>
        </w:rPr>
        <w:t>O</w:t>
      </w:r>
      <w:r w:rsidRPr="00A54361">
        <w:rPr>
          <w:rFonts w:eastAsia="Times New Roman" w:cstheme="minorHAnsi"/>
        </w:rPr>
        <w:t>f</w:t>
      </w:r>
      <w:r w:rsidRPr="00A54361">
        <w:rPr>
          <w:rFonts w:eastAsia="Times New Roman" w:cstheme="minorHAnsi"/>
          <w:spacing w:val="-1"/>
        </w:rPr>
        <w:t>f</w:t>
      </w:r>
      <w:r w:rsidRPr="00A54361">
        <w:rPr>
          <w:rFonts w:eastAsia="Times New Roman" w:cstheme="minorHAnsi"/>
          <w:spacing w:val="3"/>
        </w:rPr>
        <w:t>i</w:t>
      </w:r>
      <w:r w:rsidRPr="00A54361">
        <w:rPr>
          <w:rFonts w:eastAsia="Times New Roman" w:cstheme="minorHAnsi"/>
          <w:spacing w:val="-1"/>
        </w:rPr>
        <w:t>ce</w:t>
      </w:r>
      <w:r w:rsidRPr="00A54361">
        <w:rPr>
          <w:rFonts w:eastAsia="Times New Roman" w:cstheme="minorHAnsi"/>
        </w:rPr>
        <w:t>,</w:t>
      </w:r>
      <w:r w:rsidRPr="00A54361">
        <w:rPr>
          <w:rFonts w:eastAsia="Times New Roman" w:cstheme="minorHAnsi"/>
          <w:spacing w:val="5"/>
        </w:rPr>
        <w:t xml:space="preserve"> </w:t>
      </w:r>
      <w:r w:rsidRPr="00A54361">
        <w:rPr>
          <w:rFonts w:eastAsia="Times New Roman" w:cstheme="minorHAnsi"/>
          <w:spacing w:val="-1"/>
        </w:rPr>
        <w:t>c</w:t>
      </w:r>
      <w:r w:rsidRPr="00A54361">
        <w:rPr>
          <w:rFonts w:eastAsia="Times New Roman" w:cstheme="minorHAnsi"/>
        </w:rPr>
        <w:t>o</w:t>
      </w:r>
      <w:r w:rsidRPr="00A54361">
        <w:rPr>
          <w:rFonts w:eastAsia="Times New Roman" w:cstheme="minorHAnsi"/>
          <w:spacing w:val="5"/>
        </w:rPr>
        <w:t>p</w:t>
      </w:r>
      <w:r w:rsidRPr="00A54361">
        <w:rPr>
          <w:rFonts w:eastAsia="Times New Roman" w:cstheme="minorHAnsi"/>
        </w:rPr>
        <w:t xml:space="preserve">y </w:t>
      </w:r>
      <w:r w:rsidRPr="00A54361">
        <w:rPr>
          <w:rFonts w:eastAsia="Times New Roman" w:cstheme="minorHAnsi"/>
          <w:spacing w:val="2"/>
        </w:rPr>
        <w:t>o</w:t>
      </w:r>
      <w:r w:rsidRPr="00A54361">
        <w:rPr>
          <w:rFonts w:eastAsia="Times New Roman" w:cstheme="minorHAnsi"/>
        </w:rPr>
        <w:t>f</w:t>
      </w:r>
      <w:r w:rsidRPr="00A54361">
        <w:rPr>
          <w:rFonts w:eastAsia="Times New Roman" w:cstheme="minorHAnsi"/>
          <w:spacing w:val="4"/>
        </w:rPr>
        <w:t xml:space="preserve"> </w:t>
      </w:r>
      <w:r w:rsidRPr="00A54361">
        <w:rPr>
          <w:rFonts w:eastAsia="Times New Roman" w:cstheme="minorHAnsi"/>
        </w:rPr>
        <w:t>whi</w:t>
      </w:r>
      <w:r w:rsidRPr="00A54361">
        <w:rPr>
          <w:rFonts w:eastAsia="Times New Roman" w:cstheme="minorHAnsi"/>
          <w:spacing w:val="-1"/>
        </w:rPr>
        <w:t>c</w:t>
      </w:r>
      <w:r w:rsidRPr="00A54361">
        <w:rPr>
          <w:rFonts w:eastAsia="Times New Roman" w:cstheme="minorHAnsi"/>
        </w:rPr>
        <w:t>h</w:t>
      </w:r>
      <w:r w:rsidRPr="00A54361">
        <w:rPr>
          <w:rFonts w:eastAsia="Times New Roman" w:cstheme="minorHAnsi"/>
          <w:spacing w:val="7"/>
        </w:rPr>
        <w:t xml:space="preserve"> </w:t>
      </w:r>
      <w:r w:rsidRPr="00A54361">
        <w:rPr>
          <w:rFonts w:eastAsia="Times New Roman" w:cstheme="minorHAnsi"/>
        </w:rPr>
        <w:t>m</w:t>
      </w:r>
      <w:r w:rsidRPr="00A54361">
        <w:rPr>
          <w:rFonts w:eastAsia="Times New Roman" w:cstheme="minorHAnsi"/>
          <w:spacing w:val="4"/>
        </w:rPr>
        <w:t>a</w:t>
      </w:r>
      <w:r w:rsidRPr="00A54361">
        <w:rPr>
          <w:rFonts w:eastAsia="Times New Roman" w:cstheme="minorHAnsi"/>
        </w:rPr>
        <w:t>y</w:t>
      </w:r>
      <w:r w:rsidRPr="00A54361">
        <w:rPr>
          <w:rFonts w:eastAsia="Times New Roman" w:cstheme="minorHAnsi"/>
          <w:spacing w:val="3"/>
        </w:rPr>
        <w:t xml:space="preserve"> </w:t>
      </w:r>
      <w:r w:rsidRPr="00A54361">
        <w:rPr>
          <w:rFonts w:eastAsia="Times New Roman" w:cstheme="minorHAnsi"/>
        </w:rPr>
        <w:t>be</w:t>
      </w:r>
      <w:r w:rsidRPr="00A54361">
        <w:rPr>
          <w:rFonts w:eastAsia="Times New Roman" w:cstheme="minorHAnsi"/>
          <w:spacing w:val="4"/>
        </w:rPr>
        <w:t xml:space="preserve"> </w:t>
      </w:r>
      <w:r w:rsidRPr="00A54361">
        <w:rPr>
          <w:rFonts w:eastAsia="Times New Roman" w:cstheme="minorHAnsi"/>
          <w:spacing w:val="-1"/>
        </w:rPr>
        <w:t>e</w:t>
      </w:r>
      <w:r w:rsidRPr="00A54361">
        <w:rPr>
          <w:rFonts w:eastAsia="Times New Roman" w:cstheme="minorHAnsi"/>
        </w:rPr>
        <w:t>ndor</w:t>
      </w:r>
      <w:r w:rsidRPr="00A54361">
        <w:rPr>
          <w:rFonts w:eastAsia="Times New Roman" w:cstheme="minorHAnsi"/>
          <w:spacing w:val="2"/>
        </w:rPr>
        <w:t>s</w:t>
      </w:r>
      <w:r w:rsidRPr="00A54361">
        <w:rPr>
          <w:rFonts w:eastAsia="Times New Roman" w:cstheme="minorHAnsi"/>
          <w:spacing w:val="-1"/>
        </w:rPr>
        <w:t>e</w:t>
      </w:r>
      <w:r w:rsidRPr="00A54361">
        <w:rPr>
          <w:rFonts w:eastAsia="Times New Roman" w:cstheme="minorHAnsi"/>
        </w:rPr>
        <w:t>d</w:t>
      </w:r>
      <w:r w:rsidRPr="00A54361">
        <w:rPr>
          <w:rFonts w:eastAsia="Times New Roman" w:cstheme="minorHAnsi"/>
          <w:spacing w:val="5"/>
        </w:rPr>
        <w:t xml:space="preserve"> </w:t>
      </w:r>
      <w:r w:rsidRPr="00A54361">
        <w:rPr>
          <w:rFonts w:eastAsia="Times New Roman" w:cstheme="minorHAnsi"/>
        </w:rPr>
        <w:t>to</w:t>
      </w:r>
      <w:r w:rsidRPr="00A54361">
        <w:rPr>
          <w:rFonts w:eastAsia="Times New Roman" w:cstheme="minorHAnsi"/>
          <w:spacing w:val="6"/>
        </w:rPr>
        <w:t xml:space="preserve"> </w:t>
      </w:r>
      <w:r w:rsidRPr="00A54361">
        <w:rPr>
          <w:rFonts w:eastAsia="Times New Roman" w:cstheme="minorHAnsi"/>
        </w:rPr>
        <w:t>the Ag</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4"/>
        </w:rPr>
        <w:t>c</w:t>
      </w:r>
      <w:r w:rsidRPr="00A54361">
        <w:rPr>
          <w:rFonts w:eastAsia="Times New Roman" w:cstheme="minorHAnsi"/>
        </w:rPr>
        <w:t xml:space="preserve">y </w:t>
      </w:r>
      <w:r w:rsidRPr="00A54361">
        <w:rPr>
          <w:rFonts w:eastAsia="Times New Roman" w:cstheme="minorHAnsi"/>
          <w:spacing w:val="-1"/>
        </w:rPr>
        <w:t>c</w:t>
      </w:r>
      <w:r w:rsidRPr="00A54361">
        <w:rPr>
          <w:rFonts w:eastAsia="Times New Roman" w:cstheme="minorHAnsi"/>
        </w:rPr>
        <w:t>on</w:t>
      </w:r>
      <w:r w:rsidRPr="00A54361">
        <w:rPr>
          <w:rFonts w:eastAsia="Times New Roman" w:cstheme="minorHAnsi"/>
          <w:spacing w:val="1"/>
        </w:rPr>
        <w:t>c</w:t>
      </w:r>
      <w:r w:rsidRPr="00A54361">
        <w:rPr>
          <w:rFonts w:eastAsia="Times New Roman" w:cstheme="minorHAnsi"/>
          <w:spacing w:val="-1"/>
        </w:rPr>
        <w:t>e</w:t>
      </w:r>
      <w:r w:rsidRPr="00A54361">
        <w:rPr>
          <w:rFonts w:eastAsia="Times New Roman" w:cstheme="minorHAnsi"/>
        </w:rPr>
        <w:t>rn</w:t>
      </w:r>
      <w:r w:rsidRPr="00A54361">
        <w:rPr>
          <w:rFonts w:eastAsia="Times New Roman" w:cstheme="minorHAnsi"/>
          <w:spacing w:val="-2"/>
        </w:rPr>
        <w:t>e</w:t>
      </w:r>
      <w:r w:rsidRPr="00A54361">
        <w:rPr>
          <w:rFonts w:eastAsia="Times New Roman" w:cstheme="minorHAnsi"/>
        </w:rPr>
        <w:t>d.</w:t>
      </w:r>
      <w:r w:rsidRPr="00A54361">
        <w:rPr>
          <w:rFonts w:eastAsia="Times New Roman" w:cstheme="minorHAnsi"/>
          <w:spacing w:val="5"/>
        </w:rPr>
        <w:t xml:space="preserve"> </w:t>
      </w:r>
      <w:r w:rsidRPr="00A54361">
        <w:rPr>
          <w:rFonts w:eastAsia="Times New Roman" w:cstheme="minorHAnsi"/>
          <w:spacing w:val="1"/>
        </w:rPr>
        <w:t>S</w:t>
      </w:r>
      <w:r w:rsidRPr="00A54361">
        <w:rPr>
          <w:rFonts w:eastAsia="Times New Roman" w:cstheme="minorHAnsi"/>
        </w:rPr>
        <w:t>u</w:t>
      </w:r>
      <w:r w:rsidRPr="00A54361">
        <w:rPr>
          <w:rFonts w:eastAsia="Times New Roman" w:cstheme="minorHAnsi"/>
          <w:spacing w:val="-1"/>
        </w:rPr>
        <w:t>c</w:t>
      </w:r>
      <w:r w:rsidRPr="00A54361">
        <w:rPr>
          <w:rFonts w:eastAsia="Times New Roman" w:cstheme="minorHAnsi"/>
        </w:rPr>
        <w:t>h</w:t>
      </w:r>
      <w:r w:rsidRPr="00A54361">
        <w:rPr>
          <w:rFonts w:eastAsia="Times New Roman" w:cstheme="minorHAnsi"/>
          <w:spacing w:val="5"/>
        </w:rPr>
        <w:t xml:space="preserve"> </w:t>
      </w:r>
      <w:r w:rsidRPr="00A54361">
        <w:rPr>
          <w:rFonts w:eastAsia="Times New Roman" w:cstheme="minorHAnsi"/>
          <w:spacing w:val="-1"/>
        </w:rPr>
        <w:t>a</w:t>
      </w:r>
      <w:r w:rsidRPr="00A54361">
        <w:rPr>
          <w:rFonts w:eastAsia="Times New Roman" w:cstheme="minorHAnsi"/>
        </w:rPr>
        <w:t>n</w:t>
      </w:r>
      <w:r w:rsidRPr="00A54361">
        <w:rPr>
          <w:rFonts w:eastAsia="Times New Roman" w:cstheme="minorHAnsi"/>
          <w:spacing w:val="3"/>
        </w:rPr>
        <w:t xml:space="preserve"> </w:t>
      </w:r>
      <w:r w:rsidRPr="00A54361">
        <w:rPr>
          <w:rFonts w:eastAsia="Times New Roman" w:cstheme="minorHAnsi"/>
          <w:spacing w:val="2"/>
        </w:rPr>
        <w:t>o</w:t>
      </w:r>
      <w:r w:rsidRPr="00A54361">
        <w:rPr>
          <w:rFonts w:eastAsia="Times New Roman" w:cstheme="minorHAnsi"/>
        </w:rPr>
        <w:t>rd</w:t>
      </w:r>
      <w:r w:rsidRPr="00A54361">
        <w:rPr>
          <w:rFonts w:eastAsia="Times New Roman" w:cstheme="minorHAnsi"/>
          <w:spacing w:val="-2"/>
        </w:rPr>
        <w:t>e</w:t>
      </w:r>
      <w:r w:rsidRPr="00A54361">
        <w:rPr>
          <w:rFonts w:eastAsia="Times New Roman" w:cstheme="minorHAnsi"/>
        </w:rPr>
        <w:t>r</w:t>
      </w:r>
      <w:r w:rsidRPr="00A54361">
        <w:rPr>
          <w:rFonts w:eastAsia="Times New Roman" w:cstheme="minorHAnsi"/>
          <w:spacing w:val="4"/>
        </w:rPr>
        <w:t xml:space="preserve"> </w:t>
      </w:r>
      <w:r w:rsidRPr="00A54361">
        <w:rPr>
          <w:rFonts w:eastAsia="Times New Roman" w:cstheme="minorHAnsi"/>
        </w:rPr>
        <w:t>would</w:t>
      </w:r>
      <w:r w:rsidRPr="00A54361">
        <w:rPr>
          <w:rFonts w:eastAsia="Times New Roman" w:cstheme="minorHAnsi"/>
          <w:spacing w:val="3"/>
        </w:rPr>
        <w:t xml:space="preserve"> </w:t>
      </w:r>
      <w:r w:rsidRPr="00A54361">
        <w:rPr>
          <w:rFonts w:eastAsia="Times New Roman" w:cstheme="minorHAnsi"/>
        </w:rPr>
        <w:t>o</w:t>
      </w:r>
      <w:r w:rsidRPr="00A54361">
        <w:rPr>
          <w:rFonts w:eastAsia="Times New Roman" w:cstheme="minorHAnsi"/>
          <w:spacing w:val="2"/>
        </w:rPr>
        <w:t>p</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2"/>
        </w:rPr>
        <w:t>a</w:t>
      </w:r>
      <w:r w:rsidRPr="00A54361">
        <w:rPr>
          <w:rFonts w:eastAsia="Times New Roman" w:cstheme="minorHAnsi"/>
          <w:spacing w:val="3"/>
        </w:rPr>
        <w:t>t</w:t>
      </w:r>
      <w:r w:rsidRPr="00A54361">
        <w:rPr>
          <w:rFonts w:eastAsia="Times New Roman" w:cstheme="minorHAnsi"/>
        </w:rPr>
        <w:t>e</w:t>
      </w:r>
      <w:r w:rsidRPr="00A54361">
        <w:rPr>
          <w:rFonts w:eastAsia="Times New Roman" w:cstheme="minorHAnsi"/>
          <w:spacing w:val="4"/>
        </w:rPr>
        <w:t xml:space="preserve"> </w:t>
      </w:r>
      <w:r w:rsidRPr="00A54361">
        <w:rPr>
          <w:rFonts w:eastAsia="Times New Roman" w:cstheme="minorHAnsi"/>
        </w:rPr>
        <w:t>for</w:t>
      </w:r>
      <w:r w:rsidRPr="00A54361">
        <w:rPr>
          <w:rFonts w:eastAsia="Times New Roman" w:cstheme="minorHAnsi"/>
          <w:spacing w:val="1"/>
        </w:rPr>
        <w:t xml:space="preserve"> </w:t>
      </w:r>
      <w:r w:rsidRPr="00A54361">
        <w:rPr>
          <w:rFonts w:eastAsia="Times New Roman" w:cstheme="minorHAnsi"/>
        </w:rPr>
        <w:t>a</w:t>
      </w:r>
      <w:r w:rsidRPr="00A54361">
        <w:rPr>
          <w:rFonts w:eastAsia="Times New Roman" w:cstheme="minorHAnsi"/>
          <w:spacing w:val="4"/>
        </w:rPr>
        <w:t xml:space="preserve"> </w:t>
      </w:r>
      <w:r w:rsidRPr="00A54361">
        <w:rPr>
          <w:rFonts w:eastAsia="Times New Roman" w:cstheme="minorHAnsi"/>
        </w:rPr>
        <w:t>p</w:t>
      </w:r>
      <w:r w:rsidRPr="00A54361">
        <w:rPr>
          <w:rFonts w:eastAsia="Times New Roman" w:cstheme="minorHAnsi"/>
          <w:spacing w:val="1"/>
        </w:rPr>
        <w:t>e</w:t>
      </w:r>
      <w:r w:rsidRPr="00A54361">
        <w:rPr>
          <w:rFonts w:eastAsia="Times New Roman" w:cstheme="minorHAnsi"/>
        </w:rPr>
        <w:t>riod</w:t>
      </w:r>
      <w:r w:rsidRPr="00A54361">
        <w:rPr>
          <w:rFonts w:eastAsia="Times New Roman" w:cstheme="minorHAnsi"/>
          <w:spacing w:val="3"/>
        </w:rPr>
        <w:t xml:space="preserve"> </w:t>
      </w:r>
      <w:r w:rsidRPr="00A54361">
        <w:rPr>
          <w:rFonts w:eastAsia="Times New Roman" w:cstheme="minorHAnsi"/>
        </w:rPr>
        <w:t>of</w:t>
      </w:r>
      <w:r w:rsidRPr="00A54361">
        <w:rPr>
          <w:rFonts w:eastAsia="Times New Roman" w:cstheme="minorHAnsi"/>
          <w:spacing w:val="4"/>
        </w:rPr>
        <w:t xml:space="preserve"> </w:t>
      </w:r>
      <w:r w:rsidRPr="00A54361">
        <w:rPr>
          <w:rFonts w:eastAsia="Times New Roman" w:cstheme="minorHAnsi"/>
        </w:rPr>
        <w:t>six</w:t>
      </w:r>
      <w:r w:rsidRPr="00A54361">
        <w:rPr>
          <w:rFonts w:eastAsia="Times New Roman" w:cstheme="minorHAnsi"/>
          <w:spacing w:val="6"/>
        </w:rPr>
        <w:t xml:space="preserve"> </w:t>
      </w:r>
      <w:r w:rsidRPr="00A54361">
        <w:rPr>
          <w:rFonts w:eastAsia="Times New Roman" w:cstheme="minorHAnsi"/>
        </w:rPr>
        <w:t>mon</w:t>
      </w:r>
      <w:r w:rsidRPr="00A54361">
        <w:rPr>
          <w:rFonts w:eastAsia="Times New Roman" w:cstheme="minorHAnsi"/>
          <w:spacing w:val="-1"/>
        </w:rPr>
        <w:t>t</w:t>
      </w:r>
      <w:r w:rsidRPr="00A54361">
        <w:rPr>
          <w:rFonts w:eastAsia="Times New Roman" w:cstheme="minorHAnsi"/>
        </w:rPr>
        <w:t>hs</w:t>
      </w:r>
      <w:r w:rsidRPr="00A54361">
        <w:rPr>
          <w:rFonts w:eastAsia="Times New Roman" w:cstheme="minorHAnsi"/>
          <w:spacing w:val="3"/>
        </w:rPr>
        <w:t xml:space="preserve"> </w:t>
      </w:r>
      <w:r w:rsidRPr="00A54361">
        <w:rPr>
          <w:rFonts w:eastAsia="Times New Roman" w:cstheme="minorHAnsi"/>
        </w:rPr>
        <w:t>f</w:t>
      </w:r>
      <w:r w:rsidRPr="00A54361">
        <w:rPr>
          <w:rFonts w:eastAsia="Times New Roman" w:cstheme="minorHAnsi"/>
          <w:spacing w:val="-1"/>
        </w:rPr>
        <w:t>r</w:t>
      </w:r>
      <w:r w:rsidRPr="00A54361">
        <w:rPr>
          <w:rFonts w:eastAsia="Times New Roman" w:cstheme="minorHAnsi"/>
        </w:rPr>
        <w:t>om</w:t>
      </w:r>
      <w:r w:rsidRPr="00A54361">
        <w:rPr>
          <w:rFonts w:eastAsia="Times New Roman" w:cstheme="minorHAnsi"/>
          <w:spacing w:val="3"/>
        </w:rPr>
        <w:t xml:space="preserve"> </w:t>
      </w:r>
      <w:r w:rsidRPr="00A54361">
        <w:rPr>
          <w:rFonts w:eastAsia="Times New Roman" w:cstheme="minorHAnsi"/>
        </w:rPr>
        <w:t>the</w:t>
      </w:r>
      <w:r w:rsidRPr="00A54361">
        <w:rPr>
          <w:rFonts w:eastAsia="Times New Roman" w:cstheme="minorHAnsi"/>
          <w:spacing w:val="4"/>
        </w:rPr>
        <w:t xml:space="preserve"> </w:t>
      </w:r>
      <w:r w:rsidRPr="00A54361">
        <w:rPr>
          <w:rFonts w:eastAsia="Times New Roman" w:cstheme="minorHAnsi"/>
        </w:rPr>
        <w:t>d</w:t>
      </w:r>
      <w:r w:rsidRPr="00A54361">
        <w:rPr>
          <w:rFonts w:eastAsia="Times New Roman" w:cstheme="minorHAnsi"/>
          <w:spacing w:val="-1"/>
        </w:rPr>
        <w:t>a</w:t>
      </w:r>
      <w:r w:rsidRPr="00A54361">
        <w:rPr>
          <w:rFonts w:eastAsia="Times New Roman" w:cstheme="minorHAnsi"/>
        </w:rPr>
        <w:t>te</w:t>
      </w:r>
      <w:r w:rsidRPr="00A54361">
        <w:rPr>
          <w:rFonts w:eastAsia="Times New Roman" w:cstheme="minorHAnsi"/>
          <w:spacing w:val="4"/>
        </w:rPr>
        <w:t xml:space="preserve"> </w:t>
      </w:r>
      <w:r w:rsidRPr="00A54361">
        <w:rPr>
          <w:rFonts w:eastAsia="Times New Roman" w:cstheme="minorHAnsi"/>
        </w:rPr>
        <w:t>of is</w:t>
      </w:r>
      <w:r w:rsidRPr="00A54361">
        <w:rPr>
          <w:rFonts w:eastAsia="Times New Roman" w:cstheme="minorHAnsi"/>
          <w:spacing w:val="1"/>
        </w:rPr>
        <w:t>s</w:t>
      </w:r>
      <w:r w:rsidRPr="00A54361">
        <w:rPr>
          <w:rFonts w:eastAsia="Times New Roman" w:cstheme="minorHAnsi"/>
        </w:rPr>
        <w:t>u</w:t>
      </w:r>
      <w:r w:rsidRPr="00A54361">
        <w:rPr>
          <w:rFonts w:eastAsia="Times New Roman" w:cstheme="minorHAnsi"/>
          <w:spacing w:val="-1"/>
        </w:rPr>
        <w:t>e</w:t>
      </w:r>
      <w:r w:rsidRPr="00A54361">
        <w:rPr>
          <w:rFonts w:eastAsia="Times New Roman" w:cstheme="minorHAnsi"/>
        </w:rPr>
        <w:t>.</w:t>
      </w:r>
    </w:p>
    <w:p w14:paraId="06087537" w14:textId="77777777" w:rsidR="0054549F" w:rsidRPr="00A54361" w:rsidRDefault="0054549F" w:rsidP="00A54361">
      <w:pPr>
        <w:ind w:left="100" w:right="84"/>
        <w:jc w:val="both"/>
        <w:rPr>
          <w:rFonts w:cstheme="minorHAnsi"/>
        </w:rPr>
      </w:pPr>
      <w:r w:rsidRPr="00A54361">
        <w:rPr>
          <w:rFonts w:eastAsia="Times New Roman" w:cstheme="minorHAnsi"/>
        </w:rPr>
        <w:t>5.5</w:t>
      </w:r>
      <w:r w:rsidRPr="00A54361">
        <w:rPr>
          <w:rFonts w:eastAsia="Times New Roman" w:cstheme="minorHAnsi"/>
          <w:spacing w:val="1"/>
        </w:rPr>
        <w:t xml:space="preserve"> </w:t>
      </w:r>
      <w:r w:rsidRPr="00A54361">
        <w:rPr>
          <w:rFonts w:eastAsia="Times New Roman" w:cstheme="minorHAnsi"/>
          <w:spacing w:val="-1"/>
        </w:rPr>
        <w:t>F</w:t>
      </w:r>
      <w:r w:rsidRPr="00A54361">
        <w:rPr>
          <w:rFonts w:eastAsia="Times New Roman" w:cstheme="minorHAnsi"/>
        </w:rPr>
        <w:t>or sus</w:t>
      </w:r>
      <w:r w:rsidRPr="00A54361">
        <w:rPr>
          <w:rFonts w:eastAsia="Times New Roman" w:cstheme="minorHAnsi"/>
          <w:spacing w:val="3"/>
        </w:rPr>
        <w:t>p</w:t>
      </w:r>
      <w:r w:rsidRPr="00A54361">
        <w:rPr>
          <w:rFonts w:eastAsia="Times New Roman" w:cstheme="minorHAnsi"/>
          <w:spacing w:val="-1"/>
        </w:rPr>
        <w:t>e</w:t>
      </w:r>
      <w:r w:rsidRPr="00A54361">
        <w:rPr>
          <w:rFonts w:eastAsia="Times New Roman" w:cstheme="minorHAnsi"/>
        </w:rPr>
        <w:t>nsion</w:t>
      </w:r>
      <w:r w:rsidRPr="00A54361">
        <w:rPr>
          <w:rFonts w:eastAsia="Times New Roman" w:cstheme="minorHAnsi"/>
          <w:spacing w:val="1"/>
        </w:rPr>
        <w:t xml:space="preserve"> </w:t>
      </w:r>
      <w:r w:rsidRPr="00A54361">
        <w:rPr>
          <w:rFonts w:eastAsia="Times New Roman" w:cstheme="minorHAnsi"/>
        </w:rPr>
        <w:t>of b</w:t>
      </w:r>
      <w:r w:rsidRPr="00A54361">
        <w:rPr>
          <w:rFonts w:eastAsia="Times New Roman" w:cstheme="minorHAnsi"/>
          <w:spacing w:val="2"/>
        </w:rPr>
        <w:t>u</w:t>
      </w:r>
      <w:r w:rsidRPr="00A54361">
        <w:rPr>
          <w:rFonts w:eastAsia="Times New Roman" w:cstheme="minorHAnsi"/>
        </w:rPr>
        <w:t>siness</w:t>
      </w:r>
      <w:r w:rsidRPr="00A54361">
        <w:rPr>
          <w:rFonts w:eastAsia="Times New Roman" w:cstheme="minorHAnsi"/>
          <w:spacing w:val="1"/>
        </w:rPr>
        <w:t xml:space="preserve"> </w:t>
      </w:r>
      <w:r w:rsidRPr="00A54361">
        <w:rPr>
          <w:rFonts w:eastAsia="Times New Roman" w:cstheme="minorHAnsi"/>
        </w:rPr>
        <w:t>d</w:t>
      </w:r>
      <w:r w:rsidRPr="00A54361">
        <w:rPr>
          <w:rFonts w:eastAsia="Times New Roman" w:cstheme="minorHAnsi"/>
          <w:spacing w:val="-1"/>
        </w:rPr>
        <w:t>ea</w:t>
      </w:r>
      <w:r w:rsidRPr="00A54361">
        <w:rPr>
          <w:rFonts w:eastAsia="Times New Roman" w:cstheme="minorHAnsi"/>
        </w:rPr>
        <w:t>l</w:t>
      </w:r>
      <w:r w:rsidRPr="00A54361">
        <w:rPr>
          <w:rFonts w:eastAsia="Times New Roman" w:cstheme="minorHAnsi"/>
          <w:spacing w:val="1"/>
        </w:rPr>
        <w:t>i</w:t>
      </w:r>
      <w:r w:rsidRPr="00A54361">
        <w:rPr>
          <w:rFonts w:eastAsia="Times New Roman" w:cstheme="minorHAnsi"/>
          <w:spacing w:val="2"/>
        </w:rPr>
        <w:t>n</w:t>
      </w:r>
      <w:r w:rsidRPr="00A54361">
        <w:rPr>
          <w:rFonts w:eastAsia="Times New Roman" w:cstheme="minorHAnsi"/>
          <w:spacing w:val="-2"/>
        </w:rPr>
        <w:t>g</w:t>
      </w:r>
      <w:r w:rsidRPr="00A54361">
        <w:rPr>
          <w:rFonts w:eastAsia="Times New Roman" w:cstheme="minorHAnsi"/>
        </w:rPr>
        <w:t>s</w:t>
      </w:r>
      <w:r w:rsidRPr="00A54361">
        <w:rPr>
          <w:rFonts w:eastAsia="Times New Roman" w:cstheme="minorHAnsi"/>
          <w:spacing w:val="1"/>
        </w:rPr>
        <w:t xml:space="preserve"> </w:t>
      </w:r>
      <w:r w:rsidRPr="00A54361">
        <w:rPr>
          <w:rFonts w:eastAsia="Times New Roman" w:cstheme="minorHAnsi"/>
        </w:rPr>
        <w:t>with</w:t>
      </w:r>
      <w:r w:rsidRPr="00A54361">
        <w:rPr>
          <w:rFonts w:eastAsia="Times New Roman" w:cstheme="minorHAnsi"/>
          <w:spacing w:val="1"/>
        </w:rPr>
        <w:t xml:space="preserve"> </w:t>
      </w:r>
      <w:r w:rsidRPr="00A54361">
        <w:rPr>
          <w:rFonts w:eastAsia="Times New Roman" w:cstheme="minorHAnsi"/>
          <w:spacing w:val="-1"/>
        </w:rPr>
        <w:t>F</w:t>
      </w:r>
      <w:r w:rsidRPr="00A54361">
        <w:rPr>
          <w:rFonts w:eastAsia="Times New Roman" w:cstheme="minorHAnsi"/>
          <w:spacing w:val="2"/>
        </w:rPr>
        <w:t>o</w:t>
      </w:r>
      <w:r w:rsidRPr="00A54361">
        <w:rPr>
          <w:rFonts w:eastAsia="Times New Roman" w:cstheme="minorHAnsi"/>
        </w:rPr>
        <w:t>rei</w:t>
      </w:r>
      <w:r w:rsidRPr="00A54361">
        <w:rPr>
          <w:rFonts w:eastAsia="Times New Roman" w:cstheme="minorHAnsi"/>
          <w:spacing w:val="-2"/>
        </w:rPr>
        <w:t>g</w:t>
      </w:r>
      <w:r w:rsidRPr="00A54361">
        <w:rPr>
          <w:rFonts w:eastAsia="Times New Roman" w:cstheme="minorHAnsi"/>
        </w:rPr>
        <w:t>n</w:t>
      </w:r>
      <w:r w:rsidRPr="00A54361">
        <w:rPr>
          <w:rFonts w:eastAsia="Times New Roman" w:cstheme="minorHAnsi"/>
          <w:spacing w:val="1"/>
        </w:rPr>
        <w:t xml:space="preserve"> S</w:t>
      </w:r>
      <w:r w:rsidRPr="00A54361">
        <w:rPr>
          <w:rFonts w:eastAsia="Times New Roman" w:cstheme="minorHAnsi"/>
        </w:rPr>
        <w:t>uppl</w:t>
      </w:r>
      <w:r w:rsidRPr="00A54361">
        <w:rPr>
          <w:rFonts w:eastAsia="Times New Roman" w:cstheme="minorHAnsi"/>
          <w:spacing w:val="1"/>
        </w:rPr>
        <w:t>i</w:t>
      </w:r>
      <w:r w:rsidRPr="00A54361">
        <w:rPr>
          <w:rFonts w:eastAsia="Times New Roman" w:cstheme="minorHAnsi"/>
          <w:spacing w:val="-1"/>
        </w:rPr>
        <w:t>e</w:t>
      </w:r>
      <w:r w:rsidRPr="00A54361">
        <w:rPr>
          <w:rFonts w:eastAsia="Times New Roman" w:cstheme="minorHAnsi"/>
        </w:rPr>
        <w:t>rs of</w:t>
      </w:r>
      <w:r w:rsidRPr="00A54361">
        <w:rPr>
          <w:rFonts w:eastAsia="Times New Roman" w:cstheme="minorHAnsi"/>
          <w:spacing w:val="2"/>
        </w:rPr>
        <w:t xml:space="preserve"> </w:t>
      </w:r>
      <w:r w:rsidRPr="00A54361">
        <w:rPr>
          <w:rFonts w:eastAsia="Times New Roman" w:cstheme="minorHAnsi"/>
        </w:rPr>
        <w:t>i</w:t>
      </w:r>
      <w:r w:rsidRPr="00A54361">
        <w:rPr>
          <w:rFonts w:eastAsia="Times New Roman" w:cstheme="minorHAnsi"/>
          <w:spacing w:val="1"/>
        </w:rPr>
        <w:t>m</w:t>
      </w:r>
      <w:r w:rsidRPr="00A54361">
        <w:rPr>
          <w:rFonts w:eastAsia="Times New Roman" w:cstheme="minorHAnsi"/>
        </w:rPr>
        <w:t>port</w:t>
      </w:r>
      <w:r w:rsidRPr="00A54361">
        <w:rPr>
          <w:rFonts w:eastAsia="Times New Roman" w:cstheme="minorHAnsi"/>
          <w:spacing w:val="1"/>
        </w:rPr>
        <w:t>e</w:t>
      </w:r>
      <w:r w:rsidRPr="00A54361">
        <w:rPr>
          <w:rFonts w:eastAsia="Times New Roman" w:cstheme="minorHAnsi"/>
        </w:rPr>
        <w:t>d</w:t>
      </w:r>
      <w:r w:rsidRPr="00A54361">
        <w:rPr>
          <w:rFonts w:eastAsia="Times New Roman" w:cstheme="minorHAnsi"/>
          <w:spacing w:val="1"/>
        </w:rPr>
        <w:t xml:space="preserve"> </w:t>
      </w:r>
      <w:r w:rsidRPr="00A54361">
        <w:rPr>
          <w:rFonts w:eastAsia="Times New Roman" w:cstheme="minorHAnsi"/>
          <w:spacing w:val="-2"/>
        </w:rPr>
        <w:t>g</w:t>
      </w:r>
      <w:r w:rsidRPr="00A54361">
        <w:rPr>
          <w:rFonts w:eastAsia="Times New Roman" w:cstheme="minorHAnsi"/>
        </w:rPr>
        <w:t>oods,</w:t>
      </w:r>
      <w:r w:rsidRPr="00A54361">
        <w:rPr>
          <w:rFonts w:eastAsia="Times New Roman" w:cstheme="minorHAnsi"/>
          <w:spacing w:val="4"/>
        </w:rPr>
        <w:t xml:space="preserve"> </w:t>
      </w:r>
      <w:r w:rsidRPr="00A54361">
        <w:rPr>
          <w:rFonts w:eastAsia="Times New Roman" w:cstheme="minorHAnsi"/>
        </w:rPr>
        <w:t>following sh</w:t>
      </w:r>
      <w:r w:rsidRPr="00A54361">
        <w:rPr>
          <w:rFonts w:eastAsia="Times New Roman" w:cstheme="minorHAnsi"/>
          <w:spacing w:val="-1"/>
        </w:rPr>
        <w:t>a</w:t>
      </w:r>
      <w:r w:rsidRPr="00A54361">
        <w:rPr>
          <w:rFonts w:eastAsia="Times New Roman" w:cstheme="minorHAnsi"/>
        </w:rPr>
        <w:t>ll</w:t>
      </w:r>
      <w:r w:rsidRPr="00A54361">
        <w:rPr>
          <w:rFonts w:eastAsia="Times New Roman" w:cstheme="minorHAnsi"/>
          <w:spacing w:val="1"/>
        </w:rPr>
        <w:t xml:space="preserve"> </w:t>
      </w:r>
      <w:r w:rsidRPr="00A54361">
        <w:rPr>
          <w:rFonts w:eastAsia="Times New Roman" w:cstheme="minorHAnsi"/>
        </w:rPr>
        <w:t>be</w:t>
      </w:r>
      <w:r w:rsidRPr="00A54361">
        <w:rPr>
          <w:rFonts w:eastAsia="Times New Roman" w:cstheme="minorHAnsi"/>
          <w:spacing w:val="-1"/>
        </w:rPr>
        <w:t xml:space="preserve"> </w:t>
      </w:r>
      <w:r w:rsidRPr="00A54361">
        <w:rPr>
          <w:rFonts w:eastAsia="Times New Roman" w:cstheme="minorHAnsi"/>
        </w:rPr>
        <w:t>the proc</w:t>
      </w:r>
      <w:r w:rsidRPr="00A54361">
        <w:rPr>
          <w:rFonts w:eastAsia="Times New Roman" w:cstheme="minorHAnsi"/>
          <w:spacing w:val="-1"/>
        </w:rPr>
        <w:t>e</w:t>
      </w:r>
      <w:r w:rsidRPr="00A54361">
        <w:rPr>
          <w:rFonts w:eastAsia="Times New Roman" w:cstheme="minorHAnsi"/>
        </w:rPr>
        <w:t>dur</w:t>
      </w:r>
      <w:r w:rsidRPr="00A54361">
        <w:rPr>
          <w:rFonts w:eastAsia="Times New Roman" w:cstheme="minorHAnsi"/>
          <w:spacing w:val="-2"/>
        </w:rPr>
        <w:t>e</w:t>
      </w:r>
      <w:r w:rsidRPr="00A54361">
        <w:rPr>
          <w:rFonts w:eastAsia="Times New Roman" w:cstheme="minorHAnsi"/>
          <w:spacing w:val="1"/>
        </w:rPr>
        <w:t>:</w:t>
      </w:r>
      <w:r w:rsidRPr="00A54361">
        <w:rPr>
          <w:rFonts w:eastAsia="Times New Roman" w:cstheme="minorHAnsi"/>
        </w:rPr>
        <w:t>-</w:t>
      </w:r>
    </w:p>
    <w:p w14:paraId="0D8570BC" w14:textId="1759A82C" w:rsidR="0054549F" w:rsidRPr="00A54361" w:rsidRDefault="0054549F" w:rsidP="00A54361">
      <w:pPr>
        <w:spacing w:line="260" w:lineRule="exact"/>
        <w:ind w:left="100" w:right="74"/>
        <w:jc w:val="both"/>
        <w:rPr>
          <w:rFonts w:cstheme="minorHAnsi"/>
        </w:rPr>
      </w:pPr>
      <w:r w:rsidRPr="00A54361">
        <w:rPr>
          <w:rFonts w:eastAsia="Times New Roman" w:cstheme="minorHAnsi"/>
        </w:rPr>
        <w:t>i) Susp</w:t>
      </w:r>
      <w:r w:rsidRPr="00A54361">
        <w:rPr>
          <w:rFonts w:eastAsia="Times New Roman" w:cstheme="minorHAnsi"/>
          <w:spacing w:val="-1"/>
        </w:rPr>
        <w:t>e</w:t>
      </w:r>
      <w:r w:rsidRPr="00A54361">
        <w:rPr>
          <w:rFonts w:eastAsia="Times New Roman" w:cstheme="minorHAnsi"/>
        </w:rPr>
        <w:t>nsion of the</w:t>
      </w:r>
      <w:r w:rsidRPr="00A54361">
        <w:rPr>
          <w:rFonts w:eastAsia="Times New Roman" w:cstheme="minorHAnsi"/>
          <w:spacing w:val="-1"/>
        </w:rPr>
        <w:t xml:space="preserve"> </w:t>
      </w:r>
      <w:r w:rsidRPr="00A54361">
        <w:rPr>
          <w:rFonts w:eastAsia="Times New Roman" w:cstheme="minorHAnsi"/>
        </w:rPr>
        <w:t>fo</w:t>
      </w:r>
      <w:r w:rsidRPr="00A54361">
        <w:rPr>
          <w:rFonts w:eastAsia="Times New Roman" w:cstheme="minorHAnsi"/>
          <w:spacing w:val="-1"/>
        </w:rPr>
        <w:t>re</w:t>
      </w:r>
      <w:r w:rsidRPr="00A54361">
        <w:rPr>
          <w:rFonts w:eastAsia="Times New Roman" w:cstheme="minorHAnsi"/>
          <w:spacing w:val="3"/>
        </w:rPr>
        <w:t>i</w:t>
      </w:r>
      <w:r w:rsidRPr="00A54361">
        <w:rPr>
          <w:rFonts w:eastAsia="Times New Roman" w:cstheme="minorHAnsi"/>
          <w:spacing w:val="-2"/>
        </w:rPr>
        <w:t>g</w:t>
      </w:r>
      <w:r w:rsidRPr="00A54361">
        <w:rPr>
          <w:rFonts w:eastAsia="Times New Roman" w:cstheme="minorHAnsi"/>
        </w:rPr>
        <w:t>n supplie</w:t>
      </w:r>
      <w:r w:rsidRPr="00A54361">
        <w:rPr>
          <w:rFonts w:eastAsia="Times New Roman" w:cstheme="minorHAnsi"/>
          <w:spacing w:val="-1"/>
        </w:rPr>
        <w:t>r</w:t>
      </w:r>
      <w:r w:rsidRPr="00A54361">
        <w:rPr>
          <w:rFonts w:eastAsia="Times New Roman" w:cstheme="minorHAnsi"/>
        </w:rPr>
        <w:t>s shall app</w:t>
      </w:r>
      <w:r w:rsidRPr="00A54361">
        <w:rPr>
          <w:rFonts w:eastAsia="Times New Roman" w:cstheme="minorHAnsi"/>
          <w:spacing w:val="5"/>
        </w:rPr>
        <w:t>l</w:t>
      </w:r>
      <w:r w:rsidRPr="00A54361">
        <w:rPr>
          <w:rFonts w:eastAsia="Times New Roman" w:cstheme="minorHAnsi"/>
        </w:rPr>
        <w:t>y</w:t>
      </w:r>
      <w:r w:rsidRPr="00A54361">
        <w:rPr>
          <w:rFonts w:eastAsia="Times New Roman" w:cstheme="minorHAnsi"/>
          <w:spacing w:val="-5"/>
        </w:rPr>
        <w:t xml:space="preserve"> </w:t>
      </w:r>
      <w:r w:rsidRPr="00A54361">
        <w:rPr>
          <w:rFonts w:eastAsia="Times New Roman" w:cstheme="minorHAnsi"/>
          <w:spacing w:val="3"/>
        </w:rPr>
        <w:t>t</w:t>
      </w:r>
      <w:r w:rsidRPr="00A54361">
        <w:rPr>
          <w:rFonts w:eastAsia="Times New Roman" w:cstheme="minorHAnsi"/>
        </w:rPr>
        <w:t>hrou</w:t>
      </w:r>
      <w:r w:rsidRPr="00A54361">
        <w:rPr>
          <w:rFonts w:eastAsia="Times New Roman" w:cstheme="minorHAnsi"/>
          <w:spacing w:val="-3"/>
        </w:rPr>
        <w:t>g</w:t>
      </w:r>
      <w:r w:rsidRPr="00A54361">
        <w:rPr>
          <w:rFonts w:eastAsia="Times New Roman" w:cstheme="minorHAnsi"/>
        </w:rPr>
        <w:t xml:space="preserve">hout </w:t>
      </w:r>
      <w:r w:rsidRPr="00A54361">
        <w:rPr>
          <w:rFonts w:eastAsia="Times New Roman" w:cstheme="minorHAnsi"/>
          <w:spacing w:val="1"/>
        </w:rPr>
        <w:t>t</w:t>
      </w:r>
      <w:r w:rsidRPr="00A54361">
        <w:rPr>
          <w:rFonts w:eastAsia="Times New Roman" w:cstheme="minorHAnsi"/>
        </w:rPr>
        <w:t>he</w:t>
      </w:r>
      <w:r w:rsidRPr="00A54361">
        <w:rPr>
          <w:rFonts w:eastAsia="Times New Roman" w:cstheme="minorHAnsi"/>
          <w:spacing w:val="1"/>
        </w:rPr>
        <w:t xml:space="preserve"> </w:t>
      </w:r>
      <w:r w:rsidRPr="00A54361">
        <w:rPr>
          <w:rFonts w:eastAsia="Times New Roman" w:cstheme="minorHAnsi"/>
          <w:spacing w:val="-2"/>
        </w:rPr>
        <w:t>B</w:t>
      </w:r>
      <w:r w:rsidRPr="00A54361">
        <w:rPr>
          <w:rFonts w:eastAsia="Times New Roman" w:cstheme="minorHAnsi"/>
          <w:spacing w:val="-1"/>
        </w:rPr>
        <w:t>a</w:t>
      </w:r>
      <w:r w:rsidRPr="00A54361">
        <w:rPr>
          <w:rFonts w:eastAsia="Times New Roman" w:cstheme="minorHAnsi"/>
        </w:rPr>
        <w:t>nk i</w:t>
      </w:r>
      <w:r w:rsidRPr="00A54361">
        <w:rPr>
          <w:rFonts w:eastAsia="Times New Roman" w:cstheme="minorHAnsi"/>
          <w:spacing w:val="3"/>
        </w:rPr>
        <w:t>n</w:t>
      </w:r>
      <w:r w:rsidRPr="00A54361">
        <w:rPr>
          <w:rFonts w:eastAsia="Times New Roman" w:cstheme="minorHAnsi"/>
          <w:spacing w:val="-1"/>
        </w:rPr>
        <w:t>c</w:t>
      </w:r>
      <w:r w:rsidRPr="00A54361">
        <w:rPr>
          <w:rFonts w:eastAsia="Times New Roman" w:cstheme="minorHAnsi"/>
        </w:rPr>
        <w:t>lud</w:t>
      </w:r>
      <w:r w:rsidRPr="00A54361">
        <w:rPr>
          <w:rFonts w:eastAsia="Times New Roman" w:cstheme="minorHAnsi"/>
          <w:spacing w:val="1"/>
        </w:rPr>
        <w:t>i</w:t>
      </w:r>
      <w:r w:rsidRPr="00A54361">
        <w:rPr>
          <w:rFonts w:eastAsia="Times New Roman" w:cstheme="minorHAnsi"/>
        </w:rPr>
        <w:t>ng</w:t>
      </w:r>
      <w:r w:rsidRPr="00A54361">
        <w:rPr>
          <w:rFonts w:eastAsia="Times New Roman" w:cstheme="minorHAnsi"/>
          <w:spacing w:val="-2"/>
        </w:rPr>
        <w:t xml:space="preserve"> </w:t>
      </w:r>
      <w:r w:rsidRPr="00A54361">
        <w:rPr>
          <w:rFonts w:eastAsia="Times New Roman" w:cstheme="minorHAnsi"/>
          <w:spacing w:val="1"/>
        </w:rPr>
        <w:t>S</w:t>
      </w:r>
      <w:r w:rsidRPr="00A54361">
        <w:rPr>
          <w:rFonts w:eastAsia="Times New Roman" w:cstheme="minorHAnsi"/>
        </w:rPr>
        <w:t>ubsidia</w:t>
      </w:r>
      <w:r w:rsidRPr="00A54361">
        <w:rPr>
          <w:rFonts w:eastAsia="Times New Roman" w:cstheme="minorHAnsi"/>
          <w:spacing w:val="-1"/>
        </w:rPr>
        <w:t>r</w:t>
      </w:r>
      <w:r w:rsidRPr="00A54361">
        <w:rPr>
          <w:rFonts w:eastAsia="Times New Roman" w:cstheme="minorHAnsi"/>
        </w:rPr>
        <w:t>ies. i</w:t>
      </w:r>
      <w:r w:rsidRPr="00A54361">
        <w:rPr>
          <w:rFonts w:eastAsia="Times New Roman" w:cstheme="minorHAnsi"/>
          <w:spacing w:val="1"/>
        </w:rPr>
        <w:t>i</w:t>
      </w:r>
      <w:r w:rsidRPr="00A54361">
        <w:rPr>
          <w:rFonts w:eastAsia="Times New Roman" w:cstheme="minorHAnsi"/>
        </w:rPr>
        <w:t>)</w:t>
      </w:r>
      <w:r w:rsidRPr="00A54361">
        <w:rPr>
          <w:rFonts w:eastAsia="Times New Roman" w:cstheme="minorHAnsi"/>
          <w:spacing w:val="59"/>
        </w:rPr>
        <w:t xml:space="preserve"> </w:t>
      </w:r>
      <w:r w:rsidRPr="00A54361">
        <w:rPr>
          <w:rFonts w:eastAsia="Times New Roman" w:cstheme="minorHAnsi"/>
          <w:spacing w:val="-2"/>
        </w:rPr>
        <w:t>B</w:t>
      </w:r>
      <w:r w:rsidRPr="00A54361">
        <w:rPr>
          <w:rFonts w:eastAsia="Times New Roman" w:cstheme="minorHAnsi"/>
          <w:spacing w:val="-1"/>
        </w:rPr>
        <w:t>a</w:t>
      </w:r>
      <w:r w:rsidRPr="00A54361">
        <w:rPr>
          <w:rFonts w:eastAsia="Times New Roman" w:cstheme="minorHAnsi"/>
        </w:rPr>
        <w:t>s</w:t>
      </w:r>
      <w:r w:rsidRPr="00A54361">
        <w:rPr>
          <w:rFonts w:eastAsia="Times New Roman" w:cstheme="minorHAnsi"/>
          <w:spacing w:val="-1"/>
        </w:rPr>
        <w:t>e</w:t>
      </w:r>
      <w:r w:rsidRPr="00A54361">
        <w:rPr>
          <w:rFonts w:eastAsia="Times New Roman" w:cstheme="minorHAnsi"/>
        </w:rPr>
        <w:t xml:space="preserve">d on </w:t>
      </w:r>
      <w:r w:rsidRPr="00A54361">
        <w:rPr>
          <w:rFonts w:eastAsia="Times New Roman" w:cstheme="minorHAnsi"/>
          <w:spacing w:val="2"/>
        </w:rPr>
        <w:t>the</w:t>
      </w:r>
      <w:r w:rsidRPr="00A54361">
        <w:rPr>
          <w:rFonts w:eastAsia="Times New Roman" w:cstheme="minorHAnsi"/>
          <w:spacing w:val="59"/>
        </w:rPr>
        <w:t xml:space="preserve"> </w:t>
      </w:r>
      <w:r w:rsidRPr="00A54361">
        <w:rPr>
          <w:rFonts w:eastAsia="Times New Roman" w:cstheme="minorHAnsi"/>
          <w:spacing w:val="-1"/>
        </w:rPr>
        <w:t>c</w:t>
      </w:r>
      <w:r w:rsidRPr="00A54361">
        <w:rPr>
          <w:rFonts w:eastAsia="Times New Roman" w:cstheme="minorHAnsi"/>
        </w:rPr>
        <w:t>omp</w:t>
      </w:r>
      <w:r w:rsidRPr="00A54361">
        <w:rPr>
          <w:rFonts w:eastAsia="Times New Roman" w:cstheme="minorHAnsi"/>
          <w:spacing w:val="3"/>
        </w:rPr>
        <w:t>l</w:t>
      </w:r>
      <w:r w:rsidRPr="00A54361">
        <w:rPr>
          <w:rFonts w:eastAsia="Times New Roman" w:cstheme="minorHAnsi"/>
          <w:spacing w:val="-1"/>
        </w:rPr>
        <w:t>a</w:t>
      </w:r>
      <w:r w:rsidRPr="00A54361">
        <w:rPr>
          <w:rFonts w:eastAsia="Times New Roman" w:cstheme="minorHAnsi"/>
        </w:rPr>
        <w:t>int forwarded by</w:t>
      </w:r>
      <w:r w:rsidRPr="00A54361">
        <w:rPr>
          <w:rFonts w:eastAsia="Times New Roman" w:cstheme="minorHAnsi"/>
          <w:spacing w:val="55"/>
        </w:rPr>
        <w:t xml:space="preserve"> </w:t>
      </w:r>
      <w:r w:rsidRPr="00A54361">
        <w:rPr>
          <w:rFonts w:eastAsia="Times New Roman" w:cstheme="minorHAnsi"/>
          <w:spacing w:val="2"/>
        </w:rPr>
        <w:t>E</w:t>
      </w:r>
      <w:r w:rsidRPr="00A54361">
        <w:rPr>
          <w:rFonts w:eastAsia="Times New Roman" w:cstheme="minorHAnsi"/>
        </w:rPr>
        <w:t xml:space="preserve">D </w:t>
      </w:r>
      <w:r w:rsidRPr="00A54361">
        <w:rPr>
          <w:rFonts w:eastAsia="Times New Roman" w:cstheme="minorHAnsi"/>
          <w:spacing w:val="6"/>
        </w:rPr>
        <w:t>(</w:t>
      </w:r>
      <w:r w:rsidR="00917777" w:rsidRPr="00A54361">
        <w:rPr>
          <w:rFonts w:eastAsia="Times New Roman" w:cstheme="minorHAnsi"/>
          <w:spacing w:val="-1"/>
        </w:rPr>
        <w:t>BSD</w:t>
      </w:r>
      <w:r w:rsidRPr="00A54361">
        <w:rPr>
          <w:rFonts w:eastAsia="Times New Roman" w:cstheme="minorHAnsi"/>
        </w:rPr>
        <w:t>)</w:t>
      </w:r>
      <w:r w:rsidRPr="00A54361">
        <w:rPr>
          <w:rFonts w:eastAsia="Times New Roman" w:cstheme="minorHAnsi"/>
          <w:spacing w:val="59"/>
        </w:rPr>
        <w:t xml:space="preserve"> </w:t>
      </w:r>
      <w:r w:rsidRPr="00A54361">
        <w:rPr>
          <w:rFonts w:eastAsia="Times New Roman" w:cstheme="minorHAnsi"/>
          <w:spacing w:val="2"/>
        </w:rPr>
        <w:t>o</w:t>
      </w:r>
      <w:r w:rsidRPr="00A54361">
        <w:rPr>
          <w:rFonts w:eastAsia="Times New Roman" w:cstheme="minorHAnsi"/>
        </w:rPr>
        <w:t>r</w:t>
      </w:r>
      <w:r w:rsidRPr="00A54361">
        <w:rPr>
          <w:rFonts w:eastAsia="Times New Roman" w:cstheme="minorHAnsi"/>
          <w:spacing w:val="59"/>
        </w:rPr>
        <w:t xml:space="preserve"> </w:t>
      </w:r>
      <w:r w:rsidRPr="00A54361">
        <w:rPr>
          <w:rFonts w:eastAsia="Times New Roman" w:cstheme="minorHAnsi"/>
        </w:rPr>
        <w:t>re</w:t>
      </w:r>
      <w:r w:rsidRPr="00A54361">
        <w:rPr>
          <w:rFonts w:eastAsia="Times New Roman" w:cstheme="minorHAnsi"/>
          <w:spacing w:val="-1"/>
        </w:rPr>
        <w:t>ce</w:t>
      </w:r>
      <w:r w:rsidRPr="00A54361">
        <w:rPr>
          <w:rFonts w:eastAsia="Times New Roman" w:cstheme="minorHAnsi"/>
        </w:rPr>
        <w:t xml:space="preserve">ived </w:t>
      </w:r>
      <w:r w:rsidRPr="00A54361">
        <w:rPr>
          <w:rFonts w:eastAsia="Times New Roman" w:cstheme="minorHAnsi"/>
          <w:spacing w:val="1"/>
        </w:rPr>
        <w:t>directly</w:t>
      </w:r>
      <w:r w:rsidRPr="00A54361">
        <w:rPr>
          <w:rFonts w:eastAsia="Times New Roman" w:cstheme="minorHAnsi"/>
          <w:spacing w:val="55"/>
        </w:rPr>
        <w:t xml:space="preserve"> </w:t>
      </w:r>
      <w:r w:rsidRPr="00A54361">
        <w:rPr>
          <w:rFonts w:eastAsia="Times New Roman" w:cstheme="minorHAnsi"/>
          <w:spacing w:val="5"/>
        </w:rPr>
        <w:t>b</w:t>
      </w:r>
      <w:r w:rsidRPr="00A54361">
        <w:rPr>
          <w:rFonts w:eastAsia="Times New Roman" w:cstheme="minorHAnsi"/>
        </w:rPr>
        <w:t>y</w:t>
      </w:r>
      <w:r w:rsidRPr="00A54361">
        <w:rPr>
          <w:rFonts w:eastAsia="Times New Roman" w:cstheme="minorHAnsi"/>
          <w:spacing w:val="55"/>
        </w:rPr>
        <w:t xml:space="preserve"> </w:t>
      </w:r>
      <w:r w:rsidRPr="00A54361">
        <w:rPr>
          <w:rFonts w:eastAsia="Times New Roman" w:cstheme="minorHAnsi"/>
        </w:rPr>
        <w:t>Corp</w:t>
      </w:r>
      <w:r w:rsidRPr="00A54361">
        <w:rPr>
          <w:rFonts w:eastAsia="Times New Roman" w:cstheme="minorHAnsi"/>
          <w:spacing w:val="1"/>
        </w:rPr>
        <w:t>o</w:t>
      </w:r>
      <w:r w:rsidRPr="00A54361">
        <w:rPr>
          <w:rFonts w:eastAsia="Times New Roman" w:cstheme="minorHAnsi"/>
        </w:rPr>
        <w:t>r</w:t>
      </w:r>
      <w:r w:rsidRPr="00A54361">
        <w:rPr>
          <w:rFonts w:eastAsia="Times New Roman" w:cstheme="minorHAnsi"/>
          <w:spacing w:val="-2"/>
        </w:rPr>
        <w:t>a</w:t>
      </w:r>
      <w:r w:rsidRPr="00A54361">
        <w:rPr>
          <w:rFonts w:eastAsia="Times New Roman" w:cstheme="minorHAnsi"/>
        </w:rPr>
        <w:t>te Vi</w:t>
      </w:r>
      <w:r w:rsidRPr="00A54361">
        <w:rPr>
          <w:rFonts w:eastAsia="Times New Roman" w:cstheme="minorHAnsi"/>
          <w:spacing w:val="-2"/>
        </w:rPr>
        <w:t>g</w:t>
      </w:r>
      <w:r w:rsidRPr="00A54361">
        <w:rPr>
          <w:rFonts w:eastAsia="Times New Roman" w:cstheme="minorHAnsi"/>
        </w:rPr>
        <w:t>i</w:t>
      </w:r>
      <w:r w:rsidRPr="00A54361">
        <w:rPr>
          <w:rFonts w:eastAsia="Times New Roman" w:cstheme="minorHAnsi"/>
          <w:spacing w:val="1"/>
        </w:rPr>
        <w:t>l</w:t>
      </w:r>
      <w:r w:rsidRPr="00A54361">
        <w:rPr>
          <w:rFonts w:eastAsia="Times New Roman" w:cstheme="minorHAnsi"/>
          <w:spacing w:val="-1"/>
        </w:rPr>
        <w:t>a</w:t>
      </w:r>
      <w:r w:rsidRPr="00A54361">
        <w:rPr>
          <w:rFonts w:eastAsia="Times New Roman" w:cstheme="minorHAnsi"/>
        </w:rPr>
        <w:t>n</w:t>
      </w:r>
      <w:r w:rsidRPr="00A54361">
        <w:rPr>
          <w:rFonts w:eastAsia="Times New Roman" w:cstheme="minorHAnsi"/>
          <w:spacing w:val="1"/>
        </w:rPr>
        <w:t>c</w:t>
      </w:r>
      <w:r w:rsidRPr="00A54361">
        <w:rPr>
          <w:rFonts w:eastAsia="Times New Roman" w:cstheme="minorHAnsi"/>
          <w:spacing w:val="-1"/>
        </w:rPr>
        <w:t>e</w:t>
      </w:r>
      <w:r w:rsidRPr="00A54361">
        <w:rPr>
          <w:rFonts w:eastAsia="Times New Roman" w:cstheme="minorHAnsi"/>
        </w:rPr>
        <w:t>, if</w:t>
      </w:r>
      <w:r w:rsidRPr="00A54361">
        <w:rPr>
          <w:rFonts w:eastAsia="Times New Roman" w:cstheme="minorHAnsi"/>
          <w:spacing w:val="2"/>
        </w:rPr>
        <w:t xml:space="preserve"> </w:t>
      </w:r>
      <w:r w:rsidRPr="00A54361">
        <w:rPr>
          <w:rFonts w:eastAsia="Times New Roman" w:cstheme="minorHAnsi"/>
        </w:rPr>
        <w:t>gr</w:t>
      </w:r>
      <w:r w:rsidRPr="00A54361">
        <w:rPr>
          <w:rFonts w:eastAsia="Times New Roman" w:cstheme="minorHAnsi"/>
          <w:spacing w:val="-2"/>
        </w:rPr>
        <w:t>a</w:t>
      </w:r>
      <w:r w:rsidRPr="00A54361">
        <w:rPr>
          <w:rFonts w:eastAsia="Times New Roman" w:cstheme="minorHAnsi"/>
        </w:rPr>
        <w:t>vi</w:t>
      </w:r>
      <w:r w:rsidRPr="00A54361">
        <w:rPr>
          <w:rFonts w:eastAsia="Times New Roman" w:cstheme="minorHAnsi"/>
          <w:spacing w:val="6"/>
        </w:rPr>
        <w:t>t</w:t>
      </w:r>
      <w:r w:rsidRPr="00A54361">
        <w:rPr>
          <w:rFonts w:eastAsia="Times New Roman" w:cstheme="minorHAnsi"/>
        </w:rPr>
        <w:t>y</w:t>
      </w:r>
      <w:r w:rsidRPr="00A54361">
        <w:rPr>
          <w:rFonts w:eastAsia="Times New Roman" w:cstheme="minorHAnsi"/>
          <w:spacing w:val="-5"/>
        </w:rPr>
        <w:t xml:space="preserve"> </w:t>
      </w:r>
      <w:r w:rsidRPr="00A54361">
        <w:rPr>
          <w:rFonts w:eastAsia="Times New Roman" w:cstheme="minorHAnsi"/>
        </w:rPr>
        <w:t>of t</w:t>
      </w:r>
      <w:r w:rsidRPr="00A54361">
        <w:rPr>
          <w:rFonts w:eastAsia="Times New Roman" w:cstheme="minorHAnsi"/>
          <w:spacing w:val="2"/>
        </w:rPr>
        <w:t>h</w:t>
      </w:r>
      <w:r w:rsidRPr="00A54361">
        <w:rPr>
          <w:rFonts w:eastAsia="Times New Roman" w:cstheme="minorHAnsi"/>
        </w:rPr>
        <w:t>e</w:t>
      </w:r>
      <w:r w:rsidRPr="00A54361">
        <w:rPr>
          <w:rFonts w:eastAsia="Times New Roman" w:cstheme="minorHAnsi"/>
          <w:spacing w:val="-1"/>
        </w:rPr>
        <w:t xml:space="preserve"> </w:t>
      </w:r>
      <w:r w:rsidRPr="00A54361">
        <w:rPr>
          <w:rFonts w:eastAsia="Times New Roman" w:cstheme="minorHAnsi"/>
        </w:rPr>
        <w:t>m</w:t>
      </w:r>
      <w:r w:rsidRPr="00A54361">
        <w:rPr>
          <w:rFonts w:eastAsia="Times New Roman" w:cstheme="minorHAnsi"/>
          <w:spacing w:val="1"/>
        </w:rPr>
        <w:t>i</w:t>
      </w:r>
      <w:r w:rsidRPr="00A54361">
        <w:rPr>
          <w:rFonts w:eastAsia="Times New Roman" w:cstheme="minorHAnsi"/>
        </w:rPr>
        <w:t>s</w:t>
      </w:r>
      <w:r w:rsidRPr="00A54361">
        <w:rPr>
          <w:rFonts w:eastAsia="Times New Roman" w:cstheme="minorHAnsi"/>
          <w:spacing w:val="-1"/>
        </w:rPr>
        <w:t>c</w:t>
      </w:r>
      <w:r w:rsidRPr="00A54361">
        <w:rPr>
          <w:rFonts w:eastAsia="Times New Roman" w:cstheme="minorHAnsi"/>
        </w:rPr>
        <w:t>ondu</w:t>
      </w:r>
      <w:r w:rsidRPr="00A54361">
        <w:rPr>
          <w:rFonts w:eastAsia="Times New Roman" w:cstheme="minorHAnsi"/>
          <w:spacing w:val="-1"/>
        </w:rPr>
        <w:t>c</w:t>
      </w:r>
      <w:r w:rsidRPr="00A54361">
        <w:rPr>
          <w:rFonts w:eastAsia="Times New Roman" w:cstheme="minorHAnsi"/>
        </w:rPr>
        <w:t>t und</w:t>
      </w:r>
      <w:r w:rsidRPr="00A54361">
        <w:rPr>
          <w:rFonts w:eastAsia="Times New Roman" w:cstheme="minorHAnsi"/>
          <w:spacing w:val="2"/>
        </w:rPr>
        <w:t>e</w:t>
      </w:r>
      <w:r w:rsidRPr="00A54361">
        <w:rPr>
          <w:rFonts w:eastAsia="Times New Roman" w:cstheme="minorHAnsi"/>
        </w:rPr>
        <w:t>r inv</w:t>
      </w:r>
      <w:r w:rsidRPr="00A54361">
        <w:rPr>
          <w:rFonts w:eastAsia="Times New Roman" w:cstheme="minorHAnsi"/>
          <w:spacing w:val="-1"/>
        </w:rPr>
        <w:t>e</w:t>
      </w:r>
      <w:r w:rsidRPr="00A54361">
        <w:rPr>
          <w:rFonts w:eastAsia="Times New Roman" w:cstheme="minorHAnsi"/>
          <w:spacing w:val="2"/>
        </w:rPr>
        <w:t>s</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spacing w:val="-2"/>
        </w:rPr>
        <w:t>g</w:t>
      </w:r>
      <w:r w:rsidRPr="00A54361">
        <w:rPr>
          <w:rFonts w:eastAsia="Times New Roman" w:cstheme="minorHAnsi"/>
          <w:spacing w:val="-1"/>
        </w:rPr>
        <w:t>a</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on is found</w:t>
      </w:r>
      <w:r w:rsidRPr="00A54361">
        <w:rPr>
          <w:rFonts w:eastAsia="Times New Roman" w:cstheme="minorHAnsi"/>
          <w:spacing w:val="-1"/>
        </w:rPr>
        <w:t xml:space="preserve"> </w:t>
      </w:r>
      <w:r w:rsidRPr="00A54361">
        <w:rPr>
          <w:rFonts w:eastAsia="Times New Roman" w:cstheme="minorHAnsi"/>
          <w:spacing w:val="2"/>
        </w:rPr>
        <w:t>s</w:t>
      </w:r>
      <w:r w:rsidRPr="00A54361">
        <w:rPr>
          <w:rFonts w:eastAsia="Times New Roman" w:cstheme="minorHAnsi"/>
          <w:spacing w:val="-1"/>
        </w:rPr>
        <w:t>e</w:t>
      </w:r>
      <w:r w:rsidRPr="00A54361">
        <w:rPr>
          <w:rFonts w:eastAsia="Times New Roman" w:cstheme="minorHAnsi"/>
        </w:rPr>
        <w:t>rious</w:t>
      </w:r>
      <w:r w:rsidRPr="00A54361">
        <w:rPr>
          <w:rFonts w:eastAsia="Times New Roman" w:cstheme="minorHAnsi"/>
          <w:spacing w:val="2"/>
        </w:rPr>
        <w:t xml:space="preserve"> </w:t>
      </w:r>
      <w:r w:rsidRPr="00A54361">
        <w:rPr>
          <w:rFonts w:eastAsia="Times New Roman" w:cstheme="minorHAnsi"/>
          <w:spacing w:val="-1"/>
        </w:rPr>
        <w:t>a</w:t>
      </w:r>
      <w:r w:rsidRPr="00A54361">
        <w:rPr>
          <w:rFonts w:eastAsia="Times New Roman" w:cstheme="minorHAnsi"/>
        </w:rPr>
        <w:t>nd it</w:t>
      </w:r>
      <w:r w:rsidRPr="00A54361">
        <w:rPr>
          <w:rFonts w:eastAsia="Times New Roman" w:cstheme="minorHAnsi"/>
          <w:spacing w:val="1"/>
        </w:rPr>
        <w:t xml:space="preserve"> </w:t>
      </w:r>
      <w:r w:rsidRPr="00A54361">
        <w:rPr>
          <w:rFonts w:eastAsia="Times New Roman" w:cstheme="minorHAnsi"/>
        </w:rPr>
        <w:t>is f</w:t>
      </w:r>
      <w:r w:rsidRPr="00A54361">
        <w:rPr>
          <w:rFonts w:eastAsia="Times New Roman" w:cstheme="minorHAnsi"/>
          <w:spacing w:val="-1"/>
        </w:rPr>
        <w:t>e</w:t>
      </w:r>
      <w:r w:rsidRPr="00A54361">
        <w:rPr>
          <w:rFonts w:eastAsia="Times New Roman" w:cstheme="minorHAnsi"/>
        </w:rPr>
        <w:t>lt</w:t>
      </w:r>
      <w:r w:rsidRPr="00A54361">
        <w:rPr>
          <w:rFonts w:eastAsia="Times New Roman" w:cstheme="minorHAnsi"/>
          <w:spacing w:val="1"/>
        </w:rPr>
        <w:t xml:space="preserve"> </w:t>
      </w:r>
      <w:r w:rsidRPr="00A54361">
        <w:rPr>
          <w:rFonts w:eastAsia="Times New Roman" w:cstheme="minorHAnsi"/>
        </w:rPr>
        <w:t>that it would</w:t>
      </w:r>
      <w:r w:rsidRPr="00A54361">
        <w:rPr>
          <w:rFonts w:eastAsia="Times New Roman" w:cstheme="minorHAnsi"/>
          <w:spacing w:val="3"/>
        </w:rPr>
        <w:t xml:space="preserve"> </w:t>
      </w:r>
      <w:r w:rsidRPr="00A54361">
        <w:rPr>
          <w:rFonts w:eastAsia="Times New Roman" w:cstheme="minorHAnsi"/>
        </w:rPr>
        <w:t>not</w:t>
      </w:r>
      <w:r w:rsidRPr="00A54361">
        <w:rPr>
          <w:rFonts w:eastAsia="Times New Roman" w:cstheme="minorHAnsi"/>
          <w:spacing w:val="3"/>
        </w:rPr>
        <w:t xml:space="preserve"> </w:t>
      </w:r>
      <w:r w:rsidRPr="00A54361">
        <w:rPr>
          <w:rFonts w:eastAsia="Times New Roman" w:cstheme="minorHAnsi"/>
        </w:rPr>
        <w:t>be</w:t>
      </w:r>
      <w:r w:rsidRPr="00A54361">
        <w:rPr>
          <w:rFonts w:eastAsia="Times New Roman" w:cstheme="minorHAnsi"/>
          <w:spacing w:val="2"/>
        </w:rPr>
        <w:t xml:space="preserve"> </w:t>
      </w:r>
      <w:r w:rsidRPr="00A54361">
        <w:rPr>
          <w:rFonts w:eastAsia="Times New Roman" w:cstheme="minorHAnsi"/>
        </w:rPr>
        <w:t>in</w:t>
      </w:r>
      <w:r w:rsidRPr="00A54361">
        <w:rPr>
          <w:rFonts w:eastAsia="Times New Roman" w:cstheme="minorHAnsi"/>
          <w:spacing w:val="3"/>
        </w:rPr>
        <w:t xml:space="preserve"> </w:t>
      </w:r>
      <w:r w:rsidRPr="00A54361">
        <w:rPr>
          <w:rFonts w:eastAsia="Times New Roman" w:cstheme="minorHAnsi"/>
        </w:rPr>
        <w:t>the</w:t>
      </w:r>
      <w:r w:rsidRPr="00A54361">
        <w:rPr>
          <w:rFonts w:eastAsia="Times New Roman" w:cstheme="minorHAnsi"/>
          <w:spacing w:val="2"/>
        </w:rPr>
        <w:t xml:space="preserve"> </w:t>
      </w:r>
      <w:r w:rsidRPr="00A54361">
        <w:rPr>
          <w:rFonts w:eastAsia="Times New Roman" w:cstheme="minorHAnsi"/>
        </w:rPr>
        <w:t>in</w:t>
      </w:r>
      <w:r w:rsidRPr="00A54361">
        <w:rPr>
          <w:rFonts w:eastAsia="Times New Roman" w:cstheme="minorHAnsi"/>
          <w:spacing w:val="1"/>
        </w:rPr>
        <w:t>t</w:t>
      </w:r>
      <w:r w:rsidRPr="00A54361">
        <w:rPr>
          <w:rFonts w:eastAsia="Times New Roman" w:cstheme="minorHAnsi"/>
          <w:spacing w:val="-1"/>
        </w:rPr>
        <w:t>e</w:t>
      </w:r>
      <w:r w:rsidRPr="00A54361">
        <w:rPr>
          <w:rFonts w:eastAsia="Times New Roman" w:cstheme="minorHAnsi"/>
          <w:spacing w:val="1"/>
        </w:rPr>
        <w:t>r</w:t>
      </w:r>
      <w:r w:rsidRPr="00A54361">
        <w:rPr>
          <w:rFonts w:eastAsia="Times New Roman" w:cstheme="minorHAnsi"/>
          <w:spacing w:val="-1"/>
        </w:rPr>
        <w:t>e</w:t>
      </w:r>
      <w:r w:rsidRPr="00A54361">
        <w:rPr>
          <w:rFonts w:eastAsia="Times New Roman" w:cstheme="minorHAnsi"/>
        </w:rPr>
        <w:t>st</w:t>
      </w:r>
      <w:r w:rsidRPr="00A54361">
        <w:rPr>
          <w:rFonts w:eastAsia="Times New Roman" w:cstheme="minorHAnsi"/>
          <w:spacing w:val="4"/>
        </w:rPr>
        <w:t xml:space="preserve"> </w:t>
      </w:r>
      <w:r w:rsidRPr="00A54361">
        <w:rPr>
          <w:rFonts w:eastAsia="Times New Roman" w:cstheme="minorHAnsi"/>
        </w:rPr>
        <w:t>of</w:t>
      </w:r>
      <w:r w:rsidRPr="00A54361">
        <w:rPr>
          <w:rFonts w:eastAsia="Times New Roman" w:cstheme="minorHAnsi"/>
          <w:spacing w:val="2"/>
        </w:rPr>
        <w:t xml:space="preserve"> </w:t>
      </w:r>
      <w:r w:rsidRPr="00A54361">
        <w:rPr>
          <w:rFonts w:eastAsia="Times New Roman" w:cstheme="minorHAnsi"/>
        </w:rPr>
        <w:t>CE</w:t>
      </w:r>
      <w:r w:rsidRPr="00A54361">
        <w:rPr>
          <w:rFonts w:eastAsia="Times New Roman" w:cstheme="minorHAnsi"/>
          <w:spacing w:val="-1"/>
        </w:rPr>
        <w:t>N</w:t>
      </w:r>
      <w:r w:rsidRPr="00A54361">
        <w:rPr>
          <w:rFonts w:eastAsia="Times New Roman" w:cstheme="minorHAnsi"/>
        </w:rPr>
        <w:t>TR</w:t>
      </w:r>
      <w:r w:rsidRPr="00A54361">
        <w:rPr>
          <w:rFonts w:eastAsia="Times New Roman" w:cstheme="minorHAnsi"/>
          <w:spacing w:val="2"/>
        </w:rPr>
        <w:t>A</w:t>
      </w:r>
      <w:r w:rsidRPr="00A54361">
        <w:rPr>
          <w:rFonts w:eastAsia="Times New Roman" w:cstheme="minorHAnsi"/>
        </w:rPr>
        <w:t>L BA</w:t>
      </w:r>
      <w:r w:rsidRPr="00A54361">
        <w:rPr>
          <w:rFonts w:eastAsia="Times New Roman" w:cstheme="minorHAnsi"/>
          <w:spacing w:val="1"/>
        </w:rPr>
        <w:t>N</w:t>
      </w:r>
      <w:r w:rsidRPr="00A54361">
        <w:rPr>
          <w:rFonts w:eastAsia="Times New Roman" w:cstheme="minorHAnsi"/>
        </w:rPr>
        <w:t>K</w:t>
      </w:r>
      <w:r w:rsidRPr="00A54361">
        <w:rPr>
          <w:rFonts w:eastAsia="Times New Roman" w:cstheme="minorHAnsi"/>
          <w:spacing w:val="2"/>
        </w:rPr>
        <w:t xml:space="preserve"> </w:t>
      </w:r>
      <w:r w:rsidRPr="00A54361">
        <w:rPr>
          <w:rFonts w:eastAsia="Times New Roman" w:cstheme="minorHAnsi"/>
        </w:rPr>
        <w:t>OF</w:t>
      </w:r>
      <w:r w:rsidRPr="00A54361">
        <w:rPr>
          <w:rFonts w:eastAsia="Times New Roman" w:cstheme="minorHAnsi"/>
          <w:spacing w:val="3"/>
        </w:rPr>
        <w:t xml:space="preserve"> </w:t>
      </w:r>
      <w:r w:rsidRPr="00A54361">
        <w:rPr>
          <w:rFonts w:eastAsia="Times New Roman" w:cstheme="minorHAnsi"/>
          <w:spacing w:val="-3"/>
        </w:rPr>
        <w:t>I</w:t>
      </w:r>
      <w:r w:rsidRPr="00A54361">
        <w:rPr>
          <w:rFonts w:eastAsia="Times New Roman" w:cstheme="minorHAnsi"/>
          <w:spacing w:val="2"/>
        </w:rPr>
        <w:t>ND</w:t>
      </w:r>
      <w:r w:rsidRPr="00A54361">
        <w:rPr>
          <w:rFonts w:eastAsia="Times New Roman" w:cstheme="minorHAnsi"/>
          <w:spacing w:val="-3"/>
        </w:rPr>
        <w:t>I</w:t>
      </w:r>
      <w:r w:rsidRPr="00A54361">
        <w:rPr>
          <w:rFonts w:eastAsia="Times New Roman" w:cstheme="minorHAnsi"/>
        </w:rPr>
        <w:t>A</w:t>
      </w:r>
      <w:r w:rsidRPr="00A54361">
        <w:rPr>
          <w:rFonts w:eastAsia="Times New Roman" w:cstheme="minorHAnsi"/>
          <w:spacing w:val="2"/>
        </w:rPr>
        <w:t xml:space="preserve"> </w:t>
      </w:r>
      <w:r w:rsidRPr="00A54361">
        <w:rPr>
          <w:rFonts w:eastAsia="Times New Roman" w:cstheme="minorHAnsi"/>
        </w:rPr>
        <w:t>to</w:t>
      </w:r>
      <w:r w:rsidRPr="00A54361">
        <w:rPr>
          <w:rFonts w:eastAsia="Times New Roman" w:cstheme="minorHAnsi"/>
          <w:spacing w:val="6"/>
        </w:rPr>
        <w:t xml:space="preserve"> </w:t>
      </w:r>
      <w:r w:rsidRPr="00A54361">
        <w:rPr>
          <w:rFonts w:eastAsia="Times New Roman" w:cstheme="minorHAnsi"/>
          <w:spacing w:val="-1"/>
        </w:rPr>
        <w:t>c</w:t>
      </w:r>
      <w:r w:rsidRPr="00A54361">
        <w:rPr>
          <w:rFonts w:eastAsia="Times New Roman" w:cstheme="minorHAnsi"/>
        </w:rPr>
        <w:t>ont</w:t>
      </w:r>
      <w:r w:rsidRPr="00A54361">
        <w:rPr>
          <w:rFonts w:eastAsia="Times New Roman" w:cstheme="minorHAnsi"/>
          <w:spacing w:val="1"/>
        </w:rPr>
        <w:t>i</w:t>
      </w:r>
      <w:r w:rsidRPr="00A54361">
        <w:rPr>
          <w:rFonts w:eastAsia="Times New Roman" w:cstheme="minorHAnsi"/>
        </w:rPr>
        <w:t>nue</w:t>
      </w:r>
      <w:r w:rsidRPr="00A54361">
        <w:rPr>
          <w:rFonts w:eastAsia="Times New Roman" w:cstheme="minorHAnsi"/>
          <w:spacing w:val="2"/>
        </w:rPr>
        <w:t xml:space="preserve"> </w:t>
      </w:r>
      <w:r w:rsidRPr="00A54361">
        <w:rPr>
          <w:rFonts w:eastAsia="Times New Roman" w:cstheme="minorHAnsi"/>
        </w:rPr>
        <w:t>to</w:t>
      </w:r>
      <w:r w:rsidRPr="00A54361">
        <w:rPr>
          <w:rFonts w:eastAsia="Times New Roman" w:cstheme="minorHAnsi"/>
          <w:spacing w:val="3"/>
        </w:rPr>
        <w:t xml:space="preserve"> </w:t>
      </w:r>
      <w:r w:rsidRPr="00A54361">
        <w:rPr>
          <w:rFonts w:eastAsia="Times New Roman" w:cstheme="minorHAnsi"/>
        </w:rPr>
        <w:t>d</w:t>
      </w:r>
      <w:r w:rsidRPr="00A54361">
        <w:rPr>
          <w:rFonts w:eastAsia="Times New Roman" w:cstheme="minorHAnsi"/>
          <w:spacing w:val="-1"/>
        </w:rPr>
        <w:t>ea</w:t>
      </w:r>
      <w:r w:rsidRPr="00A54361">
        <w:rPr>
          <w:rFonts w:eastAsia="Times New Roman" w:cstheme="minorHAnsi"/>
        </w:rPr>
        <w:t>l</w:t>
      </w:r>
      <w:r w:rsidRPr="00A54361">
        <w:rPr>
          <w:rFonts w:eastAsia="Times New Roman" w:cstheme="minorHAnsi"/>
          <w:spacing w:val="3"/>
        </w:rPr>
        <w:t xml:space="preserve"> </w:t>
      </w:r>
      <w:r w:rsidRPr="00A54361">
        <w:rPr>
          <w:rFonts w:eastAsia="Times New Roman" w:cstheme="minorHAnsi"/>
        </w:rPr>
        <w:t>with</w:t>
      </w:r>
      <w:r w:rsidRPr="00A54361">
        <w:rPr>
          <w:rFonts w:eastAsia="Times New Roman" w:cstheme="minorHAnsi"/>
          <w:spacing w:val="3"/>
        </w:rPr>
        <w:t xml:space="preserve"> </w:t>
      </w:r>
      <w:r w:rsidRPr="00A54361">
        <w:rPr>
          <w:rFonts w:eastAsia="Times New Roman" w:cstheme="minorHAnsi"/>
        </w:rPr>
        <w:t>su</w:t>
      </w:r>
      <w:r w:rsidRPr="00A54361">
        <w:rPr>
          <w:rFonts w:eastAsia="Times New Roman" w:cstheme="minorHAnsi"/>
          <w:spacing w:val="-1"/>
        </w:rPr>
        <w:t>c</w:t>
      </w:r>
      <w:r w:rsidRPr="00A54361">
        <w:rPr>
          <w:rFonts w:eastAsia="Times New Roman" w:cstheme="minorHAnsi"/>
        </w:rPr>
        <w:t xml:space="preserve">h </w:t>
      </w:r>
      <w:r w:rsidRPr="00A54361">
        <w:rPr>
          <w:rFonts w:eastAsia="Times New Roman" w:cstheme="minorHAnsi"/>
          <w:spacing w:val="-1"/>
        </w:rPr>
        <w:t>a</w:t>
      </w:r>
      <w:r w:rsidRPr="00A54361">
        <w:rPr>
          <w:rFonts w:eastAsia="Times New Roman" w:cstheme="minorHAnsi"/>
        </w:rPr>
        <w:t>g</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4"/>
        </w:rPr>
        <w:t>c</w:t>
      </w:r>
      <w:r w:rsidRPr="00A54361">
        <w:rPr>
          <w:rFonts w:eastAsia="Times New Roman" w:cstheme="minorHAnsi"/>
          <w:spacing w:val="-5"/>
        </w:rPr>
        <w:t>y</w:t>
      </w:r>
      <w:r w:rsidRPr="00A54361">
        <w:rPr>
          <w:rFonts w:eastAsia="Times New Roman" w:cstheme="minorHAnsi"/>
        </w:rPr>
        <w:t>,</w:t>
      </w:r>
      <w:r w:rsidRPr="00A54361">
        <w:rPr>
          <w:rFonts w:eastAsia="Times New Roman" w:cstheme="minorHAnsi"/>
          <w:spacing w:val="5"/>
        </w:rPr>
        <w:t xml:space="preserve"> </w:t>
      </w:r>
      <w:r w:rsidRPr="00A54361">
        <w:rPr>
          <w:rFonts w:eastAsia="Times New Roman" w:cstheme="minorHAnsi"/>
        </w:rPr>
        <w:t>p</w:t>
      </w:r>
      <w:r w:rsidRPr="00A54361">
        <w:rPr>
          <w:rFonts w:eastAsia="Times New Roman" w:cstheme="minorHAnsi"/>
          <w:spacing w:val="-1"/>
        </w:rPr>
        <w:t>e</w:t>
      </w:r>
      <w:r w:rsidRPr="00A54361">
        <w:rPr>
          <w:rFonts w:eastAsia="Times New Roman" w:cstheme="minorHAnsi"/>
        </w:rPr>
        <w:t>ndi</w:t>
      </w:r>
      <w:r w:rsidRPr="00A54361">
        <w:rPr>
          <w:rFonts w:eastAsia="Times New Roman" w:cstheme="minorHAnsi"/>
          <w:spacing w:val="3"/>
        </w:rPr>
        <w:t>n</w:t>
      </w:r>
      <w:r w:rsidRPr="00A54361">
        <w:rPr>
          <w:rFonts w:eastAsia="Times New Roman" w:cstheme="minorHAnsi"/>
        </w:rPr>
        <w:t>g</w:t>
      </w:r>
      <w:r w:rsidRPr="00A54361">
        <w:rPr>
          <w:rFonts w:eastAsia="Times New Roman" w:cstheme="minorHAnsi"/>
          <w:spacing w:val="2"/>
        </w:rPr>
        <w:t xml:space="preserve"> </w:t>
      </w:r>
      <w:r w:rsidRPr="00A54361">
        <w:rPr>
          <w:rFonts w:eastAsia="Times New Roman" w:cstheme="minorHAnsi"/>
        </w:rPr>
        <w:t>invest</w:t>
      </w:r>
      <w:r w:rsidRPr="00A54361">
        <w:rPr>
          <w:rFonts w:eastAsia="Times New Roman" w:cstheme="minorHAnsi"/>
          <w:spacing w:val="3"/>
        </w:rPr>
        <w:t>i</w:t>
      </w:r>
      <w:r w:rsidRPr="00A54361">
        <w:rPr>
          <w:rFonts w:eastAsia="Times New Roman" w:cstheme="minorHAnsi"/>
        </w:rPr>
        <w:t>g</w:t>
      </w:r>
      <w:r w:rsidRPr="00A54361">
        <w:rPr>
          <w:rFonts w:eastAsia="Times New Roman" w:cstheme="minorHAnsi"/>
          <w:spacing w:val="-1"/>
        </w:rPr>
        <w:t>a</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on,</w:t>
      </w:r>
      <w:r w:rsidRPr="00A54361">
        <w:rPr>
          <w:rFonts w:eastAsia="Times New Roman" w:cstheme="minorHAnsi"/>
          <w:spacing w:val="7"/>
        </w:rPr>
        <w:t xml:space="preserve"> </w:t>
      </w:r>
      <w:r w:rsidRPr="00A54361">
        <w:rPr>
          <w:rFonts w:eastAsia="Times New Roman" w:cstheme="minorHAnsi"/>
        </w:rPr>
        <w:t>Corpo</w:t>
      </w:r>
      <w:r w:rsidRPr="00A54361">
        <w:rPr>
          <w:rFonts w:eastAsia="Times New Roman" w:cstheme="minorHAnsi"/>
          <w:spacing w:val="-1"/>
        </w:rPr>
        <w:t>ra</w:t>
      </w:r>
      <w:r w:rsidRPr="00A54361">
        <w:rPr>
          <w:rFonts w:eastAsia="Times New Roman" w:cstheme="minorHAnsi"/>
        </w:rPr>
        <w:t>te</w:t>
      </w:r>
      <w:r w:rsidRPr="00A54361">
        <w:rPr>
          <w:rFonts w:eastAsia="Times New Roman" w:cstheme="minorHAnsi"/>
          <w:spacing w:val="4"/>
        </w:rPr>
        <w:t xml:space="preserve"> </w:t>
      </w:r>
      <w:r w:rsidRPr="00A54361">
        <w:rPr>
          <w:rFonts w:eastAsia="Times New Roman" w:cstheme="minorHAnsi"/>
        </w:rPr>
        <w:t>Vi</w:t>
      </w:r>
      <w:r w:rsidRPr="00A54361">
        <w:rPr>
          <w:rFonts w:eastAsia="Times New Roman" w:cstheme="minorHAnsi"/>
          <w:spacing w:val="-2"/>
        </w:rPr>
        <w:t>g</w:t>
      </w:r>
      <w:r w:rsidRPr="00A54361">
        <w:rPr>
          <w:rFonts w:eastAsia="Times New Roman" w:cstheme="minorHAnsi"/>
        </w:rPr>
        <w:t>i</w:t>
      </w:r>
      <w:r w:rsidRPr="00A54361">
        <w:rPr>
          <w:rFonts w:eastAsia="Times New Roman" w:cstheme="minorHAnsi"/>
          <w:spacing w:val="1"/>
        </w:rPr>
        <w:t>l</w:t>
      </w:r>
      <w:r w:rsidRPr="00A54361">
        <w:rPr>
          <w:rFonts w:eastAsia="Times New Roman" w:cstheme="minorHAnsi"/>
          <w:spacing w:val="-1"/>
        </w:rPr>
        <w:t>a</w:t>
      </w:r>
      <w:r w:rsidRPr="00A54361">
        <w:rPr>
          <w:rFonts w:eastAsia="Times New Roman" w:cstheme="minorHAnsi"/>
          <w:spacing w:val="2"/>
        </w:rPr>
        <w:t>n</w:t>
      </w:r>
      <w:r w:rsidRPr="00A54361">
        <w:rPr>
          <w:rFonts w:eastAsia="Times New Roman" w:cstheme="minorHAnsi"/>
          <w:spacing w:val="-1"/>
        </w:rPr>
        <w:t>c</w:t>
      </w:r>
      <w:r w:rsidRPr="00A54361">
        <w:rPr>
          <w:rFonts w:eastAsia="Times New Roman" w:cstheme="minorHAnsi"/>
        </w:rPr>
        <w:t>e</w:t>
      </w:r>
      <w:r w:rsidRPr="00A54361">
        <w:rPr>
          <w:rFonts w:eastAsia="Times New Roman" w:cstheme="minorHAnsi"/>
          <w:spacing w:val="4"/>
        </w:rPr>
        <w:t xml:space="preserve"> </w:t>
      </w:r>
      <w:r w:rsidRPr="00A54361">
        <w:rPr>
          <w:rFonts w:eastAsia="Times New Roman" w:cstheme="minorHAnsi"/>
        </w:rPr>
        <w:t>m</w:t>
      </w:r>
      <w:r w:rsidRPr="00A54361">
        <w:rPr>
          <w:rFonts w:eastAsia="Times New Roman" w:cstheme="minorHAnsi"/>
          <w:spacing w:val="4"/>
        </w:rPr>
        <w:t>a</w:t>
      </w:r>
      <w:r w:rsidRPr="00A54361">
        <w:rPr>
          <w:rFonts w:eastAsia="Times New Roman" w:cstheme="minorHAnsi"/>
        </w:rPr>
        <w:t>y s</w:t>
      </w:r>
      <w:r w:rsidRPr="00A54361">
        <w:rPr>
          <w:rFonts w:eastAsia="Times New Roman" w:cstheme="minorHAnsi"/>
          <w:spacing w:val="-1"/>
        </w:rPr>
        <w:t>e</w:t>
      </w:r>
      <w:r w:rsidRPr="00A54361">
        <w:rPr>
          <w:rFonts w:eastAsia="Times New Roman" w:cstheme="minorHAnsi"/>
        </w:rPr>
        <w:t>nd</w:t>
      </w:r>
      <w:r w:rsidRPr="00A54361">
        <w:rPr>
          <w:rFonts w:eastAsia="Times New Roman" w:cstheme="minorHAnsi"/>
          <w:spacing w:val="5"/>
        </w:rPr>
        <w:t xml:space="preserve"> </w:t>
      </w:r>
      <w:r w:rsidRPr="00A54361">
        <w:rPr>
          <w:rFonts w:eastAsia="Times New Roman" w:cstheme="minorHAnsi"/>
        </w:rPr>
        <w:t>su</w:t>
      </w:r>
      <w:r w:rsidRPr="00A54361">
        <w:rPr>
          <w:rFonts w:eastAsia="Times New Roman" w:cstheme="minorHAnsi"/>
          <w:spacing w:val="-1"/>
        </w:rPr>
        <w:t>c</w:t>
      </w:r>
      <w:r w:rsidRPr="00A54361">
        <w:rPr>
          <w:rFonts w:eastAsia="Times New Roman" w:cstheme="minorHAnsi"/>
        </w:rPr>
        <w:t>h</w:t>
      </w:r>
      <w:r w:rsidRPr="00A54361">
        <w:rPr>
          <w:rFonts w:eastAsia="Times New Roman" w:cstheme="minorHAnsi"/>
          <w:spacing w:val="5"/>
        </w:rPr>
        <w:t xml:space="preserve"> </w:t>
      </w:r>
      <w:r w:rsidRPr="00A54361">
        <w:rPr>
          <w:rFonts w:eastAsia="Times New Roman" w:cstheme="minorHAnsi"/>
        </w:rPr>
        <w:t>re</w:t>
      </w:r>
      <w:r w:rsidRPr="00A54361">
        <w:rPr>
          <w:rFonts w:eastAsia="Times New Roman" w:cstheme="minorHAnsi"/>
          <w:spacing w:val="-1"/>
        </w:rPr>
        <w:t>c</w:t>
      </w:r>
      <w:r w:rsidRPr="00A54361">
        <w:rPr>
          <w:rFonts w:eastAsia="Times New Roman" w:cstheme="minorHAnsi"/>
          <w:spacing w:val="2"/>
        </w:rPr>
        <w:t>o</w:t>
      </w:r>
      <w:r w:rsidRPr="00A54361">
        <w:rPr>
          <w:rFonts w:eastAsia="Times New Roman" w:cstheme="minorHAnsi"/>
        </w:rPr>
        <w:t>m</w:t>
      </w:r>
      <w:r w:rsidRPr="00A54361">
        <w:rPr>
          <w:rFonts w:eastAsia="Times New Roman" w:cstheme="minorHAnsi"/>
          <w:spacing w:val="1"/>
        </w:rPr>
        <w:t>m</w:t>
      </w:r>
      <w:r w:rsidRPr="00A54361">
        <w:rPr>
          <w:rFonts w:eastAsia="Times New Roman" w:cstheme="minorHAnsi"/>
          <w:spacing w:val="-1"/>
        </w:rPr>
        <w:t>e</w:t>
      </w:r>
      <w:r w:rsidRPr="00A54361">
        <w:rPr>
          <w:rFonts w:eastAsia="Times New Roman" w:cstheme="minorHAnsi"/>
        </w:rPr>
        <w:t>nd</w:t>
      </w:r>
      <w:r w:rsidRPr="00A54361">
        <w:rPr>
          <w:rFonts w:eastAsia="Times New Roman" w:cstheme="minorHAnsi"/>
          <w:spacing w:val="-1"/>
        </w:rPr>
        <w:t>a</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on</w:t>
      </w:r>
      <w:r w:rsidRPr="00A54361">
        <w:rPr>
          <w:rFonts w:eastAsia="Times New Roman" w:cstheme="minorHAnsi"/>
          <w:spacing w:val="5"/>
        </w:rPr>
        <w:t xml:space="preserve"> </w:t>
      </w:r>
      <w:r w:rsidRPr="00A54361">
        <w:rPr>
          <w:rFonts w:eastAsia="Times New Roman" w:cstheme="minorHAnsi"/>
        </w:rPr>
        <w:t>on</w:t>
      </w:r>
      <w:r w:rsidRPr="00A54361">
        <w:rPr>
          <w:rFonts w:eastAsia="Times New Roman" w:cstheme="minorHAnsi"/>
          <w:spacing w:val="5"/>
        </w:rPr>
        <w:t xml:space="preserve"> </w:t>
      </w:r>
      <w:r w:rsidRPr="00A54361">
        <w:rPr>
          <w:rFonts w:eastAsia="Times New Roman" w:cstheme="minorHAnsi"/>
        </w:rPr>
        <w:t>the matter to</w:t>
      </w:r>
      <w:r w:rsidRPr="00A54361">
        <w:rPr>
          <w:rFonts w:eastAsia="Times New Roman" w:cstheme="minorHAnsi"/>
          <w:spacing w:val="2"/>
        </w:rPr>
        <w:t xml:space="preserve"> </w:t>
      </w:r>
      <w:r w:rsidRPr="00A54361">
        <w:rPr>
          <w:rFonts w:eastAsia="Times New Roman" w:cstheme="minorHAnsi"/>
        </w:rPr>
        <w:t>E</w:t>
      </w:r>
      <w:r w:rsidRPr="00A54361">
        <w:rPr>
          <w:rFonts w:eastAsia="Times New Roman" w:cstheme="minorHAnsi"/>
          <w:spacing w:val="2"/>
        </w:rPr>
        <w:t>x</w:t>
      </w:r>
      <w:r w:rsidRPr="00A54361">
        <w:rPr>
          <w:rFonts w:eastAsia="Times New Roman" w:cstheme="minorHAnsi"/>
          <w:spacing w:val="-1"/>
        </w:rPr>
        <w:t>ec</w:t>
      </w:r>
      <w:r w:rsidRPr="00A54361">
        <w:rPr>
          <w:rFonts w:eastAsia="Times New Roman" w:cstheme="minorHAnsi"/>
        </w:rPr>
        <w:t>ut</w:t>
      </w:r>
      <w:r w:rsidRPr="00A54361">
        <w:rPr>
          <w:rFonts w:eastAsia="Times New Roman" w:cstheme="minorHAnsi"/>
          <w:spacing w:val="1"/>
        </w:rPr>
        <w:t>i</w:t>
      </w:r>
      <w:r w:rsidRPr="00A54361">
        <w:rPr>
          <w:rFonts w:eastAsia="Times New Roman" w:cstheme="minorHAnsi"/>
        </w:rPr>
        <w:t>ve Dire</w:t>
      </w:r>
      <w:r w:rsidRPr="00A54361">
        <w:rPr>
          <w:rFonts w:eastAsia="Times New Roman" w:cstheme="minorHAnsi"/>
          <w:spacing w:val="-1"/>
        </w:rPr>
        <w:t>c</w:t>
      </w:r>
      <w:r w:rsidRPr="00A54361">
        <w:rPr>
          <w:rFonts w:eastAsia="Times New Roman" w:cstheme="minorHAnsi"/>
        </w:rPr>
        <w:t>tor,</w:t>
      </w:r>
      <w:r w:rsidRPr="00A54361">
        <w:rPr>
          <w:rFonts w:eastAsia="Times New Roman" w:cstheme="minorHAnsi"/>
          <w:spacing w:val="1"/>
        </w:rPr>
        <w:t xml:space="preserve"> </w:t>
      </w:r>
      <w:r w:rsidR="00917777" w:rsidRPr="00A54361">
        <w:rPr>
          <w:rFonts w:eastAsia="Times New Roman" w:cstheme="minorHAnsi"/>
        </w:rPr>
        <w:t>BSD</w:t>
      </w:r>
      <w:r w:rsidR="00917777" w:rsidRPr="00A54361">
        <w:rPr>
          <w:rFonts w:eastAsia="Times New Roman" w:cstheme="minorHAnsi"/>
          <w:spacing w:val="1"/>
        </w:rPr>
        <w:t xml:space="preserve"> </w:t>
      </w:r>
      <w:r w:rsidRPr="00A54361">
        <w:rPr>
          <w:rFonts w:eastAsia="Times New Roman" w:cstheme="minorHAnsi"/>
        </w:rPr>
        <w:t>to</w:t>
      </w:r>
      <w:r w:rsidRPr="00A54361">
        <w:rPr>
          <w:rFonts w:eastAsia="Times New Roman" w:cstheme="minorHAnsi"/>
          <w:spacing w:val="2"/>
        </w:rPr>
        <w:t xml:space="preserve"> </w:t>
      </w:r>
      <w:r w:rsidRPr="00A54361">
        <w:rPr>
          <w:rFonts w:eastAsia="Times New Roman" w:cstheme="minorHAnsi"/>
        </w:rPr>
        <w:t>pla</w:t>
      </w:r>
      <w:r w:rsidRPr="00A54361">
        <w:rPr>
          <w:rFonts w:eastAsia="Times New Roman" w:cstheme="minorHAnsi"/>
          <w:spacing w:val="1"/>
        </w:rPr>
        <w:t>c</w:t>
      </w:r>
      <w:r w:rsidRPr="00A54361">
        <w:rPr>
          <w:rFonts w:eastAsia="Times New Roman" w:cstheme="minorHAnsi"/>
        </w:rPr>
        <w:t>e it</w:t>
      </w:r>
      <w:r w:rsidRPr="00A54361">
        <w:rPr>
          <w:rFonts w:eastAsia="Times New Roman" w:cstheme="minorHAnsi"/>
          <w:spacing w:val="2"/>
        </w:rPr>
        <w:t xml:space="preserve"> </w:t>
      </w:r>
      <w:r w:rsidRPr="00A54361">
        <w:rPr>
          <w:rFonts w:eastAsia="Times New Roman" w:cstheme="minorHAnsi"/>
        </w:rPr>
        <w:t>b</w:t>
      </w:r>
      <w:r w:rsidRPr="00A54361">
        <w:rPr>
          <w:rFonts w:eastAsia="Times New Roman" w:cstheme="minorHAnsi"/>
          <w:spacing w:val="-1"/>
        </w:rPr>
        <w:t>e</w:t>
      </w:r>
      <w:r w:rsidRPr="00A54361">
        <w:rPr>
          <w:rFonts w:eastAsia="Times New Roman" w:cstheme="minorHAnsi"/>
        </w:rPr>
        <w:t>fo</w:t>
      </w:r>
      <w:r w:rsidRPr="00A54361">
        <w:rPr>
          <w:rFonts w:eastAsia="Times New Roman" w:cstheme="minorHAnsi"/>
          <w:spacing w:val="-1"/>
        </w:rPr>
        <w:t>r</w:t>
      </w:r>
      <w:r w:rsidRPr="00A54361">
        <w:rPr>
          <w:rFonts w:eastAsia="Times New Roman" w:cstheme="minorHAnsi"/>
        </w:rPr>
        <w:t>e E</w:t>
      </w:r>
      <w:r w:rsidRPr="00A54361">
        <w:rPr>
          <w:rFonts w:eastAsia="Times New Roman" w:cstheme="minorHAnsi"/>
          <w:spacing w:val="2"/>
        </w:rPr>
        <w:t>x</w:t>
      </w:r>
      <w:r w:rsidRPr="00A54361">
        <w:rPr>
          <w:rFonts w:eastAsia="Times New Roman" w:cstheme="minorHAnsi"/>
          <w:spacing w:val="-1"/>
        </w:rPr>
        <w:t>ec</w:t>
      </w:r>
      <w:r w:rsidRPr="00A54361">
        <w:rPr>
          <w:rFonts w:eastAsia="Times New Roman" w:cstheme="minorHAnsi"/>
        </w:rPr>
        <w:t>ut</w:t>
      </w:r>
      <w:r w:rsidRPr="00A54361">
        <w:rPr>
          <w:rFonts w:eastAsia="Times New Roman" w:cstheme="minorHAnsi"/>
          <w:spacing w:val="1"/>
        </w:rPr>
        <w:t>i</w:t>
      </w:r>
      <w:r w:rsidRPr="00A54361">
        <w:rPr>
          <w:rFonts w:eastAsia="Times New Roman" w:cstheme="minorHAnsi"/>
        </w:rPr>
        <w:t>ve Dire</w:t>
      </w:r>
      <w:r w:rsidRPr="00A54361">
        <w:rPr>
          <w:rFonts w:eastAsia="Times New Roman" w:cstheme="minorHAnsi"/>
          <w:spacing w:val="-1"/>
        </w:rPr>
        <w:t>c</w:t>
      </w:r>
      <w:r w:rsidRPr="00A54361">
        <w:rPr>
          <w:rFonts w:eastAsia="Times New Roman" w:cstheme="minorHAnsi"/>
        </w:rPr>
        <w:t>tors</w:t>
      </w:r>
      <w:r w:rsidRPr="00A54361">
        <w:rPr>
          <w:rFonts w:eastAsia="Times New Roman" w:cstheme="minorHAnsi"/>
          <w:spacing w:val="3"/>
        </w:rPr>
        <w:t xml:space="preserve"> </w:t>
      </w:r>
      <w:r w:rsidRPr="00A54361">
        <w:rPr>
          <w:rFonts w:eastAsia="Times New Roman" w:cstheme="minorHAnsi"/>
        </w:rPr>
        <w:t>Com</w:t>
      </w:r>
      <w:r w:rsidRPr="00A54361">
        <w:rPr>
          <w:rFonts w:eastAsia="Times New Roman" w:cstheme="minorHAnsi"/>
          <w:spacing w:val="1"/>
        </w:rPr>
        <w:t>m</w:t>
      </w:r>
      <w:r w:rsidRPr="00A54361">
        <w:rPr>
          <w:rFonts w:eastAsia="Times New Roman" w:cstheme="minorHAnsi"/>
        </w:rPr>
        <w:t>i</w:t>
      </w:r>
      <w:r w:rsidRPr="00A54361">
        <w:rPr>
          <w:rFonts w:eastAsia="Times New Roman" w:cstheme="minorHAnsi"/>
          <w:spacing w:val="1"/>
        </w:rPr>
        <w:t>t</w:t>
      </w:r>
      <w:r w:rsidRPr="00A54361">
        <w:rPr>
          <w:rFonts w:eastAsia="Times New Roman" w:cstheme="minorHAnsi"/>
        </w:rPr>
        <w:t>tee</w:t>
      </w:r>
      <w:r w:rsidRPr="00A54361">
        <w:rPr>
          <w:rFonts w:eastAsia="Times New Roman" w:cstheme="minorHAnsi"/>
          <w:spacing w:val="7"/>
        </w:rPr>
        <w:t xml:space="preserve"> </w:t>
      </w:r>
      <w:r w:rsidRPr="00A54361">
        <w:rPr>
          <w:rFonts w:eastAsia="Times New Roman" w:cstheme="minorHAnsi"/>
        </w:rPr>
        <w:t>(</w:t>
      </w:r>
      <w:r w:rsidRPr="00A54361">
        <w:rPr>
          <w:rFonts w:eastAsia="Times New Roman" w:cstheme="minorHAnsi"/>
          <w:spacing w:val="-1"/>
        </w:rPr>
        <w:t>E</w:t>
      </w:r>
      <w:r w:rsidRPr="00A54361">
        <w:rPr>
          <w:rFonts w:eastAsia="Times New Roman" w:cstheme="minorHAnsi"/>
        </w:rPr>
        <w:t>DC) with</w:t>
      </w:r>
      <w:r w:rsidRPr="00A54361">
        <w:rPr>
          <w:rFonts w:eastAsia="Times New Roman" w:cstheme="minorHAnsi"/>
          <w:spacing w:val="6"/>
        </w:rPr>
        <w:t xml:space="preserve"> </w:t>
      </w:r>
      <w:r w:rsidRPr="00A54361">
        <w:rPr>
          <w:rFonts w:eastAsia="Times New Roman" w:cstheme="minorHAnsi"/>
        </w:rPr>
        <w:t>ED</w:t>
      </w:r>
      <w:r w:rsidRPr="00A54361">
        <w:rPr>
          <w:rFonts w:eastAsia="Times New Roman" w:cstheme="minorHAnsi"/>
          <w:spacing w:val="4"/>
        </w:rPr>
        <w:t xml:space="preserve"> </w:t>
      </w:r>
      <w:r w:rsidRPr="00A54361">
        <w:rPr>
          <w:rFonts w:eastAsia="Times New Roman" w:cstheme="minorHAnsi"/>
        </w:rPr>
        <w:t>(</w:t>
      </w:r>
      <w:r w:rsidR="00917777" w:rsidRPr="00A54361">
        <w:rPr>
          <w:rFonts w:eastAsia="Times New Roman" w:cstheme="minorHAnsi"/>
          <w:spacing w:val="1"/>
        </w:rPr>
        <w:t>BSD</w:t>
      </w:r>
      <w:r w:rsidRPr="00A54361">
        <w:rPr>
          <w:rFonts w:eastAsia="Times New Roman" w:cstheme="minorHAnsi"/>
        </w:rPr>
        <w:t>)</w:t>
      </w:r>
      <w:r w:rsidRPr="00A54361">
        <w:rPr>
          <w:rFonts w:eastAsia="Times New Roman" w:cstheme="minorHAnsi"/>
          <w:spacing w:val="7"/>
        </w:rPr>
        <w:t xml:space="preserve"> </w:t>
      </w:r>
      <w:r w:rsidRPr="00A54361">
        <w:rPr>
          <w:rFonts w:eastAsia="Times New Roman" w:cstheme="minorHAnsi"/>
          <w:spacing w:val="-1"/>
        </w:rPr>
        <w:t>a</w:t>
      </w:r>
      <w:r w:rsidRPr="00A54361">
        <w:rPr>
          <w:rFonts w:eastAsia="Times New Roman" w:cstheme="minorHAnsi"/>
        </w:rPr>
        <w:t>s</w:t>
      </w:r>
      <w:r w:rsidRPr="00A54361">
        <w:rPr>
          <w:rFonts w:eastAsia="Times New Roman" w:cstheme="minorHAnsi"/>
          <w:spacing w:val="7"/>
        </w:rPr>
        <w:t xml:space="preserve"> </w:t>
      </w:r>
      <w:r w:rsidRPr="00A54361">
        <w:rPr>
          <w:rFonts w:eastAsia="Times New Roman" w:cstheme="minorHAnsi"/>
        </w:rPr>
        <w:t>Con</w:t>
      </w:r>
      <w:r w:rsidRPr="00A54361">
        <w:rPr>
          <w:rFonts w:eastAsia="Times New Roman" w:cstheme="minorHAnsi"/>
          <w:spacing w:val="2"/>
        </w:rPr>
        <w:t>v</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6"/>
        </w:rPr>
        <w:t xml:space="preserve"> </w:t>
      </w:r>
      <w:r w:rsidRPr="00A54361">
        <w:rPr>
          <w:rFonts w:eastAsia="Times New Roman" w:cstheme="minorHAnsi"/>
          <w:spacing w:val="2"/>
        </w:rPr>
        <w:t>o</w:t>
      </w:r>
      <w:r w:rsidRPr="00A54361">
        <w:rPr>
          <w:rFonts w:eastAsia="Times New Roman" w:cstheme="minorHAnsi"/>
        </w:rPr>
        <w:t>f</w:t>
      </w:r>
      <w:r w:rsidRPr="00A54361">
        <w:rPr>
          <w:rFonts w:eastAsia="Times New Roman" w:cstheme="minorHAnsi"/>
          <w:spacing w:val="4"/>
        </w:rPr>
        <w:t xml:space="preserve"> </w:t>
      </w:r>
      <w:r w:rsidRPr="00A54361">
        <w:rPr>
          <w:rFonts w:eastAsia="Times New Roman" w:cstheme="minorHAnsi"/>
        </w:rPr>
        <w:t>the</w:t>
      </w:r>
      <w:r w:rsidRPr="00A54361">
        <w:rPr>
          <w:rFonts w:eastAsia="Times New Roman" w:cstheme="minorHAnsi"/>
          <w:spacing w:val="7"/>
        </w:rPr>
        <w:t xml:space="preserve"> </w:t>
      </w:r>
      <w:r w:rsidRPr="00A54361">
        <w:rPr>
          <w:rFonts w:eastAsia="Times New Roman" w:cstheme="minorHAnsi"/>
        </w:rPr>
        <w:t>Com</w:t>
      </w:r>
      <w:r w:rsidRPr="00A54361">
        <w:rPr>
          <w:rFonts w:eastAsia="Times New Roman" w:cstheme="minorHAnsi"/>
          <w:spacing w:val="1"/>
        </w:rPr>
        <w:t>m</w:t>
      </w:r>
      <w:r w:rsidRPr="00A54361">
        <w:rPr>
          <w:rFonts w:eastAsia="Times New Roman" w:cstheme="minorHAnsi"/>
        </w:rPr>
        <w:t>i</w:t>
      </w:r>
      <w:r w:rsidRPr="00A54361">
        <w:rPr>
          <w:rFonts w:eastAsia="Times New Roman" w:cstheme="minorHAnsi"/>
          <w:spacing w:val="1"/>
        </w:rPr>
        <w:t>t</w:t>
      </w:r>
      <w:r w:rsidRPr="00A54361">
        <w:rPr>
          <w:rFonts w:eastAsia="Times New Roman" w:cstheme="minorHAnsi"/>
        </w:rPr>
        <w:t>te</w:t>
      </w:r>
      <w:r w:rsidRPr="00A54361">
        <w:rPr>
          <w:rFonts w:eastAsia="Times New Roman" w:cstheme="minorHAnsi"/>
          <w:spacing w:val="-1"/>
        </w:rPr>
        <w:t>e</w:t>
      </w:r>
      <w:r w:rsidRPr="00A54361">
        <w:rPr>
          <w:rFonts w:eastAsia="Times New Roman" w:cstheme="minorHAnsi"/>
        </w:rPr>
        <w:t>.</w:t>
      </w:r>
      <w:r w:rsidRPr="00A54361">
        <w:rPr>
          <w:rFonts w:eastAsia="Times New Roman" w:cstheme="minorHAnsi"/>
          <w:spacing w:val="5"/>
        </w:rPr>
        <w:t xml:space="preserve"> </w:t>
      </w:r>
      <w:r w:rsidRPr="00A54361">
        <w:rPr>
          <w:rFonts w:eastAsia="Times New Roman" w:cstheme="minorHAnsi"/>
        </w:rPr>
        <w:t>The</w:t>
      </w:r>
      <w:r w:rsidRPr="00A54361">
        <w:rPr>
          <w:rFonts w:eastAsia="Times New Roman" w:cstheme="minorHAnsi"/>
          <w:spacing w:val="4"/>
        </w:rPr>
        <w:t xml:space="preserve"> </w:t>
      </w:r>
      <w:r w:rsidRPr="00A54361">
        <w:rPr>
          <w:rFonts w:eastAsia="Times New Roman" w:cstheme="minorHAnsi"/>
          <w:spacing w:val="-1"/>
        </w:rPr>
        <w:t>c</w:t>
      </w:r>
      <w:r w:rsidRPr="00A54361">
        <w:rPr>
          <w:rFonts w:eastAsia="Times New Roman" w:cstheme="minorHAnsi"/>
        </w:rPr>
        <w:t>om</w:t>
      </w:r>
      <w:r w:rsidRPr="00A54361">
        <w:rPr>
          <w:rFonts w:eastAsia="Times New Roman" w:cstheme="minorHAnsi"/>
          <w:spacing w:val="1"/>
        </w:rPr>
        <w:t>m</w:t>
      </w:r>
      <w:r w:rsidRPr="00A54361">
        <w:rPr>
          <w:rFonts w:eastAsia="Times New Roman" w:cstheme="minorHAnsi"/>
        </w:rPr>
        <w:t>i</w:t>
      </w:r>
      <w:r w:rsidRPr="00A54361">
        <w:rPr>
          <w:rFonts w:eastAsia="Times New Roman" w:cstheme="minorHAnsi"/>
          <w:spacing w:val="1"/>
        </w:rPr>
        <w:t>t</w:t>
      </w:r>
      <w:r w:rsidRPr="00A54361">
        <w:rPr>
          <w:rFonts w:eastAsia="Times New Roman" w:cstheme="minorHAnsi"/>
        </w:rPr>
        <w:t>tee</w:t>
      </w:r>
      <w:r w:rsidRPr="00A54361">
        <w:rPr>
          <w:rFonts w:eastAsia="Times New Roman" w:cstheme="minorHAnsi"/>
          <w:spacing w:val="4"/>
        </w:rPr>
        <w:t xml:space="preserve"> </w:t>
      </w:r>
      <w:r w:rsidRPr="00A54361">
        <w:rPr>
          <w:rFonts w:eastAsia="Times New Roman" w:cstheme="minorHAnsi"/>
        </w:rPr>
        <w:t>s</w:t>
      </w:r>
      <w:r w:rsidRPr="00A54361">
        <w:rPr>
          <w:rFonts w:eastAsia="Times New Roman" w:cstheme="minorHAnsi"/>
          <w:spacing w:val="2"/>
        </w:rPr>
        <w:t>h</w:t>
      </w:r>
      <w:r w:rsidRPr="00A54361">
        <w:rPr>
          <w:rFonts w:eastAsia="Times New Roman" w:cstheme="minorHAnsi"/>
          <w:spacing w:val="-1"/>
        </w:rPr>
        <w:t>a</w:t>
      </w:r>
      <w:r w:rsidRPr="00A54361">
        <w:rPr>
          <w:rFonts w:eastAsia="Times New Roman" w:cstheme="minorHAnsi"/>
        </w:rPr>
        <w:t>ll</w:t>
      </w:r>
      <w:r w:rsidRPr="00A54361">
        <w:rPr>
          <w:rFonts w:eastAsia="Times New Roman" w:cstheme="minorHAnsi"/>
          <w:spacing w:val="6"/>
        </w:rPr>
        <w:t xml:space="preserve"> </w:t>
      </w:r>
      <w:r w:rsidRPr="00A54361">
        <w:rPr>
          <w:rFonts w:eastAsia="Times New Roman" w:cstheme="minorHAnsi"/>
          <w:spacing w:val="-1"/>
        </w:rPr>
        <w:t>e</w:t>
      </w:r>
      <w:r w:rsidRPr="00A54361">
        <w:rPr>
          <w:rFonts w:eastAsia="Times New Roman" w:cstheme="minorHAnsi"/>
          <w:spacing w:val="2"/>
        </w:rPr>
        <w:t>x</w:t>
      </w:r>
      <w:r w:rsidRPr="00A54361">
        <w:rPr>
          <w:rFonts w:eastAsia="Times New Roman" w:cstheme="minorHAnsi"/>
        </w:rPr>
        <w:t>p</w:t>
      </w:r>
      <w:r w:rsidRPr="00A54361">
        <w:rPr>
          <w:rFonts w:eastAsia="Times New Roman" w:cstheme="minorHAnsi"/>
          <w:spacing w:val="-1"/>
        </w:rPr>
        <w:t>e</w:t>
      </w:r>
      <w:r w:rsidRPr="00A54361">
        <w:rPr>
          <w:rFonts w:eastAsia="Times New Roman" w:cstheme="minorHAnsi"/>
        </w:rPr>
        <w:t>di</w:t>
      </w:r>
      <w:r w:rsidRPr="00A54361">
        <w:rPr>
          <w:rFonts w:eastAsia="Times New Roman" w:cstheme="minorHAnsi"/>
          <w:spacing w:val="1"/>
        </w:rPr>
        <w:t>t</w:t>
      </w:r>
      <w:r w:rsidRPr="00A54361">
        <w:rPr>
          <w:rFonts w:eastAsia="Times New Roman" w:cstheme="minorHAnsi"/>
        </w:rPr>
        <w:t>ious</w:t>
      </w:r>
      <w:r w:rsidRPr="00A54361">
        <w:rPr>
          <w:rFonts w:eastAsia="Times New Roman" w:cstheme="minorHAnsi"/>
          <w:spacing w:val="3"/>
        </w:rPr>
        <w:t>l</w:t>
      </w:r>
      <w:r w:rsidRPr="00A54361">
        <w:rPr>
          <w:rFonts w:eastAsia="Times New Roman" w:cstheme="minorHAnsi"/>
        </w:rPr>
        <w:t xml:space="preserve">y </w:t>
      </w:r>
      <w:r w:rsidRPr="00A54361">
        <w:rPr>
          <w:rFonts w:eastAsia="Times New Roman" w:cstheme="minorHAnsi"/>
          <w:spacing w:val="-1"/>
        </w:rPr>
        <w:t>e</w:t>
      </w:r>
      <w:r w:rsidRPr="00A54361">
        <w:rPr>
          <w:rFonts w:eastAsia="Times New Roman" w:cstheme="minorHAnsi"/>
          <w:spacing w:val="2"/>
        </w:rPr>
        <w:t>x</w:t>
      </w:r>
      <w:r w:rsidRPr="00A54361">
        <w:rPr>
          <w:rFonts w:eastAsia="Times New Roman" w:cstheme="minorHAnsi"/>
          <w:spacing w:val="-1"/>
        </w:rPr>
        <w:t>a</w:t>
      </w:r>
      <w:r w:rsidRPr="00A54361">
        <w:rPr>
          <w:rFonts w:eastAsia="Times New Roman" w:cstheme="minorHAnsi"/>
        </w:rPr>
        <w:t>m</w:t>
      </w:r>
      <w:r w:rsidRPr="00A54361">
        <w:rPr>
          <w:rFonts w:eastAsia="Times New Roman" w:cstheme="minorHAnsi"/>
          <w:spacing w:val="1"/>
        </w:rPr>
        <w:t>i</w:t>
      </w:r>
      <w:r w:rsidRPr="00A54361">
        <w:rPr>
          <w:rFonts w:eastAsia="Times New Roman" w:cstheme="minorHAnsi"/>
        </w:rPr>
        <w:t>ne the</w:t>
      </w:r>
      <w:r w:rsidRPr="00A54361">
        <w:rPr>
          <w:rFonts w:eastAsia="Times New Roman" w:cstheme="minorHAnsi"/>
          <w:spacing w:val="4"/>
        </w:rPr>
        <w:t xml:space="preserve"> </w:t>
      </w:r>
      <w:r w:rsidRPr="00A54361">
        <w:rPr>
          <w:rFonts w:eastAsia="Times New Roman" w:cstheme="minorHAnsi"/>
        </w:rPr>
        <w:t>r</w:t>
      </w:r>
      <w:r w:rsidRPr="00A54361">
        <w:rPr>
          <w:rFonts w:eastAsia="Times New Roman" w:cstheme="minorHAnsi"/>
          <w:spacing w:val="-2"/>
        </w:rPr>
        <w:t>e</w:t>
      </w:r>
      <w:r w:rsidRPr="00A54361">
        <w:rPr>
          <w:rFonts w:eastAsia="Times New Roman" w:cstheme="minorHAnsi"/>
        </w:rPr>
        <w:t>port,</w:t>
      </w:r>
      <w:r w:rsidRPr="00A54361">
        <w:rPr>
          <w:rFonts w:eastAsia="Times New Roman" w:cstheme="minorHAnsi"/>
          <w:spacing w:val="7"/>
        </w:rPr>
        <w:t xml:space="preserve"> </w:t>
      </w:r>
      <w:r w:rsidRPr="00A54361">
        <w:rPr>
          <w:rFonts w:eastAsia="Times New Roman" w:cstheme="minorHAnsi"/>
          <w:spacing w:val="-2"/>
        </w:rPr>
        <w:t>g</w:t>
      </w:r>
      <w:r w:rsidRPr="00A54361">
        <w:rPr>
          <w:rFonts w:eastAsia="Times New Roman" w:cstheme="minorHAnsi"/>
        </w:rPr>
        <w:t>i</w:t>
      </w:r>
      <w:r w:rsidRPr="00A54361">
        <w:rPr>
          <w:rFonts w:eastAsia="Times New Roman" w:cstheme="minorHAnsi"/>
          <w:spacing w:val="3"/>
        </w:rPr>
        <w:t>v</w:t>
      </w:r>
      <w:r w:rsidRPr="00A54361">
        <w:rPr>
          <w:rFonts w:eastAsia="Times New Roman" w:cstheme="minorHAnsi"/>
        </w:rPr>
        <w:t>e</w:t>
      </w:r>
      <w:r w:rsidRPr="00A54361">
        <w:rPr>
          <w:rFonts w:eastAsia="Times New Roman" w:cstheme="minorHAnsi"/>
          <w:spacing w:val="4"/>
        </w:rPr>
        <w:t xml:space="preserve"> </w:t>
      </w:r>
      <w:r w:rsidRPr="00A54361">
        <w:rPr>
          <w:rFonts w:eastAsia="Times New Roman" w:cstheme="minorHAnsi"/>
        </w:rPr>
        <w:t>i</w:t>
      </w:r>
      <w:r w:rsidRPr="00A54361">
        <w:rPr>
          <w:rFonts w:eastAsia="Times New Roman" w:cstheme="minorHAnsi"/>
          <w:spacing w:val="1"/>
        </w:rPr>
        <w:t>t</w:t>
      </w:r>
      <w:r w:rsidRPr="00A54361">
        <w:rPr>
          <w:rFonts w:eastAsia="Times New Roman" w:cstheme="minorHAnsi"/>
        </w:rPr>
        <w:t>s</w:t>
      </w:r>
      <w:r w:rsidRPr="00A54361">
        <w:rPr>
          <w:rFonts w:eastAsia="Times New Roman" w:cstheme="minorHAnsi"/>
          <w:spacing w:val="5"/>
        </w:rPr>
        <w:t xml:space="preserve"> </w:t>
      </w:r>
      <w:r w:rsidRPr="00A54361">
        <w:rPr>
          <w:rFonts w:eastAsia="Times New Roman" w:cstheme="minorHAnsi"/>
          <w:spacing w:val="-1"/>
        </w:rPr>
        <w:t>c</w:t>
      </w:r>
      <w:r w:rsidRPr="00A54361">
        <w:rPr>
          <w:rFonts w:eastAsia="Times New Roman" w:cstheme="minorHAnsi"/>
        </w:rPr>
        <w:t>o</w:t>
      </w:r>
      <w:r w:rsidRPr="00A54361">
        <w:rPr>
          <w:rFonts w:eastAsia="Times New Roman" w:cstheme="minorHAnsi"/>
          <w:spacing w:val="3"/>
        </w:rPr>
        <w:t>mm</w:t>
      </w:r>
      <w:r w:rsidRPr="00A54361">
        <w:rPr>
          <w:rFonts w:eastAsia="Times New Roman" w:cstheme="minorHAnsi"/>
          <w:spacing w:val="-1"/>
        </w:rPr>
        <w:t>e</w:t>
      </w:r>
      <w:r w:rsidRPr="00A54361">
        <w:rPr>
          <w:rFonts w:eastAsia="Times New Roman" w:cstheme="minorHAnsi"/>
        </w:rPr>
        <w:t>nts</w:t>
      </w:r>
      <w:r w:rsidRPr="00A54361">
        <w:rPr>
          <w:rFonts w:eastAsia="Times New Roman" w:cstheme="minorHAnsi"/>
          <w:spacing w:val="1"/>
        </w:rPr>
        <w:t>/</w:t>
      </w:r>
      <w:r w:rsidRPr="00A54361">
        <w:rPr>
          <w:rFonts w:eastAsia="Times New Roman" w:cstheme="minorHAnsi"/>
        </w:rPr>
        <w:t>r</w:t>
      </w:r>
      <w:r w:rsidRPr="00A54361">
        <w:rPr>
          <w:rFonts w:eastAsia="Times New Roman" w:cstheme="minorHAnsi"/>
          <w:spacing w:val="-2"/>
        </w:rPr>
        <w:t>e</w:t>
      </w:r>
      <w:r w:rsidRPr="00A54361">
        <w:rPr>
          <w:rFonts w:eastAsia="Times New Roman" w:cstheme="minorHAnsi"/>
          <w:spacing w:val="-1"/>
        </w:rPr>
        <w:t>c</w:t>
      </w:r>
      <w:r w:rsidRPr="00A54361">
        <w:rPr>
          <w:rFonts w:eastAsia="Times New Roman" w:cstheme="minorHAnsi"/>
        </w:rPr>
        <w:t>om</w:t>
      </w:r>
      <w:r w:rsidRPr="00A54361">
        <w:rPr>
          <w:rFonts w:eastAsia="Times New Roman" w:cstheme="minorHAnsi"/>
          <w:spacing w:val="1"/>
        </w:rPr>
        <w:t>m</w:t>
      </w:r>
      <w:r w:rsidRPr="00A54361">
        <w:rPr>
          <w:rFonts w:eastAsia="Times New Roman" w:cstheme="minorHAnsi"/>
          <w:spacing w:val="-1"/>
        </w:rPr>
        <w:t>e</w:t>
      </w:r>
      <w:r w:rsidRPr="00A54361">
        <w:rPr>
          <w:rFonts w:eastAsia="Times New Roman" w:cstheme="minorHAnsi"/>
        </w:rPr>
        <w:t>nd</w:t>
      </w:r>
      <w:r w:rsidRPr="00A54361">
        <w:rPr>
          <w:rFonts w:eastAsia="Times New Roman" w:cstheme="minorHAnsi"/>
          <w:spacing w:val="-1"/>
        </w:rPr>
        <w:t>a</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ons</w:t>
      </w:r>
      <w:r w:rsidRPr="00A54361">
        <w:rPr>
          <w:rFonts w:eastAsia="Times New Roman" w:cstheme="minorHAnsi"/>
          <w:spacing w:val="7"/>
        </w:rPr>
        <w:t xml:space="preserve"> </w:t>
      </w:r>
      <w:r w:rsidRPr="00A54361">
        <w:rPr>
          <w:rFonts w:eastAsia="Times New Roman" w:cstheme="minorHAnsi"/>
        </w:rPr>
        <w:t>with</w:t>
      </w:r>
      <w:r w:rsidRPr="00A54361">
        <w:rPr>
          <w:rFonts w:eastAsia="Times New Roman" w:cstheme="minorHAnsi"/>
          <w:spacing w:val="1"/>
        </w:rPr>
        <w:t>i</w:t>
      </w:r>
      <w:r w:rsidRPr="00A54361">
        <w:rPr>
          <w:rFonts w:eastAsia="Times New Roman" w:cstheme="minorHAnsi"/>
        </w:rPr>
        <w:t>n</w:t>
      </w:r>
      <w:r w:rsidRPr="00A54361">
        <w:rPr>
          <w:rFonts w:eastAsia="Times New Roman" w:cstheme="minorHAnsi"/>
          <w:spacing w:val="5"/>
        </w:rPr>
        <w:t xml:space="preserve"> </w:t>
      </w:r>
      <w:r w:rsidRPr="00A54361">
        <w:rPr>
          <w:rFonts w:eastAsia="Times New Roman" w:cstheme="minorHAnsi"/>
        </w:rPr>
        <w:t>tw</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3"/>
        </w:rPr>
        <w:t>t</w:t>
      </w:r>
      <w:r w:rsidRPr="00A54361">
        <w:rPr>
          <w:rFonts w:eastAsia="Times New Roman" w:cstheme="minorHAnsi"/>
        </w:rPr>
        <w:t>y o</w:t>
      </w:r>
      <w:r w:rsidRPr="00A54361">
        <w:rPr>
          <w:rFonts w:eastAsia="Times New Roman" w:cstheme="minorHAnsi"/>
          <w:spacing w:val="2"/>
        </w:rPr>
        <w:t>n</w:t>
      </w:r>
      <w:r w:rsidRPr="00A54361">
        <w:rPr>
          <w:rFonts w:eastAsia="Times New Roman" w:cstheme="minorHAnsi"/>
        </w:rPr>
        <w:t>e</w:t>
      </w:r>
      <w:r w:rsidRPr="00A54361">
        <w:rPr>
          <w:rFonts w:eastAsia="Times New Roman" w:cstheme="minorHAnsi"/>
          <w:spacing w:val="4"/>
        </w:rPr>
        <w:t xml:space="preserve"> </w:t>
      </w:r>
      <w:r w:rsidRPr="00A54361">
        <w:rPr>
          <w:rFonts w:eastAsia="Times New Roman" w:cstheme="minorHAnsi"/>
        </w:rPr>
        <w:t>d</w:t>
      </w:r>
      <w:r w:rsidRPr="00A54361">
        <w:rPr>
          <w:rFonts w:eastAsia="Times New Roman" w:cstheme="minorHAnsi"/>
          <w:spacing w:val="4"/>
        </w:rPr>
        <w:t>a</w:t>
      </w:r>
      <w:r w:rsidRPr="00A54361">
        <w:rPr>
          <w:rFonts w:eastAsia="Times New Roman" w:cstheme="minorHAnsi"/>
          <w:spacing w:val="-5"/>
        </w:rPr>
        <w:t>y</w:t>
      </w:r>
      <w:r w:rsidRPr="00A54361">
        <w:rPr>
          <w:rFonts w:eastAsia="Times New Roman" w:cstheme="minorHAnsi"/>
        </w:rPr>
        <w:t>s</w:t>
      </w:r>
      <w:r w:rsidRPr="00A54361">
        <w:rPr>
          <w:rFonts w:eastAsia="Times New Roman" w:cstheme="minorHAnsi"/>
          <w:spacing w:val="7"/>
        </w:rPr>
        <w:t xml:space="preserve"> </w:t>
      </w:r>
      <w:r w:rsidRPr="00A54361">
        <w:rPr>
          <w:rFonts w:eastAsia="Times New Roman" w:cstheme="minorHAnsi"/>
        </w:rPr>
        <w:t>of</w:t>
      </w:r>
      <w:r w:rsidRPr="00A54361">
        <w:rPr>
          <w:rFonts w:eastAsia="Times New Roman" w:cstheme="minorHAnsi"/>
          <w:spacing w:val="4"/>
        </w:rPr>
        <w:t xml:space="preserve"> </w:t>
      </w:r>
      <w:r w:rsidRPr="00A54361">
        <w:rPr>
          <w:rFonts w:eastAsia="Times New Roman" w:cstheme="minorHAnsi"/>
        </w:rPr>
        <w:t>re</w:t>
      </w:r>
      <w:r w:rsidRPr="00A54361">
        <w:rPr>
          <w:rFonts w:eastAsia="Times New Roman" w:cstheme="minorHAnsi"/>
          <w:spacing w:val="-1"/>
        </w:rPr>
        <w:t>ce</w:t>
      </w:r>
      <w:r w:rsidRPr="00A54361">
        <w:rPr>
          <w:rFonts w:eastAsia="Times New Roman" w:cstheme="minorHAnsi"/>
        </w:rPr>
        <w:t>ipt</w:t>
      </w:r>
      <w:r w:rsidRPr="00A54361">
        <w:rPr>
          <w:rFonts w:eastAsia="Times New Roman" w:cstheme="minorHAnsi"/>
          <w:spacing w:val="5"/>
        </w:rPr>
        <w:t xml:space="preserve"> </w:t>
      </w:r>
      <w:r w:rsidRPr="00A54361">
        <w:rPr>
          <w:rFonts w:eastAsia="Times New Roman" w:cstheme="minorHAnsi"/>
        </w:rPr>
        <w:t>of</w:t>
      </w:r>
      <w:r w:rsidRPr="00A54361">
        <w:rPr>
          <w:rFonts w:eastAsia="Times New Roman" w:cstheme="minorHAnsi"/>
          <w:spacing w:val="6"/>
        </w:rPr>
        <w:t xml:space="preserve"> </w:t>
      </w:r>
      <w:r w:rsidRPr="00A54361">
        <w:rPr>
          <w:rFonts w:eastAsia="Times New Roman" w:cstheme="minorHAnsi"/>
        </w:rPr>
        <w:t>the r</w:t>
      </w:r>
      <w:r w:rsidRPr="00A54361">
        <w:rPr>
          <w:rFonts w:eastAsia="Times New Roman" w:cstheme="minorHAnsi"/>
          <w:spacing w:val="-2"/>
        </w:rPr>
        <w:t>e</w:t>
      </w:r>
      <w:r w:rsidRPr="00A54361">
        <w:rPr>
          <w:rFonts w:eastAsia="Times New Roman" w:cstheme="minorHAnsi"/>
        </w:rPr>
        <w:t>fer</w:t>
      </w:r>
      <w:r w:rsidRPr="00A54361">
        <w:rPr>
          <w:rFonts w:eastAsia="Times New Roman" w:cstheme="minorHAnsi"/>
          <w:spacing w:val="-2"/>
        </w:rPr>
        <w:t>e</w:t>
      </w:r>
      <w:r w:rsidRPr="00A54361">
        <w:rPr>
          <w:rFonts w:eastAsia="Times New Roman" w:cstheme="minorHAnsi"/>
        </w:rPr>
        <w:t>n</w:t>
      </w:r>
      <w:r w:rsidRPr="00A54361">
        <w:rPr>
          <w:rFonts w:eastAsia="Times New Roman" w:cstheme="minorHAnsi"/>
          <w:spacing w:val="1"/>
        </w:rPr>
        <w:t>c</w:t>
      </w:r>
      <w:r w:rsidRPr="00A54361">
        <w:rPr>
          <w:rFonts w:eastAsia="Times New Roman" w:cstheme="minorHAnsi"/>
        </w:rPr>
        <w:t>e</w:t>
      </w:r>
      <w:r w:rsidRPr="00A54361">
        <w:rPr>
          <w:rFonts w:eastAsia="Times New Roman" w:cstheme="minorHAnsi"/>
          <w:spacing w:val="-1"/>
        </w:rPr>
        <w:t xml:space="preserve"> </w:t>
      </w:r>
      <w:r w:rsidRPr="00A54361">
        <w:rPr>
          <w:rFonts w:eastAsia="Times New Roman" w:cstheme="minorHAnsi"/>
          <w:spacing w:val="5"/>
        </w:rPr>
        <w:t>b</w:t>
      </w:r>
      <w:r w:rsidRPr="00A54361">
        <w:rPr>
          <w:rFonts w:eastAsia="Times New Roman" w:cstheme="minorHAnsi"/>
        </w:rPr>
        <w:t>y</w:t>
      </w:r>
      <w:r w:rsidRPr="00A54361">
        <w:rPr>
          <w:rFonts w:eastAsia="Times New Roman" w:cstheme="minorHAnsi"/>
          <w:spacing w:val="-5"/>
        </w:rPr>
        <w:t xml:space="preserve"> </w:t>
      </w:r>
      <w:r w:rsidRPr="00A54361">
        <w:rPr>
          <w:rFonts w:eastAsia="Times New Roman" w:cstheme="minorHAnsi"/>
        </w:rPr>
        <w:t>E</w:t>
      </w:r>
      <w:r w:rsidRPr="00A54361">
        <w:rPr>
          <w:rFonts w:eastAsia="Times New Roman" w:cstheme="minorHAnsi"/>
          <w:spacing w:val="-1"/>
        </w:rPr>
        <w:t>D</w:t>
      </w:r>
      <w:r w:rsidRPr="00A54361">
        <w:rPr>
          <w:rFonts w:eastAsia="Times New Roman" w:cstheme="minorHAnsi"/>
        </w:rPr>
        <w:t xml:space="preserve">, </w:t>
      </w:r>
      <w:r w:rsidR="00917777" w:rsidRPr="00A54361">
        <w:rPr>
          <w:rFonts w:eastAsia="Times New Roman" w:cstheme="minorHAnsi"/>
          <w:spacing w:val="2"/>
        </w:rPr>
        <w:t>BSD</w:t>
      </w:r>
      <w:r w:rsidRPr="00A54361">
        <w:rPr>
          <w:rFonts w:eastAsia="Times New Roman" w:cstheme="minorHAnsi"/>
        </w:rPr>
        <w:t>.</w:t>
      </w:r>
    </w:p>
    <w:p w14:paraId="5342A726" w14:textId="46ED03B5" w:rsidR="0054549F" w:rsidRPr="00A54361" w:rsidRDefault="0054549F" w:rsidP="00A54361">
      <w:pPr>
        <w:spacing w:line="260" w:lineRule="exact"/>
        <w:ind w:left="100" w:right="88"/>
        <w:jc w:val="both"/>
        <w:rPr>
          <w:rFonts w:cstheme="minorHAnsi"/>
        </w:rPr>
      </w:pPr>
      <w:r w:rsidRPr="00A54361">
        <w:rPr>
          <w:rFonts w:eastAsia="Times New Roman" w:cstheme="minorHAnsi"/>
        </w:rPr>
        <w:t>i</w:t>
      </w:r>
      <w:r w:rsidRPr="00A54361">
        <w:rPr>
          <w:rFonts w:eastAsia="Times New Roman" w:cstheme="minorHAnsi"/>
          <w:spacing w:val="1"/>
        </w:rPr>
        <w:t>i</w:t>
      </w:r>
      <w:r w:rsidRPr="00A54361">
        <w:rPr>
          <w:rFonts w:eastAsia="Times New Roman" w:cstheme="minorHAnsi"/>
        </w:rPr>
        <w:t>i)</w:t>
      </w:r>
      <w:r w:rsidRPr="00A54361">
        <w:rPr>
          <w:rFonts w:eastAsia="Times New Roman" w:cstheme="minorHAnsi"/>
          <w:spacing w:val="7"/>
        </w:rPr>
        <w:t xml:space="preserve"> </w:t>
      </w:r>
      <w:r w:rsidRPr="00A54361">
        <w:rPr>
          <w:rFonts w:eastAsia="Times New Roman" w:cstheme="minorHAnsi"/>
          <w:spacing w:val="-3"/>
        </w:rPr>
        <w:t>I</w:t>
      </w:r>
      <w:r w:rsidRPr="00A54361">
        <w:rPr>
          <w:rFonts w:eastAsia="Times New Roman" w:cstheme="minorHAnsi"/>
        </w:rPr>
        <w:t>f</w:t>
      </w:r>
      <w:r w:rsidRPr="00A54361">
        <w:rPr>
          <w:rFonts w:eastAsia="Times New Roman" w:cstheme="minorHAnsi"/>
          <w:spacing w:val="4"/>
        </w:rPr>
        <w:t xml:space="preserve"> </w:t>
      </w:r>
      <w:r w:rsidRPr="00A54361">
        <w:rPr>
          <w:rFonts w:eastAsia="Times New Roman" w:cstheme="minorHAnsi"/>
        </w:rPr>
        <w:t>E</w:t>
      </w:r>
      <w:r w:rsidRPr="00A54361">
        <w:rPr>
          <w:rFonts w:eastAsia="Times New Roman" w:cstheme="minorHAnsi"/>
          <w:spacing w:val="-1"/>
        </w:rPr>
        <w:t>D</w:t>
      </w:r>
      <w:r w:rsidRPr="00A54361">
        <w:rPr>
          <w:rFonts w:eastAsia="Times New Roman" w:cstheme="minorHAnsi"/>
        </w:rPr>
        <w:t>C</w:t>
      </w:r>
      <w:r w:rsidRPr="00A54361">
        <w:rPr>
          <w:rFonts w:eastAsia="Times New Roman" w:cstheme="minorHAnsi"/>
          <w:spacing w:val="6"/>
        </w:rPr>
        <w:t xml:space="preserve"> </w:t>
      </w:r>
      <w:r w:rsidRPr="00A54361">
        <w:rPr>
          <w:rFonts w:eastAsia="Times New Roman" w:cstheme="minorHAnsi"/>
        </w:rPr>
        <w:t>opines</w:t>
      </w:r>
      <w:r w:rsidRPr="00A54361">
        <w:rPr>
          <w:rFonts w:eastAsia="Times New Roman" w:cstheme="minorHAnsi"/>
          <w:spacing w:val="5"/>
        </w:rPr>
        <w:t xml:space="preserve"> </w:t>
      </w:r>
      <w:r w:rsidRPr="00A54361">
        <w:rPr>
          <w:rFonts w:eastAsia="Times New Roman" w:cstheme="minorHAnsi"/>
        </w:rPr>
        <w:t>t</w:t>
      </w:r>
      <w:r w:rsidRPr="00A54361">
        <w:rPr>
          <w:rFonts w:eastAsia="Times New Roman" w:cstheme="minorHAnsi"/>
          <w:spacing w:val="3"/>
        </w:rPr>
        <w:t>h</w:t>
      </w:r>
      <w:r w:rsidRPr="00A54361">
        <w:rPr>
          <w:rFonts w:eastAsia="Times New Roman" w:cstheme="minorHAnsi"/>
          <w:spacing w:val="-1"/>
        </w:rPr>
        <w:t>a</w:t>
      </w:r>
      <w:r w:rsidRPr="00A54361">
        <w:rPr>
          <w:rFonts w:eastAsia="Times New Roman" w:cstheme="minorHAnsi"/>
        </w:rPr>
        <w:t>t</w:t>
      </w:r>
      <w:r w:rsidRPr="00A54361">
        <w:rPr>
          <w:rFonts w:eastAsia="Times New Roman" w:cstheme="minorHAnsi"/>
          <w:spacing w:val="6"/>
        </w:rPr>
        <w:t xml:space="preserve"> </w:t>
      </w:r>
      <w:r w:rsidRPr="00A54361">
        <w:rPr>
          <w:rFonts w:eastAsia="Times New Roman" w:cstheme="minorHAnsi"/>
        </w:rPr>
        <w:t>it</w:t>
      </w:r>
      <w:r w:rsidRPr="00A54361">
        <w:rPr>
          <w:rFonts w:eastAsia="Times New Roman" w:cstheme="minorHAnsi"/>
          <w:spacing w:val="6"/>
        </w:rPr>
        <w:t xml:space="preserve"> </w:t>
      </w:r>
      <w:r w:rsidRPr="00A54361">
        <w:rPr>
          <w:rFonts w:eastAsia="Times New Roman" w:cstheme="minorHAnsi"/>
        </w:rPr>
        <w:t>is</w:t>
      </w:r>
      <w:r w:rsidRPr="00A54361">
        <w:rPr>
          <w:rFonts w:eastAsia="Times New Roman" w:cstheme="minorHAnsi"/>
          <w:spacing w:val="6"/>
        </w:rPr>
        <w:t xml:space="preserve"> </w:t>
      </w:r>
      <w:r w:rsidRPr="00A54361">
        <w:rPr>
          <w:rFonts w:eastAsia="Times New Roman" w:cstheme="minorHAnsi"/>
        </w:rPr>
        <w:t>a</w:t>
      </w:r>
      <w:r w:rsidRPr="00A54361">
        <w:rPr>
          <w:rFonts w:eastAsia="Times New Roman" w:cstheme="minorHAnsi"/>
          <w:spacing w:val="4"/>
        </w:rPr>
        <w:t xml:space="preserve"> </w:t>
      </w:r>
      <w:r w:rsidRPr="00A54361">
        <w:rPr>
          <w:rFonts w:eastAsia="Times New Roman" w:cstheme="minorHAnsi"/>
        </w:rPr>
        <w:t>fit</w:t>
      </w:r>
      <w:r w:rsidRPr="00A54361">
        <w:rPr>
          <w:rFonts w:eastAsia="Times New Roman" w:cstheme="minorHAnsi"/>
          <w:spacing w:val="5"/>
        </w:rPr>
        <w:t xml:space="preserve"> </w:t>
      </w:r>
      <w:r w:rsidRPr="00A54361">
        <w:rPr>
          <w:rFonts w:eastAsia="Times New Roman" w:cstheme="minorHAnsi"/>
          <w:spacing w:val="1"/>
        </w:rPr>
        <w:t>c</w:t>
      </w:r>
      <w:r w:rsidRPr="00A54361">
        <w:rPr>
          <w:rFonts w:eastAsia="Times New Roman" w:cstheme="minorHAnsi"/>
          <w:spacing w:val="-1"/>
        </w:rPr>
        <w:t>a</w:t>
      </w:r>
      <w:r w:rsidRPr="00A54361">
        <w:rPr>
          <w:rFonts w:eastAsia="Times New Roman" w:cstheme="minorHAnsi"/>
        </w:rPr>
        <w:t>se</w:t>
      </w:r>
      <w:r w:rsidRPr="00A54361">
        <w:rPr>
          <w:rFonts w:eastAsia="Times New Roman" w:cstheme="minorHAnsi"/>
          <w:spacing w:val="7"/>
        </w:rPr>
        <w:t xml:space="preserve"> </w:t>
      </w:r>
      <w:r w:rsidRPr="00A54361">
        <w:rPr>
          <w:rFonts w:eastAsia="Times New Roman" w:cstheme="minorHAnsi"/>
        </w:rPr>
        <w:t>for</w:t>
      </w:r>
      <w:r w:rsidRPr="00A54361">
        <w:rPr>
          <w:rFonts w:eastAsia="Times New Roman" w:cstheme="minorHAnsi"/>
          <w:spacing w:val="4"/>
        </w:rPr>
        <w:t xml:space="preserve"> </w:t>
      </w:r>
      <w:r w:rsidRPr="00A54361">
        <w:rPr>
          <w:rFonts w:eastAsia="Times New Roman" w:cstheme="minorHAnsi"/>
        </w:rPr>
        <w:t>sus</w:t>
      </w:r>
      <w:r w:rsidRPr="00A54361">
        <w:rPr>
          <w:rFonts w:eastAsia="Times New Roman" w:cstheme="minorHAnsi"/>
          <w:spacing w:val="3"/>
        </w:rPr>
        <w:t>p</w:t>
      </w:r>
      <w:r w:rsidRPr="00A54361">
        <w:rPr>
          <w:rFonts w:eastAsia="Times New Roman" w:cstheme="minorHAnsi"/>
          <w:spacing w:val="-1"/>
        </w:rPr>
        <w:t>e</w:t>
      </w:r>
      <w:r w:rsidRPr="00A54361">
        <w:rPr>
          <w:rFonts w:eastAsia="Times New Roman" w:cstheme="minorHAnsi"/>
        </w:rPr>
        <w:t>nsion,</w:t>
      </w:r>
      <w:r w:rsidRPr="00A54361">
        <w:rPr>
          <w:rFonts w:eastAsia="Times New Roman" w:cstheme="minorHAnsi"/>
          <w:spacing w:val="5"/>
        </w:rPr>
        <w:t xml:space="preserve"> </w:t>
      </w:r>
      <w:r w:rsidRPr="00A54361">
        <w:rPr>
          <w:rFonts w:eastAsia="Times New Roman" w:cstheme="minorHAnsi"/>
        </w:rPr>
        <w:t>E</w:t>
      </w:r>
      <w:r w:rsidRPr="00A54361">
        <w:rPr>
          <w:rFonts w:eastAsia="Times New Roman" w:cstheme="minorHAnsi"/>
          <w:spacing w:val="-1"/>
        </w:rPr>
        <w:t>D</w:t>
      </w:r>
      <w:r w:rsidRPr="00A54361">
        <w:rPr>
          <w:rFonts w:eastAsia="Times New Roman" w:cstheme="minorHAnsi"/>
        </w:rPr>
        <w:t>C</w:t>
      </w:r>
      <w:r w:rsidRPr="00A54361">
        <w:rPr>
          <w:rFonts w:eastAsia="Times New Roman" w:cstheme="minorHAnsi"/>
          <w:spacing w:val="6"/>
        </w:rPr>
        <w:t xml:space="preserve"> </w:t>
      </w:r>
      <w:r w:rsidRPr="00A54361">
        <w:rPr>
          <w:rFonts w:eastAsia="Times New Roman" w:cstheme="minorHAnsi"/>
        </w:rPr>
        <w:t>m</w:t>
      </w:r>
      <w:r w:rsidRPr="00A54361">
        <w:rPr>
          <w:rFonts w:eastAsia="Times New Roman" w:cstheme="minorHAnsi"/>
          <w:spacing w:val="4"/>
        </w:rPr>
        <w:t>a</w:t>
      </w:r>
      <w:r w:rsidRPr="00A54361">
        <w:rPr>
          <w:rFonts w:eastAsia="Times New Roman" w:cstheme="minorHAnsi"/>
        </w:rPr>
        <w:t>y p</w:t>
      </w:r>
      <w:r w:rsidRPr="00A54361">
        <w:rPr>
          <w:rFonts w:eastAsia="Times New Roman" w:cstheme="minorHAnsi"/>
          <w:spacing w:val="-1"/>
        </w:rPr>
        <w:t>a</w:t>
      </w:r>
      <w:r w:rsidRPr="00A54361">
        <w:rPr>
          <w:rFonts w:eastAsia="Times New Roman" w:cstheme="minorHAnsi"/>
        </w:rPr>
        <w:t>ss</w:t>
      </w:r>
      <w:r w:rsidRPr="00A54361">
        <w:rPr>
          <w:rFonts w:eastAsia="Times New Roman" w:cstheme="minorHAnsi"/>
          <w:spacing w:val="8"/>
        </w:rPr>
        <w:t xml:space="preserve"> </w:t>
      </w:r>
      <w:r w:rsidRPr="00A54361">
        <w:rPr>
          <w:rFonts w:eastAsia="Times New Roman" w:cstheme="minorHAnsi"/>
        </w:rPr>
        <w:t>n</w:t>
      </w:r>
      <w:r w:rsidRPr="00A54361">
        <w:rPr>
          <w:rFonts w:eastAsia="Times New Roman" w:cstheme="minorHAnsi"/>
          <w:spacing w:val="-1"/>
        </w:rPr>
        <w:t>e</w:t>
      </w:r>
      <w:r w:rsidRPr="00A54361">
        <w:rPr>
          <w:rFonts w:eastAsia="Times New Roman" w:cstheme="minorHAnsi"/>
          <w:spacing w:val="1"/>
        </w:rPr>
        <w:t>c</w:t>
      </w:r>
      <w:r w:rsidRPr="00A54361">
        <w:rPr>
          <w:rFonts w:eastAsia="Times New Roman" w:cstheme="minorHAnsi"/>
          <w:spacing w:val="-1"/>
        </w:rPr>
        <w:t>e</w:t>
      </w:r>
      <w:r w:rsidRPr="00A54361">
        <w:rPr>
          <w:rFonts w:eastAsia="Times New Roman" w:cstheme="minorHAnsi"/>
          <w:spacing w:val="2"/>
        </w:rPr>
        <w:t>s</w:t>
      </w:r>
      <w:r w:rsidRPr="00A54361">
        <w:rPr>
          <w:rFonts w:eastAsia="Times New Roman" w:cstheme="minorHAnsi"/>
        </w:rPr>
        <w:t>s</w:t>
      </w:r>
      <w:r w:rsidRPr="00A54361">
        <w:rPr>
          <w:rFonts w:eastAsia="Times New Roman" w:cstheme="minorHAnsi"/>
          <w:spacing w:val="-1"/>
        </w:rPr>
        <w:t>a</w:t>
      </w:r>
      <w:r w:rsidRPr="00A54361">
        <w:rPr>
          <w:rFonts w:eastAsia="Times New Roman" w:cstheme="minorHAnsi"/>
          <w:spacing w:val="4"/>
        </w:rPr>
        <w:t>r</w:t>
      </w:r>
      <w:r w:rsidRPr="00A54361">
        <w:rPr>
          <w:rFonts w:eastAsia="Times New Roman" w:cstheme="minorHAnsi"/>
        </w:rPr>
        <w:t>y or</w:t>
      </w:r>
      <w:r w:rsidRPr="00A54361">
        <w:rPr>
          <w:rFonts w:eastAsia="Times New Roman" w:cstheme="minorHAnsi"/>
          <w:spacing w:val="1"/>
        </w:rPr>
        <w:t>d</w:t>
      </w:r>
      <w:r w:rsidRPr="00A54361">
        <w:rPr>
          <w:rFonts w:eastAsia="Times New Roman" w:cstheme="minorHAnsi"/>
          <w:spacing w:val="-1"/>
        </w:rPr>
        <w:t>e</w:t>
      </w:r>
      <w:r w:rsidRPr="00A54361">
        <w:rPr>
          <w:rFonts w:eastAsia="Times New Roman" w:cstheme="minorHAnsi"/>
        </w:rPr>
        <w:t>rs</w:t>
      </w:r>
      <w:r w:rsidRPr="00A54361">
        <w:rPr>
          <w:rFonts w:eastAsia="Times New Roman" w:cstheme="minorHAnsi"/>
          <w:spacing w:val="5"/>
        </w:rPr>
        <w:t xml:space="preserve"> </w:t>
      </w:r>
      <w:r w:rsidRPr="00A54361">
        <w:rPr>
          <w:rFonts w:eastAsia="Times New Roman" w:cstheme="minorHAnsi"/>
        </w:rPr>
        <w:t>whi</w:t>
      </w:r>
      <w:r w:rsidRPr="00A54361">
        <w:rPr>
          <w:rFonts w:eastAsia="Times New Roman" w:cstheme="minorHAnsi"/>
          <w:spacing w:val="-1"/>
        </w:rPr>
        <w:t>c</w:t>
      </w:r>
      <w:r w:rsidRPr="00A54361">
        <w:rPr>
          <w:rFonts w:eastAsia="Times New Roman" w:cstheme="minorHAnsi"/>
        </w:rPr>
        <w:t>h sh</w:t>
      </w:r>
      <w:r w:rsidRPr="00A54361">
        <w:rPr>
          <w:rFonts w:eastAsia="Times New Roman" w:cstheme="minorHAnsi"/>
          <w:spacing w:val="-1"/>
        </w:rPr>
        <w:t>a</w:t>
      </w:r>
      <w:r w:rsidRPr="00A54361">
        <w:rPr>
          <w:rFonts w:eastAsia="Times New Roman" w:cstheme="minorHAnsi"/>
        </w:rPr>
        <w:t>ll</w:t>
      </w:r>
      <w:r w:rsidRPr="00A54361">
        <w:rPr>
          <w:rFonts w:eastAsia="Times New Roman" w:cstheme="minorHAnsi"/>
          <w:spacing w:val="1"/>
        </w:rPr>
        <w:t xml:space="preserve"> </w:t>
      </w:r>
      <w:r w:rsidRPr="00A54361">
        <w:rPr>
          <w:rFonts w:eastAsia="Times New Roman" w:cstheme="minorHAnsi"/>
        </w:rPr>
        <w:t>be</w:t>
      </w:r>
      <w:r w:rsidRPr="00A54361">
        <w:rPr>
          <w:rFonts w:eastAsia="Times New Roman" w:cstheme="minorHAnsi"/>
          <w:spacing w:val="-1"/>
        </w:rPr>
        <w:t xml:space="preserve"> c</w:t>
      </w:r>
      <w:r w:rsidRPr="00A54361">
        <w:rPr>
          <w:rFonts w:eastAsia="Times New Roman" w:cstheme="minorHAnsi"/>
        </w:rPr>
        <w:t>om</w:t>
      </w:r>
      <w:r w:rsidRPr="00A54361">
        <w:rPr>
          <w:rFonts w:eastAsia="Times New Roman" w:cstheme="minorHAnsi"/>
          <w:spacing w:val="1"/>
        </w:rPr>
        <w:t>m</w:t>
      </w:r>
      <w:r w:rsidRPr="00A54361">
        <w:rPr>
          <w:rFonts w:eastAsia="Times New Roman" w:cstheme="minorHAnsi"/>
        </w:rPr>
        <w:t>unic</w:t>
      </w:r>
      <w:r w:rsidRPr="00A54361">
        <w:rPr>
          <w:rFonts w:eastAsia="Times New Roman" w:cstheme="minorHAnsi"/>
          <w:spacing w:val="-1"/>
        </w:rPr>
        <w:t>a</w:t>
      </w:r>
      <w:r w:rsidRPr="00A54361">
        <w:rPr>
          <w:rFonts w:eastAsia="Times New Roman" w:cstheme="minorHAnsi"/>
        </w:rPr>
        <w:t xml:space="preserve">ted </w:t>
      </w:r>
      <w:r w:rsidRPr="00A54361">
        <w:rPr>
          <w:rFonts w:eastAsia="Times New Roman" w:cstheme="minorHAnsi"/>
          <w:spacing w:val="2"/>
        </w:rPr>
        <w:t>t</w:t>
      </w:r>
      <w:r w:rsidRPr="00A54361">
        <w:rPr>
          <w:rFonts w:eastAsia="Times New Roman" w:cstheme="minorHAnsi"/>
        </w:rPr>
        <w:t xml:space="preserve">o the </w:t>
      </w:r>
      <w:r w:rsidRPr="00A54361">
        <w:rPr>
          <w:rFonts w:eastAsia="Times New Roman" w:cstheme="minorHAnsi"/>
          <w:spacing w:val="-1"/>
        </w:rPr>
        <w:t>f</w:t>
      </w:r>
      <w:r w:rsidRPr="00A54361">
        <w:rPr>
          <w:rFonts w:eastAsia="Times New Roman" w:cstheme="minorHAnsi"/>
        </w:rPr>
        <w:t>or</w:t>
      </w:r>
      <w:r w:rsidRPr="00A54361">
        <w:rPr>
          <w:rFonts w:eastAsia="Times New Roman" w:cstheme="minorHAnsi"/>
          <w:spacing w:val="-2"/>
        </w:rPr>
        <w:t>e</w:t>
      </w:r>
      <w:r w:rsidRPr="00A54361">
        <w:rPr>
          <w:rFonts w:eastAsia="Times New Roman" w:cstheme="minorHAnsi"/>
          <w:spacing w:val="3"/>
        </w:rPr>
        <w:t>i</w:t>
      </w:r>
      <w:r w:rsidRPr="00A54361">
        <w:rPr>
          <w:rFonts w:eastAsia="Times New Roman" w:cstheme="minorHAnsi"/>
          <w:spacing w:val="-2"/>
        </w:rPr>
        <w:t>g</w:t>
      </w:r>
      <w:r w:rsidRPr="00A54361">
        <w:rPr>
          <w:rFonts w:eastAsia="Times New Roman" w:cstheme="minorHAnsi"/>
        </w:rPr>
        <w:t>n supplier</w:t>
      </w:r>
      <w:r w:rsidRPr="00A54361">
        <w:rPr>
          <w:rFonts w:eastAsia="Times New Roman" w:cstheme="minorHAnsi"/>
          <w:spacing w:val="-1"/>
        </w:rPr>
        <w:t xml:space="preserve"> </w:t>
      </w:r>
      <w:r w:rsidRPr="00A54361">
        <w:rPr>
          <w:rFonts w:eastAsia="Times New Roman" w:cstheme="minorHAnsi"/>
          <w:spacing w:val="5"/>
        </w:rPr>
        <w:t>b</w:t>
      </w:r>
      <w:r w:rsidRPr="00A54361">
        <w:rPr>
          <w:rFonts w:eastAsia="Times New Roman" w:cstheme="minorHAnsi"/>
        </w:rPr>
        <w:t>y</w:t>
      </w:r>
      <w:r w:rsidRPr="00A54361">
        <w:rPr>
          <w:rFonts w:eastAsia="Times New Roman" w:cstheme="minorHAnsi"/>
          <w:spacing w:val="-3"/>
        </w:rPr>
        <w:t xml:space="preserve"> </w:t>
      </w:r>
      <w:r w:rsidRPr="00A54361">
        <w:rPr>
          <w:rFonts w:eastAsia="Times New Roman" w:cstheme="minorHAnsi"/>
        </w:rPr>
        <w:t>E</w:t>
      </w:r>
      <w:r w:rsidRPr="00A54361">
        <w:rPr>
          <w:rFonts w:eastAsia="Times New Roman" w:cstheme="minorHAnsi"/>
          <w:spacing w:val="-1"/>
        </w:rPr>
        <w:t>D</w:t>
      </w:r>
      <w:r w:rsidRPr="00A54361">
        <w:rPr>
          <w:rFonts w:eastAsia="Times New Roman" w:cstheme="minorHAnsi"/>
        </w:rPr>
        <w:t xml:space="preserve">, </w:t>
      </w:r>
      <w:r w:rsidR="00917777" w:rsidRPr="00A54361">
        <w:rPr>
          <w:rFonts w:eastAsia="Times New Roman" w:cstheme="minorHAnsi"/>
        </w:rPr>
        <w:t>BSD</w:t>
      </w:r>
      <w:r w:rsidRPr="00A54361">
        <w:rPr>
          <w:rFonts w:eastAsia="Times New Roman" w:cstheme="minorHAnsi"/>
        </w:rPr>
        <w:t>.</w:t>
      </w:r>
    </w:p>
    <w:p w14:paraId="3F134841" w14:textId="77777777" w:rsidR="0054549F" w:rsidRPr="00A54361" w:rsidRDefault="0054549F" w:rsidP="00A54361">
      <w:pPr>
        <w:spacing w:line="260" w:lineRule="exact"/>
        <w:ind w:left="100" w:right="81"/>
        <w:jc w:val="both"/>
        <w:rPr>
          <w:rFonts w:cstheme="minorHAnsi"/>
        </w:rPr>
      </w:pPr>
      <w:r w:rsidRPr="00A54361">
        <w:rPr>
          <w:rFonts w:eastAsia="Times New Roman" w:cstheme="minorHAnsi"/>
        </w:rPr>
        <w:t>5.6</w:t>
      </w:r>
      <w:r w:rsidRPr="00A54361">
        <w:rPr>
          <w:rFonts w:eastAsia="Times New Roman" w:cstheme="minorHAnsi"/>
          <w:spacing w:val="10"/>
        </w:rPr>
        <w:t xml:space="preserve"> </w:t>
      </w:r>
      <w:r w:rsidRPr="00A54361">
        <w:rPr>
          <w:rFonts w:eastAsia="Times New Roman" w:cstheme="minorHAnsi"/>
          <w:spacing w:val="-3"/>
        </w:rPr>
        <w:t>I</w:t>
      </w:r>
      <w:r w:rsidRPr="00A54361">
        <w:rPr>
          <w:rFonts w:eastAsia="Times New Roman" w:cstheme="minorHAnsi"/>
        </w:rPr>
        <w:t>f</w:t>
      </w:r>
      <w:r w:rsidRPr="00A54361">
        <w:rPr>
          <w:rFonts w:eastAsia="Times New Roman" w:cstheme="minorHAnsi"/>
          <w:spacing w:val="6"/>
        </w:rPr>
        <w:t xml:space="preserve"> </w:t>
      </w:r>
      <w:r w:rsidRPr="00A54361">
        <w:rPr>
          <w:rFonts w:eastAsia="Times New Roman" w:cstheme="minorHAnsi"/>
        </w:rPr>
        <w:t>the</w:t>
      </w:r>
      <w:r w:rsidRPr="00A54361">
        <w:rPr>
          <w:rFonts w:eastAsia="Times New Roman" w:cstheme="minorHAnsi"/>
          <w:spacing w:val="7"/>
        </w:rPr>
        <w:t xml:space="preserve"> </w:t>
      </w:r>
      <w:r w:rsidRPr="00A54361">
        <w:rPr>
          <w:rFonts w:eastAsia="Times New Roman" w:cstheme="minorHAnsi"/>
          <w:spacing w:val="2"/>
        </w:rPr>
        <w:t>A</w:t>
      </w:r>
      <w:r w:rsidRPr="00A54361">
        <w:rPr>
          <w:rFonts w:eastAsia="Times New Roman" w:cstheme="minorHAnsi"/>
          <w:spacing w:val="-2"/>
        </w:rPr>
        <w:t>g</w:t>
      </w:r>
      <w:r w:rsidRPr="00A54361">
        <w:rPr>
          <w:rFonts w:eastAsia="Times New Roman" w:cstheme="minorHAnsi"/>
          <w:spacing w:val="-1"/>
        </w:rPr>
        <w:t>e</w:t>
      </w:r>
      <w:r w:rsidRPr="00A54361">
        <w:rPr>
          <w:rFonts w:eastAsia="Times New Roman" w:cstheme="minorHAnsi"/>
          <w:spacing w:val="2"/>
        </w:rPr>
        <w:t>n</w:t>
      </w:r>
      <w:r w:rsidRPr="00A54361">
        <w:rPr>
          <w:rFonts w:eastAsia="Times New Roman" w:cstheme="minorHAnsi"/>
          <w:spacing w:val="4"/>
        </w:rPr>
        <w:t>c</w:t>
      </w:r>
      <w:r w:rsidRPr="00A54361">
        <w:rPr>
          <w:rFonts w:eastAsia="Times New Roman" w:cstheme="minorHAnsi"/>
        </w:rPr>
        <w:t>y</w:t>
      </w:r>
      <w:r w:rsidRPr="00A54361">
        <w:rPr>
          <w:rFonts w:eastAsia="Times New Roman" w:cstheme="minorHAnsi"/>
          <w:spacing w:val="2"/>
        </w:rPr>
        <w:t xml:space="preserve"> </w:t>
      </w:r>
      <w:r w:rsidRPr="00A54361">
        <w:rPr>
          <w:rFonts w:eastAsia="Times New Roman" w:cstheme="minorHAnsi"/>
          <w:spacing w:val="1"/>
        </w:rPr>
        <w:t>c</w:t>
      </w:r>
      <w:r w:rsidRPr="00A54361">
        <w:rPr>
          <w:rFonts w:eastAsia="Times New Roman" w:cstheme="minorHAnsi"/>
        </w:rPr>
        <w:t>on</w:t>
      </w:r>
      <w:r w:rsidRPr="00A54361">
        <w:rPr>
          <w:rFonts w:eastAsia="Times New Roman" w:cstheme="minorHAnsi"/>
          <w:spacing w:val="1"/>
        </w:rPr>
        <w:t>ce</w:t>
      </w:r>
      <w:r w:rsidRPr="00A54361">
        <w:rPr>
          <w:rFonts w:eastAsia="Times New Roman" w:cstheme="minorHAnsi"/>
        </w:rPr>
        <w:t>rn</w:t>
      </w:r>
      <w:r w:rsidRPr="00A54361">
        <w:rPr>
          <w:rFonts w:eastAsia="Times New Roman" w:cstheme="minorHAnsi"/>
          <w:spacing w:val="-2"/>
        </w:rPr>
        <w:t>e</w:t>
      </w:r>
      <w:r w:rsidRPr="00A54361">
        <w:rPr>
          <w:rFonts w:eastAsia="Times New Roman" w:cstheme="minorHAnsi"/>
        </w:rPr>
        <w:t>d</w:t>
      </w:r>
      <w:r w:rsidRPr="00A54361">
        <w:rPr>
          <w:rFonts w:eastAsia="Times New Roman" w:cstheme="minorHAnsi"/>
          <w:spacing w:val="7"/>
        </w:rPr>
        <w:t xml:space="preserve"> </w:t>
      </w:r>
      <w:r w:rsidRPr="00A54361">
        <w:rPr>
          <w:rFonts w:eastAsia="Times New Roman" w:cstheme="minorHAnsi"/>
          <w:spacing w:val="-1"/>
        </w:rPr>
        <w:t>a</w:t>
      </w:r>
      <w:r w:rsidRPr="00A54361">
        <w:rPr>
          <w:rFonts w:eastAsia="Times New Roman" w:cstheme="minorHAnsi"/>
        </w:rPr>
        <w:t>sks</w:t>
      </w:r>
      <w:r w:rsidRPr="00A54361">
        <w:rPr>
          <w:rFonts w:eastAsia="Times New Roman" w:cstheme="minorHAnsi"/>
          <w:spacing w:val="8"/>
        </w:rPr>
        <w:t xml:space="preserve"> </w:t>
      </w:r>
      <w:r w:rsidRPr="00A54361">
        <w:rPr>
          <w:rFonts w:eastAsia="Times New Roman" w:cstheme="minorHAnsi"/>
        </w:rPr>
        <w:t>for</w:t>
      </w:r>
      <w:r w:rsidRPr="00A54361">
        <w:rPr>
          <w:rFonts w:eastAsia="Times New Roman" w:cstheme="minorHAnsi"/>
          <w:spacing w:val="6"/>
        </w:rPr>
        <w:t xml:space="preserve"> </w:t>
      </w:r>
      <w:r w:rsidRPr="00A54361">
        <w:rPr>
          <w:rFonts w:eastAsia="Times New Roman" w:cstheme="minorHAnsi"/>
          <w:spacing w:val="2"/>
        </w:rPr>
        <w:t>d</w:t>
      </w:r>
      <w:r w:rsidRPr="00A54361">
        <w:rPr>
          <w:rFonts w:eastAsia="Times New Roman" w:cstheme="minorHAnsi"/>
          <w:spacing w:val="-1"/>
        </w:rPr>
        <w:t>e</w:t>
      </w:r>
      <w:r w:rsidRPr="00A54361">
        <w:rPr>
          <w:rFonts w:eastAsia="Times New Roman" w:cstheme="minorHAnsi"/>
        </w:rPr>
        <w:t>tailed</w:t>
      </w:r>
      <w:r w:rsidRPr="00A54361">
        <w:rPr>
          <w:rFonts w:eastAsia="Times New Roman" w:cstheme="minorHAnsi"/>
          <w:spacing w:val="7"/>
        </w:rPr>
        <w:t xml:space="preserve"> </w:t>
      </w:r>
      <w:r w:rsidRPr="00A54361">
        <w:rPr>
          <w:rFonts w:eastAsia="Times New Roman" w:cstheme="minorHAnsi"/>
          <w:spacing w:val="1"/>
        </w:rPr>
        <w:t>r</w:t>
      </w:r>
      <w:r w:rsidRPr="00A54361">
        <w:rPr>
          <w:rFonts w:eastAsia="Times New Roman" w:cstheme="minorHAnsi"/>
          <w:spacing w:val="-1"/>
        </w:rPr>
        <w:t>ea</w:t>
      </w:r>
      <w:r w:rsidRPr="00A54361">
        <w:rPr>
          <w:rFonts w:eastAsia="Times New Roman" w:cstheme="minorHAnsi"/>
        </w:rPr>
        <w:t>sons</w:t>
      </w:r>
      <w:r w:rsidRPr="00A54361">
        <w:rPr>
          <w:rFonts w:eastAsia="Times New Roman" w:cstheme="minorHAnsi"/>
          <w:spacing w:val="8"/>
        </w:rPr>
        <w:t xml:space="preserve"> </w:t>
      </w:r>
      <w:r w:rsidRPr="00A54361">
        <w:rPr>
          <w:rFonts w:eastAsia="Times New Roman" w:cstheme="minorHAnsi"/>
        </w:rPr>
        <w:t>of</w:t>
      </w:r>
      <w:r w:rsidRPr="00A54361">
        <w:rPr>
          <w:rFonts w:eastAsia="Times New Roman" w:cstheme="minorHAnsi"/>
          <w:spacing w:val="6"/>
        </w:rPr>
        <w:t xml:space="preserve"> </w:t>
      </w:r>
      <w:r w:rsidRPr="00A54361">
        <w:rPr>
          <w:rFonts w:eastAsia="Times New Roman" w:cstheme="minorHAnsi"/>
        </w:rPr>
        <w:t>suspension,</w:t>
      </w:r>
      <w:r w:rsidRPr="00A54361">
        <w:rPr>
          <w:rFonts w:eastAsia="Times New Roman" w:cstheme="minorHAnsi"/>
          <w:spacing w:val="7"/>
        </w:rPr>
        <w:t xml:space="preserve"> </w:t>
      </w:r>
      <w:r w:rsidRPr="00A54361">
        <w:rPr>
          <w:rFonts w:eastAsia="Times New Roman" w:cstheme="minorHAnsi"/>
        </w:rPr>
        <w:t>t</w:t>
      </w:r>
      <w:r w:rsidRPr="00A54361">
        <w:rPr>
          <w:rFonts w:eastAsia="Times New Roman" w:cstheme="minorHAnsi"/>
          <w:spacing w:val="3"/>
        </w:rPr>
        <w:t>h</w:t>
      </w:r>
      <w:r w:rsidRPr="00A54361">
        <w:rPr>
          <w:rFonts w:eastAsia="Times New Roman" w:cstheme="minorHAnsi"/>
        </w:rPr>
        <w:t>e</w:t>
      </w:r>
      <w:r w:rsidRPr="00A54361">
        <w:rPr>
          <w:rFonts w:eastAsia="Times New Roman" w:cstheme="minorHAnsi"/>
          <w:spacing w:val="6"/>
        </w:rPr>
        <w:t xml:space="preserve"> </w:t>
      </w:r>
      <w:r w:rsidRPr="00A54361">
        <w:rPr>
          <w:rFonts w:eastAsia="Times New Roman" w:cstheme="minorHAnsi"/>
          <w:spacing w:val="2"/>
        </w:rPr>
        <w:t>A</w:t>
      </w:r>
      <w:r w:rsidRPr="00A54361">
        <w:rPr>
          <w:rFonts w:eastAsia="Times New Roman" w:cstheme="minorHAnsi"/>
          <w:spacing w:val="-2"/>
        </w:rPr>
        <w:t>g</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4"/>
        </w:rPr>
        <w:t>c</w:t>
      </w:r>
      <w:r w:rsidRPr="00A54361">
        <w:rPr>
          <w:rFonts w:eastAsia="Times New Roman" w:cstheme="minorHAnsi"/>
        </w:rPr>
        <w:t>y</w:t>
      </w:r>
      <w:r w:rsidRPr="00A54361">
        <w:rPr>
          <w:rFonts w:eastAsia="Times New Roman" w:cstheme="minorHAnsi"/>
          <w:spacing w:val="2"/>
        </w:rPr>
        <w:t xml:space="preserve"> </w:t>
      </w:r>
      <w:r w:rsidRPr="00A54361">
        <w:rPr>
          <w:rFonts w:eastAsia="Times New Roman" w:cstheme="minorHAnsi"/>
          <w:spacing w:val="3"/>
        </w:rPr>
        <w:t>m</w:t>
      </w:r>
      <w:r w:rsidRPr="00A54361">
        <w:rPr>
          <w:rFonts w:eastAsia="Times New Roman" w:cstheme="minorHAnsi"/>
          <w:spacing w:val="4"/>
        </w:rPr>
        <w:t>a</w:t>
      </w:r>
      <w:r w:rsidRPr="00A54361">
        <w:rPr>
          <w:rFonts w:eastAsia="Times New Roman" w:cstheme="minorHAnsi"/>
        </w:rPr>
        <w:t xml:space="preserve">y </w:t>
      </w:r>
      <w:r w:rsidRPr="00A54361">
        <w:rPr>
          <w:rFonts w:eastAsia="Times New Roman" w:cstheme="minorHAnsi"/>
          <w:spacing w:val="2"/>
        </w:rPr>
        <w:t>b</w:t>
      </w:r>
      <w:r w:rsidRPr="00A54361">
        <w:rPr>
          <w:rFonts w:eastAsia="Times New Roman" w:cstheme="minorHAnsi"/>
        </w:rPr>
        <w:t>e info</w:t>
      </w:r>
      <w:r w:rsidRPr="00A54361">
        <w:rPr>
          <w:rFonts w:eastAsia="Times New Roman" w:cstheme="minorHAnsi"/>
          <w:spacing w:val="-1"/>
        </w:rPr>
        <w:t>r</w:t>
      </w:r>
      <w:r w:rsidRPr="00A54361">
        <w:rPr>
          <w:rFonts w:eastAsia="Times New Roman" w:cstheme="minorHAnsi"/>
        </w:rPr>
        <w:t>med</w:t>
      </w:r>
      <w:r w:rsidRPr="00A54361">
        <w:rPr>
          <w:rFonts w:eastAsia="Times New Roman" w:cstheme="minorHAnsi"/>
          <w:spacing w:val="-10"/>
        </w:rPr>
        <w:t xml:space="preserve"> </w:t>
      </w:r>
      <w:r w:rsidRPr="00A54361">
        <w:rPr>
          <w:rFonts w:eastAsia="Times New Roman" w:cstheme="minorHAnsi"/>
        </w:rPr>
        <w:t>that</w:t>
      </w:r>
      <w:r w:rsidRPr="00A54361">
        <w:rPr>
          <w:rFonts w:eastAsia="Times New Roman" w:cstheme="minorHAnsi"/>
          <w:spacing w:val="-10"/>
        </w:rPr>
        <w:t xml:space="preserve"> </w:t>
      </w:r>
      <w:r w:rsidRPr="00A54361">
        <w:rPr>
          <w:rFonts w:eastAsia="Times New Roman" w:cstheme="minorHAnsi"/>
        </w:rPr>
        <w:t>i</w:t>
      </w:r>
      <w:r w:rsidRPr="00A54361">
        <w:rPr>
          <w:rFonts w:eastAsia="Times New Roman" w:cstheme="minorHAnsi"/>
          <w:spacing w:val="1"/>
        </w:rPr>
        <w:t>t</w:t>
      </w:r>
      <w:r w:rsidRPr="00A54361">
        <w:rPr>
          <w:rFonts w:eastAsia="Times New Roman" w:cstheme="minorHAnsi"/>
        </w:rPr>
        <w:t>s</w:t>
      </w:r>
      <w:r w:rsidRPr="00A54361">
        <w:rPr>
          <w:rFonts w:eastAsia="Times New Roman" w:cstheme="minorHAnsi"/>
          <w:spacing w:val="-9"/>
        </w:rPr>
        <w:t xml:space="preserve"> </w:t>
      </w:r>
      <w:r w:rsidRPr="00A54361">
        <w:rPr>
          <w:rFonts w:eastAsia="Times New Roman" w:cstheme="minorHAnsi"/>
          <w:spacing w:val="-1"/>
        </w:rPr>
        <w:t>c</w:t>
      </w:r>
      <w:r w:rsidRPr="00A54361">
        <w:rPr>
          <w:rFonts w:eastAsia="Times New Roman" w:cstheme="minorHAnsi"/>
        </w:rPr>
        <w:t>ondu</w:t>
      </w:r>
      <w:r w:rsidRPr="00A54361">
        <w:rPr>
          <w:rFonts w:eastAsia="Times New Roman" w:cstheme="minorHAnsi"/>
          <w:spacing w:val="-1"/>
        </w:rPr>
        <w:t>c</w:t>
      </w:r>
      <w:r w:rsidRPr="00A54361">
        <w:rPr>
          <w:rFonts w:eastAsia="Times New Roman" w:cstheme="minorHAnsi"/>
        </w:rPr>
        <w:t>t</w:t>
      </w:r>
      <w:r w:rsidRPr="00A54361">
        <w:rPr>
          <w:rFonts w:eastAsia="Times New Roman" w:cstheme="minorHAnsi"/>
          <w:spacing w:val="-9"/>
        </w:rPr>
        <w:t xml:space="preserve"> </w:t>
      </w:r>
      <w:r w:rsidRPr="00A54361">
        <w:rPr>
          <w:rFonts w:eastAsia="Times New Roman" w:cstheme="minorHAnsi"/>
        </w:rPr>
        <w:t>is</w:t>
      </w:r>
      <w:r w:rsidRPr="00A54361">
        <w:rPr>
          <w:rFonts w:eastAsia="Times New Roman" w:cstheme="minorHAnsi"/>
          <w:spacing w:val="-9"/>
        </w:rPr>
        <w:t xml:space="preserve"> </w:t>
      </w:r>
      <w:r w:rsidRPr="00A54361">
        <w:rPr>
          <w:rFonts w:eastAsia="Times New Roman" w:cstheme="minorHAnsi"/>
        </w:rPr>
        <w:t>und</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10"/>
        </w:rPr>
        <w:t xml:space="preserve"> </w:t>
      </w:r>
      <w:r w:rsidRPr="00A54361">
        <w:rPr>
          <w:rFonts w:eastAsia="Times New Roman" w:cstheme="minorHAnsi"/>
        </w:rPr>
        <w:t>investi</w:t>
      </w:r>
      <w:r w:rsidRPr="00A54361">
        <w:rPr>
          <w:rFonts w:eastAsia="Times New Roman" w:cstheme="minorHAnsi"/>
          <w:spacing w:val="-2"/>
        </w:rPr>
        <w:t>g</w:t>
      </w:r>
      <w:r w:rsidRPr="00A54361">
        <w:rPr>
          <w:rFonts w:eastAsia="Times New Roman" w:cstheme="minorHAnsi"/>
          <w:spacing w:val="-1"/>
        </w:rPr>
        <w:t>a</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on.</w:t>
      </w:r>
      <w:r w:rsidRPr="00A54361">
        <w:rPr>
          <w:rFonts w:eastAsia="Times New Roman" w:cstheme="minorHAnsi"/>
          <w:spacing w:val="-7"/>
        </w:rPr>
        <w:t xml:space="preserve"> </w:t>
      </w:r>
      <w:r w:rsidRPr="00A54361">
        <w:rPr>
          <w:rFonts w:eastAsia="Times New Roman" w:cstheme="minorHAnsi"/>
          <w:spacing w:val="-3"/>
        </w:rPr>
        <w:t>I</w:t>
      </w:r>
      <w:r w:rsidRPr="00A54361">
        <w:rPr>
          <w:rFonts w:eastAsia="Times New Roman" w:cstheme="minorHAnsi"/>
        </w:rPr>
        <w:t>t</w:t>
      </w:r>
      <w:r w:rsidRPr="00A54361">
        <w:rPr>
          <w:rFonts w:eastAsia="Times New Roman" w:cstheme="minorHAnsi"/>
          <w:spacing w:val="-9"/>
        </w:rPr>
        <w:t xml:space="preserve"> </w:t>
      </w:r>
      <w:r w:rsidRPr="00A54361">
        <w:rPr>
          <w:rFonts w:eastAsia="Times New Roman" w:cstheme="minorHAnsi"/>
          <w:spacing w:val="3"/>
        </w:rPr>
        <w:t>i</w:t>
      </w:r>
      <w:r w:rsidRPr="00A54361">
        <w:rPr>
          <w:rFonts w:eastAsia="Times New Roman" w:cstheme="minorHAnsi"/>
        </w:rPr>
        <w:t>s</w:t>
      </w:r>
      <w:r w:rsidRPr="00A54361">
        <w:rPr>
          <w:rFonts w:eastAsia="Times New Roman" w:cstheme="minorHAnsi"/>
          <w:spacing w:val="-9"/>
        </w:rPr>
        <w:t xml:space="preserve"> </w:t>
      </w:r>
      <w:r w:rsidRPr="00A54361">
        <w:rPr>
          <w:rFonts w:eastAsia="Times New Roman" w:cstheme="minorHAnsi"/>
        </w:rPr>
        <w:t>not</w:t>
      </w:r>
      <w:r w:rsidRPr="00A54361">
        <w:rPr>
          <w:rFonts w:eastAsia="Times New Roman" w:cstheme="minorHAnsi"/>
          <w:spacing w:val="-9"/>
        </w:rPr>
        <w:t xml:space="preserve"> </w:t>
      </w:r>
      <w:r w:rsidRPr="00A54361">
        <w:rPr>
          <w:rFonts w:eastAsia="Times New Roman" w:cstheme="minorHAnsi"/>
        </w:rPr>
        <w:t>n</w:t>
      </w:r>
      <w:r w:rsidRPr="00A54361">
        <w:rPr>
          <w:rFonts w:eastAsia="Times New Roman" w:cstheme="minorHAnsi"/>
          <w:spacing w:val="-1"/>
        </w:rPr>
        <w:t>ece</w:t>
      </w:r>
      <w:r w:rsidRPr="00A54361">
        <w:rPr>
          <w:rFonts w:eastAsia="Times New Roman" w:cstheme="minorHAnsi"/>
        </w:rPr>
        <w:t>ssa</w:t>
      </w:r>
      <w:r w:rsidRPr="00A54361">
        <w:rPr>
          <w:rFonts w:eastAsia="Times New Roman" w:cstheme="minorHAnsi"/>
          <w:spacing w:val="3"/>
        </w:rPr>
        <w:t>r</w:t>
      </w:r>
      <w:r w:rsidRPr="00A54361">
        <w:rPr>
          <w:rFonts w:eastAsia="Times New Roman" w:cstheme="minorHAnsi"/>
        </w:rPr>
        <w:t>y</w:t>
      </w:r>
      <w:r w:rsidRPr="00A54361">
        <w:rPr>
          <w:rFonts w:eastAsia="Times New Roman" w:cstheme="minorHAnsi"/>
          <w:spacing w:val="-14"/>
        </w:rPr>
        <w:t xml:space="preserve"> </w:t>
      </w:r>
      <w:r w:rsidRPr="00A54361">
        <w:rPr>
          <w:rFonts w:eastAsia="Times New Roman" w:cstheme="minorHAnsi"/>
        </w:rPr>
        <w:t>to</w:t>
      </w:r>
      <w:r w:rsidRPr="00A54361">
        <w:rPr>
          <w:rFonts w:eastAsia="Times New Roman" w:cstheme="minorHAnsi"/>
          <w:spacing w:val="-9"/>
        </w:rPr>
        <w:t xml:space="preserve"> </w:t>
      </w:r>
      <w:r w:rsidRPr="00A54361">
        <w:rPr>
          <w:rFonts w:eastAsia="Times New Roman" w:cstheme="minorHAnsi"/>
          <w:spacing w:val="-1"/>
        </w:rPr>
        <w:t>e</w:t>
      </w:r>
      <w:r w:rsidRPr="00A54361">
        <w:rPr>
          <w:rFonts w:eastAsia="Times New Roman" w:cstheme="minorHAnsi"/>
        </w:rPr>
        <w:t>nt</w:t>
      </w:r>
      <w:r w:rsidRPr="00A54361">
        <w:rPr>
          <w:rFonts w:eastAsia="Times New Roman" w:cstheme="minorHAnsi"/>
          <w:spacing w:val="2"/>
        </w:rPr>
        <w:t>e</w:t>
      </w:r>
      <w:r w:rsidRPr="00A54361">
        <w:rPr>
          <w:rFonts w:eastAsia="Times New Roman" w:cstheme="minorHAnsi"/>
        </w:rPr>
        <w:t>r</w:t>
      </w:r>
      <w:r w:rsidRPr="00A54361">
        <w:rPr>
          <w:rFonts w:eastAsia="Times New Roman" w:cstheme="minorHAnsi"/>
          <w:spacing w:val="-10"/>
        </w:rPr>
        <w:t xml:space="preserve"> </w:t>
      </w:r>
      <w:r w:rsidRPr="00A54361">
        <w:rPr>
          <w:rFonts w:eastAsia="Times New Roman" w:cstheme="minorHAnsi"/>
        </w:rPr>
        <w:t>in</w:t>
      </w:r>
      <w:r w:rsidRPr="00A54361">
        <w:rPr>
          <w:rFonts w:eastAsia="Times New Roman" w:cstheme="minorHAnsi"/>
          <w:spacing w:val="1"/>
        </w:rPr>
        <w:t>t</w:t>
      </w:r>
      <w:r w:rsidRPr="00A54361">
        <w:rPr>
          <w:rFonts w:eastAsia="Times New Roman" w:cstheme="minorHAnsi"/>
        </w:rPr>
        <w:t>o</w:t>
      </w:r>
      <w:r w:rsidRPr="00A54361">
        <w:rPr>
          <w:rFonts w:eastAsia="Times New Roman" w:cstheme="minorHAnsi"/>
          <w:spacing w:val="-10"/>
        </w:rPr>
        <w:t xml:space="preserve"> </w:t>
      </w:r>
      <w:r w:rsidRPr="00A54361">
        <w:rPr>
          <w:rFonts w:eastAsia="Times New Roman" w:cstheme="minorHAnsi"/>
          <w:spacing w:val="-1"/>
        </w:rPr>
        <w:t>c</w:t>
      </w:r>
      <w:r w:rsidRPr="00A54361">
        <w:rPr>
          <w:rFonts w:eastAsia="Times New Roman" w:cstheme="minorHAnsi"/>
        </w:rPr>
        <w:t>or</w:t>
      </w:r>
      <w:r w:rsidRPr="00A54361">
        <w:rPr>
          <w:rFonts w:eastAsia="Times New Roman" w:cstheme="minorHAnsi"/>
          <w:spacing w:val="-1"/>
        </w:rPr>
        <w:t>re</w:t>
      </w:r>
      <w:r w:rsidRPr="00A54361">
        <w:rPr>
          <w:rFonts w:eastAsia="Times New Roman" w:cstheme="minorHAnsi"/>
        </w:rPr>
        <w:t>spond</w:t>
      </w:r>
      <w:r w:rsidRPr="00A54361">
        <w:rPr>
          <w:rFonts w:eastAsia="Times New Roman" w:cstheme="minorHAnsi"/>
          <w:spacing w:val="-1"/>
        </w:rPr>
        <w:t>e</w:t>
      </w:r>
      <w:r w:rsidRPr="00A54361">
        <w:rPr>
          <w:rFonts w:eastAsia="Times New Roman" w:cstheme="minorHAnsi"/>
          <w:spacing w:val="2"/>
        </w:rPr>
        <w:t>n</w:t>
      </w:r>
      <w:r w:rsidRPr="00A54361">
        <w:rPr>
          <w:rFonts w:eastAsia="Times New Roman" w:cstheme="minorHAnsi"/>
          <w:spacing w:val="-1"/>
        </w:rPr>
        <w:t>c</w:t>
      </w:r>
      <w:r w:rsidRPr="00A54361">
        <w:rPr>
          <w:rFonts w:eastAsia="Times New Roman" w:cstheme="minorHAnsi"/>
        </w:rPr>
        <w:t xml:space="preserve">e or </w:t>
      </w:r>
      <w:r w:rsidRPr="00A54361">
        <w:rPr>
          <w:rFonts w:eastAsia="Times New Roman" w:cstheme="minorHAnsi"/>
          <w:spacing w:val="-2"/>
        </w:rPr>
        <w:t>a</w:t>
      </w:r>
      <w:r w:rsidRPr="00A54361">
        <w:rPr>
          <w:rFonts w:eastAsia="Times New Roman" w:cstheme="minorHAnsi"/>
          <w:spacing w:val="1"/>
        </w:rPr>
        <w:t>r</w:t>
      </w:r>
      <w:r w:rsidRPr="00A54361">
        <w:rPr>
          <w:rFonts w:eastAsia="Times New Roman" w:cstheme="minorHAnsi"/>
          <w:spacing w:val="-2"/>
        </w:rPr>
        <w:t>g</w:t>
      </w:r>
      <w:r w:rsidRPr="00A54361">
        <w:rPr>
          <w:rFonts w:eastAsia="Times New Roman" w:cstheme="minorHAnsi"/>
        </w:rPr>
        <w:t xml:space="preserve">ument with </w:t>
      </w:r>
      <w:r w:rsidRPr="00A54361">
        <w:rPr>
          <w:rFonts w:eastAsia="Times New Roman" w:cstheme="minorHAnsi"/>
          <w:spacing w:val="1"/>
        </w:rPr>
        <w:t>t</w:t>
      </w:r>
      <w:r w:rsidRPr="00A54361">
        <w:rPr>
          <w:rFonts w:eastAsia="Times New Roman" w:cstheme="minorHAnsi"/>
        </w:rPr>
        <w:t>he</w:t>
      </w:r>
      <w:r w:rsidRPr="00A54361">
        <w:rPr>
          <w:rFonts w:eastAsia="Times New Roman" w:cstheme="minorHAnsi"/>
          <w:spacing w:val="-1"/>
        </w:rPr>
        <w:t xml:space="preserve"> </w:t>
      </w:r>
      <w:r w:rsidRPr="00A54361">
        <w:rPr>
          <w:rFonts w:eastAsia="Times New Roman" w:cstheme="minorHAnsi"/>
          <w:spacing w:val="2"/>
        </w:rPr>
        <w:t>A</w:t>
      </w:r>
      <w:r w:rsidRPr="00A54361">
        <w:rPr>
          <w:rFonts w:eastAsia="Times New Roman" w:cstheme="minorHAnsi"/>
        </w:rPr>
        <w:t>g</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4"/>
        </w:rPr>
        <w:t>c</w:t>
      </w:r>
      <w:r w:rsidRPr="00A54361">
        <w:rPr>
          <w:rFonts w:eastAsia="Times New Roman" w:cstheme="minorHAnsi"/>
        </w:rPr>
        <w:t>y</w:t>
      </w:r>
      <w:r w:rsidRPr="00A54361">
        <w:rPr>
          <w:rFonts w:eastAsia="Times New Roman" w:cstheme="minorHAnsi"/>
          <w:spacing w:val="-5"/>
        </w:rPr>
        <w:t xml:space="preserve"> </w:t>
      </w:r>
      <w:r w:rsidRPr="00A54361">
        <w:rPr>
          <w:rFonts w:eastAsia="Times New Roman" w:cstheme="minorHAnsi"/>
          <w:spacing w:val="-1"/>
        </w:rPr>
        <w:t>a</w:t>
      </w:r>
      <w:r w:rsidRPr="00A54361">
        <w:rPr>
          <w:rFonts w:eastAsia="Times New Roman" w:cstheme="minorHAnsi"/>
        </w:rPr>
        <w:t xml:space="preserve">t </w:t>
      </w:r>
      <w:r w:rsidRPr="00A54361">
        <w:rPr>
          <w:rFonts w:eastAsia="Times New Roman" w:cstheme="minorHAnsi"/>
          <w:spacing w:val="1"/>
        </w:rPr>
        <w:t>t</w:t>
      </w:r>
      <w:r w:rsidRPr="00A54361">
        <w:rPr>
          <w:rFonts w:eastAsia="Times New Roman" w:cstheme="minorHAnsi"/>
        </w:rPr>
        <w:t xml:space="preserve">his </w:t>
      </w:r>
      <w:r w:rsidRPr="00A54361">
        <w:rPr>
          <w:rFonts w:eastAsia="Times New Roman" w:cstheme="minorHAnsi"/>
          <w:spacing w:val="1"/>
        </w:rPr>
        <w:t>s</w:t>
      </w:r>
      <w:r w:rsidRPr="00A54361">
        <w:rPr>
          <w:rFonts w:eastAsia="Times New Roman" w:cstheme="minorHAnsi"/>
        </w:rPr>
        <w:t>t</w:t>
      </w:r>
      <w:r w:rsidRPr="00A54361">
        <w:rPr>
          <w:rFonts w:eastAsia="Times New Roman" w:cstheme="minorHAnsi"/>
          <w:spacing w:val="2"/>
        </w:rPr>
        <w:t>a</w:t>
      </w:r>
      <w:r w:rsidRPr="00A54361">
        <w:rPr>
          <w:rFonts w:eastAsia="Times New Roman" w:cstheme="minorHAnsi"/>
          <w:spacing w:val="-2"/>
        </w:rPr>
        <w:t>g</w:t>
      </w:r>
      <w:r w:rsidRPr="00A54361">
        <w:rPr>
          <w:rFonts w:eastAsia="Times New Roman" w:cstheme="minorHAnsi"/>
          <w:spacing w:val="-1"/>
        </w:rPr>
        <w:t>e</w:t>
      </w:r>
      <w:r w:rsidRPr="00A54361">
        <w:rPr>
          <w:rFonts w:eastAsia="Times New Roman" w:cstheme="minorHAnsi"/>
        </w:rPr>
        <w:t>.</w:t>
      </w:r>
    </w:p>
    <w:p w14:paraId="61C7AB38" w14:textId="77777777" w:rsidR="0054549F" w:rsidRPr="00A54361" w:rsidRDefault="0054549F" w:rsidP="00A54361">
      <w:pPr>
        <w:ind w:left="100" w:right="74"/>
        <w:jc w:val="both"/>
        <w:rPr>
          <w:rFonts w:cstheme="minorHAnsi"/>
        </w:rPr>
      </w:pPr>
      <w:r w:rsidRPr="00A54361">
        <w:rPr>
          <w:rFonts w:eastAsia="Times New Roman" w:cstheme="minorHAnsi"/>
        </w:rPr>
        <w:t>5.7</w:t>
      </w:r>
      <w:r w:rsidRPr="00A54361">
        <w:rPr>
          <w:rFonts w:eastAsia="Times New Roman" w:cstheme="minorHAnsi"/>
          <w:spacing w:val="2"/>
        </w:rPr>
        <w:t xml:space="preserve"> </w:t>
      </w:r>
      <w:r w:rsidRPr="00A54361">
        <w:rPr>
          <w:rFonts w:eastAsia="Times New Roman" w:cstheme="minorHAnsi"/>
          <w:spacing w:val="-6"/>
        </w:rPr>
        <w:t>I</w:t>
      </w:r>
      <w:r w:rsidRPr="00A54361">
        <w:rPr>
          <w:rFonts w:eastAsia="Times New Roman" w:cstheme="minorHAnsi"/>
        </w:rPr>
        <w:t xml:space="preserve">t </w:t>
      </w:r>
      <w:r w:rsidRPr="00A54361">
        <w:rPr>
          <w:rFonts w:eastAsia="Times New Roman" w:cstheme="minorHAnsi"/>
          <w:spacing w:val="1"/>
        </w:rPr>
        <w:t>i</w:t>
      </w:r>
      <w:r w:rsidRPr="00A54361">
        <w:rPr>
          <w:rFonts w:eastAsia="Times New Roman" w:cstheme="minorHAnsi"/>
        </w:rPr>
        <w:t>s not n</w:t>
      </w:r>
      <w:r w:rsidRPr="00A54361">
        <w:rPr>
          <w:rFonts w:eastAsia="Times New Roman" w:cstheme="minorHAnsi"/>
          <w:spacing w:val="-1"/>
        </w:rPr>
        <w:t>ece</w:t>
      </w:r>
      <w:r w:rsidRPr="00A54361">
        <w:rPr>
          <w:rFonts w:eastAsia="Times New Roman" w:cstheme="minorHAnsi"/>
        </w:rPr>
        <w:t>s</w:t>
      </w:r>
      <w:r w:rsidRPr="00A54361">
        <w:rPr>
          <w:rFonts w:eastAsia="Times New Roman" w:cstheme="minorHAnsi"/>
          <w:spacing w:val="3"/>
        </w:rPr>
        <w:t>s</w:t>
      </w:r>
      <w:r w:rsidRPr="00A54361">
        <w:rPr>
          <w:rFonts w:eastAsia="Times New Roman" w:cstheme="minorHAnsi"/>
          <w:spacing w:val="-1"/>
        </w:rPr>
        <w:t>a</w:t>
      </w:r>
      <w:r w:rsidRPr="00A54361">
        <w:rPr>
          <w:rFonts w:eastAsia="Times New Roman" w:cstheme="minorHAnsi"/>
          <w:spacing w:val="4"/>
        </w:rPr>
        <w:t>r</w:t>
      </w:r>
      <w:r w:rsidRPr="00A54361">
        <w:rPr>
          <w:rFonts w:eastAsia="Times New Roman" w:cstheme="minorHAnsi"/>
        </w:rPr>
        <w:t>y</w:t>
      </w:r>
      <w:r w:rsidRPr="00A54361">
        <w:rPr>
          <w:rFonts w:eastAsia="Times New Roman" w:cstheme="minorHAnsi"/>
          <w:spacing w:val="-5"/>
        </w:rPr>
        <w:t xml:space="preserve"> </w:t>
      </w:r>
      <w:r w:rsidRPr="00A54361">
        <w:rPr>
          <w:rFonts w:eastAsia="Times New Roman" w:cstheme="minorHAnsi"/>
        </w:rPr>
        <w:t>to</w:t>
      </w:r>
      <w:r w:rsidRPr="00A54361">
        <w:rPr>
          <w:rFonts w:eastAsia="Times New Roman" w:cstheme="minorHAnsi"/>
          <w:spacing w:val="3"/>
        </w:rPr>
        <w:t xml:space="preserve"> </w:t>
      </w:r>
      <w:r w:rsidRPr="00A54361">
        <w:rPr>
          <w:rFonts w:eastAsia="Times New Roman" w:cstheme="minorHAnsi"/>
          <w:spacing w:val="-2"/>
        </w:rPr>
        <w:t>g</w:t>
      </w:r>
      <w:r w:rsidRPr="00A54361">
        <w:rPr>
          <w:rFonts w:eastAsia="Times New Roman" w:cstheme="minorHAnsi"/>
        </w:rPr>
        <w:t xml:space="preserve">ive </w:t>
      </w:r>
      <w:r w:rsidRPr="00A54361">
        <w:rPr>
          <w:rFonts w:eastAsia="Times New Roman" w:cstheme="minorHAnsi"/>
          <w:spacing w:val="-1"/>
        </w:rPr>
        <w:t>a</w:t>
      </w:r>
      <w:r w:rsidRPr="00A54361">
        <w:rPr>
          <w:rFonts w:eastAsia="Times New Roman" w:cstheme="minorHAnsi"/>
          <w:spacing w:val="5"/>
        </w:rPr>
        <w:t>n</w:t>
      </w:r>
      <w:r w:rsidRPr="00A54361">
        <w:rPr>
          <w:rFonts w:eastAsia="Times New Roman" w:cstheme="minorHAnsi"/>
        </w:rPr>
        <w:t>y</w:t>
      </w:r>
      <w:r w:rsidRPr="00A54361">
        <w:rPr>
          <w:rFonts w:eastAsia="Times New Roman" w:cstheme="minorHAnsi"/>
          <w:spacing w:val="-5"/>
        </w:rPr>
        <w:t xml:space="preserve"> </w:t>
      </w:r>
      <w:r w:rsidRPr="00A54361">
        <w:rPr>
          <w:rFonts w:eastAsia="Times New Roman" w:cstheme="minorHAnsi"/>
        </w:rPr>
        <w:t>sh</w:t>
      </w:r>
      <w:r w:rsidRPr="00A54361">
        <w:rPr>
          <w:rFonts w:eastAsia="Times New Roman" w:cstheme="minorHAnsi"/>
          <w:spacing w:val="2"/>
        </w:rPr>
        <w:t>ow</w:t>
      </w:r>
      <w:r w:rsidRPr="00A54361">
        <w:rPr>
          <w:rFonts w:eastAsia="Times New Roman" w:cstheme="minorHAnsi"/>
          <w:spacing w:val="-1"/>
        </w:rPr>
        <w:t>-</w:t>
      </w:r>
      <w:r w:rsidRPr="00A54361">
        <w:rPr>
          <w:rFonts w:eastAsia="Times New Roman" w:cstheme="minorHAnsi"/>
          <w:spacing w:val="1"/>
        </w:rPr>
        <w:t>c</w:t>
      </w:r>
      <w:r w:rsidRPr="00A54361">
        <w:rPr>
          <w:rFonts w:eastAsia="Times New Roman" w:cstheme="minorHAnsi"/>
          <w:spacing w:val="-1"/>
        </w:rPr>
        <w:t>a</w:t>
      </w:r>
      <w:r w:rsidRPr="00A54361">
        <w:rPr>
          <w:rFonts w:eastAsia="Times New Roman" w:cstheme="minorHAnsi"/>
        </w:rPr>
        <w:t>use</w:t>
      </w:r>
      <w:r w:rsidRPr="00A54361">
        <w:rPr>
          <w:rFonts w:eastAsia="Times New Roman" w:cstheme="minorHAnsi"/>
          <w:spacing w:val="-1"/>
        </w:rPr>
        <w:t xml:space="preserve"> </w:t>
      </w:r>
      <w:r w:rsidRPr="00A54361">
        <w:rPr>
          <w:rFonts w:eastAsia="Times New Roman" w:cstheme="minorHAnsi"/>
        </w:rPr>
        <w:t>not</w:t>
      </w:r>
      <w:r w:rsidRPr="00A54361">
        <w:rPr>
          <w:rFonts w:eastAsia="Times New Roman" w:cstheme="minorHAnsi"/>
          <w:spacing w:val="1"/>
        </w:rPr>
        <w:t>i</w:t>
      </w:r>
      <w:r w:rsidRPr="00A54361">
        <w:rPr>
          <w:rFonts w:eastAsia="Times New Roman" w:cstheme="minorHAnsi"/>
          <w:spacing w:val="-1"/>
        </w:rPr>
        <w:t>c</w:t>
      </w:r>
      <w:r w:rsidRPr="00A54361">
        <w:rPr>
          <w:rFonts w:eastAsia="Times New Roman" w:cstheme="minorHAnsi"/>
        </w:rPr>
        <w:t>e</w:t>
      </w:r>
      <w:r w:rsidRPr="00A54361">
        <w:rPr>
          <w:rFonts w:eastAsia="Times New Roman" w:cstheme="minorHAnsi"/>
          <w:spacing w:val="-1"/>
        </w:rPr>
        <w:t xml:space="preserve"> </w:t>
      </w:r>
      <w:r w:rsidRPr="00A54361">
        <w:rPr>
          <w:rFonts w:eastAsia="Times New Roman" w:cstheme="minorHAnsi"/>
        </w:rPr>
        <w:t>or person</w:t>
      </w:r>
      <w:r w:rsidRPr="00A54361">
        <w:rPr>
          <w:rFonts w:eastAsia="Times New Roman" w:cstheme="minorHAnsi"/>
          <w:spacing w:val="-1"/>
        </w:rPr>
        <w:t>a</w:t>
      </w:r>
      <w:r w:rsidRPr="00A54361">
        <w:rPr>
          <w:rFonts w:eastAsia="Times New Roman" w:cstheme="minorHAnsi"/>
        </w:rPr>
        <w:t>l he</w:t>
      </w:r>
      <w:r w:rsidRPr="00A54361">
        <w:rPr>
          <w:rFonts w:eastAsia="Times New Roman" w:cstheme="minorHAnsi"/>
          <w:spacing w:val="1"/>
        </w:rPr>
        <w:t>a</w:t>
      </w:r>
      <w:r w:rsidRPr="00A54361">
        <w:rPr>
          <w:rFonts w:eastAsia="Times New Roman" w:cstheme="minorHAnsi"/>
        </w:rPr>
        <w:t>ri</w:t>
      </w:r>
      <w:r w:rsidRPr="00A54361">
        <w:rPr>
          <w:rFonts w:eastAsia="Times New Roman" w:cstheme="minorHAnsi"/>
          <w:spacing w:val="2"/>
        </w:rPr>
        <w:t>n</w:t>
      </w:r>
      <w:r w:rsidRPr="00A54361">
        <w:rPr>
          <w:rFonts w:eastAsia="Times New Roman" w:cstheme="minorHAnsi"/>
        </w:rPr>
        <w:t>g</w:t>
      </w:r>
      <w:r w:rsidRPr="00A54361">
        <w:rPr>
          <w:rFonts w:eastAsia="Times New Roman" w:cstheme="minorHAnsi"/>
          <w:spacing w:val="-2"/>
        </w:rPr>
        <w:t xml:space="preserve"> </w:t>
      </w:r>
      <w:r w:rsidRPr="00A54361">
        <w:rPr>
          <w:rFonts w:eastAsia="Times New Roman" w:cstheme="minorHAnsi"/>
        </w:rPr>
        <w:t xml:space="preserve">to </w:t>
      </w:r>
      <w:r w:rsidRPr="00A54361">
        <w:rPr>
          <w:rFonts w:eastAsia="Times New Roman" w:cstheme="minorHAnsi"/>
          <w:spacing w:val="1"/>
        </w:rPr>
        <w:t>t</w:t>
      </w:r>
      <w:r w:rsidRPr="00A54361">
        <w:rPr>
          <w:rFonts w:eastAsia="Times New Roman" w:cstheme="minorHAnsi"/>
        </w:rPr>
        <w:t>he</w:t>
      </w:r>
      <w:r w:rsidRPr="00A54361">
        <w:rPr>
          <w:rFonts w:eastAsia="Times New Roman" w:cstheme="minorHAnsi"/>
          <w:spacing w:val="-1"/>
        </w:rPr>
        <w:t xml:space="preserve"> </w:t>
      </w:r>
      <w:r w:rsidRPr="00A54361">
        <w:rPr>
          <w:rFonts w:eastAsia="Times New Roman" w:cstheme="minorHAnsi"/>
        </w:rPr>
        <w:t>Ag</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4"/>
        </w:rPr>
        <w:t>c</w:t>
      </w:r>
      <w:r w:rsidRPr="00A54361">
        <w:rPr>
          <w:rFonts w:eastAsia="Times New Roman" w:cstheme="minorHAnsi"/>
        </w:rPr>
        <w:t>y</w:t>
      </w:r>
      <w:r w:rsidRPr="00A54361">
        <w:rPr>
          <w:rFonts w:eastAsia="Times New Roman" w:cstheme="minorHAnsi"/>
          <w:spacing w:val="-5"/>
        </w:rPr>
        <w:t xml:space="preserve"> </w:t>
      </w:r>
      <w:r w:rsidRPr="00A54361">
        <w:rPr>
          <w:rFonts w:eastAsia="Times New Roman" w:cstheme="minorHAnsi"/>
        </w:rPr>
        <w:t>b</w:t>
      </w:r>
      <w:r w:rsidRPr="00A54361">
        <w:rPr>
          <w:rFonts w:eastAsia="Times New Roman" w:cstheme="minorHAnsi"/>
          <w:spacing w:val="1"/>
        </w:rPr>
        <w:t>e</w:t>
      </w:r>
      <w:r w:rsidRPr="00A54361">
        <w:rPr>
          <w:rFonts w:eastAsia="Times New Roman" w:cstheme="minorHAnsi"/>
        </w:rPr>
        <w:t>fo</w:t>
      </w:r>
      <w:r w:rsidRPr="00A54361">
        <w:rPr>
          <w:rFonts w:eastAsia="Times New Roman" w:cstheme="minorHAnsi"/>
          <w:spacing w:val="-1"/>
        </w:rPr>
        <w:t>r</w:t>
      </w:r>
      <w:r w:rsidRPr="00A54361">
        <w:rPr>
          <w:rFonts w:eastAsia="Times New Roman" w:cstheme="minorHAnsi"/>
        </w:rPr>
        <w:t>e is</w:t>
      </w:r>
      <w:r w:rsidRPr="00A54361">
        <w:rPr>
          <w:rFonts w:eastAsia="Times New Roman" w:cstheme="minorHAnsi"/>
          <w:spacing w:val="1"/>
        </w:rPr>
        <w:t>s</w:t>
      </w:r>
      <w:r w:rsidRPr="00A54361">
        <w:rPr>
          <w:rFonts w:eastAsia="Times New Roman" w:cstheme="minorHAnsi"/>
        </w:rPr>
        <w:t>uing the</w:t>
      </w:r>
      <w:r w:rsidRPr="00A54361">
        <w:rPr>
          <w:rFonts w:eastAsia="Times New Roman" w:cstheme="minorHAnsi"/>
          <w:spacing w:val="1"/>
        </w:rPr>
        <w:t xml:space="preserve"> </w:t>
      </w:r>
      <w:r w:rsidRPr="00A54361">
        <w:rPr>
          <w:rFonts w:eastAsia="Times New Roman" w:cstheme="minorHAnsi"/>
        </w:rPr>
        <w:t>ord</w:t>
      </w:r>
      <w:r w:rsidRPr="00A54361">
        <w:rPr>
          <w:rFonts w:eastAsia="Times New Roman" w:cstheme="minorHAnsi"/>
          <w:spacing w:val="-2"/>
        </w:rPr>
        <w:t>e</w:t>
      </w:r>
      <w:r w:rsidRPr="00A54361">
        <w:rPr>
          <w:rFonts w:eastAsia="Times New Roman" w:cstheme="minorHAnsi"/>
        </w:rPr>
        <w:t>r</w:t>
      </w:r>
      <w:r w:rsidRPr="00A54361">
        <w:rPr>
          <w:rFonts w:eastAsia="Times New Roman" w:cstheme="minorHAnsi"/>
          <w:spacing w:val="1"/>
        </w:rPr>
        <w:t xml:space="preserve"> </w:t>
      </w:r>
      <w:r w:rsidRPr="00A54361">
        <w:rPr>
          <w:rFonts w:eastAsia="Times New Roman" w:cstheme="minorHAnsi"/>
        </w:rPr>
        <w:t>of</w:t>
      </w:r>
      <w:r w:rsidRPr="00A54361">
        <w:rPr>
          <w:rFonts w:eastAsia="Times New Roman" w:cstheme="minorHAnsi"/>
          <w:spacing w:val="1"/>
        </w:rPr>
        <w:t xml:space="preserve"> </w:t>
      </w:r>
      <w:r w:rsidRPr="00A54361">
        <w:rPr>
          <w:rFonts w:eastAsia="Times New Roman" w:cstheme="minorHAnsi"/>
        </w:rPr>
        <w:t>suspension.</w:t>
      </w:r>
      <w:r w:rsidRPr="00A54361">
        <w:rPr>
          <w:rFonts w:eastAsia="Times New Roman" w:cstheme="minorHAnsi"/>
          <w:spacing w:val="2"/>
        </w:rPr>
        <w:t xml:space="preserve"> </w:t>
      </w:r>
      <w:r w:rsidRPr="00A54361">
        <w:rPr>
          <w:rFonts w:eastAsia="Times New Roman" w:cstheme="minorHAnsi"/>
        </w:rPr>
        <w:t>Ho</w:t>
      </w:r>
      <w:r w:rsidRPr="00A54361">
        <w:rPr>
          <w:rFonts w:eastAsia="Times New Roman" w:cstheme="minorHAnsi"/>
          <w:spacing w:val="-1"/>
        </w:rPr>
        <w:t>we</w:t>
      </w:r>
      <w:r w:rsidRPr="00A54361">
        <w:rPr>
          <w:rFonts w:eastAsia="Times New Roman" w:cstheme="minorHAnsi"/>
        </w:rPr>
        <w:t>v</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1"/>
        </w:rPr>
        <w:t xml:space="preserve"> </w:t>
      </w:r>
      <w:r w:rsidRPr="00A54361">
        <w:rPr>
          <w:rFonts w:eastAsia="Times New Roman" w:cstheme="minorHAnsi"/>
        </w:rPr>
        <w:t>if</w:t>
      </w:r>
      <w:r w:rsidRPr="00A54361">
        <w:rPr>
          <w:rFonts w:eastAsia="Times New Roman" w:cstheme="minorHAnsi"/>
          <w:spacing w:val="2"/>
        </w:rPr>
        <w:t xml:space="preserve"> </w:t>
      </w:r>
      <w:r w:rsidRPr="00A54361">
        <w:rPr>
          <w:rFonts w:eastAsia="Times New Roman" w:cstheme="minorHAnsi"/>
        </w:rPr>
        <w:t>inv</w:t>
      </w:r>
      <w:r w:rsidRPr="00A54361">
        <w:rPr>
          <w:rFonts w:eastAsia="Times New Roman" w:cstheme="minorHAnsi"/>
          <w:spacing w:val="2"/>
        </w:rPr>
        <w:t>e</w:t>
      </w:r>
      <w:r w:rsidRPr="00A54361">
        <w:rPr>
          <w:rFonts w:eastAsia="Times New Roman" w:cstheme="minorHAnsi"/>
        </w:rPr>
        <w:t>st</w:t>
      </w:r>
      <w:r w:rsidRPr="00A54361">
        <w:rPr>
          <w:rFonts w:eastAsia="Times New Roman" w:cstheme="minorHAnsi"/>
          <w:spacing w:val="1"/>
        </w:rPr>
        <w:t>i</w:t>
      </w:r>
      <w:r w:rsidRPr="00A54361">
        <w:rPr>
          <w:rFonts w:eastAsia="Times New Roman" w:cstheme="minorHAnsi"/>
          <w:spacing w:val="-2"/>
        </w:rPr>
        <w:t>g</w:t>
      </w:r>
      <w:r w:rsidRPr="00A54361">
        <w:rPr>
          <w:rFonts w:eastAsia="Times New Roman" w:cstheme="minorHAnsi"/>
          <w:spacing w:val="-1"/>
        </w:rPr>
        <w:t>a</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ons</w:t>
      </w:r>
      <w:r w:rsidRPr="00A54361">
        <w:rPr>
          <w:rFonts w:eastAsia="Times New Roman" w:cstheme="minorHAnsi"/>
          <w:spacing w:val="2"/>
        </w:rPr>
        <w:t xml:space="preserve"> </w:t>
      </w:r>
      <w:r w:rsidRPr="00A54361">
        <w:rPr>
          <w:rFonts w:eastAsia="Times New Roman" w:cstheme="minorHAnsi"/>
          <w:spacing w:val="-1"/>
        </w:rPr>
        <w:t>a</w:t>
      </w:r>
      <w:r w:rsidRPr="00A54361">
        <w:rPr>
          <w:rFonts w:eastAsia="Times New Roman" w:cstheme="minorHAnsi"/>
        </w:rPr>
        <w:t>re not</w:t>
      </w:r>
      <w:r w:rsidRPr="00A54361">
        <w:rPr>
          <w:rFonts w:eastAsia="Times New Roman" w:cstheme="minorHAnsi"/>
          <w:spacing w:val="2"/>
        </w:rPr>
        <w:t xml:space="preserve"> </w:t>
      </w:r>
      <w:r w:rsidRPr="00A54361">
        <w:rPr>
          <w:rFonts w:eastAsia="Times New Roman" w:cstheme="minorHAnsi"/>
          <w:spacing w:val="-1"/>
        </w:rPr>
        <w:t>c</w:t>
      </w:r>
      <w:r w:rsidRPr="00A54361">
        <w:rPr>
          <w:rFonts w:eastAsia="Times New Roman" w:cstheme="minorHAnsi"/>
        </w:rPr>
        <w:t>omp</w:t>
      </w:r>
      <w:r w:rsidRPr="00A54361">
        <w:rPr>
          <w:rFonts w:eastAsia="Times New Roman" w:cstheme="minorHAnsi"/>
          <w:spacing w:val="1"/>
        </w:rPr>
        <w:t>l</w:t>
      </w:r>
      <w:r w:rsidRPr="00A54361">
        <w:rPr>
          <w:rFonts w:eastAsia="Times New Roman" w:cstheme="minorHAnsi"/>
          <w:spacing w:val="-1"/>
        </w:rPr>
        <w:t>e</w:t>
      </w:r>
      <w:r w:rsidRPr="00A54361">
        <w:rPr>
          <w:rFonts w:eastAsia="Times New Roman" w:cstheme="minorHAnsi"/>
        </w:rPr>
        <w:t>te</w:t>
      </w:r>
      <w:r w:rsidRPr="00A54361">
        <w:rPr>
          <w:rFonts w:eastAsia="Times New Roman" w:cstheme="minorHAnsi"/>
          <w:spacing w:val="1"/>
        </w:rPr>
        <w:t xml:space="preserve"> </w:t>
      </w:r>
      <w:r w:rsidRPr="00A54361">
        <w:rPr>
          <w:rFonts w:eastAsia="Times New Roman" w:cstheme="minorHAnsi"/>
        </w:rPr>
        <w:t>in</w:t>
      </w:r>
      <w:r w:rsidRPr="00A54361">
        <w:rPr>
          <w:rFonts w:eastAsia="Times New Roman" w:cstheme="minorHAnsi"/>
          <w:spacing w:val="2"/>
        </w:rPr>
        <w:t xml:space="preserve"> </w:t>
      </w:r>
      <w:r w:rsidRPr="00A54361">
        <w:rPr>
          <w:rFonts w:eastAsia="Times New Roman" w:cstheme="minorHAnsi"/>
        </w:rPr>
        <w:t>s</w:t>
      </w:r>
      <w:r w:rsidRPr="00A54361">
        <w:rPr>
          <w:rFonts w:eastAsia="Times New Roman" w:cstheme="minorHAnsi"/>
          <w:spacing w:val="-2"/>
        </w:rPr>
        <w:t>i</w:t>
      </w:r>
      <w:r w:rsidRPr="00A54361">
        <w:rPr>
          <w:rFonts w:eastAsia="Times New Roman" w:cstheme="minorHAnsi"/>
        </w:rPr>
        <w:t>x</w:t>
      </w:r>
      <w:r w:rsidRPr="00A54361">
        <w:rPr>
          <w:rFonts w:eastAsia="Times New Roman" w:cstheme="minorHAnsi"/>
          <w:spacing w:val="10"/>
        </w:rPr>
        <w:t xml:space="preserve"> </w:t>
      </w:r>
      <w:r w:rsidRPr="00A54361">
        <w:rPr>
          <w:rFonts w:eastAsia="Times New Roman" w:cstheme="minorHAnsi"/>
        </w:rPr>
        <w:t>mon</w:t>
      </w:r>
      <w:r w:rsidRPr="00A54361">
        <w:rPr>
          <w:rFonts w:eastAsia="Times New Roman" w:cstheme="minorHAnsi"/>
          <w:spacing w:val="1"/>
        </w:rPr>
        <w:t>t</w:t>
      </w:r>
      <w:r w:rsidRPr="00A54361">
        <w:rPr>
          <w:rFonts w:eastAsia="Times New Roman" w:cstheme="minorHAnsi"/>
        </w:rPr>
        <w:t>hs’ tim</w:t>
      </w:r>
      <w:r w:rsidRPr="00A54361">
        <w:rPr>
          <w:rFonts w:eastAsia="Times New Roman" w:cstheme="minorHAnsi"/>
          <w:spacing w:val="-1"/>
        </w:rPr>
        <w:t>e</w:t>
      </w:r>
      <w:r w:rsidRPr="00A54361">
        <w:rPr>
          <w:rFonts w:eastAsia="Times New Roman" w:cstheme="minorHAnsi"/>
        </w:rPr>
        <w:t>,</w:t>
      </w:r>
      <w:r w:rsidRPr="00A54361">
        <w:rPr>
          <w:rFonts w:eastAsia="Times New Roman" w:cstheme="minorHAnsi"/>
          <w:spacing w:val="5"/>
        </w:rPr>
        <w:t xml:space="preserve"> </w:t>
      </w:r>
      <w:r w:rsidRPr="00A54361">
        <w:rPr>
          <w:rFonts w:eastAsia="Times New Roman" w:cstheme="minorHAnsi"/>
        </w:rPr>
        <w:t>the</w:t>
      </w:r>
      <w:r w:rsidRPr="00A54361">
        <w:rPr>
          <w:rFonts w:eastAsia="Times New Roman" w:cstheme="minorHAnsi"/>
          <w:spacing w:val="4"/>
        </w:rPr>
        <w:t xml:space="preserve"> </w:t>
      </w:r>
      <w:r w:rsidRPr="00A54361">
        <w:rPr>
          <w:rFonts w:eastAsia="Times New Roman" w:cstheme="minorHAnsi"/>
        </w:rPr>
        <w:t>Compet</w:t>
      </w:r>
      <w:r w:rsidRPr="00A54361">
        <w:rPr>
          <w:rFonts w:eastAsia="Times New Roman" w:cstheme="minorHAnsi"/>
          <w:spacing w:val="-1"/>
        </w:rPr>
        <w:t>e</w:t>
      </w:r>
      <w:r w:rsidRPr="00A54361">
        <w:rPr>
          <w:rFonts w:eastAsia="Times New Roman" w:cstheme="minorHAnsi"/>
        </w:rPr>
        <w:t>nt</w:t>
      </w:r>
      <w:r w:rsidRPr="00A54361">
        <w:rPr>
          <w:rFonts w:eastAsia="Times New Roman" w:cstheme="minorHAnsi"/>
          <w:spacing w:val="5"/>
        </w:rPr>
        <w:t xml:space="preserve"> </w:t>
      </w:r>
      <w:r w:rsidRPr="00A54361">
        <w:rPr>
          <w:rFonts w:eastAsia="Times New Roman" w:cstheme="minorHAnsi"/>
        </w:rPr>
        <w:t>Autho</w:t>
      </w:r>
      <w:r w:rsidRPr="00A54361">
        <w:rPr>
          <w:rFonts w:eastAsia="Times New Roman" w:cstheme="minorHAnsi"/>
          <w:spacing w:val="-1"/>
        </w:rPr>
        <w:t>r</w:t>
      </w:r>
      <w:r w:rsidRPr="00A54361">
        <w:rPr>
          <w:rFonts w:eastAsia="Times New Roman" w:cstheme="minorHAnsi"/>
        </w:rPr>
        <w:t>i</w:t>
      </w:r>
      <w:r w:rsidRPr="00A54361">
        <w:rPr>
          <w:rFonts w:eastAsia="Times New Roman" w:cstheme="minorHAnsi"/>
          <w:spacing w:val="3"/>
        </w:rPr>
        <w:t>t</w:t>
      </w:r>
      <w:r w:rsidRPr="00A54361">
        <w:rPr>
          <w:rFonts w:eastAsia="Times New Roman" w:cstheme="minorHAnsi"/>
        </w:rPr>
        <w:t>y m</w:t>
      </w:r>
      <w:r w:rsidRPr="00A54361">
        <w:rPr>
          <w:rFonts w:eastAsia="Times New Roman" w:cstheme="minorHAnsi"/>
          <w:spacing w:val="4"/>
        </w:rPr>
        <w:t>a</w:t>
      </w:r>
      <w:r w:rsidRPr="00A54361">
        <w:rPr>
          <w:rFonts w:eastAsia="Times New Roman" w:cstheme="minorHAnsi"/>
        </w:rPr>
        <w:t xml:space="preserve">y </w:t>
      </w:r>
      <w:r w:rsidRPr="00A54361">
        <w:rPr>
          <w:rFonts w:eastAsia="Times New Roman" w:cstheme="minorHAnsi"/>
          <w:spacing w:val="-1"/>
        </w:rPr>
        <w:t>e</w:t>
      </w:r>
      <w:r w:rsidRPr="00A54361">
        <w:rPr>
          <w:rFonts w:eastAsia="Times New Roman" w:cstheme="minorHAnsi"/>
          <w:spacing w:val="2"/>
        </w:rPr>
        <w:t>x</w:t>
      </w:r>
      <w:r w:rsidRPr="00A54361">
        <w:rPr>
          <w:rFonts w:eastAsia="Times New Roman" w:cstheme="minorHAnsi"/>
        </w:rPr>
        <w:t>tend</w:t>
      </w:r>
      <w:r w:rsidRPr="00A54361">
        <w:rPr>
          <w:rFonts w:eastAsia="Times New Roman" w:cstheme="minorHAnsi"/>
          <w:spacing w:val="4"/>
        </w:rPr>
        <w:t xml:space="preserve"> </w:t>
      </w:r>
      <w:r w:rsidRPr="00A54361">
        <w:rPr>
          <w:rFonts w:eastAsia="Times New Roman" w:cstheme="minorHAnsi"/>
        </w:rPr>
        <w:t>the</w:t>
      </w:r>
      <w:r w:rsidRPr="00A54361">
        <w:rPr>
          <w:rFonts w:eastAsia="Times New Roman" w:cstheme="minorHAnsi"/>
          <w:spacing w:val="4"/>
        </w:rPr>
        <w:t xml:space="preserve"> </w:t>
      </w:r>
      <w:r w:rsidRPr="00A54361">
        <w:rPr>
          <w:rFonts w:eastAsia="Times New Roman" w:cstheme="minorHAnsi"/>
        </w:rPr>
        <w:t>p</w:t>
      </w:r>
      <w:r w:rsidRPr="00A54361">
        <w:rPr>
          <w:rFonts w:eastAsia="Times New Roman" w:cstheme="minorHAnsi"/>
          <w:spacing w:val="1"/>
        </w:rPr>
        <w:t>e</w:t>
      </w:r>
      <w:r w:rsidRPr="00A54361">
        <w:rPr>
          <w:rFonts w:eastAsia="Times New Roman" w:cstheme="minorHAnsi"/>
        </w:rPr>
        <w:t>riod</w:t>
      </w:r>
      <w:r w:rsidRPr="00A54361">
        <w:rPr>
          <w:rFonts w:eastAsia="Times New Roman" w:cstheme="minorHAnsi"/>
          <w:spacing w:val="4"/>
        </w:rPr>
        <w:t xml:space="preserve"> </w:t>
      </w:r>
      <w:r w:rsidRPr="00A54361">
        <w:rPr>
          <w:rFonts w:eastAsia="Times New Roman" w:cstheme="minorHAnsi"/>
        </w:rPr>
        <w:t>of</w:t>
      </w:r>
      <w:r w:rsidRPr="00A54361">
        <w:rPr>
          <w:rFonts w:eastAsia="Times New Roman" w:cstheme="minorHAnsi"/>
          <w:spacing w:val="4"/>
        </w:rPr>
        <w:t xml:space="preserve"> </w:t>
      </w:r>
      <w:r w:rsidRPr="00A54361">
        <w:rPr>
          <w:rFonts w:eastAsia="Times New Roman" w:cstheme="minorHAnsi"/>
        </w:rPr>
        <w:t>suspension</w:t>
      </w:r>
      <w:r w:rsidRPr="00A54361">
        <w:rPr>
          <w:rFonts w:eastAsia="Times New Roman" w:cstheme="minorHAnsi"/>
          <w:spacing w:val="5"/>
        </w:rPr>
        <w:t xml:space="preserve"> </w:t>
      </w:r>
      <w:r w:rsidRPr="00A54361">
        <w:rPr>
          <w:rFonts w:eastAsia="Times New Roman" w:cstheme="minorHAnsi"/>
          <w:spacing w:val="2"/>
        </w:rPr>
        <w:t>b</w:t>
      </w:r>
      <w:r w:rsidRPr="00A54361">
        <w:rPr>
          <w:rFonts w:eastAsia="Times New Roman" w:cstheme="minorHAnsi"/>
        </w:rPr>
        <w:t>y</w:t>
      </w:r>
      <w:r w:rsidRPr="00A54361">
        <w:rPr>
          <w:rFonts w:eastAsia="Times New Roman" w:cstheme="minorHAnsi"/>
          <w:spacing w:val="2"/>
        </w:rPr>
        <w:t xml:space="preserve"> </w:t>
      </w:r>
      <w:r w:rsidRPr="00A54361">
        <w:rPr>
          <w:rFonts w:eastAsia="Times New Roman" w:cstheme="minorHAnsi"/>
          <w:spacing w:val="-1"/>
        </w:rPr>
        <w:t>a</w:t>
      </w:r>
      <w:r w:rsidRPr="00A54361">
        <w:rPr>
          <w:rFonts w:eastAsia="Times New Roman" w:cstheme="minorHAnsi"/>
          <w:spacing w:val="2"/>
        </w:rPr>
        <w:t>n</w:t>
      </w:r>
      <w:r w:rsidRPr="00A54361">
        <w:rPr>
          <w:rFonts w:eastAsia="Times New Roman" w:cstheme="minorHAnsi"/>
        </w:rPr>
        <w:t>other</w:t>
      </w:r>
      <w:r w:rsidRPr="00A54361">
        <w:rPr>
          <w:rFonts w:eastAsia="Times New Roman" w:cstheme="minorHAnsi"/>
          <w:spacing w:val="3"/>
        </w:rPr>
        <w:t xml:space="preserve"> </w:t>
      </w:r>
      <w:r w:rsidRPr="00A54361">
        <w:rPr>
          <w:rFonts w:eastAsia="Times New Roman" w:cstheme="minorHAnsi"/>
        </w:rPr>
        <w:t>thr</w:t>
      </w:r>
      <w:r w:rsidRPr="00A54361">
        <w:rPr>
          <w:rFonts w:eastAsia="Times New Roman" w:cstheme="minorHAnsi"/>
          <w:spacing w:val="-1"/>
        </w:rPr>
        <w:t>e</w:t>
      </w:r>
      <w:r w:rsidRPr="00A54361">
        <w:rPr>
          <w:rFonts w:eastAsia="Times New Roman" w:cstheme="minorHAnsi"/>
        </w:rPr>
        <w:t>e</w:t>
      </w:r>
      <w:r w:rsidRPr="00A54361">
        <w:rPr>
          <w:rFonts w:eastAsia="Times New Roman" w:cstheme="minorHAnsi"/>
          <w:spacing w:val="4"/>
        </w:rPr>
        <w:t xml:space="preserve"> </w:t>
      </w:r>
      <w:r w:rsidRPr="00A54361">
        <w:rPr>
          <w:rFonts w:eastAsia="Times New Roman" w:cstheme="minorHAnsi"/>
        </w:rPr>
        <w:t>mon</w:t>
      </w:r>
      <w:r w:rsidRPr="00A54361">
        <w:rPr>
          <w:rFonts w:eastAsia="Times New Roman" w:cstheme="minorHAnsi"/>
          <w:spacing w:val="1"/>
        </w:rPr>
        <w:t>t</w:t>
      </w:r>
      <w:r w:rsidRPr="00A54361">
        <w:rPr>
          <w:rFonts w:eastAsia="Times New Roman" w:cstheme="minorHAnsi"/>
        </w:rPr>
        <w:t>hs, during</w:t>
      </w:r>
      <w:r w:rsidRPr="00A54361">
        <w:rPr>
          <w:rFonts w:eastAsia="Times New Roman" w:cstheme="minorHAnsi"/>
          <w:spacing w:val="-3"/>
        </w:rPr>
        <w:t xml:space="preserve"> </w:t>
      </w:r>
      <w:r w:rsidRPr="00A54361">
        <w:rPr>
          <w:rFonts w:eastAsia="Times New Roman" w:cstheme="minorHAnsi"/>
        </w:rPr>
        <w:t>wh</w:t>
      </w:r>
      <w:r w:rsidRPr="00A54361">
        <w:rPr>
          <w:rFonts w:eastAsia="Times New Roman" w:cstheme="minorHAnsi"/>
          <w:spacing w:val="2"/>
        </w:rPr>
        <w:t>i</w:t>
      </w:r>
      <w:r w:rsidRPr="00A54361">
        <w:rPr>
          <w:rFonts w:eastAsia="Times New Roman" w:cstheme="minorHAnsi"/>
          <w:spacing w:val="-1"/>
        </w:rPr>
        <w:t>c</w:t>
      </w:r>
      <w:r w:rsidRPr="00A54361">
        <w:rPr>
          <w:rFonts w:eastAsia="Times New Roman" w:cstheme="minorHAnsi"/>
        </w:rPr>
        <w:t>h p</w:t>
      </w:r>
      <w:r w:rsidRPr="00A54361">
        <w:rPr>
          <w:rFonts w:eastAsia="Times New Roman" w:cstheme="minorHAnsi"/>
          <w:spacing w:val="-1"/>
        </w:rPr>
        <w:t>e</w:t>
      </w:r>
      <w:r w:rsidRPr="00A54361">
        <w:rPr>
          <w:rFonts w:eastAsia="Times New Roman" w:cstheme="minorHAnsi"/>
        </w:rPr>
        <w:t xml:space="preserve">riod the </w:t>
      </w:r>
      <w:r w:rsidRPr="00A54361">
        <w:rPr>
          <w:rFonts w:eastAsia="Times New Roman" w:cstheme="minorHAnsi"/>
          <w:spacing w:val="3"/>
        </w:rPr>
        <w:t>i</w:t>
      </w:r>
      <w:r w:rsidRPr="00A54361">
        <w:rPr>
          <w:rFonts w:eastAsia="Times New Roman" w:cstheme="minorHAnsi"/>
        </w:rPr>
        <w:t>nv</w:t>
      </w:r>
      <w:r w:rsidRPr="00A54361">
        <w:rPr>
          <w:rFonts w:eastAsia="Times New Roman" w:cstheme="minorHAnsi"/>
          <w:spacing w:val="-1"/>
        </w:rPr>
        <w:t>e</w:t>
      </w:r>
      <w:r w:rsidRPr="00A54361">
        <w:rPr>
          <w:rFonts w:eastAsia="Times New Roman" w:cstheme="minorHAnsi"/>
        </w:rPr>
        <w:t>st</w:t>
      </w:r>
      <w:r w:rsidRPr="00A54361">
        <w:rPr>
          <w:rFonts w:eastAsia="Times New Roman" w:cstheme="minorHAnsi"/>
          <w:spacing w:val="1"/>
        </w:rPr>
        <w:t>i</w:t>
      </w:r>
      <w:r w:rsidRPr="00A54361">
        <w:rPr>
          <w:rFonts w:eastAsia="Times New Roman" w:cstheme="minorHAnsi"/>
          <w:spacing w:val="-2"/>
        </w:rPr>
        <w:t>g</w:t>
      </w:r>
      <w:r w:rsidRPr="00A54361">
        <w:rPr>
          <w:rFonts w:eastAsia="Times New Roman" w:cstheme="minorHAnsi"/>
          <w:spacing w:val="-1"/>
        </w:rPr>
        <w:t>a</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 xml:space="preserve">ons must be </w:t>
      </w:r>
      <w:r w:rsidRPr="00A54361">
        <w:rPr>
          <w:rFonts w:eastAsia="Times New Roman" w:cstheme="minorHAnsi"/>
          <w:spacing w:val="-1"/>
        </w:rPr>
        <w:t>c</w:t>
      </w:r>
      <w:r w:rsidRPr="00A54361">
        <w:rPr>
          <w:rFonts w:eastAsia="Times New Roman" w:cstheme="minorHAnsi"/>
          <w:spacing w:val="2"/>
        </w:rPr>
        <w:t>o</w:t>
      </w:r>
      <w:r w:rsidRPr="00A54361">
        <w:rPr>
          <w:rFonts w:eastAsia="Times New Roman" w:cstheme="minorHAnsi"/>
        </w:rPr>
        <w:t>mp</w:t>
      </w:r>
      <w:r w:rsidRPr="00A54361">
        <w:rPr>
          <w:rFonts w:eastAsia="Times New Roman" w:cstheme="minorHAnsi"/>
          <w:spacing w:val="1"/>
        </w:rPr>
        <w:t>l</w:t>
      </w:r>
      <w:r w:rsidRPr="00A54361">
        <w:rPr>
          <w:rFonts w:eastAsia="Times New Roman" w:cstheme="minorHAnsi"/>
          <w:spacing w:val="-1"/>
        </w:rPr>
        <w:t>e</w:t>
      </w:r>
      <w:r w:rsidRPr="00A54361">
        <w:rPr>
          <w:rFonts w:eastAsia="Times New Roman" w:cstheme="minorHAnsi"/>
        </w:rPr>
        <w:t>ted.</w:t>
      </w:r>
    </w:p>
    <w:p w14:paraId="614AD479" w14:textId="77777777" w:rsidR="0054549F" w:rsidRPr="00A54361" w:rsidRDefault="0054549F" w:rsidP="00A54361">
      <w:pPr>
        <w:ind w:left="100" w:right="2371" w:hanging="100"/>
        <w:jc w:val="both"/>
        <w:rPr>
          <w:rFonts w:cstheme="minorHAnsi"/>
        </w:rPr>
      </w:pPr>
      <w:r w:rsidRPr="00A54361">
        <w:rPr>
          <w:rFonts w:eastAsia="Times New Roman" w:cstheme="minorHAnsi"/>
          <w:b/>
        </w:rPr>
        <w:t xml:space="preserve">6. </w:t>
      </w:r>
      <w:r w:rsidRPr="00A54361">
        <w:rPr>
          <w:rFonts w:eastAsia="Times New Roman" w:cstheme="minorHAnsi"/>
          <w:b/>
          <w:spacing w:val="-2"/>
        </w:rPr>
        <w:t>G</w:t>
      </w:r>
      <w:r w:rsidRPr="00A54361">
        <w:rPr>
          <w:rFonts w:eastAsia="Times New Roman" w:cstheme="minorHAnsi"/>
          <w:b/>
          <w:spacing w:val="-1"/>
        </w:rPr>
        <w:t>r</w:t>
      </w:r>
      <w:r w:rsidRPr="00A54361">
        <w:rPr>
          <w:rFonts w:eastAsia="Times New Roman" w:cstheme="minorHAnsi"/>
          <w:b/>
        </w:rPr>
        <w:t>o</w:t>
      </w:r>
      <w:r w:rsidRPr="00A54361">
        <w:rPr>
          <w:rFonts w:eastAsia="Times New Roman" w:cstheme="minorHAnsi"/>
          <w:b/>
          <w:spacing w:val="1"/>
        </w:rPr>
        <w:t>un</w:t>
      </w:r>
      <w:r w:rsidRPr="00A54361">
        <w:rPr>
          <w:rFonts w:eastAsia="Times New Roman" w:cstheme="minorHAnsi"/>
          <w:b/>
        </w:rPr>
        <w:t>d</w:t>
      </w:r>
      <w:r w:rsidRPr="00A54361">
        <w:rPr>
          <w:rFonts w:eastAsia="Times New Roman" w:cstheme="minorHAnsi"/>
          <w:b/>
          <w:spacing w:val="1"/>
        </w:rPr>
        <w:t xml:space="preserve"> </w:t>
      </w:r>
      <w:r w:rsidRPr="00A54361">
        <w:rPr>
          <w:rFonts w:eastAsia="Times New Roman" w:cstheme="minorHAnsi"/>
          <w:b/>
        </w:rPr>
        <w:t>on</w:t>
      </w:r>
      <w:r w:rsidRPr="00A54361">
        <w:rPr>
          <w:rFonts w:eastAsia="Times New Roman" w:cstheme="minorHAnsi"/>
          <w:b/>
          <w:spacing w:val="1"/>
        </w:rPr>
        <w:t xml:space="preserve"> </w:t>
      </w:r>
      <w:r w:rsidRPr="00A54361">
        <w:rPr>
          <w:rFonts w:eastAsia="Times New Roman" w:cstheme="minorHAnsi"/>
          <w:b/>
          <w:spacing w:val="2"/>
        </w:rPr>
        <w:t>w</w:t>
      </w:r>
      <w:r w:rsidRPr="00A54361">
        <w:rPr>
          <w:rFonts w:eastAsia="Times New Roman" w:cstheme="minorHAnsi"/>
          <w:b/>
          <w:spacing w:val="-1"/>
        </w:rPr>
        <w:t>h</w:t>
      </w:r>
      <w:r w:rsidRPr="00A54361">
        <w:rPr>
          <w:rFonts w:eastAsia="Times New Roman" w:cstheme="minorHAnsi"/>
          <w:b/>
        </w:rPr>
        <w:t xml:space="preserve">ich </w:t>
      </w:r>
      <w:r w:rsidRPr="00A54361">
        <w:rPr>
          <w:rFonts w:eastAsia="Times New Roman" w:cstheme="minorHAnsi"/>
          <w:b/>
          <w:spacing w:val="1"/>
        </w:rPr>
        <w:t>B</w:t>
      </w:r>
      <w:r w:rsidRPr="00A54361">
        <w:rPr>
          <w:rFonts w:eastAsia="Times New Roman" w:cstheme="minorHAnsi"/>
          <w:b/>
          <w:spacing w:val="-2"/>
        </w:rPr>
        <w:t>a</w:t>
      </w:r>
      <w:r w:rsidRPr="00A54361">
        <w:rPr>
          <w:rFonts w:eastAsia="Times New Roman" w:cstheme="minorHAnsi"/>
          <w:b/>
          <w:spacing w:val="1"/>
        </w:rPr>
        <w:t>nn</w:t>
      </w:r>
      <w:r w:rsidRPr="00A54361">
        <w:rPr>
          <w:rFonts w:eastAsia="Times New Roman" w:cstheme="minorHAnsi"/>
          <w:b/>
        </w:rPr>
        <w:t>i</w:t>
      </w:r>
      <w:r w:rsidRPr="00A54361">
        <w:rPr>
          <w:rFonts w:eastAsia="Times New Roman" w:cstheme="minorHAnsi"/>
          <w:b/>
          <w:spacing w:val="1"/>
        </w:rPr>
        <w:t>n</w:t>
      </w:r>
      <w:r w:rsidRPr="00A54361">
        <w:rPr>
          <w:rFonts w:eastAsia="Times New Roman" w:cstheme="minorHAnsi"/>
          <w:b/>
        </w:rPr>
        <w:t xml:space="preserve">g </w:t>
      </w:r>
      <w:r w:rsidRPr="00A54361">
        <w:rPr>
          <w:rFonts w:eastAsia="Times New Roman" w:cstheme="minorHAnsi"/>
          <w:b/>
          <w:spacing w:val="-2"/>
        </w:rPr>
        <w:t>o</w:t>
      </w:r>
      <w:r w:rsidRPr="00A54361">
        <w:rPr>
          <w:rFonts w:eastAsia="Times New Roman" w:cstheme="minorHAnsi"/>
          <w:b/>
        </w:rPr>
        <w:t>f</w:t>
      </w:r>
      <w:r w:rsidRPr="00A54361">
        <w:rPr>
          <w:rFonts w:eastAsia="Times New Roman" w:cstheme="minorHAnsi"/>
          <w:b/>
          <w:spacing w:val="1"/>
        </w:rPr>
        <w:t xml:space="preserve"> </w:t>
      </w:r>
      <w:r w:rsidRPr="00A54361">
        <w:rPr>
          <w:rFonts w:eastAsia="Times New Roman" w:cstheme="minorHAnsi"/>
          <w:b/>
          <w:spacing w:val="-2"/>
        </w:rPr>
        <w:t>B</w:t>
      </w:r>
      <w:r w:rsidRPr="00A54361">
        <w:rPr>
          <w:rFonts w:eastAsia="Times New Roman" w:cstheme="minorHAnsi"/>
          <w:b/>
          <w:spacing w:val="1"/>
        </w:rPr>
        <w:t>u</w:t>
      </w:r>
      <w:r w:rsidRPr="00A54361">
        <w:rPr>
          <w:rFonts w:eastAsia="Times New Roman" w:cstheme="minorHAnsi"/>
          <w:b/>
        </w:rPr>
        <w:t>si</w:t>
      </w:r>
      <w:r w:rsidRPr="00A54361">
        <w:rPr>
          <w:rFonts w:eastAsia="Times New Roman" w:cstheme="minorHAnsi"/>
          <w:b/>
          <w:spacing w:val="1"/>
        </w:rPr>
        <w:t>n</w:t>
      </w:r>
      <w:r w:rsidRPr="00A54361">
        <w:rPr>
          <w:rFonts w:eastAsia="Times New Roman" w:cstheme="minorHAnsi"/>
          <w:b/>
          <w:spacing w:val="-1"/>
        </w:rPr>
        <w:t>e</w:t>
      </w:r>
      <w:r w:rsidRPr="00A54361">
        <w:rPr>
          <w:rFonts w:eastAsia="Times New Roman" w:cstheme="minorHAnsi"/>
          <w:b/>
        </w:rPr>
        <w:t>ss D</w:t>
      </w:r>
      <w:r w:rsidRPr="00A54361">
        <w:rPr>
          <w:rFonts w:eastAsia="Times New Roman" w:cstheme="minorHAnsi"/>
          <w:b/>
          <w:spacing w:val="-1"/>
        </w:rPr>
        <w:t>e</w:t>
      </w:r>
      <w:r w:rsidRPr="00A54361">
        <w:rPr>
          <w:rFonts w:eastAsia="Times New Roman" w:cstheme="minorHAnsi"/>
          <w:b/>
        </w:rPr>
        <w:t>al</w:t>
      </w:r>
      <w:r w:rsidRPr="00A54361">
        <w:rPr>
          <w:rFonts w:eastAsia="Times New Roman" w:cstheme="minorHAnsi"/>
          <w:b/>
          <w:spacing w:val="-1"/>
        </w:rPr>
        <w:t>i</w:t>
      </w:r>
      <w:r w:rsidRPr="00A54361">
        <w:rPr>
          <w:rFonts w:eastAsia="Times New Roman" w:cstheme="minorHAnsi"/>
          <w:b/>
          <w:spacing w:val="1"/>
        </w:rPr>
        <w:t>n</w:t>
      </w:r>
      <w:r w:rsidRPr="00A54361">
        <w:rPr>
          <w:rFonts w:eastAsia="Times New Roman" w:cstheme="minorHAnsi"/>
          <w:b/>
        </w:rPr>
        <w:t xml:space="preserve">gs </w:t>
      </w:r>
      <w:r w:rsidRPr="00A54361">
        <w:rPr>
          <w:rFonts w:eastAsia="Times New Roman" w:cstheme="minorHAnsi"/>
          <w:b/>
          <w:spacing w:val="-1"/>
        </w:rPr>
        <w:t>c</w:t>
      </w:r>
      <w:r w:rsidRPr="00A54361">
        <w:rPr>
          <w:rFonts w:eastAsia="Times New Roman" w:cstheme="minorHAnsi"/>
          <w:b/>
        </w:rPr>
        <w:t>an</w:t>
      </w:r>
      <w:r w:rsidRPr="00A54361">
        <w:rPr>
          <w:rFonts w:eastAsia="Times New Roman" w:cstheme="minorHAnsi"/>
          <w:b/>
          <w:spacing w:val="1"/>
        </w:rPr>
        <w:t xml:space="preserve"> b</w:t>
      </w:r>
      <w:r w:rsidRPr="00A54361">
        <w:rPr>
          <w:rFonts w:eastAsia="Times New Roman" w:cstheme="minorHAnsi"/>
          <w:b/>
        </w:rPr>
        <w:t>e</w:t>
      </w:r>
      <w:r w:rsidRPr="00A54361">
        <w:rPr>
          <w:rFonts w:eastAsia="Times New Roman" w:cstheme="minorHAnsi"/>
          <w:b/>
          <w:spacing w:val="-1"/>
        </w:rPr>
        <w:t xml:space="preserve"> </w:t>
      </w:r>
      <w:r w:rsidRPr="00A54361">
        <w:rPr>
          <w:rFonts w:eastAsia="Times New Roman" w:cstheme="minorHAnsi"/>
          <w:b/>
        </w:rPr>
        <w:t>i</w:t>
      </w:r>
      <w:r w:rsidRPr="00A54361">
        <w:rPr>
          <w:rFonts w:eastAsia="Times New Roman" w:cstheme="minorHAnsi"/>
          <w:b/>
          <w:spacing w:val="1"/>
        </w:rPr>
        <w:t>n</w:t>
      </w:r>
      <w:r w:rsidRPr="00A54361">
        <w:rPr>
          <w:rFonts w:eastAsia="Times New Roman" w:cstheme="minorHAnsi"/>
          <w:b/>
        </w:rPr>
        <w:t>itiat</w:t>
      </w:r>
      <w:r w:rsidRPr="00A54361">
        <w:rPr>
          <w:rFonts w:eastAsia="Times New Roman" w:cstheme="minorHAnsi"/>
          <w:b/>
          <w:spacing w:val="-1"/>
        </w:rPr>
        <w:t>e</w:t>
      </w:r>
      <w:r w:rsidRPr="00A54361">
        <w:rPr>
          <w:rFonts w:eastAsia="Times New Roman" w:cstheme="minorHAnsi"/>
          <w:b/>
        </w:rPr>
        <w:t>d</w:t>
      </w:r>
    </w:p>
    <w:p w14:paraId="0EC6021F" w14:textId="77777777" w:rsidR="0054549F" w:rsidRPr="00A54361" w:rsidRDefault="0054549F" w:rsidP="00A54361">
      <w:pPr>
        <w:spacing w:line="260" w:lineRule="exact"/>
        <w:ind w:right="93"/>
        <w:jc w:val="both"/>
        <w:rPr>
          <w:rFonts w:cstheme="minorHAnsi"/>
        </w:rPr>
      </w:pPr>
      <w:r w:rsidRPr="00A54361">
        <w:rPr>
          <w:rFonts w:eastAsia="Times New Roman" w:cstheme="minorHAnsi"/>
        </w:rPr>
        <w:t>6.1</w:t>
      </w:r>
      <w:r w:rsidRPr="00A54361">
        <w:rPr>
          <w:rFonts w:eastAsia="Times New Roman" w:cstheme="minorHAnsi"/>
          <w:spacing w:val="9"/>
        </w:rPr>
        <w:t xml:space="preserve"> </w:t>
      </w:r>
      <w:r w:rsidRPr="00A54361">
        <w:rPr>
          <w:rFonts w:eastAsia="Times New Roman" w:cstheme="minorHAnsi"/>
          <w:spacing w:val="-3"/>
        </w:rPr>
        <w:t>I</w:t>
      </w:r>
      <w:r w:rsidRPr="00A54361">
        <w:rPr>
          <w:rFonts w:eastAsia="Times New Roman" w:cstheme="minorHAnsi"/>
        </w:rPr>
        <w:t>f</w:t>
      </w:r>
      <w:r w:rsidRPr="00A54361">
        <w:rPr>
          <w:rFonts w:eastAsia="Times New Roman" w:cstheme="minorHAnsi"/>
          <w:spacing w:val="6"/>
        </w:rPr>
        <w:t xml:space="preserve"> </w:t>
      </w:r>
      <w:r w:rsidRPr="00A54361">
        <w:rPr>
          <w:rFonts w:eastAsia="Times New Roman" w:cstheme="minorHAnsi"/>
        </w:rPr>
        <w:t>the</w:t>
      </w:r>
      <w:r w:rsidRPr="00A54361">
        <w:rPr>
          <w:rFonts w:eastAsia="Times New Roman" w:cstheme="minorHAnsi"/>
          <w:spacing w:val="6"/>
        </w:rPr>
        <w:t xml:space="preserve"> </w:t>
      </w:r>
      <w:r w:rsidRPr="00A54361">
        <w:rPr>
          <w:rFonts w:eastAsia="Times New Roman" w:cstheme="minorHAnsi"/>
        </w:rPr>
        <w:t>s</w:t>
      </w:r>
      <w:r w:rsidRPr="00A54361">
        <w:rPr>
          <w:rFonts w:eastAsia="Times New Roman" w:cstheme="minorHAnsi"/>
          <w:spacing w:val="1"/>
        </w:rPr>
        <w:t>e</w:t>
      </w:r>
      <w:r w:rsidRPr="00A54361">
        <w:rPr>
          <w:rFonts w:eastAsia="Times New Roman" w:cstheme="minorHAnsi"/>
          <w:spacing w:val="-1"/>
        </w:rPr>
        <w:t>c</w:t>
      </w:r>
      <w:r w:rsidRPr="00A54361">
        <w:rPr>
          <w:rFonts w:eastAsia="Times New Roman" w:cstheme="minorHAnsi"/>
        </w:rPr>
        <w:t>uri</w:t>
      </w:r>
      <w:r w:rsidRPr="00A54361">
        <w:rPr>
          <w:rFonts w:eastAsia="Times New Roman" w:cstheme="minorHAnsi"/>
          <w:spacing w:val="2"/>
        </w:rPr>
        <w:t>t</w:t>
      </w:r>
      <w:r w:rsidRPr="00A54361">
        <w:rPr>
          <w:rFonts w:eastAsia="Times New Roman" w:cstheme="minorHAnsi"/>
        </w:rPr>
        <w:t>y</w:t>
      </w:r>
      <w:r w:rsidRPr="00A54361">
        <w:rPr>
          <w:rFonts w:eastAsia="Times New Roman" w:cstheme="minorHAnsi"/>
          <w:spacing w:val="5"/>
        </w:rPr>
        <w:t xml:space="preserve"> </w:t>
      </w:r>
      <w:r w:rsidRPr="00A54361">
        <w:rPr>
          <w:rFonts w:eastAsia="Times New Roman" w:cstheme="minorHAnsi"/>
          <w:spacing w:val="-1"/>
        </w:rPr>
        <w:t>c</w:t>
      </w:r>
      <w:r w:rsidRPr="00A54361">
        <w:rPr>
          <w:rFonts w:eastAsia="Times New Roman" w:cstheme="minorHAnsi"/>
        </w:rPr>
        <w:t>onsi</w:t>
      </w:r>
      <w:r w:rsidRPr="00A54361">
        <w:rPr>
          <w:rFonts w:eastAsia="Times New Roman" w:cstheme="minorHAnsi"/>
          <w:spacing w:val="2"/>
        </w:rPr>
        <w:t>d</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2"/>
        </w:rPr>
        <w:t>a</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on,</w:t>
      </w:r>
      <w:r w:rsidRPr="00A54361">
        <w:rPr>
          <w:rFonts w:eastAsia="Times New Roman" w:cstheme="minorHAnsi"/>
          <w:spacing w:val="7"/>
        </w:rPr>
        <w:t xml:space="preserve"> </w:t>
      </w:r>
      <w:r w:rsidRPr="00A54361">
        <w:rPr>
          <w:rFonts w:eastAsia="Times New Roman" w:cstheme="minorHAnsi"/>
        </w:rPr>
        <w:t>including</w:t>
      </w:r>
      <w:r w:rsidRPr="00A54361">
        <w:rPr>
          <w:rFonts w:eastAsia="Times New Roman" w:cstheme="minorHAnsi"/>
          <w:spacing w:val="5"/>
        </w:rPr>
        <w:t xml:space="preserve"> </w:t>
      </w:r>
      <w:r w:rsidRPr="00A54361">
        <w:rPr>
          <w:rFonts w:eastAsia="Times New Roman" w:cstheme="minorHAnsi"/>
        </w:rPr>
        <w:t>q</w:t>
      </w:r>
      <w:r w:rsidRPr="00A54361">
        <w:rPr>
          <w:rFonts w:eastAsia="Times New Roman" w:cstheme="minorHAnsi"/>
          <w:spacing w:val="2"/>
        </w:rPr>
        <w:t>u</w:t>
      </w:r>
      <w:r w:rsidRPr="00A54361">
        <w:rPr>
          <w:rFonts w:eastAsia="Times New Roman" w:cstheme="minorHAnsi"/>
          <w:spacing w:val="-1"/>
        </w:rPr>
        <w:t>e</w:t>
      </w:r>
      <w:r w:rsidRPr="00A54361">
        <w:rPr>
          <w:rFonts w:eastAsia="Times New Roman" w:cstheme="minorHAnsi"/>
        </w:rPr>
        <w:t>st</w:t>
      </w:r>
      <w:r w:rsidRPr="00A54361">
        <w:rPr>
          <w:rFonts w:eastAsia="Times New Roman" w:cstheme="minorHAnsi"/>
          <w:spacing w:val="1"/>
        </w:rPr>
        <w:t>i</w:t>
      </w:r>
      <w:r w:rsidRPr="00A54361">
        <w:rPr>
          <w:rFonts w:eastAsia="Times New Roman" w:cstheme="minorHAnsi"/>
        </w:rPr>
        <w:t>ons</w:t>
      </w:r>
      <w:r w:rsidRPr="00A54361">
        <w:rPr>
          <w:rFonts w:eastAsia="Times New Roman" w:cstheme="minorHAnsi"/>
          <w:spacing w:val="7"/>
        </w:rPr>
        <w:t xml:space="preserve"> </w:t>
      </w:r>
      <w:r w:rsidRPr="00A54361">
        <w:rPr>
          <w:rFonts w:eastAsia="Times New Roman" w:cstheme="minorHAnsi"/>
        </w:rPr>
        <w:t>of</w:t>
      </w:r>
      <w:r w:rsidRPr="00A54361">
        <w:rPr>
          <w:rFonts w:eastAsia="Times New Roman" w:cstheme="minorHAnsi"/>
          <w:spacing w:val="6"/>
        </w:rPr>
        <w:t xml:space="preserve"> </w:t>
      </w:r>
      <w:r w:rsidRPr="00A54361">
        <w:rPr>
          <w:rFonts w:eastAsia="Times New Roman" w:cstheme="minorHAnsi"/>
        </w:rPr>
        <w:t>l</w:t>
      </w:r>
      <w:r w:rsidRPr="00A54361">
        <w:rPr>
          <w:rFonts w:eastAsia="Times New Roman" w:cstheme="minorHAnsi"/>
          <w:spacing w:val="3"/>
        </w:rPr>
        <w:t>o</w:t>
      </w:r>
      <w:r w:rsidRPr="00A54361">
        <w:rPr>
          <w:rFonts w:eastAsia="Times New Roman" w:cstheme="minorHAnsi"/>
          <w:spacing w:val="-5"/>
        </w:rPr>
        <w:t>y</w:t>
      </w:r>
      <w:r w:rsidRPr="00A54361">
        <w:rPr>
          <w:rFonts w:eastAsia="Times New Roman" w:cstheme="minorHAnsi"/>
          <w:spacing w:val="-1"/>
        </w:rPr>
        <w:t>a</w:t>
      </w:r>
      <w:r w:rsidRPr="00A54361">
        <w:rPr>
          <w:rFonts w:eastAsia="Times New Roman" w:cstheme="minorHAnsi"/>
        </w:rPr>
        <w:t>l</w:t>
      </w:r>
      <w:r w:rsidRPr="00A54361">
        <w:rPr>
          <w:rFonts w:eastAsia="Times New Roman" w:cstheme="minorHAnsi"/>
          <w:spacing w:val="6"/>
        </w:rPr>
        <w:t>t</w:t>
      </w:r>
      <w:r w:rsidRPr="00A54361">
        <w:rPr>
          <w:rFonts w:eastAsia="Times New Roman" w:cstheme="minorHAnsi"/>
        </w:rPr>
        <w:t>y</w:t>
      </w:r>
      <w:r w:rsidRPr="00A54361">
        <w:rPr>
          <w:rFonts w:eastAsia="Times New Roman" w:cstheme="minorHAnsi"/>
          <w:spacing w:val="2"/>
        </w:rPr>
        <w:t xml:space="preserve"> </w:t>
      </w:r>
      <w:r w:rsidRPr="00A54361">
        <w:rPr>
          <w:rFonts w:eastAsia="Times New Roman" w:cstheme="minorHAnsi"/>
        </w:rPr>
        <w:t>of</w:t>
      </w:r>
      <w:r w:rsidRPr="00A54361">
        <w:rPr>
          <w:rFonts w:eastAsia="Times New Roman" w:cstheme="minorHAnsi"/>
          <w:spacing w:val="6"/>
        </w:rPr>
        <w:t xml:space="preserve"> </w:t>
      </w:r>
      <w:r w:rsidRPr="00A54361">
        <w:rPr>
          <w:rFonts w:eastAsia="Times New Roman" w:cstheme="minorHAnsi"/>
        </w:rPr>
        <w:t>t</w:t>
      </w:r>
      <w:r w:rsidRPr="00A54361">
        <w:rPr>
          <w:rFonts w:eastAsia="Times New Roman" w:cstheme="minorHAnsi"/>
          <w:spacing w:val="3"/>
        </w:rPr>
        <w:t>h</w:t>
      </w:r>
      <w:r w:rsidRPr="00A54361">
        <w:rPr>
          <w:rFonts w:eastAsia="Times New Roman" w:cstheme="minorHAnsi"/>
        </w:rPr>
        <w:t>e</w:t>
      </w:r>
      <w:r w:rsidRPr="00A54361">
        <w:rPr>
          <w:rFonts w:eastAsia="Times New Roman" w:cstheme="minorHAnsi"/>
          <w:spacing w:val="6"/>
        </w:rPr>
        <w:t xml:space="preserve"> </w:t>
      </w:r>
      <w:r w:rsidRPr="00A54361">
        <w:rPr>
          <w:rFonts w:eastAsia="Times New Roman" w:cstheme="minorHAnsi"/>
          <w:spacing w:val="2"/>
        </w:rPr>
        <w:t>A</w:t>
      </w:r>
      <w:r w:rsidRPr="00A54361">
        <w:rPr>
          <w:rFonts w:eastAsia="Times New Roman" w:cstheme="minorHAnsi"/>
          <w:spacing w:val="-2"/>
        </w:rPr>
        <w:t>g</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1"/>
        </w:rPr>
        <w:t>c</w:t>
      </w:r>
      <w:r w:rsidRPr="00A54361">
        <w:rPr>
          <w:rFonts w:eastAsia="Times New Roman" w:cstheme="minorHAnsi"/>
        </w:rPr>
        <w:t>y</w:t>
      </w:r>
      <w:r w:rsidRPr="00A54361">
        <w:rPr>
          <w:rFonts w:eastAsia="Times New Roman" w:cstheme="minorHAnsi"/>
          <w:spacing w:val="2"/>
        </w:rPr>
        <w:t xml:space="preserve"> </w:t>
      </w:r>
      <w:r w:rsidRPr="00A54361">
        <w:rPr>
          <w:rFonts w:eastAsia="Times New Roman" w:cstheme="minorHAnsi"/>
        </w:rPr>
        <w:t>to</w:t>
      </w:r>
      <w:r w:rsidRPr="00A54361">
        <w:rPr>
          <w:rFonts w:eastAsia="Times New Roman" w:cstheme="minorHAnsi"/>
          <w:spacing w:val="7"/>
        </w:rPr>
        <w:t xml:space="preserve"> </w:t>
      </w:r>
      <w:r w:rsidRPr="00A54361">
        <w:rPr>
          <w:rFonts w:eastAsia="Times New Roman" w:cstheme="minorHAnsi"/>
        </w:rPr>
        <w:t>the</w:t>
      </w:r>
      <w:r w:rsidRPr="00A54361">
        <w:rPr>
          <w:rFonts w:eastAsia="Times New Roman" w:cstheme="minorHAnsi"/>
          <w:spacing w:val="6"/>
        </w:rPr>
        <w:t xml:space="preserve"> </w:t>
      </w:r>
      <w:r w:rsidRPr="00A54361">
        <w:rPr>
          <w:rFonts w:eastAsia="Times New Roman" w:cstheme="minorHAnsi"/>
          <w:spacing w:val="1"/>
        </w:rPr>
        <w:t>S</w:t>
      </w:r>
      <w:r w:rsidRPr="00A54361">
        <w:rPr>
          <w:rFonts w:eastAsia="Times New Roman" w:cstheme="minorHAnsi"/>
        </w:rPr>
        <w:t>tat</w:t>
      </w:r>
      <w:r w:rsidRPr="00A54361">
        <w:rPr>
          <w:rFonts w:eastAsia="Times New Roman" w:cstheme="minorHAnsi"/>
          <w:spacing w:val="-1"/>
        </w:rPr>
        <w:t>e</w:t>
      </w:r>
      <w:r w:rsidRPr="00A54361">
        <w:rPr>
          <w:rFonts w:eastAsia="Times New Roman" w:cstheme="minorHAnsi"/>
        </w:rPr>
        <w:t>,</w:t>
      </w:r>
      <w:r w:rsidRPr="00A54361">
        <w:rPr>
          <w:rFonts w:eastAsia="Times New Roman" w:cstheme="minorHAnsi"/>
          <w:spacing w:val="7"/>
        </w:rPr>
        <w:t xml:space="preserve"> </w:t>
      </w:r>
      <w:r w:rsidRPr="00A54361">
        <w:rPr>
          <w:rFonts w:eastAsia="Times New Roman" w:cstheme="minorHAnsi"/>
        </w:rPr>
        <w:t>so</w:t>
      </w:r>
    </w:p>
    <w:p w14:paraId="5D4C22C5" w14:textId="77777777" w:rsidR="0054549F" w:rsidRPr="00A54361" w:rsidRDefault="0054549F" w:rsidP="00A54361">
      <w:pPr>
        <w:ind w:right="8219"/>
        <w:jc w:val="both"/>
        <w:rPr>
          <w:rFonts w:cstheme="minorHAnsi"/>
        </w:rPr>
      </w:pPr>
      <w:r w:rsidRPr="00A54361">
        <w:rPr>
          <w:rFonts w:eastAsia="Times New Roman" w:cstheme="minorHAnsi"/>
        </w:rPr>
        <w:t>w</w:t>
      </w:r>
      <w:r w:rsidRPr="00A54361">
        <w:rPr>
          <w:rFonts w:eastAsia="Times New Roman" w:cstheme="minorHAnsi"/>
          <w:spacing w:val="-1"/>
        </w:rPr>
        <w:t>a</w:t>
      </w:r>
      <w:r w:rsidRPr="00A54361">
        <w:rPr>
          <w:rFonts w:eastAsia="Times New Roman" w:cstheme="minorHAnsi"/>
        </w:rPr>
        <w:t>r</w:t>
      </w:r>
      <w:r w:rsidRPr="00A54361">
        <w:rPr>
          <w:rFonts w:eastAsia="Times New Roman" w:cstheme="minorHAnsi"/>
          <w:spacing w:val="1"/>
        </w:rPr>
        <w:t>r</w:t>
      </w:r>
      <w:r w:rsidRPr="00A54361">
        <w:rPr>
          <w:rFonts w:eastAsia="Times New Roman" w:cstheme="minorHAnsi"/>
          <w:spacing w:val="-1"/>
        </w:rPr>
        <w:t>a</w:t>
      </w:r>
      <w:r w:rsidRPr="00A54361">
        <w:rPr>
          <w:rFonts w:eastAsia="Times New Roman" w:cstheme="minorHAnsi"/>
        </w:rPr>
        <w:t>nt;</w:t>
      </w:r>
    </w:p>
    <w:p w14:paraId="4CDED2A8" w14:textId="77777777" w:rsidR="0054549F" w:rsidRPr="00A54361" w:rsidRDefault="0054549F" w:rsidP="00A54361">
      <w:pPr>
        <w:ind w:right="80"/>
        <w:jc w:val="both"/>
        <w:rPr>
          <w:rFonts w:cstheme="minorHAnsi"/>
        </w:rPr>
      </w:pPr>
      <w:r w:rsidRPr="00A54361">
        <w:rPr>
          <w:rFonts w:eastAsia="Times New Roman" w:cstheme="minorHAnsi"/>
        </w:rPr>
        <w:t>6.2</w:t>
      </w:r>
      <w:r w:rsidRPr="00A54361">
        <w:rPr>
          <w:rFonts w:eastAsia="Times New Roman" w:cstheme="minorHAnsi"/>
          <w:spacing w:val="7"/>
        </w:rPr>
        <w:t xml:space="preserve"> </w:t>
      </w:r>
      <w:r w:rsidRPr="00A54361">
        <w:rPr>
          <w:rFonts w:eastAsia="Times New Roman" w:cstheme="minorHAnsi"/>
          <w:spacing w:val="-3"/>
        </w:rPr>
        <w:t>I</w:t>
      </w:r>
      <w:r w:rsidRPr="00A54361">
        <w:rPr>
          <w:rFonts w:eastAsia="Times New Roman" w:cstheme="minorHAnsi"/>
        </w:rPr>
        <w:t>f</w:t>
      </w:r>
      <w:r w:rsidRPr="00A54361">
        <w:rPr>
          <w:rFonts w:eastAsia="Times New Roman" w:cstheme="minorHAnsi"/>
          <w:spacing w:val="4"/>
        </w:rPr>
        <w:t xml:space="preserve"> </w:t>
      </w:r>
      <w:r w:rsidRPr="00A54361">
        <w:rPr>
          <w:rFonts w:eastAsia="Times New Roman" w:cstheme="minorHAnsi"/>
        </w:rPr>
        <w:t>the</w:t>
      </w:r>
      <w:r w:rsidRPr="00A54361">
        <w:rPr>
          <w:rFonts w:eastAsia="Times New Roman" w:cstheme="minorHAnsi"/>
          <w:spacing w:val="4"/>
        </w:rPr>
        <w:t xml:space="preserve"> </w:t>
      </w:r>
      <w:r w:rsidRPr="00A54361">
        <w:rPr>
          <w:rFonts w:eastAsia="Times New Roman" w:cstheme="minorHAnsi"/>
        </w:rPr>
        <w:t>Di</w:t>
      </w:r>
      <w:r w:rsidRPr="00A54361">
        <w:rPr>
          <w:rFonts w:eastAsia="Times New Roman" w:cstheme="minorHAnsi"/>
          <w:spacing w:val="1"/>
        </w:rPr>
        <w:t>r</w:t>
      </w:r>
      <w:r w:rsidRPr="00A54361">
        <w:rPr>
          <w:rFonts w:eastAsia="Times New Roman" w:cstheme="minorHAnsi"/>
          <w:spacing w:val="-1"/>
        </w:rPr>
        <w:t>ec</w:t>
      </w:r>
      <w:r w:rsidRPr="00A54361">
        <w:rPr>
          <w:rFonts w:eastAsia="Times New Roman" w:cstheme="minorHAnsi"/>
        </w:rPr>
        <w:t>tor</w:t>
      </w:r>
      <w:r w:rsidRPr="00A54361">
        <w:rPr>
          <w:rFonts w:eastAsia="Times New Roman" w:cstheme="minorHAnsi"/>
          <w:spacing w:val="5"/>
        </w:rPr>
        <w:t xml:space="preserve"> </w:t>
      </w:r>
      <w:r w:rsidRPr="00A54361">
        <w:rPr>
          <w:rFonts w:eastAsia="Times New Roman" w:cstheme="minorHAnsi"/>
        </w:rPr>
        <w:t>/</w:t>
      </w:r>
      <w:r w:rsidRPr="00A54361">
        <w:rPr>
          <w:rFonts w:eastAsia="Times New Roman" w:cstheme="minorHAnsi"/>
          <w:spacing w:val="5"/>
        </w:rPr>
        <w:t xml:space="preserve"> </w:t>
      </w:r>
      <w:r w:rsidRPr="00A54361">
        <w:rPr>
          <w:rFonts w:eastAsia="Times New Roman" w:cstheme="minorHAnsi"/>
        </w:rPr>
        <w:t>O</w:t>
      </w:r>
      <w:r w:rsidRPr="00A54361">
        <w:rPr>
          <w:rFonts w:eastAsia="Times New Roman" w:cstheme="minorHAnsi"/>
          <w:spacing w:val="-1"/>
        </w:rPr>
        <w:t>w</w:t>
      </w:r>
      <w:r w:rsidRPr="00A54361">
        <w:rPr>
          <w:rFonts w:eastAsia="Times New Roman" w:cstheme="minorHAnsi"/>
          <w:spacing w:val="2"/>
        </w:rPr>
        <w:t>n</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4"/>
        </w:rPr>
        <w:t xml:space="preserve"> </w:t>
      </w:r>
      <w:r w:rsidRPr="00A54361">
        <w:rPr>
          <w:rFonts w:eastAsia="Times New Roman" w:cstheme="minorHAnsi"/>
        </w:rPr>
        <w:t>of</w:t>
      </w:r>
      <w:r w:rsidRPr="00A54361">
        <w:rPr>
          <w:rFonts w:eastAsia="Times New Roman" w:cstheme="minorHAnsi"/>
          <w:spacing w:val="4"/>
        </w:rPr>
        <w:t xml:space="preserve"> </w:t>
      </w:r>
      <w:r w:rsidRPr="00A54361">
        <w:rPr>
          <w:rFonts w:eastAsia="Times New Roman" w:cstheme="minorHAnsi"/>
        </w:rPr>
        <w:t>the</w:t>
      </w:r>
      <w:r w:rsidRPr="00A54361">
        <w:rPr>
          <w:rFonts w:eastAsia="Times New Roman" w:cstheme="minorHAnsi"/>
          <w:spacing w:val="4"/>
        </w:rPr>
        <w:t xml:space="preserve"> </w:t>
      </w:r>
      <w:r w:rsidRPr="00A54361">
        <w:rPr>
          <w:rFonts w:eastAsia="Times New Roman" w:cstheme="minorHAnsi"/>
          <w:spacing w:val="2"/>
        </w:rPr>
        <w:t>A</w:t>
      </w:r>
      <w:r w:rsidRPr="00A54361">
        <w:rPr>
          <w:rFonts w:eastAsia="Times New Roman" w:cstheme="minorHAnsi"/>
        </w:rPr>
        <w:t>g</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4"/>
        </w:rPr>
        <w:t>c</w:t>
      </w:r>
      <w:r w:rsidRPr="00A54361">
        <w:rPr>
          <w:rFonts w:eastAsia="Times New Roman" w:cstheme="minorHAnsi"/>
          <w:spacing w:val="-5"/>
        </w:rPr>
        <w:t>y</w:t>
      </w:r>
      <w:r w:rsidRPr="00A54361">
        <w:rPr>
          <w:rFonts w:eastAsia="Times New Roman" w:cstheme="minorHAnsi"/>
        </w:rPr>
        <w:t>,</w:t>
      </w:r>
      <w:r w:rsidRPr="00A54361">
        <w:rPr>
          <w:rFonts w:eastAsia="Times New Roman" w:cstheme="minorHAnsi"/>
          <w:spacing w:val="5"/>
        </w:rPr>
        <w:t xml:space="preserve"> </w:t>
      </w:r>
      <w:r w:rsidRPr="00A54361">
        <w:rPr>
          <w:rFonts w:eastAsia="Times New Roman" w:cstheme="minorHAnsi"/>
          <w:spacing w:val="2"/>
        </w:rPr>
        <w:t>p</w:t>
      </w:r>
      <w:r w:rsidRPr="00A54361">
        <w:rPr>
          <w:rFonts w:eastAsia="Times New Roman" w:cstheme="minorHAnsi"/>
        </w:rPr>
        <w:t>r</w:t>
      </w:r>
      <w:r w:rsidRPr="00A54361">
        <w:rPr>
          <w:rFonts w:eastAsia="Times New Roman" w:cstheme="minorHAnsi"/>
          <w:spacing w:val="3"/>
        </w:rPr>
        <w:t>o</w:t>
      </w:r>
      <w:r w:rsidRPr="00A54361">
        <w:rPr>
          <w:rFonts w:eastAsia="Times New Roman" w:cstheme="minorHAnsi"/>
        </w:rPr>
        <w:t>pri</w:t>
      </w:r>
      <w:r w:rsidRPr="00A54361">
        <w:rPr>
          <w:rFonts w:eastAsia="Times New Roman" w:cstheme="minorHAnsi"/>
          <w:spacing w:val="1"/>
        </w:rPr>
        <w:t>e</w:t>
      </w:r>
      <w:r w:rsidRPr="00A54361">
        <w:rPr>
          <w:rFonts w:eastAsia="Times New Roman" w:cstheme="minorHAnsi"/>
        </w:rPr>
        <w:t>tor</w:t>
      </w:r>
      <w:r w:rsidRPr="00A54361">
        <w:rPr>
          <w:rFonts w:eastAsia="Times New Roman" w:cstheme="minorHAnsi"/>
          <w:spacing w:val="5"/>
        </w:rPr>
        <w:t xml:space="preserve"> </w:t>
      </w:r>
      <w:r w:rsidRPr="00A54361">
        <w:rPr>
          <w:rFonts w:eastAsia="Times New Roman" w:cstheme="minorHAnsi"/>
        </w:rPr>
        <w:t>or</w:t>
      </w:r>
      <w:r w:rsidRPr="00A54361">
        <w:rPr>
          <w:rFonts w:eastAsia="Times New Roman" w:cstheme="minorHAnsi"/>
          <w:spacing w:val="4"/>
        </w:rPr>
        <w:t xml:space="preserve"> </w:t>
      </w:r>
      <w:r w:rsidRPr="00A54361">
        <w:rPr>
          <w:rFonts w:eastAsia="Times New Roman" w:cstheme="minorHAnsi"/>
        </w:rPr>
        <w:t>p</w:t>
      </w:r>
      <w:r w:rsidRPr="00A54361">
        <w:rPr>
          <w:rFonts w:eastAsia="Times New Roman" w:cstheme="minorHAnsi"/>
          <w:spacing w:val="-1"/>
        </w:rPr>
        <w:t>a</w:t>
      </w:r>
      <w:r w:rsidRPr="00A54361">
        <w:rPr>
          <w:rFonts w:eastAsia="Times New Roman" w:cstheme="minorHAnsi"/>
        </w:rPr>
        <w:t>rtn</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4"/>
        </w:rPr>
        <w:t xml:space="preserve"> </w:t>
      </w:r>
      <w:r w:rsidRPr="00A54361">
        <w:rPr>
          <w:rFonts w:eastAsia="Times New Roman" w:cstheme="minorHAnsi"/>
        </w:rPr>
        <w:t>of</w:t>
      </w:r>
      <w:r w:rsidRPr="00A54361">
        <w:rPr>
          <w:rFonts w:eastAsia="Times New Roman" w:cstheme="minorHAnsi"/>
          <w:spacing w:val="4"/>
        </w:rPr>
        <w:t xml:space="preserve"> </w:t>
      </w:r>
      <w:r w:rsidRPr="00A54361">
        <w:rPr>
          <w:rFonts w:eastAsia="Times New Roman" w:cstheme="minorHAnsi"/>
        </w:rPr>
        <w:t>the</w:t>
      </w:r>
      <w:r w:rsidRPr="00A54361">
        <w:rPr>
          <w:rFonts w:eastAsia="Times New Roman" w:cstheme="minorHAnsi"/>
          <w:spacing w:val="4"/>
        </w:rPr>
        <w:t xml:space="preserve"> </w:t>
      </w:r>
      <w:r w:rsidRPr="00A54361">
        <w:rPr>
          <w:rFonts w:eastAsia="Times New Roman" w:cstheme="minorHAnsi"/>
        </w:rPr>
        <w:t>f</w:t>
      </w:r>
      <w:r w:rsidRPr="00A54361">
        <w:rPr>
          <w:rFonts w:eastAsia="Times New Roman" w:cstheme="minorHAnsi"/>
          <w:spacing w:val="2"/>
        </w:rPr>
        <w:t>i</w:t>
      </w:r>
      <w:r w:rsidRPr="00A54361">
        <w:rPr>
          <w:rFonts w:eastAsia="Times New Roman" w:cstheme="minorHAnsi"/>
        </w:rPr>
        <w:t>rm,</w:t>
      </w:r>
      <w:r w:rsidRPr="00A54361">
        <w:rPr>
          <w:rFonts w:eastAsia="Times New Roman" w:cstheme="minorHAnsi"/>
          <w:spacing w:val="5"/>
        </w:rPr>
        <w:t xml:space="preserve"> </w:t>
      </w:r>
      <w:r w:rsidRPr="00A54361">
        <w:rPr>
          <w:rFonts w:eastAsia="Times New Roman" w:cstheme="minorHAnsi"/>
        </w:rPr>
        <w:t>is</w:t>
      </w:r>
      <w:r w:rsidRPr="00A54361">
        <w:rPr>
          <w:rFonts w:eastAsia="Times New Roman" w:cstheme="minorHAnsi"/>
          <w:spacing w:val="6"/>
        </w:rPr>
        <w:t xml:space="preserve"> </w:t>
      </w:r>
      <w:r w:rsidRPr="00A54361">
        <w:rPr>
          <w:rFonts w:eastAsia="Times New Roman" w:cstheme="minorHAnsi"/>
          <w:spacing w:val="-1"/>
        </w:rPr>
        <w:t>c</w:t>
      </w:r>
      <w:r w:rsidRPr="00A54361">
        <w:rPr>
          <w:rFonts w:eastAsia="Times New Roman" w:cstheme="minorHAnsi"/>
        </w:rPr>
        <w:t>onvict</w:t>
      </w:r>
      <w:r w:rsidRPr="00A54361">
        <w:rPr>
          <w:rFonts w:eastAsia="Times New Roman" w:cstheme="minorHAnsi"/>
          <w:spacing w:val="-1"/>
        </w:rPr>
        <w:t>e</w:t>
      </w:r>
      <w:r w:rsidRPr="00A54361">
        <w:rPr>
          <w:rFonts w:eastAsia="Times New Roman" w:cstheme="minorHAnsi"/>
        </w:rPr>
        <w:t>d</w:t>
      </w:r>
      <w:r w:rsidRPr="00A54361">
        <w:rPr>
          <w:rFonts w:eastAsia="Times New Roman" w:cstheme="minorHAnsi"/>
          <w:spacing w:val="5"/>
        </w:rPr>
        <w:t xml:space="preserve"> b</w:t>
      </w:r>
      <w:r w:rsidRPr="00A54361">
        <w:rPr>
          <w:rFonts w:eastAsia="Times New Roman" w:cstheme="minorHAnsi"/>
        </w:rPr>
        <w:t>y a Court</w:t>
      </w:r>
      <w:r w:rsidRPr="00A54361">
        <w:rPr>
          <w:rFonts w:eastAsia="Times New Roman" w:cstheme="minorHAnsi"/>
          <w:spacing w:val="2"/>
        </w:rPr>
        <w:t xml:space="preserve"> </w:t>
      </w:r>
      <w:r w:rsidRPr="00A54361">
        <w:rPr>
          <w:rFonts w:eastAsia="Times New Roman" w:cstheme="minorHAnsi"/>
        </w:rPr>
        <w:t>of</w:t>
      </w:r>
      <w:r w:rsidRPr="00A54361">
        <w:rPr>
          <w:rFonts w:eastAsia="Times New Roman" w:cstheme="minorHAnsi"/>
          <w:spacing w:val="4"/>
        </w:rPr>
        <w:t xml:space="preserve"> </w:t>
      </w:r>
      <w:r w:rsidRPr="00A54361">
        <w:rPr>
          <w:rFonts w:eastAsia="Times New Roman" w:cstheme="minorHAnsi"/>
          <w:spacing w:val="-3"/>
        </w:rPr>
        <w:t>L</w:t>
      </w:r>
      <w:r w:rsidRPr="00A54361">
        <w:rPr>
          <w:rFonts w:eastAsia="Times New Roman" w:cstheme="minorHAnsi"/>
          <w:spacing w:val="-1"/>
        </w:rPr>
        <w:t>a</w:t>
      </w:r>
      <w:r w:rsidRPr="00A54361">
        <w:rPr>
          <w:rFonts w:eastAsia="Times New Roman" w:cstheme="minorHAnsi"/>
        </w:rPr>
        <w:t>w</w:t>
      </w:r>
      <w:r w:rsidRPr="00A54361">
        <w:rPr>
          <w:rFonts w:eastAsia="Times New Roman" w:cstheme="minorHAnsi"/>
          <w:spacing w:val="2"/>
        </w:rPr>
        <w:t xml:space="preserve"> </w:t>
      </w:r>
      <w:r w:rsidRPr="00A54361">
        <w:rPr>
          <w:rFonts w:eastAsia="Times New Roman" w:cstheme="minorHAnsi"/>
        </w:rPr>
        <w:t>for</w:t>
      </w:r>
      <w:r w:rsidRPr="00A54361">
        <w:rPr>
          <w:rFonts w:eastAsia="Times New Roman" w:cstheme="minorHAnsi"/>
          <w:spacing w:val="1"/>
        </w:rPr>
        <w:t xml:space="preserve"> </w:t>
      </w:r>
      <w:r w:rsidRPr="00A54361">
        <w:rPr>
          <w:rFonts w:eastAsia="Times New Roman" w:cstheme="minorHAnsi"/>
          <w:spacing w:val="2"/>
        </w:rPr>
        <w:t>o</w:t>
      </w:r>
      <w:r w:rsidRPr="00A54361">
        <w:rPr>
          <w:rFonts w:eastAsia="Times New Roman" w:cstheme="minorHAnsi"/>
        </w:rPr>
        <w:t>f</w:t>
      </w:r>
      <w:r w:rsidRPr="00A54361">
        <w:rPr>
          <w:rFonts w:eastAsia="Times New Roman" w:cstheme="minorHAnsi"/>
          <w:spacing w:val="-1"/>
        </w:rPr>
        <w:t>fe</w:t>
      </w:r>
      <w:r w:rsidRPr="00A54361">
        <w:rPr>
          <w:rFonts w:eastAsia="Times New Roman" w:cstheme="minorHAnsi"/>
          <w:spacing w:val="2"/>
        </w:rPr>
        <w:t>n</w:t>
      </w:r>
      <w:r w:rsidRPr="00A54361">
        <w:rPr>
          <w:rFonts w:eastAsia="Times New Roman" w:cstheme="minorHAnsi"/>
          <w:spacing w:val="1"/>
        </w:rPr>
        <w:t>c</w:t>
      </w:r>
      <w:r w:rsidRPr="00A54361">
        <w:rPr>
          <w:rFonts w:eastAsia="Times New Roman" w:cstheme="minorHAnsi"/>
          <w:spacing w:val="-1"/>
        </w:rPr>
        <w:t>e</w:t>
      </w:r>
      <w:r w:rsidRPr="00A54361">
        <w:rPr>
          <w:rFonts w:eastAsia="Times New Roman" w:cstheme="minorHAnsi"/>
        </w:rPr>
        <w:t>s</w:t>
      </w:r>
      <w:r w:rsidRPr="00A54361">
        <w:rPr>
          <w:rFonts w:eastAsia="Times New Roman" w:cstheme="minorHAnsi"/>
          <w:spacing w:val="2"/>
        </w:rPr>
        <w:t xml:space="preserve"> </w:t>
      </w:r>
      <w:r w:rsidRPr="00A54361">
        <w:rPr>
          <w:rFonts w:eastAsia="Times New Roman" w:cstheme="minorHAnsi"/>
        </w:rPr>
        <w:t>invo</w:t>
      </w:r>
      <w:r w:rsidRPr="00A54361">
        <w:rPr>
          <w:rFonts w:eastAsia="Times New Roman" w:cstheme="minorHAnsi"/>
          <w:spacing w:val="1"/>
        </w:rPr>
        <w:t>l</w:t>
      </w:r>
      <w:r w:rsidRPr="00A54361">
        <w:rPr>
          <w:rFonts w:eastAsia="Times New Roman" w:cstheme="minorHAnsi"/>
        </w:rPr>
        <w:t>ving mor</w:t>
      </w:r>
      <w:r w:rsidRPr="00A54361">
        <w:rPr>
          <w:rFonts w:eastAsia="Times New Roman" w:cstheme="minorHAnsi"/>
          <w:spacing w:val="-1"/>
        </w:rPr>
        <w:t>a</w:t>
      </w:r>
      <w:r w:rsidRPr="00A54361">
        <w:rPr>
          <w:rFonts w:eastAsia="Times New Roman" w:cstheme="minorHAnsi"/>
        </w:rPr>
        <w:t>l</w:t>
      </w:r>
      <w:r w:rsidRPr="00A54361">
        <w:rPr>
          <w:rFonts w:eastAsia="Times New Roman" w:cstheme="minorHAnsi"/>
          <w:spacing w:val="3"/>
        </w:rPr>
        <w:t xml:space="preserve"> </w:t>
      </w:r>
      <w:r w:rsidRPr="00A54361">
        <w:rPr>
          <w:rFonts w:eastAsia="Times New Roman" w:cstheme="minorHAnsi"/>
        </w:rPr>
        <w:t>turpi</w:t>
      </w:r>
      <w:r w:rsidRPr="00A54361">
        <w:rPr>
          <w:rFonts w:eastAsia="Times New Roman" w:cstheme="minorHAnsi"/>
          <w:spacing w:val="3"/>
        </w:rPr>
        <w:t>t</w:t>
      </w:r>
      <w:r w:rsidRPr="00A54361">
        <w:rPr>
          <w:rFonts w:eastAsia="Times New Roman" w:cstheme="minorHAnsi"/>
        </w:rPr>
        <w:t>ude</w:t>
      </w:r>
      <w:r w:rsidRPr="00A54361">
        <w:rPr>
          <w:rFonts w:eastAsia="Times New Roman" w:cstheme="minorHAnsi"/>
          <w:spacing w:val="1"/>
        </w:rPr>
        <w:t xml:space="preserve"> </w:t>
      </w:r>
      <w:r w:rsidRPr="00A54361">
        <w:rPr>
          <w:rFonts w:eastAsia="Times New Roman" w:cstheme="minorHAnsi"/>
        </w:rPr>
        <w:t>in</w:t>
      </w:r>
      <w:r w:rsidRPr="00A54361">
        <w:rPr>
          <w:rFonts w:eastAsia="Times New Roman" w:cstheme="minorHAnsi"/>
          <w:spacing w:val="3"/>
        </w:rPr>
        <w:t xml:space="preserve"> </w:t>
      </w:r>
      <w:r w:rsidRPr="00A54361">
        <w:rPr>
          <w:rFonts w:eastAsia="Times New Roman" w:cstheme="minorHAnsi"/>
        </w:rPr>
        <w:t>r</w:t>
      </w:r>
      <w:r w:rsidRPr="00A54361">
        <w:rPr>
          <w:rFonts w:eastAsia="Times New Roman" w:cstheme="minorHAnsi"/>
          <w:spacing w:val="-2"/>
        </w:rPr>
        <w:t>e</w:t>
      </w:r>
      <w:r w:rsidRPr="00A54361">
        <w:rPr>
          <w:rFonts w:eastAsia="Times New Roman" w:cstheme="minorHAnsi"/>
        </w:rPr>
        <w:t>lation</w:t>
      </w:r>
      <w:r w:rsidRPr="00A54361">
        <w:rPr>
          <w:rFonts w:eastAsia="Times New Roman" w:cstheme="minorHAnsi"/>
          <w:spacing w:val="3"/>
        </w:rPr>
        <w:t xml:space="preserve"> </w:t>
      </w:r>
      <w:r w:rsidRPr="00A54361">
        <w:rPr>
          <w:rFonts w:eastAsia="Times New Roman" w:cstheme="minorHAnsi"/>
        </w:rPr>
        <w:t>to</w:t>
      </w:r>
      <w:r w:rsidRPr="00A54361">
        <w:rPr>
          <w:rFonts w:eastAsia="Times New Roman" w:cstheme="minorHAnsi"/>
          <w:spacing w:val="3"/>
        </w:rPr>
        <w:t xml:space="preserve"> </w:t>
      </w:r>
      <w:r w:rsidRPr="00A54361">
        <w:rPr>
          <w:rFonts w:eastAsia="Times New Roman" w:cstheme="minorHAnsi"/>
        </w:rPr>
        <w:t>i</w:t>
      </w:r>
      <w:r w:rsidRPr="00A54361">
        <w:rPr>
          <w:rFonts w:eastAsia="Times New Roman" w:cstheme="minorHAnsi"/>
          <w:spacing w:val="1"/>
        </w:rPr>
        <w:t>t</w:t>
      </w:r>
      <w:r w:rsidRPr="00A54361">
        <w:rPr>
          <w:rFonts w:eastAsia="Times New Roman" w:cstheme="minorHAnsi"/>
        </w:rPr>
        <w:t>s</w:t>
      </w:r>
      <w:r w:rsidRPr="00A54361">
        <w:rPr>
          <w:rFonts w:eastAsia="Times New Roman" w:cstheme="minorHAnsi"/>
          <w:spacing w:val="2"/>
        </w:rPr>
        <w:t xml:space="preserve"> </w:t>
      </w:r>
      <w:r w:rsidRPr="00A54361">
        <w:rPr>
          <w:rFonts w:eastAsia="Times New Roman" w:cstheme="minorHAnsi"/>
        </w:rPr>
        <w:t>busin</w:t>
      </w:r>
      <w:r w:rsidRPr="00A54361">
        <w:rPr>
          <w:rFonts w:eastAsia="Times New Roman" w:cstheme="minorHAnsi"/>
          <w:spacing w:val="-1"/>
        </w:rPr>
        <w:t>e</w:t>
      </w:r>
      <w:r w:rsidRPr="00A54361">
        <w:rPr>
          <w:rFonts w:eastAsia="Times New Roman" w:cstheme="minorHAnsi"/>
        </w:rPr>
        <w:t>ss</w:t>
      </w:r>
      <w:r w:rsidRPr="00A54361">
        <w:rPr>
          <w:rFonts w:eastAsia="Times New Roman" w:cstheme="minorHAnsi"/>
          <w:spacing w:val="3"/>
        </w:rPr>
        <w:t xml:space="preserve"> </w:t>
      </w:r>
      <w:r w:rsidRPr="00A54361">
        <w:rPr>
          <w:rFonts w:eastAsia="Times New Roman" w:cstheme="minorHAnsi"/>
        </w:rPr>
        <w:t>d</w:t>
      </w:r>
      <w:r w:rsidRPr="00A54361">
        <w:rPr>
          <w:rFonts w:eastAsia="Times New Roman" w:cstheme="minorHAnsi"/>
          <w:spacing w:val="-1"/>
        </w:rPr>
        <w:t>ea</w:t>
      </w:r>
      <w:r w:rsidRPr="00A54361">
        <w:rPr>
          <w:rFonts w:eastAsia="Times New Roman" w:cstheme="minorHAnsi"/>
        </w:rPr>
        <w:t>l</w:t>
      </w:r>
      <w:r w:rsidRPr="00A54361">
        <w:rPr>
          <w:rFonts w:eastAsia="Times New Roman" w:cstheme="minorHAnsi"/>
          <w:spacing w:val="1"/>
        </w:rPr>
        <w:t>i</w:t>
      </w:r>
      <w:r w:rsidRPr="00A54361">
        <w:rPr>
          <w:rFonts w:eastAsia="Times New Roman" w:cstheme="minorHAnsi"/>
          <w:spacing w:val="2"/>
        </w:rPr>
        <w:t>n</w:t>
      </w:r>
      <w:r w:rsidRPr="00A54361">
        <w:rPr>
          <w:rFonts w:eastAsia="Times New Roman" w:cstheme="minorHAnsi"/>
          <w:spacing w:val="-2"/>
        </w:rPr>
        <w:t>g</w:t>
      </w:r>
      <w:r w:rsidRPr="00A54361">
        <w:rPr>
          <w:rFonts w:eastAsia="Times New Roman" w:cstheme="minorHAnsi"/>
        </w:rPr>
        <w:t>s</w:t>
      </w:r>
      <w:r w:rsidRPr="00A54361">
        <w:rPr>
          <w:rFonts w:eastAsia="Times New Roman" w:cstheme="minorHAnsi"/>
          <w:spacing w:val="2"/>
        </w:rPr>
        <w:t xml:space="preserve"> </w:t>
      </w:r>
      <w:r w:rsidRPr="00A54361">
        <w:rPr>
          <w:rFonts w:eastAsia="Times New Roman" w:cstheme="minorHAnsi"/>
        </w:rPr>
        <w:t>with the</w:t>
      </w:r>
      <w:r w:rsidRPr="00A54361">
        <w:rPr>
          <w:rFonts w:eastAsia="Times New Roman" w:cstheme="minorHAnsi"/>
          <w:spacing w:val="-12"/>
        </w:rPr>
        <w:t xml:space="preserve"> </w:t>
      </w:r>
      <w:r w:rsidRPr="00A54361">
        <w:rPr>
          <w:rFonts w:eastAsia="Times New Roman" w:cstheme="minorHAnsi"/>
        </w:rPr>
        <w:t>Gov</w:t>
      </w:r>
      <w:r w:rsidRPr="00A54361">
        <w:rPr>
          <w:rFonts w:eastAsia="Times New Roman" w:cstheme="minorHAnsi"/>
          <w:spacing w:val="-1"/>
        </w:rPr>
        <w:t>e</w:t>
      </w:r>
      <w:r w:rsidRPr="00A54361">
        <w:rPr>
          <w:rFonts w:eastAsia="Times New Roman" w:cstheme="minorHAnsi"/>
        </w:rPr>
        <w:t>rnm</w:t>
      </w:r>
      <w:r w:rsidRPr="00A54361">
        <w:rPr>
          <w:rFonts w:eastAsia="Times New Roman" w:cstheme="minorHAnsi"/>
          <w:spacing w:val="-1"/>
        </w:rPr>
        <w:t>e</w:t>
      </w:r>
      <w:r w:rsidRPr="00A54361">
        <w:rPr>
          <w:rFonts w:eastAsia="Times New Roman" w:cstheme="minorHAnsi"/>
        </w:rPr>
        <w:t>nt</w:t>
      </w:r>
      <w:r w:rsidRPr="00A54361">
        <w:rPr>
          <w:rFonts w:eastAsia="Times New Roman" w:cstheme="minorHAnsi"/>
          <w:spacing w:val="-12"/>
        </w:rPr>
        <w:t xml:space="preserve"> </w:t>
      </w:r>
      <w:r w:rsidRPr="00A54361">
        <w:rPr>
          <w:rFonts w:eastAsia="Times New Roman" w:cstheme="minorHAnsi"/>
        </w:rPr>
        <w:t>or</w:t>
      </w:r>
      <w:r w:rsidRPr="00A54361">
        <w:rPr>
          <w:rFonts w:eastAsia="Times New Roman" w:cstheme="minorHAnsi"/>
          <w:spacing w:val="-10"/>
        </w:rPr>
        <w:t xml:space="preserve"> </w:t>
      </w:r>
      <w:r w:rsidRPr="00A54361">
        <w:rPr>
          <w:rFonts w:eastAsia="Times New Roman" w:cstheme="minorHAnsi"/>
          <w:spacing w:val="-1"/>
        </w:rPr>
        <w:t>a</w:t>
      </w:r>
      <w:r w:rsidRPr="00A54361">
        <w:rPr>
          <w:rFonts w:eastAsia="Times New Roman" w:cstheme="minorHAnsi"/>
          <w:spacing w:val="5"/>
        </w:rPr>
        <w:t>n</w:t>
      </w:r>
      <w:r w:rsidRPr="00A54361">
        <w:rPr>
          <w:rFonts w:eastAsia="Times New Roman" w:cstheme="minorHAnsi"/>
        </w:rPr>
        <w:t>y</w:t>
      </w:r>
      <w:r w:rsidRPr="00A54361">
        <w:rPr>
          <w:rFonts w:eastAsia="Times New Roman" w:cstheme="minorHAnsi"/>
          <w:spacing w:val="-17"/>
        </w:rPr>
        <w:t xml:space="preserve"> </w:t>
      </w:r>
      <w:r w:rsidRPr="00A54361">
        <w:rPr>
          <w:rFonts w:eastAsia="Times New Roman" w:cstheme="minorHAnsi"/>
        </w:rPr>
        <w:t>other</w:t>
      </w:r>
      <w:r w:rsidRPr="00A54361">
        <w:rPr>
          <w:rFonts w:eastAsia="Times New Roman" w:cstheme="minorHAnsi"/>
          <w:spacing w:val="-13"/>
        </w:rPr>
        <w:t xml:space="preserve"> </w:t>
      </w:r>
      <w:r w:rsidRPr="00A54361">
        <w:rPr>
          <w:rFonts w:eastAsia="Times New Roman" w:cstheme="minorHAnsi"/>
        </w:rPr>
        <w:t>publ</w:t>
      </w:r>
      <w:r w:rsidRPr="00A54361">
        <w:rPr>
          <w:rFonts w:eastAsia="Times New Roman" w:cstheme="minorHAnsi"/>
          <w:spacing w:val="1"/>
        </w:rPr>
        <w:t>i</w:t>
      </w:r>
      <w:r w:rsidRPr="00A54361">
        <w:rPr>
          <w:rFonts w:eastAsia="Times New Roman" w:cstheme="minorHAnsi"/>
        </w:rPr>
        <w:t>c</w:t>
      </w:r>
      <w:r w:rsidRPr="00A54361">
        <w:rPr>
          <w:rFonts w:eastAsia="Times New Roman" w:cstheme="minorHAnsi"/>
          <w:spacing w:val="-13"/>
        </w:rPr>
        <w:t xml:space="preserve"> </w:t>
      </w:r>
      <w:r w:rsidRPr="00A54361">
        <w:rPr>
          <w:rFonts w:eastAsia="Times New Roman" w:cstheme="minorHAnsi"/>
        </w:rPr>
        <w:t>s</w:t>
      </w:r>
      <w:r w:rsidRPr="00A54361">
        <w:rPr>
          <w:rFonts w:eastAsia="Times New Roman" w:cstheme="minorHAnsi"/>
          <w:spacing w:val="-1"/>
        </w:rPr>
        <w:t>ec</w:t>
      </w:r>
      <w:r w:rsidRPr="00A54361">
        <w:rPr>
          <w:rFonts w:eastAsia="Times New Roman" w:cstheme="minorHAnsi"/>
        </w:rPr>
        <w:t>tor</w:t>
      </w:r>
      <w:r w:rsidRPr="00A54361">
        <w:rPr>
          <w:rFonts w:eastAsia="Times New Roman" w:cstheme="minorHAnsi"/>
          <w:spacing w:val="-10"/>
        </w:rPr>
        <w:t xml:space="preserve"> </w:t>
      </w:r>
      <w:r w:rsidRPr="00A54361">
        <w:rPr>
          <w:rFonts w:eastAsia="Times New Roman" w:cstheme="minorHAnsi"/>
          <w:spacing w:val="-1"/>
        </w:rPr>
        <w:t>e</w:t>
      </w:r>
      <w:r w:rsidRPr="00A54361">
        <w:rPr>
          <w:rFonts w:eastAsia="Times New Roman" w:cstheme="minorHAnsi"/>
        </w:rPr>
        <w:t>nte</w:t>
      </w:r>
      <w:r w:rsidRPr="00A54361">
        <w:rPr>
          <w:rFonts w:eastAsia="Times New Roman" w:cstheme="minorHAnsi"/>
          <w:spacing w:val="-1"/>
        </w:rPr>
        <w:t>r</w:t>
      </w:r>
      <w:r w:rsidRPr="00A54361">
        <w:rPr>
          <w:rFonts w:eastAsia="Times New Roman" w:cstheme="minorHAnsi"/>
        </w:rPr>
        <w:t>pr</w:t>
      </w:r>
      <w:r w:rsidRPr="00A54361">
        <w:rPr>
          <w:rFonts w:eastAsia="Times New Roman" w:cstheme="minorHAnsi"/>
          <w:spacing w:val="2"/>
        </w:rPr>
        <w:t>i</w:t>
      </w:r>
      <w:r w:rsidRPr="00A54361">
        <w:rPr>
          <w:rFonts w:eastAsia="Times New Roman" w:cstheme="minorHAnsi"/>
        </w:rPr>
        <w:t>s</w:t>
      </w:r>
      <w:r w:rsidRPr="00A54361">
        <w:rPr>
          <w:rFonts w:eastAsia="Times New Roman" w:cstheme="minorHAnsi"/>
          <w:spacing w:val="-1"/>
        </w:rPr>
        <w:t>e</w:t>
      </w:r>
      <w:r w:rsidRPr="00A54361">
        <w:rPr>
          <w:rFonts w:eastAsia="Times New Roman" w:cstheme="minorHAnsi"/>
        </w:rPr>
        <w:t>s</w:t>
      </w:r>
      <w:r w:rsidRPr="00A54361">
        <w:rPr>
          <w:rFonts w:eastAsia="Times New Roman" w:cstheme="minorHAnsi"/>
          <w:spacing w:val="-12"/>
        </w:rPr>
        <w:t xml:space="preserve"> </w:t>
      </w:r>
      <w:r w:rsidRPr="00A54361">
        <w:rPr>
          <w:rFonts w:eastAsia="Times New Roman" w:cstheme="minorHAnsi"/>
        </w:rPr>
        <w:t>or</w:t>
      </w:r>
      <w:r w:rsidRPr="00A54361">
        <w:rPr>
          <w:rFonts w:eastAsia="Times New Roman" w:cstheme="minorHAnsi"/>
          <w:spacing w:val="-13"/>
        </w:rPr>
        <w:t xml:space="preserve"> </w:t>
      </w:r>
      <w:r w:rsidRPr="00A54361">
        <w:rPr>
          <w:rFonts w:eastAsia="Times New Roman" w:cstheme="minorHAnsi"/>
        </w:rPr>
        <w:t>CE</w:t>
      </w:r>
      <w:r w:rsidRPr="00A54361">
        <w:rPr>
          <w:rFonts w:eastAsia="Times New Roman" w:cstheme="minorHAnsi"/>
          <w:spacing w:val="-1"/>
        </w:rPr>
        <w:t>N</w:t>
      </w:r>
      <w:r w:rsidRPr="00A54361">
        <w:rPr>
          <w:rFonts w:eastAsia="Times New Roman" w:cstheme="minorHAnsi"/>
        </w:rPr>
        <w:t>TR</w:t>
      </w:r>
      <w:r w:rsidRPr="00A54361">
        <w:rPr>
          <w:rFonts w:eastAsia="Times New Roman" w:cstheme="minorHAnsi"/>
          <w:spacing w:val="2"/>
        </w:rPr>
        <w:t>A</w:t>
      </w:r>
      <w:r w:rsidRPr="00A54361">
        <w:rPr>
          <w:rFonts w:eastAsia="Times New Roman" w:cstheme="minorHAnsi"/>
        </w:rPr>
        <w:t>L</w:t>
      </w:r>
      <w:r w:rsidRPr="00A54361">
        <w:rPr>
          <w:rFonts w:eastAsia="Times New Roman" w:cstheme="minorHAnsi"/>
          <w:spacing w:val="-15"/>
        </w:rPr>
        <w:t xml:space="preserve"> </w:t>
      </w:r>
      <w:r w:rsidRPr="00A54361">
        <w:rPr>
          <w:rFonts w:eastAsia="Times New Roman" w:cstheme="minorHAnsi"/>
          <w:spacing w:val="-2"/>
        </w:rPr>
        <w:t>B</w:t>
      </w:r>
      <w:r w:rsidRPr="00A54361">
        <w:rPr>
          <w:rFonts w:eastAsia="Times New Roman" w:cstheme="minorHAnsi"/>
          <w:spacing w:val="2"/>
        </w:rPr>
        <w:t>A</w:t>
      </w:r>
      <w:r w:rsidRPr="00A54361">
        <w:rPr>
          <w:rFonts w:eastAsia="Times New Roman" w:cstheme="minorHAnsi"/>
        </w:rPr>
        <w:t>NK</w:t>
      </w:r>
      <w:r w:rsidRPr="00A54361">
        <w:rPr>
          <w:rFonts w:eastAsia="Times New Roman" w:cstheme="minorHAnsi"/>
          <w:spacing w:val="-11"/>
        </w:rPr>
        <w:t xml:space="preserve"> </w:t>
      </w:r>
      <w:r w:rsidRPr="00A54361">
        <w:rPr>
          <w:rFonts w:eastAsia="Times New Roman" w:cstheme="minorHAnsi"/>
        </w:rPr>
        <w:t>OF</w:t>
      </w:r>
      <w:r w:rsidRPr="00A54361">
        <w:rPr>
          <w:rFonts w:eastAsia="Times New Roman" w:cstheme="minorHAnsi"/>
          <w:spacing w:val="-12"/>
        </w:rPr>
        <w:t xml:space="preserve"> </w:t>
      </w:r>
      <w:r w:rsidRPr="00A54361">
        <w:rPr>
          <w:rFonts w:eastAsia="Times New Roman" w:cstheme="minorHAnsi"/>
          <w:spacing w:val="-3"/>
        </w:rPr>
        <w:t>I</w:t>
      </w:r>
      <w:r w:rsidRPr="00A54361">
        <w:rPr>
          <w:rFonts w:eastAsia="Times New Roman" w:cstheme="minorHAnsi"/>
        </w:rPr>
        <w:t>N</w:t>
      </w:r>
      <w:r w:rsidRPr="00A54361">
        <w:rPr>
          <w:rFonts w:eastAsia="Times New Roman" w:cstheme="minorHAnsi"/>
          <w:spacing w:val="4"/>
        </w:rPr>
        <w:t>D</w:t>
      </w:r>
      <w:r w:rsidRPr="00A54361">
        <w:rPr>
          <w:rFonts w:eastAsia="Times New Roman" w:cstheme="minorHAnsi"/>
          <w:spacing w:val="-3"/>
        </w:rPr>
        <w:t>I</w:t>
      </w:r>
      <w:r w:rsidRPr="00A54361">
        <w:rPr>
          <w:rFonts w:eastAsia="Times New Roman" w:cstheme="minorHAnsi"/>
        </w:rPr>
        <w:t>A,</w:t>
      </w:r>
      <w:r w:rsidRPr="00A54361">
        <w:rPr>
          <w:rFonts w:eastAsia="Times New Roman" w:cstheme="minorHAnsi"/>
          <w:spacing w:val="-12"/>
        </w:rPr>
        <w:t xml:space="preserve"> </w:t>
      </w:r>
      <w:r w:rsidRPr="00A54361">
        <w:rPr>
          <w:rFonts w:eastAsia="Times New Roman" w:cstheme="minorHAnsi"/>
        </w:rPr>
        <w:t>duri</w:t>
      </w:r>
      <w:r w:rsidRPr="00A54361">
        <w:rPr>
          <w:rFonts w:eastAsia="Times New Roman" w:cstheme="minorHAnsi"/>
          <w:spacing w:val="2"/>
        </w:rPr>
        <w:t>n</w:t>
      </w:r>
      <w:r w:rsidRPr="00A54361">
        <w:rPr>
          <w:rFonts w:eastAsia="Times New Roman" w:cstheme="minorHAnsi"/>
        </w:rPr>
        <w:t>g the l</w:t>
      </w:r>
      <w:r w:rsidRPr="00A54361">
        <w:rPr>
          <w:rFonts w:eastAsia="Times New Roman" w:cstheme="minorHAnsi"/>
          <w:spacing w:val="-1"/>
        </w:rPr>
        <w:t>a</w:t>
      </w:r>
      <w:r w:rsidRPr="00A54361">
        <w:rPr>
          <w:rFonts w:eastAsia="Times New Roman" w:cstheme="minorHAnsi"/>
        </w:rPr>
        <w:t>st five</w:t>
      </w:r>
      <w:r w:rsidRPr="00A54361">
        <w:rPr>
          <w:rFonts w:eastAsia="Times New Roman" w:cstheme="minorHAnsi"/>
          <w:spacing w:val="4"/>
        </w:rPr>
        <w:t xml:space="preserve"> </w:t>
      </w:r>
      <w:r w:rsidRPr="00A54361">
        <w:rPr>
          <w:rFonts w:eastAsia="Times New Roman" w:cstheme="minorHAnsi"/>
          <w:spacing w:val="-5"/>
        </w:rPr>
        <w:t>y</w:t>
      </w:r>
      <w:r w:rsidRPr="00A54361">
        <w:rPr>
          <w:rFonts w:eastAsia="Times New Roman" w:cstheme="minorHAnsi"/>
          <w:spacing w:val="-1"/>
        </w:rPr>
        <w:t>e</w:t>
      </w:r>
      <w:r w:rsidRPr="00A54361">
        <w:rPr>
          <w:rFonts w:eastAsia="Times New Roman" w:cstheme="minorHAnsi"/>
          <w:spacing w:val="1"/>
        </w:rPr>
        <w:t>a</w:t>
      </w:r>
      <w:r w:rsidRPr="00A54361">
        <w:rPr>
          <w:rFonts w:eastAsia="Times New Roman" w:cstheme="minorHAnsi"/>
        </w:rPr>
        <w:t>rs;</w:t>
      </w:r>
    </w:p>
    <w:p w14:paraId="1B4450DF" w14:textId="77777777" w:rsidR="0054549F" w:rsidRPr="00A54361" w:rsidRDefault="0054549F" w:rsidP="00A54361">
      <w:pPr>
        <w:spacing w:before="3" w:line="260" w:lineRule="exact"/>
        <w:ind w:right="79"/>
        <w:jc w:val="both"/>
        <w:rPr>
          <w:rFonts w:cstheme="minorHAnsi"/>
        </w:rPr>
      </w:pPr>
      <w:r w:rsidRPr="00A54361">
        <w:rPr>
          <w:rFonts w:eastAsia="Times New Roman" w:cstheme="minorHAnsi"/>
        </w:rPr>
        <w:t>6.3</w:t>
      </w:r>
      <w:r w:rsidRPr="00A54361">
        <w:rPr>
          <w:rFonts w:eastAsia="Times New Roman" w:cstheme="minorHAnsi"/>
          <w:spacing w:val="5"/>
        </w:rPr>
        <w:t xml:space="preserve"> </w:t>
      </w:r>
      <w:r w:rsidRPr="00A54361">
        <w:rPr>
          <w:rFonts w:eastAsia="Times New Roman" w:cstheme="minorHAnsi"/>
          <w:spacing w:val="-6"/>
        </w:rPr>
        <w:t>I</w:t>
      </w:r>
      <w:r w:rsidRPr="00A54361">
        <w:rPr>
          <w:rFonts w:eastAsia="Times New Roman" w:cstheme="minorHAnsi"/>
        </w:rPr>
        <w:t>f</w:t>
      </w:r>
      <w:r w:rsidRPr="00A54361">
        <w:rPr>
          <w:rFonts w:eastAsia="Times New Roman" w:cstheme="minorHAnsi"/>
          <w:spacing w:val="2"/>
        </w:rPr>
        <w:t xml:space="preserve"> </w:t>
      </w:r>
      <w:r w:rsidRPr="00A54361">
        <w:rPr>
          <w:rFonts w:eastAsia="Times New Roman" w:cstheme="minorHAnsi"/>
        </w:rPr>
        <w:t>the</w:t>
      </w:r>
      <w:r w:rsidRPr="00A54361">
        <w:rPr>
          <w:rFonts w:eastAsia="Times New Roman" w:cstheme="minorHAnsi"/>
          <w:spacing w:val="1"/>
        </w:rPr>
        <w:t>r</w:t>
      </w:r>
      <w:r w:rsidRPr="00A54361">
        <w:rPr>
          <w:rFonts w:eastAsia="Times New Roman" w:cstheme="minorHAnsi"/>
        </w:rPr>
        <w:t>e</w:t>
      </w:r>
      <w:r w:rsidRPr="00A54361">
        <w:rPr>
          <w:rFonts w:eastAsia="Times New Roman" w:cstheme="minorHAnsi"/>
          <w:spacing w:val="2"/>
        </w:rPr>
        <w:t xml:space="preserve"> </w:t>
      </w:r>
      <w:r w:rsidRPr="00A54361">
        <w:rPr>
          <w:rFonts w:eastAsia="Times New Roman" w:cstheme="minorHAnsi"/>
        </w:rPr>
        <w:t>is</w:t>
      </w:r>
      <w:r w:rsidRPr="00A54361">
        <w:rPr>
          <w:rFonts w:eastAsia="Times New Roman" w:cstheme="minorHAnsi"/>
          <w:spacing w:val="3"/>
        </w:rPr>
        <w:t xml:space="preserve"> </w:t>
      </w:r>
      <w:r w:rsidRPr="00A54361">
        <w:rPr>
          <w:rFonts w:eastAsia="Times New Roman" w:cstheme="minorHAnsi"/>
        </w:rPr>
        <w:t>strong jus</w:t>
      </w:r>
      <w:r w:rsidRPr="00A54361">
        <w:rPr>
          <w:rFonts w:eastAsia="Times New Roman" w:cstheme="minorHAnsi"/>
          <w:spacing w:val="1"/>
        </w:rPr>
        <w:t>t</w:t>
      </w:r>
      <w:r w:rsidRPr="00A54361">
        <w:rPr>
          <w:rFonts w:eastAsia="Times New Roman" w:cstheme="minorHAnsi"/>
          <w:spacing w:val="-2"/>
        </w:rPr>
        <w:t>i</w:t>
      </w:r>
      <w:r w:rsidRPr="00A54361">
        <w:rPr>
          <w:rFonts w:eastAsia="Times New Roman" w:cstheme="minorHAnsi"/>
        </w:rPr>
        <w:t>fi</w:t>
      </w:r>
      <w:r w:rsidRPr="00A54361">
        <w:rPr>
          <w:rFonts w:eastAsia="Times New Roman" w:cstheme="minorHAnsi"/>
          <w:spacing w:val="-1"/>
        </w:rPr>
        <w:t>ca</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on</w:t>
      </w:r>
      <w:r w:rsidRPr="00A54361">
        <w:rPr>
          <w:rFonts w:eastAsia="Times New Roman" w:cstheme="minorHAnsi"/>
          <w:spacing w:val="3"/>
        </w:rPr>
        <w:t xml:space="preserve"> </w:t>
      </w:r>
      <w:r w:rsidRPr="00A54361">
        <w:rPr>
          <w:rFonts w:eastAsia="Times New Roman" w:cstheme="minorHAnsi"/>
        </w:rPr>
        <w:t>for</w:t>
      </w:r>
      <w:r w:rsidRPr="00A54361">
        <w:rPr>
          <w:rFonts w:eastAsia="Times New Roman" w:cstheme="minorHAnsi"/>
          <w:spacing w:val="1"/>
        </w:rPr>
        <w:t xml:space="preserve"> </w:t>
      </w:r>
      <w:r w:rsidRPr="00A54361">
        <w:rPr>
          <w:rFonts w:eastAsia="Times New Roman" w:cstheme="minorHAnsi"/>
        </w:rPr>
        <w:t>b</w:t>
      </w:r>
      <w:r w:rsidRPr="00A54361">
        <w:rPr>
          <w:rFonts w:eastAsia="Times New Roman" w:cstheme="minorHAnsi"/>
          <w:spacing w:val="-1"/>
        </w:rPr>
        <w:t>e</w:t>
      </w:r>
      <w:r w:rsidRPr="00A54361">
        <w:rPr>
          <w:rFonts w:eastAsia="Times New Roman" w:cstheme="minorHAnsi"/>
        </w:rPr>
        <w:t>l</w:t>
      </w:r>
      <w:r w:rsidRPr="00A54361">
        <w:rPr>
          <w:rFonts w:eastAsia="Times New Roman" w:cstheme="minorHAnsi"/>
          <w:spacing w:val="1"/>
        </w:rPr>
        <w:t>i</w:t>
      </w:r>
      <w:r w:rsidRPr="00A54361">
        <w:rPr>
          <w:rFonts w:eastAsia="Times New Roman" w:cstheme="minorHAnsi"/>
          <w:spacing w:val="-1"/>
        </w:rPr>
        <w:t>e</w:t>
      </w:r>
      <w:r w:rsidRPr="00A54361">
        <w:rPr>
          <w:rFonts w:eastAsia="Times New Roman" w:cstheme="minorHAnsi"/>
        </w:rPr>
        <w:t>ving</w:t>
      </w:r>
      <w:r w:rsidRPr="00A54361">
        <w:rPr>
          <w:rFonts w:eastAsia="Times New Roman" w:cstheme="minorHAnsi"/>
          <w:spacing w:val="1"/>
        </w:rPr>
        <w:t xml:space="preserve"> </w:t>
      </w:r>
      <w:r w:rsidRPr="00A54361">
        <w:rPr>
          <w:rFonts w:eastAsia="Times New Roman" w:cstheme="minorHAnsi"/>
        </w:rPr>
        <w:t>th</w:t>
      </w:r>
      <w:r w:rsidRPr="00A54361">
        <w:rPr>
          <w:rFonts w:eastAsia="Times New Roman" w:cstheme="minorHAnsi"/>
          <w:spacing w:val="2"/>
        </w:rPr>
        <w:t>a</w:t>
      </w:r>
      <w:r w:rsidRPr="00A54361">
        <w:rPr>
          <w:rFonts w:eastAsia="Times New Roman" w:cstheme="minorHAnsi"/>
        </w:rPr>
        <w:t>t</w:t>
      </w:r>
      <w:r w:rsidRPr="00A54361">
        <w:rPr>
          <w:rFonts w:eastAsia="Times New Roman" w:cstheme="minorHAnsi"/>
          <w:spacing w:val="3"/>
        </w:rPr>
        <w:t xml:space="preserve"> </w:t>
      </w:r>
      <w:r w:rsidRPr="00A54361">
        <w:rPr>
          <w:rFonts w:eastAsia="Times New Roman" w:cstheme="minorHAnsi"/>
        </w:rPr>
        <w:t>the</w:t>
      </w:r>
      <w:r w:rsidRPr="00A54361">
        <w:rPr>
          <w:rFonts w:eastAsia="Times New Roman" w:cstheme="minorHAnsi"/>
          <w:spacing w:val="2"/>
        </w:rPr>
        <w:t xml:space="preserve"> </w:t>
      </w:r>
      <w:r w:rsidRPr="00A54361">
        <w:rPr>
          <w:rFonts w:eastAsia="Times New Roman" w:cstheme="minorHAnsi"/>
        </w:rPr>
        <w:t>Dir</w:t>
      </w:r>
      <w:r w:rsidRPr="00A54361">
        <w:rPr>
          <w:rFonts w:eastAsia="Times New Roman" w:cstheme="minorHAnsi"/>
          <w:spacing w:val="-2"/>
        </w:rPr>
        <w:t>e</w:t>
      </w:r>
      <w:r w:rsidRPr="00A54361">
        <w:rPr>
          <w:rFonts w:eastAsia="Times New Roman" w:cstheme="minorHAnsi"/>
          <w:spacing w:val="-1"/>
        </w:rPr>
        <w:t>c</w:t>
      </w:r>
      <w:r w:rsidRPr="00A54361">
        <w:rPr>
          <w:rFonts w:eastAsia="Times New Roman" w:cstheme="minorHAnsi"/>
        </w:rPr>
        <w:t>tors,</w:t>
      </w:r>
      <w:r w:rsidRPr="00A54361">
        <w:rPr>
          <w:rFonts w:eastAsia="Times New Roman" w:cstheme="minorHAnsi"/>
          <w:spacing w:val="3"/>
        </w:rPr>
        <w:t xml:space="preserve"> </w:t>
      </w:r>
      <w:r w:rsidRPr="00A54361">
        <w:rPr>
          <w:rFonts w:eastAsia="Times New Roman" w:cstheme="minorHAnsi"/>
          <w:spacing w:val="1"/>
        </w:rPr>
        <w:t>P</w:t>
      </w:r>
      <w:r w:rsidRPr="00A54361">
        <w:rPr>
          <w:rFonts w:eastAsia="Times New Roman" w:cstheme="minorHAnsi"/>
        </w:rPr>
        <w:t>rop</w:t>
      </w:r>
      <w:r w:rsidRPr="00A54361">
        <w:rPr>
          <w:rFonts w:eastAsia="Times New Roman" w:cstheme="minorHAnsi"/>
          <w:spacing w:val="-1"/>
        </w:rPr>
        <w:t>r</w:t>
      </w:r>
      <w:r w:rsidRPr="00A54361">
        <w:rPr>
          <w:rFonts w:eastAsia="Times New Roman" w:cstheme="minorHAnsi"/>
        </w:rPr>
        <w:t>ietors,</w:t>
      </w:r>
      <w:r w:rsidRPr="00A54361">
        <w:rPr>
          <w:rFonts w:eastAsia="Times New Roman" w:cstheme="minorHAnsi"/>
          <w:spacing w:val="2"/>
        </w:rPr>
        <w:t xml:space="preserve"> </w:t>
      </w:r>
      <w:r w:rsidRPr="00A54361">
        <w:rPr>
          <w:rFonts w:eastAsia="Times New Roman" w:cstheme="minorHAnsi"/>
          <w:spacing w:val="1"/>
        </w:rPr>
        <w:t>P</w:t>
      </w:r>
      <w:r w:rsidRPr="00A54361">
        <w:rPr>
          <w:rFonts w:eastAsia="Times New Roman" w:cstheme="minorHAnsi"/>
          <w:spacing w:val="-1"/>
        </w:rPr>
        <w:t>a</w:t>
      </w:r>
      <w:r w:rsidRPr="00A54361">
        <w:rPr>
          <w:rFonts w:eastAsia="Times New Roman" w:cstheme="minorHAnsi"/>
        </w:rPr>
        <w:t>rtn</w:t>
      </w:r>
      <w:r w:rsidRPr="00A54361">
        <w:rPr>
          <w:rFonts w:eastAsia="Times New Roman" w:cstheme="minorHAnsi"/>
          <w:spacing w:val="-1"/>
        </w:rPr>
        <w:t>e</w:t>
      </w:r>
      <w:r w:rsidRPr="00A54361">
        <w:rPr>
          <w:rFonts w:eastAsia="Times New Roman" w:cstheme="minorHAnsi"/>
        </w:rPr>
        <w:t>rs,</w:t>
      </w:r>
      <w:r w:rsidRPr="00A54361">
        <w:rPr>
          <w:rFonts w:eastAsia="Times New Roman" w:cstheme="minorHAnsi"/>
          <w:spacing w:val="2"/>
        </w:rPr>
        <w:t xml:space="preserve"> </w:t>
      </w:r>
      <w:r w:rsidRPr="00A54361">
        <w:rPr>
          <w:rFonts w:eastAsia="Times New Roman" w:cstheme="minorHAnsi"/>
        </w:rPr>
        <w:t>own</w:t>
      </w:r>
      <w:r w:rsidRPr="00A54361">
        <w:rPr>
          <w:rFonts w:eastAsia="Times New Roman" w:cstheme="minorHAnsi"/>
          <w:spacing w:val="-1"/>
        </w:rPr>
        <w:t>e</w:t>
      </w:r>
      <w:r w:rsidRPr="00A54361">
        <w:rPr>
          <w:rFonts w:eastAsia="Times New Roman" w:cstheme="minorHAnsi"/>
        </w:rPr>
        <w:t>r of the</w:t>
      </w:r>
      <w:r w:rsidRPr="00A54361">
        <w:rPr>
          <w:rFonts w:eastAsia="Times New Roman" w:cstheme="minorHAnsi"/>
          <w:spacing w:val="-1"/>
        </w:rPr>
        <w:t xml:space="preserve"> </w:t>
      </w:r>
      <w:r w:rsidRPr="00A54361">
        <w:rPr>
          <w:rFonts w:eastAsia="Times New Roman" w:cstheme="minorHAnsi"/>
        </w:rPr>
        <w:t>A</w:t>
      </w:r>
      <w:r w:rsidRPr="00A54361">
        <w:rPr>
          <w:rFonts w:eastAsia="Times New Roman" w:cstheme="minorHAnsi"/>
          <w:spacing w:val="-3"/>
        </w:rPr>
        <w:t>g</w:t>
      </w:r>
      <w:r w:rsidRPr="00A54361">
        <w:rPr>
          <w:rFonts w:eastAsia="Times New Roman" w:cstheme="minorHAnsi"/>
          <w:spacing w:val="-1"/>
        </w:rPr>
        <w:t>e</w:t>
      </w:r>
      <w:r w:rsidRPr="00A54361">
        <w:rPr>
          <w:rFonts w:eastAsia="Times New Roman" w:cstheme="minorHAnsi"/>
          <w:spacing w:val="2"/>
        </w:rPr>
        <w:t>n</w:t>
      </w:r>
      <w:r w:rsidRPr="00A54361">
        <w:rPr>
          <w:rFonts w:eastAsia="Times New Roman" w:cstheme="minorHAnsi"/>
          <w:spacing w:val="4"/>
        </w:rPr>
        <w:t>c</w:t>
      </w:r>
      <w:r w:rsidRPr="00A54361">
        <w:rPr>
          <w:rFonts w:eastAsia="Times New Roman" w:cstheme="minorHAnsi"/>
        </w:rPr>
        <w:t>y</w:t>
      </w:r>
      <w:r w:rsidRPr="00A54361">
        <w:rPr>
          <w:rFonts w:eastAsia="Times New Roman" w:cstheme="minorHAnsi"/>
          <w:spacing w:val="-5"/>
        </w:rPr>
        <w:t xml:space="preserve"> </w:t>
      </w:r>
      <w:r w:rsidRPr="00A54361">
        <w:rPr>
          <w:rFonts w:eastAsia="Times New Roman" w:cstheme="minorHAnsi"/>
        </w:rPr>
        <w:t>h</w:t>
      </w:r>
      <w:r w:rsidRPr="00A54361">
        <w:rPr>
          <w:rFonts w:eastAsia="Times New Roman" w:cstheme="minorHAnsi"/>
          <w:spacing w:val="-1"/>
        </w:rPr>
        <w:t>a</w:t>
      </w:r>
      <w:r w:rsidRPr="00A54361">
        <w:rPr>
          <w:rFonts w:eastAsia="Times New Roman" w:cstheme="minorHAnsi"/>
        </w:rPr>
        <w:t>ve</w:t>
      </w:r>
      <w:r w:rsidRPr="00A54361">
        <w:rPr>
          <w:rFonts w:eastAsia="Times New Roman" w:cstheme="minorHAnsi"/>
          <w:spacing w:val="-1"/>
        </w:rPr>
        <w:t xml:space="preserve"> </w:t>
      </w:r>
      <w:r w:rsidRPr="00A54361">
        <w:rPr>
          <w:rFonts w:eastAsia="Times New Roman" w:cstheme="minorHAnsi"/>
        </w:rPr>
        <w:t>b</w:t>
      </w:r>
      <w:r w:rsidRPr="00A54361">
        <w:rPr>
          <w:rFonts w:eastAsia="Times New Roman" w:cstheme="minorHAnsi"/>
          <w:spacing w:val="1"/>
        </w:rPr>
        <w:t>e</w:t>
      </w:r>
      <w:r w:rsidRPr="00A54361">
        <w:rPr>
          <w:rFonts w:eastAsia="Times New Roman" w:cstheme="minorHAnsi"/>
          <w:spacing w:val="-1"/>
        </w:rPr>
        <w:t>e</w:t>
      </w:r>
      <w:r w:rsidRPr="00A54361">
        <w:rPr>
          <w:rFonts w:eastAsia="Times New Roman" w:cstheme="minorHAnsi"/>
        </w:rPr>
        <w:t xml:space="preserve">n </w:t>
      </w:r>
      <w:r w:rsidRPr="00A54361">
        <w:rPr>
          <w:rFonts w:eastAsia="Times New Roman" w:cstheme="minorHAnsi"/>
          <w:spacing w:val="-2"/>
        </w:rPr>
        <w:t>g</w:t>
      </w:r>
      <w:r w:rsidRPr="00A54361">
        <w:rPr>
          <w:rFonts w:eastAsia="Times New Roman" w:cstheme="minorHAnsi"/>
        </w:rPr>
        <w:t>ui</w:t>
      </w:r>
      <w:r w:rsidRPr="00A54361">
        <w:rPr>
          <w:rFonts w:eastAsia="Times New Roman" w:cstheme="minorHAnsi"/>
          <w:spacing w:val="1"/>
        </w:rPr>
        <w:t>l</w:t>
      </w:r>
      <w:r w:rsidRPr="00A54361">
        <w:rPr>
          <w:rFonts w:eastAsia="Times New Roman" w:cstheme="minorHAnsi"/>
          <w:spacing w:val="3"/>
        </w:rPr>
        <w:t>t</w:t>
      </w:r>
      <w:r w:rsidRPr="00A54361">
        <w:rPr>
          <w:rFonts w:eastAsia="Times New Roman" w:cstheme="minorHAnsi"/>
        </w:rPr>
        <w:t>y</w:t>
      </w:r>
      <w:r w:rsidRPr="00A54361">
        <w:rPr>
          <w:rFonts w:eastAsia="Times New Roman" w:cstheme="minorHAnsi"/>
          <w:spacing w:val="-5"/>
        </w:rPr>
        <w:t xml:space="preserve"> </w:t>
      </w:r>
      <w:r w:rsidRPr="00A54361">
        <w:rPr>
          <w:rFonts w:eastAsia="Times New Roman" w:cstheme="minorHAnsi"/>
        </w:rPr>
        <w:t>of m</w:t>
      </w:r>
      <w:r w:rsidRPr="00A54361">
        <w:rPr>
          <w:rFonts w:eastAsia="Times New Roman" w:cstheme="minorHAnsi"/>
          <w:spacing w:val="-1"/>
        </w:rPr>
        <w:t>a</w:t>
      </w:r>
      <w:r w:rsidRPr="00A54361">
        <w:rPr>
          <w:rFonts w:eastAsia="Times New Roman" w:cstheme="minorHAnsi"/>
        </w:rPr>
        <w:t>lp</w:t>
      </w:r>
      <w:r w:rsidRPr="00A54361">
        <w:rPr>
          <w:rFonts w:eastAsia="Times New Roman" w:cstheme="minorHAnsi"/>
          <w:spacing w:val="2"/>
        </w:rPr>
        <w:t>r</w:t>
      </w:r>
      <w:r w:rsidRPr="00A54361">
        <w:rPr>
          <w:rFonts w:eastAsia="Times New Roman" w:cstheme="minorHAnsi"/>
          <w:spacing w:val="-1"/>
        </w:rPr>
        <w:t>ac</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spacing w:val="-1"/>
        </w:rPr>
        <w:t>ce</w:t>
      </w:r>
      <w:r w:rsidRPr="00A54361">
        <w:rPr>
          <w:rFonts w:eastAsia="Times New Roman" w:cstheme="minorHAnsi"/>
        </w:rPr>
        <w:t>s s</w:t>
      </w:r>
      <w:r w:rsidRPr="00A54361">
        <w:rPr>
          <w:rFonts w:eastAsia="Times New Roman" w:cstheme="minorHAnsi"/>
          <w:spacing w:val="3"/>
        </w:rPr>
        <w:t>u</w:t>
      </w:r>
      <w:r w:rsidRPr="00A54361">
        <w:rPr>
          <w:rFonts w:eastAsia="Times New Roman" w:cstheme="minorHAnsi"/>
          <w:spacing w:val="-1"/>
        </w:rPr>
        <w:t>c</w:t>
      </w:r>
      <w:r w:rsidRPr="00A54361">
        <w:rPr>
          <w:rFonts w:eastAsia="Times New Roman" w:cstheme="minorHAnsi"/>
        </w:rPr>
        <w:t xml:space="preserve">h </w:t>
      </w:r>
      <w:r w:rsidRPr="00A54361">
        <w:rPr>
          <w:rFonts w:eastAsia="Times New Roman" w:cstheme="minorHAnsi"/>
          <w:spacing w:val="-1"/>
        </w:rPr>
        <w:t>a</w:t>
      </w:r>
      <w:r w:rsidRPr="00A54361">
        <w:rPr>
          <w:rFonts w:eastAsia="Times New Roman" w:cstheme="minorHAnsi"/>
        </w:rPr>
        <w:t>s brib</w:t>
      </w:r>
      <w:r w:rsidRPr="00A54361">
        <w:rPr>
          <w:rFonts w:eastAsia="Times New Roman" w:cstheme="minorHAnsi"/>
          <w:spacing w:val="-1"/>
        </w:rPr>
        <w:t>e</w:t>
      </w:r>
      <w:r w:rsidRPr="00A54361">
        <w:rPr>
          <w:rFonts w:eastAsia="Times New Roman" w:cstheme="minorHAnsi"/>
          <w:spacing w:val="4"/>
        </w:rPr>
        <w:t>r</w:t>
      </w:r>
      <w:r w:rsidRPr="00A54361">
        <w:rPr>
          <w:rFonts w:eastAsia="Times New Roman" w:cstheme="minorHAnsi"/>
          <w:spacing w:val="-5"/>
        </w:rPr>
        <w:t>y</w:t>
      </w:r>
      <w:r w:rsidRPr="00A54361">
        <w:rPr>
          <w:rFonts w:eastAsia="Times New Roman" w:cstheme="minorHAnsi"/>
        </w:rPr>
        <w:t xml:space="preserve">, </w:t>
      </w:r>
      <w:r w:rsidRPr="00A54361">
        <w:rPr>
          <w:rFonts w:eastAsia="Times New Roman" w:cstheme="minorHAnsi"/>
          <w:spacing w:val="-1"/>
        </w:rPr>
        <w:t>c</w:t>
      </w:r>
      <w:r w:rsidRPr="00A54361">
        <w:rPr>
          <w:rFonts w:eastAsia="Times New Roman" w:cstheme="minorHAnsi"/>
        </w:rPr>
        <w:t>o</w:t>
      </w:r>
      <w:r w:rsidRPr="00A54361">
        <w:rPr>
          <w:rFonts w:eastAsia="Times New Roman" w:cstheme="minorHAnsi"/>
          <w:spacing w:val="1"/>
        </w:rPr>
        <w:t>r</w:t>
      </w:r>
      <w:r w:rsidRPr="00A54361">
        <w:rPr>
          <w:rFonts w:eastAsia="Times New Roman" w:cstheme="minorHAnsi"/>
        </w:rPr>
        <w:t>ruption, f</w:t>
      </w:r>
      <w:r w:rsidRPr="00A54361">
        <w:rPr>
          <w:rFonts w:eastAsia="Times New Roman" w:cstheme="minorHAnsi"/>
          <w:spacing w:val="-1"/>
        </w:rPr>
        <w:t>ra</w:t>
      </w:r>
      <w:r w:rsidRPr="00A54361">
        <w:rPr>
          <w:rFonts w:eastAsia="Times New Roman" w:cstheme="minorHAnsi"/>
        </w:rPr>
        <w:t>ud, subs</w:t>
      </w:r>
      <w:r w:rsidRPr="00A54361">
        <w:rPr>
          <w:rFonts w:eastAsia="Times New Roman" w:cstheme="minorHAnsi"/>
          <w:spacing w:val="1"/>
        </w:rPr>
        <w:t>t</w:t>
      </w:r>
      <w:r w:rsidRPr="00A54361">
        <w:rPr>
          <w:rFonts w:eastAsia="Times New Roman" w:cstheme="minorHAnsi"/>
        </w:rPr>
        <w:t>i</w:t>
      </w:r>
      <w:r w:rsidRPr="00A54361">
        <w:rPr>
          <w:rFonts w:eastAsia="Times New Roman" w:cstheme="minorHAnsi"/>
          <w:spacing w:val="1"/>
        </w:rPr>
        <w:t>t</w:t>
      </w:r>
      <w:r w:rsidRPr="00A54361">
        <w:rPr>
          <w:rFonts w:eastAsia="Times New Roman" w:cstheme="minorHAnsi"/>
        </w:rPr>
        <w:t>ut</w:t>
      </w:r>
      <w:r w:rsidRPr="00A54361">
        <w:rPr>
          <w:rFonts w:eastAsia="Times New Roman" w:cstheme="minorHAnsi"/>
          <w:spacing w:val="1"/>
        </w:rPr>
        <w:t>i</w:t>
      </w:r>
      <w:r w:rsidRPr="00A54361">
        <w:rPr>
          <w:rFonts w:eastAsia="Times New Roman" w:cstheme="minorHAnsi"/>
        </w:rPr>
        <w:t>on of t</w:t>
      </w:r>
      <w:r w:rsidRPr="00A54361">
        <w:rPr>
          <w:rFonts w:eastAsia="Times New Roman" w:cstheme="minorHAnsi"/>
          <w:spacing w:val="-1"/>
        </w:rPr>
        <w:t>e</w:t>
      </w:r>
      <w:r w:rsidRPr="00A54361">
        <w:rPr>
          <w:rFonts w:eastAsia="Times New Roman" w:cstheme="minorHAnsi"/>
        </w:rPr>
        <w:t>nd</w:t>
      </w:r>
      <w:r w:rsidRPr="00A54361">
        <w:rPr>
          <w:rFonts w:eastAsia="Times New Roman" w:cstheme="minorHAnsi"/>
          <w:spacing w:val="-1"/>
        </w:rPr>
        <w:t>e</w:t>
      </w:r>
      <w:r w:rsidRPr="00A54361">
        <w:rPr>
          <w:rFonts w:eastAsia="Times New Roman" w:cstheme="minorHAnsi"/>
        </w:rPr>
        <w:t>rs, inte</w:t>
      </w:r>
      <w:r w:rsidRPr="00A54361">
        <w:rPr>
          <w:rFonts w:eastAsia="Times New Roman" w:cstheme="minorHAnsi"/>
          <w:spacing w:val="-1"/>
        </w:rPr>
        <w:t>r</w:t>
      </w:r>
      <w:r w:rsidRPr="00A54361">
        <w:rPr>
          <w:rFonts w:eastAsia="Times New Roman" w:cstheme="minorHAnsi"/>
        </w:rPr>
        <w:t>po</w:t>
      </w:r>
      <w:r w:rsidRPr="00A54361">
        <w:rPr>
          <w:rFonts w:eastAsia="Times New Roman" w:cstheme="minorHAnsi"/>
          <w:spacing w:val="3"/>
        </w:rPr>
        <w:t>l</w:t>
      </w:r>
      <w:r w:rsidRPr="00A54361">
        <w:rPr>
          <w:rFonts w:eastAsia="Times New Roman" w:cstheme="minorHAnsi"/>
          <w:spacing w:val="-1"/>
        </w:rPr>
        <w:t>a</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ons,</w:t>
      </w:r>
      <w:r w:rsidRPr="00A54361">
        <w:rPr>
          <w:rFonts w:eastAsia="Times New Roman" w:cstheme="minorHAnsi"/>
          <w:spacing w:val="1"/>
        </w:rPr>
        <w:t xml:space="preserve"> </w:t>
      </w:r>
      <w:r w:rsidRPr="00A54361">
        <w:rPr>
          <w:rFonts w:eastAsia="Times New Roman" w:cstheme="minorHAnsi"/>
          <w:spacing w:val="-1"/>
        </w:rPr>
        <w:t>e</w:t>
      </w:r>
      <w:r w:rsidRPr="00A54361">
        <w:rPr>
          <w:rFonts w:eastAsia="Times New Roman" w:cstheme="minorHAnsi"/>
        </w:rPr>
        <w:t>tc.;</w:t>
      </w:r>
    </w:p>
    <w:p w14:paraId="26DF4CAF" w14:textId="77777777" w:rsidR="0054549F" w:rsidRPr="00A54361" w:rsidRDefault="0054549F" w:rsidP="00A54361">
      <w:pPr>
        <w:spacing w:line="260" w:lineRule="exact"/>
        <w:ind w:right="82"/>
        <w:jc w:val="both"/>
        <w:rPr>
          <w:rFonts w:cstheme="minorHAnsi"/>
        </w:rPr>
      </w:pPr>
      <w:r w:rsidRPr="00A54361">
        <w:rPr>
          <w:rFonts w:eastAsia="Times New Roman" w:cstheme="minorHAnsi"/>
        </w:rPr>
        <w:t>6.4</w:t>
      </w:r>
      <w:r w:rsidRPr="00A54361">
        <w:rPr>
          <w:rFonts w:eastAsia="Times New Roman" w:cstheme="minorHAnsi"/>
          <w:spacing w:val="8"/>
        </w:rPr>
        <w:t xml:space="preserve"> </w:t>
      </w:r>
      <w:r w:rsidRPr="00A54361">
        <w:rPr>
          <w:rFonts w:eastAsia="Times New Roman" w:cstheme="minorHAnsi"/>
          <w:spacing w:val="-3"/>
        </w:rPr>
        <w:t>I</w:t>
      </w:r>
      <w:r w:rsidRPr="00A54361">
        <w:rPr>
          <w:rFonts w:eastAsia="Times New Roman" w:cstheme="minorHAnsi"/>
        </w:rPr>
        <w:t>f</w:t>
      </w:r>
      <w:r w:rsidRPr="00A54361">
        <w:rPr>
          <w:rFonts w:eastAsia="Times New Roman" w:cstheme="minorHAnsi"/>
          <w:spacing w:val="4"/>
        </w:rPr>
        <w:t xml:space="preserve"> </w:t>
      </w:r>
      <w:r w:rsidRPr="00A54361">
        <w:rPr>
          <w:rFonts w:eastAsia="Times New Roman" w:cstheme="minorHAnsi"/>
        </w:rPr>
        <w:t>t</w:t>
      </w:r>
      <w:r w:rsidRPr="00A54361">
        <w:rPr>
          <w:rFonts w:eastAsia="Times New Roman" w:cstheme="minorHAnsi"/>
          <w:spacing w:val="3"/>
        </w:rPr>
        <w:t>h</w:t>
      </w:r>
      <w:r w:rsidRPr="00A54361">
        <w:rPr>
          <w:rFonts w:eastAsia="Times New Roman" w:cstheme="minorHAnsi"/>
        </w:rPr>
        <w:t>e</w:t>
      </w:r>
      <w:r w:rsidRPr="00A54361">
        <w:rPr>
          <w:rFonts w:eastAsia="Times New Roman" w:cstheme="minorHAnsi"/>
          <w:spacing w:val="4"/>
        </w:rPr>
        <w:t xml:space="preserve"> </w:t>
      </w:r>
      <w:r w:rsidRPr="00A54361">
        <w:rPr>
          <w:rFonts w:eastAsia="Times New Roman" w:cstheme="minorHAnsi"/>
          <w:spacing w:val="2"/>
        </w:rPr>
        <w:t>A</w:t>
      </w:r>
      <w:r w:rsidRPr="00A54361">
        <w:rPr>
          <w:rFonts w:eastAsia="Times New Roman" w:cstheme="minorHAnsi"/>
          <w:spacing w:val="-2"/>
        </w:rPr>
        <w:t>g</w:t>
      </w:r>
      <w:r w:rsidRPr="00A54361">
        <w:rPr>
          <w:rFonts w:eastAsia="Times New Roman" w:cstheme="minorHAnsi"/>
          <w:spacing w:val="-1"/>
        </w:rPr>
        <w:t>e</w:t>
      </w:r>
      <w:r w:rsidRPr="00A54361">
        <w:rPr>
          <w:rFonts w:eastAsia="Times New Roman" w:cstheme="minorHAnsi"/>
          <w:spacing w:val="2"/>
        </w:rPr>
        <w:t>n</w:t>
      </w:r>
      <w:r w:rsidRPr="00A54361">
        <w:rPr>
          <w:rFonts w:eastAsia="Times New Roman" w:cstheme="minorHAnsi"/>
          <w:spacing w:val="4"/>
        </w:rPr>
        <w:t>c</w:t>
      </w:r>
      <w:r w:rsidRPr="00A54361">
        <w:rPr>
          <w:rFonts w:eastAsia="Times New Roman" w:cstheme="minorHAnsi"/>
        </w:rPr>
        <w:t>y</w:t>
      </w:r>
      <w:r w:rsidRPr="00A54361">
        <w:rPr>
          <w:rFonts w:eastAsia="Times New Roman" w:cstheme="minorHAnsi"/>
          <w:spacing w:val="3"/>
        </w:rPr>
        <w:t xml:space="preserve"> </w:t>
      </w:r>
      <w:r w:rsidRPr="00A54361">
        <w:rPr>
          <w:rFonts w:eastAsia="Times New Roman" w:cstheme="minorHAnsi"/>
          <w:spacing w:val="-1"/>
        </w:rPr>
        <w:t>c</w:t>
      </w:r>
      <w:r w:rsidRPr="00A54361">
        <w:rPr>
          <w:rFonts w:eastAsia="Times New Roman" w:cstheme="minorHAnsi"/>
        </w:rPr>
        <w:t>ont</w:t>
      </w:r>
      <w:r w:rsidRPr="00A54361">
        <w:rPr>
          <w:rFonts w:eastAsia="Times New Roman" w:cstheme="minorHAnsi"/>
          <w:spacing w:val="1"/>
        </w:rPr>
        <w:t>i</w:t>
      </w:r>
      <w:r w:rsidRPr="00A54361">
        <w:rPr>
          <w:rFonts w:eastAsia="Times New Roman" w:cstheme="minorHAnsi"/>
        </w:rPr>
        <w:t>nuou</w:t>
      </w:r>
      <w:r w:rsidRPr="00A54361">
        <w:rPr>
          <w:rFonts w:eastAsia="Times New Roman" w:cstheme="minorHAnsi"/>
          <w:spacing w:val="3"/>
        </w:rPr>
        <w:t>sl</w:t>
      </w:r>
      <w:r w:rsidRPr="00A54361">
        <w:rPr>
          <w:rFonts w:eastAsia="Times New Roman" w:cstheme="minorHAnsi"/>
        </w:rPr>
        <w:t xml:space="preserve">y </w:t>
      </w:r>
      <w:r w:rsidRPr="00A54361">
        <w:rPr>
          <w:rFonts w:eastAsia="Times New Roman" w:cstheme="minorHAnsi"/>
          <w:spacing w:val="1"/>
        </w:rPr>
        <w:t>r</w:t>
      </w:r>
      <w:r w:rsidRPr="00A54361">
        <w:rPr>
          <w:rFonts w:eastAsia="Times New Roman" w:cstheme="minorHAnsi"/>
          <w:spacing w:val="-1"/>
        </w:rPr>
        <w:t>e</w:t>
      </w:r>
      <w:r w:rsidRPr="00A54361">
        <w:rPr>
          <w:rFonts w:eastAsia="Times New Roman" w:cstheme="minorHAnsi"/>
        </w:rPr>
        <w:t>fus</w:t>
      </w:r>
      <w:r w:rsidRPr="00A54361">
        <w:rPr>
          <w:rFonts w:eastAsia="Times New Roman" w:cstheme="minorHAnsi"/>
          <w:spacing w:val="-1"/>
        </w:rPr>
        <w:t>e</w:t>
      </w:r>
      <w:r w:rsidRPr="00A54361">
        <w:rPr>
          <w:rFonts w:eastAsia="Times New Roman" w:cstheme="minorHAnsi"/>
        </w:rPr>
        <w:t>s</w:t>
      </w:r>
      <w:r w:rsidRPr="00A54361">
        <w:rPr>
          <w:rFonts w:eastAsia="Times New Roman" w:cstheme="minorHAnsi"/>
          <w:spacing w:val="8"/>
        </w:rPr>
        <w:t xml:space="preserve"> </w:t>
      </w:r>
      <w:r w:rsidRPr="00A54361">
        <w:rPr>
          <w:rFonts w:eastAsia="Times New Roman" w:cstheme="minorHAnsi"/>
        </w:rPr>
        <w:t>to</w:t>
      </w:r>
      <w:r w:rsidRPr="00A54361">
        <w:rPr>
          <w:rFonts w:eastAsia="Times New Roman" w:cstheme="minorHAnsi"/>
          <w:spacing w:val="6"/>
        </w:rPr>
        <w:t xml:space="preserve"> </w:t>
      </w:r>
      <w:r w:rsidRPr="00A54361">
        <w:rPr>
          <w:rFonts w:eastAsia="Times New Roman" w:cstheme="minorHAnsi"/>
        </w:rPr>
        <w:t>r</w:t>
      </w:r>
      <w:r w:rsidRPr="00A54361">
        <w:rPr>
          <w:rFonts w:eastAsia="Times New Roman" w:cstheme="minorHAnsi"/>
          <w:spacing w:val="-2"/>
        </w:rPr>
        <w:t>e</w:t>
      </w:r>
      <w:r w:rsidRPr="00A54361">
        <w:rPr>
          <w:rFonts w:eastAsia="Times New Roman" w:cstheme="minorHAnsi"/>
        </w:rPr>
        <w:t>t</w:t>
      </w:r>
      <w:r w:rsidRPr="00A54361">
        <w:rPr>
          <w:rFonts w:eastAsia="Times New Roman" w:cstheme="minorHAnsi"/>
          <w:spacing w:val="3"/>
        </w:rPr>
        <w:t>u</w:t>
      </w:r>
      <w:r w:rsidRPr="00A54361">
        <w:rPr>
          <w:rFonts w:eastAsia="Times New Roman" w:cstheme="minorHAnsi"/>
        </w:rPr>
        <w:t>rn</w:t>
      </w:r>
      <w:r w:rsidRPr="00A54361">
        <w:rPr>
          <w:rFonts w:eastAsia="Times New Roman" w:cstheme="minorHAnsi"/>
          <w:spacing w:val="4"/>
        </w:rPr>
        <w:t xml:space="preserve"> </w:t>
      </w:r>
      <w:r w:rsidRPr="00A54361">
        <w:rPr>
          <w:rFonts w:eastAsia="Times New Roman" w:cstheme="minorHAnsi"/>
        </w:rPr>
        <w:t>/</w:t>
      </w:r>
      <w:r w:rsidRPr="00A54361">
        <w:rPr>
          <w:rFonts w:eastAsia="Times New Roman" w:cstheme="minorHAnsi"/>
          <w:spacing w:val="8"/>
        </w:rPr>
        <w:t xml:space="preserve"> </w:t>
      </w:r>
      <w:r w:rsidRPr="00A54361">
        <w:rPr>
          <w:rFonts w:eastAsia="Times New Roman" w:cstheme="minorHAnsi"/>
        </w:rPr>
        <w:t>r</w:t>
      </w:r>
      <w:r w:rsidRPr="00A54361">
        <w:rPr>
          <w:rFonts w:eastAsia="Times New Roman" w:cstheme="minorHAnsi"/>
          <w:spacing w:val="-2"/>
        </w:rPr>
        <w:t>e</w:t>
      </w:r>
      <w:r w:rsidRPr="00A54361">
        <w:rPr>
          <w:rFonts w:eastAsia="Times New Roman" w:cstheme="minorHAnsi"/>
        </w:rPr>
        <w:t>fund</w:t>
      </w:r>
      <w:r w:rsidRPr="00A54361">
        <w:rPr>
          <w:rFonts w:eastAsia="Times New Roman" w:cstheme="minorHAnsi"/>
          <w:spacing w:val="7"/>
        </w:rPr>
        <w:t xml:space="preserve"> </w:t>
      </w:r>
      <w:r w:rsidRPr="00A54361">
        <w:rPr>
          <w:rFonts w:eastAsia="Times New Roman" w:cstheme="minorHAnsi"/>
        </w:rPr>
        <w:t>the</w:t>
      </w:r>
      <w:r w:rsidRPr="00A54361">
        <w:rPr>
          <w:rFonts w:eastAsia="Times New Roman" w:cstheme="minorHAnsi"/>
          <w:spacing w:val="5"/>
        </w:rPr>
        <w:t xml:space="preserve"> </w:t>
      </w:r>
      <w:r w:rsidRPr="00A54361">
        <w:rPr>
          <w:rFonts w:eastAsia="Times New Roman" w:cstheme="minorHAnsi"/>
        </w:rPr>
        <w:t>d</w:t>
      </w:r>
      <w:r w:rsidRPr="00A54361">
        <w:rPr>
          <w:rFonts w:eastAsia="Times New Roman" w:cstheme="minorHAnsi"/>
          <w:spacing w:val="2"/>
        </w:rPr>
        <w:t>u</w:t>
      </w:r>
      <w:r w:rsidRPr="00A54361">
        <w:rPr>
          <w:rFonts w:eastAsia="Times New Roman" w:cstheme="minorHAnsi"/>
          <w:spacing w:val="-1"/>
        </w:rPr>
        <w:t>e</w:t>
      </w:r>
      <w:r w:rsidRPr="00A54361">
        <w:rPr>
          <w:rFonts w:eastAsia="Times New Roman" w:cstheme="minorHAnsi"/>
        </w:rPr>
        <w:t>s</w:t>
      </w:r>
      <w:r w:rsidRPr="00A54361">
        <w:rPr>
          <w:rFonts w:eastAsia="Times New Roman" w:cstheme="minorHAnsi"/>
          <w:spacing w:val="5"/>
        </w:rPr>
        <w:t xml:space="preserve"> </w:t>
      </w:r>
      <w:r w:rsidRPr="00A54361">
        <w:rPr>
          <w:rFonts w:eastAsia="Times New Roman" w:cstheme="minorHAnsi"/>
        </w:rPr>
        <w:t>of</w:t>
      </w:r>
      <w:r w:rsidRPr="00A54361">
        <w:rPr>
          <w:rFonts w:eastAsia="Times New Roman" w:cstheme="minorHAnsi"/>
          <w:spacing w:val="7"/>
        </w:rPr>
        <w:t xml:space="preserve"> </w:t>
      </w:r>
      <w:r w:rsidRPr="00A54361">
        <w:rPr>
          <w:rFonts w:eastAsia="Times New Roman" w:cstheme="minorHAnsi"/>
        </w:rPr>
        <w:t>CE</w:t>
      </w:r>
      <w:r w:rsidRPr="00A54361">
        <w:rPr>
          <w:rFonts w:eastAsia="Times New Roman" w:cstheme="minorHAnsi"/>
          <w:spacing w:val="1"/>
        </w:rPr>
        <w:t>N</w:t>
      </w:r>
      <w:r w:rsidRPr="00A54361">
        <w:rPr>
          <w:rFonts w:eastAsia="Times New Roman" w:cstheme="minorHAnsi"/>
        </w:rPr>
        <w:t>TR</w:t>
      </w:r>
      <w:r w:rsidRPr="00A54361">
        <w:rPr>
          <w:rFonts w:eastAsia="Times New Roman" w:cstheme="minorHAnsi"/>
          <w:spacing w:val="2"/>
        </w:rPr>
        <w:t>A</w:t>
      </w:r>
      <w:r w:rsidRPr="00A54361">
        <w:rPr>
          <w:rFonts w:eastAsia="Times New Roman" w:cstheme="minorHAnsi"/>
        </w:rPr>
        <w:t>L</w:t>
      </w:r>
      <w:r w:rsidRPr="00A54361">
        <w:rPr>
          <w:rFonts w:eastAsia="Times New Roman" w:cstheme="minorHAnsi"/>
          <w:spacing w:val="3"/>
        </w:rPr>
        <w:t xml:space="preserve"> </w:t>
      </w:r>
      <w:r w:rsidRPr="00A54361">
        <w:rPr>
          <w:rFonts w:eastAsia="Times New Roman" w:cstheme="minorHAnsi"/>
          <w:spacing w:val="-2"/>
        </w:rPr>
        <w:t>B</w:t>
      </w:r>
      <w:r w:rsidRPr="00A54361">
        <w:rPr>
          <w:rFonts w:eastAsia="Times New Roman" w:cstheme="minorHAnsi"/>
          <w:spacing w:val="2"/>
        </w:rPr>
        <w:t>A</w:t>
      </w:r>
      <w:r w:rsidRPr="00A54361">
        <w:rPr>
          <w:rFonts w:eastAsia="Times New Roman" w:cstheme="minorHAnsi"/>
        </w:rPr>
        <w:t>NK</w:t>
      </w:r>
      <w:r w:rsidRPr="00A54361">
        <w:rPr>
          <w:rFonts w:eastAsia="Times New Roman" w:cstheme="minorHAnsi"/>
          <w:spacing w:val="4"/>
        </w:rPr>
        <w:t xml:space="preserve"> </w:t>
      </w:r>
      <w:r w:rsidRPr="00A54361">
        <w:rPr>
          <w:rFonts w:eastAsia="Times New Roman" w:cstheme="minorHAnsi"/>
          <w:spacing w:val="2"/>
        </w:rPr>
        <w:t>O</w:t>
      </w:r>
      <w:r w:rsidRPr="00A54361">
        <w:rPr>
          <w:rFonts w:eastAsia="Times New Roman" w:cstheme="minorHAnsi"/>
        </w:rPr>
        <w:t xml:space="preserve">F </w:t>
      </w:r>
      <w:r w:rsidRPr="00A54361">
        <w:rPr>
          <w:rFonts w:eastAsia="Times New Roman" w:cstheme="minorHAnsi"/>
          <w:spacing w:val="-3"/>
        </w:rPr>
        <w:t>I</w:t>
      </w:r>
      <w:r w:rsidRPr="00A54361">
        <w:rPr>
          <w:rFonts w:eastAsia="Times New Roman" w:cstheme="minorHAnsi"/>
          <w:spacing w:val="2"/>
        </w:rPr>
        <w:t>ND</w:t>
      </w:r>
      <w:r w:rsidRPr="00A54361">
        <w:rPr>
          <w:rFonts w:eastAsia="Times New Roman" w:cstheme="minorHAnsi"/>
          <w:spacing w:val="-3"/>
        </w:rPr>
        <w:t>I</w:t>
      </w:r>
      <w:r w:rsidRPr="00A54361">
        <w:rPr>
          <w:rFonts w:eastAsia="Times New Roman" w:cstheme="minorHAnsi"/>
        </w:rPr>
        <w:t>A</w:t>
      </w:r>
      <w:r w:rsidRPr="00A54361">
        <w:rPr>
          <w:rFonts w:eastAsia="Times New Roman" w:cstheme="minorHAnsi"/>
          <w:spacing w:val="4"/>
        </w:rPr>
        <w:t xml:space="preserve"> </w:t>
      </w:r>
      <w:r w:rsidRPr="00A54361">
        <w:rPr>
          <w:rFonts w:eastAsia="Times New Roman" w:cstheme="minorHAnsi"/>
        </w:rPr>
        <w:t>without</w:t>
      </w:r>
      <w:r w:rsidRPr="00A54361">
        <w:rPr>
          <w:rFonts w:eastAsia="Times New Roman" w:cstheme="minorHAnsi"/>
          <w:spacing w:val="3"/>
        </w:rPr>
        <w:t xml:space="preserve"> </w:t>
      </w:r>
      <w:r w:rsidRPr="00A54361">
        <w:rPr>
          <w:rFonts w:eastAsia="Times New Roman" w:cstheme="minorHAnsi"/>
        </w:rPr>
        <w:t>showing</w:t>
      </w:r>
      <w:r w:rsidRPr="00A54361">
        <w:rPr>
          <w:rFonts w:eastAsia="Times New Roman" w:cstheme="minorHAnsi"/>
          <w:spacing w:val="3"/>
        </w:rPr>
        <w:t xml:space="preserve"> </w:t>
      </w:r>
      <w:r w:rsidRPr="00A54361">
        <w:rPr>
          <w:rFonts w:eastAsia="Times New Roman" w:cstheme="minorHAnsi"/>
          <w:spacing w:val="-1"/>
        </w:rPr>
        <w:t>a</w:t>
      </w:r>
      <w:r w:rsidRPr="00A54361">
        <w:rPr>
          <w:rFonts w:eastAsia="Times New Roman" w:cstheme="minorHAnsi"/>
        </w:rPr>
        <w:t>d</w:t>
      </w:r>
      <w:r w:rsidRPr="00A54361">
        <w:rPr>
          <w:rFonts w:eastAsia="Times New Roman" w:cstheme="minorHAnsi"/>
          <w:spacing w:val="-1"/>
        </w:rPr>
        <w:t>e</w:t>
      </w:r>
      <w:r w:rsidRPr="00A54361">
        <w:rPr>
          <w:rFonts w:eastAsia="Times New Roman" w:cstheme="minorHAnsi"/>
        </w:rPr>
        <w:t>qu</w:t>
      </w:r>
      <w:r w:rsidRPr="00A54361">
        <w:rPr>
          <w:rFonts w:eastAsia="Times New Roman" w:cstheme="minorHAnsi"/>
          <w:spacing w:val="-1"/>
        </w:rPr>
        <w:t>a</w:t>
      </w:r>
      <w:r w:rsidRPr="00A54361">
        <w:rPr>
          <w:rFonts w:eastAsia="Times New Roman" w:cstheme="minorHAnsi"/>
        </w:rPr>
        <w:t>te</w:t>
      </w:r>
      <w:r w:rsidRPr="00A54361">
        <w:rPr>
          <w:rFonts w:eastAsia="Times New Roman" w:cstheme="minorHAnsi"/>
          <w:spacing w:val="4"/>
        </w:rPr>
        <w:t xml:space="preserve"> </w:t>
      </w:r>
      <w:r w:rsidRPr="00A54361">
        <w:rPr>
          <w:rFonts w:eastAsia="Times New Roman" w:cstheme="minorHAnsi"/>
        </w:rPr>
        <w:t>r</w:t>
      </w:r>
      <w:r w:rsidRPr="00A54361">
        <w:rPr>
          <w:rFonts w:eastAsia="Times New Roman" w:cstheme="minorHAnsi"/>
          <w:spacing w:val="-2"/>
        </w:rPr>
        <w:t>e</w:t>
      </w:r>
      <w:r w:rsidRPr="00A54361">
        <w:rPr>
          <w:rFonts w:eastAsia="Times New Roman" w:cstheme="minorHAnsi"/>
          <w:spacing w:val="-1"/>
        </w:rPr>
        <w:t>a</w:t>
      </w:r>
      <w:r w:rsidRPr="00A54361">
        <w:rPr>
          <w:rFonts w:eastAsia="Times New Roman" w:cstheme="minorHAnsi"/>
        </w:rPr>
        <w:t>son</w:t>
      </w:r>
      <w:r w:rsidRPr="00A54361">
        <w:rPr>
          <w:rFonts w:eastAsia="Times New Roman" w:cstheme="minorHAnsi"/>
          <w:spacing w:val="5"/>
        </w:rPr>
        <w:t xml:space="preserve"> </w:t>
      </w:r>
      <w:r w:rsidRPr="00A54361">
        <w:rPr>
          <w:rFonts w:eastAsia="Times New Roman" w:cstheme="minorHAnsi"/>
          <w:spacing w:val="-1"/>
        </w:rPr>
        <w:t>a</w:t>
      </w:r>
      <w:r w:rsidRPr="00A54361">
        <w:rPr>
          <w:rFonts w:eastAsia="Times New Roman" w:cstheme="minorHAnsi"/>
        </w:rPr>
        <w:t>nd</w:t>
      </w:r>
      <w:r w:rsidRPr="00A54361">
        <w:rPr>
          <w:rFonts w:eastAsia="Times New Roman" w:cstheme="minorHAnsi"/>
          <w:spacing w:val="2"/>
        </w:rPr>
        <w:t xml:space="preserve"> </w:t>
      </w:r>
      <w:r w:rsidRPr="00A54361">
        <w:rPr>
          <w:rFonts w:eastAsia="Times New Roman" w:cstheme="minorHAnsi"/>
        </w:rPr>
        <w:t>th</w:t>
      </w:r>
      <w:r w:rsidRPr="00A54361">
        <w:rPr>
          <w:rFonts w:eastAsia="Times New Roman" w:cstheme="minorHAnsi"/>
          <w:spacing w:val="1"/>
        </w:rPr>
        <w:t>i</w:t>
      </w:r>
      <w:r w:rsidRPr="00A54361">
        <w:rPr>
          <w:rFonts w:eastAsia="Times New Roman" w:cstheme="minorHAnsi"/>
        </w:rPr>
        <w:t>s</w:t>
      </w:r>
      <w:r w:rsidRPr="00A54361">
        <w:rPr>
          <w:rFonts w:eastAsia="Times New Roman" w:cstheme="minorHAnsi"/>
          <w:spacing w:val="3"/>
        </w:rPr>
        <w:t xml:space="preserve"> </w:t>
      </w:r>
      <w:r w:rsidRPr="00A54361">
        <w:rPr>
          <w:rFonts w:eastAsia="Times New Roman" w:cstheme="minorHAnsi"/>
        </w:rPr>
        <w:t>is</w:t>
      </w:r>
      <w:r w:rsidRPr="00A54361">
        <w:rPr>
          <w:rFonts w:eastAsia="Times New Roman" w:cstheme="minorHAnsi"/>
          <w:spacing w:val="3"/>
        </w:rPr>
        <w:t xml:space="preserve"> </w:t>
      </w:r>
      <w:r w:rsidRPr="00A54361">
        <w:rPr>
          <w:rFonts w:eastAsia="Times New Roman" w:cstheme="minorHAnsi"/>
        </w:rPr>
        <w:t>not</w:t>
      </w:r>
      <w:r w:rsidRPr="00A54361">
        <w:rPr>
          <w:rFonts w:eastAsia="Times New Roman" w:cstheme="minorHAnsi"/>
          <w:spacing w:val="3"/>
        </w:rPr>
        <w:t xml:space="preserve"> </w:t>
      </w:r>
      <w:r w:rsidRPr="00A54361">
        <w:rPr>
          <w:rFonts w:eastAsia="Times New Roman" w:cstheme="minorHAnsi"/>
        </w:rPr>
        <w:t>due</w:t>
      </w:r>
      <w:r w:rsidRPr="00A54361">
        <w:rPr>
          <w:rFonts w:eastAsia="Times New Roman" w:cstheme="minorHAnsi"/>
          <w:spacing w:val="1"/>
        </w:rPr>
        <w:t xml:space="preserve"> </w:t>
      </w:r>
      <w:r w:rsidRPr="00A54361">
        <w:rPr>
          <w:rFonts w:eastAsia="Times New Roman" w:cstheme="minorHAnsi"/>
        </w:rPr>
        <w:t>to</w:t>
      </w:r>
      <w:r w:rsidRPr="00A54361">
        <w:rPr>
          <w:rFonts w:eastAsia="Times New Roman" w:cstheme="minorHAnsi"/>
          <w:spacing w:val="3"/>
        </w:rPr>
        <w:t xml:space="preserve"> </w:t>
      </w:r>
      <w:r w:rsidRPr="00A54361">
        <w:rPr>
          <w:rFonts w:eastAsia="Times New Roman" w:cstheme="minorHAnsi"/>
          <w:spacing w:val="-1"/>
        </w:rPr>
        <w:t>a</w:t>
      </w:r>
      <w:r w:rsidRPr="00A54361">
        <w:rPr>
          <w:rFonts w:eastAsia="Times New Roman" w:cstheme="minorHAnsi"/>
          <w:spacing w:val="2"/>
        </w:rPr>
        <w:t>n</w:t>
      </w:r>
      <w:r w:rsidRPr="00A54361">
        <w:rPr>
          <w:rFonts w:eastAsia="Times New Roman" w:cstheme="minorHAnsi"/>
        </w:rPr>
        <w:t>y r</w:t>
      </w:r>
      <w:r w:rsidRPr="00A54361">
        <w:rPr>
          <w:rFonts w:eastAsia="Times New Roman" w:cstheme="minorHAnsi"/>
          <w:spacing w:val="-2"/>
        </w:rPr>
        <w:t>e</w:t>
      </w:r>
      <w:r w:rsidRPr="00A54361">
        <w:rPr>
          <w:rFonts w:eastAsia="Times New Roman" w:cstheme="minorHAnsi"/>
          <w:spacing w:val="-1"/>
        </w:rPr>
        <w:t>a</w:t>
      </w:r>
      <w:r w:rsidRPr="00A54361">
        <w:rPr>
          <w:rFonts w:eastAsia="Times New Roman" w:cstheme="minorHAnsi"/>
        </w:rPr>
        <w:t>so</w:t>
      </w:r>
      <w:r w:rsidRPr="00A54361">
        <w:rPr>
          <w:rFonts w:eastAsia="Times New Roman" w:cstheme="minorHAnsi"/>
          <w:spacing w:val="2"/>
        </w:rPr>
        <w:t>n</w:t>
      </w:r>
      <w:r w:rsidRPr="00A54361">
        <w:rPr>
          <w:rFonts w:eastAsia="Times New Roman" w:cstheme="minorHAnsi"/>
          <w:spacing w:val="1"/>
        </w:rPr>
        <w:t>a</w:t>
      </w:r>
      <w:r w:rsidRPr="00A54361">
        <w:rPr>
          <w:rFonts w:eastAsia="Times New Roman" w:cstheme="minorHAnsi"/>
        </w:rPr>
        <w:t>ble</w:t>
      </w:r>
      <w:r w:rsidRPr="00A54361">
        <w:rPr>
          <w:rFonts w:eastAsia="Times New Roman" w:cstheme="minorHAnsi"/>
          <w:spacing w:val="2"/>
        </w:rPr>
        <w:t xml:space="preserve"> </w:t>
      </w:r>
      <w:r w:rsidRPr="00A54361">
        <w:rPr>
          <w:rFonts w:eastAsia="Times New Roman" w:cstheme="minorHAnsi"/>
        </w:rPr>
        <w:t>dispute</w:t>
      </w:r>
      <w:r w:rsidRPr="00A54361">
        <w:rPr>
          <w:rFonts w:eastAsia="Times New Roman" w:cstheme="minorHAnsi"/>
          <w:spacing w:val="2"/>
        </w:rPr>
        <w:t xml:space="preserve"> </w:t>
      </w:r>
      <w:r w:rsidRPr="00A54361">
        <w:rPr>
          <w:rFonts w:eastAsia="Times New Roman" w:cstheme="minorHAnsi"/>
        </w:rPr>
        <w:t>whi</w:t>
      </w:r>
      <w:r w:rsidRPr="00A54361">
        <w:rPr>
          <w:rFonts w:eastAsia="Times New Roman" w:cstheme="minorHAnsi"/>
          <w:spacing w:val="-1"/>
        </w:rPr>
        <w:t>c</w:t>
      </w:r>
      <w:r w:rsidRPr="00A54361">
        <w:rPr>
          <w:rFonts w:eastAsia="Times New Roman" w:cstheme="minorHAnsi"/>
        </w:rPr>
        <w:t xml:space="preserve">h would </w:t>
      </w:r>
      <w:r w:rsidRPr="00A54361">
        <w:rPr>
          <w:rFonts w:eastAsia="Times New Roman" w:cstheme="minorHAnsi"/>
          <w:spacing w:val="-1"/>
        </w:rPr>
        <w:t>a</w:t>
      </w:r>
      <w:r w:rsidRPr="00A54361">
        <w:rPr>
          <w:rFonts w:eastAsia="Times New Roman" w:cstheme="minorHAnsi"/>
        </w:rPr>
        <w:t>t</w:t>
      </w:r>
      <w:r w:rsidRPr="00A54361">
        <w:rPr>
          <w:rFonts w:eastAsia="Times New Roman" w:cstheme="minorHAnsi"/>
          <w:spacing w:val="1"/>
        </w:rPr>
        <w:t>t</w:t>
      </w:r>
      <w:r w:rsidRPr="00A54361">
        <w:rPr>
          <w:rFonts w:eastAsia="Times New Roman" w:cstheme="minorHAnsi"/>
        </w:rPr>
        <w:t>r</w:t>
      </w:r>
      <w:r w:rsidRPr="00A54361">
        <w:rPr>
          <w:rFonts w:eastAsia="Times New Roman" w:cstheme="minorHAnsi"/>
          <w:spacing w:val="-2"/>
        </w:rPr>
        <w:t>a</w:t>
      </w:r>
      <w:r w:rsidRPr="00A54361">
        <w:rPr>
          <w:rFonts w:eastAsia="Times New Roman" w:cstheme="minorHAnsi"/>
          <w:spacing w:val="-1"/>
        </w:rPr>
        <w:t>c</w:t>
      </w:r>
      <w:r w:rsidRPr="00A54361">
        <w:rPr>
          <w:rFonts w:eastAsia="Times New Roman" w:cstheme="minorHAnsi"/>
        </w:rPr>
        <w:t>t pr</w:t>
      </w:r>
      <w:r w:rsidRPr="00A54361">
        <w:rPr>
          <w:rFonts w:eastAsia="Times New Roman" w:cstheme="minorHAnsi"/>
          <w:spacing w:val="2"/>
        </w:rPr>
        <w:t>o</w:t>
      </w:r>
      <w:r w:rsidRPr="00A54361">
        <w:rPr>
          <w:rFonts w:eastAsia="Times New Roman" w:cstheme="minorHAnsi"/>
          <w:spacing w:val="-1"/>
        </w:rPr>
        <w:t>cee</w:t>
      </w:r>
      <w:r w:rsidRPr="00A54361">
        <w:rPr>
          <w:rFonts w:eastAsia="Times New Roman" w:cstheme="minorHAnsi"/>
        </w:rPr>
        <w:t>di</w:t>
      </w:r>
      <w:r w:rsidRPr="00A54361">
        <w:rPr>
          <w:rFonts w:eastAsia="Times New Roman" w:cstheme="minorHAnsi"/>
          <w:spacing w:val="3"/>
        </w:rPr>
        <w:t>n</w:t>
      </w:r>
      <w:r w:rsidRPr="00A54361">
        <w:rPr>
          <w:rFonts w:eastAsia="Times New Roman" w:cstheme="minorHAnsi"/>
        </w:rPr>
        <w:t xml:space="preserve">gs in </w:t>
      </w:r>
      <w:r w:rsidRPr="00A54361">
        <w:rPr>
          <w:rFonts w:eastAsia="Times New Roman" w:cstheme="minorHAnsi"/>
          <w:spacing w:val="-1"/>
        </w:rPr>
        <w:t>a</w:t>
      </w:r>
      <w:r w:rsidRPr="00A54361">
        <w:rPr>
          <w:rFonts w:eastAsia="Times New Roman" w:cstheme="minorHAnsi"/>
        </w:rPr>
        <w:t>rbitr</w:t>
      </w:r>
      <w:r w:rsidRPr="00A54361">
        <w:rPr>
          <w:rFonts w:eastAsia="Times New Roman" w:cstheme="minorHAnsi"/>
          <w:spacing w:val="-1"/>
        </w:rPr>
        <w:t>a</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on or</w:t>
      </w:r>
      <w:r w:rsidRPr="00A54361">
        <w:rPr>
          <w:rFonts w:eastAsia="Times New Roman" w:cstheme="minorHAnsi"/>
          <w:spacing w:val="-1"/>
        </w:rPr>
        <w:t xml:space="preserve"> </w:t>
      </w:r>
      <w:r w:rsidRPr="00A54361">
        <w:rPr>
          <w:rFonts w:eastAsia="Times New Roman" w:cstheme="minorHAnsi"/>
        </w:rPr>
        <w:t>Court of</w:t>
      </w:r>
      <w:r w:rsidRPr="00A54361">
        <w:rPr>
          <w:rFonts w:eastAsia="Times New Roman" w:cstheme="minorHAnsi"/>
          <w:spacing w:val="1"/>
        </w:rPr>
        <w:t xml:space="preserve"> </w:t>
      </w:r>
      <w:r w:rsidRPr="00A54361">
        <w:rPr>
          <w:rFonts w:eastAsia="Times New Roman" w:cstheme="minorHAnsi"/>
          <w:spacing w:val="-3"/>
        </w:rPr>
        <w:t>L</w:t>
      </w:r>
      <w:r w:rsidRPr="00A54361">
        <w:rPr>
          <w:rFonts w:eastAsia="Times New Roman" w:cstheme="minorHAnsi"/>
          <w:spacing w:val="-1"/>
        </w:rPr>
        <w:t>a</w:t>
      </w:r>
      <w:r w:rsidRPr="00A54361">
        <w:rPr>
          <w:rFonts w:eastAsia="Times New Roman" w:cstheme="minorHAnsi"/>
        </w:rPr>
        <w:t>w;</w:t>
      </w:r>
    </w:p>
    <w:p w14:paraId="5F8DAEF6" w14:textId="77777777" w:rsidR="0054549F" w:rsidRPr="00A54361" w:rsidRDefault="0054549F" w:rsidP="00A54361">
      <w:pPr>
        <w:spacing w:line="260" w:lineRule="exact"/>
        <w:ind w:right="79"/>
        <w:jc w:val="both"/>
        <w:rPr>
          <w:rFonts w:cstheme="minorHAnsi"/>
        </w:rPr>
      </w:pPr>
      <w:r w:rsidRPr="00A54361">
        <w:rPr>
          <w:rFonts w:eastAsia="Times New Roman" w:cstheme="minorHAnsi"/>
        </w:rPr>
        <w:t>6.5</w:t>
      </w:r>
      <w:r w:rsidRPr="00A54361">
        <w:rPr>
          <w:rFonts w:eastAsia="Times New Roman" w:cstheme="minorHAnsi"/>
          <w:spacing w:val="-7"/>
        </w:rPr>
        <w:t xml:space="preserve"> </w:t>
      </w:r>
      <w:r w:rsidRPr="00A54361">
        <w:rPr>
          <w:rFonts w:eastAsia="Times New Roman" w:cstheme="minorHAnsi"/>
          <w:spacing w:val="-3"/>
        </w:rPr>
        <w:t>I</w:t>
      </w:r>
      <w:r w:rsidRPr="00A54361">
        <w:rPr>
          <w:rFonts w:eastAsia="Times New Roman" w:cstheme="minorHAnsi"/>
        </w:rPr>
        <w:t>f</w:t>
      </w:r>
      <w:r w:rsidRPr="00A54361">
        <w:rPr>
          <w:rFonts w:eastAsia="Times New Roman" w:cstheme="minorHAnsi"/>
          <w:spacing w:val="-10"/>
        </w:rPr>
        <w:t xml:space="preserve"> </w:t>
      </w:r>
      <w:r w:rsidRPr="00A54361">
        <w:rPr>
          <w:rFonts w:eastAsia="Times New Roman" w:cstheme="minorHAnsi"/>
        </w:rPr>
        <w:t>t</w:t>
      </w:r>
      <w:r w:rsidRPr="00A54361">
        <w:rPr>
          <w:rFonts w:eastAsia="Times New Roman" w:cstheme="minorHAnsi"/>
          <w:spacing w:val="3"/>
        </w:rPr>
        <w:t>h</w:t>
      </w:r>
      <w:r w:rsidRPr="00A54361">
        <w:rPr>
          <w:rFonts w:eastAsia="Times New Roman" w:cstheme="minorHAnsi"/>
        </w:rPr>
        <w:t>e</w:t>
      </w:r>
      <w:r w:rsidRPr="00A54361">
        <w:rPr>
          <w:rFonts w:eastAsia="Times New Roman" w:cstheme="minorHAnsi"/>
          <w:spacing w:val="-11"/>
        </w:rPr>
        <w:t xml:space="preserve"> </w:t>
      </w:r>
      <w:r w:rsidRPr="00A54361">
        <w:rPr>
          <w:rFonts w:eastAsia="Times New Roman" w:cstheme="minorHAnsi"/>
          <w:spacing w:val="2"/>
        </w:rPr>
        <w:t>A</w:t>
      </w:r>
      <w:r w:rsidRPr="00A54361">
        <w:rPr>
          <w:rFonts w:eastAsia="Times New Roman" w:cstheme="minorHAnsi"/>
        </w:rPr>
        <w:t>g</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4"/>
        </w:rPr>
        <w:t>c</w:t>
      </w:r>
      <w:r w:rsidRPr="00A54361">
        <w:rPr>
          <w:rFonts w:eastAsia="Times New Roman" w:cstheme="minorHAnsi"/>
        </w:rPr>
        <w:t>y</w:t>
      </w:r>
      <w:r w:rsidRPr="00A54361">
        <w:rPr>
          <w:rFonts w:eastAsia="Times New Roman" w:cstheme="minorHAnsi"/>
          <w:spacing w:val="-12"/>
        </w:rPr>
        <w:t xml:space="preserve"> </w:t>
      </w:r>
      <w:r w:rsidRPr="00A54361">
        <w:rPr>
          <w:rFonts w:eastAsia="Times New Roman" w:cstheme="minorHAnsi"/>
          <w:spacing w:val="-1"/>
        </w:rPr>
        <w:t>e</w:t>
      </w:r>
      <w:r w:rsidRPr="00A54361">
        <w:rPr>
          <w:rFonts w:eastAsia="Times New Roman" w:cstheme="minorHAnsi"/>
        </w:rPr>
        <w:t>mp</w:t>
      </w:r>
      <w:r w:rsidRPr="00A54361">
        <w:rPr>
          <w:rFonts w:eastAsia="Times New Roman" w:cstheme="minorHAnsi"/>
          <w:spacing w:val="1"/>
        </w:rPr>
        <w:t>l</w:t>
      </w:r>
      <w:r w:rsidRPr="00A54361">
        <w:rPr>
          <w:rFonts w:eastAsia="Times New Roman" w:cstheme="minorHAnsi"/>
          <w:spacing w:val="2"/>
        </w:rPr>
        <w:t>o</w:t>
      </w:r>
      <w:r w:rsidRPr="00A54361">
        <w:rPr>
          <w:rFonts w:eastAsia="Times New Roman" w:cstheme="minorHAnsi"/>
          <w:spacing w:val="-2"/>
        </w:rPr>
        <w:t>y</w:t>
      </w:r>
      <w:r w:rsidRPr="00A54361">
        <w:rPr>
          <w:rFonts w:eastAsia="Times New Roman" w:cstheme="minorHAnsi"/>
        </w:rPr>
        <w:t>s</w:t>
      </w:r>
      <w:r w:rsidRPr="00A54361">
        <w:rPr>
          <w:rFonts w:eastAsia="Times New Roman" w:cstheme="minorHAnsi"/>
          <w:spacing w:val="-9"/>
        </w:rPr>
        <w:t xml:space="preserve"> </w:t>
      </w:r>
      <w:r w:rsidRPr="00A54361">
        <w:rPr>
          <w:rFonts w:eastAsia="Times New Roman" w:cstheme="minorHAnsi"/>
        </w:rPr>
        <w:t>a</w:t>
      </w:r>
      <w:r w:rsidRPr="00A54361">
        <w:rPr>
          <w:rFonts w:eastAsia="Times New Roman" w:cstheme="minorHAnsi"/>
          <w:spacing w:val="-11"/>
        </w:rPr>
        <w:t xml:space="preserve"> </w:t>
      </w:r>
      <w:r w:rsidRPr="00A54361">
        <w:rPr>
          <w:rFonts w:eastAsia="Times New Roman" w:cstheme="minorHAnsi"/>
        </w:rPr>
        <w:t>publ</w:t>
      </w:r>
      <w:r w:rsidRPr="00A54361">
        <w:rPr>
          <w:rFonts w:eastAsia="Times New Roman" w:cstheme="minorHAnsi"/>
          <w:spacing w:val="1"/>
        </w:rPr>
        <w:t>i</w:t>
      </w:r>
      <w:r w:rsidRPr="00A54361">
        <w:rPr>
          <w:rFonts w:eastAsia="Times New Roman" w:cstheme="minorHAnsi"/>
        </w:rPr>
        <w:t>c</w:t>
      </w:r>
      <w:r w:rsidRPr="00A54361">
        <w:rPr>
          <w:rFonts w:eastAsia="Times New Roman" w:cstheme="minorHAnsi"/>
          <w:spacing w:val="-11"/>
        </w:rPr>
        <w:t xml:space="preserve"> </w:t>
      </w:r>
      <w:r w:rsidRPr="00A54361">
        <w:rPr>
          <w:rFonts w:eastAsia="Times New Roman" w:cstheme="minorHAnsi"/>
          <w:spacing w:val="2"/>
        </w:rPr>
        <w:t>s</w:t>
      </w:r>
      <w:r w:rsidRPr="00A54361">
        <w:rPr>
          <w:rFonts w:eastAsia="Times New Roman" w:cstheme="minorHAnsi"/>
          <w:spacing w:val="-1"/>
        </w:rPr>
        <w:t>e</w:t>
      </w:r>
      <w:r w:rsidRPr="00A54361">
        <w:rPr>
          <w:rFonts w:eastAsia="Times New Roman" w:cstheme="minorHAnsi"/>
        </w:rPr>
        <w:t>rv</w:t>
      </w:r>
      <w:r w:rsidRPr="00A54361">
        <w:rPr>
          <w:rFonts w:eastAsia="Times New Roman" w:cstheme="minorHAnsi"/>
          <w:spacing w:val="-2"/>
        </w:rPr>
        <w:t>a</w:t>
      </w:r>
      <w:r w:rsidRPr="00A54361">
        <w:rPr>
          <w:rFonts w:eastAsia="Times New Roman" w:cstheme="minorHAnsi"/>
        </w:rPr>
        <w:t>nt</w:t>
      </w:r>
      <w:r w:rsidRPr="00A54361">
        <w:rPr>
          <w:rFonts w:eastAsia="Times New Roman" w:cstheme="minorHAnsi"/>
          <w:spacing w:val="-7"/>
        </w:rPr>
        <w:t xml:space="preserve"> </w:t>
      </w:r>
      <w:r w:rsidRPr="00A54361">
        <w:rPr>
          <w:rFonts w:eastAsia="Times New Roman" w:cstheme="minorHAnsi"/>
        </w:rPr>
        <w:t>dis</w:t>
      </w:r>
      <w:r w:rsidRPr="00A54361">
        <w:rPr>
          <w:rFonts w:eastAsia="Times New Roman" w:cstheme="minorHAnsi"/>
          <w:spacing w:val="1"/>
        </w:rPr>
        <w:t>m</w:t>
      </w:r>
      <w:r w:rsidRPr="00A54361">
        <w:rPr>
          <w:rFonts w:eastAsia="Times New Roman" w:cstheme="minorHAnsi"/>
        </w:rPr>
        <w:t>i</w:t>
      </w:r>
      <w:r w:rsidRPr="00A54361">
        <w:rPr>
          <w:rFonts w:eastAsia="Times New Roman" w:cstheme="minorHAnsi"/>
          <w:spacing w:val="3"/>
        </w:rPr>
        <w:t>s</w:t>
      </w:r>
      <w:r w:rsidRPr="00A54361">
        <w:rPr>
          <w:rFonts w:eastAsia="Times New Roman" w:cstheme="minorHAnsi"/>
        </w:rPr>
        <w:t>s</w:t>
      </w:r>
      <w:r w:rsidRPr="00A54361">
        <w:rPr>
          <w:rFonts w:eastAsia="Times New Roman" w:cstheme="minorHAnsi"/>
          <w:spacing w:val="-1"/>
        </w:rPr>
        <w:t>e</w:t>
      </w:r>
      <w:r w:rsidRPr="00A54361">
        <w:rPr>
          <w:rFonts w:eastAsia="Times New Roman" w:cstheme="minorHAnsi"/>
        </w:rPr>
        <w:t>d</w:t>
      </w:r>
      <w:r w:rsidRPr="00A54361">
        <w:rPr>
          <w:rFonts w:eastAsia="Times New Roman" w:cstheme="minorHAnsi"/>
          <w:spacing w:val="-10"/>
        </w:rPr>
        <w:t xml:space="preserve"> </w:t>
      </w:r>
      <w:r w:rsidRPr="00A54361">
        <w:rPr>
          <w:rFonts w:eastAsia="Times New Roman" w:cstheme="minorHAnsi"/>
        </w:rPr>
        <w:t>/</w:t>
      </w:r>
      <w:r w:rsidRPr="00A54361">
        <w:rPr>
          <w:rFonts w:eastAsia="Times New Roman" w:cstheme="minorHAnsi"/>
          <w:spacing w:val="-9"/>
        </w:rPr>
        <w:t xml:space="preserve"> </w:t>
      </w:r>
      <w:r w:rsidRPr="00A54361">
        <w:rPr>
          <w:rFonts w:eastAsia="Times New Roman" w:cstheme="minorHAnsi"/>
          <w:spacing w:val="1"/>
        </w:rPr>
        <w:t>r</w:t>
      </w:r>
      <w:r w:rsidRPr="00A54361">
        <w:rPr>
          <w:rFonts w:eastAsia="Times New Roman" w:cstheme="minorHAnsi"/>
          <w:spacing w:val="-1"/>
        </w:rPr>
        <w:t>e</w:t>
      </w:r>
      <w:r w:rsidRPr="00A54361">
        <w:rPr>
          <w:rFonts w:eastAsia="Times New Roman" w:cstheme="minorHAnsi"/>
        </w:rPr>
        <w:t>moved</w:t>
      </w:r>
      <w:r w:rsidRPr="00A54361">
        <w:rPr>
          <w:rFonts w:eastAsia="Times New Roman" w:cstheme="minorHAnsi"/>
          <w:spacing w:val="-10"/>
        </w:rPr>
        <w:t xml:space="preserve"> </w:t>
      </w:r>
      <w:r w:rsidRPr="00A54361">
        <w:rPr>
          <w:rFonts w:eastAsia="Times New Roman" w:cstheme="minorHAnsi"/>
        </w:rPr>
        <w:t>or</w:t>
      </w:r>
      <w:r w:rsidRPr="00A54361">
        <w:rPr>
          <w:rFonts w:eastAsia="Times New Roman" w:cstheme="minorHAnsi"/>
          <w:spacing w:val="-8"/>
        </w:rPr>
        <w:t xml:space="preserve"> </w:t>
      </w:r>
      <w:r w:rsidRPr="00A54361">
        <w:rPr>
          <w:rFonts w:eastAsia="Times New Roman" w:cstheme="minorHAnsi"/>
          <w:spacing w:val="-1"/>
        </w:rPr>
        <w:t>e</w:t>
      </w:r>
      <w:r w:rsidRPr="00A54361">
        <w:rPr>
          <w:rFonts w:eastAsia="Times New Roman" w:cstheme="minorHAnsi"/>
        </w:rPr>
        <w:t>mp</w:t>
      </w:r>
      <w:r w:rsidRPr="00A54361">
        <w:rPr>
          <w:rFonts w:eastAsia="Times New Roman" w:cstheme="minorHAnsi"/>
          <w:spacing w:val="1"/>
        </w:rPr>
        <w:t>l</w:t>
      </w:r>
      <w:r w:rsidRPr="00A54361">
        <w:rPr>
          <w:rFonts w:eastAsia="Times New Roman" w:cstheme="minorHAnsi"/>
          <w:spacing w:val="5"/>
        </w:rPr>
        <w:t>o</w:t>
      </w:r>
      <w:r w:rsidRPr="00A54361">
        <w:rPr>
          <w:rFonts w:eastAsia="Times New Roman" w:cstheme="minorHAnsi"/>
          <w:spacing w:val="-5"/>
        </w:rPr>
        <w:t>y</w:t>
      </w:r>
      <w:r w:rsidRPr="00A54361">
        <w:rPr>
          <w:rFonts w:eastAsia="Times New Roman" w:cstheme="minorHAnsi"/>
        </w:rPr>
        <w:t>s</w:t>
      </w:r>
      <w:r w:rsidRPr="00A54361">
        <w:rPr>
          <w:rFonts w:eastAsia="Times New Roman" w:cstheme="minorHAnsi"/>
          <w:spacing w:val="-7"/>
        </w:rPr>
        <w:t xml:space="preserve"> </w:t>
      </w:r>
      <w:r w:rsidRPr="00A54361">
        <w:rPr>
          <w:rFonts w:eastAsia="Times New Roman" w:cstheme="minorHAnsi"/>
        </w:rPr>
        <w:t>a</w:t>
      </w:r>
      <w:r w:rsidRPr="00A54361">
        <w:rPr>
          <w:rFonts w:eastAsia="Times New Roman" w:cstheme="minorHAnsi"/>
          <w:spacing w:val="-11"/>
        </w:rPr>
        <w:t xml:space="preserve"> </w:t>
      </w:r>
      <w:r w:rsidRPr="00A54361">
        <w:rPr>
          <w:rFonts w:eastAsia="Times New Roman" w:cstheme="minorHAnsi"/>
        </w:rPr>
        <w:t>p</w:t>
      </w:r>
      <w:r w:rsidRPr="00A54361">
        <w:rPr>
          <w:rFonts w:eastAsia="Times New Roman" w:cstheme="minorHAnsi"/>
          <w:spacing w:val="-1"/>
        </w:rPr>
        <w:t>e</w:t>
      </w:r>
      <w:r w:rsidRPr="00A54361">
        <w:rPr>
          <w:rFonts w:eastAsia="Times New Roman" w:cstheme="minorHAnsi"/>
        </w:rPr>
        <w:t>rson</w:t>
      </w:r>
      <w:r w:rsidRPr="00A54361">
        <w:rPr>
          <w:rFonts w:eastAsia="Times New Roman" w:cstheme="minorHAnsi"/>
          <w:spacing w:val="-8"/>
        </w:rPr>
        <w:t xml:space="preserve"> </w:t>
      </w:r>
      <w:r w:rsidRPr="00A54361">
        <w:rPr>
          <w:rFonts w:eastAsia="Times New Roman" w:cstheme="minorHAnsi"/>
          <w:spacing w:val="-1"/>
        </w:rPr>
        <w:t>c</w:t>
      </w:r>
      <w:r w:rsidRPr="00A54361">
        <w:rPr>
          <w:rFonts w:eastAsia="Times New Roman" w:cstheme="minorHAnsi"/>
        </w:rPr>
        <w:t>onvict</w:t>
      </w:r>
      <w:r w:rsidRPr="00A54361">
        <w:rPr>
          <w:rFonts w:eastAsia="Times New Roman" w:cstheme="minorHAnsi"/>
          <w:spacing w:val="1"/>
        </w:rPr>
        <w:t>e</w:t>
      </w:r>
      <w:r w:rsidRPr="00A54361">
        <w:rPr>
          <w:rFonts w:eastAsia="Times New Roman" w:cstheme="minorHAnsi"/>
        </w:rPr>
        <w:t>d for</w:t>
      </w:r>
      <w:r w:rsidRPr="00A54361">
        <w:rPr>
          <w:rFonts w:eastAsia="Times New Roman" w:cstheme="minorHAnsi"/>
          <w:spacing w:val="-1"/>
        </w:rPr>
        <w:t xml:space="preserve"> a</w:t>
      </w:r>
      <w:r w:rsidRPr="00A54361">
        <w:rPr>
          <w:rFonts w:eastAsia="Times New Roman" w:cstheme="minorHAnsi"/>
        </w:rPr>
        <w:t>n o</w:t>
      </w:r>
      <w:r w:rsidRPr="00A54361">
        <w:rPr>
          <w:rFonts w:eastAsia="Times New Roman" w:cstheme="minorHAnsi"/>
          <w:spacing w:val="1"/>
        </w:rPr>
        <w:t>f</w:t>
      </w:r>
      <w:r w:rsidRPr="00A54361">
        <w:rPr>
          <w:rFonts w:eastAsia="Times New Roman" w:cstheme="minorHAnsi"/>
        </w:rPr>
        <w:t>f</w:t>
      </w:r>
      <w:r w:rsidRPr="00A54361">
        <w:rPr>
          <w:rFonts w:eastAsia="Times New Roman" w:cstheme="minorHAnsi"/>
          <w:spacing w:val="-2"/>
        </w:rPr>
        <w:t>e</w:t>
      </w:r>
      <w:r w:rsidRPr="00A54361">
        <w:rPr>
          <w:rFonts w:eastAsia="Times New Roman" w:cstheme="minorHAnsi"/>
        </w:rPr>
        <w:t>n</w:t>
      </w:r>
      <w:r w:rsidRPr="00A54361">
        <w:rPr>
          <w:rFonts w:eastAsia="Times New Roman" w:cstheme="minorHAnsi"/>
          <w:spacing w:val="1"/>
        </w:rPr>
        <w:t>c</w:t>
      </w:r>
      <w:r w:rsidRPr="00A54361">
        <w:rPr>
          <w:rFonts w:eastAsia="Times New Roman" w:cstheme="minorHAnsi"/>
        </w:rPr>
        <w:t>e</w:t>
      </w:r>
      <w:r w:rsidRPr="00A54361">
        <w:rPr>
          <w:rFonts w:eastAsia="Times New Roman" w:cstheme="minorHAnsi"/>
          <w:spacing w:val="-1"/>
        </w:rPr>
        <w:t xml:space="preserve"> </w:t>
      </w:r>
      <w:r w:rsidRPr="00A54361">
        <w:rPr>
          <w:rFonts w:eastAsia="Times New Roman" w:cstheme="minorHAnsi"/>
        </w:rPr>
        <w:t>invo</w:t>
      </w:r>
      <w:r w:rsidRPr="00A54361">
        <w:rPr>
          <w:rFonts w:eastAsia="Times New Roman" w:cstheme="minorHAnsi"/>
          <w:spacing w:val="1"/>
        </w:rPr>
        <w:t>l</w:t>
      </w:r>
      <w:r w:rsidRPr="00A54361">
        <w:rPr>
          <w:rFonts w:eastAsia="Times New Roman" w:cstheme="minorHAnsi"/>
        </w:rPr>
        <w:t xml:space="preserve">ving </w:t>
      </w:r>
      <w:r w:rsidRPr="00A54361">
        <w:rPr>
          <w:rFonts w:eastAsia="Times New Roman" w:cstheme="minorHAnsi"/>
          <w:spacing w:val="-1"/>
        </w:rPr>
        <w:t>c</w:t>
      </w:r>
      <w:r w:rsidRPr="00A54361">
        <w:rPr>
          <w:rFonts w:eastAsia="Times New Roman" w:cstheme="minorHAnsi"/>
        </w:rPr>
        <w:t>or</w:t>
      </w:r>
      <w:r w:rsidRPr="00A54361">
        <w:rPr>
          <w:rFonts w:eastAsia="Times New Roman" w:cstheme="minorHAnsi"/>
          <w:spacing w:val="-1"/>
        </w:rPr>
        <w:t>r</w:t>
      </w:r>
      <w:r w:rsidRPr="00A54361">
        <w:rPr>
          <w:rFonts w:eastAsia="Times New Roman" w:cstheme="minorHAnsi"/>
        </w:rPr>
        <w:t>upt</w:t>
      </w:r>
      <w:r w:rsidRPr="00A54361">
        <w:rPr>
          <w:rFonts w:eastAsia="Times New Roman" w:cstheme="minorHAnsi"/>
          <w:spacing w:val="1"/>
        </w:rPr>
        <w:t>i</w:t>
      </w:r>
      <w:r w:rsidRPr="00A54361">
        <w:rPr>
          <w:rFonts w:eastAsia="Times New Roman" w:cstheme="minorHAnsi"/>
        </w:rPr>
        <w:t>on or</w:t>
      </w:r>
      <w:r w:rsidRPr="00A54361">
        <w:rPr>
          <w:rFonts w:eastAsia="Times New Roman" w:cstheme="minorHAnsi"/>
          <w:spacing w:val="-1"/>
        </w:rPr>
        <w:t xml:space="preserve"> a</w:t>
      </w:r>
      <w:r w:rsidRPr="00A54361">
        <w:rPr>
          <w:rFonts w:eastAsia="Times New Roman" w:cstheme="minorHAnsi"/>
          <w:spacing w:val="2"/>
        </w:rPr>
        <w:t>b</w:t>
      </w:r>
      <w:r w:rsidRPr="00A54361">
        <w:rPr>
          <w:rFonts w:eastAsia="Times New Roman" w:cstheme="minorHAnsi"/>
          <w:spacing w:val="-1"/>
        </w:rPr>
        <w:t>e</w:t>
      </w:r>
      <w:r w:rsidRPr="00A54361">
        <w:rPr>
          <w:rFonts w:eastAsia="Times New Roman" w:cstheme="minorHAnsi"/>
        </w:rPr>
        <w:t>t</w:t>
      </w:r>
      <w:r w:rsidRPr="00A54361">
        <w:rPr>
          <w:rFonts w:eastAsia="Times New Roman" w:cstheme="minorHAnsi"/>
          <w:spacing w:val="1"/>
        </w:rPr>
        <w:t>m</w:t>
      </w:r>
      <w:r w:rsidRPr="00A54361">
        <w:rPr>
          <w:rFonts w:eastAsia="Times New Roman" w:cstheme="minorHAnsi"/>
          <w:spacing w:val="-1"/>
        </w:rPr>
        <w:t>e</w:t>
      </w:r>
      <w:r w:rsidRPr="00A54361">
        <w:rPr>
          <w:rFonts w:eastAsia="Times New Roman" w:cstheme="minorHAnsi"/>
        </w:rPr>
        <w:t>nt of su</w:t>
      </w:r>
      <w:r w:rsidRPr="00A54361">
        <w:rPr>
          <w:rFonts w:eastAsia="Times New Roman" w:cstheme="minorHAnsi"/>
          <w:spacing w:val="-1"/>
        </w:rPr>
        <w:t>c</w:t>
      </w:r>
      <w:r w:rsidRPr="00A54361">
        <w:rPr>
          <w:rFonts w:eastAsia="Times New Roman" w:cstheme="minorHAnsi"/>
        </w:rPr>
        <w:t>h of</w:t>
      </w:r>
      <w:r w:rsidRPr="00A54361">
        <w:rPr>
          <w:rFonts w:eastAsia="Times New Roman" w:cstheme="minorHAnsi"/>
          <w:spacing w:val="1"/>
        </w:rPr>
        <w:t>f</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1"/>
        </w:rPr>
        <w:t>ce</w:t>
      </w:r>
      <w:r w:rsidRPr="00A54361">
        <w:rPr>
          <w:rFonts w:eastAsia="Times New Roman" w:cstheme="minorHAnsi"/>
        </w:rPr>
        <w:t>;</w:t>
      </w:r>
    </w:p>
    <w:p w14:paraId="597E07F4" w14:textId="77777777" w:rsidR="0054549F" w:rsidRPr="00A54361" w:rsidRDefault="0054549F" w:rsidP="00A54361">
      <w:pPr>
        <w:spacing w:line="260" w:lineRule="exact"/>
        <w:ind w:right="83"/>
        <w:jc w:val="both"/>
        <w:rPr>
          <w:rFonts w:cstheme="minorHAnsi"/>
        </w:rPr>
      </w:pPr>
      <w:r w:rsidRPr="00A54361">
        <w:rPr>
          <w:rFonts w:eastAsia="Times New Roman" w:cstheme="minorHAnsi"/>
        </w:rPr>
        <w:t>6.6</w:t>
      </w:r>
      <w:r w:rsidRPr="00A54361">
        <w:rPr>
          <w:rFonts w:eastAsia="Times New Roman" w:cstheme="minorHAnsi"/>
          <w:spacing w:val="8"/>
        </w:rPr>
        <w:t xml:space="preserve"> </w:t>
      </w:r>
      <w:r w:rsidRPr="00A54361">
        <w:rPr>
          <w:rFonts w:eastAsia="Times New Roman" w:cstheme="minorHAnsi"/>
          <w:spacing w:val="-6"/>
        </w:rPr>
        <w:t>I</w:t>
      </w:r>
      <w:r w:rsidRPr="00A54361">
        <w:rPr>
          <w:rFonts w:eastAsia="Times New Roman" w:cstheme="minorHAnsi"/>
        </w:rPr>
        <w:t>f</w:t>
      </w:r>
      <w:r w:rsidRPr="00A54361">
        <w:rPr>
          <w:rFonts w:eastAsia="Times New Roman" w:cstheme="minorHAnsi"/>
          <w:spacing w:val="4"/>
        </w:rPr>
        <w:t xml:space="preserve"> </w:t>
      </w:r>
      <w:r w:rsidRPr="00A54361">
        <w:rPr>
          <w:rFonts w:eastAsia="Times New Roman" w:cstheme="minorHAnsi"/>
        </w:rPr>
        <w:t>busin</w:t>
      </w:r>
      <w:r w:rsidRPr="00A54361">
        <w:rPr>
          <w:rFonts w:eastAsia="Times New Roman" w:cstheme="minorHAnsi"/>
          <w:spacing w:val="-1"/>
        </w:rPr>
        <w:t>e</w:t>
      </w:r>
      <w:r w:rsidRPr="00A54361">
        <w:rPr>
          <w:rFonts w:eastAsia="Times New Roman" w:cstheme="minorHAnsi"/>
        </w:rPr>
        <w:t>ss</w:t>
      </w:r>
      <w:r w:rsidRPr="00A54361">
        <w:rPr>
          <w:rFonts w:eastAsia="Times New Roman" w:cstheme="minorHAnsi"/>
          <w:spacing w:val="6"/>
        </w:rPr>
        <w:t xml:space="preserve"> </w:t>
      </w:r>
      <w:r w:rsidRPr="00A54361">
        <w:rPr>
          <w:rFonts w:eastAsia="Times New Roman" w:cstheme="minorHAnsi"/>
        </w:rPr>
        <w:t>d</w:t>
      </w:r>
      <w:r w:rsidRPr="00A54361">
        <w:rPr>
          <w:rFonts w:eastAsia="Times New Roman" w:cstheme="minorHAnsi"/>
          <w:spacing w:val="-1"/>
        </w:rPr>
        <w:t>ea</w:t>
      </w:r>
      <w:r w:rsidRPr="00A54361">
        <w:rPr>
          <w:rFonts w:eastAsia="Times New Roman" w:cstheme="minorHAnsi"/>
        </w:rPr>
        <w:t>l</w:t>
      </w:r>
      <w:r w:rsidRPr="00A54361">
        <w:rPr>
          <w:rFonts w:eastAsia="Times New Roman" w:cstheme="minorHAnsi"/>
          <w:spacing w:val="1"/>
        </w:rPr>
        <w:t>i</w:t>
      </w:r>
      <w:r w:rsidRPr="00A54361">
        <w:rPr>
          <w:rFonts w:eastAsia="Times New Roman" w:cstheme="minorHAnsi"/>
          <w:spacing w:val="2"/>
        </w:rPr>
        <w:t>n</w:t>
      </w:r>
      <w:r w:rsidRPr="00A54361">
        <w:rPr>
          <w:rFonts w:eastAsia="Times New Roman" w:cstheme="minorHAnsi"/>
          <w:spacing w:val="-2"/>
        </w:rPr>
        <w:t>g</w:t>
      </w:r>
      <w:r w:rsidRPr="00A54361">
        <w:rPr>
          <w:rFonts w:eastAsia="Times New Roman" w:cstheme="minorHAnsi"/>
        </w:rPr>
        <w:t>s</w:t>
      </w:r>
      <w:r w:rsidRPr="00A54361">
        <w:rPr>
          <w:rFonts w:eastAsia="Times New Roman" w:cstheme="minorHAnsi"/>
          <w:spacing w:val="5"/>
        </w:rPr>
        <w:t xml:space="preserve"> </w:t>
      </w:r>
      <w:r w:rsidRPr="00A54361">
        <w:rPr>
          <w:rFonts w:eastAsia="Times New Roman" w:cstheme="minorHAnsi"/>
        </w:rPr>
        <w:t>with</w:t>
      </w:r>
      <w:r w:rsidRPr="00A54361">
        <w:rPr>
          <w:rFonts w:eastAsia="Times New Roman" w:cstheme="minorHAnsi"/>
          <w:spacing w:val="6"/>
        </w:rPr>
        <w:t xml:space="preserve"> </w:t>
      </w:r>
      <w:r w:rsidRPr="00A54361">
        <w:rPr>
          <w:rFonts w:eastAsia="Times New Roman" w:cstheme="minorHAnsi"/>
        </w:rPr>
        <w:t>the</w:t>
      </w:r>
      <w:r w:rsidRPr="00A54361">
        <w:rPr>
          <w:rFonts w:eastAsia="Times New Roman" w:cstheme="minorHAnsi"/>
          <w:spacing w:val="5"/>
        </w:rPr>
        <w:t xml:space="preserve"> </w:t>
      </w:r>
      <w:r w:rsidRPr="00A54361">
        <w:rPr>
          <w:rFonts w:eastAsia="Times New Roman" w:cstheme="minorHAnsi"/>
        </w:rPr>
        <w:t>A</w:t>
      </w:r>
      <w:r w:rsidRPr="00A54361">
        <w:rPr>
          <w:rFonts w:eastAsia="Times New Roman" w:cstheme="minorHAnsi"/>
          <w:spacing w:val="-3"/>
        </w:rPr>
        <w:t>g</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4"/>
        </w:rPr>
        <w:t>c</w:t>
      </w:r>
      <w:r w:rsidRPr="00A54361">
        <w:rPr>
          <w:rFonts w:eastAsia="Times New Roman" w:cstheme="minorHAnsi"/>
        </w:rPr>
        <w:t>y h</w:t>
      </w:r>
      <w:r w:rsidRPr="00A54361">
        <w:rPr>
          <w:rFonts w:eastAsia="Times New Roman" w:cstheme="minorHAnsi"/>
          <w:spacing w:val="-1"/>
        </w:rPr>
        <w:t>a</w:t>
      </w:r>
      <w:r w:rsidRPr="00A54361">
        <w:rPr>
          <w:rFonts w:eastAsia="Times New Roman" w:cstheme="minorHAnsi"/>
          <w:spacing w:val="2"/>
        </w:rPr>
        <w:t>v</w:t>
      </w:r>
      <w:r w:rsidRPr="00A54361">
        <w:rPr>
          <w:rFonts w:eastAsia="Times New Roman" w:cstheme="minorHAnsi"/>
        </w:rPr>
        <w:t>e</w:t>
      </w:r>
      <w:r w:rsidRPr="00A54361">
        <w:rPr>
          <w:rFonts w:eastAsia="Times New Roman" w:cstheme="minorHAnsi"/>
          <w:spacing w:val="4"/>
        </w:rPr>
        <w:t xml:space="preserve"> </w:t>
      </w:r>
      <w:r w:rsidRPr="00A54361">
        <w:rPr>
          <w:rFonts w:eastAsia="Times New Roman" w:cstheme="minorHAnsi"/>
        </w:rPr>
        <w:t>b</w:t>
      </w:r>
      <w:r w:rsidRPr="00A54361">
        <w:rPr>
          <w:rFonts w:eastAsia="Times New Roman" w:cstheme="minorHAnsi"/>
          <w:spacing w:val="1"/>
        </w:rPr>
        <w:t>e</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5"/>
        </w:rPr>
        <w:t xml:space="preserve"> </w:t>
      </w:r>
      <w:r w:rsidRPr="00A54361">
        <w:rPr>
          <w:rFonts w:eastAsia="Times New Roman" w:cstheme="minorHAnsi"/>
        </w:rPr>
        <w:t>b</w:t>
      </w:r>
      <w:r w:rsidRPr="00A54361">
        <w:rPr>
          <w:rFonts w:eastAsia="Times New Roman" w:cstheme="minorHAnsi"/>
          <w:spacing w:val="-1"/>
        </w:rPr>
        <w:t>a</w:t>
      </w:r>
      <w:r w:rsidRPr="00A54361">
        <w:rPr>
          <w:rFonts w:eastAsia="Times New Roman" w:cstheme="minorHAnsi"/>
        </w:rPr>
        <w:t>nn</w:t>
      </w:r>
      <w:r w:rsidRPr="00A54361">
        <w:rPr>
          <w:rFonts w:eastAsia="Times New Roman" w:cstheme="minorHAnsi"/>
          <w:spacing w:val="-1"/>
        </w:rPr>
        <w:t>e</w:t>
      </w:r>
      <w:r w:rsidRPr="00A54361">
        <w:rPr>
          <w:rFonts w:eastAsia="Times New Roman" w:cstheme="minorHAnsi"/>
        </w:rPr>
        <w:t>d</w:t>
      </w:r>
      <w:r w:rsidRPr="00A54361">
        <w:rPr>
          <w:rFonts w:eastAsia="Times New Roman" w:cstheme="minorHAnsi"/>
          <w:spacing w:val="5"/>
        </w:rPr>
        <w:t xml:space="preserve"> </w:t>
      </w:r>
      <w:r w:rsidRPr="00A54361">
        <w:rPr>
          <w:rFonts w:eastAsia="Times New Roman" w:cstheme="minorHAnsi"/>
          <w:spacing w:val="2"/>
        </w:rPr>
        <w:t>b</w:t>
      </w:r>
      <w:r w:rsidRPr="00A54361">
        <w:rPr>
          <w:rFonts w:eastAsia="Times New Roman" w:cstheme="minorHAnsi"/>
        </w:rPr>
        <w:t>y the</w:t>
      </w:r>
      <w:r w:rsidRPr="00A54361">
        <w:rPr>
          <w:rFonts w:eastAsia="Times New Roman" w:cstheme="minorHAnsi"/>
          <w:spacing w:val="5"/>
        </w:rPr>
        <w:t xml:space="preserve"> </w:t>
      </w:r>
      <w:r w:rsidRPr="00A54361">
        <w:rPr>
          <w:rFonts w:eastAsia="Times New Roman" w:cstheme="minorHAnsi"/>
        </w:rPr>
        <w:t>Govt.</w:t>
      </w:r>
      <w:r w:rsidRPr="00A54361">
        <w:rPr>
          <w:rFonts w:eastAsia="Times New Roman" w:cstheme="minorHAnsi"/>
          <w:spacing w:val="8"/>
        </w:rPr>
        <w:t xml:space="preserve"> </w:t>
      </w:r>
      <w:r w:rsidRPr="00A54361">
        <w:rPr>
          <w:rFonts w:eastAsia="Times New Roman" w:cstheme="minorHAnsi"/>
        </w:rPr>
        <w:t>or</w:t>
      </w:r>
      <w:r w:rsidRPr="00A54361">
        <w:rPr>
          <w:rFonts w:eastAsia="Times New Roman" w:cstheme="minorHAnsi"/>
          <w:spacing w:val="4"/>
        </w:rPr>
        <w:t xml:space="preserve"> </w:t>
      </w:r>
      <w:r w:rsidRPr="00A54361">
        <w:rPr>
          <w:rFonts w:eastAsia="Times New Roman" w:cstheme="minorHAnsi"/>
          <w:spacing w:val="-1"/>
        </w:rPr>
        <w:t>a</w:t>
      </w:r>
      <w:r w:rsidRPr="00A54361">
        <w:rPr>
          <w:rFonts w:eastAsia="Times New Roman" w:cstheme="minorHAnsi"/>
          <w:spacing w:val="2"/>
        </w:rPr>
        <w:t>n</w:t>
      </w:r>
      <w:r w:rsidRPr="00A54361">
        <w:rPr>
          <w:rFonts w:eastAsia="Times New Roman" w:cstheme="minorHAnsi"/>
        </w:rPr>
        <w:t>y other</w:t>
      </w:r>
      <w:r w:rsidRPr="00A54361">
        <w:rPr>
          <w:rFonts w:eastAsia="Times New Roman" w:cstheme="minorHAnsi"/>
          <w:spacing w:val="4"/>
        </w:rPr>
        <w:t xml:space="preserve"> </w:t>
      </w:r>
      <w:r w:rsidRPr="00A54361">
        <w:rPr>
          <w:rFonts w:eastAsia="Times New Roman" w:cstheme="minorHAnsi"/>
        </w:rPr>
        <w:t>publ</w:t>
      </w:r>
      <w:r w:rsidRPr="00A54361">
        <w:rPr>
          <w:rFonts w:eastAsia="Times New Roman" w:cstheme="minorHAnsi"/>
          <w:spacing w:val="1"/>
        </w:rPr>
        <w:t>i</w:t>
      </w:r>
      <w:r w:rsidRPr="00A54361">
        <w:rPr>
          <w:rFonts w:eastAsia="Times New Roman" w:cstheme="minorHAnsi"/>
        </w:rPr>
        <w:t>c s</w:t>
      </w:r>
      <w:r w:rsidRPr="00A54361">
        <w:rPr>
          <w:rFonts w:eastAsia="Times New Roman" w:cstheme="minorHAnsi"/>
          <w:spacing w:val="-1"/>
        </w:rPr>
        <w:t>ec</w:t>
      </w:r>
      <w:r w:rsidRPr="00A54361">
        <w:rPr>
          <w:rFonts w:eastAsia="Times New Roman" w:cstheme="minorHAnsi"/>
        </w:rPr>
        <w:t xml:space="preserve">tor </w:t>
      </w:r>
      <w:r w:rsidRPr="00A54361">
        <w:rPr>
          <w:rFonts w:eastAsia="Times New Roman" w:cstheme="minorHAnsi"/>
          <w:spacing w:val="-1"/>
        </w:rPr>
        <w:t>e</w:t>
      </w:r>
      <w:r w:rsidRPr="00A54361">
        <w:rPr>
          <w:rFonts w:eastAsia="Times New Roman" w:cstheme="minorHAnsi"/>
        </w:rPr>
        <w:t>nt</w:t>
      </w:r>
      <w:r w:rsidRPr="00A54361">
        <w:rPr>
          <w:rFonts w:eastAsia="Times New Roman" w:cstheme="minorHAnsi"/>
          <w:spacing w:val="2"/>
        </w:rPr>
        <w:t>e</w:t>
      </w:r>
      <w:r w:rsidRPr="00A54361">
        <w:rPr>
          <w:rFonts w:eastAsia="Times New Roman" w:cstheme="minorHAnsi"/>
        </w:rPr>
        <w:t>rp</w:t>
      </w:r>
      <w:r w:rsidRPr="00A54361">
        <w:rPr>
          <w:rFonts w:eastAsia="Times New Roman" w:cstheme="minorHAnsi"/>
          <w:spacing w:val="-1"/>
        </w:rPr>
        <w:t>r</w:t>
      </w:r>
      <w:r w:rsidRPr="00A54361">
        <w:rPr>
          <w:rFonts w:eastAsia="Times New Roman" w:cstheme="minorHAnsi"/>
        </w:rPr>
        <w:t>ise;</w:t>
      </w:r>
    </w:p>
    <w:p w14:paraId="53040DC1" w14:textId="77777777" w:rsidR="0054549F" w:rsidRPr="00A54361" w:rsidRDefault="0054549F" w:rsidP="00A54361">
      <w:pPr>
        <w:spacing w:line="260" w:lineRule="exact"/>
        <w:ind w:right="83"/>
        <w:jc w:val="both"/>
        <w:rPr>
          <w:rFonts w:cstheme="minorHAnsi"/>
        </w:rPr>
      </w:pPr>
      <w:r w:rsidRPr="00A54361">
        <w:rPr>
          <w:rFonts w:eastAsia="Times New Roman" w:cstheme="minorHAnsi"/>
        </w:rPr>
        <w:t>6.7</w:t>
      </w:r>
      <w:r w:rsidRPr="00A54361">
        <w:rPr>
          <w:rFonts w:eastAsia="Times New Roman" w:cstheme="minorHAnsi"/>
          <w:spacing w:val="5"/>
        </w:rPr>
        <w:t xml:space="preserve"> </w:t>
      </w:r>
      <w:r w:rsidRPr="00A54361">
        <w:rPr>
          <w:rFonts w:eastAsia="Times New Roman" w:cstheme="minorHAnsi"/>
          <w:spacing w:val="-3"/>
        </w:rPr>
        <w:t>I</w:t>
      </w:r>
      <w:r w:rsidRPr="00A54361">
        <w:rPr>
          <w:rFonts w:eastAsia="Times New Roman" w:cstheme="minorHAnsi"/>
        </w:rPr>
        <w:t>f</w:t>
      </w:r>
      <w:r w:rsidRPr="00A54361">
        <w:rPr>
          <w:rFonts w:eastAsia="Times New Roman" w:cstheme="minorHAnsi"/>
          <w:spacing w:val="2"/>
        </w:rPr>
        <w:t xml:space="preserve"> </w:t>
      </w:r>
      <w:r w:rsidRPr="00A54361">
        <w:rPr>
          <w:rFonts w:eastAsia="Times New Roman" w:cstheme="minorHAnsi"/>
        </w:rPr>
        <w:t>t</w:t>
      </w:r>
      <w:r w:rsidRPr="00A54361">
        <w:rPr>
          <w:rFonts w:eastAsia="Times New Roman" w:cstheme="minorHAnsi"/>
          <w:spacing w:val="3"/>
        </w:rPr>
        <w:t>h</w:t>
      </w:r>
      <w:r w:rsidRPr="00A54361">
        <w:rPr>
          <w:rFonts w:eastAsia="Times New Roman" w:cstheme="minorHAnsi"/>
        </w:rPr>
        <w:t>e</w:t>
      </w:r>
      <w:r w:rsidRPr="00A54361">
        <w:rPr>
          <w:rFonts w:eastAsia="Times New Roman" w:cstheme="minorHAnsi"/>
          <w:spacing w:val="2"/>
        </w:rPr>
        <w:t xml:space="preserve"> A</w:t>
      </w:r>
      <w:r w:rsidRPr="00A54361">
        <w:rPr>
          <w:rFonts w:eastAsia="Times New Roman" w:cstheme="minorHAnsi"/>
        </w:rPr>
        <w:t>g</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4"/>
        </w:rPr>
        <w:t>c</w:t>
      </w:r>
      <w:r w:rsidRPr="00A54361">
        <w:rPr>
          <w:rFonts w:eastAsia="Times New Roman" w:cstheme="minorHAnsi"/>
        </w:rPr>
        <w:t>y h</w:t>
      </w:r>
      <w:r w:rsidRPr="00A54361">
        <w:rPr>
          <w:rFonts w:eastAsia="Times New Roman" w:cstheme="minorHAnsi"/>
          <w:spacing w:val="-1"/>
        </w:rPr>
        <w:t>a</w:t>
      </w:r>
      <w:r w:rsidRPr="00A54361">
        <w:rPr>
          <w:rFonts w:eastAsia="Times New Roman" w:cstheme="minorHAnsi"/>
        </w:rPr>
        <w:t>s</w:t>
      </w:r>
      <w:r w:rsidRPr="00A54361">
        <w:rPr>
          <w:rFonts w:eastAsia="Times New Roman" w:cstheme="minorHAnsi"/>
          <w:spacing w:val="5"/>
        </w:rPr>
        <w:t xml:space="preserve"> </w:t>
      </w:r>
      <w:r w:rsidRPr="00A54361">
        <w:rPr>
          <w:rFonts w:eastAsia="Times New Roman" w:cstheme="minorHAnsi"/>
        </w:rPr>
        <w:t>r</w:t>
      </w:r>
      <w:r w:rsidRPr="00A54361">
        <w:rPr>
          <w:rFonts w:eastAsia="Times New Roman" w:cstheme="minorHAnsi"/>
          <w:spacing w:val="-2"/>
        </w:rPr>
        <w:t>e</w:t>
      </w:r>
      <w:r w:rsidRPr="00A54361">
        <w:rPr>
          <w:rFonts w:eastAsia="Times New Roman" w:cstheme="minorHAnsi"/>
          <w:spacing w:val="2"/>
        </w:rPr>
        <w:t>s</w:t>
      </w:r>
      <w:r w:rsidRPr="00A54361">
        <w:rPr>
          <w:rFonts w:eastAsia="Times New Roman" w:cstheme="minorHAnsi"/>
        </w:rPr>
        <w:t>ort</w:t>
      </w:r>
      <w:r w:rsidRPr="00A54361">
        <w:rPr>
          <w:rFonts w:eastAsia="Times New Roman" w:cstheme="minorHAnsi"/>
          <w:spacing w:val="-1"/>
        </w:rPr>
        <w:t>e</w:t>
      </w:r>
      <w:r w:rsidRPr="00A54361">
        <w:rPr>
          <w:rFonts w:eastAsia="Times New Roman" w:cstheme="minorHAnsi"/>
        </w:rPr>
        <w:t>d</w:t>
      </w:r>
      <w:r w:rsidRPr="00A54361">
        <w:rPr>
          <w:rFonts w:eastAsia="Times New Roman" w:cstheme="minorHAnsi"/>
          <w:spacing w:val="3"/>
        </w:rPr>
        <w:t xml:space="preserve"> </w:t>
      </w:r>
      <w:r w:rsidRPr="00A54361">
        <w:rPr>
          <w:rFonts w:eastAsia="Times New Roman" w:cstheme="minorHAnsi"/>
        </w:rPr>
        <w:t>to</w:t>
      </w:r>
      <w:r w:rsidRPr="00A54361">
        <w:rPr>
          <w:rFonts w:eastAsia="Times New Roman" w:cstheme="minorHAnsi"/>
          <w:spacing w:val="3"/>
        </w:rPr>
        <w:t xml:space="preserve"> </w:t>
      </w:r>
      <w:r w:rsidRPr="00A54361">
        <w:rPr>
          <w:rFonts w:eastAsia="Times New Roman" w:cstheme="minorHAnsi"/>
          <w:spacing w:val="4"/>
        </w:rPr>
        <w:t>C</w:t>
      </w:r>
      <w:r w:rsidRPr="00A54361">
        <w:rPr>
          <w:rFonts w:eastAsia="Times New Roman" w:cstheme="minorHAnsi"/>
        </w:rPr>
        <w:t>or</w:t>
      </w:r>
      <w:r w:rsidRPr="00A54361">
        <w:rPr>
          <w:rFonts w:eastAsia="Times New Roman" w:cstheme="minorHAnsi"/>
          <w:spacing w:val="-1"/>
        </w:rPr>
        <w:t>r</w:t>
      </w:r>
      <w:r w:rsidRPr="00A54361">
        <w:rPr>
          <w:rFonts w:eastAsia="Times New Roman" w:cstheme="minorHAnsi"/>
        </w:rPr>
        <w:t>upt,</w:t>
      </w:r>
      <w:r w:rsidRPr="00A54361">
        <w:rPr>
          <w:rFonts w:eastAsia="Times New Roman" w:cstheme="minorHAnsi"/>
          <w:spacing w:val="5"/>
        </w:rPr>
        <w:t xml:space="preserve"> </w:t>
      </w:r>
      <w:r w:rsidRPr="00A54361">
        <w:rPr>
          <w:rFonts w:eastAsia="Times New Roman" w:cstheme="minorHAnsi"/>
        </w:rPr>
        <w:t>f</w:t>
      </w:r>
      <w:r w:rsidRPr="00A54361">
        <w:rPr>
          <w:rFonts w:eastAsia="Times New Roman" w:cstheme="minorHAnsi"/>
          <w:spacing w:val="1"/>
        </w:rPr>
        <w:t>r</w:t>
      </w:r>
      <w:r w:rsidRPr="00A54361">
        <w:rPr>
          <w:rFonts w:eastAsia="Times New Roman" w:cstheme="minorHAnsi"/>
          <w:spacing w:val="-1"/>
        </w:rPr>
        <w:t>a</w:t>
      </w:r>
      <w:r w:rsidRPr="00A54361">
        <w:rPr>
          <w:rFonts w:eastAsia="Times New Roman" w:cstheme="minorHAnsi"/>
        </w:rPr>
        <w:t>udulent</w:t>
      </w:r>
      <w:r w:rsidRPr="00A54361">
        <w:rPr>
          <w:rFonts w:eastAsia="Times New Roman" w:cstheme="minorHAnsi"/>
          <w:spacing w:val="3"/>
        </w:rPr>
        <w:t xml:space="preserve"> </w:t>
      </w:r>
      <w:r w:rsidRPr="00A54361">
        <w:rPr>
          <w:rFonts w:eastAsia="Times New Roman" w:cstheme="minorHAnsi"/>
        </w:rPr>
        <w:t>pra</w:t>
      </w:r>
      <w:r w:rsidRPr="00A54361">
        <w:rPr>
          <w:rFonts w:eastAsia="Times New Roman" w:cstheme="minorHAnsi"/>
          <w:spacing w:val="-1"/>
        </w:rPr>
        <w:t>c</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spacing w:val="-1"/>
        </w:rPr>
        <w:t>ce</w:t>
      </w:r>
      <w:r w:rsidRPr="00A54361">
        <w:rPr>
          <w:rFonts w:eastAsia="Times New Roman" w:cstheme="minorHAnsi"/>
        </w:rPr>
        <w:t>s</w:t>
      </w:r>
      <w:r w:rsidRPr="00A54361">
        <w:rPr>
          <w:rFonts w:eastAsia="Times New Roman" w:cstheme="minorHAnsi"/>
          <w:spacing w:val="3"/>
        </w:rPr>
        <w:t xml:space="preserve"> </w:t>
      </w:r>
      <w:r w:rsidRPr="00A54361">
        <w:rPr>
          <w:rFonts w:eastAsia="Times New Roman" w:cstheme="minorHAnsi"/>
        </w:rPr>
        <w:t>i</w:t>
      </w:r>
      <w:r w:rsidRPr="00A54361">
        <w:rPr>
          <w:rFonts w:eastAsia="Times New Roman" w:cstheme="minorHAnsi"/>
          <w:spacing w:val="3"/>
        </w:rPr>
        <w:t>n</w:t>
      </w:r>
      <w:r w:rsidRPr="00A54361">
        <w:rPr>
          <w:rFonts w:eastAsia="Times New Roman" w:cstheme="minorHAnsi"/>
          <w:spacing w:val="-1"/>
        </w:rPr>
        <w:t>c</w:t>
      </w:r>
      <w:r w:rsidRPr="00A54361">
        <w:rPr>
          <w:rFonts w:eastAsia="Times New Roman" w:cstheme="minorHAnsi"/>
        </w:rPr>
        <w:t>lud</w:t>
      </w:r>
      <w:r w:rsidRPr="00A54361">
        <w:rPr>
          <w:rFonts w:eastAsia="Times New Roman" w:cstheme="minorHAnsi"/>
          <w:spacing w:val="1"/>
        </w:rPr>
        <w:t>i</w:t>
      </w:r>
      <w:r w:rsidRPr="00A54361">
        <w:rPr>
          <w:rFonts w:eastAsia="Times New Roman" w:cstheme="minorHAnsi"/>
        </w:rPr>
        <w:t>ng</w:t>
      </w:r>
      <w:r w:rsidRPr="00A54361">
        <w:rPr>
          <w:rFonts w:eastAsia="Times New Roman" w:cstheme="minorHAnsi"/>
          <w:spacing w:val="3"/>
        </w:rPr>
        <w:t xml:space="preserve"> </w:t>
      </w:r>
      <w:r w:rsidRPr="00A54361">
        <w:rPr>
          <w:rFonts w:eastAsia="Times New Roman" w:cstheme="minorHAnsi"/>
        </w:rPr>
        <w:t>m</w:t>
      </w:r>
      <w:r w:rsidRPr="00A54361">
        <w:rPr>
          <w:rFonts w:eastAsia="Times New Roman" w:cstheme="minorHAnsi"/>
          <w:spacing w:val="1"/>
        </w:rPr>
        <w:t>i</w:t>
      </w:r>
      <w:r w:rsidRPr="00A54361">
        <w:rPr>
          <w:rFonts w:eastAsia="Times New Roman" w:cstheme="minorHAnsi"/>
        </w:rPr>
        <w:t>sr</w:t>
      </w:r>
      <w:r w:rsidRPr="00A54361">
        <w:rPr>
          <w:rFonts w:eastAsia="Times New Roman" w:cstheme="minorHAnsi"/>
          <w:spacing w:val="-1"/>
        </w:rPr>
        <w:t>e</w:t>
      </w:r>
      <w:r w:rsidRPr="00A54361">
        <w:rPr>
          <w:rFonts w:eastAsia="Times New Roman" w:cstheme="minorHAnsi"/>
        </w:rPr>
        <w:t>pr</w:t>
      </w:r>
      <w:r w:rsidRPr="00A54361">
        <w:rPr>
          <w:rFonts w:eastAsia="Times New Roman" w:cstheme="minorHAnsi"/>
          <w:spacing w:val="-2"/>
        </w:rPr>
        <w:t>e</w:t>
      </w:r>
      <w:r w:rsidRPr="00A54361">
        <w:rPr>
          <w:rFonts w:eastAsia="Times New Roman" w:cstheme="minorHAnsi"/>
        </w:rPr>
        <w:t>s</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3"/>
        </w:rPr>
        <w:t>t</w:t>
      </w:r>
      <w:r w:rsidRPr="00A54361">
        <w:rPr>
          <w:rFonts w:eastAsia="Times New Roman" w:cstheme="minorHAnsi"/>
          <w:spacing w:val="-1"/>
        </w:rPr>
        <w:t>a</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on</w:t>
      </w:r>
      <w:r w:rsidRPr="00A54361">
        <w:rPr>
          <w:rFonts w:eastAsia="Times New Roman" w:cstheme="minorHAnsi"/>
          <w:spacing w:val="3"/>
        </w:rPr>
        <w:t xml:space="preserve"> </w:t>
      </w:r>
      <w:r w:rsidRPr="00A54361">
        <w:rPr>
          <w:rFonts w:eastAsia="Times New Roman" w:cstheme="minorHAnsi"/>
        </w:rPr>
        <w:t>of f</w:t>
      </w:r>
      <w:r w:rsidRPr="00A54361">
        <w:rPr>
          <w:rFonts w:eastAsia="Times New Roman" w:cstheme="minorHAnsi"/>
          <w:spacing w:val="-2"/>
        </w:rPr>
        <w:t>a</w:t>
      </w:r>
      <w:r w:rsidRPr="00A54361">
        <w:rPr>
          <w:rFonts w:eastAsia="Times New Roman" w:cstheme="minorHAnsi"/>
          <w:spacing w:val="-1"/>
        </w:rPr>
        <w:t>c</w:t>
      </w:r>
      <w:r w:rsidRPr="00A54361">
        <w:rPr>
          <w:rFonts w:eastAsia="Times New Roman" w:cstheme="minorHAnsi"/>
        </w:rPr>
        <w:t>ts and / or</w:t>
      </w:r>
      <w:r w:rsidRPr="00A54361">
        <w:rPr>
          <w:rFonts w:eastAsia="Times New Roman" w:cstheme="minorHAnsi"/>
          <w:spacing w:val="2"/>
        </w:rPr>
        <w:t xml:space="preserve"> </w:t>
      </w:r>
      <w:r w:rsidRPr="00A54361">
        <w:rPr>
          <w:rFonts w:eastAsia="Times New Roman" w:cstheme="minorHAnsi"/>
        </w:rPr>
        <w:t>fu</w:t>
      </w:r>
      <w:r w:rsidRPr="00A54361">
        <w:rPr>
          <w:rFonts w:eastAsia="Times New Roman" w:cstheme="minorHAnsi"/>
          <w:spacing w:val="1"/>
        </w:rPr>
        <w:t>d</w:t>
      </w:r>
      <w:r w:rsidRPr="00A54361">
        <w:rPr>
          <w:rFonts w:eastAsia="Times New Roman" w:cstheme="minorHAnsi"/>
          <w:spacing w:val="-2"/>
        </w:rPr>
        <w:t>g</w:t>
      </w:r>
      <w:r w:rsidRPr="00A54361">
        <w:rPr>
          <w:rFonts w:eastAsia="Times New Roman" w:cstheme="minorHAnsi"/>
        </w:rPr>
        <w:t>ing</w:t>
      </w:r>
      <w:r w:rsidRPr="00A54361">
        <w:rPr>
          <w:rFonts w:eastAsia="Times New Roman" w:cstheme="minorHAnsi"/>
          <w:spacing w:val="-2"/>
        </w:rPr>
        <w:t xml:space="preserve"> </w:t>
      </w:r>
      <w:r w:rsidRPr="00A54361">
        <w:rPr>
          <w:rFonts w:eastAsia="Times New Roman" w:cstheme="minorHAnsi"/>
        </w:rPr>
        <w:t>/f</w:t>
      </w:r>
      <w:r w:rsidRPr="00A54361">
        <w:rPr>
          <w:rFonts w:eastAsia="Times New Roman" w:cstheme="minorHAnsi"/>
          <w:spacing w:val="2"/>
        </w:rPr>
        <w:t>o</w:t>
      </w:r>
      <w:r w:rsidRPr="00A54361">
        <w:rPr>
          <w:rFonts w:eastAsia="Times New Roman" w:cstheme="minorHAnsi"/>
        </w:rPr>
        <w:t>r</w:t>
      </w:r>
      <w:r w:rsidRPr="00A54361">
        <w:rPr>
          <w:rFonts w:eastAsia="Times New Roman" w:cstheme="minorHAnsi"/>
          <w:spacing w:val="-3"/>
        </w:rPr>
        <w:t>g</w:t>
      </w:r>
      <w:r w:rsidRPr="00A54361">
        <w:rPr>
          <w:rFonts w:eastAsia="Times New Roman" w:cstheme="minorHAnsi"/>
        </w:rPr>
        <w:t>i</w:t>
      </w:r>
      <w:r w:rsidRPr="00A54361">
        <w:rPr>
          <w:rFonts w:eastAsia="Times New Roman" w:cstheme="minorHAnsi"/>
          <w:spacing w:val="3"/>
        </w:rPr>
        <w:t>n</w:t>
      </w:r>
      <w:r w:rsidRPr="00A54361">
        <w:rPr>
          <w:rFonts w:eastAsia="Times New Roman" w:cstheme="minorHAnsi"/>
        </w:rPr>
        <w:t>g</w:t>
      </w:r>
      <w:r w:rsidRPr="00A54361">
        <w:rPr>
          <w:rFonts w:eastAsia="Times New Roman" w:cstheme="minorHAnsi"/>
          <w:spacing w:val="-2"/>
        </w:rPr>
        <w:t xml:space="preserve"> </w:t>
      </w:r>
      <w:r w:rsidRPr="00A54361">
        <w:rPr>
          <w:rFonts w:eastAsia="Times New Roman" w:cstheme="minorHAnsi"/>
        </w:rPr>
        <w:t>/</w:t>
      </w:r>
      <w:r w:rsidRPr="00A54361">
        <w:rPr>
          <w:rFonts w:eastAsia="Times New Roman" w:cstheme="minorHAnsi"/>
          <w:spacing w:val="1"/>
        </w:rPr>
        <w:t>t</w:t>
      </w:r>
      <w:r w:rsidRPr="00A54361">
        <w:rPr>
          <w:rFonts w:eastAsia="Times New Roman" w:cstheme="minorHAnsi"/>
          <w:spacing w:val="-1"/>
        </w:rPr>
        <w:t>a</w:t>
      </w:r>
      <w:r w:rsidRPr="00A54361">
        <w:rPr>
          <w:rFonts w:eastAsia="Times New Roman" w:cstheme="minorHAnsi"/>
        </w:rPr>
        <w:t>mp</w:t>
      </w:r>
      <w:r w:rsidRPr="00A54361">
        <w:rPr>
          <w:rFonts w:eastAsia="Times New Roman" w:cstheme="minorHAnsi"/>
          <w:spacing w:val="2"/>
        </w:rPr>
        <w:t>e</w:t>
      </w:r>
      <w:r w:rsidRPr="00A54361">
        <w:rPr>
          <w:rFonts w:eastAsia="Times New Roman" w:cstheme="minorHAnsi"/>
        </w:rPr>
        <w:t>ring</w:t>
      </w:r>
      <w:r w:rsidRPr="00A54361">
        <w:rPr>
          <w:rFonts w:eastAsia="Times New Roman" w:cstheme="minorHAnsi"/>
          <w:spacing w:val="-3"/>
        </w:rPr>
        <w:t xml:space="preserve"> </w:t>
      </w:r>
      <w:r w:rsidRPr="00A54361">
        <w:rPr>
          <w:rFonts w:eastAsia="Times New Roman" w:cstheme="minorHAnsi"/>
          <w:spacing w:val="2"/>
        </w:rPr>
        <w:t>o</w:t>
      </w:r>
      <w:r w:rsidRPr="00A54361">
        <w:rPr>
          <w:rFonts w:eastAsia="Times New Roman" w:cstheme="minorHAnsi"/>
        </w:rPr>
        <w:t>f do</w:t>
      </w:r>
      <w:r w:rsidRPr="00A54361">
        <w:rPr>
          <w:rFonts w:eastAsia="Times New Roman" w:cstheme="minorHAnsi"/>
          <w:spacing w:val="-2"/>
        </w:rPr>
        <w:t>c</w:t>
      </w:r>
      <w:r w:rsidRPr="00A54361">
        <w:rPr>
          <w:rFonts w:eastAsia="Times New Roman" w:cstheme="minorHAnsi"/>
          <w:spacing w:val="2"/>
        </w:rPr>
        <w:t>u</w:t>
      </w:r>
      <w:r w:rsidRPr="00A54361">
        <w:rPr>
          <w:rFonts w:eastAsia="Times New Roman" w:cstheme="minorHAnsi"/>
        </w:rPr>
        <w:t>ments;</w:t>
      </w:r>
    </w:p>
    <w:p w14:paraId="5D909774" w14:textId="77777777" w:rsidR="0054549F" w:rsidRPr="00A54361" w:rsidRDefault="0054549F" w:rsidP="00A54361">
      <w:pPr>
        <w:spacing w:line="260" w:lineRule="exact"/>
        <w:ind w:right="82"/>
        <w:jc w:val="both"/>
        <w:rPr>
          <w:rFonts w:cstheme="minorHAnsi"/>
        </w:rPr>
      </w:pPr>
      <w:r w:rsidRPr="00A54361">
        <w:rPr>
          <w:rFonts w:eastAsia="Times New Roman" w:cstheme="minorHAnsi"/>
        </w:rPr>
        <w:t xml:space="preserve">6.8 </w:t>
      </w:r>
      <w:r w:rsidRPr="00A54361">
        <w:rPr>
          <w:rFonts w:eastAsia="Times New Roman" w:cstheme="minorHAnsi"/>
          <w:spacing w:val="-3"/>
        </w:rPr>
        <w:t>I</w:t>
      </w:r>
      <w:r w:rsidRPr="00A54361">
        <w:rPr>
          <w:rFonts w:eastAsia="Times New Roman" w:cstheme="minorHAnsi"/>
        </w:rPr>
        <w:t>f</w:t>
      </w:r>
      <w:r w:rsidRPr="00A54361">
        <w:rPr>
          <w:rFonts w:eastAsia="Times New Roman" w:cstheme="minorHAnsi"/>
          <w:spacing w:val="-3"/>
        </w:rPr>
        <w:t xml:space="preserve"> </w:t>
      </w:r>
      <w:r w:rsidRPr="00A54361">
        <w:rPr>
          <w:rFonts w:eastAsia="Times New Roman" w:cstheme="minorHAnsi"/>
        </w:rPr>
        <w:t>the</w:t>
      </w:r>
      <w:r w:rsidRPr="00A54361">
        <w:rPr>
          <w:rFonts w:eastAsia="Times New Roman" w:cstheme="minorHAnsi"/>
          <w:spacing w:val="-1"/>
        </w:rPr>
        <w:t xml:space="preserve"> </w:t>
      </w:r>
      <w:r w:rsidRPr="00A54361">
        <w:rPr>
          <w:rFonts w:eastAsia="Times New Roman" w:cstheme="minorHAnsi"/>
          <w:spacing w:val="2"/>
        </w:rPr>
        <w:t>A</w:t>
      </w:r>
      <w:r w:rsidRPr="00A54361">
        <w:rPr>
          <w:rFonts w:eastAsia="Times New Roman" w:cstheme="minorHAnsi"/>
          <w:spacing w:val="-2"/>
        </w:rPr>
        <w:t>g</w:t>
      </w:r>
      <w:r w:rsidRPr="00A54361">
        <w:rPr>
          <w:rFonts w:eastAsia="Times New Roman" w:cstheme="minorHAnsi"/>
          <w:spacing w:val="-1"/>
        </w:rPr>
        <w:t>e</w:t>
      </w:r>
      <w:r w:rsidRPr="00A54361">
        <w:rPr>
          <w:rFonts w:eastAsia="Times New Roman" w:cstheme="minorHAnsi"/>
          <w:spacing w:val="2"/>
        </w:rPr>
        <w:t>n</w:t>
      </w:r>
      <w:r w:rsidRPr="00A54361">
        <w:rPr>
          <w:rFonts w:eastAsia="Times New Roman" w:cstheme="minorHAnsi"/>
          <w:spacing w:val="4"/>
        </w:rPr>
        <w:t>c</w:t>
      </w:r>
      <w:r w:rsidRPr="00A54361">
        <w:rPr>
          <w:rFonts w:eastAsia="Times New Roman" w:cstheme="minorHAnsi"/>
        </w:rPr>
        <w:t>y</w:t>
      </w:r>
      <w:r w:rsidRPr="00A54361">
        <w:rPr>
          <w:rFonts w:eastAsia="Times New Roman" w:cstheme="minorHAnsi"/>
          <w:spacing w:val="-7"/>
        </w:rPr>
        <w:t xml:space="preserve"> </w:t>
      </w:r>
      <w:r w:rsidRPr="00A54361">
        <w:rPr>
          <w:rFonts w:eastAsia="Times New Roman" w:cstheme="minorHAnsi"/>
        </w:rPr>
        <w:t>us</w:t>
      </w:r>
      <w:r w:rsidRPr="00A54361">
        <w:rPr>
          <w:rFonts w:eastAsia="Times New Roman" w:cstheme="minorHAnsi"/>
          <w:spacing w:val="-1"/>
        </w:rPr>
        <w:t>e</w:t>
      </w:r>
      <w:r w:rsidRPr="00A54361">
        <w:rPr>
          <w:rFonts w:eastAsia="Times New Roman" w:cstheme="minorHAnsi"/>
        </w:rPr>
        <w:t>s in</w:t>
      </w:r>
      <w:r w:rsidRPr="00A54361">
        <w:rPr>
          <w:rFonts w:eastAsia="Times New Roman" w:cstheme="minorHAnsi"/>
          <w:spacing w:val="1"/>
        </w:rPr>
        <w:t>t</w:t>
      </w:r>
      <w:r w:rsidRPr="00A54361">
        <w:rPr>
          <w:rFonts w:eastAsia="Times New Roman" w:cstheme="minorHAnsi"/>
        </w:rPr>
        <w:t>i</w:t>
      </w:r>
      <w:r w:rsidRPr="00A54361">
        <w:rPr>
          <w:rFonts w:eastAsia="Times New Roman" w:cstheme="minorHAnsi"/>
          <w:spacing w:val="1"/>
        </w:rPr>
        <w:t>m</w:t>
      </w:r>
      <w:r w:rsidRPr="00A54361">
        <w:rPr>
          <w:rFonts w:eastAsia="Times New Roman" w:cstheme="minorHAnsi"/>
        </w:rPr>
        <w:t>idation</w:t>
      </w:r>
      <w:r w:rsidRPr="00A54361">
        <w:rPr>
          <w:rFonts w:eastAsia="Times New Roman" w:cstheme="minorHAnsi"/>
          <w:spacing w:val="-2"/>
        </w:rPr>
        <w:t xml:space="preserve"> </w:t>
      </w:r>
      <w:r w:rsidRPr="00A54361">
        <w:rPr>
          <w:rFonts w:eastAsia="Times New Roman" w:cstheme="minorHAnsi"/>
        </w:rPr>
        <w:t>/</w:t>
      </w:r>
      <w:r w:rsidRPr="00A54361">
        <w:rPr>
          <w:rFonts w:eastAsia="Times New Roman" w:cstheme="minorHAnsi"/>
          <w:spacing w:val="-2"/>
        </w:rPr>
        <w:t xml:space="preserve"> </w:t>
      </w:r>
      <w:r w:rsidRPr="00A54361">
        <w:rPr>
          <w:rFonts w:eastAsia="Times New Roman" w:cstheme="minorHAnsi"/>
        </w:rPr>
        <w:t>thr</w:t>
      </w:r>
      <w:r w:rsidRPr="00A54361">
        <w:rPr>
          <w:rFonts w:eastAsia="Times New Roman" w:cstheme="minorHAnsi"/>
          <w:spacing w:val="-1"/>
        </w:rPr>
        <w:t>ea</w:t>
      </w:r>
      <w:r w:rsidRPr="00A54361">
        <w:rPr>
          <w:rFonts w:eastAsia="Times New Roman" w:cstheme="minorHAnsi"/>
        </w:rPr>
        <w:t>tening</w:t>
      </w:r>
      <w:r w:rsidRPr="00A54361">
        <w:rPr>
          <w:rFonts w:eastAsia="Times New Roman" w:cstheme="minorHAnsi"/>
          <w:spacing w:val="-2"/>
        </w:rPr>
        <w:t xml:space="preserve"> </w:t>
      </w:r>
      <w:r w:rsidRPr="00A54361">
        <w:rPr>
          <w:rFonts w:eastAsia="Times New Roman" w:cstheme="minorHAnsi"/>
          <w:spacing w:val="2"/>
        </w:rPr>
        <w:t>o</w:t>
      </w:r>
      <w:r w:rsidRPr="00A54361">
        <w:rPr>
          <w:rFonts w:eastAsia="Times New Roman" w:cstheme="minorHAnsi"/>
        </w:rPr>
        <w:t>r</w:t>
      </w:r>
      <w:r w:rsidRPr="00A54361">
        <w:rPr>
          <w:rFonts w:eastAsia="Times New Roman" w:cstheme="minorHAnsi"/>
          <w:spacing w:val="-3"/>
        </w:rPr>
        <w:t xml:space="preserve"> </w:t>
      </w:r>
      <w:r w:rsidRPr="00A54361">
        <w:rPr>
          <w:rFonts w:eastAsia="Times New Roman" w:cstheme="minorHAnsi"/>
        </w:rPr>
        <w:t>bri</w:t>
      </w:r>
      <w:r w:rsidRPr="00A54361">
        <w:rPr>
          <w:rFonts w:eastAsia="Times New Roman" w:cstheme="minorHAnsi"/>
          <w:spacing w:val="2"/>
        </w:rPr>
        <w:t>n</w:t>
      </w:r>
      <w:r w:rsidRPr="00A54361">
        <w:rPr>
          <w:rFonts w:eastAsia="Times New Roman" w:cstheme="minorHAnsi"/>
          <w:spacing w:val="-2"/>
        </w:rPr>
        <w:t>g</w:t>
      </w:r>
      <w:r w:rsidRPr="00A54361">
        <w:rPr>
          <w:rFonts w:eastAsia="Times New Roman" w:cstheme="minorHAnsi"/>
        </w:rPr>
        <w:t>s</w:t>
      </w:r>
      <w:r w:rsidRPr="00A54361">
        <w:rPr>
          <w:rFonts w:eastAsia="Times New Roman" w:cstheme="minorHAnsi"/>
          <w:spacing w:val="-2"/>
        </w:rPr>
        <w:t xml:space="preserve"> </w:t>
      </w:r>
      <w:r w:rsidRPr="00A54361">
        <w:rPr>
          <w:rFonts w:eastAsia="Times New Roman" w:cstheme="minorHAnsi"/>
        </w:rPr>
        <w:t>undue</w:t>
      </w:r>
      <w:r w:rsidRPr="00A54361">
        <w:rPr>
          <w:rFonts w:eastAsia="Times New Roman" w:cstheme="minorHAnsi"/>
          <w:spacing w:val="-1"/>
        </w:rPr>
        <w:t xml:space="preserve"> </w:t>
      </w:r>
      <w:r w:rsidRPr="00A54361">
        <w:rPr>
          <w:rFonts w:eastAsia="Times New Roman" w:cstheme="minorHAnsi"/>
        </w:rPr>
        <w:t>outs</w:t>
      </w:r>
      <w:r w:rsidRPr="00A54361">
        <w:rPr>
          <w:rFonts w:eastAsia="Times New Roman" w:cstheme="minorHAnsi"/>
          <w:spacing w:val="1"/>
        </w:rPr>
        <w:t>i</w:t>
      </w:r>
      <w:r w:rsidRPr="00A54361">
        <w:rPr>
          <w:rFonts w:eastAsia="Times New Roman" w:cstheme="minorHAnsi"/>
        </w:rPr>
        <w:t>de</w:t>
      </w:r>
      <w:r w:rsidRPr="00A54361">
        <w:rPr>
          <w:rFonts w:eastAsia="Times New Roman" w:cstheme="minorHAnsi"/>
          <w:spacing w:val="-3"/>
        </w:rPr>
        <w:t xml:space="preserve"> </w:t>
      </w:r>
      <w:r w:rsidRPr="00A54361">
        <w:rPr>
          <w:rFonts w:eastAsia="Times New Roman" w:cstheme="minorHAnsi"/>
        </w:rPr>
        <w:t>p</w:t>
      </w:r>
      <w:r w:rsidRPr="00A54361">
        <w:rPr>
          <w:rFonts w:eastAsia="Times New Roman" w:cstheme="minorHAnsi"/>
          <w:spacing w:val="1"/>
        </w:rPr>
        <w:t>r</w:t>
      </w:r>
      <w:r w:rsidRPr="00A54361">
        <w:rPr>
          <w:rFonts w:eastAsia="Times New Roman" w:cstheme="minorHAnsi"/>
          <w:spacing w:val="-1"/>
        </w:rPr>
        <w:t>e</w:t>
      </w:r>
      <w:r w:rsidRPr="00A54361">
        <w:rPr>
          <w:rFonts w:eastAsia="Times New Roman" w:cstheme="minorHAnsi"/>
        </w:rPr>
        <w:t>ssure</w:t>
      </w:r>
      <w:r w:rsidRPr="00A54361">
        <w:rPr>
          <w:rFonts w:eastAsia="Times New Roman" w:cstheme="minorHAnsi"/>
          <w:spacing w:val="-4"/>
        </w:rPr>
        <w:t xml:space="preserve"> </w:t>
      </w:r>
      <w:r w:rsidRPr="00A54361">
        <w:rPr>
          <w:rFonts w:eastAsia="Times New Roman" w:cstheme="minorHAnsi"/>
        </w:rPr>
        <w:t xml:space="preserve">on the </w:t>
      </w:r>
      <w:r w:rsidRPr="00A54361">
        <w:rPr>
          <w:rFonts w:eastAsia="Times New Roman" w:cstheme="minorHAnsi"/>
          <w:spacing w:val="-2"/>
        </w:rPr>
        <w:t>B</w:t>
      </w:r>
      <w:r w:rsidRPr="00A54361">
        <w:rPr>
          <w:rFonts w:eastAsia="Times New Roman" w:cstheme="minorHAnsi"/>
          <w:spacing w:val="-1"/>
        </w:rPr>
        <w:t>a</w:t>
      </w:r>
      <w:r w:rsidRPr="00A54361">
        <w:rPr>
          <w:rFonts w:eastAsia="Times New Roman" w:cstheme="minorHAnsi"/>
        </w:rPr>
        <w:t>nk (CE</w:t>
      </w:r>
      <w:r w:rsidRPr="00A54361">
        <w:rPr>
          <w:rFonts w:eastAsia="Times New Roman" w:cstheme="minorHAnsi"/>
          <w:spacing w:val="-1"/>
        </w:rPr>
        <w:t>N</w:t>
      </w:r>
      <w:r w:rsidRPr="00A54361">
        <w:rPr>
          <w:rFonts w:eastAsia="Times New Roman" w:cstheme="minorHAnsi"/>
        </w:rPr>
        <w:t>TR</w:t>
      </w:r>
      <w:r w:rsidRPr="00A54361">
        <w:rPr>
          <w:rFonts w:eastAsia="Times New Roman" w:cstheme="minorHAnsi"/>
          <w:spacing w:val="2"/>
        </w:rPr>
        <w:t>A</w:t>
      </w:r>
      <w:r w:rsidRPr="00A54361">
        <w:rPr>
          <w:rFonts w:eastAsia="Times New Roman" w:cstheme="minorHAnsi"/>
        </w:rPr>
        <w:t>L BA</w:t>
      </w:r>
      <w:r w:rsidRPr="00A54361">
        <w:rPr>
          <w:rFonts w:eastAsia="Times New Roman" w:cstheme="minorHAnsi"/>
          <w:spacing w:val="-1"/>
        </w:rPr>
        <w:t>N</w:t>
      </w:r>
      <w:r w:rsidRPr="00A54361">
        <w:rPr>
          <w:rFonts w:eastAsia="Times New Roman" w:cstheme="minorHAnsi"/>
        </w:rPr>
        <w:t>K</w:t>
      </w:r>
      <w:r w:rsidRPr="00A54361">
        <w:rPr>
          <w:rFonts w:eastAsia="Times New Roman" w:cstheme="minorHAnsi"/>
          <w:spacing w:val="5"/>
        </w:rPr>
        <w:t xml:space="preserve"> </w:t>
      </w:r>
      <w:r w:rsidRPr="00A54361">
        <w:rPr>
          <w:rFonts w:eastAsia="Times New Roman" w:cstheme="minorHAnsi"/>
        </w:rPr>
        <w:t>OF</w:t>
      </w:r>
      <w:r w:rsidRPr="00A54361">
        <w:rPr>
          <w:rFonts w:eastAsia="Times New Roman" w:cstheme="minorHAnsi"/>
          <w:spacing w:val="3"/>
        </w:rPr>
        <w:t xml:space="preserve"> </w:t>
      </w:r>
      <w:r w:rsidRPr="00A54361">
        <w:rPr>
          <w:rFonts w:eastAsia="Times New Roman" w:cstheme="minorHAnsi"/>
          <w:spacing w:val="-3"/>
        </w:rPr>
        <w:t>I</w:t>
      </w:r>
      <w:r w:rsidRPr="00A54361">
        <w:rPr>
          <w:rFonts w:eastAsia="Times New Roman" w:cstheme="minorHAnsi"/>
          <w:spacing w:val="2"/>
        </w:rPr>
        <w:t>ND</w:t>
      </w:r>
      <w:r w:rsidRPr="00A54361">
        <w:rPr>
          <w:rFonts w:eastAsia="Times New Roman" w:cstheme="minorHAnsi"/>
          <w:spacing w:val="-3"/>
        </w:rPr>
        <w:t>I</w:t>
      </w:r>
      <w:r w:rsidRPr="00A54361">
        <w:rPr>
          <w:rFonts w:eastAsia="Times New Roman" w:cstheme="minorHAnsi"/>
          <w:spacing w:val="2"/>
        </w:rPr>
        <w:t>A</w:t>
      </w:r>
      <w:r w:rsidRPr="00A54361">
        <w:rPr>
          <w:rFonts w:eastAsia="Times New Roman" w:cstheme="minorHAnsi"/>
        </w:rPr>
        <w:t>)</w:t>
      </w:r>
      <w:r w:rsidRPr="00A54361">
        <w:rPr>
          <w:rFonts w:eastAsia="Times New Roman" w:cstheme="minorHAnsi"/>
          <w:spacing w:val="2"/>
        </w:rPr>
        <w:t xml:space="preserve"> </w:t>
      </w:r>
      <w:r w:rsidRPr="00A54361">
        <w:rPr>
          <w:rFonts w:eastAsia="Times New Roman" w:cstheme="minorHAnsi"/>
        </w:rPr>
        <w:t>or</w:t>
      </w:r>
      <w:r w:rsidRPr="00A54361">
        <w:rPr>
          <w:rFonts w:eastAsia="Times New Roman" w:cstheme="minorHAnsi"/>
          <w:spacing w:val="2"/>
        </w:rPr>
        <w:t xml:space="preserve"> </w:t>
      </w:r>
      <w:r w:rsidRPr="00A54361">
        <w:rPr>
          <w:rFonts w:eastAsia="Times New Roman" w:cstheme="minorHAnsi"/>
        </w:rPr>
        <w:t>i</w:t>
      </w:r>
      <w:r w:rsidRPr="00A54361">
        <w:rPr>
          <w:rFonts w:eastAsia="Times New Roman" w:cstheme="minorHAnsi"/>
          <w:spacing w:val="1"/>
        </w:rPr>
        <w:t>t</w:t>
      </w:r>
      <w:r w:rsidRPr="00A54361">
        <w:rPr>
          <w:rFonts w:eastAsia="Times New Roman" w:cstheme="minorHAnsi"/>
        </w:rPr>
        <w:t>s</w:t>
      </w:r>
      <w:r w:rsidRPr="00A54361">
        <w:rPr>
          <w:rFonts w:eastAsia="Times New Roman" w:cstheme="minorHAnsi"/>
          <w:spacing w:val="3"/>
        </w:rPr>
        <w:t xml:space="preserve"> </w:t>
      </w:r>
      <w:r w:rsidRPr="00A54361">
        <w:rPr>
          <w:rFonts w:eastAsia="Times New Roman" w:cstheme="minorHAnsi"/>
        </w:rPr>
        <w:t>o</w:t>
      </w:r>
      <w:r w:rsidRPr="00A54361">
        <w:rPr>
          <w:rFonts w:eastAsia="Times New Roman" w:cstheme="minorHAnsi"/>
          <w:spacing w:val="1"/>
        </w:rPr>
        <w:t>f</w:t>
      </w:r>
      <w:r w:rsidRPr="00A54361">
        <w:rPr>
          <w:rFonts w:eastAsia="Times New Roman" w:cstheme="minorHAnsi"/>
        </w:rPr>
        <w:t>fi</w:t>
      </w:r>
      <w:r w:rsidRPr="00A54361">
        <w:rPr>
          <w:rFonts w:eastAsia="Times New Roman" w:cstheme="minorHAnsi"/>
          <w:spacing w:val="-1"/>
        </w:rPr>
        <w:t>c</w:t>
      </w:r>
      <w:r w:rsidRPr="00A54361">
        <w:rPr>
          <w:rFonts w:eastAsia="Times New Roman" w:cstheme="minorHAnsi"/>
        </w:rPr>
        <w:t>ial</w:t>
      </w:r>
      <w:r w:rsidRPr="00A54361">
        <w:rPr>
          <w:rFonts w:eastAsia="Times New Roman" w:cstheme="minorHAnsi"/>
          <w:spacing w:val="3"/>
        </w:rPr>
        <w:t xml:space="preserve"> </w:t>
      </w:r>
      <w:r w:rsidRPr="00A54361">
        <w:rPr>
          <w:rFonts w:eastAsia="Times New Roman" w:cstheme="minorHAnsi"/>
        </w:rPr>
        <w:t>in</w:t>
      </w:r>
      <w:r w:rsidRPr="00A54361">
        <w:rPr>
          <w:rFonts w:eastAsia="Times New Roman" w:cstheme="minorHAnsi"/>
          <w:spacing w:val="10"/>
        </w:rPr>
        <w:t xml:space="preserve"> </w:t>
      </w:r>
      <w:r w:rsidRPr="00A54361">
        <w:rPr>
          <w:rFonts w:eastAsia="Times New Roman" w:cstheme="minorHAnsi"/>
          <w:spacing w:val="-1"/>
        </w:rPr>
        <w:t>ac</w:t>
      </w:r>
      <w:r w:rsidRPr="00A54361">
        <w:rPr>
          <w:rFonts w:eastAsia="Times New Roman" w:cstheme="minorHAnsi"/>
          <w:spacing w:val="1"/>
        </w:rPr>
        <w:t>c</w:t>
      </w:r>
      <w:r w:rsidRPr="00A54361">
        <w:rPr>
          <w:rFonts w:eastAsia="Times New Roman" w:cstheme="minorHAnsi"/>
          <w:spacing w:val="-1"/>
        </w:rPr>
        <w:t>e</w:t>
      </w:r>
      <w:r w:rsidRPr="00A54361">
        <w:rPr>
          <w:rFonts w:eastAsia="Times New Roman" w:cstheme="minorHAnsi"/>
        </w:rPr>
        <w:t>ptan</w:t>
      </w:r>
      <w:r w:rsidRPr="00A54361">
        <w:rPr>
          <w:rFonts w:eastAsia="Times New Roman" w:cstheme="minorHAnsi"/>
          <w:spacing w:val="1"/>
        </w:rPr>
        <w:t>c</w:t>
      </w:r>
      <w:r w:rsidRPr="00A54361">
        <w:rPr>
          <w:rFonts w:eastAsia="Times New Roman" w:cstheme="minorHAnsi"/>
        </w:rPr>
        <w:t>e</w:t>
      </w:r>
      <w:r w:rsidRPr="00A54361">
        <w:rPr>
          <w:rFonts w:eastAsia="Times New Roman" w:cstheme="minorHAnsi"/>
          <w:spacing w:val="2"/>
        </w:rPr>
        <w:t xml:space="preserve"> </w:t>
      </w:r>
      <w:r w:rsidRPr="00A54361">
        <w:rPr>
          <w:rFonts w:eastAsia="Times New Roman" w:cstheme="minorHAnsi"/>
        </w:rPr>
        <w:t>/</w:t>
      </w:r>
      <w:r w:rsidRPr="00A54361">
        <w:rPr>
          <w:rFonts w:eastAsia="Times New Roman" w:cstheme="minorHAnsi"/>
          <w:spacing w:val="3"/>
        </w:rPr>
        <w:t xml:space="preserve"> </w:t>
      </w:r>
      <w:r w:rsidRPr="00A54361">
        <w:rPr>
          <w:rFonts w:eastAsia="Times New Roman" w:cstheme="minorHAnsi"/>
        </w:rPr>
        <w:t>p</w:t>
      </w:r>
      <w:r w:rsidRPr="00A54361">
        <w:rPr>
          <w:rFonts w:eastAsia="Times New Roman" w:cstheme="minorHAnsi"/>
          <w:spacing w:val="-1"/>
        </w:rPr>
        <w:t>e</w:t>
      </w:r>
      <w:r w:rsidRPr="00A54361">
        <w:rPr>
          <w:rFonts w:eastAsia="Times New Roman" w:cstheme="minorHAnsi"/>
          <w:spacing w:val="1"/>
        </w:rPr>
        <w:t>r</w:t>
      </w:r>
      <w:r w:rsidRPr="00A54361">
        <w:rPr>
          <w:rFonts w:eastAsia="Times New Roman" w:cstheme="minorHAnsi"/>
        </w:rPr>
        <w:t>fo</w:t>
      </w:r>
      <w:r w:rsidRPr="00A54361">
        <w:rPr>
          <w:rFonts w:eastAsia="Times New Roman" w:cstheme="minorHAnsi"/>
          <w:spacing w:val="-1"/>
        </w:rPr>
        <w:t>r</w:t>
      </w:r>
      <w:r w:rsidRPr="00A54361">
        <w:rPr>
          <w:rFonts w:eastAsia="Times New Roman" w:cstheme="minorHAnsi"/>
        </w:rPr>
        <w:t>ma</w:t>
      </w:r>
      <w:r w:rsidRPr="00A54361">
        <w:rPr>
          <w:rFonts w:eastAsia="Times New Roman" w:cstheme="minorHAnsi"/>
          <w:spacing w:val="2"/>
        </w:rPr>
        <w:t>n</w:t>
      </w:r>
      <w:r w:rsidRPr="00A54361">
        <w:rPr>
          <w:rFonts w:eastAsia="Times New Roman" w:cstheme="minorHAnsi"/>
          <w:spacing w:val="1"/>
        </w:rPr>
        <w:t>c</w:t>
      </w:r>
      <w:r w:rsidRPr="00A54361">
        <w:rPr>
          <w:rFonts w:eastAsia="Times New Roman" w:cstheme="minorHAnsi"/>
          <w:spacing w:val="-1"/>
        </w:rPr>
        <w:t>e</w:t>
      </w:r>
      <w:r w:rsidRPr="00A54361">
        <w:rPr>
          <w:rFonts w:eastAsia="Times New Roman" w:cstheme="minorHAnsi"/>
        </w:rPr>
        <w:t>s</w:t>
      </w:r>
      <w:r w:rsidRPr="00A54361">
        <w:rPr>
          <w:rFonts w:eastAsia="Times New Roman" w:cstheme="minorHAnsi"/>
          <w:spacing w:val="3"/>
        </w:rPr>
        <w:t xml:space="preserve"> </w:t>
      </w:r>
      <w:r w:rsidRPr="00A54361">
        <w:rPr>
          <w:rFonts w:eastAsia="Times New Roman" w:cstheme="minorHAnsi"/>
        </w:rPr>
        <w:t>of</w:t>
      </w:r>
      <w:r w:rsidRPr="00A54361">
        <w:rPr>
          <w:rFonts w:eastAsia="Times New Roman" w:cstheme="minorHAnsi"/>
          <w:spacing w:val="2"/>
        </w:rPr>
        <w:t xml:space="preserve"> </w:t>
      </w:r>
      <w:r w:rsidRPr="00A54361">
        <w:rPr>
          <w:rFonts w:eastAsia="Times New Roman" w:cstheme="minorHAnsi"/>
        </w:rPr>
        <w:t>the</w:t>
      </w:r>
      <w:r w:rsidRPr="00A54361">
        <w:rPr>
          <w:rFonts w:eastAsia="Times New Roman" w:cstheme="minorHAnsi"/>
          <w:spacing w:val="4"/>
        </w:rPr>
        <w:t xml:space="preserve"> </w:t>
      </w:r>
      <w:r w:rsidRPr="00A54361">
        <w:rPr>
          <w:rFonts w:eastAsia="Times New Roman" w:cstheme="minorHAnsi"/>
        </w:rPr>
        <w:t>job</w:t>
      </w:r>
      <w:r w:rsidRPr="00A54361">
        <w:rPr>
          <w:rFonts w:eastAsia="Times New Roman" w:cstheme="minorHAnsi"/>
          <w:spacing w:val="3"/>
        </w:rPr>
        <w:t xml:space="preserve"> </w:t>
      </w:r>
      <w:r w:rsidRPr="00A54361">
        <w:rPr>
          <w:rFonts w:eastAsia="Times New Roman" w:cstheme="minorHAnsi"/>
        </w:rPr>
        <w:t>und</w:t>
      </w:r>
      <w:r w:rsidRPr="00A54361">
        <w:rPr>
          <w:rFonts w:eastAsia="Times New Roman" w:cstheme="minorHAnsi"/>
          <w:spacing w:val="-1"/>
        </w:rPr>
        <w:t>e</w:t>
      </w:r>
      <w:r w:rsidRPr="00A54361">
        <w:rPr>
          <w:rFonts w:eastAsia="Times New Roman" w:cstheme="minorHAnsi"/>
        </w:rPr>
        <w:t xml:space="preserve">r the </w:t>
      </w:r>
      <w:r w:rsidRPr="00A54361">
        <w:rPr>
          <w:rFonts w:eastAsia="Times New Roman" w:cstheme="minorHAnsi"/>
          <w:spacing w:val="-1"/>
        </w:rPr>
        <w:t>c</w:t>
      </w:r>
      <w:r w:rsidRPr="00A54361">
        <w:rPr>
          <w:rFonts w:eastAsia="Times New Roman" w:cstheme="minorHAnsi"/>
        </w:rPr>
        <w:t>ontr</w:t>
      </w:r>
      <w:r w:rsidRPr="00A54361">
        <w:rPr>
          <w:rFonts w:eastAsia="Times New Roman" w:cstheme="minorHAnsi"/>
          <w:spacing w:val="-1"/>
        </w:rPr>
        <w:t>ac</w:t>
      </w:r>
      <w:r w:rsidRPr="00A54361">
        <w:rPr>
          <w:rFonts w:eastAsia="Times New Roman" w:cstheme="minorHAnsi"/>
        </w:rPr>
        <w:t>t;</w:t>
      </w:r>
    </w:p>
    <w:p w14:paraId="0F0F1E07" w14:textId="77777777" w:rsidR="0054549F" w:rsidRPr="00A54361" w:rsidRDefault="0054549F" w:rsidP="00A54361">
      <w:pPr>
        <w:spacing w:line="260" w:lineRule="exact"/>
        <w:ind w:right="82"/>
        <w:jc w:val="both"/>
        <w:rPr>
          <w:rFonts w:cstheme="minorHAnsi"/>
        </w:rPr>
      </w:pPr>
      <w:r w:rsidRPr="00A54361">
        <w:rPr>
          <w:rFonts w:eastAsia="Times New Roman" w:cstheme="minorHAnsi"/>
        </w:rPr>
        <w:t>6.9</w:t>
      </w:r>
      <w:r w:rsidRPr="00A54361">
        <w:rPr>
          <w:rFonts w:eastAsia="Times New Roman" w:cstheme="minorHAnsi"/>
          <w:spacing w:val="-7"/>
        </w:rPr>
        <w:t xml:space="preserve"> </w:t>
      </w:r>
      <w:r w:rsidRPr="00A54361">
        <w:rPr>
          <w:rFonts w:eastAsia="Times New Roman" w:cstheme="minorHAnsi"/>
          <w:spacing w:val="-3"/>
        </w:rPr>
        <w:t>I</w:t>
      </w:r>
      <w:r w:rsidRPr="00A54361">
        <w:rPr>
          <w:rFonts w:eastAsia="Times New Roman" w:cstheme="minorHAnsi"/>
        </w:rPr>
        <w:t>f</w:t>
      </w:r>
      <w:r w:rsidRPr="00A54361">
        <w:rPr>
          <w:rFonts w:eastAsia="Times New Roman" w:cstheme="minorHAnsi"/>
          <w:spacing w:val="-10"/>
        </w:rPr>
        <w:t xml:space="preserve"> </w:t>
      </w:r>
      <w:r w:rsidRPr="00A54361">
        <w:rPr>
          <w:rFonts w:eastAsia="Times New Roman" w:cstheme="minorHAnsi"/>
        </w:rPr>
        <w:t>the</w:t>
      </w:r>
      <w:r w:rsidRPr="00A54361">
        <w:rPr>
          <w:rFonts w:eastAsia="Times New Roman" w:cstheme="minorHAnsi"/>
          <w:spacing w:val="-10"/>
        </w:rPr>
        <w:t xml:space="preserve"> </w:t>
      </w:r>
      <w:r w:rsidRPr="00A54361">
        <w:rPr>
          <w:rFonts w:eastAsia="Times New Roman" w:cstheme="minorHAnsi"/>
          <w:spacing w:val="2"/>
        </w:rPr>
        <w:t>A</w:t>
      </w:r>
      <w:r w:rsidRPr="00A54361">
        <w:rPr>
          <w:rFonts w:eastAsia="Times New Roman" w:cstheme="minorHAnsi"/>
        </w:rPr>
        <w:t>g</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4"/>
        </w:rPr>
        <w:t>c</w:t>
      </w:r>
      <w:r w:rsidRPr="00A54361">
        <w:rPr>
          <w:rFonts w:eastAsia="Times New Roman" w:cstheme="minorHAnsi"/>
        </w:rPr>
        <w:t>y</w:t>
      </w:r>
      <w:r w:rsidRPr="00A54361">
        <w:rPr>
          <w:rFonts w:eastAsia="Times New Roman" w:cstheme="minorHAnsi"/>
          <w:spacing w:val="-14"/>
        </w:rPr>
        <w:t xml:space="preserve"> </w:t>
      </w:r>
      <w:r w:rsidRPr="00A54361">
        <w:rPr>
          <w:rFonts w:eastAsia="Times New Roman" w:cstheme="minorHAnsi"/>
        </w:rPr>
        <w:t>indu</w:t>
      </w:r>
      <w:r w:rsidRPr="00A54361">
        <w:rPr>
          <w:rFonts w:eastAsia="Times New Roman" w:cstheme="minorHAnsi"/>
          <w:spacing w:val="3"/>
        </w:rPr>
        <w:t>l</w:t>
      </w:r>
      <w:r w:rsidRPr="00A54361">
        <w:rPr>
          <w:rFonts w:eastAsia="Times New Roman" w:cstheme="minorHAnsi"/>
          <w:spacing w:val="-2"/>
        </w:rPr>
        <w:t>g</w:t>
      </w:r>
      <w:r w:rsidRPr="00A54361">
        <w:rPr>
          <w:rFonts w:eastAsia="Times New Roman" w:cstheme="minorHAnsi"/>
          <w:spacing w:val="1"/>
        </w:rPr>
        <w:t>e</w:t>
      </w:r>
      <w:r w:rsidRPr="00A54361">
        <w:rPr>
          <w:rFonts w:eastAsia="Times New Roman" w:cstheme="minorHAnsi"/>
        </w:rPr>
        <w:t>s</w:t>
      </w:r>
      <w:r w:rsidRPr="00A54361">
        <w:rPr>
          <w:rFonts w:eastAsia="Times New Roman" w:cstheme="minorHAnsi"/>
          <w:spacing w:val="-9"/>
        </w:rPr>
        <w:t xml:space="preserve"> </w:t>
      </w:r>
      <w:r w:rsidRPr="00A54361">
        <w:rPr>
          <w:rFonts w:eastAsia="Times New Roman" w:cstheme="minorHAnsi"/>
        </w:rPr>
        <w:t>in</w:t>
      </w:r>
      <w:r w:rsidRPr="00A54361">
        <w:rPr>
          <w:rFonts w:eastAsia="Times New Roman" w:cstheme="minorHAnsi"/>
          <w:spacing w:val="-9"/>
        </w:rPr>
        <w:t xml:space="preserve"> </w:t>
      </w:r>
      <w:r w:rsidRPr="00A54361">
        <w:rPr>
          <w:rFonts w:eastAsia="Times New Roman" w:cstheme="minorHAnsi"/>
        </w:rPr>
        <w:t>r</w:t>
      </w:r>
      <w:r w:rsidRPr="00A54361">
        <w:rPr>
          <w:rFonts w:eastAsia="Times New Roman" w:cstheme="minorHAnsi"/>
          <w:spacing w:val="-2"/>
        </w:rPr>
        <w:t>e</w:t>
      </w:r>
      <w:r w:rsidRPr="00A54361">
        <w:rPr>
          <w:rFonts w:eastAsia="Times New Roman" w:cstheme="minorHAnsi"/>
        </w:rPr>
        <w:t>p</w:t>
      </w:r>
      <w:r w:rsidRPr="00A54361">
        <w:rPr>
          <w:rFonts w:eastAsia="Times New Roman" w:cstheme="minorHAnsi"/>
          <w:spacing w:val="-1"/>
        </w:rPr>
        <w:t>ea</w:t>
      </w:r>
      <w:r w:rsidRPr="00A54361">
        <w:rPr>
          <w:rFonts w:eastAsia="Times New Roman" w:cstheme="minorHAnsi"/>
          <w:spacing w:val="3"/>
        </w:rPr>
        <w:t>t</w:t>
      </w:r>
      <w:r w:rsidRPr="00A54361">
        <w:rPr>
          <w:rFonts w:eastAsia="Times New Roman" w:cstheme="minorHAnsi"/>
          <w:spacing w:val="-1"/>
        </w:rPr>
        <w:t>e</w:t>
      </w:r>
      <w:r w:rsidRPr="00A54361">
        <w:rPr>
          <w:rFonts w:eastAsia="Times New Roman" w:cstheme="minorHAnsi"/>
        </w:rPr>
        <w:t>d</w:t>
      </w:r>
      <w:r w:rsidRPr="00A54361">
        <w:rPr>
          <w:rFonts w:eastAsia="Times New Roman" w:cstheme="minorHAnsi"/>
          <w:spacing w:val="-10"/>
        </w:rPr>
        <w:t xml:space="preserve"> </w:t>
      </w:r>
      <w:r w:rsidRPr="00A54361">
        <w:rPr>
          <w:rFonts w:eastAsia="Times New Roman" w:cstheme="minorHAnsi"/>
          <w:spacing w:val="-1"/>
        </w:rPr>
        <w:t>a</w:t>
      </w:r>
      <w:r w:rsidRPr="00A54361">
        <w:rPr>
          <w:rFonts w:eastAsia="Times New Roman" w:cstheme="minorHAnsi"/>
        </w:rPr>
        <w:t>nd</w:t>
      </w:r>
      <w:r w:rsidRPr="00A54361">
        <w:rPr>
          <w:rFonts w:eastAsia="Times New Roman" w:cstheme="minorHAnsi"/>
          <w:spacing w:val="-10"/>
        </w:rPr>
        <w:t xml:space="preserve"> </w:t>
      </w:r>
      <w:r w:rsidRPr="00A54361">
        <w:rPr>
          <w:rFonts w:eastAsia="Times New Roman" w:cstheme="minorHAnsi"/>
        </w:rPr>
        <w:t>/</w:t>
      </w:r>
      <w:r w:rsidRPr="00A54361">
        <w:rPr>
          <w:rFonts w:eastAsia="Times New Roman" w:cstheme="minorHAnsi"/>
          <w:spacing w:val="-9"/>
        </w:rPr>
        <w:t xml:space="preserve"> </w:t>
      </w:r>
      <w:r w:rsidRPr="00A54361">
        <w:rPr>
          <w:rFonts w:eastAsia="Times New Roman" w:cstheme="minorHAnsi"/>
          <w:spacing w:val="2"/>
        </w:rPr>
        <w:t>o</w:t>
      </w:r>
      <w:r w:rsidRPr="00A54361">
        <w:rPr>
          <w:rFonts w:eastAsia="Times New Roman" w:cstheme="minorHAnsi"/>
        </w:rPr>
        <w:t>r</w:t>
      </w:r>
      <w:r w:rsidRPr="00A54361">
        <w:rPr>
          <w:rFonts w:eastAsia="Times New Roman" w:cstheme="minorHAnsi"/>
          <w:spacing w:val="-10"/>
        </w:rPr>
        <w:t xml:space="preserve"> </w:t>
      </w:r>
      <w:r w:rsidRPr="00A54361">
        <w:rPr>
          <w:rFonts w:eastAsia="Times New Roman" w:cstheme="minorHAnsi"/>
        </w:rPr>
        <w:t>d</w:t>
      </w:r>
      <w:r w:rsidRPr="00A54361">
        <w:rPr>
          <w:rFonts w:eastAsia="Times New Roman" w:cstheme="minorHAnsi"/>
          <w:spacing w:val="-1"/>
        </w:rPr>
        <w:t>e</w:t>
      </w:r>
      <w:r w:rsidRPr="00A54361">
        <w:rPr>
          <w:rFonts w:eastAsia="Times New Roman" w:cstheme="minorHAnsi"/>
        </w:rPr>
        <w:t>l</w:t>
      </w:r>
      <w:r w:rsidRPr="00A54361">
        <w:rPr>
          <w:rFonts w:eastAsia="Times New Roman" w:cstheme="minorHAnsi"/>
          <w:spacing w:val="3"/>
        </w:rPr>
        <w:t>i</w:t>
      </w:r>
      <w:r w:rsidRPr="00A54361">
        <w:rPr>
          <w:rFonts w:eastAsia="Times New Roman" w:cstheme="minorHAnsi"/>
        </w:rPr>
        <w:t>b</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2"/>
        </w:rPr>
        <w:t>a</w:t>
      </w:r>
      <w:r w:rsidRPr="00A54361">
        <w:rPr>
          <w:rFonts w:eastAsia="Times New Roman" w:cstheme="minorHAnsi"/>
        </w:rPr>
        <w:t>te</w:t>
      </w:r>
      <w:r w:rsidRPr="00A54361">
        <w:rPr>
          <w:rFonts w:eastAsia="Times New Roman" w:cstheme="minorHAnsi"/>
          <w:spacing w:val="-10"/>
        </w:rPr>
        <w:t xml:space="preserve"> </w:t>
      </w:r>
      <w:r w:rsidRPr="00A54361">
        <w:rPr>
          <w:rFonts w:eastAsia="Times New Roman" w:cstheme="minorHAnsi"/>
        </w:rPr>
        <w:t>u</w:t>
      </w:r>
      <w:r w:rsidRPr="00A54361">
        <w:rPr>
          <w:rFonts w:eastAsia="Times New Roman" w:cstheme="minorHAnsi"/>
          <w:spacing w:val="2"/>
        </w:rPr>
        <w:t>s</w:t>
      </w:r>
      <w:r w:rsidRPr="00A54361">
        <w:rPr>
          <w:rFonts w:eastAsia="Times New Roman" w:cstheme="minorHAnsi"/>
        </w:rPr>
        <w:t>e</w:t>
      </w:r>
      <w:r w:rsidRPr="00A54361">
        <w:rPr>
          <w:rFonts w:eastAsia="Times New Roman" w:cstheme="minorHAnsi"/>
          <w:spacing w:val="-11"/>
        </w:rPr>
        <w:t xml:space="preserve"> </w:t>
      </w:r>
      <w:r w:rsidRPr="00A54361">
        <w:rPr>
          <w:rFonts w:eastAsia="Times New Roman" w:cstheme="minorHAnsi"/>
        </w:rPr>
        <w:t>of</w:t>
      </w:r>
      <w:r w:rsidRPr="00A54361">
        <w:rPr>
          <w:rFonts w:eastAsia="Times New Roman" w:cstheme="minorHAnsi"/>
          <w:spacing w:val="-10"/>
        </w:rPr>
        <w:t xml:space="preserve"> </w:t>
      </w:r>
      <w:r w:rsidRPr="00A54361">
        <w:rPr>
          <w:rFonts w:eastAsia="Times New Roman" w:cstheme="minorHAnsi"/>
          <w:spacing w:val="2"/>
        </w:rPr>
        <w:t>d</w:t>
      </w:r>
      <w:r w:rsidRPr="00A54361">
        <w:rPr>
          <w:rFonts w:eastAsia="Times New Roman" w:cstheme="minorHAnsi"/>
          <w:spacing w:val="-1"/>
        </w:rPr>
        <w:t>e</w:t>
      </w:r>
      <w:r w:rsidRPr="00A54361">
        <w:rPr>
          <w:rFonts w:eastAsia="Times New Roman" w:cstheme="minorHAnsi"/>
        </w:rPr>
        <w:t>l</w:t>
      </w:r>
      <w:r w:rsidRPr="00A54361">
        <w:rPr>
          <w:rFonts w:eastAsia="Times New Roman" w:cstheme="minorHAnsi"/>
          <w:spacing w:val="4"/>
        </w:rPr>
        <w:t>a</w:t>
      </w:r>
      <w:r w:rsidRPr="00A54361">
        <w:rPr>
          <w:rFonts w:eastAsia="Times New Roman" w:cstheme="minorHAnsi"/>
        </w:rPr>
        <w:t>y</w:t>
      </w:r>
      <w:r w:rsidRPr="00A54361">
        <w:rPr>
          <w:rFonts w:eastAsia="Times New Roman" w:cstheme="minorHAnsi"/>
          <w:spacing w:val="-14"/>
        </w:rPr>
        <w:t xml:space="preserve"> </w:t>
      </w:r>
      <w:r w:rsidRPr="00A54361">
        <w:rPr>
          <w:rFonts w:eastAsia="Times New Roman" w:cstheme="minorHAnsi"/>
        </w:rPr>
        <w:t>t</w:t>
      </w:r>
      <w:r w:rsidRPr="00A54361">
        <w:rPr>
          <w:rFonts w:eastAsia="Times New Roman" w:cstheme="minorHAnsi"/>
          <w:spacing w:val="2"/>
        </w:rPr>
        <w:t>a</w:t>
      </w:r>
      <w:r w:rsidRPr="00A54361">
        <w:rPr>
          <w:rFonts w:eastAsia="Times New Roman" w:cstheme="minorHAnsi"/>
          <w:spacing w:val="-1"/>
        </w:rPr>
        <w:t>c</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spacing w:val="-1"/>
        </w:rPr>
        <w:t>c</w:t>
      </w:r>
      <w:r w:rsidRPr="00A54361">
        <w:rPr>
          <w:rFonts w:eastAsia="Times New Roman" w:cstheme="minorHAnsi"/>
        </w:rPr>
        <w:t>s</w:t>
      </w:r>
      <w:r w:rsidRPr="00A54361">
        <w:rPr>
          <w:rFonts w:eastAsia="Times New Roman" w:cstheme="minorHAnsi"/>
          <w:spacing w:val="-7"/>
        </w:rPr>
        <w:t xml:space="preserve"> </w:t>
      </w:r>
      <w:r w:rsidRPr="00A54361">
        <w:rPr>
          <w:rFonts w:eastAsia="Times New Roman" w:cstheme="minorHAnsi"/>
        </w:rPr>
        <w:t>in</w:t>
      </w:r>
      <w:r w:rsidRPr="00A54361">
        <w:rPr>
          <w:rFonts w:eastAsia="Times New Roman" w:cstheme="minorHAnsi"/>
          <w:spacing w:val="-9"/>
        </w:rPr>
        <w:t xml:space="preserve"> </w:t>
      </w:r>
      <w:r w:rsidRPr="00A54361">
        <w:rPr>
          <w:rFonts w:eastAsia="Times New Roman" w:cstheme="minorHAnsi"/>
          <w:spacing w:val="-1"/>
        </w:rPr>
        <w:t>c</w:t>
      </w:r>
      <w:r w:rsidRPr="00A54361">
        <w:rPr>
          <w:rFonts w:eastAsia="Times New Roman" w:cstheme="minorHAnsi"/>
        </w:rPr>
        <w:t>omp</w:t>
      </w:r>
      <w:r w:rsidRPr="00A54361">
        <w:rPr>
          <w:rFonts w:eastAsia="Times New Roman" w:cstheme="minorHAnsi"/>
          <w:spacing w:val="3"/>
        </w:rPr>
        <w:t>l</w:t>
      </w:r>
      <w:r w:rsidRPr="00A54361">
        <w:rPr>
          <w:rFonts w:eastAsia="Times New Roman" w:cstheme="minorHAnsi"/>
          <w:spacing w:val="-5"/>
        </w:rPr>
        <w:t>y</w:t>
      </w:r>
      <w:r w:rsidRPr="00A54361">
        <w:rPr>
          <w:rFonts w:eastAsia="Times New Roman" w:cstheme="minorHAnsi"/>
        </w:rPr>
        <w:t>i</w:t>
      </w:r>
      <w:r w:rsidRPr="00A54361">
        <w:rPr>
          <w:rFonts w:eastAsia="Times New Roman" w:cstheme="minorHAnsi"/>
          <w:spacing w:val="3"/>
        </w:rPr>
        <w:t>n</w:t>
      </w:r>
      <w:r w:rsidRPr="00A54361">
        <w:rPr>
          <w:rFonts w:eastAsia="Times New Roman" w:cstheme="minorHAnsi"/>
        </w:rPr>
        <w:t>g</w:t>
      </w:r>
      <w:r w:rsidRPr="00A54361">
        <w:rPr>
          <w:rFonts w:eastAsia="Times New Roman" w:cstheme="minorHAnsi"/>
          <w:spacing w:val="-12"/>
        </w:rPr>
        <w:t xml:space="preserve"> </w:t>
      </w:r>
      <w:r w:rsidRPr="00A54361">
        <w:rPr>
          <w:rFonts w:eastAsia="Times New Roman" w:cstheme="minorHAnsi"/>
        </w:rPr>
        <w:t xml:space="preserve">with </w:t>
      </w:r>
      <w:r w:rsidRPr="00A54361">
        <w:rPr>
          <w:rFonts w:eastAsia="Times New Roman" w:cstheme="minorHAnsi"/>
          <w:spacing w:val="-1"/>
        </w:rPr>
        <w:t>c</w:t>
      </w:r>
      <w:r w:rsidRPr="00A54361">
        <w:rPr>
          <w:rFonts w:eastAsia="Times New Roman" w:cstheme="minorHAnsi"/>
        </w:rPr>
        <w:t>ontr</w:t>
      </w:r>
      <w:r w:rsidRPr="00A54361">
        <w:rPr>
          <w:rFonts w:eastAsia="Times New Roman" w:cstheme="minorHAnsi"/>
          <w:spacing w:val="-1"/>
        </w:rPr>
        <w:t>ac</w:t>
      </w:r>
      <w:r w:rsidRPr="00A54361">
        <w:rPr>
          <w:rFonts w:eastAsia="Times New Roman" w:cstheme="minorHAnsi"/>
        </w:rPr>
        <w:t>tual stipu</w:t>
      </w:r>
      <w:r w:rsidRPr="00A54361">
        <w:rPr>
          <w:rFonts w:eastAsia="Times New Roman" w:cstheme="minorHAnsi"/>
          <w:spacing w:val="1"/>
        </w:rPr>
        <w:t>l</w:t>
      </w:r>
      <w:r w:rsidRPr="00A54361">
        <w:rPr>
          <w:rFonts w:eastAsia="Times New Roman" w:cstheme="minorHAnsi"/>
          <w:spacing w:val="-1"/>
        </w:rPr>
        <w:t>a</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ons;</w:t>
      </w:r>
    </w:p>
    <w:p w14:paraId="51FFA0B3" w14:textId="77777777" w:rsidR="0054549F" w:rsidRPr="00A54361" w:rsidRDefault="0054549F" w:rsidP="00A54361">
      <w:pPr>
        <w:spacing w:line="260" w:lineRule="exact"/>
        <w:ind w:right="79"/>
        <w:jc w:val="both"/>
        <w:rPr>
          <w:rFonts w:cstheme="minorHAnsi"/>
        </w:rPr>
      </w:pPr>
      <w:r w:rsidRPr="00A54361">
        <w:rPr>
          <w:rFonts w:eastAsia="Times New Roman" w:cstheme="minorHAnsi"/>
        </w:rPr>
        <w:t>6.10</w:t>
      </w:r>
      <w:r w:rsidRPr="00A54361">
        <w:rPr>
          <w:rFonts w:eastAsia="Times New Roman" w:cstheme="minorHAnsi"/>
          <w:spacing w:val="5"/>
        </w:rPr>
        <w:t xml:space="preserve"> </w:t>
      </w:r>
      <w:r w:rsidRPr="00A54361">
        <w:rPr>
          <w:rFonts w:eastAsia="Times New Roman" w:cstheme="minorHAnsi"/>
          <w:spacing w:val="1"/>
        </w:rPr>
        <w:t>W</w:t>
      </w:r>
      <w:r w:rsidRPr="00A54361">
        <w:rPr>
          <w:rFonts w:eastAsia="Times New Roman" w:cstheme="minorHAnsi"/>
        </w:rPr>
        <w:t>i</w:t>
      </w:r>
      <w:r w:rsidRPr="00A54361">
        <w:rPr>
          <w:rFonts w:eastAsia="Times New Roman" w:cstheme="minorHAnsi"/>
          <w:spacing w:val="1"/>
        </w:rPr>
        <w:t>l</w:t>
      </w:r>
      <w:r w:rsidRPr="00A54361">
        <w:rPr>
          <w:rFonts w:eastAsia="Times New Roman" w:cstheme="minorHAnsi"/>
        </w:rPr>
        <w:t>ful</w:t>
      </w:r>
      <w:r w:rsidRPr="00A54361">
        <w:rPr>
          <w:rFonts w:eastAsia="Times New Roman" w:cstheme="minorHAnsi"/>
          <w:spacing w:val="2"/>
        </w:rPr>
        <w:t xml:space="preserve"> </w:t>
      </w:r>
      <w:r w:rsidRPr="00A54361">
        <w:rPr>
          <w:rFonts w:eastAsia="Times New Roman" w:cstheme="minorHAnsi"/>
        </w:rPr>
        <w:t>indu</w:t>
      </w:r>
      <w:r w:rsidRPr="00A54361">
        <w:rPr>
          <w:rFonts w:eastAsia="Times New Roman" w:cstheme="minorHAnsi"/>
          <w:spacing w:val="1"/>
        </w:rPr>
        <w:t>l</w:t>
      </w:r>
      <w:r w:rsidRPr="00A54361">
        <w:rPr>
          <w:rFonts w:eastAsia="Times New Roman" w:cstheme="minorHAnsi"/>
          <w:spacing w:val="-2"/>
        </w:rPr>
        <w:t>g</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1"/>
        </w:rPr>
        <w:t>c</w:t>
      </w:r>
      <w:r w:rsidRPr="00A54361">
        <w:rPr>
          <w:rFonts w:eastAsia="Times New Roman" w:cstheme="minorHAnsi"/>
        </w:rPr>
        <w:t>e</w:t>
      </w:r>
      <w:r w:rsidRPr="00A54361">
        <w:rPr>
          <w:rFonts w:eastAsia="Times New Roman" w:cstheme="minorHAnsi"/>
          <w:spacing w:val="6"/>
        </w:rPr>
        <w:t xml:space="preserve"> </w:t>
      </w:r>
      <w:r w:rsidRPr="00A54361">
        <w:rPr>
          <w:rFonts w:eastAsia="Times New Roman" w:cstheme="minorHAnsi"/>
          <w:spacing w:val="2"/>
        </w:rPr>
        <w:t>b</w:t>
      </w:r>
      <w:r w:rsidRPr="00A54361">
        <w:rPr>
          <w:rFonts w:eastAsia="Times New Roman" w:cstheme="minorHAnsi"/>
        </w:rPr>
        <w:t>y the</w:t>
      </w:r>
      <w:r w:rsidRPr="00A54361">
        <w:rPr>
          <w:rFonts w:eastAsia="Times New Roman" w:cstheme="minorHAnsi"/>
          <w:spacing w:val="4"/>
        </w:rPr>
        <w:t xml:space="preserve"> </w:t>
      </w:r>
      <w:r w:rsidRPr="00A54361">
        <w:rPr>
          <w:rFonts w:eastAsia="Times New Roman" w:cstheme="minorHAnsi"/>
          <w:spacing w:val="2"/>
        </w:rPr>
        <w:t>A</w:t>
      </w:r>
      <w:r w:rsidRPr="00A54361">
        <w:rPr>
          <w:rFonts w:eastAsia="Times New Roman" w:cstheme="minorHAnsi"/>
          <w:spacing w:val="-2"/>
        </w:rPr>
        <w:t>g</w:t>
      </w:r>
      <w:r w:rsidRPr="00A54361">
        <w:rPr>
          <w:rFonts w:eastAsia="Times New Roman" w:cstheme="minorHAnsi"/>
          <w:spacing w:val="-1"/>
        </w:rPr>
        <w:t>e</w:t>
      </w:r>
      <w:r w:rsidRPr="00A54361">
        <w:rPr>
          <w:rFonts w:eastAsia="Times New Roman" w:cstheme="minorHAnsi"/>
          <w:spacing w:val="2"/>
        </w:rPr>
        <w:t>n</w:t>
      </w:r>
      <w:r w:rsidRPr="00A54361">
        <w:rPr>
          <w:rFonts w:eastAsia="Times New Roman" w:cstheme="minorHAnsi"/>
          <w:spacing w:val="4"/>
        </w:rPr>
        <w:t>c</w:t>
      </w:r>
      <w:r w:rsidRPr="00A54361">
        <w:rPr>
          <w:rFonts w:eastAsia="Times New Roman" w:cstheme="minorHAnsi"/>
        </w:rPr>
        <w:t>y in</w:t>
      </w:r>
      <w:r w:rsidRPr="00A54361">
        <w:rPr>
          <w:rFonts w:eastAsia="Times New Roman" w:cstheme="minorHAnsi"/>
          <w:spacing w:val="9"/>
        </w:rPr>
        <w:t xml:space="preserve"> </w:t>
      </w:r>
      <w:r w:rsidRPr="00A54361">
        <w:rPr>
          <w:rFonts w:eastAsia="Times New Roman" w:cstheme="minorHAnsi"/>
        </w:rPr>
        <w:t>suppl</w:t>
      </w:r>
      <w:r w:rsidRPr="00A54361">
        <w:rPr>
          <w:rFonts w:eastAsia="Times New Roman" w:cstheme="minorHAnsi"/>
          <w:spacing w:val="-5"/>
        </w:rPr>
        <w:t>y</w:t>
      </w:r>
      <w:r w:rsidRPr="00A54361">
        <w:rPr>
          <w:rFonts w:eastAsia="Times New Roman" w:cstheme="minorHAnsi"/>
          <w:spacing w:val="3"/>
        </w:rPr>
        <w:t>i</w:t>
      </w:r>
      <w:r w:rsidRPr="00A54361">
        <w:rPr>
          <w:rFonts w:eastAsia="Times New Roman" w:cstheme="minorHAnsi"/>
          <w:spacing w:val="2"/>
        </w:rPr>
        <w:t>n</w:t>
      </w:r>
      <w:r w:rsidRPr="00A54361">
        <w:rPr>
          <w:rFonts w:eastAsia="Times New Roman" w:cstheme="minorHAnsi"/>
        </w:rPr>
        <w:t>g</w:t>
      </w:r>
      <w:r w:rsidRPr="00A54361">
        <w:rPr>
          <w:rFonts w:eastAsia="Times New Roman" w:cstheme="minorHAnsi"/>
          <w:spacing w:val="2"/>
        </w:rPr>
        <w:t xml:space="preserve"> s</w:t>
      </w:r>
      <w:r w:rsidRPr="00A54361">
        <w:rPr>
          <w:rFonts w:eastAsia="Times New Roman" w:cstheme="minorHAnsi"/>
        </w:rPr>
        <w:t>ub</w:t>
      </w:r>
      <w:r w:rsidRPr="00A54361">
        <w:rPr>
          <w:rFonts w:eastAsia="Times New Roman" w:cstheme="minorHAnsi"/>
          <w:spacing w:val="-1"/>
        </w:rPr>
        <w:t>-</w:t>
      </w:r>
      <w:r w:rsidRPr="00A54361">
        <w:rPr>
          <w:rFonts w:eastAsia="Times New Roman" w:cstheme="minorHAnsi"/>
        </w:rPr>
        <w:t>stand</w:t>
      </w:r>
      <w:r w:rsidRPr="00A54361">
        <w:rPr>
          <w:rFonts w:eastAsia="Times New Roman" w:cstheme="minorHAnsi"/>
          <w:spacing w:val="1"/>
        </w:rPr>
        <w:t>a</w:t>
      </w:r>
      <w:r w:rsidRPr="00A54361">
        <w:rPr>
          <w:rFonts w:eastAsia="Times New Roman" w:cstheme="minorHAnsi"/>
        </w:rPr>
        <w:t>rd</w:t>
      </w:r>
      <w:r w:rsidRPr="00A54361">
        <w:rPr>
          <w:rFonts w:eastAsia="Times New Roman" w:cstheme="minorHAnsi"/>
          <w:spacing w:val="4"/>
        </w:rPr>
        <w:t xml:space="preserve"> </w:t>
      </w:r>
      <w:r w:rsidRPr="00A54361">
        <w:rPr>
          <w:rFonts w:eastAsia="Times New Roman" w:cstheme="minorHAnsi"/>
        </w:rPr>
        <w:t>mat</w:t>
      </w:r>
      <w:r w:rsidRPr="00A54361">
        <w:rPr>
          <w:rFonts w:eastAsia="Times New Roman" w:cstheme="minorHAnsi"/>
          <w:spacing w:val="-1"/>
        </w:rPr>
        <w:t>e</w:t>
      </w:r>
      <w:r w:rsidRPr="00A54361">
        <w:rPr>
          <w:rFonts w:eastAsia="Times New Roman" w:cstheme="minorHAnsi"/>
          <w:spacing w:val="1"/>
        </w:rPr>
        <w:t>r</w:t>
      </w:r>
      <w:r w:rsidRPr="00A54361">
        <w:rPr>
          <w:rFonts w:eastAsia="Times New Roman" w:cstheme="minorHAnsi"/>
        </w:rPr>
        <w:t>ial</w:t>
      </w:r>
      <w:r w:rsidRPr="00A54361">
        <w:rPr>
          <w:rFonts w:eastAsia="Times New Roman" w:cstheme="minorHAnsi"/>
          <w:spacing w:val="5"/>
        </w:rPr>
        <w:t xml:space="preserve"> </w:t>
      </w:r>
      <w:r w:rsidRPr="00A54361">
        <w:rPr>
          <w:rFonts w:eastAsia="Times New Roman" w:cstheme="minorHAnsi"/>
          <w:spacing w:val="2"/>
        </w:rPr>
        <w:t>i</w:t>
      </w:r>
      <w:r w:rsidRPr="00A54361">
        <w:rPr>
          <w:rFonts w:eastAsia="Times New Roman" w:cstheme="minorHAnsi"/>
        </w:rPr>
        <w:t>r</w:t>
      </w:r>
      <w:r w:rsidRPr="00A54361">
        <w:rPr>
          <w:rFonts w:eastAsia="Times New Roman" w:cstheme="minorHAnsi"/>
          <w:spacing w:val="-1"/>
        </w:rPr>
        <w:t>re</w:t>
      </w:r>
      <w:r w:rsidRPr="00A54361">
        <w:rPr>
          <w:rFonts w:eastAsia="Times New Roman" w:cstheme="minorHAnsi"/>
        </w:rPr>
        <w:t>sp</w:t>
      </w:r>
      <w:r w:rsidRPr="00A54361">
        <w:rPr>
          <w:rFonts w:eastAsia="Times New Roman" w:cstheme="minorHAnsi"/>
          <w:spacing w:val="-1"/>
        </w:rPr>
        <w:t>ec</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ve</w:t>
      </w:r>
      <w:r w:rsidRPr="00A54361">
        <w:rPr>
          <w:rFonts w:eastAsia="Times New Roman" w:cstheme="minorHAnsi"/>
          <w:spacing w:val="4"/>
        </w:rPr>
        <w:t xml:space="preserve"> </w:t>
      </w:r>
      <w:r w:rsidRPr="00A54361">
        <w:rPr>
          <w:rFonts w:eastAsia="Times New Roman" w:cstheme="minorHAnsi"/>
        </w:rPr>
        <w:t>of wh</w:t>
      </w:r>
      <w:r w:rsidRPr="00A54361">
        <w:rPr>
          <w:rFonts w:eastAsia="Times New Roman" w:cstheme="minorHAnsi"/>
          <w:spacing w:val="-1"/>
        </w:rPr>
        <w:t>e</w:t>
      </w:r>
      <w:r w:rsidRPr="00A54361">
        <w:rPr>
          <w:rFonts w:eastAsia="Times New Roman" w:cstheme="minorHAnsi"/>
        </w:rPr>
        <w:t>ther</w:t>
      </w:r>
      <w:r w:rsidRPr="00A54361">
        <w:rPr>
          <w:rFonts w:eastAsia="Times New Roman" w:cstheme="minorHAnsi"/>
          <w:spacing w:val="4"/>
        </w:rPr>
        <w:t xml:space="preserve"> </w:t>
      </w:r>
      <w:r w:rsidRPr="00A54361">
        <w:rPr>
          <w:rFonts w:eastAsia="Times New Roman" w:cstheme="minorHAnsi"/>
        </w:rPr>
        <w:t>p</w:t>
      </w:r>
      <w:r w:rsidRPr="00A54361">
        <w:rPr>
          <w:rFonts w:eastAsia="Times New Roman" w:cstheme="minorHAnsi"/>
          <w:spacing w:val="1"/>
        </w:rPr>
        <w:t>r</w:t>
      </w:r>
      <w:r w:rsidRPr="00A54361">
        <w:rPr>
          <w:rFonts w:eastAsia="Times New Roman" w:cstheme="minorHAnsi"/>
          <w:spacing w:val="-1"/>
        </w:rPr>
        <w:t>e-</w:t>
      </w:r>
      <w:r w:rsidRPr="00A54361">
        <w:rPr>
          <w:rFonts w:eastAsia="Times New Roman" w:cstheme="minorHAnsi"/>
        </w:rPr>
        <w:t>dispat</w:t>
      </w:r>
      <w:r w:rsidRPr="00A54361">
        <w:rPr>
          <w:rFonts w:eastAsia="Times New Roman" w:cstheme="minorHAnsi"/>
          <w:spacing w:val="-1"/>
        </w:rPr>
        <w:t>c</w:t>
      </w:r>
      <w:r w:rsidRPr="00A54361">
        <w:rPr>
          <w:rFonts w:eastAsia="Times New Roman" w:cstheme="minorHAnsi"/>
        </w:rPr>
        <w:t>h</w:t>
      </w:r>
      <w:r w:rsidRPr="00A54361">
        <w:rPr>
          <w:rFonts w:eastAsia="Times New Roman" w:cstheme="minorHAnsi"/>
          <w:spacing w:val="5"/>
        </w:rPr>
        <w:t xml:space="preserve"> </w:t>
      </w:r>
      <w:r w:rsidRPr="00A54361">
        <w:rPr>
          <w:rFonts w:eastAsia="Times New Roman" w:cstheme="minorHAnsi"/>
        </w:rPr>
        <w:t>in</w:t>
      </w:r>
      <w:r w:rsidRPr="00A54361">
        <w:rPr>
          <w:rFonts w:eastAsia="Times New Roman" w:cstheme="minorHAnsi"/>
          <w:spacing w:val="3"/>
        </w:rPr>
        <w:t>s</w:t>
      </w:r>
      <w:r w:rsidRPr="00A54361">
        <w:rPr>
          <w:rFonts w:eastAsia="Times New Roman" w:cstheme="minorHAnsi"/>
        </w:rPr>
        <w:t>p</w:t>
      </w:r>
      <w:r w:rsidRPr="00A54361">
        <w:rPr>
          <w:rFonts w:eastAsia="Times New Roman" w:cstheme="minorHAnsi"/>
          <w:spacing w:val="-1"/>
        </w:rPr>
        <w:t>ec</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on</w:t>
      </w:r>
      <w:r w:rsidRPr="00A54361">
        <w:rPr>
          <w:rFonts w:eastAsia="Times New Roman" w:cstheme="minorHAnsi"/>
          <w:spacing w:val="5"/>
        </w:rPr>
        <w:t xml:space="preserve"> </w:t>
      </w:r>
      <w:r w:rsidRPr="00A54361">
        <w:rPr>
          <w:rFonts w:eastAsia="Times New Roman" w:cstheme="minorHAnsi"/>
        </w:rPr>
        <w:t>w</w:t>
      </w:r>
      <w:r w:rsidRPr="00A54361">
        <w:rPr>
          <w:rFonts w:eastAsia="Times New Roman" w:cstheme="minorHAnsi"/>
          <w:spacing w:val="-1"/>
        </w:rPr>
        <w:t>a</w:t>
      </w:r>
      <w:r w:rsidRPr="00A54361">
        <w:rPr>
          <w:rFonts w:eastAsia="Times New Roman" w:cstheme="minorHAnsi"/>
        </w:rPr>
        <w:t>s</w:t>
      </w:r>
      <w:r w:rsidRPr="00A54361">
        <w:rPr>
          <w:rFonts w:eastAsia="Times New Roman" w:cstheme="minorHAnsi"/>
          <w:spacing w:val="5"/>
        </w:rPr>
        <w:t xml:space="preserve"> </w:t>
      </w:r>
      <w:r w:rsidRPr="00A54361">
        <w:rPr>
          <w:rFonts w:eastAsia="Times New Roman" w:cstheme="minorHAnsi"/>
          <w:spacing w:val="-1"/>
        </w:rPr>
        <w:t>ca</w:t>
      </w:r>
      <w:r w:rsidRPr="00A54361">
        <w:rPr>
          <w:rFonts w:eastAsia="Times New Roman" w:cstheme="minorHAnsi"/>
          <w:spacing w:val="1"/>
        </w:rPr>
        <w:t>r</w:t>
      </w:r>
      <w:r w:rsidRPr="00A54361">
        <w:rPr>
          <w:rFonts w:eastAsia="Times New Roman" w:cstheme="minorHAnsi"/>
        </w:rPr>
        <w:t>ri</w:t>
      </w:r>
      <w:r w:rsidRPr="00A54361">
        <w:rPr>
          <w:rFonts w:eastAsia="Times New Roman" w:cstheme="minorHAnsi"/>
          <w:spacing w:val="-1"/>
        </w:rPr>
        <w:t>e</w:t>
      </w:r>
      <w:r w:rsidRPr="00A54361">
        <w:rPr>
          <w:rFonts w:eastAsia="Times New Roman" w:cstheme="minorHAnsi"/>
        </w:rPr>
        <w:t>d</w:t>
      </w:r>
      <w:r w:rsidRPr="00A54361">
        <w:rPr>
          <w:rFonts w:eastAsia="Times New Roman" w:cstheme="minorHAnsi"/>
          <w:spacing w:val="5"/>
        </w:rPr>
        <w:t xml:space="preserve"> </w:t>
      </w:r>
      <w:r w:rsidRPr="00A54361">
        <w:rPr>
          <w:rFonts w:eastAsia="Times New Roman" w:cstheme="minorHAnsi"/>
        </w:rPr>
        <w:t>out</w:t>
      </w:r>
      <w:r w:rsidRPr="00A54361">
        <w:rPr>
          <w:rFonts w:eastAsia="Times New Roman" w:cstheme="minorHAnsi"/>
          <w:spacing w:val="5"/>
        </w:rPr>
        <w:t xml:space="preserve"> </w:t>
      </w:r>
      <w:r w:rsidRPr="00A54361">
        <w:rPr>
          <w:rFonts w:eastAsia="Times New Roman" w:cstheme="minorHAnsi"/>
          <w:spacing w:val="2"/>
        </w:rPr>
        <w:t>b</w:t>
      </w:r>
      <w:r w:rsidRPr="00A54361">
        <w:rPr>
          <w:rFonts w:eastAsia="Times New Roman" w:cstheme="minorHAnsi"/>
        </w:rPr>
        <w:t>y B</w:t>
      </w:r>
      <w:r w:rsidRPr="00A54361">
        <w:rPr>
          <w:rFonts w:eastAsia="Times New Roman" w:cstheme="minorHAnsi"/>
          <w:spacing w:val="-1"/>
        </w:rPr>
        <w:t>a</w:t>
      </w:r>
      <w:r w:rsidRPr="00A54361">
        <w:rPr>
          <w:rFonts w:eastAsia="Times New Roman" w:cstheme="minorHAnsi"/>
        </w:rPr>
        <w:t>nk</w:t>
      </w:r>
      <w:r w:rsidRPr="00A54361">
        <w:rPr>
          <w:rFonts w:eastAsia="Times New Roman" w:cstheme="minorHAnsi"/>
          <w:spacing w:val="5"/>
        </w:rPr>
        <w:t xml:space="preserve"> </w:t>
      </w:r>
      <w:r w:rsidRPr="00A54361">
        <w:rPr>
          <w:rFonts w:eastAsia="Times New Roman" w:cstheme="minorHAnsi"/>
        </w:rPr>
        <w:t>(CE</w:t>
      </w:r>
      <w:r w:rsidRPr="00A54361">
        <w:rPr>
          <w:rFonts w:eastAsia="Times New Roman" w:cstheme="minorHAnsi"/>
          <w:spacing w:val="-1"/>
        </w:rPr>
        <w:t>N</w:t>
      </w:r>
      <w:r w:rsidRPr="00A54361">
        <w:rPr>
          <w:rFonts w:eastAsia="Times New Roman" w:cstheme="minorHAnsi"/>
        </w:rPr>
        <w:t>TR</w:t>
      </w:r>
      <w:r w:rsidRPr="00A54361">
        <w:rPr>
          <w:rFonts w:eastAsia="Times New Roman" w:cstheme="minorHAnsi"/>
          <w:spacing w:val="2"/>
        </w:rPr>
        <w:t>A</w:t>
      </w:r>
      <w:r w:rsidRPr="00A54361">
        <w:rPr>
          <w:rFonts w:eastAsia="Times New Roman" w:cstheme="minorHAnsi"/>
        </w:rPr>
        <w:t>L</w:t>
      </w:r>
      <w:r w:rsidRPr="00A54361">
        <w:rPr>
          <w:rFonts w:eastAsia="Times New Roman" w:cstheme="minorHAnsi"/>
          <w:spacing w:val="2"/>
        </w:rPr>
        <w:t xml:space="preserve"> </w:t>
      </w:r>
      <w:r w:rsidRPr="00A54361">
        <w:rPr>
          <w:rFonts w:eastAsia="Times New Roman" w:cstheme="minorHAnsi"/>
        </w:rPr>
        <w:t>BA</w:t>
      </w:r>
      <w:r w:rsidRPr="00A54361">
        <w:rPr>
          <w:rFonts w:eastAsia="Times New Roman" w:cstheme="minorHAnsi"/>
          <w:spacing w:val="-1"/>
        </w:rPr>
        <w:t>N</w:t>
      </w:r>
      <w:r w:rsidRPr="00A54361">
        <w:rPr>
          <w:rFonts w:eastAsia="Times New Roman" w:cstheme="minorHAnsi"/>
        </w:rPr>
        <w:t>K</w:t>
      </w:r>
      <w:r w:rsidRPr="00A54361">
        <w:rPr>
          <w:rFonts w:eastAsia="Times New Roman" w:cstheme="minorHAnsi"/>
          <w:spacing w:val="4"/>
        </w:rPr>
        <w:t xml:space="preserve"> </w:t>
      </w:r>
      <w:r w:rsidRPr="00A54361">
        <w:rPr>
          <w:rFonts w:eastAsia="Times New Roman" w:cstheme="minorHAnsi"/>
        </w:rPr>
        <w:t>OF</w:t>
      </w:r>
      <w:r w:rsidRPr="00A54361">
        <w:rPr>
          <w:rFonts w:eastAsia="Times New Roman" w:cstheme="minorHAnsi"/>
          <w:spacing w:val="5"/>
        </w:rPr>
        <w:t xml:space="preserve"> </w:t>
      </w:r>
      <w:r w:rsidRPr="00A54361">
        <w:rPr>
          <w:rFonts w:eastAsia="Times New Roman" w:cstheme="minorHAnsi"/>
          <w:spacing w:val="-3"/>
        </w:rPr>
        <w:t>I</w:t>
      </w:r>
      <w:r w:rsidRPr="00A54361">
        <w:rPr>
          <w:rFonts w:eastAsia="Times New Roman" w:cstheme="minorHAnsi"/>
          <w:spacing w:val="2"/>
        </w:rPr>
        <w:t>ND</w:t>
      </w:r>
      <w:r w:rsidRPr="00A54361">
        <w:rPr>
          <w:rFonts w:eastAsia="Times New Roman" w:cstheme="minorHAnsi"/>
          <w:spacing w:val="-3"/>
        </w:rPr>
        <w:t>I</w:t>
      </w:r>
      <w:r w:rsidRPr="00A54361">
        <w:rPr>
          <w:rFonts w:eastAsia="Times New Roman" w:cstheme="minorHAnsi"/>
          <w:spacing w:val="2"/>
        </w:rPr>
        <w:t>A</w:t>
      </w:r>
      <w:r w:rsidRPr="00A54361">
        <w:rPr>
          <w:rFonts w:eastAsia="Times New Roman" w:cstheme="minorHAnsi"/>
        </w:rPr>
        <w:t>)</w:t>
      </w:r>
      <w:r w:rsidRPr="00A54361">
        <w:rPr>
          <w:rFonts w:eastAsia="Times New Roman" w:cstheme="minorHAnsi"/>
          <w:spacing w:val="4"/>
        </w:rPr>
        <w:t xml:space="preserve"> </w:t>
      </w:r>
      <w:r w:rsidRPr="00A54361">
        <w:rPr>
          <w:rFonts w:eastAsia="Times New Roman" w:cstheme="minorHAnsi"/>
        </w:rPr>
        <w:t>or not;</w:t>
      </w:r>
    </w:p>
    <w:p w14:paraId="56C4C8AB" w14:textId="77777777" w:rsidR="0054549F" w:rsidRPr="00A54361" w:rsidRDefault="0054549F" w:rsidP="00A54361">
      <w:pPr>
        <w:spacing w:line="260" w:lineRule="exact"/>
        <w:ind w:right="83"/>
        <w:jc w:val="both"/>
        <w:rPr>
          <w:rFonts w:cstheme="minorHAnsi"/>
        </w:rPr>
      </w:pPr>
      <w:r w:rsidRPr="00A54361">
        <w:rPr>
          <w:rFonts w:eastAsia="Times New Roman" w:cstheme="minorHAnsi"/>
        </w:rPr>
        <w:t>6.11</w:t>
      </w:r>
      <w:r w:rsidRPr="00A54361">
        <w:rPr>
          <w:rFonts w:eastAsia="Times New Roman" w:cstheme="minorHAnsi"/>
          <w:spacing w:val="4"/>
        </w:rPr>
        <w:t xml:space="preserve"> </w:t>
      </w:r>
      <w:r w:rsidRPr="00A54361">
        <w:rPr>
          <w:rFonts w:eastAsia="Times New Roman" w:cstheme="minorHAnsi"/>
        </w:rPr>
        <w:t>B</w:t>
      </w:r>
      <w:r w:rsidRPr="00A54361">
        <w:rPr>
          <w:rFonts w:eastAsia="Times New Roman" w:cstheme="minorHAnsi"/>
          <w:spacing w:val="-1"/>
        </w:rPr>
        <w:t>a</w:t>
      </w:r>
      <w:r w:rsidRPr="00A54361">
        <w:rPr>
          <w:rFonts w:eastAsia="Times New Roman" w:cstheme="minorHAnsi"/>
        </w:rPr>
        <w:t>s</w:t>
      </w:r>
      <w:r w:rsidRPr="00A54361">
        <w:rPr>
          <w:rFonts w:eastAsia="Times New Roman" w:cstheme="minorHAnsi"/>
          <w:spacing w:val="-1"/>
        </w:rPr>
        <w:t>e</w:t>
      </w:r>
      <w:r w:rsidRPr="00A54361">
        <w:rPr>
          <w:rFonts w:eastAsia="Times New Roman" w:cstheme="minorHAnsi"/>
        </w:rPr>
        <w:t>d</w:t>
      </w:r>
      <w:r w:rsidRPr="00A54361">
        <w:rPr>
          <w:rFonts w:eastAsia="Times New Roman" w:cstheme="minorHAnsi"/>
          <w:spacing w:val="4"/>
        </w:rPr>
        <w:t xml:space="preserve"> </w:t>
      </w:r>
      <w:r w:rsidRPr="00A54361">
        <w:rPr>
          <w:rFonts w:eastAsia="Times New Roman" w:cstheme="minorHAnsi"/>
        </w:rPr>
        <w:t>on</w:t>
      </w:r>
      <w:r w:rsidRPr="00A54361">
        <w:rPr>
          <w:rFonts w:eastAsia="Times New Roman" w:cstheme="minorHAnsi"/>
          <w:spacing w:val="7"/>
        </w:rPr>
        <w:t xml:space="preserve"> </w:t>
      </w:r>
      <w:r w:rsidRPr="00A54361">
        <w:rPr>
          <w:rFonts w:eastAsia="Times New Roman" w:cstheme="minorHAnsi"/>
        </w:rPr>
        <w:t>the</w:t>
      </w:r>
      <w:r w:rsidRPr="00A54361">
        <w:rPr>
          <w:rFonts w:eastAsia="Times New Roman" w:cstheme="minorHAnsi"/>
          <w:spacing w:val="4"/>
        </w:rPr>
        <w:t xml:space="preserve"> </w:t>
      </w:r>
      <w:r w:rsidRPr="00A54361">
        <w:rPr>
          <w:rFonts w:eastAsia="Times New Roman" w:cstheme="minorHAnsi"/>
        </w:rPr>
        <w:t>findi</w:t>
      </w:r>
      <w:r w:rsidRPr="00A54361">
        <w:rPr>
          <w:rFonts w:eastAsia="Times New Roman" w:cstheme="minorHAnsi"/>
          <w:spacing w:val="2"/>
        </w:rPr>
        <w:t>n</w:t>
      </w:r>
      <w:r w:rsidRPr="00A54361">
        <w:rPr>
          <w:rFonts w:eastAsia="Times New Roman" w:cstheme="minorHAnsi"/>
          <w:spacing w:val="-2"/>
        </w:rPr>
        <w:t>g</w:t>
      </w:r>
      <w:r w:rsidRPr="00A54361">
        <w:rPr>
          <w:rFonts w:eastAsia="Times New Roman" w:cstheme="minorHAnsi"/>
        </w:rPr>
        <w:t>s</w:t>
      </w:r>
      <w:r w:rsidRPr="00A54361">
        <w:rPr>
          <w:rFonts w:eastAsia="Times New Roman" w:cstheme="minorHAnsi"/>
          <w:spacing w:val="5"/>
        </w:rPr>
        <w:t xml:space="preserve"> </w:t>
      </w:r>
      <w:r w:rsidRPr="00A54361">
        <w:rPr>
          <w:rFonts w:eastAsia="Times New Roman" w:cstheme="minorHAnsi"/>
          <w:spacing w:val="2"/>
        </w:rPr>
        <w:t>o</w:t>
      </w:r>
      <w:r w:rsidRPr="00A54361">
        <w:rPr>
          <w:rFonts w:eastAsia="Times New Roman" w:cstheme="minorHAnsi"/>
        </w:rPr>
        <w:t>f</w:t>
      </w:r>
      <w:r w:rsidRPr="00A54361">
        <w:rPr>
          <w:rFonts w:eastAsia="Times New Roman" w:cstheme="minorHAnsi"/>
          <w:spacing w:val="4"/>
        </w:rPr>
        <w:t xml:space="preserve"> </w:t>
      </w:r>
      <w:r w:rsidRPr="00A54361">
        <w:rPr>
          <w:rFonts w:eastAsia="Times New Roman" w:cstheme="minorHAnsi"/>
        </w:rPr>
        <w:t>the</w:t>
      </w:r>
      <w:r w:rsidRPr="00A54361">
        <w:rPr>
          <w:rFonts w:eastAsia="Times New Roman" w:cstheme="minorHAnsi"/>
          <w:spacing w:val="6"/>
        </w:rPr>
        <w:t xml:space="preserve"> </w:t>
      </w:r>
      <w:r w:rsidRPr="00A54361">
        <w:rPr>
          <w:rFonts w:eastAsia="Times New Roman" w:cstheme="minorHAnsi"/>
        </w:rPr>
        <w:t>investig</w:t>
      </w:r>
      <w:r w:rsidRPr="00A54361">
        <w:rPr>
          <w:rFonts w:eastAsia="Times New Roman" w:cstheme="minorHAnsi"/>
          <w:spacing w:val="-1"/>
        </w:rPr>
        <w:t>a</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on</w:t>
      </w:r>
      <w:r w:rsidRPr="00A54361">
        <w:rPr>
          <w:rFonts w:eastAsia="Times New Roman" w:cstheme="minorHAnsi"/>
          <w:spacing w:val="4"/>
        </w:rPr>
        <w:t xml:space="preserve"> </w:t>
      </w:r>
      <w:r w:rsidRPr="00A54361">
        <w:rPr>
          <w:rFonts w:eastAsia="Times New Roman" w:cstheme="minorHAnsi"/>
        </w:rPr>
        <w:t>report</w:t>
      </w:r>
      <w:r w:rsidRPr="00A54361">
        <w:rPr>
          <w:rFonts w:eastAsia="Times New Roman" w:cstheme="minorHAnsi"/>
          <w:spacing w:val="4"/>
        </w:rPr>
        <w:t xml:space="preserve"> </w:t>
      </w:r>
      <w:r w:rsidRPr="00A54361">
        <w:rPr>
          <w:rFonts w:eastAsia="Times New Roman" w:cstheme="minorHAnsi"/>
        </w:rPr>
        <w:t>of</w:t>
      </w:r>
      <w:r w:rsidRPr="00A54361">
        <w:rPr>
          <w:rFonts w:eastAsia="Times New Roman" w:cstheme="minorHAnsi"/>
          <w:spacing w:val="4"/>
        </w:rPr>
        <w:t xml:space="preserve"> </w:t>
      </w:r>
      <w:r w:rsidRPr="00A54361">
        <w:rPr>
          <w:rFonts w:eastAsia="Times New Roman" w:cstheme="minorHAnsi"/>
          <w:spacing w:val="3"/>
        </w:rPr>
        <w:t>C</w:t>
      </w:r>
      <w:r w:rsidRPr="00A54361">
        <w:rPr>
          <w:rFonts w:eastAsia="Times New Roman" w:cstheme="minorHAnsi"/>
        </w:rPr>
        <w:t>BI</w:t>
      </w:r>
      <w:r w:rsidRPr="00A54361">
        <w:rPr>
          <w:rFonts w:eastAsia="Times New Roman" w:cstheme="minorHAnsi"/>
          <w:spacing w:val="1"/>
        </w:rPr>
        <w:t xml:space="preserve"> </w:t>
      </w:r>
      <w:r w:rsidRPr="00A54361">
        <w:rPr>
          <w:rFonts w:eastAsia="Times New Roman" w:cstheme="minorHAnsi"/>
        </w:rPr>
        <w:t>/</w:t>
      </w:r>
      <w:r w:rsidRPr="00A54361">
        <w:rPr>
          <w:rFonts w:eastAsia="Times New Roman" w:cstheme="minorHAnsi"/>
          <w:spacing w:val="5"/>
        </w:rPr>
        <w:t xml:space="preserve"> </w:t>
      </w:r>
      <w:r w:rsidRPr="00A54361">
        <w:rPr>
          <w:rFonts w:eastAsia="Times New Roman" w:cstheme="minorHAnsi"/>
          <w:spacing w:val="1"/>
        </w:rPr>
        <w:t>P</w:t>
      </w:r>
      <w:r w:rsidRPr="00A54361">
        <w:rPr>
          <w:rFonts w:eastAsia="Times New Roman" w:cstheme="minorHAnsi"/>
        </w:rPr>
        <w:t>ol</w:t>
      </w:r>
      <w:r w:rsidRPr="00A54361">
        <w:rPr>
          <w:rFonts w:eastAsia="Times New Roman" w:cstheme="minorHAnsi"/>
          <w:spacing w:val="1"/>
        </w:rPr>
        <w:t>i</w:t>
      </w:r>
      <w:r w:rsidRPr="00A54361">
        <w:rPr>
          <w:rFonts w:eastAsia="Times New Roman" w:cstheme="minorHAnsi"/>
          <w:spacing w:val="-1"/>
        </w:rPr>
        <w:t>c</w:t>
      </w:r>
      <w:r w:rsidRPr="00A54361">
        <w:rPr>
          <w:rFonts w:eastAsia="Times New Roman" w:cstheme="minorHAnsi"/>
        </w:rPr>
        <w:t>e</w:t>
      </w:r>
      <w:r w:rsidRPr="00A54361">
        <w:rPr>
          <w:rFonts w:eastAsia="Times New Roman" w:cstheme="minorHAnsi"/>
          <w:spacing w:val="6"/>
        </w:rPr>
        <w:t xml:space="preserve"> </w:t>
      </w:r>
      <w:r w:rsidRPr="00A54361">
        <w:rPr>
          <w:rFonts w:eastAsia="Times New Roman" w:cstheme="minorHAnsi"/>
          <w:spacing w:val="1"/>
        </w:rPr>
        <w:t>a</w:t>
      </w:r>
      <w:r w:rsidRPr="00A54361">
        <w:rPr>
          <w:rFonts w:eastAsia="Times New Roman" w:cstheme="minorHAnsi"/>
        </w:rPr>
        <w:t>g</w:t>
      </w:r>
      <w:r w:rsidRPr="00A54361">
        <w:rPr>
          <w:rFonts w:eastAsia="Times New Roman" w:cstheme="minorHAnsi"/>
          <w:spacing w:val="-1"/>
        </w:rPr>
        <w:t>a</w:t>
      </w:r>
      <w:r w:rsidRPr="00A54361">
        <w:rPr>
          <w:rFonts w:eastAsia="Times New Roman" w:cstheme="minorHAnsi"/>
        </w:rPr>
        <w:t>inst</w:t>
      </w:r>
      <w:r w:rsidRPr="00A54361">
        <w:rPr>
          <w:rFonts w:eastAsia="Times New Roman" w:cstheme="minorHAnsi"/>
          <w:spacing w:val="5"/>
        </w:rPr>
        <w:t xml:space="preserve"> </w:t>
      </w:r>
      <w:r w:rsidRPr="00A54361">
        <w:rPr>
          <w:rFonts w:eastAsia="Times New Roman" w:cstheme="minorHAnsi"/>
        </w:rPr>
        <w:t>the</w:t>
      </w:r>
      <w:r w:rsidRPr="00A54361">
        <w:rPr>
          <w:rFonts w:eastAsia="Times New Roman" w:cstheme="minorHAnsi"/>
          <w:spacing w:val="4"/>
        </w:rPr>
        <w:t xml:space="preserve"> </w:t>
      </w:r>
      <w:r w:rsidRPr="00A54361">
        <w:rPr>
          <w:rFonts w:eastAsia="Times New Roman" w:cstheme="minorHAnsi"/>
          <w:spacing w:val="2"/>
        </w:rPr>
        <w:t>A</w:t>
      </w:r>
      <w:r w:rsidRPr="00A54361">
        <w:rPr>
          <w:rFonts w:eastAsia="Times New Roman" w:cstheme="minorHAnsi"/>
          <w:spacing w:val="-2"/>
        </w:rPr>
        <w:t>g</w:t>
      </w:r>
      <w:r w:rsidRPr="00A54361">
        <w:rPr>
          <w:rFonts w:eastAsia="Times New Roman" w:cstheme="minorHAnsi"/>
          <w:spacing w:val="-1"/>
        </w:rPr>
        <w:t>e</w:t>
      </w:r>
      <w:r w:rsidRPr="00A54361">
        <w:rPr>
          <w:rFonts w:eastAsia="Times New Roman" w:cstheme="minorHAnsi"/>
          <w:spacing w:val="2"/>
        </w:rPr>
        <w:t>n</w:t>
      </w:r>
      <w:r w:rsidRPr="00A54361">
        <w:rPr>
          <w:rFonts w:eastAsia="Times New Roman" w:cstheme="minorHAnsi"/>
          <w:spacing w:val="4"/>
        </w:rPr>
        <w:t>c</w:t>
      </w:r>
      <w:r w:rsidRPr="00A54361">
        <w:rPr>
          <w:rFonts w:eastAsia="Times New Roman" w:cstheme="minorHAnsi"/>
        </w:rPr>
        <w:t>y f</w:t>
      </w:r>
      <w:r w:rsidRPr="00A54361">
        <w:rPr>
          <w:rFonts w:eastAsia="Times New Roman" w:cstheme="minorHAnsi"/>
          <w:spacing w:val="1"/>
        </w:rPr>
        <w:t>o</w:t>
      </w:r>
      <w:r w:rsidRPr="00A54361">
        <w:rPr>
          <w:rFonts w:eastAsia="Times New Roman" w:cstheme="minorHAnsi"/>
        </w:rPr>
        <w:t>r mal</w:t>
      </w:r>
      <w:r w:rsidRPr="00A54361">
        <w:rPr>
          <w:rFonts w:eastAsia="Times New Roman" w:cstheme="minorHAnsi"/>
          <w:spacing w:val="-1"/>
        </w:rPr>
        <w:t>a</w:t>
      </w:r>
      <w:r w:rsidRPr="00A54361">
        <w:rPr>
          <w:rFonts w:eastAsia="Times New Roman" w:cstheme="minorHAnsi"/>
        </w:rPr>
        <w:t>fide</w:t>
      </w:r>
      <w:r w:rsidRPr="00A54361">
        <w:rPr>
          <w:rFonts w:eastAsia="Times New Roman" w:cstheme="minorHAnsi"/>
          <w:spacing w:val="42"/>
        </w:rPr>
        <w:t xml:space="preserve"> </w:t>
      </w:r>
      <w:r w:rsidRPr="00A54361">
        <w:rPr>
          <w:rFonts w:eastAsia="Times New Roman" w:cstheme="minorHAnsi"/>
        </w:rPr>
        <w:t>/</w:t>
      </w:r>
      <w:r w:rsidRPr="00A54361">
        <w:rPr>
          <w:rFonts w:eastAsia="Times New Roman" w:cstheme="minorHAnsi"/>
          <w:spacing w:val="43"/>
        </w:rPr>
        <w:t xml:space="preserve"> </w:t>
      </w:r>
      <w:r w:rsidRPr="00A54361">
        <w:rPr>
          <w:rFonts w:eastAsia="Times New Roman" w:cstheme="minorHAnsi"/>
        </w:rPr>
        <w:t>unla</w:t>
      </w:r>
      <w:r w:rsidRPr="00A54361">
        <w:rPr>
          <w:rFonts w:eastAsia="Times New Roman" w:cstheme="minorHAnsi"/>
          <w:spacing w:val="-1"/>
        </w:rPr>
        <w:t>w</w:t>
      </w:r>
      <w:r w:rsidRPr="00A54361">
        <w:rPr>
          <w:rFonts w:eastAsia="Times New Roman" w:cstheme="minorHAnsi"/>
        </w:rPr>
        <w:t>ful</w:t>
      </w:r>
      <w:r w:rsidRPr="00A54361">
        <w:rPr>
          <w:rFonts w:eastAsia="Times New Roman" w:cstheme="minorHAnsi"/>
          <w:spacing w:val="45"/>
        </w:rPr>
        <w:t xml:space="preserve"> </w:t>
      </w:r>
      <w:r w:rsidRPr="00A54361">
        <w:rPr>
          <w:rFonts w:eastAsia="Times New Roman" w:cstheme="minorHAnsi"/>
          <w:spacing w:val="-1"/>
        </w:rPr>
        <w:t>ac</w:t>
      </w:r>
      <w:r w:rsidRPr="00A54361">
        <w:rPr>
          <w:rFonts w:eastAsia="Times New Roman" w:cstheme="minorHAnsi"/>
        </w:rPr>
        <w:t>ts</w:t>
      </w:r>
      <w:r w:rsidRPr="00A54361">
        <w:rPr>
          <w:rFonts w:eastAsia="Times New Roman" w:cstheme="minorHAnsi"/>
          <w:spacing w:val="46"/>
        </w:rPr>
        <w:t xml:space="preserve"> </w:t>
      </w:r>
      <w:r w:rsidRPr="00A54361">
        <w:rPr>
          <w:rFonts w:eastAsia="Times New Roman" w:cstheme="minorHAnsi"/>
        </w:rPr>
        <w:t>or</w:t>
      </w:r>
      <w:r w:rsidRPr="00A54361">
        <w:rPr>
          <w:rFonts w:eastAsia="Times New Roman" w:cstheme="minorHAnsi"/>
          <w:spacing w:val="42"/>
        </w:rPr>
        <w:t xml:space="preserve"> </w:t>
      </w:r>
      <w:r w:rsidRPr="00A54361">
        <w:rPr>
          <w:rFonts w:eastAsia="Times New Roman" w:cstheme="minorHAnsi"/>
        </w:rPr>
        <w:t>i</w:t>
      </w:r>
      <w:r w:rsidRPr="00A54361">
        <w:rPr>
          <w:rFonts w:eastAsia="Times New Roman" w:cstheme="minorHAnsi"/>
          <w:spacing w:val="1"/>
        </w:rPr>
        <w:t>m</w:t>
      </w:r>
      <w:r w:rsidRPr="00A54361">
        <w:rPr>
          <w:rFonts w:eastAsia="Times New Roman" w:cstheme="minorHAnsi"/>
        </w:rPr>
        <w:t>prop</w:t>
      </w:r>
      <w:r w:rsidRPr="00A54361">
        <w:rPr>
          <w:rFonts w:eastAsia="Times New Roman" w:cstheme="minorHAnsi"/>
          <w:spacing w:val="-2"/>
        </w:rPr>
        <w:t>e</w:t>
      </w:r>
      <w:r w:rsidRPr="00A54361">
        <w:rPr>
          <w:rFonts w:eastAsia="Times New Roman" w:cstheme="minorHAnsi"/>
        </w:rPr>
        <w:t>r</w:t>
      </w:r>
      <w:r w:rsidRPr="00A54361">
        <w:rPr>
          <w:rFonts w:eastAsia="Times New Roman" w:cstheme="minorHAnsi"/>
          <w:spacing w:val="42"/>
        </w:rPr>
        <w:t xml:space="preserve"> </w:t>
      </w:r>
      <w:r w:rsidRPr="00A54361">
        <w:rPr>
          <w:rFonts w:eastAsia="Times New Roman" w:cstheme="minorHAnsi"/>
          <w:spacing w:val="-1"/>
        </w:rPr>
        <w:t>c</w:t>
      </w:r>
      <w:r w:rsidRPr="00A54361">
        <w:rPr>
          <w:rFonts w:eastAsia="Times New Roman" w:cstheme="minorHAnsi"/>
        </w:rPr>
        <w:t>ond</w:t>
      </w:r>
      <w:r w:rsidRPr="00A54361">
        <w:rPr>
          <w:rFonts w:eastAsia="Times New Roman" w:cstheme="minorHAnsi"/>
          <w:spacing w:val="2"/>
        </w:rPr>
        <w:t>u</w:t>
      </w:r>
      <w:r w:rsidRPr="00A54361">
        <w:rPr>
          <w:rFonts w:eastAsia="Times New Roman" w:cstheme="minorHAnsi"/>
          <w:spacing w:val="-1"/>
        </w:rPr>
        <w:t>c</w:t>
      </w:r>
      <w:r w:rsidRPr="00A54361">
        <w:rPr>
          <w:rFonts w:eastAsia="Times New Roman" w:cstheme="minorHAnsi"/>
        </w:rPr>
        <w:t>t</w:t>
      </w:r>
      <w:r w:rsidRPr="00A54361">
        <w:rPr>
          <w:rFonts w:eastAsia="Times New Roman" w:cstheme="minorHAnsi"/>
          <w:spacing w:val="43"/>
        </w:rPr>
        <w:t xml:space="preserve"> </w:t>
      </w:r>
      <w:r w:rsidRPr="00A54361">
        <w:rPr>
          <w:rFonts w:eastAsia="Times New Roman" w:cstheme="minorHAnsi"/>
          <w:spacing w:val="2"/>
        </w:rPr>
        <w:t>o</w:t>
      </w:r>
      <w:r w:rsidRPr="00A54361">
        <w:rPr>
          <w:rFonts w:eastAsia="Times New Roman" w:cstheme="minorHAnsi"/>
        </w:rPr>
        <w:t>n</w:t>
      </w:r>
      <w:r w:rsidRPr="00A54361">
        <w:rPr>
          <w:rFonts w:eastAsia="Times New Roman" w:cstheme="minorHAnsi"/>
          <w:spacing w:val="43"/>
        </w:rPr>
        <w:t xml:space="preserve"> </w:t>
      </w:r>
      <w:r w:rsidRPr="00A54361">
        <w:rPr>
          <w:rFonts w:eastAsia="Times New Roman" w:cstheme="minorHAnsi"/>
        </w:rPr>
        <w:t>his</w:t>
      </w:r>
      <w:r w:rsidRPr="00A54361">
        <w:rPr>
          <w:rFonts w:eastAsia="Times New Roman" w:cstheme="minorHAnsi"/>
          <w:spacing w:val="44"/>
        </w:rPr>
        <w:t xml:space="preserve"> </w:t>
      </w:r>
      <w:r w:rsidRPr="00A54361">
        <w:rPr>
          <w:rFonts w:eastAsia="Times New Roman" w:cstheme="minorHAnsi"/>
        </w:rPr>
        <w:t>p</w:t>
      </w:r>
      <w:r w:rsidRPr="00A54361">
        <w:rPr>
          <w:rFonts w:eastAsia="Times New Roman" w:cstheme="minorHAnsi"/>
          <w:spacing w:val="-1"/>
        </w:rPr>
        <w:t>a</w:t>
      </w:r>
      <w:r w:rsidRPr="00A54361">
        <w:rPr>
          <w:rFonts w:eastAsia="Times New Roman" w:cstheme="minorHAnsi"/>
        </w:rPr>
        <w:t>rt</w:t>
      </w:r>
      <w:r w:rsidRPr="00A54361">
        <w:rPr>
          <w:rFonts w:eastAsia="Times New Roman" w:cstheme="minorHAnsi"/>
          <w:spacing w:val="43"/>
        </w:rPr>
        <w:t xml:space="preserve"> </w:t>
      </w:r>
      <w:r w:rsidRPr="00A54361">
        <w:rPr>
          <w:rFonts w:eastAsia="Times New Roman" w:cstheme="minorHAnsi"/>
        </w:rPr>
        <w:t>in</w:t>
      </w:r>
      <w:r w:rsidRPr="00A54361">
        <w:rPr>
          <w:rFonts w:eastAsia="Times New Roman" w:cstheme="minorHAnsi"/>
          <w:spacing w:val="43"/>
        </w:rPr>
        <w:t xml:space="preserve"> </w:t>
      </w:r>
      <w:r w:rsidRPr="00A54361">
        <w:rPr>
          <w:rFonts w:eastAsia="Times New Roman" w:cstheme="minorHAnsi"/>
        </w:rPr>
        <w:t>matte</w:t>
      </w:r>
      <w:r w:rsidRPr="00A54361">
        <w:rPr>
          <w:rFonts w:eastAsia="Times New Roman" w:cstheme="minorHAnsi"/>
          <w:spacing w:val="-1"/>
        </w:rPr>
        <w:t>r</w:t>
      </w:r>
      <w:r w:rsidRPr="00A54361">
        <w:rPr>
          <w:rFonts w:eastAsia="Times New Roman" w:cstheme="minorHAnsi"/>
        </w:rPr>
        <w:t>s</w:t>
      </w:r>
      <w:r w:rsidRPr="00A54361">
        <w:rPr>
          <w:rFonts w:eastAsia="Times New Roman" w:cstheme="minorHAnsi"/>
          <w:spacing w:val="43"/>
        </w:rPr>
        <w:t xml:space="preserve"> </w:t>
      </w:r>
      <w:r w:rsidRPr="00A54361">
        <w:rPr>
          <w:rFonts w:eastAsia="Times New Roman" w:cstheme="minorHAnsi"/>
        </w:rPr>
        <w:t>r</w:t>
      </w:r>
      <w:r w:rsidRPr="00A54361">
        <w:rPr>
          <w:rFonts w:eastAsia="Times New Roman" w:cstheme="minorHAnsi"/>
          <w:spacing w:val="-2"/>
        </w:rPr>
        <w:t>e</w:t>
      </w:r>
      <w:r w:rsidRPr="00A54361">
        <w:rPr>
          <w:rFonts w:eastAsia="Times New Roman" w:cstheme="minorHAnsi"/>
          <w:spacing w:val="3"/>
        </w:rPr>
        <w:t>l</w:t>
      </w:r>
      <w:r w:rsidRPr="00A54361">
        <w:rPr>
          <w:rFonts w:eastAsia="Times New Roman" w:cstheme="minorHAnsi"/>
          <w:spacing w:val="-1"/>
        </w:rPr>
        <w:t>a</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ng</w:t>
      </w:r>
      <w:r w:rsidRPr="00A54361">
        <w:rPr>
          <w:rFonts w:eastAsia="Times New Roman" w:cstheme="minorHAnsi"/>
          <w:spacing w:val="41"/>
        </w:rPr>
        <w:t xml:space="preserve"> </w:t>
      </w:r>
      <w:r w:rsidRPr="00A54361">
        <w:rPr>
          <w:rFonts w:eastAsia="Times New Roman" w:cstheme="minorHAnsi"/>
        </w:rPr>
        <w:t>to</w:t>
      </w:r>
      <w:r w:rsidRPr="00A54361">
        <w:rPr>
          <w:rFonts w:eastAsia="Times New Roman" w:cstheme="minorHAnsi"/>
          <w:spacing w:val="43"/>
        </w:rPr>
        <w:t xml:space="preserve"> </w:t>
      </w:r>
      <w:r w:rsidRPr="00A54361">
        <w:rPr>
          <w:rFonts w:eastAsia="Times New Roman" w:cstheme="minorHAnsi"/>
        </w:rPr>
        <w:t>the</w:t>
      </w:r>
      <w:r w:rsidRPr="00A54361">
        <w:rPr>
          <w:rFonts w:eastAsia="Times New Roman" w:cstheme="minorHAnsi"/>
          <w:spacing w:val="45"/>
        </w:rPr>
        <w:t xml:space="preserve"> </w:t>
      </w:r>
      <w:r w:rsidRPr="00A54361">
        <w:rPr>
          <w:rFonts w:eastAsia="Times New Roman" w:cstheme="minorHAnsi"/>
          <w:spacing w:val="-2"/>
        </w:rPr>
        <w:t>B</w:t>
      </w:r>
      <w:r w:rsidRPr="00A54361">
        <w:rPr>
          <w:rFonts w:eastAsia="Times New Roman" w:cstheme="minorHAnsi"/>
          <w:spacing w:val="-1"/>
        </w:rPr>
        <w:t>a</w:t>
      </w:r>
      <w:r w:rsidRPr="00A54361">
        <w:rPr>
          <w:rFonts w:eastAsia="Times New Roman" w:cstheme="minorHAnsi"/>
        </w:rPr>
        <w:t>nk</w:t>
      </w:r>
    </w:p>
    <w:p w14:paraId="56533990" w14:textId="77777777" w:rsidR="0054549F" w:rsidRPr="00A54361" w:rsidRDefault="0054549F" w:rsidP="00A54361">
      <w:pPr>
        <w:spacing w:line="260" w:lineRule="exact"/>
        <w:ind w:right="4166"/>
        <w:jc w:val="both"/>
        <w:rPr>
          <w:rFonts w:cstheme="minorHAnsi"/>
        </w:rPr>
      </w:pPr>
      <w:r w:rsidRPr="00A54361">
        <w:rPr>
          <w:rFonts w:eastAsia="Times New Roman" w:cstheme="minorHAnsi"/>
        </w:rPr>
        <w:t>(CE</w:t>
      </w:r>
      <w:r w:rsidRPr="00A54361">
        <w:rPr>
          <w:rFonts w:eastAsia="Times New Roman" w:cstheme="minorHAnsi"/>
          <w:spacing w:val="-1"/>
        </w:rPr>
        <w:t>N</w:t>
      </w:r>
      <w:r w:rsidRPr="00A54361">
        <w:rPr>
          <w:rFonts w:eastAsia="Times New Roman" w:cstheme="minorHAnsi"/>
        </w:rPr>
        <w:t>TR</w:t>
      </w:r>
      <w:r w:rsidRPr="00A54361">
        <w:rPr>
          <w:rFonts w:eastAsia="Times New Roman" w:cstheme="minorHAnsi"/>
          <w:spacing w:val="2"/>
        </w:rPr>
        <w:t>A</w:t>
      </w:r>
      <w:r w:rsidRPr="00A54361">
        <w:rPr>
          <w:rFonts w:eastAsia="Times New Roman" w:cstheme="minorHAnsi"/>
        </w:rPr>
        <w:t>L</w:t>
      </w:r>
      <w:r w:rsidRPr="00A54361">
        <w:rPr>
          <w:rFonts w:eastAsia="Times New Roman" w:cstheme="minorHAnsi"/>
          <w:spacing w:val="-3"/>
        </w:rPr>
        <w:t xml:space="preserve"> </w:t>
      </w:r>
      <w:r w:rsidRPr="00A54361">
        <w:rPr>
          <w:rFonts w:eastAsia="Times New Roman" w:cstheme="minorHAnsi"/>
          <w:spacing w:val="-2"/>
        </w:rPr>
        <w:t>B</w:t>
      </w:r>
      <w:r w:rsidRPr="00A54361">
        <w:rPr>
          <w:rFonts w:eastAsia="Times New Roman" w:cstheme="minorHAnsi"/>
          <w:spacing w:val="2"/>
        </w:rPr>
        <w:t>A</w:t>
      </w:r>
      <w:r w:rsidRPr="00A54361">
        <w:rPr>
          <w:rFonts w:eastAsia="Times New Roman" w:cstheme="minorHAnsi"/>
        </w:rPr>
        <w:t>NK</w:t>
      </w:r>
      <w:r w:rsidRPr="00A54361">
        <w:rPr>
          <w:rFonts w:eastAsia="Times New Roman" w:cstheme="minorHAnsi"/>
          <w:spacing w:val="-1"/>
        </w:rPr>
        <w:t xml:space="preserve"> </w:t>
      </w:r>
      <w:r w:rsidRPr="00A54361">
        <w:rPr>
          <w:rFonts w:eastAsia="Times New Roman" w:cstheme="minorHAnsi"/>
          <w:spacing w:val="2"/>
        </w:rPr>
        <w:t>O</w:t>
      </w:r>
      <w:r w:rsidRPr="00A54361">
        <w:rPr>
          <w:rFonts w:eastAsia="Times New Roman" w:cstheme="minorHAnsi"/>
        </w:rPr>
        <w:t>F</w:t>
      </w:r>
      <w:r w:rsidRPr="00A54361">
        <w:rPr>
          <w:rFonts w:eastAsia="Times New Roman" w:cstheme="minorHAnsi"/>
          <w:spacing w:val="1"/>
        </w:rPr>
        <w:t xml:space="preserve"> </w:t>
      </w:r>
      <w:r w:rsidRPr="00A54361">
        <w:rPr>
          <w:rFonts w:eastAsia="Times New Roman" w:cstheme="minorHAnsi"/>
        </w:rPr>
        <w:t>I</w:t>
      </w:r>
      <w:r w:rsidRPr="00A54361">
        <w:rPr>
          <w:rFonts w:eastAsia="Times New Roman" w:cstheme="minorHAnsi"/>
          <w:spacing w:val="-1"/>
        </w:rPr>
        <w:t>N</w:t>
      </w:r>
      <w:r w:rsidRPr="00A54361">
        <w:rPr>
          <w:rFonts w:eastAsia="Times New Roman" w:cstheme="minorHAnsi"/>
          <w:spacing w:val="2"/>
        </w:rPr>
        <w:t>D</w:t>
      </w:r>
      <w:r w:rsidRPr="00A54361">
        <w:rPr>
          <w:rFonts w:eastAsia="Times New Roman" w:cstheme="minorHAnsi"/>
          <w:spacing w:val="-3"/>
        </w:rPr>
        <w:t>I</w:t>
      </w:r>
      <w:r w:rsidRPr="00A54361">
        <w:rPr>
          <w:rFonts w:eastAsia="Times New Roman" w:cstheme="minorHAnsi"/>
        </w:rPr>
        <w:t>A)</w:t>
      </w:r>
      <w:r w:rsidRPr="00A54361">
        <w:rPr>
          <w:rFonts w:eastAsia="Times New Roman" w:cstheme="minorHAnsi"/>
          <w:spacing w:val="-1"/>
        </w:rPr>
        <w:t xml:space="preserve"> </w:t>
      </w:r>
      <w:r w:rsidRPr="00A54361">
        <w:rPr>
          <w:rFonts w:eastAsia="Times New Roman" w:cstheme="minorHAnsi"/>
          <w:spacing w:val="2"/>
        </w:rPr>
        <w:t>o</w:t>
      </w:r>
      <w:r w:rsidRPr="00A54361">
        <w:rPr>
          <w:rFonts w:eastAsia="Times New Roman" w:cstheme="minorHAnsi"/>
        </w:rPr>
        <w:t xml:space="preserve">r </w:t>
      </w:r>
      <w:r w:rsidRPr="00A54361">
        <w:rPr>
          <w:rFonts w:eastAsia="Times New Roman" w:cstheme="minorHAnsi"/>
          <w:spacing w:val="-2"/>
        </w:rPr>
        <w:t>e</w:t>
      </w:r>
      <w:r w:rsidRPr="00A54361">
        <w:rPr>
          <w:rFonts w:eastAsia="Times New Roman" w:cstheme="minorHAnsi"/>
        </w:rPr>
        <w:t>v</w:t>
      </w:r>
      <w:r w:rsidRPr="00A54361">
        <w:rPr>
          <w:rFonts w:eastAsia="Times New Roman" w:cstheme="minorHAnsi"/>
          <w:spacing w:val="-1"/>
        </w:rPr>
        <w:t>e</w:t>
      </w:r>
      <w:r w:rsidRPr="00A54361">
        <w:rPr>
          <w:rFonts w:eastAsia="Times New Roman" w:cstheme="minorHAnsi"/>
        </w:rPr>
        <w:t>n ot</w:t>
      </w:r>
      <w:r w:rsidRPr="00A54361">
        <w:rPr>
          <w:rFonts w:eastAsia="Times New Roman" w:cstheme="minorHAnsi"/>
          <w:spacing w:val="3"/>
        </w:rPr>
        <w:t>h</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1"/>
        </w:rPr>
        <w:t>w</w:t>
      </w:r>
      <w:r w:rsidRPr="00A54361">
        <w:rPr>
          <w:rFonts w:eastAsia="Times New Roman" w:cstheme="minorHAnsi"/>
        </w:rPr>
        <w:t>is</w:t>
      </w:r>
      <w:r w:rsidRPr="00A54361">
        <w:rPr>
          <w:rFonts w:eastAsia="Times New Roman" w:cstheme="minorHAnsi"/>
          <w:spacing w:val="2"/>
        </w:rPr>
        <w:t>e</w:t>
      </w:r>
      <w:r w:rsidRPr="00A54361">
        <w:rPr>
          <w:rFonts w:eastAsia="Times New Roman" w:cstheme="minorHAnsi"/>
        </w:rPr>
        <w:t>;</w:t>
      </w:r>
    </w:p>
    <w:p w14:paraId="51D4234D" w14:textId="77777777" w:rsidR="0054549F" w:rsidRPr="00A54361" w:rsidRDefault="0054549F" w:rsidP="00A54361">
      <w:pPr>
        <w:spacing w:line="260" w:lineRule="exact"/>
        <w:ind w:right="2364"/>
        <w:jc w:val="both"/>
        <w:rPr>
          <w:rFonts w:cstheme="minorHAnsi"/>
        </w:rPr>
      </w:pPr>
      <w:r w:rsidRPr="00A54361">
        <w:rPr>
          <w:rFonts w:eastAsia="Times New Roman" w:cstheme="minorHAnsi"/>
        </w:rPr>
        <w:t>6.12 Establish</w:t>
      </w:r>
      <w:r w:rsidRPr="00A54361">
        <w:rPr>
          <w:rFonts w:eastAsia="Times New Roman" w:cstheme="minorHAnsi"/>
          <w:spacing w:val="-1"/>
        </w:rPr>
        <w:t>e</w:t>
      </w:r>
      <w:r w:rsidRPr="00A54361">
        <w:rPr>
          <w:rFonts w:eastAsia="Times New Roman" w:cstheme="minorHAnsi"/>
        </w:rPr>
        <w:t>d l</w:t>
      </w:r>
      <w:r w:rsidRPr="00A54361">
        <w:rPr>
          <w:rFonts w:eastAsia="Times New Roman" w:cstheme="minorHAnsi"/>
          <w:spacing w:val="1"/>
        </w:rPr>
        <w:t>i</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spacing w:val="-2"/>
        </w:rPr>
        <w:t>g</w:t>
      </w:r>
      <w:r w:rsidRPr="00A54361">
        <w:rPr>
          <w:rFonts w:eastAsia="Times New Roman" w:cstheme="minorHAnsi"/>
          <w:spacing w:val="-1"/>
        </w:rPr>
        <w:t>a</w:t>
      </w:r>
      <w:r w:rsidRPr="00A54361">
        <w:rPr>
          <w:rFonts w:eastAsia="Times New Roman" w:cstheme="minorHAnsi"/>
        </w:rPr>
        <w:t>nt natu</w:t>
      </w:r>
      <w:r w:rsidRPr="00A54361">
        <w:rPr>
          <w:rFonts w:eastAsia="Times New Roman" w:cstheme="minorHAnsi"/>
          <w:spacing w:val="-1"/>
        </w:rPr>
        <w:t>r</w:t>
      </w:r>
      <w:r w:rsidRPr="00A54361">
        <w:rPr>
          <w:rFonts w:eastAsia="Times New Roman" w:cstheme="minorHAnsi"/>
        </w:rPr>
        <w:t>e</w:t>
      </w:r>
      <w:r w:rsidRPr="00A54361">
        <w:rPr>
          <w:rFonts w:eastAsia="Times New Roman" w:cstheme="minorHAnsi"/>
          <w:spacing w:val="-1"/>
        </w:rPr>
        <w:t xml:space="preserve"> </w:t>
      </w:r>
      <w:r w:rsidRPr="00A54361">
        <w:rPr>
          <w:rFonts w:eastAsia="Times New Roman" w:cstheme="minorHAnsi"/>
        </w:rPr>
        <w:t>of the</w:t>
      </w:r>
      <w:r w:rsidRPr="00A54361">
        <w:rPr>
          <w:rFonts w:eastAsia="Times New Roman" w:cstheme="minorHAnsi"/>
          <w:spacing w:val="1"/>
        </w:rPr>
        <w:t xml:space="preserve"> </w:t>
      </w:r>
      <w:r w:rsidRPr="00A54361">
        <w:rPr>
          <w:rFonts w:eastAsia="Times New Roman" w:cstheme="minorHAnsi"/>
          <w:spacing w:val="2"/>
        </w:rPr>
        <w:t>A</w:t>
      </w:r>
      <w:r w:rsidRPr="00A54361">
        <w:rPr>
          <w:rFonts w:eastAsia="Times New Roman" w:cstheme="minorHAnsi"/>
          <w:spacing w:val="-2"/>
        </w:rPr>
        <w:t>g</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4"/>
        </w:rPr>
        <w:t>c</w:t>
      </w:r>
      <w:r w:rsidRPr="00A54361">
        <w:rPr>
          <w:rFonts w:eastAsia="Times New Roman" w:cstheme="minorHAnsi"/>
        </w:rPr>
        <w:t>y</w:t>
      </w:r>
      <w:r w:rsidRPr="00A54361">
        <w:rPr>
          <w:rFonts w:eastAsia="Times New Roman" w:cstheme="minorHAnsi"/>
          <w:spacing w:val="-5"/>
        </w:rPr>
        <w:t xml:space="preserve"> </w:t>
      </w:r>
      <w:r w:rsidRPr="00A54361">
        <w:rPr>
          <w:rFonts w:eastAsia="Times New Roman" w:cstheme="minorHAnsi"/>
        </w:rPr>
        <w:t xml:space="preserve">to </w:t>
      </w:r>
      <w:r w:rsidRPr="00A54361">
        <w:rPr>
          <w:rFonts w:eastAsia="Times New Roman" w:cstheme="minorHAnsi"/>
          <w:spacing w:val="3"/>
        </w:rPr>
        <w:t>d</w:t>
      </w:r>
      <w:r w:rsidRPr="00A54361">
        <w:rPr>
          <w:rFonts w:eastAsia="Times New Roman" w:cstheme="minorHAnsi"/>
          <w:spacing w:val="-1"/>
        </w:rPr>
        <w:t>e</w:t>
      </w:r>
      <w:r w:rsidRPr="00A54361">
        <w:rPr>
          <w:rFonts w:eastAsia="Times New Roman" w:cstheme="minorHAnsi"/>
        </w:rPr>
        <w:t>rive</w:t>
      </w:r>
      <w:r w:rsidRPr="00A54361">
        <w:rPr>
          <w:rFonts w:eastAsia="Times New Roman" w:cstheme="minorHAnsi"/>
          <w:spacing w:val="-1"/>
        </w:rPr>
        <w:t xml:space="preserve"> </w:t>
      </w:r>
      <w:r w:rsidRPr="00A54361">
        <w:rPr>
          <w:rFonts w:eastAsia="Times New Roman" w:cstheme="minorHAnsi"/>
        </w:rPr>
        <w:t>undue</w:t>
      </w:r>
      <w:r w:rsidRPr="00A54361">
        <w:rPr>
          <w:rFonts w:eastAsia="Times New Roman" w:cstheme="minorHAnsi"/>
          <w:spacing w:val="-1"/>
        </w:rPr>
        <w:t xml:space="preserve"> </w:t>
      </w:r>
      <w:r w:rsidRPr="00A54361">
        <w:rPr>
          <w:rFonts w:eastAsia="Times New Roman" w:cstheme="minorHAnsi"/>
          <w:spacing w:val="2"/>
        </w:rPr>
        <w:t>b</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1"/>
        </w:rPr>
        <w:t>e</w:t>
      </w:r>
      <w:r w:rsidRPr="00A54361">
        <w:rPr>
          <w:rFonts w:eastAsia="Times New Roman" w:cstheme="minorHAnsi"/>
        </w:rPr>
        <w:t>fit;</w:t>
      </w:r>
    </w:p>
    <w:p w14:paraId="525B2095" w14:textId="77777777" w:rsidR="0054549F" w:rsidRPr="00A54361" w:rsidRDefault="0054549F" w:rsidP="00A54361">
      <w:pPr>
        <w:ind w:right="2460"/>
        <w:jc w:val="both"/>
        <w:rPr>
          <w:rFonts w:cstheme="minorHAnsi"/>
        </w:rPr>
      </w:pPr>
      <w:r w:rsidRPr="00A54361">
        <w:rPr>
          <w:rFonts w:eastAsia="Times New Roman" w:cstheme="minorHAnsi"/>
        </w:rPr>
        <w:t>6.13 Cont</w:t>
      </w:r>
      <w:r w:rsidRPr="00A54361">
        <w:rPr>
          <w:rFonts w:eastAsia="Times New Roman" w:cstheme="minorHAnsi"/>
          <w:spacing w:val="1"/>
        </w:rPr>
        <w:t>i</w:t>
      </w:r>
      <w:r w:rsidRPr="00A54361">
        <w:rPr>
          <w:rFonts w:eastAsia="Times New Roman" w:cstheme="minorHAnsi"/>
        </w:rPr>
        <w:t>nu</w:t>
      </w:r>
      <w:r w:rsidRPr="00A54361">
        <w:rPr>
          <w:rFonts w:eastAsia="Times New Roman" w:cstheme="minorHAnsi"/>
          <w:spacing w:val="-1"/>
        </w:rPr>
        <w:t>e</w:t>
      </w:r>
      <w:r w:rsidRPr="00A54361">
        <w:rPr>
          <w:rFonts w:eastAsia="Times New Roman" w:cstheme="minorHAnsi"/>
        </w:rPr>
        <w:t>d poor</w:t>
      </w:r>
      <w:r w:rsidRPr="00A54361">
        <w:rPr>
          <w:rFonts w:eastAsia="Times New Roman" w:cstheme="minorHAnsi"/>
          <w:spacing w:val="-1"/>
        </w:rPr>
        <w:t xml:space="preserve"> </w:t>
      </w:r>
      <w:r w:rsidRPr="00A54361">
        <w:rPr>
          <w:rFonts w:eastAsia="Times New Roman" w:cstheme="minorHAnsi"/>
        </w:rPr>
        <w:t>p</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1"/>
        </w:rPr>
        <w:t>f</w:t>
      </w:r>
      <w:r w:rsidRPr="00A54361">
        <w:rPr>
          <w:rFonts w:eastAsia="Times New Roman" w:cstheme="minorHAnsi"/>
        </w:rPr>
        <w:t>orm</w:t>
      </w:r>
      <w:r w:rsidRPr="00A54361">
        <w:rPr>
          <w:rFonts w:eastAsia="Times New Roman" w:cstheme="minorHAnsi"/>
          <w:spacing w:val="-1"/>
        </w:rPr>
        <w:t>a</w:t>
      </w:r>
      <w:r w:rsidRPr="00A54361">
        <w:rPr>
          <w:rFonts w:eastAsia="Times New Roman" w:cstheme="minorHAnsi"/>
        </w:rPr>
        <w:t>n</w:t>
      </w:r>
      <w:r w:rsidRPr="00A54361">
        <w:rPr>
          <w:rFonts w:eastAsia="Times New Roman" w:cstheme="minorHAnsi"/>
          <w:spacing w:val="-1"/>
        </w:rPr>
        <w:t>c</w:t>
      </w:r>
      <w:r w:rsidRPr="00A54361">
        <w:rPr>
          <w:rFonts w:eastAsia="Times New Roman" w:cstheme="minorHAnsi"/>
        </w:rPr>
        <w:t>e</w:t>
      </w:r>
      <w:r w:rsidRPr="00A54361">
        <w:rPr>
          <w:rFonts w:eastAsia="Times New Roman" w:cstheme="minorHAnsi"/>
          <w:spacing w:val="-1"/>
        </w:rPr>
        <w:t xml:space="preserve"> </w:t>
      </w:r>
      <w:r w:rsidRPr="00A54361">
        <w:rPr>
          <w:rFonts w:eastAsia="Times New Roman" w:cstheme="minorHAnsi"/>
          <w:spacing w:val="2"/>
        </w:rPr>
        <w:t>o</w:t>
      </w:r>
      <w:r w:rsidRPr="00A54361">
        <w:rPr>
          <w:rFonts w:eastAsia="Times New Roman" w:cstheme="minorHAnsi"/>
        </w:rPr>
        <w:t>f the</w:t>
      </w:r>
      <w:r w:rsidRPr="00A54361">
        <w:rPr>
          <w:rFonts w:eastAsia="Times New Roman" w:cstheme="minorHAnsi"/>
          <w:spacing w:val="-1"/>
        </w:rPr>
        <w:t xml:space="preserve"> </w:t>
      </w:r>
      <w:r w:rsidRPr="00A54361">
        <w:rPr>
          <w:rFonts w:eastAsia="Times New Roman" w:cstheme="minorHAnsi"/>
          <w:spacing w:val="2"/>
        </w:rPr>
        <w:t>A</w:t>
      </w:r>
      <w:r w:rsidRPr="00A54361">
        <w:rPr>
          <w:rFonts w:eastAsia="Times New Roman" w:cstheme="minorHAnsi"/>
          <w:spacing w:val="-2"/>
        </w:rPr>
        <w:t>g</w:t>
      </w:r>
      <w:r w:rsidRPr="00A54361">
        <w:rPr>
          <w:rFonts w:eastAsia="Times New Roman" w:cstheme="minorHAnsi"/>
          <w:spacing w:val="-1"/>
        </w:rPr>
        <w:t>e</w:t>
      </w:r>
      <w:r w:rsidRPr="00A54361">
        <w:rPr>
          <w:rFonts w:eastAsia="Times New Roman" w:cstheme="minorHAnsi"/>
          <w:spacing w:val="2"/>
        </w:rPr>
        <w:t>n</w:t>
      </w:r>
      <w:r w:rsidRPr="00A54361">
        <w:rPr>
          <w:rFonts w:eastAsia="Times New Roman" w:cstheme="minorHAnsi"/>
          <w:spacing w:val="4"/>
        </w:rPr>
        <w:t>c</w:t>
      </w:r>
      <w:r w:rsidRPr="00A54361">
        <w:rPr>
          <w:rFonts w:eastAsia="Times New Roman" w:cstheme="minorHAnsi"/>
        </w:rPr>
        <w:t>y</w:t>
      </w:r>
      <w:r w:rsidRPr="00A54361">
        <w:rPr>
          <w:rFonts w:eastAsia="Times New Roman" w:cstheme="minorHAnsi"/>
          <w:spacing w:val="-5"/>
        </w:rPr>
        <w:t xml:space="preserve"> </w:t>
      </w:r>
      <w:r w:rsidRPr="00A54361">
        <w:rPr>
          <w:rFonts w:eastAsia="Times New Roman" w:cstheme="minorHAnsi"/>
          <w:spacing w:val="3"/>
        </w:rPr>
        <w:t>i</w:t>
      </w:r>
      <w:r w:rsidRPr="00A54361">
        <w:rPr>
          <w:rFonts w:eastAsia="Times New Roman" w:cstheme="minorHAnsi"/>
        </w:rPr>
        <w:t>n s</w:t>
      </w:r>
      <w:r w:rsidRPr="00A54361">
        <w:rPr>
          <w:rFonts w:eastAsia="Times New Roman" w:cstheme="minorHAnsi"/>
          <w:spacing w:val="-1"/>
        </w:rPr>
        <w:t>e</w:t>
      </w:r>
      <w:r w:rsidRPr="00A54361">
        <w:rPr>
          <w:rFonts w:eastAsia="Times New Roman" w:cstheme="minorHAnsi"/>
        </w:rPr>
        <w:t>v</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2"/>
        </w:rPr>
        <w:t>a</w:t>
      </w:r>
      <w:r w:rsidRPr="00A54361">
        <w:rPr>
          <w:rFonts w:eastAsia="Times New Roman" w:cstheme="minorHAnsi"/>
        </w:rPr>
        <w:t>l</w:t>
      </w:r>
      <w:r w:rsidRPr="00A54361">
        <w:rPr>
          <w:rFonts w:eastAsia="Times New Roman" w:cstheme="minorHAnsi"/>
          <w:spacing w:val="3"/>
        </w:rPr>
        <w:t xml:space="preserve"> </w:t>
      </w:r>
      <w:r w:rsidRPr="00A54361">
        <w:rPr>
          <w:rFonts w:eastAsia="Times New Roman" w:cstheme="minorHAnsi"/>
          <w:spacing w:val="2"/>
        </w:rPr>
        <w:t>c</w:t>
      </w:r>
      <w:r w:rsidRPr="00A54361">
        <w:rPr>
          <w:rFonts w:eastAsia="Times New Roman" w:cstheme="minorHAnsi"/>
        </w:rPr>
        <w:t>ontr</w:t>
      </w:r>
      <w:r w:rsidRPr="00A54361">
        <w:rPr>
          <w:rFonts w:eastAsia="Times New Roman" w:cstheme="minorHAnsi"/>
          <w:spacing w:val="-1"/>
        </w:rPr>
        <w:t>ac</w:t>
      </w:r>
      <w:r w:rsidRPr="00A54361">
        <w:rPr>
          <w:rFonts w:eastAsia="Times New Roman" w:cstheme="minorHAnsi"/>
        </w:rPr>
        <w:t>ts;</w:t>
      </w:r>
    </w:p>
    <w:p w14:paraId="0CFDC548" w14:textId="77777777" w:rsidR="0054549F" w:rsidRPr="00A54361" w:rsidRDefault="0054549F" w:rsidP="00A54361">
      <w:pPr>
        <w:ind w:right="78"/>
        <w:jc w:val="both"/>
        <w:rPr>
          <w:rFonts w:cstheme="minorHAnsi"/>
        </w:rPr>
      </w:pPr>
      <w:r w:rsidRPr="00A54361">
        <w:rPr>
          <w:rFonts w:eastAsia="Times New Roman" w:cstheme="minorHAnsi"/>
        </w:rPr>
        <w:t>6.14</w:t>
      </w:r>
      <w:r w:rsidRPr="00A54361">
        <w:rPr>
          <w:rFonts w:eastAsia="Times New Roman" w:cstheme="minorHAnsi"/>
          <w:spacing w:val="7"/>
        </w:rPr>
        <w:t xml:space="preserve"> </w:t>
      </w:r>
      <w:r w:rsidRPr="00A54361">
        <w:rPr>
          <w:rFonts w:eastAsia="Times New Roman" w:cstheme="minorHAnsi"/>
          <w:spacing w:val="-6"/>
        </w:rPr>
        <w:t>I</w:t>
      </w:r>
      <w:r w:rsidRPr="00A54361">
        <w:rPr>
          <w:rFonts w:eastAsia="Times New Roman" w:cstheme="minorHAnsi"/>
        </w:rPr>
        <w:t>f</w:t>
      </w:r>
      <w:r w:rsidRPr="00A54361">
        <w:rPr>
          <w:rFonts w:eastAsia="Times New Roman" w:cstheme="minorHAnsi"/>
          <w:spacing w:val="4"/>
        </w:rPr>
        <w:t xml:space="preserve"> </w:t>
      </w:r>
      <w:r w:rsidRPr="00A54361">
        <w:rPr>
          <w:rFonts w:eastAsia="Times New Roman" w:cstheme="minorHAnsi"/>
        </w:rPr>
        <w:t>the</w:t>
      </w:r>
      <w:r w:rsidRPr="00A54361">
        <w:rPr>
          <w:rFonts w:eastAsia="Times New Roman" w:cstheme="minorHAnsi"/>
          <w:spacing w:val="4"/>
        </w:rPr>
        <w:t xml:space="preserve"> </w:t>
      </w:r>
      <w:r w:rsidRPr="00A54361">
        <w:rPr>
          <w:rFonts w:eastAsia="Times New Roman" w:cstheme="minorHAnsi"/>
          <w:spacing w:val="2"/>
        </w:rPr>
        <w:t>A</w:t>
      </w:r>
      <w:r w:rsidRPr="00A54361">
        <w:rPr>
          <w:rFonts w:eastAsia="Times New Roman" w:cstheme="minorHAnsi"/>
        </w:rPr>
        <w:t>g</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4"/>
        </w:rPr>
        <w:t>c</w:t>
      </w:r>
      <w:r w:rsidRPr="00A54361">
        <w:rPr>
          <w:rFonts w:eastAsia="Times New Roman" w:cstheme="minorHAnsi"/>
        </w:rPr>
        <w:t>y m</w:t>
      </w:r>
      <w:r w:rsidRPr="00A54361">
        <w:rPr>
          <w:rFonts w:eastAsia="Times New Roman" w:cstheme="minorHAnsi"/>
          <w:spacing w:val="1"/>
        </w:rPr>
        <w:t>i</w:t>
      </w:r>
      <w:r w:rsidRPr="00A54361">
        <w:rPr>
          <w:rFonts w:eastAsia="Times New Roman" w:cstheme="minorHAnsi"/>
        </w:rPr>
        <w:t>suses</w:t>
      </w:r>
      <w:r w:rsidRPr="00A54361">
        <w:rPr>
          <w:rFonts w:eastAsia="Times New Roman" w:cstheme="minorHAnsi"/>
          <w:spacing w:val="4"/>
        </w:rPr>
        <w:t xml:space="preserve"> </w:t>
      </w:r>
      <w:r w:rsidRPr="00A54361">
        <w:rPr>
          <w:rFonts w:eastAsia="Times New Roman" w:cstheme="minorHAnsi"/>
        </w:rPr>
        <w:t>the</w:t>
      </w:r>
      <w:r w:rsidRPr="00A54361">
        <w:rPr>
          <w:rFonts w:eastAsia="Times New Roman" w:cstheme="minorHAnsi"/>
          <w:spacing w:val="4"/>
        </w:rPr>
        <w:t xml:space="preserve"> </w:t>
      </w:r>
      <w:r w:rsidRPr="00A54361">
        <w:rPr>
          <w:rFonts w:eastAsia="Times New Roman" w:cstheme="minorHAnsi"/>
        </w:rPr>
        <w:t>pr</w:t>
      </w:r>
      <w:r w:rsidRPr="00A54361">
        <w:rPr>
          <w:rFonts w:eastAsia="Times New Roman" w:cstheme="minorHAnsi"/>
          <w:spacing w:val="-2"/>
        </w:rPr>
        <w:t>e</w:t>
      </w:r>
      <w:r w:rsidRPr="00A54361">
        <w:rPr>
          <w:rFonts w:eastAsia="Times New Roman" w:cstheme="minorHAnsi"/>
        </w:rPr>
        <w:t>m</w:t>
      </w:r>
      <w:r w:rsidRPr="00A54361">
        <w:rPr>
          <w:rFonts w:eastAsia="Times New Roman" w:cstheme="minorHAnsi"/>
          <w:spacing w:val="1"/>
        </w:rPr>
        <w:t>i</w:t>
      </w:r>
      <w:r w:rsidRPr="00A54361">
        <w:rPr>
          <w:rFonts w:eastAsia="Times New Roman" w:cstheme="minorHAnsi"/>
        </w:rPr>
        <w:t>s</w:t>
      </w:r>
      <w:r w:rsidRPr="00A54361">
        <w:rPr>
          <w:rFonts w:eastAsia="Times New Roman" w:cstheme="minorHAnsi"/>
          <w:spacing w:val="-1"/>
        </w:rPr>
        <w:t>e</w:t>
      </w:r>
      <w:r w:rsidRPr="00A54361">
        <w:rPr>
          <w:rFonts w:eastAsia="Times New Roman" w:cstheme="minorHAnsi"/>
        </w:rPr>
        <w:t>s</w:t>
      </w:r>
      <w:r w:rsidRPr="00A54361">
        <w:rPr>
          <w:rFonts w:eastAsia="Times New Roman" w:cstheme="minorHAnsi"/>
          <w:spacing w:val="5"/>
        </w:rPr>
        <w:t xml:space="preserve"> </w:t>
      </w:r>
      <w:r w:rsidRPr="00A54361">
        <w:rPr>
          <w:rFonts w:eastAsia="Times New Roman" w:cstheme="minorHAnsi"/>
        </w:rPr>
        <w:t>or</w:t>
      </w:r>
      <w:r w:rsidRPr="00A54361">
        <w:rPr>
          <w:rFonts w:eastAsia="Times New Roman" w:cstheme="minorHAnsi"/>
          <w:spacing w:val="4"/>
        </w:rPr>
        <w:t xml:space="preserve"> </w:t>
      </w:r>
      <w:r w:rsidRPr="00A54361">
        <w:rPr>
          <w:rFonts w:eastAsia="Times New Roman" w:cstheme="minorHAnsi"/>
        </w:rPr>
        <w:t>f</w:t>
      </w:r>
      <w:r w:rsidRPr="00A54361">
        <w:rPr>
          <w:rFonts w:eastAsia="Times New Roman" w:cstheme="minorHAnsi"/>
          <w:spacing w:val="-2"/>
        </w:rPr>
        <w:t>a</w:t>
      </w:r>
      <w:r w:rsidRPr="00A54361">
        <w:rPr>
          <w:rFonts w:eastAsia="Times New Roman" w:cstheme="minorHAnsi"/>
          <w:spacing w:val="1"/>
        </w:rPr>
        <w:t>c</w:t>
      </w:r>
      <w:r w:rsidRPr="00A54361">
        <w:rPr>
          <w:rFonts w:eastAsia="Times New Roman" w:cstheme="minorHAnsi"/>
        </w:rPr>
        <w:t>i</w:t>
      </w:r>
      <w:r w:rsidRPr="00A54361">
        <w:rPr>
          <w:rFonts w:eastAsia="Times New Roman" w:cstheme="minorHAnsi"/>
          <w:spacing w:val="1"/>
        </w:rPr>
        <w:t>l</w:t>
      </w:r>
      <w:r w:rsidRPr="00A54361">
        <w:rPr>
          <w:rFonts w:eastAsia="Times New Roman" w:cstheme="minorHAnsi"/>
        </w:rPr>
        <w:t>i</w:t>
      </w:r>
      <w:r w:rsidRPr="00A54361">
        <w:rPr>
          <w:rFonts w:eastAsia="Times New Roman" w:cstheme="minorHAnsi"/>
          <w:spacing w:val="1"/>
        </w:rPr>
        <w:t>t</w:t>
      </w:r>
      <w:r w:rsidRPr="00A54361">
        <w:rPr>
          <w:rFonts w:eastAsia="Times New Roman" w:cstheme="minorHAnsi"/>
        </w:rPr>
        <w:t>ies</w:t>
      </w:r>
      <w:r w:rsidRPr="00A54361">
        <w:rPr>
          <w:rFonts w:eastAsia="Times New Roman" w:cstheme="minorHAnsi"/>
          <w:spacing w:val="4"/>
        </w:rPr>
        <w:t xml:space="preserve"> </w:t>
      </w:r>
      <w:r w:rsidRPr="00A54361">
        <w:rPr>
          <w:rFonts w:eastAsia="Times New Roman" w:cstheme="minorHAnsi"/>
        </w:rPr>
        <w:t>of</w:t>
      </w:r>
      <w:r w:rsidRPr="00A54361">
        <w:rPr>
          <w:rFonts w:eastAsia="Times New Roman" w:cstheme="minorHAnsi"/>
          <w:spacing w:val="4"/>
        </w:rPr>
        <w:t xml:space="preserve"> </w:t>
      </w:r>
      <w:r w:rsidRPr="00A54361">
        <w:rPr>
          <w:rFonts w:eastAsia="Times New Roman" w:cstheme="minorHAnsi"/>
        </w:rPr>
        <w:t>the</w:t>
      </w:r>
      <w:r w:rsidRPr="00A54361">
        <w:rPr>
          <w:rFonts w:eastAsia="Times New Roman" w:cstheme="minorHAnsi"/>
          <w:spacing w:val="4"/>
        </w:rPr>
        <w:t xml:space="preserve"> </w:t>
      </w:r>
      <w:r w:rsidRPr="00A54361">
        <w:rPr>
          <w:rFonts w:eastAsia="Times New Roman" w:cstheme="minorHAnsi"/>
          <w:spacing w:val="-2"/>
        </w:rPr>
        <w:t>B</w:t>
      </w:r>
      <w:r w:rsidRPr="00A54361">
        <w:rPr>
          <w:rFonts w:eastAsia="Times New Roman" w:cstheme="minorHAnsi"/>
          <w:spacing w:val="-1"/>
        </w:rPr>
        <w:t>a</w:t>
      </w:r>
      <w:r w:rsidRPr="00A54361">
        <w:rPr>
          <w:rFonts w:eastAsia="Times New Roman" w:cstheme="minorHAnsi"/>
        </w:rPr>
        <w:t>nk</w:t>
      </w:r>
      <w:r w:rsidRPr="00A54361">
        <w:rPr>
          <w:rFonts w:eastAsia="Times New Roman" w:cstheme="minorHAnsi"/>
          <w:spacing w:val="4"/>
        </w:rPr>
        <w:t xml:space="preserve"> </w:t>
      </w:r>
      <w:r w:rsidRPr="00A54361">
        <w:rPr>
          <w:rFonts w:eastAsia="Times New Roman" w:cstheme="minorHAnsi"/>
        </w:rPr>
        <w:t>(CE</w:t>
      </w:r>
      <w:r w:rsidRPr="00A54361">
        <w:rPr>
          <w:rFonts w:eastAsia="Times New Roman" w:cstheme="minorHAnsi"/>
          <w:spacing w:val="-1"/>
        </w:rPr>
        <w:t>N</w:t>
      </w:r>
      <w:r w:rsidRPr="00A54361">
        <w:rPr>
          <w:rFonts w:eastAsia="Times New Roman" w:cstheme="minorHAnsi"/>
        </w:rPr>
        <w:t>TR</w:t>
      </w:r>
      <w:r w:rsidRPr="00A54361">
        <w:rPr>
          <w:rFonts w:eastAsia="Times New Roman" w:cstheme="minorHAnsi"/>
          <w:spacing w:val="2"/>
        </w:rPr>
        <w:t>A</w:t>
      </w:r>
      <w:r w:rsidRPr="00A54361">
        <w:rPr>
          <w:rFonts w:eastAsia="Times New Roman" w:cstheme="minorHAnsi"/>
        </w:rPr>
        <w:t>L</w:t>
      </w:r>
      <w:r w:rsidRPr="00A54361">
        <w:rPr>
          <w:rFonts w:eastAsia="Times New Roman" w:cstheme="minorHAnsi"/>
          <w:spacing w:val="2"/>
        </w:rPr>
        <w:t xml:space="preserve"> </w:t>
      </w:r>
      <w:r w:rsidRPr="00A54361">
        <w:rPr>
          <w:rFonts w:eastAsia="Times New Roman" w:cstheme="minorHAnsi"/>
          <w:spacing w:val="-2"/>
        </w:rPr>
        <w:t>B</w:t>
      </w:r>
      <w:r w:rsidRPr="00A54361">
        <w:rPr>
          <w:rFonts w:eastAsia="Times New Roman" w:cstheme="minorHAnsi"/>
        </w:rPr>
        <w:t>A</w:t>
      </w:r>
      <w:r w:rsidRPr="00A54361">
        <w:rPr>
          <w:rFonts w:eastAsia="Times New Roman" w:cstheme="minorHAnsi"/>
          <w:spacing w:val="-1"/>
        </w:rPr>
        <w:t>N</w:t>
      </w:r>
      <w:r w:rsidRPr="00A54361">
        <w:rPr>
          <w:rFonts w:eastAsia="Times New Roman" w:cstheme="minorHAnsi"/>
        </w:rPr>
        <w:t>K</w:t>
      </w:r>
      <w:r w:rsidRPr="00A54361">
        <w:rPr>
          <w:rFonts w:eastAsia="Times New Roman" w:cstheme="minorHAnsi"/>
          <w:spacing w:val="4"/>
        </w:rPr>
        <w:t xml:space="preserve"> </w:t>
      </w:r>
      <w:r w:rsidRPr="00A54361">
        <w:rPr>
          <w:rFonts w:eastAsia="Times New Roman" w:cstheme="minorHAnsi"/>
          <w:spacing w:val="2"/>
        </w:rPr>
        <w:t>O</w:t>
      </w:r>
      <w:r w:rsidRPr="00A54361">
        <w:rPr>
          <w:rFonts w:eastAsia="Times New Roman" w:cstheme="minorHAnsi"/>
        </w:rPr>
        <w:t xml:space="preserve">F </w:t>
      </w:r>
      <w:r w:rsidRPr="00A54361">
        <w:rPr>
          <w:rFonts w:eastAsia="Times New Roman" w:cstheme="minorHAnsi"/>
          <w:spacing w:val="-3"/>
        </w:rPr>
        <w:t>I</w:t>
      </w:r>
      <w:r w:rsidRPr="00A54361">
        <w:rPr>
          <w:rFonts w:eastAsia="Times New Roman" w:cstheme="minorHAnsi"/>
          <w:spacing w:val="2"/>
        </w:rPr>
        <w:t>ND</w:t>
      </w:r>
      <w:r w:rsidRPr="00A54361">
        <w:rPr>
          <w:rFonts w:eastAsia="Times New Roman" w:cstheme="minorHAnsi"/>
          <w:spacing w:val="-3"/>
        </w:rPr>
        <w:t>I</w:t>
      </w:r>
      <w:r w:rsidRPr="00A54361">
        <w:rPr>
          <w:rFonts w:eastAsia="Times New Roman" w:cstheme="minorHAnsi"/>
          <w:spacing w:val="2"/>
        </w:rPr>
        <w:t>A</w:t>
      </w:r>
      <w:r w:rsidRPr="00A54361">
        <w:rPr>
          <w:rFonts w:eastAsia="Times New Roman" w:cstheme="minorHAnsi"/>
        </w:rPr>
        <w:t>),</w:t>
      </w:r>
      <w:r w:rsidRPr="00A54361">
        <w:rPr>
          <w:rFonts w:eastAsia="Times New Roman" w:cstheme="minorHAnsi"/>
          <w:spacing w:val="4"/>
        </w:rPr>
        <w:t xml:space="preserve"> </w:t>
      </w:r>
      <w:r w:rsidRPr="00A54361">
        <w:rPr>
          <w:rFonts w:eastAsia="Times New Roman" w:cstheme="minorHAnsi"/>
        </w:rPr>
        <w:t>fo</w:t>
      </w:r>
      <w:r w:rsidRPr="00A54361">
        <w:rPr>
          <w:rFonts w:eastAsia="Times New Roman" w:cstheme="minorHAnsi"/>
          <w:spacing w:val="1"/>
        </w:rPr>
        <w:t>r</w:t>
      </w:r>
      <w:r w:rsidRPr="00A54361">
        <w:rPr>
          <w:rFonts w:eastAsia="Times New Roman" w:cstheme="minorHAnsi"/>
          <w:spacing w:val="-1"/>
        </w:rPr>
        <w:t>ce</w:t>
      </w:r>
      <w:r w:rsidRPr="00A54361">
        <w:rPr>
          <w:rFonts w:eastAsia="Times New Roman" w:cstheme="minorHAnsi"/>
        </w:rPr>
        <w:t>ful</w:t>
      </w:r>
      <w:r w:rsidRPr="00A54361">
        <w:rPr>
          <w:rFonts w:eastAsia="Times New Roman" w:cstheme="minorHAnsi"/>
          <w:spacing w:val="5"/>
        </w:rPr>
        <w:t>l</w:t>
      </w:r>
      <w:r w:rsidRPr="00A54361">
        <w:rPr>
          <w:rFonts w:eastAsia="Times New Roman" w:cstheme="minorHAnsi"/>
        </w:rPr>
        <w:t xml:space="preserve">y </w:t>
      </w:r>
      <w:r w:rsidRPr="00A54361">
        <w:rPr>
          <w:rFonts w:eastAsia="Times New Roman" w:cstheme="minorHAnsi"/>
          <w:spacing w:val="2"/>
        </w:rPr>
        <w:t>o</w:t>
      </w:r>
      <w:r w:rsidRPr="00A54361">
        <w:rPr>
          <w:rFonts w:eastAsia="Times New Roman" w:cstheme="minorHAnsi"/>
          <w:spacing w:val="-1"/>
        </w:rPr>
        <w:t>cc</w:t>
      </w:r>
      <w:r w:rsidRPr="00A54361">
        <w:rPr>
          <w:rFonts w:eastAsia="Times New Roman" w:cstheme="minorHAnsi"/>
          <w:spacing w:val="2"/>
        </w:rPr>
        <w:t>u</w:t>
      </w:r>
      <w:r w:rsidRPr="00A54361">
        <w:rPr>
          <w:rFonts w:eastAsia="Times New Roman" w:cstheme="minorHAnsi"/>
        </w:rPr>
        <w:t>pies,</w:t>
      </w:r>
      <w:r w:rsidRPr="00A54361">
        <w:rPr>
          <w:rFonts w:eastAsia="Times New Roman" w:cstheme="minorHAnsi"/>
          <w:spacing w:val="4"/>
        </w:rPr>
        <w:t xml:space="preserve"> </w:t>
      </w:r>
      <w:r w:rsidRPr="00A54361">
        <w:rPr>
          <w:rFonts w:eastAsia="Times New Roman" w:cstheme="minorHAnsi"/>
        </w:rPr>
        <w:t>tamp</w:t>
      </w:r>
      <w:r w:rsidRPr="00A54361">
        <w:rPr>
          <w:rFonts w:eastAsia="Times New Roman" w:cstheme="minorHAnsi"/>
          <w:spacing w:val="-1"/>
        </w:rPr>
        <w:t>e</w:t>
      </w:r>
      <w:r w:rsidRPr="00A54361">
        <w:rPr>
          <w:rFonts w:eastAsia="Times New Roman" w:cstheme="minorHAnsi"/>
        </w:rPr>
        <w:t>rs</w:t>
      </w:r>
      <w:r w:rsidRPr="00A54361">
        <w:rPr>
          <w:rFonts w:eastAsia="Times New Roman" w:cstheme="minorHAnsi"/>
          <w:spacing w:val="4"/>
        </w:rPr>
        <w:t xml:space="preserve"> </w:t>
      </w:r>
      <w:r w:rsidRPr="00A54361">
        <w:rPr>
          <w:rFonts w:eastAsia="Times New Roman" w:cstheme="minorHAnsi"/>
        </w:rPr>
        <w:t>or</w:t>
      </w:r>
      <w:r w:rsidRPr="00A54361">
        <w:rPr>
          <w:rFonts w:eastAsia="Times New Roman" w:cstheme="minorHAnsi"/>
          <w:spacing w:val="4"/>
        </w:rPr>
        <w:t xml:space="preserve"> </w:t>
      </w:r>
      <w:r w:rsidRPr="00A54361">
        <w:rPr>
          <w:rFonts w:eastAsia="Times New Roman" w:cstheme="minorHAnsi"/>
          <w:spacing w:val="2"/>
        </w:rPr>
        <w:t>d</w:t>
      </w:r>
      <w:r w:rsidRPr="00A54361">
        <w:rPr>
          <w:rFonts w:eastAsia="Times New Roman" w:cstheme="minorHAnsi"/>
          <w:spacing w:val="-1"/>
        </w:rPr>
        <w:t>a</w:t>
      </w:r>
      <w:r w:rsidRPr="00A54361">
        <w:rPr>
          <w:rFonts w:eastAsia="Times New Roman" w:cstheme="minorHAnsi"/>
        </w:rPr>
        <w:t>m</w:t>
      </w:r>
      <w:r w:rsidRPr="00A54361">
        <w:rPr>
          <w:rFonts w:eastAsia="Times New Roman" w:cstheme="minorHAnsi"/>
          <w:spacing w:val="2"/>
        </w:rPr>
        <w:t>a</w:t>
      </w:r>
      <w:r w:rsidRPr="00A54361">
        <w:rPr>
          <w:rFonts w:eastAsia="Times New Roman" w:cstheme="minorHAnsi"/>
          <w:spacing w:val="-2"/>
        </w:rPr>
        <w:t>g</w:t>
      </w:r>
      <w:r w:rsidRPr="00A54361">
        <w:rPr>
          <w:rFonts w:eastAsia="Times New Roman" w:cstheme="minorHAnsi"/>
          <w:spacing w:val="-1"/>
        </w:rPr>
        <w:t>e</w:t>
      </w:r>
      <w:r w:rsidRPr="00A54361">
        <w:rPr>
          <w:rFonts w:eastAsia="Times New Roman" w:cstheme="minorHAnsi"/>
        </w:rPr>
        <w:t>s</w:t>
      </w:r>
      <w:r w:rsidRPr="00A54361">
        <w:rPr>
          <w:rFonts w:eastAsia="Times New Roman" w:cstheme="minorHAnsi"/>
          <w:spacing w:val="7"/>
        </w:rPr>
        <w:t xml:space="preserve"> </w:t>
      </w:r>
      <w:r w:rsidRPr="00A54361">
        <w:rPr>
          <w:rFonts w:eastAsia="Times New Roman" w:cstheme="minorHAnsi"/>
        </w:rPr>
        <w:t>the</w:t>
      </w:r>
      <w:r w:rsidRPr="00A54361">
        <w:rPr>
          <w:rFonts w:eastAsia="Times New Roman" w:cstheme="minorHAnsi"/>
          <w:spacing w:val="9"/>
        </w:rPr>
        <w:t xml:space="preserve"> </w:t>
      </w:r>
      <w:r w:rsidRPr="00A54361">
        <w:rPr>
          <w:rFonts w:eastAsia="Times New Roman" w:cstheme="minorHAnsi"/>
        </w:rPr>
        <w:t>B</w:t>
      </w:r>
      <w:r w:rsidRPr="00A54361">
        <w:rPr>
          <w:rFonts w:eastAsia="Times New Roman" w:cstheme="minorHAnsi"/>
          <w:spacing w:val="-1"/>
        </w:rPr>
        <w:t>a</w:t>
      </w:r>
      <w:r w:rsidRPr="00A54361">
        <w:rPr>
          <w:rFonts w:eastAsia="Times New Roman" w:cstheme="minorHAnsi"/>
        </w:rPr>
        <w:t>nk’s</w:t>
      </w:r>
      <w:r w:rsidRPr="00A54361">
        <w:rPr>
          <w:rFonts w:eastAsia="Times New Roman" w:cstheme="minorHAnsi"/>
          <w:spacing w:val="5"/>
        </w:rPr>
        <w:t xml:space="preserve"> </w:t>
      </w:r>
      <w:r w:rsidRPr="00A54361">
        <w:rPr>
          <w:rFonts w:eastAsia="Times New Roman" w:cstheme="minorHAnsi"/>
        </w:rPr>
        <w:t>pro</w:t>
      </w:r>
      <w:r w:rsidRPr="00A54361">
        <w:rPr>
          <w:rFonts w:eastAsia="Times New Roman" w:cstheme="minorHAnsi"/>
          <w:spacing w:val="1"/>
        </w:rPr>
        <w:t>p</w:t>
      </w:r>
      <w:r w:rsidRPr="00A54361">
        <w:rPr>
          <w:rFonts w:eastAsia="Times New Roman" w:cstheme="minorHAnsi"/>
          <w:spacing w:val="-1"/>
        </w:rPr>
        <w:t>e</w:t>
      </w:r>
      <w:r w:rsidRPr="00A54361">
        <w:rPr>
          <w:rFonts w:eastAsia="Times New Roman" w:cstheme="minorHAnsi"/>
        </w:rPr>
        <w:t>rti</w:t>
      </w:r>
      <w:r w:rsidRPr="00A54361">
        <w:rPr>
          <w:rFonts w:eastAsia="Times New Roman" w:cstheme="minorHAnsi"/>
          <w:spacing w:val="-1"/>
        </w:rPr>
        <w:t>e</w:t>
      </w:r>
      <w:r w:rsidRPr="00A54361">
        <w:rPr>
          <w:rFonts w:eastAsia="Times New Roman" w:cstheme="minorHAnsi"/>
        </w:rPr>
        <w:t>s</w:t>
      </w:r>
      <w:r w:rsidRPr="00A54361">
        <w:rPr>
          <w:rFonts w:eastAsia="Times New Roman" w:cstheme="minorHAnsi"/>
          <w:spacing w:val="5"/>
        </w:rPr>
        <w:t xml:space="preserve"> </w:t>
      </w:r>
      <w:r w:rsidRPr="00A54361">
        <w:rPr>
          <w:rFonts w:eastAsia="Times New Roman" w:cstheme="minorHAnsi"/>
        </w:rPr>
        <w:t>i</w:t>
      </w:r>
      <w:r w:rsidRPr="00A54361">
        <w:rPr>
          <w:rFonts w:eastAsia="Times New Roman" w:cstheme="minorHAnsi"/>
          <w:spacing w:val="3"/>
        </w:rPr>
        <w:t>n</w:t>
      </w:r>
      <w:r w:rsidRPr="00A54361">
        <w:rPr>
          <w:rFonts w:eastAsia="Times New Roman" w:cstheme="minorHAnsi"/>
          <w:spacing w:val="-1"/>
        </w:rPr>
        <w:t>c</w:t>
      </w:r>
      <w:r w:rsidRPr="00A54361">
        <w:rPr>
          <w:rFonts w:eastAsia="Times New Roman" w:cstheme="minorHAnsi"/>
        </w:rPr>
        <w:t>lud</w:t>
      </w:r>
      <w:r w:rsidRPr="00A54361">
        <w:rPr>
          <w:rFonts w:eastAsia="Times New Roman" w:cstheme="minorHAnsi"/>
          <w:spacing w:val="1"/>
        </w:rPr>
        <w:t>i</w:t>
      </w:r>
      <w:r w:rsidRPr="00A54361">
        <w:rPr>
          <w:rFonts w:eastAsia="Times New Roman" w:cstheme="minorHAnsi"/>
        </w:rPr>
        <w:t>ng</w:t>
      </w:r>
      <w:r w:rsidRPr="00A54361">
        <w:rPr>
          <w:rFonts w:eastAsia="Times New Roman" w:cstheme="minorHAnsi"/>
          <w:spacing w:val="2"/>
        </w:rPr>
        <w:t xml:space="preserve"> </w:t>
      </w:r>
      <w:r w:rsidRPr="00A54361">
        <w:rPr>
          <w:rFonts w:eastAsia="Times New Roman" w:cstheme="minorHAnsi"/>
        </w:rPr>
        <w:t>land,</w:t>
      </w:r>
      <w:r w:rsidRPr="00A54361">
        <w:rPr>
          <w:rFonts w:eastAsia="Times New Roman" w:cstheme="minorHAnsi"/>
          <w:spacing w:val="6"/>
        </w:rPr>
        <w:t xml:space="preserve"> </w:t>
      </w:r>
      <w:r w:rsidRPr="00A54361">
        <w:rPr>
          <w:rFonts w:eastAsia="Times New Roman" w:cstheme="minorHAnsi"/>
        </w:rPr>
        <w:t>w</w:t>
      </w:r>
      <w:r w:rsidRPr="00A54361">
        <w:rPr>
          <w:rFonts w:eastAsia="Times New Roman" w:cstheme="minorHAnsi"/>
          <w:spacing w:val="-1"/>
        </w:rPr>
        <w:t>a</w:t>
      </w:r>
      <w:r w:rsidRPr="00A54361">
        <w:rPr>
          <w:rFonts w:eastAsia="Times New Roman" w:cstheme="minorHAnsi"/>
        </w:rPr>
        <w:t>t</w:t>
      </w:r>
      <w:r w:rsidRPr="00A54361">
        <w:rPr>
          <w:rFonts w:eastAsia="Times New Roman" w:cstheme="minorHAnsi"/>
          <w:spacing w:val="2"/>
        </w:rPr>
        <w:t>e</w:t>
      </w:r>
      <w:r w:rsidRPr="00A54361">
        <w:rPr>
          <w:rFonts w:eastAsia="Times New Roman" w:cstheme="minorHAnsi"/>
        </w:rPr>
        <w:t>r r</w:t>
      </w:r>
      <w:r w:rsidRPr="00A54361">
        <w:rPr>
          <w:rFonts w:eastAsia="Times New Roman" w:cstheme="minorHAnsi"/>
          <w:spacing w:val="-2"/>
        </w:rPr>
        <w:t>e</w:t>
      </w:r>
      <w:r w:rsidRPr="00A54361">
        <w:rPr>
          <w:rFonts w:eastAsia="Times New Roman" w:cstheme="minorHAnsi"/>
        </w:rPr>
        <w:t>sour</w:t>
      </w:r>
      <w:r w:rsidRPr="00A54361">
        <w:rPr>
          <w:rFonts w:eastAsia="Times New Roman" w:cstheme="minorHAnsi"/>
          <w:spacing w:val="1"/>
        </w:rPr>
        <w:t>c</w:t>
      </w:r>
      <w:r w:rsidRPr="00A54361">
        <w:rPr>
          <w:rFonts w:eastAsia="Times New Roman" w:cstheme="minorHAnsi"/>
          <w:spacing w:val="-1"/>
        </w:rPr>
        <w:t>e</w:t>
      </w:r>
      <w:r w:rsidRPr="00A54361">
        <w:rPr>
          <w:rFonts w:eastAsia="Times New Roman" w:cstheme="minorHAnsi"/>
        </w:rPr>
        <w:t>s, fo</w:t>
      </w:r>
      <w:r w:rsidRPr="00A54361">
        <w:rPr>
          <w:rFonts w:eastAsia="Times New Roman" w:cstheme="minorHAnsi"/>
          <w:spacing w:val="1"/>
        </w:rPr>
        <w:t>r</w:t>
      </w:r>
      <w:r w:rsidRPr="00A54361">
        <w:rPr>
          <w:rFonts w:eastAsia="Times New Roman" w:cstheme="minorHAnsi"/>
          <w:spacing w:val="-1"/>
        </w:rPr>
        <w:t>e</w:t>
      </w:r>
      <w:r w:rsidRPr="00A54361">
        <w:rPr>
          <w:rFonts w:eastAsia="Times New Roman" w:cstheme="minorHAnsi"/>
        </w:rPr>
        <w:t>sts</w:t>
      </w:r>
      <w:r w:rsidRPr="00A54361">
        <w:rPr>
          <w:rFonts w:eastAsia="Times New Roman" w:cstheme="minorHAnsi"/>
          <w:spacing w:val="1"/>
        </w:rPr>
        <w:t xml:space="preserve"> </w:t>
      </w:r>
      <w:r w:rsidRPr="00A54361">
        <w:rPr>
          <w:rFonts w:eastAsia="Times New Roman" w:cstheme="minorHAnsi"/>
        </w:rPr>
        <w:t xml:space="preserve">/ </w:t>
      </w:r>
      <w:r w:rsidRPr="00A54361">
        <w:rPr>
          <w:rFonts w:eastAsia="Times New Roman" w:cstheme="minorHAnsi"/>
          <w:spacing w:val="1"/>
        </w:rPr>
        <w:t>t</w:t>
      </w:r>
      <w:r w:rsidRPr="00A54361">
        <w:rPr>
          <w:rFonts w:eastAsia="Times New Roman" w:cstheme="minorHAnsi"/>
        </w:rPr>
        <w:t>r</w:t>
      </w:r>
      <w:r w:rsidRPr="00A54361">
        <w:rPr>
          <w:rFonts w:eastAsia="Times New Roman" w:cstheme="minorHAnsi"/>
          <w:spacing w:val="-2"/>
        </w:rPr>
        <w:t>e</w:t>
      </w:r>
      <w:r w:rsidRPr="00A54361">
        <w:rPr>
          <w:rFonts w:eastAsia="Times New Roman" w:cstheme="minorHAnsi"/>
          <w:spacing w:val="-1"/>
        </w:rPr>
        <w:t>e</w:t>
      </w:r>
      <w:r w:rsidRPr="00A54361">
        <w:rPr>
          <w:rFonts w:eastAsia="Times New Roman" w:cstheme="minorHAnsi"/>
        </w:rPr>
        <w:t>s,</w:t>
      </w:r>
      <w:r w:rsidRPr="00A54361">
        <w:rPr>
          <w:rFonts w:eastAsia="Times New Roman" w:cstheme="minorHAnsi"/>
          <w:spacing w:val="2"/>
        </w:rPr>
        <w:t xml:space="preserve"> </w:t>
      </w:r>
      <w:r w:rsidRPr="00A54361">
        <w:rPr>
          <w:rFonts w:eastAsia="Times New Roman" w:cstheme="minorHAnsi"/>
          <w:spacing w:val="-1"/>
        </w:rPr>
        <w:t>e</w:t>
      </w:r>
      <w:r w:rsidRPr="00A54361">
        <w:rPr>
          <w:rFonts w:eastAsia="Times New Roman" w:cstheme="minorHAnsi"/>
        </w:rPr>
        <w:t>tc.</w:t>
      </w:r>
    </w:p>
    <w:p w14:paraId="7E8603C4" w14:textId="77777777" w:rsidR="0054549F" w:rsidRPr="00A54361" w:rsidRDefault="0054549F" w:rsidP="00A54361">
      <w:pPr>
        <w:ind w:right="81"/>
        <w:jc w:val="both"/>
        <w:rPr>
          <w:rFonts w:cstheme="minorHAnsi"/>
        </w:rPr>
      </w:pPr>
      <w:r w:rsidRPr="00A54361">
        <w:rPr>
          <w:rFonts w:eastAsia="Times New Roman" w:cstheme="minorHAnsi"/>
        </w:rPr>
        <w:t>(</w:t>
      </w:r>
      <w:r w:rsidRPr="00A54361">
        <w:rPr>
          <w:rFonts w:eastAsia="Times New Roman" w:cstheme="minorHAnsi"/>
          <w:spacing w:val="-1"/>
        </w:rPr>
        <w:t>N</w:t>
      </w:r>
      <w:r w:rsidRPr="00A54361">
        <w:rPr>
          <w:rFonts w:eastAsia="Times New Roman" w:cstheme="minorHAnsi"/>
        </w:rPr>
        <w:t>ote:</w:t>
      </w:r>
      <w:r w:rsidRPr="00A54361">
        <w:rPr>
          <w:rFonts w:eastAsia="Times New Roman" w:cstheme="minorHAnsi"/>
          <w:spacing w:val="29"/>
        </w:rPr>
        <w:t xml:space="preserve"> </w:t>
      </w:r>
      <w:r w:rsidRPr="00A54361">
        <w:rPr>
          <w:rFonts w:eastAsia="Times New Roman" w:cstheme="minorHAnsi"/>
        </w:rPr>
        <w:t>The</w:t>
      </w:r>
      <w:r w:rsidRPr="00A54361">
        <w:rPr>
          <w:rFonts w:eastAsia="Times New Roman" w:cstheme="minorHAnsi"/>
          <w:spacing w:val="27"/>
        </w:rPr>
        <w:t xml:space="preserve"> </w:t>
      </w:r>
      <w:r w:rsidRPr="00A54361">
        <w:rPr>
          <w:rFonts w:eastAsia="Times New Roman" w:cstheme="minorHAnsi"/>
          <w:spacing w:val="-1"/>
        </w:rPr>
        <w:t>e</w:t>
      </w:r>
      <w:r w:rsidRPr="00A54361">
        <w:rPr>
          <w:rFonts w:eastAsia="Times New Roman" w:cstheme="minorHAnsi"/>
          <w:spacing w:val="2"/>
        </w:rPr>
        <w:t>x</w:t>
      </w:r>
      <w:r w:rsidRPr="00A54361">
        <w:rPr>
          <w:rFonts w:eastAsia="Times New Roman" w:cstheme="minorHAnsi"/>
          <w:spacing w:val="-1"/>
        </w:rPr>
        <w:t>a</w:t>
      </w:r>
      <w:r w:rsidRPr="00A54361">
        <w:rPr>
          <w:rFonts w:eastAsia="Times New Roman" w:cstheme="minorHAnsi"/>
        </w:rPr>
        <w:t>mp</w:t>
      </w:r>
      <w:r w:rsidRPr="00A54361">
        <w:rPr>
          <w:rFonts w:eastAsia="Times New Roman" w:cstheme="minorHAnsi"/>
          <w:spacing w:val="1"/>
        </w:rPr>
        <w:t>l</w:t>
      </w:r>
      <w:r w:rsidRPr="00A54361">
        <w:rPr>
          <w:rFonts w:eastAsia="Times New Roman" w:cstheme="minorHAnsi"/>
          <w:spacing w:val="-1"/>
        </w:rPr>
        <w:t>e</w:t>
      </w:r>
      <w:r w:rsidRPr="00A54361">
        <w:rPr>
          <w:rFonts w:eastAsia="Times New Roman" w:cstheme="minorHAnsi"/>
        </w:rPr>
        <w:t>s</w:t>
      </w:r>
      <w:r w:rsidRPr="00A54361">
        <w:rPr>
          <w:rFonts w:eastAsia="Times New Roman" w:cstheme="minorHAnsi"/>
          <w:spacing w:val="29"/>
        </w:rPr>
        <w:t xml:space="preserve"> </w:t>
      </w:r>
      <w:r w:rsidRPr="00A54361">
        <w:rPr>
          <w:rFonts w:eastAsia="Times New Roman" w:cstheme="minorHAnsi"/>
          <w:spacing w:val="-2"/>
        </w:rPr>
        <w:t>g</w:t>
      </w:r>
      <w:r w:rsidRPr="00A54361">
        <w:rPr>
          <w:rFonts w:eastAsia="Times New Roman" w:cstheme="minorHAnsi"/>
        </w:rPr>
        <w:t>iven</w:t>
      </w:r>
      <w:r w:rsidRPr="00A54361">
        <w:rPr>
          <w:rFonts w:eastAsia="Times New Roman" w:cstheme="minorHAnsi"/>
          <w:spacing w:val="28"/>
        </w:rPr>
        <w:t xml:space="preserve"> </w:t>
      </w:r>
      <w:r w:rsidRPr="00A54361">
        <w:rPr>
          <w:rFonts w:eastAsia="Times New Roman" w:cstheme="minorHAnsi"/>
          <w:spacing w:val="-1"/>
        </w:rPr>
        <w:t>a</w:t>
      </w:r>
      <w:r w:rsidRPr="00A54361">
        <w:rPr>
          <w:rFonts w:eastAsia="Times New Roman" w:cstheme="minorHAnsi"/>
        </w:rPr>
        <w:t>bove</w:t>
      </w:r>
      <w:r w:rsidRPr="00A54361">
        <w:rPr>
          <w:rFonts w:eastAsia="Times New Roman" w:cstheme="minorHAnsi"/>
          <w:spacing w:val="28"/>
        </w:rPr>
        <w:t xml:space="preserve"> </w:t>
      </w:r>
      <w:r w:rsidRPr="00A54361">
        <w:rPr>
          <w:rFonts w:eastAsia="Times New Roman" w:cstheme="minorHAnsi"/>
          <w:spacing w:val="-1"/>
        </w:rPr>
        <w:t>a</w:t>
      </w:r>
      <w:r w:rsidRPr="00A54361">
        <w:rPr>
          <w:rFonts w:eastAsia="Times New Roman" w:cstheme="minorHAnsi"/>
          <w:spacing w:val="1"/>
        </w:rPr>
        <w:t>r</w:t>
      </w:r>
      <w:r w:rsidRPr="00A54361">
        <w:rPr>
          <w:rFonts w:eastAsia="Times New Roman" w:cstheme="minorHAnsi"/>
        </w:rPr>
        <w:t>e</w:t>
      </w:r>
      <w:r w:rsidRPr="00A54361">
        <w:rPr>
          <w:rFonts w:eastAsia="Times New Roman" w:cstheme="minorHAnsi"/>
          <w:spacing w:val="30"/>
        </w:rPr>
        <w:t xml:space="preserve"> </w:t>
      </w:r>
      <w:r w:rsidRPr="00A54361">
        <w:rPr>
          <w:rFonts w:eastAsia="Times New Roman" w:cstheme="minorHAnsi"/>
        </w:rPr>
        <w:t>on</w:t>
      </w:r>
      <w:r w:rsidRPr="00A54361">
        <w:rPr>
          <w:rFonts w:eastAsia="Times New Roman" w:cstheme="minorHAnsi"/>
          <w:spacing w:val="3"/>
        </w:rPr>
        <w:t>l</w:t>
      </w:r>
      <w:r w:rsidRPr="00A54361">
        <w:rPr>
          <w:rFonts w:eastAsia="Times New Roman" w:cstheme="minorHAnsi"/>
        </w:rPr>
        <w:t>y</w:t>
      </w:r>
      <w:r w:rsidRPr="00A54361">
        <w:rPr>
          <w:rFonts w:eastAsia="Times New Roman" w:cstheme="minorHAnsi"/>
          <w:spacing w:val="24"/>
        </w:rPr>
        <w:t xml:space="preserve"> </w:t>
      </w:r>
      <w:r w:rsidRPr="00A54361">
        <w:rPr>
          <w:rFonts w:eastAsia="Times New Roman" w:cstheme="minorHAnsi"/>
        </w:rPr>
        <w:t>i</w:t>
      </w:r>
      <w:r w:rsidRPr="00A54361">
        <w:rPr>
          <w:rFonts w:eastAsia="Times New Roman" w:cstheme="minorHAnsi"/>
          <w:spacing w:val="1"/>
        </w:rPr>
        <w:t>l</w:t>
      </w:r>
      <w:r w:rsidRPr="00A54361">
        <w:rPr>
          <w:rFonts w:eastAsia="Times New Roman" w:cstheme="minorHAnsi"/>
        </w:rPr>
        <w:t>lus</w:t>
      </w:r>
      <w:r w:rsidRPr="00A54361">
        <w:rPr>
          <w:rFonts w:eastAsia="Times New Roman" w:cstheme="minorHAnsi"/>
          <w:spacing w:val="1"/>
        </w:rPr>
        <w:t>t</w:t>
      </w:r>
      <w:r w:rsidRPr="00A54361">
        <w:rPr>
          <w:rFonts w:eastAsia="Times New Roman" w:cstheme="minorHAnsi"/>
        </w:rPr>
        <w:t>r</w:t>
      </w:r>
      <w:r w:rsidRPr="00A54361">
        <w:rPr>
          <w:rFonts w:eastAsia="Times New Roman" w:cstheme="minorHAnsi"/>
          <w:spacing w:val="-2"/>
        </w:rPr>
        <w:t>a</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ve</w:t>
      </w:r>
      <w:r w:rsidRPr="00A54361">
        <w:rPr>
          <w:rFonts w:eastAsia="Times New Roman" w:cstheme="minorHAnsi"/>
          <w:spacing w:val="28"/>
        </w:rPr>
        <w:t xml:space="preserve"> </w:t>
      </w:r>
      <w:r w:rsidRPr="00A54361">
        <w:rPr>
          <w:rFonts w:eastAsia="Times New Roman" w:cstheme="minorHAnsi"/>
          <w:spacing w:val="-1"/>
        </w:rPr>
        <w:t>a</w:t>
      </w:r>
      <w:r w:rsidRPr="00A54361">
        <w:rPr>
          <w:rFonts w:eastAsia="Times New Roman" w:cstheme="minorHAnsi"/>
        </w:rPr>
        <w:t>nd</w:t>
      </w:r>
      <w:r w:rsidRPr="00A54361">
        <w:rPr>
          <w:rFonts w:eastAsia="Times New Roman" w:cstheme="minorHAnsi"/>
          <w:spacing w:val="29"/>
        </w:rPr>
        <w:t xml:space="preserve"> </w:t>
      </w:r>
      <w:r w:rsidRPr="00A54361">
        <w:rPr>
          <w:rFonts w:eastAsia="Times New Roman" w:cstheme="minorHAnsi"/>
        </w:rPr>
        <w:t>not</w:t>
      </w:r>
      <w:r w:rsidRPr="00A54361">
        <w:rPr>
          <w:rFonts w:eastAsia="Times New Roman" w:cstheme="minorHAnsi"/>
          <w:spacing w:val="29"/>
        </w:rPr>
        <w:t xml:space="preserve"> </w:t>
      </w:r>
      <w:r w:rsidRPr="00A54361">
        <w:rPr>
          <w:rFonts w:eastAsia="Times New Roman" w:cstheme="minorHAnsi"/>
          <w:spacing w:val="-1"/>
        </w:rPr>
        <w:t>e</w:t>
      </w:r>
      <w:r w:rsidRPr="00A54361">
        <w:rPr>
          <w:rFonts w:eastAsia="Times New Roman" w:cstheme="minorHAnsi"/>
          <w:spacing w:val="2"/>
        </w:rPr>
        <w:t>x</w:t>
      </w:r>
      <w:r w:rsidRPr="00A54361">
        <w:rPr>
          <w:rFonts w:eastAsia="Times New Roman" w:cstheme="minorHAnsi"/>
        </w:rPr>
        <w:t>h</w:t>
      </w:r>
      <w:r w:rsidRPr="00A54361">
        <w:rPr>
          <w:rFonts w:eastAsia="Times New Roman" w:cstheme="minorHAnsi"/>
          <w:spacing w:val="-1"/>
        </w:rPr>
        <w:t>a</w:t>
      </w:r>
      <w:r w:rsidRPr="00A54361">
        <w:rPr>
          <w:rFonts w:eastAsia="Times New Roman" w:cstheme="minorHAnsi"/>
        </w:rPr>
        <w:t>ust</w:t>
      </w:r>
      <w:r w:rsidRPr="00A54361">
        <w:rPr>
          <w:rFonts w:eastAsia="Times New Roman" w:cstheme="minorHAnsi"/>
          <w:spacing w:val="1"/>
        </w:rPr>
        <w:t>i</w:t>
      </w:r>
      <w:r w:rsidRPr="00A54361">
        <w:rPr>
          <w:rFonts w:eastAsia="Times New Roman" w:cstheme="minorHAnsi"/>
          <w:spacing w:val="-2"/>
        </w:rPr>
        <w:t>v</w:t>
      </w:r>
      <w:r w:rsidRPr="00A54361">
        <w:rPr>
          <w:rFonts w:eastAsia="Times New Roman" w:cstheme="minorHAnsi"/>
          <w:spacing w:val="-1"/>
        </w:rPr>
        <w:t>e</w:t>
      </w:r>
      <w:r w:rsidRPr="00A54361">
        <w:rPr>
          <w:rFonts w:eastAsia="Times New Roman" w:cstheme="minorHAnsi"/>
        </w:rPr>
        <w:t>.</w:t>
      </w:r>
      <w:r w:rsidRPr="00A54361">
        <w:rPr>
          <w:rFonts w:eastAsia="Times New Roman" w:cstheme="minorHAnsi"/>
          <w:spacing w:val="29"/>
        </w:rPr>
        <w:t xml:space="preserve"> </w:t>
      </w:r>
      <w:r w:rsidRPr="00A54361">
        <w:rPr>
          <w:rFonts w:eastAsia="Times New Roman" w:cstheme="minorHAnsi"/>
        </w:rPr>
        <w:t>The</w:t>
      </w:r>
      <w:r w:rsidRPr="00A54361">
        <w:rPr>
          <w:rFonts w:eastAsia="Times New Roman" w:cstheme="minorHAnsi"/>
          <w:spacing w:val="27"/>
        </w:rPr>
        <w:t xml:space="preserve"> </w:t>
      </w:r>
      <w:r w:rsidRPr="00A54361">
        <w:rPr>
          <w:rFonts w:eastAsia="Times New Roman" w:cstheme="minorHAnsi"/>
        </w:rPr>
        <w:t>Compet</w:t>
      </w:r>
      <w:r w:rsidRPr="00A54361">
        <w:rPr>
          <w:rFonts w:eastAsia="Times New Roman" w:cstheme="minorHAnsi"/>
          <w:spacing w:val="-1"/>
        </w:rPr>
        <w:t>e</w:t>
      </w:r>
      <w:r w:rsidRPr="00A54361">
        <w:rPr>
          <w:rFonts w:eastAsia="Times New Roman" w:cstheme="minorHAnsi"/>
        </w:rPr>
        <w:t>nt</w:t>
      </w:r>
    </w:p>
    <w:p w14:paraId="764B6146" w14:textId="77777777" w:rsidR="0054549F" w:rsidRPr="00A54361" w:rsidRDefault="0054549F" w:rsidP="00A54361">
      <w:pPr>
        <w:ind w:right="1243"/>
        <w:jc w:val="both"/>
        <w:rPr>
          <w:rFonts w:cstheme="minorHAnsi"/>
        </w:rPr>
      </w:pPr>
      <w:r w:rsidRPr="00A54361">
        <w:rPr>
          <w:rFonts w:eastAsia="Times New Roman" w:cstheme="minorHAnsi"/>
        </w:rPr>
        <w:t>Autho</w:t>
      </w:r>
      <w:r w:rsidRPr="00A54361">
        <w:rPr>
          <w:rFonts w:eastAsia="Times New Roman" w:cstheme="minorHAnsi"/>
          <w:spacing w:val="-1"/>
        </w:rPr>
        <w:t>r</w:t>
      </w:r>
      <w:r w:rsidRPr="00A54361">
        <w:rPr>
          <w:rFonts w:eastAsia="Times New Roman" w:cstheme="minorHAnsi"/>
        </w:rPr>
        <w:t>i</w:t>
      </w:r>
      <w:r w:rsidRPr="00A54361">
        <w:rPr>
          <w:rFonts w:eastAsia="Times New Roman" w:cstheme="minorHAnsi"/>
          <w:spacing w:val="3"/>
        </w:rPr>
        <w:t>t</w:t>
      </w:r>
      <w:r w:rsidRPr="00A54361">
        <w:rPr>
          <w:rFonts w:eastAsia="Times New Roman" w:cstheme="minorHAnsi"/>
        </w:rPr>
        <w:t>y</w:t>
      </w:r>
      <w:r w:rsidRPr="00A54361">
        <w:rPr>
          <w:rFonts w:eastAsia="Times New Roman" w:cstheme="minorHAnsi"/>
          <w:spacing w:val="-5"/>
        </w:rPr>
        <w:t xml:space="preserve"> </w:t>
      </w:r>
      <w:r w:rsidRPr="00A54361">
        <w:rPr>
          <w:rFonts w:eastAsia="Times New Roman" w:cstheme="minorHAnsi"/>
        </w:rPr>
        <w:t>m</w:t>
      </w:r>
      <w:r w:rsidRPr="00A54361">
        <w:rPr>
          <w:rFonts w:eastAsia="Times New Roman" w:cstheme="minorHAnsi"/>
          <w:spacing w:val="4"/>
        </w:rPr>
        <w:t>a</w:t>
      </w:r>
      <w:r w:rsidRPr="00A54361">
        <w:rPr>
          <w:rFonts w:eastAsia="Times New Roman" w:cstheme="minorHAnsi"/>
        </w:rPr>
        <w:t>y</w:t>
      </w:r>
      <w:r w:rsidRPr="00A54361">
        <w:rPr>
          <w:rFonts w:eastAsia="Times New Roman" w:cstheme="minorHAnsi"/>
          <w:spacing w:val="-5"/>
        </w:rPr>
        <w:t xml:space="preserve"> </w:t>
      </w:r>
      <w:r w:rsidRPr="00A54361">
        <w:rPr>
          <w:rFonts w:eastAsia="Times New Roman" w:cstheme="minorHAnsi"/>
        </w:rPr>
        <w:t>d</w:t>
      </w:r>
      <w:r w:rsidRPr="00A54361">
        <w:rPr>
          <w:rFonts w:eastAsia="Times New Roman" w:cstheme="minorHAnsi"/>
          <w:spacing w:val="1"/>
        </w:rPr>
        <w:t>e</w:t>
      </w:r>
      <w:r w:rsidRPr="00A54361">
        <w:rPr>
          <w:rFonts w:eastAsia="Times New Roman" w:cstheme="minorHAnsi"/>
          <w:spacing w:val="-1"/>
        </w:rPr>
        <w:t>c</w:t>
      </w:r>
      <w:r w:rsidRPr="00A54361">
        <w:rPr>
          <w:rFonts w:eastAsia="Times New Roman" w:cstheme="minorHAnsi"/>
        </w:rPr>
        <w:t>ide to</w:t>
      </w:r>
      <w:r w:rsidRPr="00A54361">
        <w:rPr>
          <w:rFonts w:eastAsia="Times New Roman" w:cstheme="minorHAnsi"/>
          <w:spacing w:val="2"/>
        </w:rPr>
        <w:t xml:space="preserve"> </w:t>
      </w:r>
      <w:r w:rsidRPr="00A54361">
        <w:rPr>
          <w:rFonts w:eastAsia="Times New Roman" w:cstheme="minorHAnsi"/>
        </w:rPr>
        <w:t>b</w:t>
      </w:r>
      <w:r w:rsidRPr="00A54361">
        <w:rPr>
          <w:rFonts w:eastAsia="Times New Roman" w:cstheme="minorHAnsi"/>
          <w:spacing w:val="-1"/>
        </w:rPr>
        <w:t>a</w:t>
      </w:r>
      <w:r w:rsidRPr="00A54361">
        <w:rPr>
          <w:rFonts w:eastAsia="Times New Roman" w:cstheme="minorHAnsi"/>
        </w:rPr>
        <w:t>n busin</w:t>
      </w:r>
      <w:r w:rsidRPr="00A54361">
        <w:rPr>
          <w:rFonts w:eastAsia="Times New Roman" w:cstheme="minorHAnsi"/>
          <w:spacing w:val="-1"/>
        </w:rPr>
        <w:t>e</w:t>
      </w:r>
      <w:r w:rsidRPr="00A54361">
        <w:rPr>
          <w:rFonts w:eastAsia="Times New Roman" w:cstheme="minorHAnsi"/>
        </w:rPr>
        <w:t>ss de</w:t>
      </w:r>
      <w:r w:rsidRPr="00A54361">
        <w:rPr>
          <w:rFonts w:eastAsia="Times New Roman" w:cstheme="minorHAnsi"/>
          <w:spacing w:val="-1"/>
        </w:rPr>
        <w:t>a</w:t>
      </w:r>
      <w:r w:rsidRPr="00A54361">
        <w:rPr>
          <w:rFonts w:eastAsia="Times New Roman" w:cstheme="minorHAnsi"/>
        </w:rPr>
        <w:t>l</w:t>
      </w:r>
      <w:r w:rsidRPr="00A54361">
        <w:rPr>
          <w:rFonts w:eastAsia="Times New Roman" w:cstheme="minorHAnsi"/>
          <w:spacing w:val="1"/>
        </w:rPr>
        <w:t>i</w:t>
      </w:r>
      <w:r w:rsidRPr="00A54361">
        <w:rPr>
          <w:rFonts w:eastAsia="Times New Roman" w:cstheme="minorHAnsi"/>
          <w:spacing w:val="2"/>
        </w:rPr>
        <w:t>n</w:t>
      </w:r>
      <w:r w:rsidRPr="00A54361">
        <w:rPr>
          <w:rFonts w:eastAsia="Times New Roman" w:cstheme="minorHAnsi"/>
        </w:rPr>
        <w:t>g</w:t>
      </w:r>
      <w:r w:rsidRPr="00A54361">
        <w:rPr>
          <w:rFonts w:eastAsia="Times New Roman" w:cstheme="minorHAnsi"/>
          <w:spacing w:val="-2"/>
        </w:rPr>
        <w:t xml:space="preserve"> </w:t>
      </w:r>
      <w:r w:rsidRPr="00A54361">
        <w:rPr>
          <w:rFonts w:eastAsia="Times New Roman" w:cstheme="minorHAnsi"/>
        </w:rPr>
        <w:t>for</w:t>
      </w:r>
      <w:r w:rsidRPr="00A54361">
        <w:rPr>
          <w:rFonts w:eastAsia="Times New Roman" w:cstheme="minorHAnsi"/>
          <w:spacing w:val="1"/>
        </w:rPr>
        <w:t xml:space="preserve"> </w:t>
      </w:r>
      <w:r w:rsidRPr="00A54361">
        <w:rPr>
          <w:rFonts w:eastAsia="Times New Roman" w:cstheme="minorHAnsi"/>
          <w:spacing w:val="-1"/>
        </w:rPr>
        <w:t>a</w:t>
      </w:r>
      <w:r w:rsidRPr="00A54361">
        <w:rPr>
          <w:rFonts w:eastAsia="Times New Roman" w:cstheme="minorHAnsi"/>
          <w:spacing w:val="2"/>
        </w:rPr>
        <w:t>n</w:t>
      </w:r>
      <w:r w:rsidRPr="00A54361">
        <w:rPr>
          <w:rFonts w:eastAsia="Times New Roman" w:cstheme="minorHAnsi"/>
        </w:rPr>
        <w:t>y</w:t>
      </w:r>
      <w:r w:rsidRPr="00A54361">
        <w:rPr>
          <w:rFonts w:eastAsia="Times New Roman" w:cstheme="minorHAnsi"/>
          <w:spacing w:val="-3"/>
        </w:rPr>
        <w:t xml:space="preserve"> </w:t>
      </w:r>
      <w:r w:rsidRPr="00A54361">
        <w:rPr>
          <w:rFonts w:eastAsia="Times New Roman" w:cstheme="minorHAnsi"/>
          <w:spacing w:val="-2"/>
        </w:rPr>
        <w:t>g</w:t>
      </w:r>
      <w:r w:rsidRPr="00A54361">
        <w:rPr>
          <w:rFonts w:eastAsia="Times New Roman" w:cstheme="minorHAnsi"/>
        </w:rPr>
        <w:t>ood</w:t>
      </w:r>
      <w:r w:rsidRPr="00A54361">
        <w:rPr>
          <w:rFonts w:eastAsia="Times New Roman" w:cstheme="minorHAnsi"/>
          <w:spacing w:val="2"/>
        </w:rPr>
        <w:t xml:space="preserve"> </w:t>
      </w:r>
      <w:r w:rsidRPr="00A54361">
        <w:rPr>
          <w:rFonts w:eastAsia="Times New Roman" w:cstheme="minorHAnsi"/>
          <w:spacing w:val="-1"/>
        </w:rPr>
        <w:t>a</w:t>
      </w:r>
      <w:r w:rsidRPr="00A54361">
        <w:rPr>
          <w:rFonts w:eastAsia="Times New Roman" w:cstheme="minorHAnsi"/>
        </w:rPr>
        <w:t>nd suf</w:t>
      </w:r>
      <w:r w:rsidRPr="00A54361">
        <w:rPr>
          <w:rFonts w:eastAsia="Times New Roman" w:cstheme="minorHAnsi"/>
          <w:spacing w:val="-1"/>
        </w:rPr>
        <w:t>f</w:t>
      </w:r>
      <w:r w:rsidRPr="00A54361">
        <w:rPr>
          <w:rFonts w:eastAsia="Times New Roman" w:cstheme="minorHAnsi"/>
          <w:spacing w:val="3"/>
        </w:rPr>
        <w:t>i</w:t>
      </w:r>
      <w:r w:rsidRPr="00A54361">
        <w:rPr>
          <w:rFonts w:eastAsia="Times New Roman" w:cstheme="minorHAnsi"/>
          <w:spacing w:val="-1"/>
        </w:rPr>
        <w:t>c</w:t>
      </w:r>
      <w:r w:rsidRPr="00A54361">
        <w:rPr>
          <w:rFonts w:eastAsia="Times New Roman" w:cstheme="minorHAnsi"/>
        </w:rPr>
        <w:t xml:space="preserve">ient </w:t>
      </w:r>
      <w:r w:rsidRPr="00A54361">
        <w:rPr>
          <w:rFonts w:eastAsia="Times New Roman" w:cstheme="minorHAnsi"/>
          <w:spacing w:val="1"/>
        </w:rPr>
        <w:t>r</w:t>
      </w:r>
      <w:r w:rsidRPr="00A54361">
        <w:rPr>
          <w:rFonts w:eastAsia="Times New Roman" w:cstheme="minorHAnsi"/>
          <w:spacing w:val="-1"/>
        </w:rPr>
        <w:t>ea</w:t>
      </w:r>
      <w:r w:rsidRPr="00A54361">
        <w:rPr>
          <w:rFonts w:eastAsia="Times New Roman" w:cstheme="minorHAnsi"/>
        </w:rPr>
        <w:t>son).</w:t>
      </w:r>
    </w:p>
    <w:p w14:paraId="44DFA9FF" w14:textId="77777777" w:rsidR="0054549F" w:rsidRPr="00A54361" w:rsidRDefault="0054549F" w:rsidP="00A54361">
      <w:pPr>
        <w:ind w:left="567" w:right="5923" w:hanging="709"/>
        <w:jc w:val="both"/>
        <w:rPr>
          <w:rFonts w:cstheme="minorHAnsi"/>
        </w:rPr>
      </w:pPr>
      <w:r w:rsidRPr="00A54361">
        <w:rPr>
          <w:rFonts w:eastAsia="Times New Roman" w:cstheme="minorHAnsi"/>
          <w:b/>
        </w:rPr>
        <w:t>7 Ba</w:t>
      </w:r>
      <w:r w:rsidRPr="00A54361">
        <w:rPr>
          <w:rFonts w:eastAsia="Times New Roman" w:cstheme="minorHAnsi"/>
          <w:b/>
          <w:spacing w:val="1"/>
        </w:rPr>
        <w:t>nn</w:t>
      </w:r>
      <w:r w:rsidRPr="00A54361">
        <w:rPr>
          <w:rFonts w:eastAsia="Times New Roman" w:cstheme="minorHAnsi"/>
          <w:b/>
          <w:spacing w:val="-2"/>
        </w:rPr>
        <w:t>i</w:t>
      </w:r>
      <w:r w:rsidRPr="00A54361">
        <w:rPr>
          <w:rFonts w:eastAsia="Times New Roman" w:cstheme="minorHAnsi"/>
          <w:b/>
          <w:spacing w:val="1"/>
        </w:rPr>
        <w:t>n</w:t>
      </w:r>
      <w:r w:rsidRPr="00A54361">
        <w:rPr>
          <w:rFonts w:eastAsia="Times New Roman" w:cstheme="minorHAnsi"/>
          <w:b/>
        </w:rPr>
        <w:t>g of</w:t>
      </w:r>
      <w:r w:rsidRPr="00A54361">
        <w:rPr>
          <w:rFonts w:eastAsia="Times New Roman" w:cstheme="minorHAnsi"/>
          <w:b/>
          <w:spacing w:val="-1"/>
        </w:rPr>
        <w:t xml:space="preserve"> </w:t>
      </w:r>
      <w:r w:rsidRPr="00A54361">
        <w:rPr>
          <w:rFonts w:eastAsia="Times New Roman" w:cstheme="minorHAnsi"/>
          <w:b/>
        </w:rPr>
        <w:t>B</w:t>
      </w:r>
      <w:r w:rsidRPr="00A54361">
        <w:rPr>
          <w:rFonts w:eastAsia="Times New Roman" w:cstheme="minorHAnsi"/>
          <w:b/>
          <w:spacing w:val="1"/>
        </w:rPr>
        <w:t>u</w:t>
      </w:r>
      <w:r w:rsidRPr="00A54361">
        <w:rPr>
          <w:rFonts w:eastAsia="Times New Roman" w:cstheme="minorHAnsi"/>
          <w:b/>
        </w:rPr>
        <w:t>s</w:t>
      </w:r>
      <w:r w:rsidRPr="00A54361">
        <w:rPr>
          <w:rFonts w:eastAsia="Times New Roman" w:cstheme="minorHAnsi"/>
          <w:b/>
          <w:spacing w:val="-2"/>
        </w:rPr>
        <w:t>i</w:t>
      </w:r>
      <w:r w:rsidRPr="00A54361">
        <w:rPr>
          <w:rFonts w:eastAsia="Times New Roman" w:cstheme="minorHAnsi"/>
          <w:b/>
          <w:spacing w:val="1"/>
        </w:rPr>
        <w:t>n</w:t>
      </w:r>
      <w:r w:rsidRPr="00A54361">
        <w:rPr>
          <w:rFonts w:eastAsia="Times New Roman" w:cstheme="minorHAnsi"/>
          <w:b/>
          <w:spacing w:val="-1"/>
        </w:rPr>
        <w:t>e</w:t>
      </w:r>
      <w:r w:rsidRPr="00A54361">
        <w:rPr>
          <w:rFonts w:eastAsia="Times New Roman" w:cstheme="minorHAnsi"/>
          <w:b/>
        </w:rPr>
        <w:t>ss D</w:t>
      </w:r>
      <w:r w:rsidRPr="00A54361">
        <w:rPr>
          <w:rFonts w:eastAsia="Times New Roman" w:cstheme="minorHAnsi"/>
          <w:b/>
          <w:spacing w:val="-1"/>
        </w:rPr>
        <w:t>e</w:t>
      </w:r>
      <w:r w:rsidRPr="00A54361">
        <w:rPr>
          <w:rFonts w:eastAsia="Times New Roman" w:cstheme="minorHAnsi"/>
          <w:b/>
        </w:rPr>
        <w:t>al</w:t>
      </w:r>
      <w:r w:rsidRPr="00A54361">
        <w:rPr>
          <w:rFonts w:eastAsia="Times New Roman" w:cstheme="minorHAnsi"/>
          <w:b/>
          <w:spacing w:val="1"/>
        </w:rPr>
        <w:t>in</w:t>
      </w:r>
      <w:r w:rsidRPr="00A54361">
        <w:rPr>
          <w:rFonts w:eastAsia="Times New Roman" w:cstheme="minorHAnsi"/>
          <w:b/>
        </w:rPr>
        <w:t>gs</w:t>
      </w:r>
    </w:p>
    <w:p w14:paraId="5389874F" w14:textId="77777777" w:rsidR="0054549F" w:rsidRPr="00A54361" w:rsidRDefault="0054549F" w:rsidP="00A54361">
      <w:pPr>
        <w:spacing w:line="260" w:lineRule="exact"/>
        <w:ind w:right="89"/>
        <w:jc w:val="both"/>
        <w:rPr>
          <w:rFonts w:cstheme="minorHAnsi"/>
        </w:rPr>
      </w:pPr>
      <w:r w:rsidRPr="00A54361">
        <w:rPr>
          <w:rFonts w:eastAsia="Times New Roman" w:cstheme="minorHAnsi"/>
        </w:rPr>
        <w:t>7.1</w:t>
      </w:r>
      <w:r w:rsidRPr="00A54361">
        <w:rPr>
          <w:rFonts w:eastAsia="Times New Roman" w:cstheme="minorHAnsi"/>
          <w:spacing w:val="17"/>
        </w:rPr>
        <w:t xml:space="preserve"> </w:t>
      </w:r>
      <w:r w:rsidRPr="00A54361">
        <w:rPr>
          <w:rFonts w:eastAsia="Times New Roman" w:cstheme="minorHAnsi"/>
        </w:rPr>
        <w:t>A</w:t>
      </w:r>
      <w:r w:rsidRPr="00A54361">
        <w:rPr>
          <w:rFonts w:eastAsia="Times New Roman" w:cstheme="minorHAnsi"/>
          <w:spacing w:val="16"/>
        </w:rPr>
        <w:t xml:space="preserve"> </w:t>
      </w:r>
      <w:r w:rsidRPr="00A54361">
        <w:rPr>
          <w:rFonts w:eastAsia="Times New Roman" w:cstheme="minorHAnsi"/>
        </w:rPr>
        <w:t>d</w:t>
      </w:r>
      <w:r w:rsidRPr="00A54361">
        <w:rPr>
          <w:rFonts w:eastAsia="Times New Roman" w:cstheme="minorHAnsi"/>
          <w:spacing w:val="-1"/>
        </w:rPr>
        <w:t>ec</w:t>
      </w:r>
      <w:r w:rsidRPr="00A54361">
        <w:rPr>
          <w:rFonts w:eastAsia="Times New Roman" w:cstheme="minorHAnsi"/>
        </w:rPr>
        <w:t>is</w:t>
      </w:r>
      <w:r w:rsidRPr="00A54361">
        <w:rPr>
          <w:rFonts w:eastAsia="Times New Roman" w:cstheme="minorHAnsi"/>
          <w:spacing w:val="1"/>
        </w:rPr>
        <w:t>i</w:t>
      </w:r>
      <w:r w:rsidRPr="00A54361">
        <w:rPr>
          <w:rFonts w:eastAsia="Times New Roman" w:cstheme="minorHAnsi"/>
        </w:rPr>
        <w:t>on</w:t>
      </w:r>
      <w:r w:rsidRPr="00A54361">
        <w:rPr>
          <w:rFonts w:eastAsia="Times New Roman" w:cstheme="minorHAnsi"/>
          <w:spacing w:val="17"/>
        </w:rPr>
        <w:t xml:space="preserve"> </w:t>
      </w:r>
      <w:r w:rsidRPr="00A54361">
        <w:rPr>
          <w:rFonts w:eastAsia="Times New Roman" w:cstheme="minorHAnsi"/>
        </w:rPr>
        <w:t>to</w:t>
      </w:r>
      <w:r w:rsidRPr="00A54361">
        <w:rPr>
          <w:rFonts w:eastAsia="Times New Roman" w:cstheme="minorHAnsi"/>
          <w:spacing w:val="17"/>
        </w:rPr>
        <w:t xml:space="preserve"> </w:t>
      </w:r>
      <w:r w:rsidRPr="00A54361">
        <w:rPr>
          <w:rFonts w:eastAsia="Times New Roman" w:cstheme="minorHAnsi"/>
        </w:rPr>
        <w:t>b</w:t>
      </w:r>
      <w:r w:rsidRPr="00A54361">
        <w:rPr>
          <w:rFonts w:eastAsia="Times New Roman" w:cstheme="minorHAnsi"/>
          <w:spacing w:val="-1"/>
        </w:rPr>
        <w:t>a</w:t>
      </w:r>
      <w:r w:rsidRPr="00A54361">
        <w:rPr>
          <w:rFonts w:eastAsia="Times New Roman" w:cstheme="minorHAnsi"/>
        </w:rPr>
        <w:t>n</w:t>
      </w:r>
      <w:r w:rsidRPr="00A54361">
        <w:rPr>
          <w:rFonts w:eastAsia="Times New Roman" w:cstheme="minorHAnsi"/>
          <w:spacing w:val="17"/>
        </w:rPr>
        <w:t xml:space="preserve"> </w:t>
      </w:r>
      <w:r w:rsidRPr="00A54361">
        <w:rPr>
          <w:rFonts w:eastAsia="Times New Roman" w:cstheme="minorHAnsi"/>
        </w:rPr>
        <w:t>b</w:t>
      </w:r>
      <w:r w:rsidRPr="00A54361">
        <w:rPr>
          <w:rFonts w:eastAsia="Times New Roman" w:cstheme="minorHAnsi"/>
          <w:spacing w:val="-2"/>
        </w:rPr>
        <w:t>u</w:t>
      </w:r>
      <w:r w:rsidRPr="00A54361">
        <w:rPr>
          <w:rFonts w:eastAsia="Times New Roman" w:cstheme="minorHAnsi"/>
        </w:rPr>
        <w:t>siness</w:t>
      </w:r>
      <w:r w:rsidRPr="00A54361">
        <w:rPr>
          <w:rFonts w:eastAsia="Times New Roman" w:cstheme="minorHAnsi"/>
          <w:spacing w:val="17"/>
        </w:rPr>
        <w:t xml:space="preserve"> </w:t>
      </w:r>
      <w:r w:rsidRPr="00A54361">
        <w:rPr>
          <w:rFonts w:eastAsia="Times New Roman" w:cstheme="minorHAnsi"/>
        </w:rPr>
        <w:t>d</w:t>
      </w:r>
      <w:r w:rsidRPr="00A54361">
        <w:rPr>
          <w:rFonts w:eastAsia="Times New Roman" w:cstheme="minorHAnsi"/>
          <w:spacing w:val="-1"/>
        </w:rPr>
        <w:t>ea</w:t>
      </w:r>
      <w:r w:rsidRPr="00A54361">
        <w:rPr>
          <w:rFonts w:eastAsia="Times New Roman" w:cstheme="minorHAnsi"/>
        </w:rPr>
        <w:t>l</w:t>
      </w:r>
      <w:r w:rsidRPr="00A54361">
        <w:rPr>
          <w:rFonts w:eastAsia="Times New Roman" w:cstheme="minorHAnsi"/>
          <w:spacing w:val="1"/>
        </w:rPr>
        <w:t>i</w:t>
      </w:r>
      <w:r w:rsidRPr="00A54361">
        <w:rPr>
          <w:rFonts w:eastAsia="Times New Roman" w:cstheme="minorHAnsi"/>
        </w:rPr>
        <w:t>n</w:t>
      </w:r>
      <w:r w:rsidRPr="00A54361">
        <w:rPr>
          <w:rFonts w:eastAsia="Times New Roman" w:cstheme="minorHAnsi"/>
          <w:spacing w:val="-2"/>
        </w:rPr>
        <w:t>g</w:t>
      </w:r>
      <w:r w:rsidRPr="00A54361">
        <w:rPr>
          <w:rFonts w:eastAsia="Times New Roman" w:cstheme="minorHAnsi"/>
        </w:rPr>
        <w:t>s</w:t>
      </w:r>
      <w:r w:rsidRPr="00A54361">
        <w:rPr>
          <w:rFonts w:eastAsia="Times New Roman" w:cstheme="minorHAnsi"/>
          <w:spacing w:val="17"/>
        </w:rPr>
        <w:t xml:space="preserve"> </w:t>
      </w:r>
      <w:r w:rsidRPr="00A54361">
        <w:rPr>
          <w:rFonts w:eastAsia="Times New Roman" w:cstheme="minorHAnsi"/>
        </w:rPr>
        <w:t>with</w:t>
      </w:r>
      <w:r w:rsidRPr="00A54361">
        <w:rPr>
          <w:rFonts w:eastAsia="Times New Roman" w:cstheme="minorHAnsi"/>
          <w:spacing w:val="17"/>
        </w:rPr>
        <w:t xml:space="preserve"> </w:t>
      </w:r>
      <w:r w:rsidRPr="00A54361">
        <w:rPr>
          <w:rFonts w:eastAsia="Times New Roman" w:cstheme="minorHAnsi"/>
          <w:spacing w:val="-1"/>
        </w:rPr>
        <w:t>a</w:t>
      </w:r>
      <w:r w:rsidRPr="00A54361">
        <w:rPr>
          <w:rFonts w:eastAsia="Times New Roman" w:cstheme="minorHAnsi"/>
          <w:spacing w:val="2"/>
        </w:rPr>
        <w:t>n</w:t>
      </w:r>
      <w:r w:rsidRPr="00A54361">
        <w:rPr>
          <w:rFonts w:eastAsia="Times New Roman" w:cstheme="minorHAnsi"/>
        </w:rPr>
        <w:t>y</w:t>
      </w:r>
      <w:r w:rsidRPr="00A54361">
        <w:rPr>
          <w:rFonts w:eastAsia="Times New Roman" w:cstheme="minorHAnsi"/>
          <w:spacing w:val="14"/>
        </w:rPr>
        <w:t xml:space="preserve"> </w:t>
      </w:r>
      <w:r w:rsidRPr="00A54361">
        <w:rPr>
          <w:rFonts w:eastAsia="Times New Roman" w:cstheme="minorHAnsi"/>
        </w:rPr>
        <w:t>Ag</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4"/>
        </w:rPr>
        <w:t>c</w:t>
      </w:r>
      <w:r w:rsidRPr="00A54361">
        <w:rPr>
          <w:rFonts w:eastAsia="Times New Roman" w:cstheme="minorHAnsi"/>
        </w:rPr>
        <w:t>y</w:t>
      </w:r>
      <w:r w:rsidRPr="00A54361">
        <w:rPr>
          <w:rFonts w:eastAsia="Times New Roman" w:cstheme="minorHAnsi"/>
          <w:spacing w:val="12"/>
        </w:rPr>
        <w:t xml:space="preserve"> </w:t>
      </w:r>
      <w:r w:rsidRPr="00A54361">
        <w:rPr>
          <w:rFonts w:eastAsia="Times New Roman" w:cstheme="minorHAnsi"/>
        </w:rPr>
        <w:t>should</w:t>
      </w:r>
      <w:r w:rsidRPr="00A54361">
        <w:rPr>
          <w:rFonts w:eastAsia="Times New Roman" w:cstheme="minorHAnsi"/>
          <w:spacing w:val="17"/>
        </w:rPr>
        <w:t xml:space="preserve"> </w:t>
      </w:r>
      <w:r w:rsidRPr="00A54361">
        <w:rPr>
          <w:rFonts w:eastAsia="Times New Roman" w:cstheme="minorHAnsi"/>
          <w:spacing w:val="-1"/>
        </w:rPr>
        <w:t>a</w:t>
      </w:r>
      <w:r w:rsidRPr="00A54361">
        <w:rPr>
          <w:rFonts w:eastAsia="Times New Roman" w:cstheme="minorHAnsi"/>
        </w:rPr>
        <w:t>pp</w:t>
      </w:r>
      <w:r w:rsidRPr="00A54361">
        <w:rPr>
          <w:rFonts w:eastAsia="Times New Roman" w:cstheme="minorHAnsi"/>
          <w:spacing w:val="3"/>
        </w:rPr>
        <w:t>l</w:t>
      </w:r>
      <w:r w:rsidRPr="00A54361">
        <w:rPr>
          <w:rFonts w:eastAsia="Times New Roman" w:cstheme="minorHAnsi"/>
        </w:rPr>
        <w:t>y</w:t>
      </w:r>
      <w:r w:rsidRPr="00A54361">
        <w:rPr>
          <w:rFonts w:eastAsia="Times New Roman" w:cstheme="minorHAnsi"/>
          <w:spacing w:val="12"/>
        </w:rPr>
        <w:t xml:space="preserve"> </w:t>
      </w:r>
      <w:r w:rsidRPr="00A54361">
        <w:rPr>
          <w:rFonts w:eastAsia="Times New Roman" w:cstheme="minorHAnsi"/>
        </w:rPr>
        <w:t>th</w:t>
      </w:r>
      <w:r w:rsidRPr="00A54361">
        <w:rPr>
          <w:rFonts w:eastAsia="Times New Roman" w:cstheme="minorHAnsi"/>
          <w:spacing w:val="2"/>
        </w:rPr>
        <w:t>r</w:t>
      </w:r>
      <w:r w:rsidRPr="00A54361">
        <w:rPr>
          <w:rFonts w:eastAsia="Times New Roman" w:cstheme="minorHAnsi"/>
        </w:rPr>
        <w:t>ou</w:t>
      </w:r>
      <w:r w:rsidRPr="00A54361">
        <w:rPr>
          <w:rFonts w:eastAsia="Times New Roman" w:cstheme="minorHAnsi"/>
          <w:spacing w:val="-2"/>
        </w:rPr>
        <w:t>g</w:t>
      </w:r>
      <w:r w:rsidRPr="00A54361">
        <w:rPr>
          <w:rFonts w:eastAsia="Times New Roman" w:cstheme="minorHAnsi"/>
        </w:rPr>
        <w:t>hout</w:t>
      </w:r>
      <w:r w:rsidRPr="00A54361">
        <w:rPr>
          <w:rFonts w:eastAsia="Times New Roman" w:cstheme="minorHAnsi"/>
          <w:spacing w:val="17"/>
        </w:rPr>
        <w:t xml:space="preserve"> </w:t>
      </w:r>
      <w:r w:rsidRPr="00A54361">
        <w:rPr>
          <w:rFonts w:eastAsia="Times New Roman" w:cstheme="minorHAnsi"/>
        </w:rPr>
        <w:t>the</w:t>
      </w:r>
      <w:r w:rsidRPr="00A54361">
        <w:rPr>
          <w:rFonts w:eastAsia="Times New Roman" w:cstheme="minorHAnsi"/>
          <w:spacing w:val="16"/>
        </w:rPr>
        <w:t xml:space="preserve"> </w:t>
      </w:r>
      <w:r w:rsidRPr="00A54361">
        <w:rPr>
          <w:rFonts w:eastAsia="Times New Roman" w:cstheme="minorHAnsi"/>
          <w:spacing w:val="-2"/>
        </w:rPr>
        <w:t>B</w:t>
      </w:r>
      <w:r w:rsidRPr="00A54361">
        <w:rPr>
          <w:rFonts w:eastAsia="Times New Roman" w:cstheme="minorHAnsi"/>
          <w:spacing w:val="-1"/>
        </w:rPr>
        <w:t>a</w:t>
      </w:r>
      <w:r w:rsidRPr="00A54361">
        <w:rPr>
          <w:rFonts w:eastAsia="Times New Roman" w:cstheme="minorHAnsi"/>
        </w:rPr>
        <w:t>nk</w:t>
      </w:r>
    </w:p>
    <w:p w14:paraId="5E18BC36" w14:textId="77777777" w:rsidR="0054549F" w:rsidRPr="00A54361" w:rsidRDefault="0054549F" w:rsidP="00A54361">
      <w:pPr>
        <w:ind w:right="6912"/>
        <w:jc w:val="both"/>
        <w:rPr>
          <w:rFonts w:cstheme="minorHAnsi"/>
        </w:rPr>
      </w:pPr>
      <w:r w:rsidRPr="00A54361">
        <w:rPr>
          <w:rFonts w:eastAsia="Times New Roman" w:cstheme="minorHAnsi"/>
        </w:rPr>
        <w:t>Including</w:t>
      </w:r>
      <w:r w:rsidRPr="00A54361">
        <w:rPr>
          <w:rFonts w:eastAsia="Times New Roman" w:cstheme="minorHAnsi"/>
          <w:spacing w:val="-2"/>
        </w:rPr>
        <w:t xml:space="preserve"> </w:t>
      </w:r>
      <w:r w:rsidRPr="00A54361">
        <w:rPr>
          <w:rFonts w:eastAsia="Times New Roman" w:cstheme="minorHAnsi"/>
          <w:spacing w:val="1"/>
        </w:rPr>
        <w:t>S</w:t>
      </w:r>
      <w:r w:rsidRPr="00A54361">
        <w:rPr>
          <w:rFonts w:eastAsia="Times New Roman" w:cstheme="minorHAnsi"/>
        </w:rPr>
        <w:t>ubsidia</w:t>
      </w:r>
      <w:r w:rsidRPr="00A54361">
        <w:rPr>
          <w:rFonts w:eastAsia="Times New Roman" w:cstheme="minorHAnsi"/>
          <w:spacing w:val="-1"/>
        </w:rPr>
        <w:t>r</w:t>
      </w:r>
      <w:r w:rsidRPr="00A54361">
        <w:rPr>
          <w:rFonts w:eastAsia="Times New Roman" w:cstheme="minorHAnsi"/>
        </w:rPr>
        <w:t>ies.</w:t>
      </w:r>
    </w:p>
    <w:p w14:paraId="75F94DA3" w14:textId="1E841A1A" w:rsidR="0054549F" w:rsidRPr="00A54361" w:rsidRDefault="0054549F" w:rsidP="00A54361">
      <w:pPr>
        <w:ind w:right="79"/>
        <w:jc w:val="both"/>
        <w:rPr>
          <w:rFonts w:cstheme="minorHAnsi"/>
        </w:rPr>
      </w:pPr>
      <w:r w:rsidRPr="00A54361">
        <w:rPr>
          <w:rFonts w:eastAsia="Times New Roman" w:cstheme="minorHAnsi"/>
        </w:rPr>
        <w:t>7.2</w:t>
      </w:r>
      <w:r w:rsidRPr="00A54361">
        <w:rPr>
          <w:rFonts w:eastAsia="Times New Roman" w:cstheme="minorHAnsi"/>
          <w:spacing w:val="-5"/>
        </w:rPr>
        <w:t xml:space="preserve"> </w:t>
      </w:r>
      <w:r w:rsidRPr="00A54361">
        <w:rPr>
          <w:rFonts w:eastAsia="Times New Roman" w:cstheme="minorHAnsi"/>
        </w:rPr>
        <w:t>Th</w:t>
      </w:r>
      <w:r w:rsidRPr="00A54361">
        <w:rPr>
          <w:rFonts w:eastAsia="Times New Roman" w:cstheme="minorHAnsi"/>
          <w:spacing w:val="-1"/>
        </w:rPr>
        <w:t>e</w:t>
      </w:r>
      <w:r w:rsidRPr="00A54361">
        <w:rPr>
          <w:rFonts w:eastAsia="Times New Roman" w:cstheme="minorHAnsi"/>
        </w:rPr>
        <w:t>re</w:t>
      </w:r>
      <w:r w:rsidRPr="00A54361">
        <w:rPr>
          <w:rFonts w:eastAsia="Times New Roman" w:cstheme="minorHAnsi"/>
          <w:spacing w:val="-4"/>
        </w:rPr>
        <w:t xml:space="preserve"> </w:t>
      </w:r>
      <w:r w:rsidRPr="00A54361">
        <w:rPr>
          <w:rFonts w:eastAsia="Times New Roman" w:cstheme="minorHAnsi"/>
        </w:rPr>
        <w:t>will</w:t>
      </w:r>
      <w:r w:rsidRPr="00A54361">
        <w:rPr>
          <w:rFonts w:eastAsia="Times New Roman" w:cstheme="minorHAnsi"/>
          <w:spacing w:val="-4"/>
        </w:rPr>
        <w:t xml:space="preserve"> </w:t>
      </w:r>
      <w:r w:rsidRPr="00A54361">
        <w:rPr>
          <w:rFonts w:eastAsia="Times New Roman" w:cstheme="minorHAnsi"/>
        </w:rPr>
        <w:t>be</w:t>
      </w:r>
      <w:r w:rsidRPr="00A54361">
        <w:rPr>
          <w:rFonts w:eastAsia="Times New Roman" w:cstheme="minorHAnsi"/>
          <w:spacing w:val="-6"/>
        </w:rPr>
        <w:t xml:space="preserve"> </w:t>
      </w:r>
      <w:r w:rsidRPr="00A54361">
        <w:rPr>
          <w:rFonts w:eastAsia="Times New Roman" w:cstheme="minorHAnsi"/>
        </w:rPr>
        <w:t>a</w:t>
      </w:r>
      <w:r w:rsidRPr="00A54361">
        <w:rPr>
          <w:rFonts w:eastAsia="Times New Roman" w:cstheme="minorHAnsi"/>
          <w:spacing w:val="-6"/>
        </w:rPr>
        <w:t xml:space="preserve"> </w:t>
      </w:r>
      <w:r w:rsidRPr="00A54361">
        <w:rPr>
          <w:rFonts w:eastAsia="Times New Roman" w:cstheme="minorHAnsi"/>
          <w:spacing w:val="1"/>
        </w:rPr>
        <w:t>S</w:t>
      </w:r>
      <w:r w:rsidRPr="00A54361">
        <w:rPr>
          <w:rFonts w:eastAsia="Times New Roman" w:cstheme="minorHAnsi"/>
        </w:rPr>
        <w:t>tan</w:t>
      </w:r>
      <w:r w:rsidRPr="00A54361">
        <w:rPr>
          <w:rFonts w:eastAsia="Times New Roman" w:cstheme="minorHAnsi"/>
          <w:spacing w:val="2"/>
        </w:rPr>
        <w:t>d</w:t>
      </w:r>
      <w:r w:rsidRPr="00A54361">
        <w:rPr>
          <w:rFonts w:eastAsia="Times New Roman" w:cstheme="minorHAnsi"/>
        </w:rPr>
        <w:t>ing</w:t>
      </w:r>
      <w:r w:rsidRPr="00A54361">
        <w:rPr>
          <w:rFonts w:eastAsia="Times New Roman" w:cstheme="minorHAnsi"/>
          <w:spacing w:val="-7"/>
        </w:rPr>
        <w:t xml:space="preserve"> </w:t>
      </w:r>
      <w:r w:rsidRPr="00A54361">
        <w:rPr>
          <w:rFonts w:eastAsia="Times New Roman" w:cstheme="minorHAnsi"/>
        </w:rPr>
        <w:t>Com</w:t>
      </w:r>
      <w:r w:rsidRPr="00A54361">
        <w:rPr>
          <w:rFonts w:eastAsia="Times New Roman" w:cstheme="minorHAnsi"/>
          <w:spacing w:val="1"/>
        </w:rPr>
        <w:t>m</w:t>
      </w:r>
      <w:r w:rsidRPr="00A54361">
        <w:rPr>
          <w:rFonts w:eastAsia="Times New Roman" w:cstheme="minorHAnsi"/>
        </w:rPr>
        <w:t>i</w:t>
      </w:r>
      <w:r w:rsidRPr="00A54361">
        <w:rPr>
          <w:rFonts w:eastAsia="Times New Roman" w:cstheme="minorHAnsi"/>
          <w:spacing w:val="1"/>
        </w:rPr>
        <w:t>t</w:t>
      </w:r>
      <w:r w:rsidRPr="00A54361">
        <w:rPr>
          <w:rFonts w:eastAsia="Times New Roman" w:cstheme="minorHAnsi"/>
        </w:rPr>
        <w:t>tee</w:t>
      </w:r>
      <w:r w:rsidRPr="00A54361">
        <w:rPr>
          <w:rFonts w:eastAsia="Times New Roman" w:cstheme="minorHAnsi"/>
          <w:spacing w:val="-6"/>
        </w:rPr>
        <w:t xml:space="preserve"> </w:t>
      </w:r>
      <w:r w:rsidRPr="00A54361">
        <w:rPr>
          <w:rFonts w:eastAsia="Times New Roman" w:cstheme="minorHAnsi"/>
        </w:rPr>
        <w:t>in</w:t>
      </w:r>
      <w:r w:rsidRPr="00A54361">
        <w:rPr>
          <w:rFonts w:eastAsia="Times New Roman" w:cstheme="minorHAnsi"/>
          <w:spacing w:val="-4"/>
        </w:rPr>
        <w:t xml:space="preserve"> </w:t>
      </w:r>
      <w:r w:rsidRPr="00A54361">
        <w:rPr>
          <w:rFonts w:eastAsia="Times New Roman" w:cstheme="minorHAnsi"/>
          <w:spacing w:val="-1"/>
        </w:rPr>
        <w:t>e</w:t>
      </w:r>
      <w:r w:rsidRPr="00A54361">
        <w:rPr>
          <w:rFonts w:eastAsia="Times New Roman" w:cstheme="minorHAnsi"/>
          <w:spacing w:val="1"/>
        </w:rPr>
        <w:t>a</w:t>
      </w:r>
      <w:r w:rsidRPr="00A54361">
        <w:rPr>
          <w:rFonts w:eastAsia="Times New Roman" w:cstheme="minorHAnsi"/>
          <w:spacing w:val="-1"/>
        </w:rPr>
        <w:t>c</w:t>
      </w:r>
      <w:r w:rsidRPr="00A54361">
        <w:rPr>
          <w:rFonts w:eastAsia="Times New Roman" w:cstheme="minorHAnsi"/>
        </w:rPr>
        <w:t>h</w:t>
      </w:r>
      <w:r w:rsidRPr="00A54361">
        <w:rPr>
          <w:rFonts w:eastAsia="Times New Roman" w:cstheme="minorHAnsi"/>
          <w:spacing w:val="-2"/>
        </w:rPr>
        <w:t xml:space="preserve"> </w:t>
      </w:r>
      <w:r w:rsidRPr="00A54361">
        <w:rPr>
          <w:rFonts w:eastAsia="Times New Roman" w:cstheme="minorHAnsi"/>
        </w:rPr>
        <w:t>Zone</w:t>
      </w:r>
      <w:r w:rsidRPr="00A54361">
        <w:rPr>
          <w:rFonts w:eastAsia="Times New Roman" w:cstheme="minorHAnsi"/>
          <w:spacing w:val="-6"/>
        </w:rPr>
        <w:t xml:space="preserve"> </w:t>
      </w:r>
      <w:r w:rsidRPr="00A54361">
        <w:rPr>
          <w:rFonts w:eastAsia="Times New Roman" w:cstheme="minorHAnsi"/>
        </w:rPr>
        <w:t>to</w:t>
      </w:r>
      <w:r w:rsidRPr="00A54361">
        <w:rPr>
          <w:rFonts w:eastAsia="Times New Roman" w:cstheme="minorHAnsi"/>
          <w:spacing w:val="-4"/>
        </w:rPr>
        <w:t xml:space="preserve"> </w:t>
      </w:r>
      <w:r w:rsidRPr="00A54361">
        <w:rPr>
          <w:rFonts w:eastAsia="Times New Roman" w:cstheme="minorHAnsi"/>
        </w:rPr>
        <w:t>be</w:t>
      </w:r>
      <w:r w:rsidRPr="00A54361">
        <w:rPr>
          <w:rFonts w:eastAsia="Times New Roman" w:cstheme="minorHAnsi"/>
          <w:spacing w:val="-6"/>
        </w:rPr>
        <w:t xml:space="preserve"> </w:t>
      </w:r>
      <w:r w:rsidRPr="00A54361">
        <w:rPr>
          <w:rFonts w:eastAsia="Times New Roman" w:cstheme="minorHAnsi"/>
          <w:spacing w:val="-1"/>
        </w:rPr>
        <w:t>a</w:t>
      </w:r>
      <w:r w:rsidRPr="00A54361">
        <w:rPr>
          <w:rFonts w:eastAsia="Times New Roman" w:cstheme="minorHAnsi"/>
        </w:rPr>
        <w:t>ppoin</w:t>
      </w:r>
      <w:r w:rsidRPr="00A54361">
        <w:rPr>
          <w:rFonts w:eastAsia="Times New Roman" w:cstheme="minorHAnsi"/>
          <w:spacing w:val="1"/>
        </w:rPr>
        <w:t>t</w:t>
      </w:r>
      <w:r w:rsidRPr="00A54361">
        <w:rPr>
          <w:rFonts w:eastAsia="Times New Roman" w:cstheme="minorHAnsi"/>
          <w:spacing w:val="-1"/>
        </w:rPr>
        <w:t>e</w:t>
      </w:r>
      <w:r w:rsidRPr="00A54361">
        <w:rPr>
          <w:rFonts w:eastAsia="Times New Roman" w:cstheme="minorHAnsi"/>
        </w:rPr>
        <w:t>d</w:t>
      </w:r>
      <w:r w:rsidRPr="00A54361">
        <w:rPr>
          <w:rFonts w:eastAsia="Times New Roman" w:cstheme="minorHAnsi"/>
          <w:spacing w:val="-5"/>
        </w:rPr>
        <w:t xml:space="preserve"> </w:t>
      </w:r>
      <w:r w:rsidRPr="00A54361">
        <w:rPr>
          <w:rFonts w:eastAsia="Times New Roman" w:cstheme="minorHAnsi"/>
          <w:spacing w:val="5"/>
        </w:rPr>
        <w:t>b</w:t>
      </w:r>
      <w:r w:rsidRPr="00A54361">
        <w:rPr>
          <w:rFonts w:eastAsia="Times New Roman" w:cstheme="minorHAnsi"/>
        </w:rPr>
        <w:t>y</w:t>
      </w:r>
      <w:r w:rsidRPr="00A54361">
        <w:rPr>
          <w:rFonts w:eastAsia="Times New Roman" w:cstheme="minorHAnsi"/>
          <w:spacing w:val="-7"/>
        </w:rPr>
        <w:t xml:space="preserve"> </w:t>
      </w:r>
      <w:r w:rsidRPr="00A54361">
        <w:rPr>
          <w:rFonts w:eastAsia="Times New Roman" w:cstheme="minorHAnsi"/>
          <w:spacing w:val="2"/>
        </w:rPr>
        <w:t>H</w:t>
      </w:r>
      <w:r w:rsidRPr="00A54361">
        <w:rPr>
          <w:rFonts w:eastAsia="Times New Roman" w:cstheme="minorHAnsi"/>
          <w:spacing w:val="-1"/>
        </w:rPr>
        <w:t>ea</w:t>
      </w:r>
      <w:r w:rsidRPr="00A54361">
        <w:rPr>
          <w:rFonts w:eastAsia="Times New Roman" w:cstheme="minorHAnsi"/>
        </w:rPr>
        <w:t>d</w:t>
      </w:r>
      <w:r w:rsidRPr="00A54361">
        <w:rPr>
          <w:rFonts w:eastAsia="Times New Roman" w:cstheme="minorHAnsi"/>
          <w:spacing w:val="-5"/>
        </w:rPr>
        <w:t xml:space="preserve"> </w:t>
      </w:r>
      <w:r w:rsidRPr="00A54361">
        <w:rPr>
          <w:rFonts w:eastAsia="Times New Roman" w:cstheme="minorHAnsi"/>
        </w:rPr>
        <w:t>of</w:t>
      </w:r>
      <w:r w:rsidRPr="00A54361">
        <w:rPr>
          <w:rFonts w:eastAsia="Times New Roman" w:cstheme="minorHAnsi"/>
          <w:spacing w:val="-3"/>
        </w:rPr>
        <w:t xml:space="preserve"> Z</w:t>
      </w:r>
      <w:r w:rsidRPr="00A54361">
        <w:rPr>
          <w:rFonts w:eastAsia="Times New Roman" w:cstheme="minorHAnsi"/>
        </w:rPr>
        <w:t>o</w:t>
      </w:r>
      <w:r w:rsidRPr="00A54361">
        <w:rPr>
          <w:rFonts w:eastAsia="Times New Roman" w:cstheme="minorHAnsi"/>
          <w:spacing w:val="2"/>
        </w:rPr>
        <w:t>n</w:t>
      </w:r>
      <w:r w:rsidRPr="00A54361">
        <w:rPr>
          <w:rFonts w:eastAsia="Times New Roman" w:cstheme="minorHAnsi"/>
          <w:spacing w:val="-1"/>
        </w:rPr>
        <w:t>a</w:t>
      </w:r>
      <w:r w:rsidRPr="00A54361">
        <w:rPr>
          <w:rFonts w:eastAsia="Times New Roman" w:cstheme="minorHAnsi"/>
        </w:rPr>
        <w:t>l</w:t>
      </w:r>
      <w:r w:rsidRPr="00A54361">
        <w:rPr>
          <w:rFonts w:eastAsia="Times New Roman" w:cstheme="minorHAnsi"/>
          <w:spacing w:val="-4"/>
        </w:rPr>
        <w:t xml:space="preserve"> </w:t>
      </w:r>
      <w:r w:rsidRPr="00A54361">
        <w:rPr>
          <w:rFonts w:eastAsia="Times New Roman" w:cstheme="minorHAnsi"/>
        </w:rPr>
        <w:t>O</w:t>
      </w:r>
      <w:r w:rsidRPr="00A54361">
        <w:rPr>
          <w:rFonts w:eastAsia="Times New Roman" w:cstheme="minorHAnsi"/>
          <w:spacing w:val="1"/>
        </w:rPr>
        <w:t>f</w:t>
      </w:r>
      <w:r w:rsidRPr="00A54361">
        <w:rPr>
          <w:rFonts w:eastAsia="Times New Roman" w:cstheme="minorHAnsi"/>
        </w:rPr>
        <w:t>fi</w:t>
      </w:r>
      <w:r w:rsidRPr="00A54361">
        <w:rPr>
          <w:rFonts w:eastAsia="Times New Roman" w:cstheme="minorHAnsi"/>
          <w:spacing w:val="-1"/>
        </w:rPr>
        <w:t>c</w:t>
      </w:r>
      <w:r w:rsidRPr="00A54361">
        <w:rPr>
          <w:rFonts w:eastAsia="Times New Roman" w:cstheme="minorHAnsi"/>
        </w:rPr>
        <w:t>e for</w:t>
      </w:r>
      <w:r w:rsidRPr="00A54361">
        <w:rPr>
          <w:rFonts w:eastAsia="Times New Roman" w:cstheme="minorHAnsi"/>
          <w:spacing w:val="1"/>
        </w:rPr>
        <w:t xml:space="preserve"> </w:t>
      </w:r>
      <w:r w:rsidRPr="00A54361">
        <w:rPr>
          <w:rFonts w:eastAsia="Times New Roman" w:cstheme="minorHAnsi"/>
        </w:rPr>
        <w:t>proc</w:t>
      </w:r>
      <w:r w:rsidRPr="00A54361">
        <w:rPr>
          <w:rFonts w:eastAsia="Times New Roman" w:cstheme="minorHAnsi"/>
          <w:spacing w:val="-1"/>
        </w:rPr>
        <w:t>e</w:t>
      </w:r>
      <w:r w:rsidRPr="00A54361">
        <w:rPr>
          <w:rFonts w:eastAsia="Times New Roman" w:cstheme="minorHAnsi"/>
        </w:rPr>
        <w:t>ss</w:t>
      </w:r>
      <w:r w:rsidRPr="00A54361">
        <w:rPr>
          <w:rFonts w:eastAsia="Times New Roman" w:cstheme="minorHAnsi"/>
          <w:spacing w:val="1"/>
        </w:rPr>
        <w:t>i</w:t>
      </w:r>
      <w:r w:rsidRPr="00A54361">
        <w:rPr>
          <w:rFonts w:eastAsia="Times New Roman" w:cstheme="minorHAnsi"/>
        </w:rPr>
        <w:t>ng</w:t>
      </w:r>
      <w:r w:rsidRPr="00A54361">
        <w:rPr>
          <w:rFonts w:eastAsia="Times New Roman" w:cstheme="minorHAnsi"/>
          <w:spacing w:val="3"/>
        </w:rPr>
        <w:t xml:space="preserve"> </w:t>
      </w:r>
      <w:r w:rsidRPr="00A54361">
        <w:rPr>
          <w:rFonts w:eastAsia="Times New Roman" w:cstheme="minorHAnsi"/>
        </w:rPr>
        <w:t>the</w:t>
      </w:r>
      <w:r w:rsidRPr="00A54361">
        <w:rPr>
          <w:rFonts w:eastAsia="Times New Roman" w:cstheme="minorHAnsi"/>
          <w:spacing w:val="2"/>
        </w:rPr>
        <w:t xml:space="preserve"> </w:t>
      </w:r>
      <w:r w:rsidRPr="00A54361">
        <w:rPr>
          <w:rFonts w:eastAsia="Times New Roman" w:cstheme="minorHAnsi"/>
          <w:spacing w:val="1"/>
        </w:rPr>
        <w:t>c</w:t>
      </w:r>
      <w:r w:rsidRPr="00A54361">
        <w:rPr>
          <w:rFonts w:eastAsia="Times New Roman" w:cstheme="minorHAnsi"/>
          <w:spacing w:val="-1"/>
        </w:rPr>
        <w:t>a</w:t>
      </w:r>
      <w:r w:rsidRPr="00A54361">
        <w:rPr>
          <w:rFonts w:eastAsia="Times New Roman" w:cstheme="minorHAnsi"/>
        </w:rPr>
        <w:t>s</w:t>
      </w:r>
      <w:r w:rsidRPr="00A54361">
        <w:rPr>
          <w:rFonts w:eastAsia="Times New Roman" w:cstheme="minorHAnsi"/>
          <w:spacing w:val="-1"/>
        </w:rPr>
        <w:t>e</w:t>
      </w:r>
      <w:r w:rsidRPr="00A54361">
        <w:rPr>
          <w:rFonts w:eastAsia="Times New Roman" w:cstheme="minorHAnsi"/>
        </w:rPr>
        <w:t>s</w:t>
      </w:r>
      <w:r w:rsidRPr="00A54361">
        <w:rPr>
          <w:rFonts w:eastAsia="Times New Roman" w:cstheme="minorHAnsi"/>
          <w:spacing w:val="5"/>
        </w:rPr>
        <w:t xml:space="preserve"> </w:t>
      </w:r>
      <w:r w:rsidRPr="00A54361">
        <w:rPr>
          <w:rFonts w:eastAsia="Times New Roman" w:cstheme="minorHAnsi"/>
        </w:rPr>
        <w:t>of</w:t>
      </w:r>
      <w:r w:rsidRPr="00A54361">
        <w:rPr>
          <w:rFonts w:eastAsia="Times New Roman" w:cstheme="minorHAnsi"/>
          <w:spacing w:val="2"/>
        </w:rPr>
        <w:t xml:space="preserve"> </w:t>
      </w:r>
      <w:r w:rsidRPr="00A54361">
        <w:rPr>
          <w:rFonts w:eastAsia="Times New Roman" w:cstheme="minorHAnsi"/>
          <w:spacing w:val="1"/>
        </w:rPr>
        <w:t>“</w:t>
      </w:r>
      <w:r w:rsidRPr="00A54361">
        <w:rPr>
          <w:rFonts w:eastAsia="Times New Roman" w:cstheme="minorHAnsi"/>
          <w:spacing w:val="-2"/>
        </w:rPr>
        <w:t>B</w:t>
      </w:r>
      <w:r w:rsidRPr="00A54361">
        <w:rPr>
          <w:rFonts w:eastAsia="Times New Roman" w:cstheme="minorHAnsi"/>
          <w:spacing w:val="-1"/>
        </w:rPr>
        <w:t>a</w:t>
      </w:r>
      <w:r w:rsidRPr="00A54361">
        <w:rPr>
          <w:rFonts w:eastAsia="Times New Roman" w:cstheme="minorHAnsi"/>
        </w:rPr>
        <w:t>nni</w:t>
      </w:r>
      <w:r w:rsidRPr="00A54361">
        <w:rPr>
          <w:rFonts w:eastAsia="Times New Roman" w:cstheme="minorHAnsi"/>
          <w:spacing w:val="3"/>
        </w:rPr>
        <w:t>n</w:t>
      </w:r>
      <w:r w:rsidRPr="00A54361">
        <w:rPr>
          <w:rFonts w:eastAsia="Times New Roman" w:cstheme="minorHAnsi"/>
        </w:rPr>
        <w:t>g of</w:t>
      </w:r>
      <w:r w:rsidRPr="00A54361">
        <w:rPr>
          <w:rFonts w:eastAsia="Times New Roman" w:cstheme="minorHAnsi"/>
          <w:spacing w:val="4"/>
        </w:rPr>
        <w:t xml:space="preserve"> </w:t>
      </w:r>
      <w:r w:rsidRPr="00A54361">
        <w:rPr>
          <w:rFonts w:eastAsia="Times New Roman" w:cstheme="minorHAnsi"/>
          <w:spacing w:val="-2"/>
        </w:rPr>
        <w:t>B</w:t>
      </w:r>
      <w:r w:rsidRPr="00A54361">
        <w:rPr>
          <w:rFonts w:eastAsia="Times New Roman" w:cstheme="minorHAnsi"/>
        </w:rPr>
        <w:t>usiness</w:t>
      </w:r>
      <w:r w:rsidRPr="00A54361">
        <w:rPr>
          <w:rFonts w:eastAsia="Times New Roman" w:cstheme="minorHAnsi"/>
          <w:spacing w:val="5"/>
        </w:rPr>
        <w:t xml:space="preserve"> </w:t>
      </w:r>
      <w:r w:rsidRPr="00A54361">
        <w:rPr>
          <w:rFonts w:eastAsia="Times New Roman" w:cstheme="minorHAnsi"/>
        </w:rPr>
        <w:t>D</w:t>
      </w:r>
      <w:r w:rsidRPr="00A54361">
        <w:rPr>
          <w:rFonts w:eastAsia="Times New Roman" w:cstheme="minorHAnsi"/>
          <w:spacing w:val="-1"/>
        </w:rPr>
        <w:t>ea</w:t>
      </w:r>
      <w:r w:rsidRPr="00A54361">
        <w:rPr>
          <w:rFonts w:eastAsia="Times New Roman" w:cstheme="minorHAnsi"/>
        </w:rPr>
        <w:t>l</w:t>
      </w:r>
      <w:r w:rsidRPr="00A54361">
        <w:rPr>
          <w:rFonts w:eastAsia="Times New Roman" w:cstheme="minorHAnsi"/>
          <w:spacing w:val="1"/>
        </w:rPr>
        <w:t>i</w:t>
      </w:r>
      <w:r w:rsidRPr="00A54361">
        <w:rPr>
          <w:rFonts w:eastAsia="Times New Roman" w:cstheme="minorHAnsi"/>
          <w:spacing w:val="2"/>
        </w:rPr>
        <w:t>n</w:t>
      </w:r>
      <w:r w:rsidRPr="00A54361">
        <w:rPr>
          <w:rFonts w:eastAsia="Times New Roman" w:cstheme="minorHAnsi"/>
          <w:spacing w:val="-2"/>
        </w:rPr>
        <w:t>g</w:t>
      </w:r>
      <w:r w:rsidRPr="00A54361">
        <w:rPr>
          <w:rFonts w:eastAsia="Times New Roman" w:cstheme="minorHAnsi"/>
        </w:rPr>
        <w:t>s”</w:t>
      </w:r>
      <w:r w:rsidRPr="00A54361">
        <w:rPr>
          <w:rFonts w:eastAsia="Times New Roman" w:cstheme="minorHAnsi"/>
          <w:spacing w:val="4"/>
        </w:rPr>
        <w:t xml:space="preserve"> </w:t>
      </w:r>
      <w:r w:rsidRPr="00A54361">
        <w:rPr>
          <w:rFonts w:eastAsia="Times New Roman" w:cstheme="minorHAnsi"/>
          <w:spacing w:val="-1"/>
        </w:rPr>
        <w:t>e</w:t>
      </w:r>
      <w:r w:rsidRPr="00A54361">
        <w:rPr>
          <w:rFonts w:eastAsia="Times New Roman" w:cstheme="minorHAnsi"/>
          <w:spacing w:val="2"/>
        </w:rPr>
        <w:t>x</w:t>
      </w:r>
      <w:r w:rsidRPr="00A54361">
        <w:rPr>
          <w:rFonts w:eastAsia="Times New Roman" w:cstheme="minorHAnsi"/>
          <w:spacing w:val="-1"/>
        </w:rPr>
        <w:t>ce</w:t>
      </w:r>
      <w:r w:rsidRPr="00A54361">
        <w:rPr>
          <w:rFonts w:eastAsia="Times New Roman" w:cstheme="minorHAnsi"/>
        </w:rPr>
        <w:t>pt</w:t>
      </w:r>
      <w:r w:rsidRPr="00A54361">
        <w:rPr>
          <w:rFonts w:eastAsia="Times New Roman" w:cstheme="minorHAnsi"/>
          <w:spacing w:val="3"/>
        </w:rPr>
        <w:t xml:space="preserve"> </w:t>
      </w:r>
      <w:r w:rsidRPr="00A54361">
        <w:rPr>
          <w:rFonts w:eastAsia="Times New Roman" w:cstheme="minorHAnsi"/>
        </w:rPr>
        <w:t>for</w:t>
      </w:r>
      <w:r w:rsidRPr="00A54361">
        <w:rPr>
          <w:rFonts w:eastAsia="Times New Roman" w:cstheme="minorHAnsi"/>
          <w:spacing w:val="1"/>
        </w:rPr>
        <w:t xml:space="preserve"> </w:t>
      </w:r>
      <w:r w:rsidRPr="00A54361">
        <w:rPr>
          <w:rFonts w:eastAsia="Times New Roman" w:cstheme="minorHAnsi"/>
        </w:rPr>
        <w:t>b</w:t>
      </w:r>
      <w:r w:rsidRPr="00A54361">
        <w:rPr>
          <w:rFonts w:eastAsia="Times New Roman" w:cstheme="minorHAnsi"/>
          <w:spacing w:val="1"/>
        </w:rPr>
        <w:t>a</w:t>
      </w:r>
      <w:r w:rsidRPr="00A54361">
        <w:rPr>
          <w:rFonts w:eastAsia="Times New Roman" w:cstheme="minorHAnsi"/>
        </w:rPr>
        <w:t>nning</w:t>
      </w:r>
      <w:r w:rsidRPr="00A54361">
        <w:rPr>
          <w:rFonts w:eastAsia="Times New Roman" w:cstheme="minorHAnsi"/>
          <w:spacing w:val="1"/>
        </w:rPr>
        <w:t xml:space="preserve"> </w:t>
      </w:r>
      <w:r w:rsidRPr="00A54361">
        <w:rPr>
          <w:rFonts w:eastAsia="Times New Roman" w:cstheme="minorHAnsi"/>
        </w:rPr>
        <w:t>of</w:t>
      </w:r>
      <w:r w:rsidRPr="00A54361">
        <w:rPr>
          <w:rFonts w:eastAsia="Times New Roman" w:cstheme="minorHAnsi"/>
          <w:spacing w:val="2"/>
        </w:rPr>
        <w:t xml:space="preserve"> </w:t>
      </w:r>
      <w:r w:rsidRPr="00A54361">
        <w:rPr>
          <w:rFonts w:eastAsia="Times New Roman" w:cstheme="minorHAnsi"/>
        </w:rPr>
        <w:t>busin</w:t>
      </w:r>
      <w:r w:rsidRPr="00A54361">
        <w:rPr>
          <w:rFonts w:eastAsia="Times New Roman" w:cstheme="minorHAnsi"/>
          <w:spacing w:val="-1"/>
        </w:rPr>
        <w:t>e</w:t>
      </w:r>
      <w:r w:rsidRPr="00A54361">
        <w:rPr>
          <w:rFonts w:eastAsia="Times New Roman" w:cstheme="minorHAnsi"/>
        </w:rPr>
        <w:t>ss d</w:t>
      </w:r>
      <w:r w:rsidRPr="00A54361">
        <w:rPr>
          <w:rFonts w:eastAsia="Times New Roman" w:cstheme="minorHAnsi"/>
          <w:spacing w:val="-1"/>
        </w:rPr>
        <w:t>ea</w:t>
      </w:r>
      <w:r w:rsidRPr="00A54361">
        <w:rPr>
          <w:rFonts w:eastAsia="Times New Roman" w:cstheme="minorHAnsi"/>
        </w:rPr>
        <w:t>l</w:t>
      </w:r>
      <w:r w:rsidRPr="00A54361">
        <w:rPr>
          <w:rFonts w:eastAsia="Times New Roman" w:cstheme="minorHAnsi"/>
          <w:spacing w:val="1"/>
        </w:rPr>
        <w:t>i</w:t>
      </w:r>
      <w:r w:rsidRPr="00A54361">
        <w:rPr>
          <w:rFonts w:eastAsia="Times New Roman" w:cstheme="minorHAnsi"/>
        </w:rPr>
        <w:t>n</w:t>
      </w:r>
      <w:r w:rsidRPr="00A54361">
        <w:rPr>
          <w:rFonts w:eastAsia="Times New Roman" w:cstheme="minorHAnsi"/>
          <w:spacing w:val="-2"/>
        </w:rPr>
        <w:t>g</w:t>
      </w:r>
      <w:r w:rsidRPr="00A54361">
        <w:rPr>
          <w:rFonts w:eastAsia="Times New Roman" w:cstheme="minorHAnsi"/>
        </w:rPr>
        <w:t>s</w:t>
      </w:r>
      <w:r w:rsidRPr="00A54361">
        <w:rPr>
          <w:rFonts w:eastAsia="Times New Roman" w:cstheme="minorHAnsi"/>
          <w:spacing w:val="48"/>
        </w:rPr>
        <w:t xml:space="preserve"> </w:t>
      </w:r>
      <w:r w:rsidRPr="00A54361">
        <w:rPr>
          <w:rFonts w:eastAsia="Times New Roman" w:cstheme="minorHAnsi"/>
        </w:rPr>
        <w:t>with</w:t>
      </w:r>
      <w:r w:rsidRPr="00A54361">
        <w:rPr>
          <w:rFonts w:eastAsia="Times New Roman" w:cstheme="minorHAnsi"/>
          <w:spacing w:val="48"/>
        </w:rPr>
        <w:t xml:space="preserve"> </w:t>
      </w:r>
      <w:r w:rsidRPr="00A54361">
        <w:rPr>
          <w:rFonts w:eastAsia="Times New Roman" w:cstheme="minorHAnsi"/>
        </w:rPr>
        <w:t>f</w:t>
      </w:r>
      <w:r w:rsidRPr="00A54361">
        <w:rPr>
          <w:rFonts w:eastAsia="Times New Roman" w:cstheme="minorHAnsi"/>
          <w:spacing w:val="1"/>
        </w:rPr>
        <w:t>o</w:t>
      </w:r>
      <w:r w:rsidRPr="00A54361">
        <w:rPr>
          <w:rFonts w:eastAsia="Times New Roman" w:cstheme="minorHAnsi"/>
        </w:rPr>
        <w:t>r</w:t>
      </w:r>
      <w:r w:rsidRPr="00A54361">
        <w:rPr>
          <w:rFonts w:eastAsia="Times New Roman" w:cstheme="minorHAnsi"/>
          <w:spacing w:val="-2"/>
        </w:rPr>
        <w:t>e</w:t>
      </w:r>
      <w:r w:rsidRPr="00A54361">
        <w:rPr>
          <w:rFonts w:eastAsia="Times New Roman" w:cstheme="minorHAnsi"/>
          <w:spacing w:val="3"/>
        </w:rPr>
        <w:t>i</w:t>
      </w:r>
      <w:r w:rsidRPr="00A54361">
        <w:rPr>
          <w:rFonts w:eastAsia="Times New Roman" w:cstheme="minorHAnsi"/>
          <w:spacing w:val="-2"/>
        </w:rPr>
        <w:t>g</w:t>
      </w:r>
      <w:r w:rsidRPr="00A54361">
        <w:rPr>
          <w:rFonts w:eastAsia="Times New Roman" w:cstheme="minorHAnsi"/>
        </w:rPr>
        <w:t>n</w:t>
      </w:r>
      <w:r w:rsidRPr="00A54361">
        <w:rPr>
          <w:rFonts w:eastAsia="Times New Roman" w:cstheme="minorHAnsi"/>
          <w:spacing w:val="48"/>
        </w:rPr>
        <w:t xml:space="preserve"> </w:t>
      </w:r>
      <w:r w:rsidRPr="00A54361">
        <w:rPr>
          <w:rFonts w:eastAsia="Times New Roman" w:cstheme="minorHAnsi"/>
          <w:spacing w:val="2"/>
        </w:rPr>
        <w:t>s</w:t>
      </w:r>
      <w:r w:rsidRPr="00A54361">
        <w:rPr>
          <w:rFonts w:eastAsia="Times New Roman" w:cstheme="minorHAnsi"/>
        </w:rPr>
        <w:t>uppl</w:t>
      </w:r>
      <w:r w:rsidRPr="00A54361">
        <w:rPr>
          <w:rFonts w:eastAsia="Times New Roman" w:cstheme="minorHAnsi"/>
          <w:spacing w:val="1"/>
        </w:rPr>
        <w:t>i</w:t>
      </w:r>
      <w:r w:rsidRPr="00A54361">
        <w:rPr>
          <w:rFonts w:eastAsia="Times New Roman" w:cstheme="minorHAnsi"/>
          <w:spacing w:val="-1"/>
        </w:rPr>
        <w:t>e</w:t>
      </w:r>
      <w:r w:rsidRPr="00A54361">
        <w:rPr>
          <w:rFonts w:eastAsia="Times New Roman" w:cstheme="minorHAnsi"/>
        </w:rPr>
        <w:t>rs</w:t>
      </w:r>
      <w:r w:rsidRPr="00A54361">
        <w:rPr>
          <w:rFonts w:eastAsia="Times New Roman" w:cstheme="minorHAnsi"/>
          <w:spacing w:val="47"/>
        </w:rPr>
        <w:t xml:space="preserve"> </w:t>
      </w:r>
      <w:r w:rsidRPr="00A54361">
        <w:rPr>
          <w:rFonts w:eastAsia="Times New Roman" w:cstheme="minorHAnsi"/>
        </w:rPr>
        <w:t>of</w:t>
      </w:r>
      <w:r w:rsidRPr="00A54361">
        <w:rPr>
          <w:rFonts w:eastAsia="Times New Roman" w:cstheme="minorHAnsi"/>
          <w:spacing w:val="47"/>
        </w:rPr>
        <w:t xml:space="preserve"> </w:t>
      </w:r>
      <w:r w:rsidRPr="00A54361">
        <w:rPr>
          <w:rFonts w:eastAsia="Times New Roman" w:cstheme="minorHAnsi"/>
          <w:spacing w:val="-2"/>
        </w:rPr>
        <w:t>g</w:t>
      </w:r>
      <w:r w:rsidRPr="00A54361">
        <w:rPr>
          <w:rFonts w:eastAsia="Times New Roman" w:cstheme="minorHAnsi"/>
        </w:rPr>
        <w:t>oods.</w:t>
      </w:r>
      <w:r w:rsidRPr="00A54361">
        <w:rPr>
          <w:rFonts w:eastAsia="Times New Roman" w:cstheme="minorHAnsi"/>
          <w:spacing w:val="50"/>
        </w:rPr>
        <w:t xml:space="preserve"> </w:t>
      </w:r>
      <w:r w:rsidRPr="00A54361">
        <w:rPr>
          <w:rFonts w:eastAsia="Times New Roman" w:cstheme="minorHAnsi"/>
        </w:rPr>
        <w:t>Ho</w:t>
      </w:r>
      <w:r w:rsidRPr="00A54361">
        <w:rPr>
          <w:rFonts w:eastAsia="Times New Roman" w:cstheme="minorHAnsi"/>
          <w:spacing w:val="1"/>
        </w:rPr>
        <w:t>w</w:t>
      </w:r>
      <w:r w:rsidRPr="00A54361">
        <w:rPr>
          <w:rFonts w:eastAsia="Times New Roman" w:cstheme="minorHAnsi"/>
          <w:spacing w:val="-1"/>
        </w:rPr>
        <w:t>e</w:t>
      </w:r>
      <w:r w:rsidRPr="00A54361">
        <w:rPr>
          <w:rFonts w:eastAsia="Times New Roman" w:cstheme="minorHAnsi"/>
        </w:rPr>
        <w:t>v</w:t>
      </w:r>
      <w:r w:rsidRPr="00A54361">
        <w:rPr>
          <w:rFonts w:eastAsia="Times New Roman" w:cstheme="minorHAnsi"/>
          <w:spacing w:val="3"/>
        </w:rPr>
        <w:t>e</w:t>
      </w:r>
      <w:r w:rsidRPr="00A54361">
        <w:rPr>
          <w:rFonts w:eastAsia="Times New Roman" w:cstheme="minorHAnsi"/>
        </w:rPr>
        <w:t>r,</w:t>
      </w:r>
      <w:r w:rsidRPr="00A54361">
        <w:rPr>
          <w:rFonts w:eastAsia="Times New Roman" w:cstheme="minorHAnsi"/>
          <w:spacing w:val="47"/>
        </w:rPr>
        <w:t xml:space="preserve"> </w:t>
      </w:r>
      <w:r w:rsidRPr="00A54361">
        <w:rPr>
          <w:rFonts w:eastAsia="Times New Roman" w:cstheme="minorHAnsi"/>
        </w:rPr>
        <w:t>f</w:t>
      </w:r>
      <w:r w:rsidRPr="00A54361">
        <w:rPr>
          <w:rFonts w:eastAsia="Times New Roman" w:cstheme="minorHAnsi"/>
          <w:spacing w:val="1"/>
        </w:rPr>
        <w:t>o</w:t>
      </w:r>
      <w:r w:rsidRPr="00A54361">
        <w:rPr>
          <w:rFonts w:eastAsia="Times New Roman" w:cstheme="minorHAnsi"/>
        </w:rPr>
        <w:t>r</w:t>
      </w:r>
      <w:r w:rsidRPr="00A54361">
        <w:rPr>
          <w:rFonts w:eastAsia="Times New Roman" w:cstheme="minorHAnsi"/>
          <w:spacing w:val="47"/>
        </w:rPr>
        <w:t xml:space="preserve"> </w:t>
      </w:r>
      <w:r w:rsidRPr="00A54361">
        <w:rPr>
          <w:rFonts w:eastAsia="Times New Roman" w:cstheme="minorHAnsi"/>
        </w:rPr>
        <w:t>pro</w:t>
      </w:r>
      <w:r w:rsidRPr="00A54361">
        <w:rPr>
          <w:rFonts w:eastAsia="Times New Roman" w:cstheme="minorHAnsi"/>
          <w:spacing w:val="-2"/>
        </w:rPr>
        <w:t>c</w:t>
      </w:r>
      <w:r w:rsidRPr="00A54361">
        <w:rPr>
          <w:rFonts w:eastAsia="Times New Roman" w:cstheme="minorHAnsi"/>
          <w:spacing w:val="2"/>
        </w:rPr>
        <w:t>u</w:t>
      </w:r>
      <w:r w:rsidRPr="00A54361">
        <w:rPr>
          <w:rFonts w:eastAsia="Times New Roman" w:cstheme="minorHAnsi"/>
        </w:rPr>
        <w:t>r</w:t>
      </w:r>
      <w:r w:rsidRPr="00A54361">
        <w:rPr>
          <w:rFonts w:eastAsia="Times New Roman" w:cstheme="minorHAnsi"/>
          <w:spacing w:val="-2"/>
        </w:rPr>
        <w:t>e</w:t>
      </w:r>
      <w:r w:rsidRPr="00A54361">
        <w:rPr>
          <w:rFonts w:eastAsia="Times New Roman" w:cstheme="minorHAnsi"/>
        </w:rPr>
        <w:t>ment</w:t>
      </w:r>
      <w:r w:rsidRPr="00A54361">
        <w:rPr>
          <w:rFonts w:eastAsia="Times New Roman" w:cstheme="minorHAnsi"/>
          <w:spacing w:val="48"/>
        </w:rPr>
        <w:t xml:space="preserve"> </w:t>
      </w:r>
      <w:r w:rsidRPr="00A54361">
        <w:rPr>
          <w:rFonts w:eastAsia="Times New Roman" w:cstheme="minorHAnsi"/>
          <w:spacing w:val="2"/>
        </w:rPr>
        <w:t>o</w:t>
      </w:r>
      <w:r w:rsidRPr="00A54361">
        <w:rPr>
          <w:rFonts w:eastAsia="Times New Roman" w:cstheme="minorHAnsi"/>
        </w:rPr>
        <w:t>f</w:t>
      </w:r>
      <w:r w:rsidRPr="00A54361">
        <w:rPr>
          <w:rFonts w:eastAsia="Times New Roman" w:cstheme="minorHAnsi"/>
          <w:spacing w:val="47"/>
        </w:rPr>
        <w:t xml:space="preserve"> </w:t>
      </w:r>
      <w:r w:rsidRPr="00A54361">
        <w:rPr>
          <w:rFonts w:eastAsia="Times New Roman" w:cstheme="minorHAnsi"/>
        </w:rPr>
        <w:t>i</w:t>
      </w:r>
      <w:r w:rsidRPr="00A54361">
        <w:rPr>
          <w:rFonts w:eastAsia="Times New Roman" w:cstheme="minorHAnsi"/>
          <w:spacing w:val="1"/>
        </w:rPr>
        <w:t>t</w:t>
      </w:r>
      <w:r w:rsidRPr="00A54361">
        <w:rPr>
          <w:rFonts w:eastAsia="Times New Roman" w:cstheme="minorHAnsi"/>
          <w:spacing w:val="-1"/>
        </w:rPr>
        <w:t>e</w:t>
      </w:r>
      <w:r w:rsidRPr="00A54361">
        <w:rPr>
          <w:rFonts w:eastAsia="Times New Roman" w:cstheme="minorHAnsi"/>
        </w:rPr>
        <w:t>ms</w:t>
      </w:r>
      <w:r w:rsidRPr="00A54361">
        <w:rPr>
          <w:rFonts w:eastAsia="Times New Roman" w:cstheme="minorHAnsi"/>
          <w:spacing w:val="48"/>
        </w:rPr>
        <w:t xml:space="preserve"> </w:t>
      </w:r>
      <w:r w:rsidRPr="00A54361">
        <w:rPr>
          <w:rFonts w:eastAsia="Times New Roman" w:cstheme="minorHAnsi"/>
        </w:rPr>
        <w:t>/</w:t>
      </w:r>
      <w:r w:rsidRPr="00A54361">
        <w:rPr>
          <w:rFonts w:eastAsia="Times New Roman" w:cstheme="minorHAnsi"/>
          <w:spacing w:val="48"/>
        </w:rPr>
        <w:t xml:space="preserve"> </w:t>
      </w:r>
      <w:r w:rsidRPr="00A54361">
        <w:rPr>
          <w:rFonts w:eastAsia="Times New Roman" w:cstheme="minorHAnsi"/>
          <w:spacing w:val="-1"/>
        </w:rPr>
        <w:t>a</w:t>
      </w:r>
      <w:r w:rsidRPr="00A54361">
        <w:rPr>
          <w:rFonts w:eastAsia="Times New Roman" w:cstheme="minorHAnsi"/>
        </w:rPr>
        <w:t>w</w:t>
      </w:r>
      <w:r w:rsidRPr="00A54361">
        <w:rPr>
          <w:rFonts w:eastAsia="Times New Roman" w:cstheme="minorHAnsi"/>
          <w:spacing w:val="-1"/>
        </w:rPr>
        <w:t>a</w:t>
      </w:r>
      <w:r w:rsidRPr="00A54361">
        <w:rPr>
          <w:rFonts w:eastAsia="Times New Roman" w:cstheme="minorHAnsi"/>
        </w:rPr>
        <w:t>rd</w:t>
      </w:r>
      <w:r w:rsidRPr="00A54361">
        <w:rPr>
          <w:rFonts w:eastAsia="Times New Roman" w:cstheme="minorHAnsi"/>
          <w:spacing w:val="47"/>
        </w:rPr>
        <w:t xml:space="preserve"> </w:t>
      </w:r>
      <w:r w:rsidRPr="00A54361">
        <w:rPr>
          <w:rFonts w:eastAsia="Times New Roman" w:cstheme="minorHAnsi"/>
        </w:rPr>
        <w:t xml:space="preserve">of </w:t>
      </w:r>
      <w:r w:rsidRPr="00A54361">
        <w:rPr>
          <w:rFonts w:eastAsia="Times New Roman" w:cstheme="minorHAnsi"/>
          <w:spacing w:val="-1"/>
        </w:rPr>
        <w:t>c</w:t>
      </w:r>
      <w:r w:rsidRPr="00A54361">
        <w:rPr>
          <w:rFonts w:eastAsia="Times New Roman" w:cstheme="minorHAnsi"/>
        </w:rPr>
        <w:t>ontr</w:t>
      </w:r>
      <w:r w:rsidRPr="00A54361">
        <w:rPr>
          <w:rFonts w:eastAsia="Times New Roman" w:cstheme="minorHAnsi"/>
          <w:spacing w:val="-1"/>
        </w:rPr>
        <w:t>ac</w:t>
      </w:r>
      <w:r w:rsidRPr="00A54361">
        <w:rPr>
          <w:rFonts w:eastAsia="Times New Roman" w:cstheme="minorHAnsi"/>
        </w:rPr>
        <w:t xml:space="preserve">ts, </w:t>
      </w:r>
      <w:r w:rsidRPr="00A54361">
        <w:rPr>
          <w:rFonts w:eastAsia="Times New Roman" w:cstheme="minorHAnsi"/>
          <w:spacing w:val="1"/>
        </w:rPr>
        <w:t>t</w:t>
      </w:r>
      <w:r w:rsidRPr="00A54361">
        <w:rPr>
          <w:rFonts w:eastAsia="Times New Roman" w:cstheme="minorHAnsi"/>
        </w:rPr>
        <w:t>o me</w:t>
      </w:r>
      <w:r w:rsidRPr="00A54361">
        <w:rPr>
          <w:rFonts w:eastAsia="Times New Roman" w:cstheme="minorHAnsi"/>
          <w:spacing w:val="-1"/>
        </w:rPr>
        <w:t>e</w:t>
      </w:r>
      <w:r w:rsidRPr="00A54361">
        <w:rPr>
          <w:rFonts w:eastAsia="Times New Roman" w:cstheme="minorHAnsi"/>
        </w:rPr>
        <w:t xml:space="preserve">t </w:t>
      </w:r>
      <w:r w:rsidRPr="00A54361">
        <w:rPr>
          <w:rFonts w:eastAsia="Times New Roman" w:cstheme="minorHAnsi"/>
          <w:spacing w:val="1"/>
        </w:rPr>
        <w:t>t</w:t>
      </w:r>
      <w:r w:rsidRPr="00A54361">
        <w:rPr>
          <w:rFonts w:eastAsia="Times New Roman" w:cstheme="minorHAnsi"/>
        </w:rPr>
        <w:t>he</w:t>
      </w:r>
      <w:r w:rsidRPr="00A54361">
        <w:rPr>
          <w:rFonts w:eastAsia="Times New Roman" w:cstheme="minorHAnsi"/>
          <w:spacing w:val="-1"/>
        </w:rPr>
        <w:t xml:space="preserve"> </w:t>
      </w:r>
      <w:r w:rsidRPr="00A54361">
        <w:rPr>
          <w:rFonts w:eastAsia="Times New Roman" w:cstheme="minorHAnsi"/>
          <w:spacing w:val="1"/>
        </w:rPr>
        <w:t>r</w:t>
      </w:r>
      <w:r w:rsidRPr="00A54361">
        <w:rPr>
          <w:rFonts w:eastAsia="Times New Roman" w:cstheme="minorHAnsi"/>
          <w:spacing w:val="-1"/>
        </w:rPr>
        <w:t>e</w:t>
      </w:r>
      <w:r w:rsidRPr="00A54361">
        <w:rPr>
          <w:rFonts w:eastAsia="Times New Roman" w:cstheme="minorHAnsi"/>
          <w:spacing w:val="2"/>
        </w:rPr>
        <w:t>q</w:t>
      </w:r>
      <w:r w:rsidRPr="00A54361">
        <w:rPr>
          <w:rFonts w:eastAsia="Times New Roman" w:cstheme="minorHAnsi"/>
        </w:rPr>
        <w:t>uir</w:t>
      </w:r>
      <w:r w:rsidRPr="00A54361">
        <w:rPr>
          <w:rFonts w:eastAsia="Times New Roman" w:cstheme="minorHAnsi"/>
          <w:spacing w:val="-1"/>
        </w:rPr>
        <w:t>e</w:t>
      </w:r>
      <w:r w:rsidRPr="00A54361">
        <w:rPr>
          <w:rFonts w:eastAsia="Times New Roman" w:cstheme="minorHAnsi"/>
        </w:rPr>
        <w:t>ment of</w:t>
      </w:r>
      <w:r w:rsidRPr="00A54361">
        <w:rPr>
          <w:rFonts w:eastAsia="Times New Roman" w:cstheme="minorHAnsi"/>
          <w:spacing w:val="-1"/>
        </w:rPr>
        <w:t xml:space="preserve"> </w:t>
      </w:r>
      <w:r w:rsidRPr="00A54361">
        <w:rPr>
          <w:rFonts w:eastAsia="Times New Roman" w:cstheme="minorHAnsi"/>
        </w:rPr>
        <w:t>Corpo</w:t>
      </w:r>
      <w:r w:rsidRPr="00A54361">
        <w:rPr>
          <w:rFonts w:eastAsia="Times New Roman" w:cstheme="minorHAnsi"/>
          <w:spacing w:val="-1"/>
        </w:rPr>
        <w:t>ra</w:t>
      </w:r>
      <w:r w:rsidRPr="00A54361">
        <w:rPr>
          <w:rFonts w:eastAsia="Times New Roman" w:cstheme="minorHAnsi"/>
        </w:rPr>
        <w:t>te</w:t>
      </w:r>
      <w:r w:rsidRPr="00A54361">
        <w:rPr>
          <w:rFonts w:eastAsia="Times New Roman" w:cstheme="minorHAnsi"/>
          <w:spacing w:val="2"/>
        </w:rPr>
        <w:t xml:space="preserve"> </w:t>
      </w:r>
      <w:r w:rsidRPr="00A54361">
        <w:rPr>
          <w:rFonts w:eastAsia="Times New Roman" w:cstheme="minorHAnsi"/>
        </w:rPr>
        <w:t>O</w:t>
      </w:r>
      <w:r w:rsidRPr="00A54361">
        <w:rPr>
          <w:rFonts w:eastAsia="Times New Roman" w:cstheme="minorHAnsi"/>
          <w:spacing w:val="1"/>
        </w:rPr>
        <w:t>f</w:t>
      </w:r>
      <w:r w:rsidRPr="00A54361">
        <w:rPr>
          <w:rFonts w:eastAsia="Times New Roman" w:cstheme="minorHAnsi"/>
        </w:rPr>
        <w:t>fi</w:t>
      </w:r>
      <w:r w:rsidRPr="00A54361">
        <w:rPr>
          <w:rFonts w:eastAsia="Times New Roman" w:cstheme="minorHAnsi"/>
          <w:spacing w:val="-1"/>
        </w:rPr>
        <w:t>c</w:t>
      </w:r>
      <w:r w:rsidRPr="00A54361">
        <w:rPr>
          <w:rFonts w:eastAsia="Times New Roman" w:cstheme="minorHAnsi"/>
        </w:rPr>
        <w:t>e</w:t>
      </w:r>
      <w:r w:rsidRPr="00A54361">
        <w:rPr>
          <w:rFonts w:eastAsia="Times New Roman" w:cstheme="minorHAnsi"/>
          <w:spacing w:val="-1"/>
        </w:rPr>
        <w:t xml:space="preserve"> </w:t>
      </w:r>
      <w:r w:rsidRPr="00A54361">
        <w:rPr>
          <w:rFonts w:eastAsia="Times New Roman" w:cstheme="minorHAnsi"/>
        </w:rPr>
        <w:t>on</w:t>
      </w:r>
      <w:r w:rsidRPr="00A54361">
        <w:rPr>
          <w:rFonts w:eastAsia="Times New Roman" w:cstheme="minorHAnsi"/>
          <w:spacing w:val="5"/>
        </w:rPr>
        <w:t>l</w:t>
      </w:r>
      <w:r w:rsidRPr="00A54361">
        <w:rPr>
          <w:rFonts w:eastAsia="Times New Roman" w:cstheme="minorHAnsi"/>
          <w:spacing w:val="-5"/>
        </w:rPr>
        <w:t>y</w:t>
      </w:r>
      <w:r w:rsidRPr="00A54361">
        <w:rPr>
          <w:rFonts w:eastAsia="Times New Roman" w:cstheme="minorHAnsi"/>
        </w:rPr>
        <w:t xml:space="preserve">, the </w:t>
      </w:r>
      <w:r w:rsidRPr="00A54361">
        <w:rPr>
          <w:rFonts w:eastAsia="Times New Roman" w:cstheme="minorHAnsi"/>
          <w:spacing w:val="-1"/>
        </w:rPr>
        <w:t>c</w:t>
      </w:r>
      <w:r w:rsidRPr="00A54361">
        <w:rPr>
          <w:rFonts w:eastAsia="Times New Roman" w:cstheme="minorHAnsi"/>
        </w:rPr>
        <w:t>om</w:t>
      </w:r>
      <w:r w:rsidRPr="00A54361">
        <w:rPr>
          <w:rFonts w:eastAsia="Times New Roman" w:cstheme="minorHAnsi"/>
          <w:spacing w:val="1"/>
        </w:rPr>
        <w:t>m</w:t>
      </w:r>
      <w:r w:rsidRPr="00A54361">
        <w:rPr>
          <w:rFonts w:eastAsia="Times New Roman" w:cstheme="minorHAnsi"/>
        </w:rPr>
        <w:t>i</w:t>
      </w:r>
      <w:r w:rsidRPr="00A54361">
        <w:rPr>
          <w:rFonts w:eastAsia="Times New Roman" w:cstheme="minorHAnsi"/>
          <w:spacing w:val="1"/>
        </w:rPr>
        <w:t>t</w:t>
      </w:r>
      <w:r w:rsidRPr="00A54361">
        <w:rPr>
          <w:rFonts w:eastAsia="Times New Roman" w:cstheme="minorHAnsi"/>
        </w:rPr>
        <w:t>tee</w:t>
      </w:r>
      <w:r w:rsidRPr="00A54361">
        <w:rPr>
          <w:rFonts w:eastAsia="Times New Roman" w:cstheme="minorHAnsi"/>
          <w:spacing w:val="1"/>
        </w:rPr>
        <w:t xml:space="preserve"> </w:t>
      </w:r>
      <w:r w:rsidRPr="00A54361">
        <w:rPr>
          <w:rFonts w:eastAsia="Times New Roman" w:cstheme="minorHAnsi"/>
        </w:rPr>
        <w:t>sh</w:t>
      </w:r>
      <w:r w:rsidRPr="00A54361">
        <w:rPr>
          <w:rFonts w:eastAsia="Times New Roman" w:cstheme="minorHAnsi"/>
          <w:spacing w:val="-1"/>
        </w:rPr>
        <w:t>a</w:t>
      </w:r>
      <w:r w:rsidRPr="00A54361">
        <w:rPr>
          <w:rFonts w:eastAsia="Times New Roman" w:cstheme="minorHAnsi"/>
        </w:rPr>
        <w:t>ll</w:t>
      </w:r>
      <w:r w:rsidRPr="00A54361">
        <w:rPr>
          <w:rFonts w:eastAsia="Times New Roman" w:cstheme="minorHAnsi"/>
          <w:spacing w:val="1"/>
        </w:rPr>
        <w:t xml:space="preserve"> </w:t>
      </w:r>
      <w:r w:rsidRPr="00A54361">
        <w:rPr>
          <w:rFonts w:eastAsia="Times New Roman" w:cstheme="minorHAnsi"/>
        </w:rPr>
        <w:t>be</w:t>
      </w:r>
      <w:r w:rsidRPr="00A54361">
        <w:rPr>
          <w:rFonts w:eastAsia="Times New Roman" w:cstheme="minorHAnsi"/>
          <w:spacing w:val="-1"/>
        </w:rPr>
        <w:t xml:space="preserve"> c</w:t>
      </w:r>
      <w:r w:rsidRPr="00A54361">
        <w:rPr>
          <w:rFonts w:eastAsia="Times New Roman" w:cstheme="minorHAnsi"/>
        </w:rPr>
        <w:t>onsist</w:t>
      </w:r>
      <w:r w:rsidRPr="00A54361">
        <w:rPr>
          <w:rFonts w:eastAsia="Times New Roman" w:cstheme="minorHAnsi"/>
          <w:spacing w:val="1"/>
        </w:rPr>
        <w:t>i</w:t>
      </w:r>
      <w:r w:rsidRPr="00A54361">
        <w:rPr>
          <w:rFonts w:eastAsia="Times New Roman" w:cstheme="minorHAnsi"/>
        </w:rPr>
        <w:t>ng of</w:t>
      </w:r>
      <w:r w:rsidRPr="00A54361">
        <w:rPr>
          <w:rFonts w:eastAsia="Times New Roman" w:cstheme="minorHAnsi"/>
          <w:spacing w:val="-10"/>
        </w:rPr>
        <w:t xml:space="preserve"> </w:t>
      </w:r>
      <w:r w:rsidRPr="00A54361">
        <w:rPr>
          <w:rFonts w:eastAsia="Times New Roman" w:cstheme="minorHAnsi"/>
        </w:rPr>
        <w:t>G</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1"/>
        </w:rPr>
        <w:t>e</w:t>
      </w:r>
      <w:r w:rsidRPr="00A54361">
        <w:rPr>
          <w:rFonts w:eastAsia="Times New Roman" w:cstheme="minorHAnsi"/>
          <w:spacing w:val="1"/>
        </w:rPr>
        <w:t>r</w:t>
      </w:r>
      <w:r w:rsidRPr="00A54361">
        <w:rPr>
          <w:rFonts w:eastAsia="Times New Roman" w:cstheme="minorHAnsi"/>
          <w:spacing w:val="-1"/>
        </w:rPr>
        <w:t>a</w:t>
      </w:r>
      <w:r w:rsidRPr="00A54361">
        <w:rPr>
          <w:rFonts w:eastAsia="Times New Roman" w:cstheme="minorHAnsi"/>
        </w:rPr>
        <w:t>l</w:t>
      </w:r>
      <w:r w:rsidRPr="00A54361">
        <w:rPr>
          <w:rFonts w:eastAsia="Times New Roman" w:cstheme="minorHAnsi"/>
          <w:spacing w:val="-9"/>
        </w:rPr>
        <w:t xml:space="preserve"> </w:t>
      </w:r>
      <w:r w:rsidRPr="00A54361">
        <w:rPr>
          <w:rFonts w:eastAsia="Times New Roman" w:cstheme="minorHAnsi"/>
        </w:rPr>
        <w:t>M</w:t>
      </w:r>
      <w:r w:rsidRPr="00A54361">
        <w:rPr>
          <w:rFonts w:eastAsia="Times New Roman" w:cstheme="minorHAnsi"/>
          <w:spacing w:val="-1"/>
        </w:rPr>
        <w:t>a</w:t>
      </w:r>
      <w:r w:rsidRPr="00A54361">
        <w:rPr>
          <w:rFonts w:eastAsia="Times New Roman" w:cstheme="minorHAnsi"/>
        </w:rPr>
        <w:t>n</w:t>
      </w:r>
      <w:r w:rsidRPr="00A54361">
        <w:rPr>
          <w:rFonts w:eastAsia="Times New Roman" w:cstheme="minorHAnsi"/>
          <w:spacing w:val="1"/>
        </w:rPr>
        <w:t>a</w:t>
      </w:r>
      <w:r w:rsidRPr="00A54361">
        <w:rPr>
          <w:rFonts w:eastAsia="Times New Roman" w:cstheme="minorHAnsi"/>
          <w:spacing w:val="-2"/>
        </w:rPr>
        <w:t>g</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10"/>
        </w:rPr>
        <w:t xml:space="preserve"> </w:t>
      </w:r>
      <w:r w:rsidRPr="00A54361">
        <w:rPr>
          <w:rFonts w:eastAsia="Times New Roman" w:cstheme="minorHAnsi"/>
        </w:rPr>
        <w:t>/</w:t>
      </w:r>
      <w:r w:rsidRPr="00A54361">
        <w:rPr>
          <w:rFonts w:eastAsia="Times New Roman" w:cstheme="minorHAnsi"/>
          <w:spacing w:val="-9"/>
        </w:rPr>
        <w:t xml:space="preserve"> </w:t>
      </w:r>
      <w:r w:rsidRPr="00A54361">
        <w:rPr>
          <w:rFonts w:eastAsia="Times New Roman" w:cstheme="minorHAnsi"/>
          <w:spacing w:val="2"/>
        </w:rPr>
        <w:t>D</w:t>
      </w:r>
      <w:r w:rsidRPr="00A54361">
        <w:rPr>
          <w:rFonts w:eastAsia="Times New Roman" w:cstheme="minorHAnsi"/>
          <w:spacing w:val="-5"/>
        </w:rPr>
        <w:t>y</w:t>
      </w:r>
      <w:r w:rsidRPr="00A54361">
        <w:rPr>
          <w:rFonts w:eastAsia="Times New Roman" w:cstheme="minorHAnsi"/>
        </w:rPr>
        <w:t>.</w:t>
      </w:r>
      <w:r w:rsidRPr="00A54361">
        <w:rPr>
          <w:rFonts w:eastAsia="Times New Roman" w:cstheme="minorHAnsi"/>
          <w:spacing w:val="-7"/>
        </w:rPr>
        <w:t xml:space="preserve"> </w:t>
      </w:r>
      <w:r w:rsidRPr="00A54361">
        <w:rPr>
          <w:rFonts w:eastAsia="Times New Roman" w:cstheme="minorHAnsi"/>
        </w:rPr>
        <w:t>G</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2"/>
        </w:rPr>
        <w:t>a</w:t>
      </w:r>
      <w:r w:rsidRPr="00A54361">
        <w:rPr>
          <w:rFonts w:eastAsia="Times New Roman" w:cstheme="minorHAnsi"/>
        </w:rPr>
        <w:t>l</w:t>
      </w:r>
      <w:r w:rsidRPr="00A54361">
        <w:rPr>
          <w:rFonts w:eastAsia="Times New Roman" w:cstheme="minorHAnsi"/>
          <w:spacing w:val="-9"/>
        </w:rPr>
        <w:t xml:space="preserve"> </w:t>
      </w:r>
      <w:r w:rsidRPr="00A54361">
        <w:rPr>
          <w:rFonts w:eastAsia="Times New Roman" w:cstheme="minorHAnsi"/>
        </w:rPr>
        <w:t>M</w:t>
      </w:r>
      <w:r w:rsidRPr="00A54361">
        <w:rPr>
          <w:rFonts w:eastAsia="Times New Roman" w:cstheme="minorHAnsi"/>
          <w:spacing w:val="-1"/>
        </w:rPr>
        <w:t>a</w:t>
      </w:r>
      <w:r w:rsidRPr="00A54361">
        <w:rPr>
          <w:rFonts w:eastAsia="Times New Roman" w:cstheme="minorHAnsi"/>
        </w:rPr>
        <w:t>n</w:t>
      </w:r>
      <w:r w:rsidRPr="00A54361">
        <w:rPr>
          <w:rFonts w:eastAsia="Times New Roman" w:cstheme="minorHAnsi"/>
          <w:spacing w:val="1"/>
        </w:rPr>
        <w:t>a</w:t>
      </w:r>
      <w:r w:rsidRPr="00A54361">
        <w:rPr>
          <w:rFonts w:eastAsia="Times New Roman" w:cstheme="minorHAnsi"/>
        </w:rPr>
        <w:t>g</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10"/>
        </w:rPr>
        <w:t xml:space="preserve"> </w:t>
      </w:r>
      <w:r w:rsidRPr="00A54361">
        <w:rPr>
          <w:rFonts w:eastAsia="Times New Roman" w:cstheme="minorHAnsi"/>
          <w:spacing w:val="-1"/>
        </w:rPr>
        <w:t>e</w:t>
      </w:r>
      <w:r w:rsidRPr="00A54361">
        <w:rPr>
          <w:rFonts w:eastAsia="Times New Roman" w:cstheme="minorHAnsi"/>
          <w:spacing w:val="1"/>
        </w:rPr>
        <w:t>a</w:t>
      </w:r>
      <w:r w:rsidRPr="00A54361">
        <w:rPr>
          <w:rFonts w:eastAsia="Times New Roman" w:cstheme="minorHAnsi"/>
          <w:spacing w:val="-1"/>
        </w:rPr>
        <w:t>c</w:t>
      </w:r>
      <w:r w:rsidRPr="00A54361">
        <w:rPr>
          <w:rFonts w:eastAsia="Times New Roman" w:cstheme="minorHAnsi"/>
        </w:rPr>
        <w:t>h</w:t>
      </w:r>
      <w:r w:rsidRPr="00A54361">
        <w:rPr>
          <w:rFonts w:eastAsia="Times New Roman" w:cstheme="minorHAnsi"/>
          <w:spacing w:val="-10"/>
        </w:rPr>
        <w:t xml:space="preserve"> </w:t>
      </w:r>
      <w:r w:rsidRPr="00A54361">
        <w:rPr>
          <w:rFonts w:eastAsia="Times New Roman" w:cstheme="minorHAnsi"/>
        </w:rPr>
        <w:t>f</w:t>
      </w:r>
      <w:r w:rsidRPr="00A54361">
        <w:rPr>
          <w:rFonts w:eastAsia="Times New Roman" w:cstheme="minorHAnsi"/>
          <w:spacing w:val="1"/>
        </w:rPr>
        <w:t>r</w:t>
      </w:r>
      <w:r w:rsidRPr="00A54361">
        <w:rPr>
          <w:rFonts w:eastAsia="Times New Roman" w:cstheme="minorHAnsi"/>
        </w:rPr>
        <w:t>om</w:t>
      </w:r>
      <w:r w:rsidRPr="00A54361">
        <w:rPr>
          <w:rFonts w:eastAsia="Times New Roman" w:cstheme="minorHAnsi"/>
          <w:spacing w:val="-9"/>
        </w:rPr>
        <w:t xml:space="preserve"> </w:t>
      </w:r>
      <w:r w:rsidRPr="00A54361">
        <w:rPr>
          <w:rFonts w:eastAsia="Times New Roman" w:cstheme="minorHAnsi"/>
        </w:rPr>
        <w:t>Op</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2"/>
        </w:rPr>
        <w:t>a</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ons,</w:t>
      </w:r>
      <w:r w:rsidRPr="00A54361">
        <w:rPr>
          <w:rFonts w:eastAsia="Times New Roman" w:cstheme="minorHAnsi"/>
          <w:spacing w:val="-7"/>
        </w:rPr>
        <w:t xml:space="preserve"> </w:t>
      </w:r>
      <w:r w:rsidRPr="00A54361">
        <w:rPr>
          <w:rFonts w:eastAsia="Times New Roman" w:cstheme="minorHAnsi"/>
          <w:spacing w:val="-5"/>
        </w:rPr>
        <w:t>L</w:t>
      </w:r>
      <w:r w:rsidRPr="00A54361">
        <w:rPr>
          <w:rFonts w:eastAsia="Times New Roman" w:cstheme="minorHAnsi"/>
          <w:spacing w:val="-1"/>
        </w:rPr>
        <w:t>a</w:t>
      </w:r>
      <w:r w:rsidRPr="00A54361">
        <w:rPr>
          <w:rFonts w:eastAsia="Times New Roman" w:cstheme="minorHAnsi"/>
        </w:rPr>
        <w:t>w</w:t>
      </w:r>
      <w:r w:rsidRPr="00A54361">
        <w:rPr>
          <w:rFonts w:eastAsia="Times New Roman" w:cstheme="minorHAnsi"/>
          <w:spacing w:val="-8"/>
        </w:rPr>
        <w:t xml:space="preserve"> </w:t>
      </w:r>
      <w:r w:rsidRPr="00A54361">
        <w:rPr>
          <w:rFonts w:eastAsia="Times New Roman" w:cstheme="minorHAnsi"/>
        </w:rPr>
        <w:t>&amp;</w:t>
      </w:r>
      <w:r w:rsidRPr="00A54361">
        <w:rPr>
          <w:rFonts w:eastAsia="Times New Roman" w:cstheme="minorHAnsi"/>
          <w:spacing w:val="-12"/>
        </w:rPr>
        <w:t xml:space="preserve"> </w:t>
      </w:r>
      <w:r w:rsidR="00917777" w:rsidRPr="00A54361">
        <w:rPr>
          <w:rFonts w:eastAsia="Times New Roman" w:cstheme="minorHAnsi"/>
          <w:spacing w:val="2"/>
        </w:rPr>
        <w:t>BSD</w:t>
      </w:r>
      <w:r w:rsidRPr="00A54361">
        <w:rPr>
          <w:rFonts w:eastAsia="Times New Roman" w:cstheme="minorHAnsi"/>
        </w:rPr>
        <w:t>.</w:t>
      </w:r>
      <w:r w:rsidRPr="00A54361">
        <w:rPr>
          <w:rFonts w:eastAsia="Times New Roman" w:cstheme="minorHAnsi"/>
          <w:spacing w:val="-10"/>
        </w:rPr>
        <w:t xml:space="preserve"> </w:t>
      </w:r>
      <w:r w:rsidRPr="00A54361">
        <w:rPr>
          <w:rFonts w:eastAsia="Times New Roman" w:cstheme="minorHAnsi"/>
        </w:rPr>
        <w:t>M</w:t>
      </w:r>
      <w:r w:rsidRPr="00A54361">
        <w:rPr>
          <w:rFonts w:eastAsia="Times New Roman" w:cstheme="minorHAnsi"/>
          <w:spacing w:val="-1"/>
        </w:rPr>
        <w:t>e</w:t>
      </w:r>
      <w:r w:rsidRPr="00A54361">
        <w:rPr>
          <w:rFonts w:eastAsia="Times New Roman" w:cstheme="minorHAnsi"/>
        </w:rPr>
        <w:t>mber</w:t>
      </w:r>
      <w:r w:rsidRPr="00A54361">
        <w:rPr>
          <w:rFonts w:eastAsia="Times New Roman" w:cstheme="minorHAnsi"/>
          <w:spacing w:val="-11"/>
        </w:rPr>
        <w:t xml:space="preserve"> </w:t>
      </w:r>
      <w:r w:rsidRPr="00A54361">
        <w:rPr>
          <w:rFonts w:eastAsia="Times New Roman" w:cstheme="minorHAnsi"/>
        </w:rPr>
        <w:t>f</w:t>
      </w:r>
      <w:r w:rsidRPr="00A54361">
        <w:rPr>
          <w:rFonts w:eastAsia="Times New Roman" w:cstheme="minorHAnsi"/>
          <w:spacing w:val="-1"/>
        </w:rPr>
        <w:t>r</w:t>
      </w:r>
      <w:r w:rsidRPr="00A54361">
        <w:rPr>
          <w:rFonts w:eastAsia="Times New Roman" w:cstheme="minorHAnsi"/>
        </w:rPr>
        <w:t xml:space="preserve">om </w:t>
      </w:r>
      <w:r w:rsidR="00917777" w:rsidRPr="00A54361">
        <w:rPr>
          <w:rFonts w:eastAsia="Times New Roman" w:cstheme="minorHAnsi"/>
        </w:rPr>
        <w:t>BSD</w:t>
      </w:r>
      <w:r w:rsidR="002E07D7" w:rsidRPr="00A54361">
        <w:rPr>
          <w:rFonts w:eastAsia="Times New Roman" w:cstheme="minorHAnsi"/>
        </w:rPr>
        <w:t xml:space="preserve"> </w:t>
      </w:r>
      <w:r w:rsidRPr="00A54361">
        <w:rPr>
          <w:rFonts w:eastAsia="Times New Roman" w:cstheme="minorHAnsi"/>
        </w:rPr>
        <w:t>sh</w:t>
      </w:r>
      <w:r w:rsidRPr="00A54361">
        <w:rPr>
          <w:rFonts w:eastAsia="Times New Roman" w:cstheme="minorHAnsi"/>
          <w:spacing w:val="-1"/>
        </w:rPr>
        <w:t>a</w:t>
      </w:r>
      <w:r w:rsidRPr="00A54361">
        <w:rPr>
          <w:rFonts w:eastAsia="Times New Roman" w:cstheme="minorHAnsi"/>
        </w:rPr>
        <w:t>ll</w:t>
      </w:r>
      <w:r w:rsidRPr="00A54361">
        <w:rPr>
          <w:rFonts w:eastAsia="Times New Roman" w:cstheme="minorHAnsi"/>
          <w:spacing w:val="2"/>
        </w:rPr>
        <w:t xml:space="preserve"> </w:t>
      </w:r>
      <w:r w:rsidRPr="00A54361">
        <w:rPr>
          <w:rFonts w:eastAsia="Times New Roman" w:cstheme="minorHAnsi"/>
        </w:rPr>
        <w:t xml:space="preserve">be the </w:t>
      </w:r>
      <w:r w:rsidRPr="00A54361">
        <w:rPr>
          <w:rFonts w:eastAsia="Times New Roman" w:cstheme="minorHAnsi"/>
          <w:spacing w:val="-1"/>
        </w:rPr>
        <w:t>c</w:t>
      </w:r>
      <w:r w:rsidRPr="00A54361">
        <w:rPr>
          <w:rFonts w:eastAsia="Times New Roman" w:cstheme="minorHAnsi"/>
        </w:rPr>
        <w:t>onv</w:t>
      </w:r>
      <w:r w:rsidRPr="00A54361">
        <w:rPr>
          <w:rFonts w:eastAsia="Times New Roman" w:cstheme="minorHAnsi"/>
          <w:spacing w:val="-1"/>
        </w:rPr>
        <w:t>e</w:t>
      </w:r>
      <w:r w:rsidRPr="00A54361">
        <w:rPr>
          <w:rFonts w:eastAsia="Times New Roman" w:cstheme="minorHAnsi"/>
          <w:spacing w:val="2"/>
        </w:rPr>
        <w:t>n</w:t>
      </w:r>
      <w:r w:rsidRPr="00A54361">
        <w:rPr>
          <w:rFonts w:eastAsia="Times New Roman" w:cstheme="minorHAnsi"/>
          <w:spacing w:val="-1"/>
        </w:rPr>
        <w:t>e</w:t>
      </w:r>
      <w:r w:rsidRPr="00A54361">
        <w:rPr>
          <w:rFonts w:eastAsia="Times New Roman" w:cstheme="minorHAnsi"/>
        </w:rPr>
        <w:t xml:space="preserve">r of the </w:t>
      </w:r>
      <w:r w:rsidRPr="00A54361">
        <w:rPr>
          <w:rFonts w:eastAsia="Times New Roman" w:cstheme="minorHAnsi"/>
          <w:spacing w:val="-1"/>
        </w:rPr>
        <w:t>c</w:t>
      </w:r>
      <w:r w:rsidRPr="00A54361">
        <w:rPr>
          <w:rFonts w:eastAsia="Times New Roman" w:cstheme="minorHAnsi"/>
        </w:rPr>
        <w:t>o</w:t>
      </w:r>
      <w:r w:rsidRPr="00A54361">
        <w:rPr>
          <w:rFonts w:eastAsia="Times New Roman" w:cstheme="minorHAnsi"/>
          <w:spacing w:val="3"/>
        </w:rPr>
        <w:t>m</w:t>
      </w:r>
      <w:r w:rsidRPr="00A54361">
        <w:rPr>
          <w:rFonts w:eastAsia="Times New Roman" w:cstheme="minorHAnsi"/>
        </w:rPr>
        <w:t>m</w:t>
      </w:r>
      <w:r w:rsidRPr="00A54361">
        <w:rPr>
          <w:rFonts w:eastAsia="Times New Roman" w:cstheme="minorHAnsi"/>
          <w:spacing w:val="1"/>
        </w:rPr>
        <w:t>i</w:t>
      </w:r>
      <w:r w:rsidRPr="00A54361">
        <w:rPr>
          <w:rFonts w:eastAsia="Times New Roman" w:cstheme="minorHAnsi"/>
        </w:rPr>
        <w:t>t</w:t>
      </w:r>
      <w:r w:rsidRPr="00A54361">
        <w:rPr>
          <w:rFonts w:eastAsia="Times New Roman" w:cstheme="minorHAnsi"/>
          <w:spacing w:val="1"/>
        </w:rPr>
        <w:t>t</w:t>
      </w:r>
      <w:r w:rsidRPr="00A54361">
        <w:rPr>
          <w:rFonts w:eastAsia="Times New Roman" w:cstheme="minorHAnsi"/>
          <w:spacing w:val="-1"/>
        </w:rPr>
        <w:t>ee</w:t>
      </w:r>
      <w:r w:rsidRPr="00A54361">
        <w:rPr>
          <w:rFonts w:eastAsia="Times New Roman" w:cstheme="minorHAnsi"/>
        </w:rPr>
        <w:t>.</w:t>
      </w:r>
      <w:r w:rsidRPr="00A54361">
        <w:rPr>
          <w:rFonts w:eastAsia="Times New Roman" w:cstheme="minorHAnsi"/>
          <w:spacing w:val="1"/>
        </w:rPr>
        <w:t xml:space="preserve"> </w:t>
      </w:r>
      <w:r w:rsidRPr="00A54361">
        <w:rPr>
          <w:rFonts w:eastAsia="Times New Roman" w:cstheme="minorHAnsi"/>
        </w:rPr>
        <w:t>The</w:t>
      </w:r>
      <w:r w:rsidRPr="00A54361">
        <w:rPr>
          <w:rFonts w:eastAsia="Times New Roman" w:cstheme="minorHAnsi"/>
          <w:spacing w:val="2"/>
        </w:rPr>
        <w:t xml:space="preserve"> </w:t>
      </w:r>
      <w:r w:rsidRPr="00A54361">
        <w:rPr>
          <w:rFonts w:eastAsia="Times New Roman" w:cstheme="minorHAnsi"/>
        </w:rPr>
        <w:t>fun</w:t>
      </w:r>
      <w:r w:rsidRPr="00A54361">
        <w:rPr>
          <w:rFonts w:eastAsia="Times New Roman" w:cstheme="minorHAnsi"/>
          <w:spacing w:val="-2"/>
        </w:rPr>
        <w:t>c</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ons</w:t>
      </w:r>
      <w:r w:rsidRPr="00A54361">
        <w:rPr>
          <w:rFonts w:eastAsia="Times New Roman" w:cstheme="minorHAnsi"/>
          <w:spacing w:val="1"/>
        </w:rPr>
        <w:t xml:space="preserve"> </w:t>
      </w:r>
      <w:r w:rsidRPr="00A54361">
        <w:rPr>
          <w:rFonts w:eastAsia="Times New Roman" w:cstheme="minorHAnsi"/>
        </w:rPr>
        <w:t xml:space="preserve">of the </w:t>
      </w:r>
      <w:r w:rsidRPr="00A54361">
        <w:rPr>
          <w:rFonts w:eastAsia="Times New Roman" w:cstheme="minorHAnsi"/>
          <w:spacing w:val="-1"/>
        </w:rPr>
        <w:t>c</w:t>
      </w:r>
      <w:r w:rsidRPr="00A54361">
        <w:rPr>
          <w:rFonts w:eastAsia="Times New Roman" w:cstheme="minorHAnsi"/>
        </w:rPr>
        <w:t>om</w:t>
      </w:r>
      <w:r w:rsidRPr="00A54361">
        <w:rPr>
          <w:rFonts w:eastAsia="Times New Roman" w:cstheme="minorHAnsi"/>
          <w:spacing w:val="1"/>
        </w:rPr>
        <w:t>m</w:t>
      </w:r>
      <w:r w:rsidRPr="00A54361">
        <w:rPr>
          <w:rFonts w:eastAsia="Times New Roman" w:cstheme="minorHAnsi"/>
        </w:rPr>
        <w:t>i</w:t>
      </w:r>
      <w:r w:rsidRPr="00A54361">
        <w:rPr>
          <w:rFonts w:eastAsia="Times New Roman" w:cstheme="minorHAnsi"/>
          <w:spacing w:val="1"/>
        </w:rPr>
        <w:t>t</w:t>
      </w:r>
      <w:r w:rsidRPr="00A54361">
        <w:rPr>
          <w:rFonts w:eastAsia="Times New Roman" w:cstheme="minorHAnsi"/>
        </w:rPr>
        <w:t>tee sh</w:t>
      </w:r>
      <w:r w:rsidRPr="00A54361">
        <w:rPr>
          <w:rFonts w:eastAsia="Times New Roman" w:cstheme="minorHAnsi"/>
          <w:spacing w:val="-1"/>
        </w:rPr>
        <w:t>a</w:t>
      </w:r>
      <w:r w:rsidRPr="00A54361">
        <w:rPr>
          <w:rFonts w:eastAsia="Times New Roman" w:cstheme="minorHAnsi"/>
        </w:rPr>
        <w:t>l</w:t>
      </w:r>
      <w:r w:rsidRPr="00A54361">
        <w:rPr>
          <w:rFonts w:eastAsia="Times New Roman" w:cstheme="minorHAnsi"/>
          <w:spacing w:val="1"/>
        </w:rPr>
        <w:t>l</w:t>
      </w:r>
      <w:r w:rsidRPr="00A54361">
        <w:rPr>
          <w:rFonts w:eastAsia="Times New Roman" w:cstheme="minorHAnsi"/>
        </w:rPr>
        <w:t>,</w:t>
      </w:r>
      <w:r w:rsidRPr="00A54361">
        <w:rPr>
          <w:rFonts w:eastAsia="Times New Roman" w:cstheme="minorHAnsi"/>
          <w:spacing w:val="1"/>
        </w:rPr>
        <w:t xml:space="preserve"> </w:t>
      </w:r>
      <w:r w:rsidRPr="00A54361">
        <w:rPr>
          <w:rFonts w:eastAsia="Times New Roman" w:cstheme="minorHAnsi"/>
        </w:rPr>
        <w:t>in</w:t>
      </w:r>
      <w:r w:rsidRPr="00A54361">
        <w:rPr>
          <w:rFonts w:eastAsia="Times New Roman" w:cstheme="minorHAnsi"/>
          <w:spacing w:val="1"/>
        </w:rPr>
        <w:t>t</w:t>
      </w:r>
      <w:r w:rsidRPr="00A54361">
        <w:rPr>
          <w:rFonts w:eastAsia="Times New Roman" w:cstheme="minorHAnsi"/>
          <w:spacing w:val="-1"/>
        </w:rPr>
        <w:t>e</w:t>
      </w:r>
      <w:r w:rsidRPr="00A54361">
        <w:rPr>
          <w:rFonts w:eastAsia="Times New Roman" w:cstheme="minorHAnsi"/>
          <w:spacing w:val="4"/>
        </w:rPr>
        <w:t>r</w:t>
      </w:r>
      <w:r w:rsidRPr="00A54361">
        <w:rPr>
          <w:rFonts w:eastAsia="Times New Roman" w:cstheme="minorHAnsi"/>
          <w:spacing w:val="-1"/>
        </w:rPr>
        <w:t>-a</w:t>
      </w:r>
      <w:r w:rsidRPr="00A54361">
        <w:rPr>
          <w:rFonts w:eastAsia="Times New Roman" w:cstheme="minorHAnsi"/>
        </w:rPr>
        <w:t>l</w:t>
      </w:r>
      <w:r w:rsidRPr="00A54361">
        <w:rPr>
          <w:rFonts w:eastAsia="Times New Roman" w:cstheme="minorHAnsi"/>
          <w:spacing w:val="1"/>
        </w:rPr>
        <w:t>i</w:t>
      </w:r>
      <w:r w:rsidRPr="00A54361">
        <w:rPr>
          <w:rFonts w:eastAsia="Times New Roman" w:cstheme="minorHAnsi"/>
        </w:rPr>
        <w:t>a includ</w:t>
      </w:r>
      <w:r w:rsidRPr="00A54361">
        <w:rPr>
          <w:rFonts w:eastAsia="Times New Roman" w:cstheme="minorHAnsi"/>
          <w:spacing w:val="-1"/>
        </w:rPr>
        <w:t>e</w:t>
      </w:r>
      <w:r w:rsidRPr="00A54361">
        <w:rPr>
          <w:rFonts w:eastAsia="Times New Roman" w:cstheme="minorHAnsi"/>
        </w:rPr>
        <w:t>:</w:t>
      </w:r>
    </w:p>
    <w:p w14:paraId="7824673D" w14:textId="77777777" w:rsidR="0054549F" w:rsidRPr="00A54361" w:rsidRDefault="0054549F" w:rsidP="00A54361">
      <w:pPr>
        <w:ind w:right="78"/>
        <w:jc w:val="both"/>
        <w:rPr>
          <w:rFonts w:cstheme="minorHAnsi"/>
        </w:rPr>
      </w:pPr>
      <w:r w:rsidRPr="00A54361">
        <w:rPr>
          <w:rFonts w:eastAsia="Times New Roman" w:cstheme="minorHAnsi"/>
        </w:rPr>
        <w:t>i)</w:t>
      </w:r>
      <w:r w:rsidRPr="00A54361">
        <w:rPr>
          <w:rFonts w:eastAsia="Times New Roman" w:cstheme="minorHAnsi"/>
          <w:spacing w:val="9"/>
        </w:rPr>
        <w:t xml:space="preserve"> </w:t>
      </w:r>
      <w:r w:rsidRPr="00A54361">
        <w:rPr>
          <w:rFonts w:eastAsia="Times New Roman" w:cstheme="minorHAnsi"/>
        </w:rPr>
        <w:t>To</w:t>
      </w:r>
      <w:r w:rsidRPr="00A54361">
        <w:rPr>
          <w:rFonts w:eastAsia="Times New Roman" w:cstheme="minorHAnsi"/>
          <w:spacing w:val="9"/>
        </w:rPr>
        <w:t xml:space="preserve"> </w:t>
      </w:r>
      <w:r w:rsidRPr="00A54361">
        <w:rPr>
          <w:rFonts w:eastAsia="Times New Roman" w:cstheme="minorHAnsi"/>
        </w:rPr>
        <w:t>stu</w:t>
      </w:r>
      <w:r w:rsidRPr="00A54361">
        <w:rPr>
          <w:rFonts w:eastAsia="Times New Roman" w:cstheme="minorHAnsi"/>
          <w:spacing w:val="3"/>
        </w:rPr>
        <w:t>d</w:t>
      </w:r>
      <w:r w:rsidRPr="00A54361">
        <w:rPr>
          <w:rFonts w:eastAsia="Times New Roman" w:cstheme="minorHAnsi"/>
        </w:rPr>
        <w:t>y</w:t>
      </w:r>
      <w:r w:rsidRPr="00A54361">
        <w:rPr>
          <w:rFonts w:eastAsia="Times New Roman" w:cstheme="minorHAnsi"/>
          <w:spacing w:val="5"/>
        </w:rPr>
        <w:t xml:space="preserve"> </w:t>
      </w:r>
      <w:r w:rsidRPr="00A54361">
        <w:rPr>
          <w:rFonts w:eastAsia="Times New Roman" w:cstheme="minorHAnsi"/>
        </w:rPr>
        <w:t>t</w:t>
      </w:r>
      <w:r w:rsidRPr="00A54361">
        <w:rPr>
          <w:rFonts w:eastAsia="Times New Roman" w:cstheme="minorHAnsi"/>
          <w:spacing w:val="3"/>
        </w:rPr>
        <w:t>h</w:t>
      </w:r>
      <w:r w:rsidRPr="00A54361">
        <w:rPr>
          <w:rFonts w:eastAsia="Times New Roman" w:cstheme="minorHAnsi"/>
        </w:rPr>
        <w:t>e</w:t>
      </w:r>
      <w:r w:rsidRPr="00A54361">
        <w:rPr>
          <w:rFonts w:eastAsia="Times New Roman" w:cstheme="minorHAnsi"/>
          <w:spacing w:val="8"/>
        </w:rPr>
        <w:t xml:space="preserve"> </w:t>
      </w:r>
      <w:r w:rsidRPr="00A54361">
        <w:rPr>
          <w:rFonts w:eastAsia="Times New Roman" w:cstheme="minorHAnsi"/>
          <w:spacing w:val="1"/>
        </w:rPr>
        <w:t>r</w:t>
      </w:r>
      <w:r w:rsidRPr="00A54361">
        <w:rPr>
          <w:rFonts w:eastAsia="Times New Roman" w:cstheme="minorHAnsi"/>
          <w:spacing w:val="-1"/>
        </w:rPr>
        <w:t>e</w:t>
      </w:r>
      <w:r w:rsidRPr="00A54361">
        <w:rPr>
          <w:rFonts w:eastAsia="Times New Roman" w:cstheme="minorHAnsi"/>
        </w:rPr>
        <w:t>port</w:t>
      </w:r>
      <w:r w:rsidRPr="00A54361">
        <w:rPr>
          <w:rFonts w:eastAsia="Times New Roman" w:cstheme="minorHAnsi"/>
          <w:spacing w:val="9"/>
        </w:rPr>
        <w:t xml:space="preserve"> </w:t>
      </w:r>
      <w:r w:rsidRPr="00A54361">
        <w:rPr>
          <w:rFonts w:eastAsia="Times New Roman" w:cstheme="minorHAnsi"/>
          <w:spacing w:val="2"/>
        </w:rPr>
        <w:t>o</w:t>
      </w:r>
      <w:r w:rsidRPr="00A54361">
        <w:rPr>
          <w:rFonts w:eastAsia="Times New Roman" w:cstheme="minorHAnsi"/>
        </w:rPr>
        <w:t>f</w:t>
      </w:r>
      <w:r w:rsidRPr="00A54361">
        <w:rPr>
          <w:rFonts w:eastAsia="Times New Roman" w:cstheme="minorHAnsi"/>
          <w:spacing w:val="11"/>
        </w:rPr>
        <w:t xml:space="preserve"> </w:t>
      </w:r>
      <w:r w:rsidRPr="00A54361">
        <w:rPr>
          <w:rFonts w:eastAsia="Times New Roman" w:cstheme="minorHAnsi"/>
        </w:rPr>
        <w:t>the</w:t>
      </w:r>
      <w:r w:rsidRPr="00A54361">
        <w:rPr>
          <w:rFonts w:eastAsia="Times New Roman" w:cstheme="minorHAnsi"/>
          <w:spacing w:val="11"/>
        </w:rPr>
        <w:t xml:space="preserve"> </w:t>
      </w:r>
      <w:r w:rsidRPr="00A54361">
        <w:rPr>
          <w:rFonts w:eastAsia="Times New Roman" w:cstheme="minorHAnsi"/>
          <w:spacing w:val="-3"/>
        </w:rPr>
        <w:t>I</w:t>
      </w:r>
      <w:r w:rsidRPr="00A54361">
        <w:rPr>
          <w:rFonts w:eastAsia="Times New Roman" w:cstheme="minorHAnsi"/>
        </w:rPr>
        <w:t>nv</w:t>
      </w:r>
      <w:r w:rsidRPr="00A54361">
        <w:rPr>
          <w:rFonts w:eastAsia="Times New Roman" w:cstheme="minorHAnsi"/>
          <w:spacing w:val="-1"/>
        </w:rPr>
        <w:t>e</w:t>
      </w:r>
      <w:r w:rsidRPr="00A54361">
        <w:rPr>
          <w:rFonts w:eastAsia="Times New Roman" w:cstheme="minorHAnsi"/>
        </w:rPr>
        <w:t>st</w:t>
      </w:r>
      <w:r w:rsidRPr="00A54361">
        <w:rPr>
          <w:rFonts w:eastAsia="Times New Roman" w:cstheme="minorHAnsi"/>
          <w:spacing w:val="3"/>
        </w:rPr>
        <w:t>i</w:t>
      </w:r>
      <w:r w:rsidRPr="00A54361">
        <w:rPr>
          <w:rFonts w:eastAsia="Times New Roman" w:cstheme="minorHAnsi"/>
          <w:spacing w:val="-2"/>
        </w:rPr>
        <w:t>g</w:t>
      </w:r>
      <w:r w:rsidRPr="00A54361">
        <w:rPr>
          <w:rFonts w:eastAsia="Times New Roman" w:cstheme="minorHAnsi"/>
          <w:spacing w:val="-1"/>
        </w:rPr>
        <w:t>a</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spacing w:val="2"/>
        </w:rPr>
        <w:t>n</w:t>
      </w:r>
      <w:r w:rsidRPr="00A54361">
        <w:rPr>
          <w:rFonts w:eastAsia="Times New Roman" w:cstheme="minorHAnsi"/>
        </w:rPr>
        <w:t>g</w:t>
      </w:r>
      <w:r w:rsidRPr="00A54361">
        <w:rPr>
          <w:rFonts w:eastAsia="Times New Roman" w:cstheme="minorHAnsi"/>
          <w:spacing w:val="7"/>
        </w:rPr>
        <w:t xml:space="preserve"> </w:t>
      </w:r>
      <w:r w:rsidRPr="00A54361">
        <w:rPr>
          <w:rFonts w:eastAsia="Times New Roman" w:cstheme="minorHAnsi"/>
          <w:spacing w:val="2"/>
        </w:rPr>
        <w:t>A</w:t>
      </w:r>
      <w:r w:rsidRPr="00A54361">
        <w:rPr>
          <w:rFonts w:eastAsia="Times New Roman" w:cstheme="minorHAnsi"/>
          <w:spacing w:val="-2"/>
        </w:rPr>
        <w:t>g</w:t>
      </w:r>
      <w:r w:rsidRPr="00A54361">
        <w:rPr>
          <w:rFonts w:eastAsia="Times New Roman" w:cstheme="minorHAnsi"/>
          <w:spacing w:val="-1"/>
        </w:rPr>
        <w:t>e</w:t>
      </w:r>
      <w:r w:rsidRPr="00A54361">
        <w:rPr>
          <w:rFonts w:eastAsia="Times New Roman" w:cstheme="minorHAnsi"/>
          <w:spacing w:val="2"/>
        </w:rPr>
        <w:t>n</w:t>
      </w:r>
      <w:r w:rsidRPr="00A54361">
        <w:rPr>
          <w:rFonts w:eastAsia="Times New Roman" w:cstheme="minorHAnsi"/>
          <w:spacing w:val="4"/>
        </w:rPr>
        <w:t>c</w:t>
      </w:r>
      <w:r w:rsidRPr="00A54361">
        <w:rPr>
          <w:rFonts w:eastAsia="Times New Roman" w:cstheme="minorHAnsi"/>
        </w:rPr>
        <w:t>y</w:t>
      </w:r>
      <w:r w:rsidRPr="00A54361">
        <w:rPr>
          <w:rFonts w:eastAsia="Times New Roman" w:cstheme="minorHAnsi"/>
          <w:spacing w:val="7"/>
        </w:rPr>
        <w:t xml:space="preserve"> </w:t>
      </w:r>
      <w:r w:rsidRPr="00A54361">
        <w:rPr>
          <w:rFonts w:eastAsia="Times New Roman" w:cstheme="minorHAnsi"/>
          <w:spacing w:val="-1"/>
        </w:rPr>
        <w:t>a</w:t>
      </w:r>
      <w:r w:rsidRPr="00A54361">
        <w:rPr>
          <w:rFonts w:eastAsia="Times New Roman" w:cstheme="minorHAnsi"/>
        </w:rPr>
        <w:t>nd</w:t>
      </w:r>
      <w:r w:rsidRPr="00A54361">
        <w:rPr>
          <w:rFonts w:eastAsia="Times New Roman" w:cstheme="minorHAnsi"/>
          <w:spacing w:val="9"/>
        </w:rPr>
        <w:t xml:space="preserve"> </w:t>
      </w:r>
      <w:r w:rsidRPr="00A54361">
        <w:rPr>
          <w:rFonts w:eastAsia="Times New Roman" w:cstheme="minorHAnsi"/>
        </w:rPr>
        <w:t>d</w:t>
      </w:r>
      <w:r w:rsidRPr="00A54361">
        <w:rPr>
          <w:rFonts w:eastAsia="Times New Roman" w:cstheme="minorHAnsi"/>
          <w:spacing w:val="1"/>
        </w:rPr>
        <w:t>e</w:t>
      </w:r>
      <w:r w:rsidRPr="00A54361">
        <w:rPr>
          <w:rFonts w:eastAsia="Times New Roman" w:cstheme="minorHAnsi"/>
          <w:spacing w:val="-1"/>
        </w:rPr>
        <w:t>c</w:t>
      </w:r>
      <w:r w:rsidRPr="00A54361">
        <w:rPr>
          <w:rFonts w:eastAsia="Times New Roman" w:cstheme="minorHAnsi"/>
        </w:rPr>
        <w:t>ide</w:t>
      </w:r>
      <w:r w:rsidRPr="00A54361">
        <w:rPr>
          <w:rFonts w:eastAsia="Times New Roman" w:cstheme="minorHAnsi"/>
          <w:spacing w:val="9"/>
        </w:rPr>
        <w:t xml:space="preserve"> </w:t>
      </w:r>
      <w:r w:rsidRPr="00A54361">
        <w:rPr>
          <w:rFonts w:eastAsia="Times New Roman" w:cstheme="minorHAnsi"/>
        </w:rPr>
        <w:t>if</w:t>
      </w:r>
      <w:r w:rsidRPr="00A54361">
        <w:rPr>
          <w:rFonts w:eastAsia="Times New Roman" w:cstheme="minorHAnsi"/>
          <w:spacing w:val="11"/>
        </w:rPr>
        <w:t xml:space="preserve"> </w:t>
      </w:r>
      <w:r w:rsidRPr="00A54361">
        <w:rPr>
          <w:rFonts w:eastAsia="Times New Roman" w:cstheme="minorHAnsi"/>
        </w:rPr>
        <w:t>a</w:t>
      </w:r>
      <w:r w:rsidRPr="00A54361">
        <w:rPr>
          <w:rFonts w:eastAsia="Times New Roman" w:cstheme="minorHAnsi"/>
          <w:spacing w:val="8"/>
        </w:rPr>
        <w:t xml:space="preserve"> </w:t>
      </w:r>
      <w:r w:rsidRPr="00A54361">
        <w:rPr>
          <w:rFonts w:eastAsia="Times New Roman" w:cstheme="minorHAnsi"/>
        </w:rPr>
        <w:t>prim</w:t>
      </w:r>
      <w:r w:rsidRPr="00A54361">
        <w:rPr>
          <w:rFonts w:eastAsia="Times New Roman" w:cstheme="minorHAnsi"/>
          <w:spacing w:val="9"/>
        </w:rPr>
        <w:t>a</w:t>
      </w:r>
      <w:r w:rsidRPr="00A54361">
        <w:rPr>
          <w:rFonts w:eastAsia="Times New Roman" w:cstheme="minorHAnsi"/>
          <w:spacing w:val="-1"/>
        </w:rPr>
        <w:t>-</w:t>
      </w:r>
      <w:r w:rsidRPr="00A54361">
        <w:rPr>
          <w:rFonts w:eastAsia="Times New Roman" w:cstheme="minorHAnsi"/>
        </w:rPr>
        <w:t>fa</w:t>
      </w:r>
      <w:r w:rsidRPr="00A54361">
        <w:rPr>
          <w:rFonts w:eastAsia="Times New Roman" w:cstheme="minorHAnsi"/>
          <w:spacing w:val="-1"/>
        </w:rPr>
        <w:t>c</w:t>
      </w:r>
      <w:r w:rsidRPr="00A54361">
        <w:rPr>
          <w:rFonts w:eastAsia="Times New Roman" w:cstheme="minorHAnsi"/>
        </w:rPr>
        <w:t>ie</w:t>
      </w:r>
      <w:r w:rsidRPr="00A54361">
        <w:rPr>
          <w:rFonts w:eastAsia="Times New Roman" w:cstheme="minorHAnsi"/>
          <w:spacing w:val="9"/>
        </w:rPr>
        <w:t xml:space="preserve"> </w:t>
      </w:r>
      <w:r w:rsidRPr="00A54361">
        <w:rPr>
          <w:rFonts w:eastAsia="Times New Roman" w:cstheme="minorHAnsi"/>
          <w:spacing w:val="1"/>
        </w:rPr>
        <w:t>c</w:t>
      </w:r>
      <w:r w:rsidRPr="00A54361">
        <w:rPr>
          <w:rFonts w:eastAsia="Times New Roman" w:cstheme="minorHAnsi"/>
          <w:spacing w:val="-1"/>
        </w:rPr>
        <w:t>a</w:t>
      </w:r>
      <w:r w:rsidRPr="00A54361">
        <w:rPr>
          <w:rFonts w:eastAsia="Times New Roman" w:cstheme="minorHAnsi"/>
        </w:rPr>
        <w:t>se</w:t>
      </w:r>
      <w:r w:rsidRPr="00A54361">
        <w:rPr>
          <w:rFonts w:eastAsia="Times New Roman" w:cstheme="minorHAnsi"/>
          <w:spacing w:val="9"/>
        </w:rPr>
        <w:t xml:space="preserve"> </w:t>
      </w:r>
      <w:r w:rsidRPr="00A54361">
        <w:rPr>
          <w:rFonts w:eastAsia="Times New Roman" w:cstheme="minorHAnsi"/>
        </w:rPr>
        <w:t>f</w:t>
      </w:r>
      <w:r w:rsidRPr="00A54361">
        <w:rPr>
          <w:rFonts w:eastAsia="Times New Roman" w:cstheme="minorHAnsi"/>
          <w:spacing w:val="1"/>
        </w:rPr>
        <w:t>o</w:t>
      </w:r>
      <w:r w:rsidRPr="00A54361">
        <w:rPr>
          <w:rFonts w:eastAsia="Times New Roman" w:cstheme="minorHAnsi"/>
        </w:rPr>
        <w:t>r</w:t>
      </w:r>
      <w:r w:rsidRPr="00A54361">
        <w:rPr>
          <w:rFonts w:eastAsia="Times New Roman" w:cstheme="minorHAnsi"/>
          <w:spacing w:val="11"/>
        </w:rPr>
        <w:t xml:space="preserve"> </w:t>
      </w:r>
      <w:r w:rsidRPr="00A54361">
        <w:rPr>
          <w:rFonts w:eastAsia="Times New Roman" w:cstheme="minorHAnsi"/>
          <w:spacing w:val="-2"/>
        </w:rPr>
        <w:t>B</w:t>
      </w:r>
      <w:r w:rsidRPr="00A54361">
        <w:rPr>
          <w:rFonts w:eastAsia="Times New Roman" w:cstheme="minorHAnsi"/>
          <w:spacing w:val="-1"/>
        </w:rPr>
        <w:t>a</w:t>
      </w:r>
      <w:r w:rsidRPr="00A54361">
        <w:rPr>
          <w:rFonts w:eastAsia="Times New Roman" w:cstheme="minorHAnsi"/>
        </w:rPr>
        <w:t>n</w:t>
      </w:r>
      <w:r w:rsidRPr="00A54361">
        <w:rPr>
          <w:rFonts w:eastAsia="Times New Roman" w:cstheme="minorHAnsi"/>
          <w:spacing w:val="2"/>
        </w:rPr>
        <w:t>k</w:t>
      </w:r>
      <w:r w:rsidRPr="00A54361">
        <w:rPr>
          <w:rFonts w:eastAsia="Times New Roman" w:cstheme="minorHAnsi"/>
        </w:rPr>
        <w:t>- wide</w:t>
      </w:r>
      <w:r w:rsidRPr="00A54361">
        <w:rPr>
          <w:rFonts w:eastAsia="Times New Roman" w:cstheme="minorHAnsi"/>
          <w:spacing w:val="-1"/>
        </w:rPr>
        <w:t xml:space="preserve"> </w:t>
      </w:r>
      <w:r w:rsidRPr="00A54361">
        <w:rPr>
          <w:rFonts w:eastAsia="Times New Roman" w:cstheme="minorHAnsi"/>
        </w:rPr>
        <w:t>/</w:t>
      </w:r>
      <w:r w:rsidRPr="00A54361">
        <w:rPr>
          <w:rFonts w:eastAsia="Times New Roman" w:cstheme="minorHAnsi"/>
          <w:spacing w:val="3"/>
        </w:rPr>
        <w:t xml:space="preserve"> </w:t>
      </w:r>
      <w:r w:rsidRPr="00A54361">
        <w:rPr>
          <w:rFonts w:eastAsia="Times New Roman" w:cstheme="minorHAnsi"/>
          <w:spacing w:val="-5"/>
        </w:rPr>
        <w:t>L</w:t>
      </w:r>
      <w:r w:rsidRPr="00A54361">
        <w:rPr>
          <w:rFonts w:eastAsia="Times New Roman" w:cstheme="minorHAnsi"/>
          <w:spacing w:val="2"/>
        </w:rPr>
        <w:t>o</w:t>
      </w:r>
      <w:r w:rsidRPr="00A54361">
        <w:rPr>
          <w:rFonts w:eastAsia="Times New Roman" w:cstheme="minorHAnsi"/>
          <w:spacing w:val="-1"/>
        </w:rPr>
        <w:t>ca</w:t>
      </w:r>
      <w:r w:rsidRPr="00A54361">
        <w:rPr>
          <w:rFonts w:eastAsia="Times New Roman" w:cstheme="minorHAnsi"/>
        </w:rPr>
        <w:t>l un</w:t>
      </w:r>
      <w:r w:rsidRPr="00A54361">
        <w:rPr>
          <w:rFonts w:eastAsia="Times New Roman" w:cstheme="minorHAnsi"/>
          <w:spacing w:val="1"/>
        </w:rPr>
        <w:t>i</w:t>
      </w:r>
      <w:r w:rsidRPr="00A54361">
        <w:rPr>
          <w:rFonts w:eastAsia="Times New Roman" w:cstheme="minorHAnsi"/>
        </w:rPr>
        <w:t>t wise b</w:t>
      </w:r>
      <w:r w:rsidRPr="00A54361">
        <w:rPr>
          <w:rFonts w:eastAsia="Times New Roman" w:cstheme="minorHAnsi"/>
          <w:spacing w:val="1"/>
        </w:rPr>
        <w:t>a</w:t>
      </w:r>
      <w:r w:rsidRPr="00A54361">
        <w:rPr>
          <w:rFonts w:eastAsia="Times New Roman" w:cstheme="minorHAnsi"/>
        </w:rPr>
        <w:t>nning</w:t>
      </w:r>
      <w:r w:rsidRPr="00A54361">
        <w:rPr>
          <w:rFonts w:eastAsia="Times New Roman" w:cstheme="minorHAnsi"/>
          <w:spacing w:val="-2"/>
        </w:rPr>
        <w:t xml:space="preserve"> </w:t>
      </w:r>
      <w:r w:rsidRPr="00A54361">
        <w:rPr>
          <w:rFonts w:eastAsia="Times New Roman" w:cstheme="minorHAnsi"/>
          <w:spacing w:val="-1"/>
        </w:rPr>
        <w:t>e</w:t>
      </w:r>
      <w:r w:rsidRPr="00A54361">
        <w:rPr>
          <w:rFonts w:eastAsia="Times New Roman" w:cstheme="minorHAnsi"/>
          <w:spacing w:val="2"/>
        </w:rPr>
        <w:t>x</w:t>
      </w:r>
      <w:r w:rsidRPr="00A54361">
        <w:rPr>
          <w:rFonts w:eastAsia="Times New Roman" w:cstheme="minorHAnsi"/>
        </w:rPr>
        <w:t>is</w:t>
      </w:r>
      <w:r w:rsidRPr="00A54361">
        <w:rPr>
          <w:rFonts w:eastAsia="Times New Roman" w:cstheme="minorHAnsi"/>
          <w:spacing w:val="1"/>
        </w:rPr>
        <w:t>t</w:t>
      </w:r>
      <w:r w:rsidRPr="00A54361">
        <w:rPr>
          <w:rFonts w:eastAsia="Times New Roman" w:cstheme="minorHAnsi"/>
        </w:rPr>
        <w:t>s, if not, s</w:t>
      </w:r>
      <w:r w:rsidRPr="00A54361">
        <w:rPr>
          <w:rFonts w:eastAsia="Times New Roman" w:cstheme="minorHAnsi"/>
          <w:spacing w:val="-1"/>
        </w:rPr>
        <w:t>e</w:t>
      </w:r>
      <w:r w:rsidRPr="00A54361">
        <w:rPr>
          <w:rFonts w:eastAsia="Times New Roman" w:cstheme="minorHAnsi"/>
        </w:rPr>
        <w:t>nd b</w:t>
      </w:r>
      <w:r w:rsidRPr="00A54361">
        <w:rPr>
          <w:rFonts w:eastAsia="Times New Roman" w:cstheme="minorHAnsi"/>
          <w:spacing w:val="-1"/>
        </w:rPr>
        <w:t>ac</w:t>
      </w:r>
      <w:r w:rsidRPr="00A54361">
        <w:rPr>
          <w:rFonts w:eastAsia="Times New Roman" w:cstheme="minorHAnsi"/>
        </w:rPr>
        <w:t xml:space="preserve">k the </w:t>
      </w:r>
      <w:r w:rsidRPr="00A54361">
        <w:rPr>
          <w:rFonts w:eastAsia="Times New Roman" w:cstheme="minorHAnsi"/>
          <w:spacing w:val="1"/>
        </w:rPr>
        <w:t>c</w:t>
      </w:r>
      <w:r w:rsidRPr="00A54361">
        <w:rPr>
          <w:rFonts w:eastAsia="Times New Roman" w:cstheme="minorHAnsi"/>
          <w:spacing w:val="-1"/>
        </w:rPr>
        <w:t>a</w:t>
      </w:r>
      <w:r w:rsidRPr="00A54361">
        <w:rPr>
          <w:rFonts w:eastAsia="Times New Roman" w:cstheme="minorHAnsi"/>
        </w:rPr>
        <w:t>se</w:t>
      </w:r>
      <w:r w:rsidRPr="00A54361">
        <w:rPr>
          <w:rFonts w:eastAsia="Times New Roman" w:cstheme="minorHAnsi"/>
          <w:spacing w:val="-1"/>
        </w:rPr>
        <w:t xml:space="preserve"> </w:t>
      </w:r>
      <w:r w:rsidRPr="00A54361">
        <w:rPr>
          <w:rFonts w:eastAsia="Times New Roman" w:cstheme="minorHAnsi"/>
        </w:rPr>
        <w:t xml:space="preserve">to </w:t>
      </w:r>
      <w:r w:rsidRPr="00A54361">
        <w:rPr>
          <w:rFonts w:eastAsia="Times New Roman" w:cstheme="minorHAnsi"/>
          <w:spacing w:val="1"/>
        </w:rPr>
        <w:t>t</w:t>
      </w:r>
      <w:r w:rsidRPr="00A54361">
        <w:rPr>
          <w:rFonts w:eastAsia="Times New Roman" w:cstheme="minorHAnsi"/>
        </w:rPr>
        <w:t>he</w:t>
      </w:r>
      <w:r w:rsidRPr="00A54361">
        <w:rPr>
          <w:rFonts w:eastAsia="Times New Roman" w:cstheme="minorHAnsi"/>
          <w:spacing w:val="-1"/>
        </w:rPr>
        <w:t xml:space="preserve"> </w:t>
      </w:r>
      <w:r w:rsidRPr="00A54361">
        <w:rPr>
          <w:rFonts w:eastAsia="Times New Roman" w:cstheme="minorHAnsi"/>
        </w:rPr>
        <w:t>Co</w:t>
      </w:r>
      <w:r w:rsidRPr="00A54361">
        <w:rPr>
          <w:rFonts w:eastAsia="Times New Roman" w:cstheme="minorHAnsi"/>
          <w:spacing w:val="3"/>
        </w:rPr>
        <w:t>m</w:t>
      </w:r>
      <w:r w:rsidRPr="00A54361">
        <w:rPr>
          <w:rFonts w:eastAsia="Times New Roman" w:cstheme="minorHAnsi"/>
        </w:rPr>
        <w:t>p</w:t>
      </w:r>
      <w:r w:rsidRPr="00A54361">
        <w:rPr>
          <w:rFonts w:eastAsia="Times New Roman" w:cstheme="minorHAnsi"/>
          <w:spacing w:val="-1"/>
        </w:rPr>
        <w:t>e</w:t>
      </w:r>
      <w:r w:rsidRPr="00A54361">
        <w:rPr>
          <w:rFonts w:eastAsia="Times New Roman" w:cstheme="minorHAnsi"/>
        </w:rPr>
        <w:t>tent Autho</w:t>
      </w:r>
      <w:r w:rsidRPr="00A54361">
        <w:rPr>
          <w:rFonts w:eastAsia="Times New Roman" w:cstheme="minorHAnsi"/>
          <w:spacing w:val="-1"/>
        </w:rPr>
        <w:t>r</w:t>
      </w:r>
      <w:r w:rsidRPr="00A54361">
        <w:rPr>
          <w:rFonts w:eastAsia="Times New Roman" w:cstheme="minorHAnsi"/>
        </w:rPr>
        <w:t>i</w:t>
      </w:r>
      <w:r w:rsidRPr="00A54361">
        <w:rPr>
          <w:rFonts w:eastAsia="Times New Roman" w:cstheme="minorHAnsi"/>
          <w:spacing w:val="3"/>
        </w:rPr>
        <w:t>t</w:t>
      </w:r>
      <w:r w:rsidRPr="00A54361">
        <w:rPr>
          <w:rFonts w:eastAsia="Times New Roman" w:cstheme="minorHAnsi"/>
          <w:spacing w:val="-5"/>
        </w:rPr>
        <w:t>y</w:t>
      </w:r>
      <w:r w:rsidRPr="00A54361">
        <w:rPr>
          <w:rFonts w:eastAsia="Times New Roman" w:cstheme="minorHAnsi"/>
        </w:rPr>
        <w:t xml:space="preserve">. ii) To </w:t>
      </w:r>
      <w:r w:rsidRPr="00A54361">
        <w:rPr>
          <w:rFonts w:eastAsia="Times New Roman" w:cstheme="minorHAnsi"/>
          <w:spacing w:val="-1"/>
        </w:rPr>
        <w:t>rec</w:t>
      </w:r>
      <w:r w:rsidRPr="00A54361">
        <w:rPr>
          <w:rFonts w:eastAsia="Times New Roman" w:cstheme="minorHAnsi"/>
        </w:rPr>
        <w:t>om</w:t>
      </w:r>
      <w:r w:rsidRPr="00A54361">
        <w:rPr>
          <w:rFonts w:eastAsia="Times New Roman" w:cstheme="minorHAnsi"/>
          <w:spacing w:val="1"/>
        </w:rPr>
        <w:t>m</w:t>
      </w:r>
      <w:r w:rsidRPr="00A54361">
        <w:rPr>
          <w:rFonts w:eastAsia="Times New Roman" w:cstheme="minorHAnsi"/>
          <w:spacing w:val="-1"/>
        </w:rPr>
        <w:t>e</w:t>
      </w:r>
      <w:r w:rsidRPr="00A54361">
        <w:rPr>
          <w:rFonts w:eastAsia="Times New Roman" w:cstheme="minorHAnsi"/>
        </w:rPr>
        <w:t>nd f</w:t>
      </w:r>
      <w:r w:rsidRPr="00A54361">
        <w:rPr>
          <w:rFonts w:eastAsia="Times New Roman" w:cstheme="minorHAnsi"/>
          <w:spacing w:val="1"/>
        </w:rPr>
        <w:t>o</w:t>
      </w:r>
      <w:r w:rsidRPr="00A54361">
        <w:rPr>
          <w:rFonts w:eastAsia="Times New Roman" w:cstheme="minorHAnsi"/>
        </w:rPr>
        <w:t>r issue</w:t>
      </w:r>
      <w:r w:rsidRPr="00A54361">
        <w:rPr>
          <w:rFonts w:eastAsia="Times New Roman" w:cstheme="minorHAnsi"/>
          <w:spacing w:val="-1"/>
        </w:rPr>
        <w:t xml:space="preserve"> </w:t>
      </w:r>
      <w:r w:rsidRPr="00A54361">
        <w:rPr>
          <w:rFonts w:eastAsia="Times New Roman" w:cstheme="minorHAnsi"/>
        </w:rPr>
        <w:t>of show</w:t>
      </w:r>
      <w:r w:rsidRPr="00A54361">
        <w:rPr>
          <w:rFonts w:eastAsia="Times New Roman" w:cstheme="minorHAnsi"/>
          <w:spacing w:val="2"/>
        </w:rPr>
        <w:t>-</w:t>
      </w:r>
      <w:r w:rsidRPr="00A54361">
        <w:rPr>
          <w:rFonts w:eastAsia="Times New Roman" w:cstheme="minorHAnsi"/>
          <w:spacing w:val="-1"/>
        </w:rPr>
        <w:t>ca</w:t>
      </w:r>
      <w:r w:rsidRPr="00A54361">
        <w:rPr>
          <w:rFonts w:eastAsia="Times New Roman" w:cstheme="minorHAnsi"/>
        </w:rPr>
        <w:t>use</w:t>
      </w:r>
      <w:r w:rsidRPr="00A54361">
        <w:rPr>
          <w:rFonts w:eastAsia="Times New Roman" w:cstheme="minorHAnsi"/>
          <w:spacing w:val="-1"/>
        </w:rPr>
        <w:t xml:space="preserve"> </w:t>
      </w:r>
      <w:r w:rsidRPr="00A54361">
        <w:rPr>
          <w:rFonts w:eastAsia="Times New Roman" w:cstheme="minorHAnsi"/>
        </w:rPr>
        <w:t>not</w:t>
      </w:r>
      <w:r w:rsidRPr="00A54361">
        <w:rPr>
          <w:rFonts w:eastAsia="Times New Roman" w:cstheme="minorHAnsi"/>
          <w:spacing w:val="1"/>
        </w:rPr>
        <w:t>ic</w:t>
      </w:r>
      <w:r w:rsidRPr="00A54361">
        <w:rPr>
          <w:rFonts w:eastAsia="Times New Roman" w:cstheme="minorHAnsi"/>
        </w:rPr>
        <w:t>e</w:t>
      </w:r>
      <w:r w:rsidRPr="00A54361">
        <w:rPr>
          <w:rFonts w:eastAsia="Times New Roman" w:cstheme="minorHAnsi"/>
          <w:spacing w:val="-1"/>
        </w:rPr>
        <w:t xml:space="preserve"> </w:t>
      </w:r>
      <w:r w:rsidRPr="00A54361">
        <w:rPr>
          <w:rFonts w:eastAsia="Times New Roman" w:cstheme="minorHAnsi"/>
        </w:rPr>
        <w:t xml:space="preserve">to </w:t>
      </w:r>
      <w:r w:rsidRPr="00A54361">
        <w:rPr>
          <w:rFonts w:eastAsia="Times New Roman" w:cstheme="minorHAnsi"/>
          <w:spacing w:val="1"/>
        </w:rPr>
        <w:t>t</w:t>
      </w:r>
      <w:r w:rsidRPr="00A54361">
        <w:rPr>
          <w:rFonts w:eastAsia="Times New Roman" w:cstheme="minorHAnsi"/>
        </w:rPr>
        <w:t>he</w:t>
      </w:r>
      <w:r w:rsidRPr="00A54361">
        <w:rPr>
          <w:rFonts w:eastAsia="Times New Roman" w:cstheme="minorHAnsi"/>
          <w:spacing w:val="-1"/>
        </w:rPr>
        <w:t xml:space="preserve"> </w:t>
      </w:r>
      <w:r w:rsidRPr="00A54361">
        <w:rPr>
          <w:rFonts w:eastAsia="Times New Roman" w:cstheme="minorHAnsi"/>
        </w:rPr>
        <w:t>Ag</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4"/>
        </w:rPr>
        <w:t>c</w:t>
      </w:r>
      <w:r w:rsidRPr="00A54361">
        <w:rPr>
          <w:rFonts w:eastAsia="Times New Roman" w:cstheme="minorHAnsi"/>
        </w:rPr>
        <w:t>y</w:t>
      </w:r>
      <w:r w:rsidRPr="00A54361">
        <w:rPr>
          <w:rFonts w:eastAsia="Times New Roman" w:cstheme="minorHAnsi"/>
          <w:spacing w:val="-5"/>
        </w:rPr>
        <w:t xml:space="preserve"> </w:t>
      </w:r>
      <w:r w:rsidRPr="00A54361">
        <w:rPr>
          <w:rFonts w:eastAsia="Times New Roman" w:cstheme="minorHAnsi"/>
          <w:spacing w:val="5"/>
        </w:rPr>
        <w:t>b</w:t>
      </w:r>
      <w:r w:rsidRPr="00A54361">
        <w:rPr>
          <w:rFonts w:eastAsia="Times New Roman" w:cstheme="minorHAnsi"/>
        </w:rPr>
        <w:t>y</w:t>
      </w:r>
      <w:r w:rsidRPr="00A54361">
        <w:rPr>
          <w:rFonts w:eastAsia="Times New Roman" w:cstheme="minorHAnsi"/>
          <w:spacing w:val="-5"/>
        </w:rPr>
        <w:t xml:space="preserve"> </w:t>
      </w:r>
      <w:r w:rsidRPr="00A54361">
        <w:rPr>
          <w:rFonts w:eastAsia="Times New Roman" w:cstheme="minorHAnsi"/>
        </w:rPr>
        <w:t>the</w:t>
      </w:r>
      <w:r w:rsidRPr="00A54361">
        <w:rPr>
          <w:rFonts w:eastAsia="Times New Roman" w:cstheme="minorHAnsi"/>
          <w:spacing w:val="2"/>
        </w:rPr>
        <w:t xml:space="preserve"> </w:t>
      </w:r>
      <w:r w:rsidRPr="00A54361">
        <w:rPr>
          <w:rFonts w:eastAsia="Times New Roman" w:cstheme="minorHAnsi"/>
          <w:spacing w:val="-1"/>
        </w:rPr>
        <w:t>c</w:t>
      </w:r>
      <w:r w:rsidRPr="00A54361">
        <w:rPr>
          <w:rFonts w:eastAsia="Times New Roman" w:cstheme="minorHAnsi"/>
        </w:rPr>
        <w:t>on</w:t>
      </w:r>
      <w:r w:rsidRPr="00A54361">
        <w:rPr>
          <w:rFonts w:eastAsia="Times New Roman" w:cstheme="minorHAnsi"/>
          <w:spacing w:val="1"/>
        </w:rPr>
        <w:t>c</w:t>
      </w:r>
      <w:r w:rsidRPr="00A54361">
        <w:rPr>
          <w:rFonts w:eastAsia="Times New Roman" w:cstheme="minorHAnsi"/>
          <w:spacing w:val="-1"/>
        </w:rPr>
        <w:t>e</w:t>
      </w:r>
      <w:r w:rsidRPr="00A54361">
        <w:rPr>
          <w:rFonts w:eastAsia="Times New Roman" w:cstheme="minorHAnsi"/>
        </w:rPr>
        <w:t>rn</w:t>
      </w:r>
      <w:r w:rsidRPr="00A54361">
        <w:rPr>
          <w:rFonts w:eastAsia="Times New Roman" w:cstheme="minorHAnsi"/>
          <w:spacing w:val="-2"/>
        </w:rPr>
        <w:t>e</w:t>
      </w:r>
      <w:r w:rsidRPr="00A54361">
        <w:rPr>
          <w:rFonts w:eastAsia="Times New Roman" w:cstheme="minorHAnsi"/>
        </w:rPr>
        <w:t>d d</w:t>
      </w:r>
      <w:r w:rsidRPr="00A54361">
        <w:rPr>
          <w:rFonts w:eastAsia="Times New Roman" w:cstheme="minorHAnsi"/>
          <w:spacing w:val="-1"/>
        </w:rPr>
        <w:t>e</w:t>
      </w:r>
      <w:r w:rsidRPr="00A54361">
        <w:rPr>
          <w:rFonts w:eastAsia="Times New Roman" w:cstheme="minorHAnsi"/>
          <w:spacing w:val="2"/>
        </w:rPr>
        <w:t>p</w:t>
      </w:r>
      <w:r w:rsidRPr="00A54361">
        <w:rPr>
          <w:rFonts w:eastAsia="Times New Roman" w:cstheme="minorHAnsi"/>
          <w:spacing w:val="-1"/>
        </w:rPr>
        <w:t>a</w:t>
      </w:r>
      <w:r w:rsidRPr="00A54361">
        <w:rPr>
          <w:rFonts w:eastAsia="Times New Roman" w:cstheme="minorHAnsi"/>
        </w:rPr>
        <w:t>rtm</w:t>
      </w:r>
      <w:r w:rsidRPr="00A54361">
        <w:rPr>
          <w:rFonts w:eastAsia="Times New Roman" w:cstheme="minorHAnsi"/>
          <w:spacing w:val="-1"/>
        </w:rPr>
        <w:t>e</w:t>
      </w:r>
      <w:r w:rsidRPr="00A54361">
        <w:rPr>
          <w:rFonts w:eastAsia="Times New Roman" w:cstheme="minorHAnsi"/>
        </w:rPr>
        <w:t>nt. i</w:t>
      </w:r>
      <w:r w:rsidRPr="00A54361">
        <w:rPr>
          <w:rFonts w:eastAsia="Times New Roman" w:cstheme="minorHAnsi"/>
          <w:spacing w:val="1"/>
        </w:rPr>
        <w:t>i</w:t>
      </w:r>
      <w:r w:rsidRPr="00A54361">
        <w:rPr>
          <w:rFonts w:eastAsia="Times New Roman" w:cstheme="minorHAnsi"/>
        </w:rPr>
        <w:t>i)</w:t>
      </w:r>
      <w:r w:rsidRPr="00A54361">
        <w:rPr>
          <w:rFonts w:eastAsia="Times New Roman" w:cstheme="minorHAnsi"/>
          <w:spacing w:val="21"/>
        </w:rPr>
        <w:t xml:space="preserve"> </w:t>
      </w:r>
      <w:r w:rsidRPr="00A54361">
        <w:rPr>
          <w:rFonts w:eastAsia="Times New Roman" w:cstheme="minorHAnsi"/>
        </w:rPr>
        <w:t>To</w:t>
      </w:r>
      <w:r w:rsidRPr="00A54361">
        <w:rPr>
          <w:rFonts w:eastAsia="Times New Roman" w:cstheme="minorHAnsi"/>
          <w:spacing w:val="21"/>
        </w:rPr>
        <w:t xml:space="preserve"> </w:t>
      </w:r>
      <w:r w:rsidRPr="00A54361">
        <w:rPr>
          <w:rFonts w:eastAsia="Times New Roman" w:cstheme="minorHAnsi"/>
          <w:spacing w:val="-1"/>
        </w:rPr>
        <w:t>e</w:t>
      </w:r>
      <w:r w:rsidRPr="00A54361">
        <w:rPr>
          <w:rFonts w:eastAsia="Times New Roman" w:cstheme="minorHAnsi"/>
          <w:spacing w:val="2"/>
        </w:rPr>
        <w:t>x</w:t>
      </w:r>
      <w:r w:rsidRPr="00A54361">
        <w:rPr>
          <w:rFonts w:eastAsia="Times New Roman" w:cstheme="minorHAnsi"/>
          <w:spacing w:val="-1"/>
        </w:rPr>
        <w:t>a</w:t>
      </w:r>
      <w:r w:rsidRPr="00A54361">
        <w:rPr>
          <w:rFonts w:eastAsia="Times New Roman" w:cstheme="minorHAnsi"/>
        </w:rPr>
        <w:t>m</w:t>
      </w:r>
      <w:r w:rsidRPr="00A54361">
        <w:rPr>
          <w:rFonts w:eastAsia="Times New Roman" w:cstheme="minorHAnsi"/>
          <w:spacing w:val="1"/>
        </w:rPr>
        <w:t>i</w:t>
      </w:r>
      <w:r w:rsidRPr="00A54361">
        <w:rPr>
          <w:rFonts w:eastAsia="Times New Roman" w:cstheme="minorHAnsi"/>
        </w:rPr>
        <w:t>ne</w:t>
      </w:r>
      <w:r w:rsidRPr="00A54361">
        <w:rPr>
          <w:rFonts w:eastAsia="Times New Roman" w:cstheme="minorHAnsi"/>
          <w:spacing w:val="20"/>
        </w:rPr>
        <w:t xml:space="preserve"> </w:t>
      </w:r>
      <w:r w:rsidRPr="00A54361">
        <w:rPr>
          <w:rFonts w:eastAsia="Times New Roman" w:cstheme="minorHAnsi"/>
        </w:rPr>
        <w:t>the</w:t>
      </w:r>
      <w:r w:rsidRPr="00A54361">
        <w:rPr>
          <w:rFonts w:eastAsia="Times New Roman" w:cstheme="minorHAnsi"/>
          <w:spacing w:val="21"/>
        </w:rPr>
        <w:t xml:space="preserve"> </w:t>
      </w:r>
      <w:r w:rsidRPr="00A54361">
        <w:rPr>
          <w:rFonts w:eastAsia="Times New Roman" w:cstheme="minorHAnsi"/>
          <w:spacing w:val="1"/>
        </w:rPr>
        <w:t>r</w:t>
      </w:r>
      <w:r w:rsidRPr="00A54361">
        <w:rPr>
          <w:rFonts w:eastAsia="Times New Roman" w:cstheme="minorHAnsi"/>
          <w:spacing w:val="-1"/>
        </w:rPr>
        <w:t>e</w:t>
      </w:r>
      <w:r w:rsidRPr="00A54361">
        <w:rPr>
          <w:rFonts w:eastAsia="Times New Roman" w:cstheme="minorHAnsi"/>
        </w:rPr>
        <w:t>p</w:t>
      </w:r>
      <w:r w:rsidRPr="00A54361">
        <w:rPr>
          <w:rFonts w:eastAsia="Times New Roman" w:cstheme="minorHAnsi"/>
          <w:spacing w:val="3"/>
        </w:rPr>
        <w:t>l</w:t>
      </w:r>
      <w:r w:rsidRPr="00A54361">
        <w:rPr>
          <w:rFonts w:eastAsia="Times New Roman" w:cstheme="minorHAnsi"/>
        </w:rPr>
        <w:t>y</w:t>
      </w:r>
      <w:r w:rsidRPr="00A54361">
        <w:rPr>
          <w:rFonts w:eastAsia="Times New Roman" w:cstheme="minorHAnsi"/>
          <w:spacing w:val="19"/>
        </w:rPr>
        <w:t xml:space="preserve"> </w:t>
      </w:r>
      <w:r w:rsidRPr="00A54361">
        <w:rPr>
          <w:rFonts w:eastAsia="Times New Roman" w:cstheme="minorHAnsi"/>
        </w:rPr>
        <w:t>to</w:t>
      </w:r>
      <w:r w:rsidRPr="00A54361">
        <w:rPr>
          <w:rFonts w:eastAsia="Times New Roman" w:cstheme="minorHAnsi"/>
          <w:spacing w:val="24"/>
        </w:rPr>
        <w:t xml:space="preserve"> </w:t>
      </w:r>
      <w:r w:rsidRPr="00A54361">
        <w:rPr>
          <w:rFonts w:eastAsia="Times New Roman" w:cstheme="minorHAnsi"/>
        </w:rPr>
        <w:t>sho</w:t>
      </w:r>
      <w:r w:rsidRPr="00A54361">
        <w:rPr>
          <w:rFonts w:eastAsia="Times New Roman" w:cstheme="minorHAnsi"/>
          <w:spacing w:val="3"/>
        </w:rPr>
        <w:t>w</w:t>
      </w:r>
      <w:r w:rsidRPr="00A54361">
        <w:rPr>
          <w:rFonts w:eastAsia="Times New Roman" w:cstheme="minorHAnsi"/>
          <w:spacing w:val="-1"/>
        </w:rPr>
        <w:t>-</w:t>
      </w:r>
      <w:r w:rsidRPr="00A54361">
        <w:rPr>
          <w:rFonts w:eastAsia="Times New Roman" w:cstheme="minorHAnsi"/>
          <w:spacing w:val="1"/>
        </w:rPr>
        <w:t>c</w:t>
      </w:r>
      <w:r w:rsidRPr="00A54361">
        <w:rPr>
          <w:rFonts w:eastAsia="Times New Roman" w:cstheme="minorHAnsi"/>
          <w:spacing w:val="-1"/>
        </w:rPr>
        <w:t>a</w:t>
      </w:r>
      <w:r w:rsidRPr="00A54361">
        <w:rPr>
          <w:rFonts w:eastAsia="Times New Roman" w:cstheme="minorHAnsi"/>
        </w:rPr>
        <w:t>use</w:t>
      </w:r>
      <w:r w:rsidRPr="00A54361">
        <w:rPr>
          <w:rFonts w:eastAsia="Times New Roman" w:cstheme="minorHAnsi"/>
          <w:spacing w:val="21"/>
        </w:rPr>
        <w:t xml:space="preserve"> </w:t>
      </w:r>
      <w:r w:rsidRPr="00A54361">
        <w:rPr>
          <w:rFonts w:eastAsia="Times New Roman" w:cstheme="minorHAnsi"/>
        </w:rPr>
        <w:t>not</w:t>
      </w:r>
      <w:r w:rsidRPr="00A54361">
        <w:rPr>
          <w:rFonts w:eastAsia="Times New Roman" w:cstheme="minorHAnsi"/>
          <w:spacing w:val="1"/>
        </w:rPr>
        <w:t>ic</w:t>
      </w:r>
      <w:r w:rsidRPr="00A54361">
        <w:rPr>
          <w:rFonts w:eastAsia="Times New Roman" w:cstheme="minorHAnsi"/>
        </w:rPr>
        <w:t>e</w:t>
      </w:r>
      <w:r w:rsidRPr="00A54361">
        <w:rPr>
          <w:rFonts w:eastAsia="Times New Roman" w:cstheme="minorHAnsi"/>
          <w:spacing w:val="23"/>
        </w:rPr>
        <w:t xml:space="preserve"> </w:t>
      </w:r>
      <w:r w:rsidRPr="00A54361">
        <w:rPr>
          <w:rFonts w:eastAsia="Times New Roman" w:cstheme="minorHAnsi"/>
          <w:spacing w:val="1"/>
        </w:rPr>
        <w:t>a</w:t>
      </w:r>
      <w:r w:rsidRPr="00A54361">
        <w:rPr>
          <w:rFonts w:eastAsia="Times New Roman" w:cstheme="minorHAnsi"/>
        </w:rPr>
        <w:t>nd</w:t>
      </w:r>
      <w:r w:rsidRPr="00A54361">
        <w:rPr>
          <w:rFonts w:eastAsia="Times New Roman" w:cstheme="minorHAnsi"/>
          <w:spacing w:val="21"/>
        </w:rPr>
        <w:t xml:space="preserve"> </w:t>
      </w:r>
      <w:r w:rsidRPr="00A54361">
        <w:rPr>
          <w:rFonts w:eastAsia="Times New Roman" w:cstheme="minorHAnsi"/>
          <w:spacing w:val="-1"/>
        </w:rPr>
        <w:t>ca</w:t>
      </w:r>
      <w:r w:rsidRPr="00A54361">
        <w:rPr>
          <w:rFonts w:eastAsia="Times New Roman" w:cstheme="minorHAnsi"/>
        </w:rPr>
        <w:t>ll</w:t>
      </w:r>
      <w:r w:rsidRPr="00A54361">
        <w:rPr>
          <w:rFonts w:eastAsia="Times New Roman" w:cstheme="minorHAnsi"/>
          <w:spacing w:val="22"/>
        </w:rPr>
        <w:t xml:space="preserve"> </w:t>
      </w:r>
      <w:r w:rsidRPr="00A54361">
        <w:rPr>
          <w:rFonts w:eastAsia="Times New Roman" w:cstheme="minorHAnsi"/>
        </w:rPr>
        <w:t>the</w:t>
      </w:r>
      <w:r w:rsidRPr="00A54361">
        <w:rPr>
          <w:rFonts w:eastAsia="Times New Roman" w:cstheme="minorHAnsi"/>
          <w:spacing w:val="23"/>
        </w:rPr>
        <w:t xml:space="preserve"> </w:t>
      </w:r>
      <w:r w:rsidRPr="00A54361">
        <w:rPr>
          <w:rFonts w:eastAsia="Times New Roman" w:cstheme="minorHAnsi"/>
          <w:spacing w:val="2"/>
        </w:rPr>
        <w:t>A</w:t>
      </w:r>
      <w:r w:rsidRPr="00A54361">
        <w:rPr>
          <w:rFonts w:eastAsia="Times New Roman" w:cstheme="minorHAnsi"/>
          <w:spacing w:val="-2"/>
        </w:rPr>
        <w:t>g</w:t>
      </w:r>
      <w:r w:rsidRPr="00A54361">
        <w:rPr>
          <w:rFonts w:eastAsia="Times New Roman" w:cstheme="minorHAnsi"/>
          <w:spacing w:val="-1"/>
        </w:rPr>
        <w:t>e</w:t>
      </w:r>
      <w:r w:rsidRPr="00A54361">
        <w:rPr>
          <w:rFonts w:eastAsia="Times New Roman" w:cstheme="minorHAnsi"/>
          <w:spacing w:val="2"/>
        </w:rPr>
        <w:t>n</w:t>
      </w:r>
      <w:r w:rsidRPr="00A54361">
        <w:rPr>
          <w:rFonts w:eastAsia="Times New Roman" w:cstheme="minorHAnsi"/>
          <w:spacing w:val="4"/>
        </w:rPr>
        <w:t>c</w:t>
      </w:r>
      <w:r w:rsidRPr="00A54361">
        <w:rPr>
          <w:rFonts w:eastAsia="Times New Roman" w:cstheme="minorHAnsi"/>
        </w:rPr>
        <w:t>y</w:t>
      </w:r>
      <w:r w:rsidRPr="00A54361">
        <w:rPr>
          <w:rFonts w:eastAsia="Times New Roman" w:cstheme="minorHAnsi"/>
          <w:spacing w:val="17"/>
        </w:rPr>
        <w:t xml:space="preserve"> </w:t>
      </w:r>
      <w:r w:rsidRPr="00A54361">
        <w:rPr>
          <w:rFonts w:eastAsia="Times New Roman" w:cstheme="minorHAnsi"/>
        </w:rPr>
        <w:t>f</w:t>
      </w:r>
      <w:r w:rsidRPr="00A54361">
        <w:rPr>
          <w:rFonts w:eastAsia="Times New Roman" w:cstheme="minorHAnsi"/>
          <w:spacing w:val="1"/>
        </w:rPr>
        <w:t>o</w:t>
      </w:r>
      <w:r w:rsidRPr="00A54361">
        <w:rPr>
          <w:rFonts w:eastAsia="Times New Roman" w:cstheme="minorHAnsi"/>
        </w:rPr>
        <w:t>r</w:t>
      </w:r>
      <w:r w:rsidRPr="00A54361">
        <w:rPr>
          <w:rFonts w:eastAsia="Times New Roman" w:cstheme="minorHAnsi"/>
          <w:spacing w:val="21"/>
        </w:rPr>
        <w:t xml:space="preserve"> </w:t>
      </w:r>
      <w:r w:rsidRPr="00A54361">
        <w:rPr>
          <w:rFonts w:eastAsia="Times New Roman" w:cstheme="minorHAnsi"/>
          <w:spacing w:val="2"/>
        </w:rPr>
        <w:t>p</w:t>
      </w:r>
      <w:r w:rsidRPr="00A54361">
        <w:rPr>
          <w:rFonts w:eastAsia="Times New Roman" w:cstheme="minorHAnsi"/>
          <w:spacing w:val="-1"/>
        </w:rPr>
        <w:t>e</w:t>
      </w:r>
      <w:r w:rsidRPr="00A54361">
        <w:rPr>
          <w:rFonts w:eastAsia="Times New Roman" w:cstheme="minorHAnsi"/>
        </w:rPr>
        <w:t>rson</w:t>
      </w:r>
      <w:r w:rsidRPr="00A54361">
        <w:rPr>
          <w:rFonts w:eastAsia="Times New Roman" w:cstheme="minorHAnsi"/>
          <w:spacing w:val="-1"/>
        </w:rPr>
        <w:t>a</w:t>
      </w:r>
      <w:r w:rsidRPr="00A54361">
        <w:rPr>
          <w:rFonts w:eastAsia="Times New Roman" w:cstheme="minorHAnsi"/>
        </w:rPr>
        <w:t>l</w:t>
      </w:r>
      <w:r w:rsidRPr="00A54361">
        <w:rPr>
          <w:rFonts w:eastAsia="Times New Roman" w:cstheme="minorHAnsi"/>
          <w:spacing w:val="22"/>
        </w:rPr>
        <w:t xml:space="preserve"> </w:t>
      </w:r>
      <w:r w:rsidRPr="00A54361">
        <w:rPr>
          <w:rFonts w:eastAsia="Times New Roman" w:cstheme="minorHAnsi"/>
          <w:spacing w:val="2"/>
        </w:rPr>
        <w:t>h</w:t>
      </w:r>
      <w:r w:rsidRPr="00A54361">
        <w:rPr>
          <w:rFonts w:eastAsia="Times New Roman" w:cstheme="minorHAnsi"/>
          <w:spacing w:val="-1"/>
        </w:rPr>
        <w:t>ea</w:t>
      </w:r>
      <w:r w:rsidRPr="00A54361">
        <w:rPr>
          <w:rFonts w:eastAsia="Times New Roman" w:cstheme="minorHAnsi"/>
        </w:rPr>
        <w:t>ri</w:t>
      </w:r>
      <w:r w:rsidRPr="00A54361">
        <w:rPr>
          <w:rFonts w:eastAsia="Times New Roman" w:cstheme="minorHAnsi"/>
          <w:spacing w:val="2"/>
        </w:rPr>
        <w:t>n</w:t>
      </w:r>
      <w:r w:rsidRPr="00A54361">
        <w:rPr>
          <w:rFonts w:eastAsia="Times New Roman" w:cstheme="minorHAnsi"/>
          <w:spacing w:val="-2"/>
        </w:rPr>
        <w:t>g</w:t>
      </w:r>
      <w:r w:rsidRPr="00A54361">
        <w:rPr>
          <w:rFonts w:eastAsia="Times New Roman" w:cstheme="minorHAnsi"/>
        </w:rPr>
        <w:t>,</w:t>
      </w:r>
      <w:r w:rsidRPr="00A54361">
        <w:rPr>
          <w:rFonts w:eastAsia="Times New Roman" w:cstheme="minorHAnsi"/>
          <w:spacing w:val="21"/>
        </w:rPr>
        <w:t xml:space="preserve"> </w:t>
      </w:r>
      <w:r w:rsidRPr="00A54361">
        <w:rPr>
          <w:rFonts w:eastAsia="Times New Roman" w:cstheme="minorHAnsi"/>
        </w:rPr>
        <w:t>if r</w:t>
      </w:r>
      <w:r w:rsidRPr="00A54361">
        <w:rPr>
          <w:rFonts w:eastAsia="Times New Roman" w:cstheme="minorHAnsi"/>
          <w:spacing w:val="-2"/>
        </w:rPr>
        <w:t>e</w:t>
      </w:r>
      <w:r w:rsidRPr="00A54361">
        <w:rPr>
          <w:rFonts w:eastAsia="Times New Roman" w:cstheme="minorHAnsi"/>
        </w:rPr>
        <w:t>quir</w:t>
      </w:r>
      <w:r w:rsidRPr="00A54361">
        <w:rPr>
          <w:rFonts w:eastAsia="Times New Roman" w:cstheme="minorHAnsi"/>
          <w:spacing w:val="-1"/>
        </w:rPr>
        <w:t>e</w:t>
      </w:r>
      <w:r w:rsidRPr="00A54361">
        <w:rPr>
          <w:rFonts w:eastAsia="Times New Roman" w:cstheme="minorHAnsi"/>
        </w:rPr>
        <w:t>d.</w:t>
      </w:r>
    </w:p>
    <w:p w14:paraId="27998746" w14:textId="77777777" w:rsidR="0054549F" w:rsidRPr="00A54361" w:rsidRDefault="0054549F" w:rsidP="00A54361">
      <w:pPr>
        <w:ind w:right="444"/>
        <w:jc w:val="both"/>
        <w:rPr>
          <w:rFonts w:cstheme="minorHAnsi"/>
        </w:rPr>
      </w:pPr>
      <w:r w:rsidRPr="00A54361">
        <w:rPr>
          <w:rFonts w:eastAsia="Times New Roman" w:cstheme="minorHAnsi"/>
        </w:rPr>
        <w:t>iv)To submit</w:t>
      </w:r>
      <w:r w:rsidRPr="00A54361">
        <w:rPr>
          <w:rFonts w:eastAsia="Times New Roman" w:cstheme="minorHAnsi"/>
          <w:spacing w:val="1"/>
        </w:rPr>
        <w:t xml:space="preserve"> </w:t>
      </w:r>
      <w:r w:rsidRPr="00A54361">
        <w:rPr>
          <w:rFonts w:eastAsia="Times New Roman" w:cstheme="minorHAnsi"/>
        </w:rPr>
        <w:t>fin</w:t>
      </w:r>
      <w:r w:rsidRPr="00A54361">
        <w:rPr>
          <w:rFonts w:eastAsia="Times New Roman" w:cstheme="minorHAnsi"/>
          <w:spacing w:val="-1"/>
        </w:rPr>
        <w:t>a</w:t>
      </w:r>
      <w:r w:rsidRPr="00A54361">
        <w:rPr>
          <w:rFonts w:eastAsia="Times New Roman" w:cstheme="minorHAnsi"/>
        </w:rPr>
        <w:t>l r</w:t>
      </w:r>
      <w:r w:rsidRPr="00A54361">
        <w:rPr>
          <w:rFonts w:eastAsia="Times New Roman" w:cstheme="minorHAnsi"/>
          <w:spacing w:val="-1"/>
        </w:rPr>
        <w:t>ec</w:t>
      </w:r>
      <w:r w:rsidRPr="00A54361">
        <w:rPr>
          <w:rFonts w:eastAsia="Times New Roman" w:cstheme="minorHAnsi"/>
          <w:spacing w:val="2"/>
        </w:rPr>
        <w:t>o</w:t>
      </w:r>
      <w:r w:rsidRPr="00A54361">
        <w:rPr>
          <w:rFonts w:eastAsia="Times New Roman" w:cstheme="minorHAnsi"/>
        </w:rPr>
        <w:t>m</w:t>
      </w:r>
      <w:r w:rsidRPr="00A54361">
        <w:rPr>
          <w:rFonts w:eastAsia="Times New Roman" w:cstheme="minorHAnsi"/>
          <w:spacing w:val="1"/>
        </w:rPr>
        <w:t>m</w:t>
      </w:r>
      <w:r w:rsidRPr="00A54361">
        <w:rPr>
          <w:rFonts w:eastAsia="Times New Roman" w:cstheme="minorHAnsi"/>
          <w:spacing w:val="-1"/>
        </w:rPr>
        <w:t>e</w:t>
      </w:r>
      <w:r w:rsidRPr="00A54361">
        <w:rPr>
          <w:rFonts w:eastAsia="Times New Roman" w:cstheme="minorHAnsi"/>
        </w:rPr>
        <w:t>nd</w:t>
      </w:r>
      <w:r w:rsidRPr="00A54361">
        <w:rPr>
          <w:rFonts w:eastAsia="Times New Roman" w:cstheme="minorHAnsi"/>
          <w:spacing w:val="-1"/>
        </w:rPr>
        <w:t>a</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 xml:space="preserve">on to </w:t>
      </w:r>
      <w:r w:rsidRPr="00A54361">
        <w:rPr>
          <w:rFonts w:eastAsia="Times New Roman" w:cstheme="minorHAnsi"/>
          <w:spacing w:val="1"/>
        </w:rPr>
        <w:t>t</w:t>
      </w:r>
      <w:r w:rsidRPr="00A54361">
        <w:rPr>
          <w:rFonts w:eastAsia="Times New Roman" w:cstheme="minorHAnsi"/>
        </w:rPr>
        <w:t>he</w:t>
      </w:r>
      <w:r w:rsidRPr="00A54361">
        <w:rPr>
          <w:rFonts w:eastAsia="Times New Roman" w:cstheme="minorHAnsi"/>
          <w:spacing w:val="-1"/>
        </w:rPr>
        <w:t xml:space="preserve"> </w:t>
      </w:r>
      <w:r w:rsidRPr="00A54361">
        <w:rPr>
          <w:rFonts w:eastAsia="Times New Roman" w:cstheme="minorHAnsi"/>
        </w:rPr>
        <w:t>Com</w:t>
      </w:r>
      <w:r w:rsidRPr="00A54361">
        <w:rPr>
          <w:rFonts w:eastAsia="Times New Roman" w:cstheme="minorHAnsi"/>
          <w:spacing w:val="-2"/>
        </w:rPr>
        <w:t>p</w:t>
      </w:r>
      <w:r w:rsidRPr="00A54361">
        <w:rPr>
          <w:rFonts w:eastAsia="Times New Roman" w:cstheme="minorHAnsi"/>
          <w:spacing w:val="-1"/>
        </w:rPr>
        <w:t>e</w:t>
      </w:r>
      <w:r w:rsidRPr="00A54361">
        <w:rPr>
          <w:rFonts w:eastAsia="Times New Roman" w:cstheme="minorHAnsi"/>
        </w:rPr>
        <w:t>tent Autho</w:t>
      </w:r>
      <w:r w:rsidRPr="00A54361">
        <w:rPr>
          <w:rFonts w:eastAsia="Times New Roman" w:cstheme="minorHAnsi"/>
          <w:spacing w:val="-1"/>
        </w:rPr>
        <w:t>r</w:t>
      </w:r>
      <w:r w:rsidRPr="00A54361">
        <w:rPr>
          <w:rFonts w:eastAsia="Times New Roman" w:cstheme="minorHAnsi"/>
        </w:rPr>
        <w:t>i</w:t>
      </w:r>
      <w:r w:rsidRPr="00A54361">
        <w:rPr>
          <w:rFonts w:eastAsia="Times New Roman" w:cstheme="minorHAnsi"/>
          <w:spacing w:val="3"/>
        </w:rPr>
        <w:t>t</w:t>
      </w:r>
      <w:r w:rsidRPr="00A54361">
        <w:rPr>
          <w:rFonts w:eastAsia="Times New Roman" w:cstheme="minorHAnsi"/>
        </w:rPr>
        <w:t>y</w:t>
      </w:r>
      <w:r w:rsidRPr="00A54361">
        <w:rPr>
          <w:rFonts w:eastAsia="Times New Roman" w:cstheme="minorHAnsi"/>
          <w:spacing w:val="-3"/>
        </w:rPr>
        <w:t xml:space="preserve"> </w:t>
      </w:r>
      <w:r w:rsidRPr="00A54361">
        <w:rPr>
          <w:rFonts w:eastAsia="Times New Roman" w:cstheme="minorHAnsi"/>
        </w:rPr>
        <w:t>for</w:t>
      </w:r>
      <w:r w:rsidRPr="00A54361">
        <w:rPr>
          <w:rFonts w:eastAsia="Times New Roman" w:cstheme="minorHAnsi"/>
          <w:spacing w:val="-1"/>
        </w:rPr>
        <w:t xml:space="preserve"> </w:t>
      </w:r>
      <w:r w:rsidRPr="00A54361">
        <w:rPr>
          <w:rFonts w:eastAsia="Times New Roman" w:cstheme="minorHAnsi"/>
        </w:rPr>
        <w:t>b</w:t>
      </w:r>
      <w:r w:rsidRPr="00A54361">
        <w:rPr>
          <w:rFonts w:eastAsia="Times New Roman" w:cstheme="minorHAnsi"/>
          <w:spacing w:val="-1"/>
        </w:rPr>
        <w:t>a</w:t>
      </w:r>
      <w:r w:rsidRPr="00A54361">
        <w:rPr>
          <w:rFonts w:eastAsia="Times New Roman" w:cstheme="minorHAnsi"/>
        </w:rPr>
        <w:t>nn</w:t>
      </w:r>
      <w:r w:rsidRPr="00A54361">
        <w:rPr>
          <w:rFonts w:eastAsia="Times New Roman" w:cstheme="minorHAnsi"/>
          <w:spacing w:val="3"/>
        </w:rPr>
        <w:t>i</w:t>
      </w:r>
      <w:r w:rsidRPr="00A54361">
        <w:rPr>
          <w:rFonts w:eastAsia="Times New Roman" w:cstheme="minorHAnsi"/>
        </w:rPr>
        <w:t>ng</w:t>
      </w:r>
      <w:r w:rsidRPr="00A54361">
        <w:rPr>
          <w:rFonts w:eastAsia="Times New Roman" w:cstheme="minorHAnsi"/>
          <w:spacing w:val="-2"/>
        </w:rPr>
        <w:t xml:space="preserve"> </w:t>
      </w:r>
      <w:r w:rsidRPr="00A54361">
        <w:rPr>
          <w:rFonts w:eastAsia="Times New Roman" w:cstheme="minorHAnsi"/>
        </w:rPr>
        <w:t>or ot</w:t>
      </w:r>
      <w:r w:rsidRPr="00A54361">
        <w:rPr>
          <w:rFonts w:eastAsia="Times New Roman" w:cstheme="minorHAnsi"/>
          <w:spacing w:val="2"/>
        </w:rPr>
        <w:t>h</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1"/>
        </w:rPr>
        <w:t>w</w:t>
      </w:r>
      <w:r w:rsidRPr="00A54361">
        <w:rPr>
          <w:rFonts w:eastAsia="Times New Roman" w:cstheme="minorHAnsi"/>
        </w:rPr>
        <w:t>ise.</w:t>
      </w:r>
    </w:p>
    <w:p w14:paraId="47E74280" w14:textId="35F36823" w:rsidR="0054549F" w:rsidRPr="00A54361" w:rsidRDefault="0054549F" w:rsidP="00A54361">
      <w:pPr>
        <w:ind w:right="75"/>
        <w:jc w:val="both"/>
        <w:rPr>
          <w:rFonts w:cstheme="minorHAnsi"/>
        </w:rPr>
      </w:pPr>
      <w:r w:rsidRPr="00A54361">
        <w:rPr>
          <w:rFonts w:eastAsia="Times New Roman" w:cstheme="minorHAnsi"/>
        </w:rPr>
        <w:t>7.3</w:t>
      </w:r>
      <w:r w:rsidRPr="00A54361">
        <w:rPr>
          <w:rFonts w:eastAsia="Times New Roman" w:cstheme="minorHAnsi"/>
          <w:spacing w:val="-5"/>
        </w:rPr>
        <w:t xml:space="preserve"> </w:t>
      </w:r>
      <w:r w:rsidRPr="00A54361">
        <w:rPr>
          <w:rFonts w:eastAsia="Times New Roman" w:cstheme="minorHAnsi"/>
          <w:spacing w:val="-6"/>
        </w:rPr>
        <w:t>I</w:t>
      </w:r>
      <w:r w:rsidRPr="00A54361">
        <w:rPr>
          <w:rFonts w:eastAsia="Times New Roman" w:cstheme="minorHAnsi"/>
        </w:rPr>
        <w:t>f</w:t>
      </w:r>
      <w:r w:rsidRPr="00A54361">
        <w:rPr>
          <w:rFonts w:eastAsia="Times New Roman" w:cstheme="minorHAnsi"/>
          <w:spacing w:val="-8"/>
        </w:rPr>
        <w:t xml:space="preserve"> </w:t>
      </w:r>
      <w:r w:rsidRPr="00A54361">
        <w:rPr>
          <w:rFonts w:eastAsia="Times New Roman" w:cstheme="minorHAnsi"/>
        </w:rPr>
        <w:t>B</w:t>
      </w:r>
      <w:r w:rsidRPr="00A54361">
        <w:rPr>
          <w:rFonts w:eastAsia="Times New Roman" w:cstheme="minorHAnsi"/>
          <w:spacing w:val="-1"/>
        </w:rPr>
        <w:t>a</w:t>
      </w:r>
      <w:r w:rsidRPr="00A54361">
        <w:rPr>
          <w:rFonts w:eastAsia="Times New Roman" w:cstheme="minorHAnsi"/>
        </w:rPr>
        <w:t>nk</w:t>
      </w:r>
      <w:r w:rsidRPr="00A54361">
        <w:rPr>
          <w:rFonts w:eastAsia="Times New Roman" w:cstheme="minorHAnsi"/>
          <w:spacing w:val="-7"/>
        </w:rPr>
        <w:t xml:space="preserve"> </w:t>
      </w:r>
      <w:r w:rsidRPr="00A54361">
        <w:rPr>
          <w:rFonts w:eastAsia="Times New Roman" w:cstheme="minorHAnsi"/>
        </w:rPr>
        <w:t>wide</w:t>
      </w:r>
      <w:r w:rsidRPr="00A54361">
        <w:rPr>
          <w:rFonts w:eastAsia="Times New Roman" w:cstheme="minorHAnsi"/>
          <w:spacing w:val="-8"/>
        </w:rPr>
        <w:t xml:space="preserve"> </w:t>
      </w:r>
      <w:r w:rsidRPr="00A54361">
        <w:rPr>
          <w:rFonts w:eastAsia="Times New Roman" w:cstheme="minorHAnsi"/>
        </w:rPr>
        <w:t>b</w:t>
      </w:r>
      <w:r w:rsidRPr="00A54361">
        <w:rPr>
          <w:rFonts w:eastAsia="Times New Roman" w:cstheme="minorHAnsi"/>
          <w:spacing w:val="-1"/>
        </w:rPr>
        <w:t>a</w:t>
      </w:r>
      <w:r w:rsidRPr="00A54361">
        <w:rPr>
          <w:rFonts w:eastAsia="Times New Roman" w:cstheme="minorHAnsi"/>
        </w:rPr>
        <w:t>nni</w:t>
      </w:r>
      <w:r w:rsidRPr="00A54361">
        <w:rPr>
          <w:rFonts w:eastAsia="Times New Roman" w:cstheme="minorHAnsi"/>
          <w:spacing w:val="3"/>
        </w:rPr>
        <w:t>n</w:t>
      </w:r>
      <w:r w:rsidRPr="00A54361">
        <w:rPr>
          <w:rFonts w:eastAsia="Times New Roman" w:cstheme="minorHAnsi"/>
        </w:rPr>
        <w:t>g</w:t>
      </w:r>
      <w:r w:rsidRPr="00A54361">
        <w:rPr>
          <w:rFonts w:eastAsia="Times New Roman" w:cstheme="minorHAnsi"/>
          <w:spacing w:val="-7"/>
        </w:rPr>
        <w:t xml:space="preserve"> </w:t>
      </w:r>
      <w:r w:rsidRPr="00A54361">
        <w:rPr>
          <w:rFonts w:eastAsia="Times New Roman" w:cstheme="minorHAnsi"/>
        </w:rPr>
        <w:t>is</w:t>
      </w:r>
      <w:r w:rsidRPr="00A54361">
        <w:rPr>
          <w:rFonts w:eastAsia="Times New Roman" w:cstheme="minorHAnsi"/>
          <w:spacing w:val="-6"/>
        </w:rPr>
        <w:t xml:space="preserve"> </w:t>
      </w:r>
      <w:r w:rsidRPr="00A54361">
        <w:rPr>
          <w:rFonts w:eastAsia="Times New Roman" w:cstheme="minorHAnsi"/>
          <w:spacing w:val="-1"/>
        </w:rPr>
        <w:t>c</w:t>
      </w:r>
      <w:r w:rsidRPr="00A54361">
        <w:rPr>
          <w:rFonts w:eastAsia="Times New Roman" w:cstheme="minorHAnsi"/>
        </w:rPr>
        <w:t>ontemplat</w:t>
      </w:r>
      <w:r w:rsidRPr="00A54361">
        <w:rPr>
          <w:rFonts w:eastAsia="Times New Roman" w:cstheme="minorHAnsi"/>
          <w:spacing w:val="-1"/>
        </w:rPr>
        <w:t>e</w:t>
      </w:r>
      <w:r w:rsidRPr="00A54361">
        <w:rPr>
          <w:rFonts w:eastAsia="Times New Roman" w:cstheme="minorHAnsi"/>
        </w:rPr>
        <w:t>d</w:t>
      </w:r>
      <w:r w:rsidRPr="00A54361">
        <w:rPr>
          <w:rFonts w:eastAsia="Times New Roman" w:cstheme="minorHAnsi"/>
          <w:spacing w:val="-7"/>
        </w:rPr>
        <w:t xml:space="preserve"> </w:t>
      </w:r>
      <w:r w:rsidRPr="00A54361">
        <w:rPr>
          <w:rFonts w:eastAsia="Times New Roman" w:cstheme="minorHAnsi"/>
          <w:spacing w:val="2"/>
        </w:rPr>
        <w:t>b</w:t>
      </w:r>
      <w:r w:rsidRPr="00A54361">
        <w:rPr>
          <w:rFonts w:eastAsia="Times New Roman" w:cstheme="minorHAnsi"/>
        </w:rPr>
        <w:t>y</w:t>
      </w:r>
      <w:r w:rsidRPr="00A54361">
        <w:rPr>
          <w:rFonts w:eastAsia="Times New Roman" w:cstheme="minorHAnsi"/>
          <w:spacing w:val="-14"/>
        </w:rPr>
        <w:t xml:space="preserve"> </w:t>
      </w:r>
      <w:r w:rsidRPr="00A54361">
        <w:rPr>
          <w:rFonts w:eastAsia="Times New Roman" w:cstheme="minorHAnsi"/>
        </w:rPr>
        <w:t>the</w:t>
      </w:r>
      <w:r w:rsidRPr="00A54361">
        <w:rPr>
          <w:rFonts w:eastAsia="Times New Roman" w:cstheme="minorHAnsi"/>
          <w:spacing w:val="-8"/>
        </w:rPr>
        <w:t xml:space="preserve"> </w:t>
      </w:r>
      <w:r w:rsidRPr="00A54361">
        <w:rPr>
          <w:rFonts w:eastAsia="Times New Roman" w:cstheme="minorHAnsi"/>
        </w:rPr>
        <w:t>b</w:t>
      </w:r>
      <w:r w:rsidRPr="00A54361">
        <w:rPr>
          <w:rFonts w:eastAsia="Times New Roman" w:cstheme="minorHAnsi"/>
          <w:spacing w:val="-1"/>
        </w:rPr>
        <w:t>a</w:t>
      </w:r>
      <w:r w:rsidRPr="00A54361">
        <w:rPr>
          <w:rFonts w:eastAsia="Times New Roman" w:cstheme="minorHAnsi"/>
        </w:rPr>
        <w:t>nning</w:t>
      </w:r>
      <w:r w:rsidRPr="00A54361">
        <w:rPr>
          <w:rFonts w:eastAsia="Times New Roman" w:cstheme="minorHAnsi"/>
          <w:spacing w:val="-9"/>
        </w:rPr>
        <w:t xml:space="preserve"> </w:t>
      </w:r>
      <w:r w:rsidRPr="00A54361">
        <w:rPr>
          <w:rFonts w:eastAsia="Times New Roman" w:cstheme="minorHAnsi"/>
        </w:rPr>
        <w:t>Com</w:t>
      </w:r>
      <w:r w:rsidRPr="00A54361">
        <w:rPr>
          <w:rFonts w:eastAsia="Times New Roman" w:cstheme="minorHAnsi"/>
          <w:spacing w:val="1"/>
        </w:rPr>
        <w:t>m</w:t>
      </w:r>
      <w:r w:rsidRPr="00A54361">
        <w:rPr>
          <w:rFonts w:eastAsia="Times New Roman" w:cstheme="minorHAnsi"/>
        </w:rPr>
        <w:t>i</w:t>
      </w:r>
      <w:r w:rsidRPr="00A54361">
        <w:rPr>
          <w:rFonts w:eastAsia="Times New Roman" w:cstheme="minorHAnsi"/>
          <w:spacing w:val="1"/>
        </w:rPr>
        <w:t>t</w:t>
      </w:r>
      <w:r w:rsidRPr="00A54361">
        <w:rPr>
          <w:rFonts w:eastAsia="Times New Roman" w:cstheme="minorHAnsi"/>
        </w:rPr>
        <w:t>tee</w:t>
      </w:r>
      <w:r w:rsidRPr="00A54361">
        <w:rPr>
          <w:rFonts w:eastAsia="Times New Roman" w:cstheme="minorHAnsi"/>
          <w:spacing w:val="-9"/>
        </w:rPr>
        <w:t xml:space="preserve"> </w:t>
      </w:r>
      <w:r w:rsidRPr="00A54361">
        <w:rPr>
          <w:rFonts w:eastAsia="Times New Roman" w:cstheme="minorHAnsi"/>
        </w:rPr>
        <w:t>of</w:t>
      </w:r>
      <w:r w:rsidRPr="00A54361">
        <w:rPr>
          <w:rFonts w:eastAsia="Times New Roman" w:cstheme="minorHAnsi"/>
          <w:spacing w:val="-8"/>
        </w:rPr>
        <w:t xml:space="preserve"> </w:t>
      </w:r>
      <w:r w:rsidRPr="00A54361">
        <w:rPr>
          <w:rFonts w:eastAsia="Times New Roman" w:cstheme="minorHAnsi"/>
          <w:spacing w:val="-1"/>
        </w:rPr>
        <w:t>a</w:t>
      </w:r>
      <w:r w:rsidRPr="00A54361">
        <w:rPr>
          <w:rFonts w:eastAsia="Times New Roman" w:cstheme="minorHAnsi"/>
          <w:spacing w:val="2"/>
        </w:rPr>
        <w:t>n</w:t>
      </w:r>
      <w:r w:rsidRPr="00A54361">
        <w:rPr>
          <w:rFonts w:eastAsia="Times New Roman" w:cstheme="minorHAnsi"/>
        </w:rPr>
        <w:t>y</w:t>
      </w:r>
      <w:r w:rsidRPr="00A54361">
        <w:rPr>
          <w:rFonts w:eastAsia="Times New Roman" w:cstheme="minorHAnsi"/>
          <w:spacing w:val="-10"/>
        </w:rPr>
        <w:t xml:space="preserve"> </w:t>
      </w:r>
      <w:r w:rsidRPr="00A54361">
        <w:rPr>
          <w:rFonts w:eastAsia="Times New Roman" w:cstheme="minorHAnsi"/>
          <w:spacing w:val="-3"/>
        </w:rPr>
        <w:t>Z</w:t>
      </w:r>
      <w:r w:rsidRPr="00A54361">
        <w:rPr>
          <w:rFonts w:eastAsia="Times New Roman" w:cstheme="minorHAnsi"/>
        </w:rPr>
        <w:t>on</w:t>
      </w:r>
      <w:r w:rsidRPr="00A54361">
        <w:rPr>
          <w:rFonts w:eastAsia="Times New Roman" w:cstheme="minorHAnsi"/>
          <w:spacing w:val="-1"/>
        </w:rPr>
        <w:t>e</w:t>
      </w:r>
      <w:r w:rsidRPr="00A54361">
        <w:rPr>
          <w:rFonts w:eastAsia="Times New Roman" w:cstheme="minorHAnsi"/>
        </w:rPr>
        <w:t>,</w:t>
      </w:r>
      <w:r w:rsidRPr="00A54361">
        <w:rPr>
          <w:rFonts w:eastAsia="Times New Roman" w:cstheme="minorHAnsi"/>
          <w:spacing w:val="-7"/>
        </w:rPr>
        <w:t xml:space="preserve"> </w:t>
      </w:r>
      <w:r w:rsidRPr="00A54361">
        <w:rPr>
          <w:rFonts w:eastAsia="Times New Roman" w:cstheme="minorHAnsi"/>
        </w:rPr>
        <w:t>the</w:t>
      </w:r>
      <w:r w:rsidRPr="00A54361">
        <w:rPr>
          <w:rFonts w:eastAsia="Times New Roman" w:cstheme="minorHAnsi"/>
          <w:spacing w:val="-8"/>
        </w:rPr>
        <w:t xml:space="preserve"> </w:t>
      </w:r>
      <w:r w:rsidRPr="00A54361">
        <w:rPr>
          <w:rFonts w:eastAsia="Times New Roman" w:cstheme="minorHAnsi"/>
        </w:rPr>
        <w:t>prop</w:t>
      </w:r>
      <w:r w:rsidRPr="00A54361">
        <w:rPr>
          <w:rFonts w:eastAsia="Times New Roman" w:cstheme="minorHAnsi"/>
          <w:spacing w:val="-1"/>
        </w:rPr>
        <w:t>o</w:t>
      </w:r>
      <w:r w:rsidRPr="00A54361">
        <w:rPr>
          <w:rFonts w:eastAsia="Times New Roman" w:cstheme="minorHAnsi"/>
        </w:rPr>
        <w:t>s</w:t>
      </w:r>
      <w:r w:rsidRPr="00A54361">
        <w:rPr>
          <w:rFonts w:eastAsia="Times New Roman" w:cstheme="minorHAnsi"/>
          <w:spacing w:val="-1"/>
        </w:rPr>
        <w:t>a</w:t>
      </w:r>
      <w:r w:rsidRPr="00A54361">
        <w:rPr>
          <w:rFonts w:eastAsia="Times New Roman" w:cstheme="minorHAnsi"/>
        </w:rPr>
        <w:t>l should</w:t>
      </w:r>
      <w:r w:rsidRPr="00A54361">
        <w:rPr>
          <w:rFonts w:eastAsia="Times New Roman" w:cstheme="minorHAnsi"/>
          <w:spacing w:val="5"/>
        </w:rPr>
        <w:t xml:space="preserve"> </w:t>
      </w:r>
      <w:r w:rsidRPr="00A54361">
        <w:rPr>
          <w:rFonts w:eastAsia="Times New Roman" w:cstheme="minorHAnsi"/>
        </w:rPr>
        <w:t>be</w:t>
      </w:r>
      <w:r w:rsidRPr="00A54361">
        <w:rPr>
          <w:rFonts w:eastAsia="Times New Roman" w:cstheme="minorHAnsi"/>
          <w:spacing w:val="4"/>
        </w:rPr>
        <w:t xml:space="preserve"> </w:t>
      </w:r>
      <w:r w:rsidRPr="00A54361">
        <w:rPr>
          <w:rFonts w:eastAsia="Times New Roman" w:cstheme="minorHAnsi"/>
        </w:rPr>
        <w:t>s</w:t>
      </w:r>
      <w:r w:rsidRPr="00A54361">
        <w:rPr>
          <w:rFonts w:eastAsia="Times New Roman" w:cstheme="minorHAnsi"/>
          <w:spacing w:val="-1"/>
        </w:rPr>
        <w:t>e</w:t>
      </w:r>
      <w:r w:rsidRPr="00A54361">
        <w:rPr>
          <w:rFonts w:eastAsia="Times New Roman" w:cstheme="minorHAnsi"/>
        </w:rPr>
        <w:t>nt</w:t>
      </w:r>
      <w:r w:rsidRPr="00A54361">
        <w:rPr>
          <w:rFonts w:eastAsia="Times New Roman" w:cstheme="minorHAnsi"/>
          <w:spacing w:val="6"/>
        </w:rPr>
        <w:t xml:space="preserve"> </w:t>
      </w:r>
      <w:r w:rsidRPr="00A54361">
        <w:rPr>
          <w:rFonts w:eastAsia="Times New Roman" w:cstheme="minorHAnsi"/>
          <w:spacing w:val="2"/>
        </w:rPr>
        <w:t>b</w:t>
      </w:r>
      <w:r w:rsidRPr="00A54361">
        <w:rPr>
          <w:rFonts w:eastAsia="Times New Roman" w:cstheme="minorHAnsi"/>
        </w:rPr>
        <w:t>y the</w:t>
      </w:r>
      <w:r w:rsidRPr="00A54361">
        <w:rPr>
          <w:rFonts w:eastAsia="Times New Roman" w:cstheme="minorHAnsi"/>
          <w:spacing w:val="7"/>
        </w:rPr>
        <w:t xml:space="preserve"> </w:t>
      </w:r>
      <w:r w:rsidRPr="00A54361">
        <w:rPr>
          <w:rFonts w:eastAsia="Times New Roman" w:cstheme="minorHAnsi"/>
          <w:spacing w:val="-1"/>
        </w:rPr>
        <w:t>c</w:t>
      </w:r>
      <w:r w:rsidRPr="00A54361">
        <w:rPr>
          <w:rFonts w:eastAsia="Times New Roman" w:cstheme="minorHAnsi"/>
          <w:spacing w:val="2"/>
        </w:rPr>
        <w:t>o</w:t>
      </w:r>
      <w:r w:rsidRPr="00A54361">
        <w:rPr>
          <w:rFonts w:eastAsia="Times New Roman" w:cstheme="minorHAnsi"/>
        </w:rPr>
        <w:t>m</w:t>
      </w:r>
      <w:r w:rsidRPr="00A54361">
        <w:rPr>
          <w:rFonts w:eastAsia="Times New Roman" w:cstheme="minorHAnsi"/>
          <w:spacing w:val="1"/>
        </w:rPr>
        <w:t>m</w:t>
      </w:r>
      <w:r w:rsidRPr="00A54361">
        <w:rPr>
          <w:rFonts w:eastAsia="Times New Roman" w:cstheme="minorHAnsi"/>
        </w:rPr>
        <w:t>i</w:t>
      </w:r>
      <w:r w:rsidRPr="00A54361">
        <w:rPr>
          <w:rFonts w:eastAsia="Times New Roman" w:cstheme="minorHAnsi"/>
          <w:spacing w:val="1"/>
        </w:rPr>
        <w:t>t</w:t>
      </w:r>
      <w:r w:rsidRPr="00A54361">
        <w:rPr>
          <w:rFonts w:eastAsia="Times New Roman" w:cstheme="minorHAnsi"/>
        </w:rPr>
        <w:t>tee</w:t>
      </w:r>
      <w:r w:rsidRPr="00A54361">
        <w:rPr>
          <w:rFonts w:eastAsia="Times New Roman" w:cstheme="minorHAnsi"/>
          <w:spacing w:val="4"/>
        </w:rPr>
        <w:t xml:space="preserve"> </w:t>
      </w:r>
      <w:r w:rsidRPr="00A54361">
        <w:rPr>
          <w:rFonts w:eastAsia="Times New Roman" w:cstheme="minorHAnsi"/>
        </w:rPr>
        <w:t>to</w:t>
      </w:r>
      <w:r w:rsidRPr="00A54361">
        <w:rPr>
          <w:rFonts w:eastAsia="Times New Roman" w:cstheme="minorHAnsi"/>
          <w:spacing w:val="6"/>
        </w:rPr>
        <w:t xml:space="preserve"> </w:t>
      </w:r>
      <w:r w:rsidRPr="00A54361">
        <w:rPr>
          <w:rFonts w:eastAsia="Times New Roman" w:cstheme="minorHAnsi"/>
        </w:rPr>
        <w:t>ED</w:t>
      </w:r>
      <w:r w:rsidRPr="00A54361">
        <w:rPr>
          <w:rFonts w:eastAsia="Times New Roman" w:cstheme="minorHAnsi"/>
          <w:spacing w:val="4"/>
        </w:rPr>
        <w:t xml:space="preserve"> </w:t>
      </w:r>
      <w:r w:rsidRPr="00A54361">
        <w:rPr>
          <w:rFonts w:eastAsia="Times New Roman" w:cstheme="minorHAnsi"/>
        </w:rPr>
        <w:t>(</w:t>
      </w:r>
      <w:r w:rsidR="00917777" w:rsidRPr="00A54361">
        <w:rPr>
          <w:rFonts w:eastAsia="Times New Roman" w:cstheme="minorHAnsi"/>
          <w:spacing w:val="-1"/>
        </w:rPr>
        <w:t>BSD</w:t>
      </w:r>
      <w:r w:rsidRPr="00A54361">
        <w:rPr>
          <w:rFonts w:eastAsia="Times New Roman" w:cstheme="minorHAnsi"/>
        </w:rPr>
        <w:t>)</w:t>
      </w:r>
      <w:r w:rsidRPr="00A54361">
        <w:rPr>
          <w:rFonts w:eastAsia="Times New Roman" w:cstheme="minorHAnsi"/>
          <w:spacing w:val="4"/>
        </w:rPr>
        <w:t xml:space="preserve"> </w:t>
      </w:r>
      <w:r w:rsidRPr="00A54361">
        <w:rPr>
          <w:rFonts w:eastAsia="Times New Roman" w:cstheme="minorHAnsi"/>
          <w:spacing w:val="3"/>
        </w:rPr>
        <w:t>t</w:t>
      </w:r>
      <w:r w:rsidRPr="00A54361">
        <w:rPr>
          <w:rFonts w:eastAsia="Times New Roman" w:cstheme="minorHAnsi"/>
        </w:rPr>
        <w:t>hrou</w:t>
      </w:r>
      <w:r w:rsidRPr="00A54361">
        <w:rPr>
          <w:rFonts w:eastAsia="Times New Roman" w:cstheme="minorHAnsi"/>
          <w:spacing w:val="-3"/>
        </w:rPr>
        <w:t>g</w:t>
      </w:r>
      <w:r w:rsidRPr="00A54361">
        <w:rPr>
          <w:rFonts w:eastAsia="Times New Roman" w:cstheme="minorHAnsi"/>
        </w:rPr>
        <w:t>h</w:t>
      </w:r>
      <w:r w:rsidRPr="00A54361">
        <w:rPr>
          <w:rFonts w:eastAsia="Times New Roman" w:cstheme="minorHAnsi"/>
          <w:spacing w:val="5"/>
        </w:rPr>
        <w:t xml:space="preserve"> </w:t>
      </w:r>
      <w:r w:rsidRPr="00A54361">
        <w:rPr>
          <w:rFonts w:eastAsia="Times New Roman" w:cstheme="minorHAnsi"/>
        </w:rPr>
        <w:t>the</w:t>
      </w:r>
      <w:r w:rsidRPr="00A54361">
        <w:rPr>
          <w:rFonts w:eastAsia="Times New Roman" w:cstheme="minorHAnsi"/>
          <w:spacing w:val="7"/>
        </w:rPr>
        <w:t xml:space="preserve"> </w:t>
      </w:r>
      <w:r w:rsidRPr="00A54361">
        <w:rPr>
          <w:rFonts w:eastAsia="Times New Roman" w:cstheme="minorHAnsi"/>
        </w:rPr>
        <w:t>H</w:t>
      </w:r>
      <w:r w:rsidRPr="00A54361">
        <w:rPr>
          <w:rFonts w:eastAsia="Times New Roman" w:cstheme="minorHAnsi"/>
          <w:spacing w:val="-1"/>
        </w:rPr>
        <w:t>ea</w:t>
      </w:r>
      <w:r w:rsidRPr="00A54361">
        <w:rPr>
          <w:rFonts w:eastAsia="Times New Roman" w:cstheme="minorHAnsi"/>
        </w:rPr>
        <w:t>d</w:t>
      </w:r>
      <w:r w:rsidRPr="00A54361">
        <w:rPr>
          <w:rFonts w:eastAsia="Times New Roman" w:cstheme="minorHAnsi"/>
          <w:spacing w:val="5"/>
        </w:rPr>
        <w:t xml:space="preserve"> </w:t>
      </w:r>
      <w:r w:rsidRPr="00A54361">
        <w:rPr>
          <w:rFonts w:eastAsia="Times New Roman" w:cstheme="minorHAnsi"/>
          <w:spacing w:val="2"/>
        </w:rPr>
        <w:t>o</w:t>
      </w:r>
      <w:r w:rsidRPr="00A54361">
        <w:rPr>
          <w:rFonts w:eastAsia="Times New Roman" w:cstheme="minorHAnsi"/>
        </w:rPr>
        <w:t>f</w:t>
      </w:r>
      <w:r w:rsidRPr="00A54361">
        <w:rPr>
          <w:rFonts w:eastAsia="Times New Roman" w:cstheme="minorHAnsi"/>
          <w:spacing w:val="4"/>
        </w:rPr>
        <w:t xml:space="preserve"> </w:t>
      </w:r>
      <w:r w:rsidRPr="00A54361">
        <w:rPr>
          <w:rFonts w:eastAsia="Times New Roman" w:cstheme="minorHAnsi"/>
        </w:rPr>
        <w:t>the</w:t>
      </w:r>
      <w:r w:rsidRPr="00A54361">
        <w:rPr>
          <w:rFonts w:eastAsia="Times New Roman" w:cstheme="minorHAnsi"/>
          <w:spacing w:val="7"/>
        </w:rPr>
        <w:t xml:space="preserve"> </w:t>
      </w:r>
      <w:r w:rsidRPr="00A54361">
        <w:rPr>
          <w:rFonts w:eastAsia="Times New Roman" w:cstheme="minorHAnsi"/>
          <w:spacing w:val="-3"/>
        </w:rPr>
        <w:t>Z</w:t>
      </w:r>
      <w:r w:rsidRPr="00A54361">
        <w:rPr>
          <w:rFonts w:eastAsia="Times New Roman" w:cstheme="minorHAnsi"/>
        </w:rPr>
        <w:t>on</w:t>
      </w:r>
      <w:r w:rsidRPr="00A54361">
        <w:rPr>
          <w:rFonts w:eastAsia="Times New Roman" w:cstheme="minorHAnsi"/>
          <w:spacing w:val="-1"/>
        </w:rPr>
        <w:t>a</w:t>
      </w:r>
      <w:r w:rsidRPr="00A54361">
        <w:rPr>
          <w:rFonts w:eastAsia="Times New Roman" w:cstheme="minorHAnsi"/>
        </w:rPr>
        <w:t>l</w:t>
      </w:r>
      <w:r w:rsidRPr="00A54361">
        <w:rPr>
          <w:rFonts w:eastAsia="Times New Roman" w:cstheme="minorHAnsi"/>
          <w:spacing w:val="6"/>
        </w:rPr>
        <w:t xml:space="preserve"> </w:t>
      </w:r>
      <w:r w:rsidRPr="00A54361">
        <w:rPr>
          <w:rFonts w:eastAsia="Times New Roman" w:cstheme="minorHAnsi"/>
          <w:spacing w:val="2"/>
        </w:rPr>
        <w:t>O</w:t>
      </w:r>
      <w:r w:rsidRPr="00A54361">
        <w:rPr>
          <w:rFonts w:eastAsia="Times New Roman" w:cstheme="minorHAnsi"/>
        </w:rPr>
        <w:t>f</w:t>
      </w:r>
      <w:r w:rsidRPr="00A54361">
        <w:rPr>
          <w:rFonts w:eastAsia="Times New Roman" w:cstheme="minorHAnsi"/>
          <w:spacing w:val="-1"/>
        </w:rPr>
        <w:t>f</w:t>
      </w:r>
      <w:r w:rsidRPr="00A54361">
        <w:rPr>
          <w:rFonts w:eastAsia="Times New Roman" w:cstheme="minorHAnsi"/>
        </w:rPr>
        <w:t>i</w:t>
      </w:r>
      <w:r w:rsidRPr="00A54361">
        <w:rPr>
          <w:rFonts w:eastAsia="Times New Roman" w:cstheme="minorHAnsi"/>
          <w:spacing w:val="2"/>
        </w:rPr>
        <w:t>c</w:t>
      </w:r>
      <w:r w:rsidRPr="00A54361">
        <w:rPr>
          <w:rFonts w:eastAsia="Times New Roman" w:cstheme="minorHAnsi"/>
        </w:rPr>
        <w:t>e</w:t>
      </w:r>
      <w:r w:rsidRPr="00A54361">
        <w:rPr>
          <w:rFonts w:eastAsia="Times New Roman" w:cstheme="minorHAnsi"/>
          <w:spacing w:val="12"/>
        </w:rPr>
        <w:t xml:space="preserve"> </w:t>
      </w:r>
      <w:r w:rsidRPr="00A54361">
        <w:rPr>
          <w:rFonts w:eastAsia="Times New Roman" w:cstheme="minorHAnsi"/>
        </w:rPr>
        <w:t>s</w:t>
      </w:r>
      <w:r w:rsidRPr="00A54361">
        <w:rPr>
          <w:rFonts w:eastAsia="Times New Roman" w:cstheme="minorHAnsi"/>
          <w:spacing w:val="-1"/>
        </w:rPr>
        <w:t>e</w:t>
      </w:r>
      <w:r w:rsidRPr="00A54361">
        <w:rPr>
          <w:rFonts w:eastAsia="Times New Roman" w:cstheme="minorHAnsi"/>
        </w:rPr>
        <w:t>t</w:t>
      </w:r>
      <w:r w:rsidRPr="00A54361">
        <w:rPr>
          <w:rFonts w:eastAsia="Times New Roman" w:cstheme="minorHAnsi"/>
          <w:spacing w:val="1"/>
        </w:rPr>
        <w:t>t</w:t>
      </w:r>
      <w:r w:rsidRPr="00A54361">
        <w:rPr>
          <w:rFonts w:eastAsia="Times New Roman" w:cstheme="minorHAnsi"/>
        </w:rPr>
        <w:t>ing out</w:t>
      </w:r>
      <w:r w:rsidRPr="00A54361">
        <w:rPr>
          <w:rFonts w:eastAsia="Times New Roman" w:cstheme="minorHAnsi"/>
          <w:spacing w:val="3"/>
        </w:rPr>
        <w:t xml:space="preserve"> </w:t>
      </w:r>
      <w:r w:rsidRPr="00A54361">
        <w:rPr>
          <w:rFonts w:eastAsia="Times New Roman" w:cstheme="minorHAnsi"/>
        </w:rPr>
        <w:t>the</w:t>
      </w:r>
      <w:r w:rsidRPr="00A54361">
        <w:rPr>
          <w:rFonts w:eastAsia="Times New Roman" w:cstheme="minorHAnsi"/>
          <w:spacing w:val="2"/>
        </w:rPr>
        <w:t xml:space="preserve"> </w:t>
      </w:r>
      <w:r w:rsidRPr="00A54361">
        <w:rPr>
          <w:rFonts w:eastAsia="Times New Roman" w:cstheme="minorHAnsi"/>
        </w:rPr>
        <w:t>f</w:t>
      </w:r>
      <w:r w:rsidRPr="00A54361">
        <w:rPr>
          <w:rFonts w:eastAsia="Times New Roman" w:cstheme="minorHAnsi"/>
          <w:spacing w:val="-2"/>
        </w:rPr>
        <w:t>a</w:t>
      </w:r>
      <w:r w:rsidRPr="00A54361">
        <w:rPr>
          <w:rFonts w:eastAsia="Times New Roman" w:cstheme="minorHAnsi"/>
          <w:spacing w:val="-1"/>
        </w:rPr>
        <w:t>c</w:t>
      </w:r>
      <w:r w:rsidRPr="00A54361">
        <w:rPr>
          <w:rFonts w:eastAsia="Times New Roman" w:cstheme="minorHAnsi"/>
        </w:rPr>
        <w:t>ts</w:t>
      </w:r>
      <w:r w:rsidRPr="00A54361">
        <w:rPr>
          <w:rFonts w:eastAsia="Times New Roman" w:cstheme="minorHAnsi"/>
          <w:spacing w:val="3"/>
        </w:rPr>
        <w:t xml:space="preserve"> </w:t>
      </w:r>
      <w:r w:rsidRPr="00A54361">
        <w:rPr>
          <w:rFonts w:eastAsia="Times New Roman" w:cstheme="minorHAnsi"/>
        </w:rPr>
        <w:t>of</w:t>
      </w:r>
      <w:r w:rsidRPr="00A54361">
        <w:rPr>
          <w:rFonts w:eastAsia="Times New Roman" w:cstheme="minorHAnsi"/>
          <w:spacing w:val="1"/>
        </w:rPr>
        <w:t xml:space="preserve"> </w:t>
      </w:r>
      <w:r w:rsidRPr="00A54361">
        <w:rPr>
          <w:rFonts w:eastAsia="Times New Roman" w:cstheme="minorHAnsi"/>
        </w:rPr>
        <w:t>the</w:t>
      </w:r>
      <w:r w:rsidRPr="00A54361">
        <w:rPr>
          <w:rFonts w:eastAsia="Times New Roman" w:cstheme="minorHAnsi"/>
          <w:spacing w:val="2"/>
        </w:rPr>
        <w:t xml:space="preserve"> </w:t>
      </w:r>
      <w:r w:rsidRPr="00A54361">
        <w:rPr>
          <w:rFonts w:eastAsia="Times New Roman" w:cstheme="minorHAnsi"/>
          <w:spacing w:val="1"/>
        </w:rPr>
        <w:t>c</w:t>
      </w:r>
      <w:r w:rsidRPr="00A54361">
        <w:rPr>
          <w:rFonts w:eastAsia="Times New Roman" w:cstheme="minorHAnsi"/>
          <w:spacing w:val="-1"/>
        </w:rPr>
        <w:t>a</w:t>
      </w:r>
      <w:r w:rsidRPr="00A54361">
        <w:rPr>
          <w:rFonts w:eastAsia="Times New Roman" w:cstheme="minorHAnsi"/>
        </w:rPr>
        <w:t>se</w:t>
      </w:r>
      <w:r w:rsidRPr="00A54361">
        <w:rPr>
          <w:rFonts w:eastAsia="Times New Roman" w:cstheme="minorHAnsi"/>
          <w:spacing w:val="1"/>
        </w:rPr>
        <w:t xml:space="preserve"> a</w:t>
      </w:r>
      <w:r w:rsidRPr="00A54361">
        <w:rPr>
          <w:rFonts w:eastAsia="Times New Roman" w:cstheme="minorHAnsi"/>
        </w:rPr>
        <w:t>nd</w:t>
      </w:r>
      <w:r w:rsidRPr="00A54361">
        <w:rPr>
          <w:rFonts w:eastAsia="Times New Roman" w:cstheme="minorHAnsi"/>
          <w:spacing w:val="2"/>
        </w:rPr>
        <w:t xml:space="preserve"> </w:t>
      </w:r>
      <w:r w:rsidRPr="00A54361">
        <w:rPr>
          <w:rFonts w:eastAsia="Times New Roman" w:cstheme="minorHAnsi"/>
        </w:rPr>
        <w:t>the</w:t>
      </w:r>
      <w:r w:rsidRPr="00A54361">
        <w:rPr>
          <w:rFonts w:eastAsia="Times New Roman" w:cstheme="minorHAnsi"/>
          <w:spacing w:val="2"/>
        </w:rPr>
        <w:t xml:space="preserve"> </w:t>
      </w:r>
      <w:r w:rsidRPr="00A54361">
        <w:rPr>
          <w:rFonts w:eastAsia="Times New Roman" w:cstheme="minorHAnsi"/>
        </w:rPr>
        <w:t>jus</w:t>
      </w:r>
      <w:r w:rsidRPr="00A54361">
        <w:rPr>
          <w:rFonts w:eastAsia="Times New Roman" w:cstheme="minorHAnsi"/>
          <w:spacing w:val="1"/>
        </w:rPr>
        <w:t>t</w:t>
      </w:r>
      <w:r w:rsidRPr="00A54361">
        <w:rPr>
          <w:rFonts w:eastAsia="Times New Roman" w:cstheme="minorHAnsi"/>
        </w:rPr>
        <w:t>ifi</w:t>
      </w:r>
      <w:r w:rsidRPr="00A54361">
        <w:rPr>
          <w:rFonts w:eastAsia="Times New Roman" w:cstheme="minorHAnsi"/>
          <w:spacing w:val="-1"/>
        </w:rPr>
        <w:t>ca</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on</w:t>
      </w:r>
      <w:r w:rsidRPr="00A54361">
        <w:rPr>
          <w:rFonts w:eastAsia="Times New Roman" w:cstheme="minorHAnsi"/>
          <w:spacing w:val="2"/>
        </w:rPr>
        <w:t xml:space="preserve"> </w:t>
      </w:r>
      <w:r w:rsidRPr="00A54361">
        <w:rPr>
          <w:rFonts w:eastAsia="Times New Roman" w:cstheme="minorHAnsi"/>
        </w:rPr>
        <w:t>of</w:t>
      </w:r>
      <w:r w:rsidRPr="00A54361">
        <w:rPr>
          <w:rFonts w:eastAsia="Times New Roman" w:cstheme="minorHAnsi"/>
          <w:spacing w:val="1"/>
        </w:rPr>
        <w:t xml:space="preserve"> </w:t>
      </w:r>
      <w:r w:rsidRPr="00A54361">
        <w:rPr>
          <w:rFonts w:eastAsia="Times New Roman" w:cstheme="minorHAnsi"/>
        </w:rPr>
        <w:t>the</w:t>
      </w:r>
      <w:r w:rsidRPr="00A54361">
        <w:rPr>
          <w:rFonts w:eastAsia="Times New Roman" w:cstheme="minorHAnsi"/>
          <w:spacing w:val="2"/>
        </w:rPr>
        <w:t xml:space="preserve"> </w:t>
      </w:r>
      <w:r w:rsidRPr="00A54361">
        <w:rPr>
          <w:rFonts w:eastAsia="Times New Roman" w:cstheme="minorHAnsi"/>
          <w:spacing w:val="-1"/>
        </w:rPr>
        <w:t>ac</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on</w:t>
      </w:r>
      <w:r w:rsidRPr="00A54361">
        <w:rPr>
          <w:rFonts w:eastAsia="Times New Roman" w:cstheme="minorHAnsi"/>
          <w:spacing w:val="2"/>
        </w:rPr>
        <w:t xml:space="preserve"> </w:t>
      </w:r>
      <w:r w:rsidRPr="00A54361">
        <w:rPr>
          <w:rFonts w:eastAsia="Times New Roman" w:cstheme="minorHAnsi"/>
        </w:rPr>
        <w:t>prop</w:t>
      </w:r>
      <w:r w:rsidRPr="00A54361">
        <w:rPr>
          <w:rFonts w:eastAsia="Times New Roman" w:cstheme="minorHAnsi"/>
          <w:spacing w:val="-1"/>
        </w:rPr>
        <w:t>o</w:t>
      </w:r>
      <w:r w:rsidRPr="00A54361">
        <w:rPr>
          <w:rFonts w:eastAsia="Times New Roman" w:cstheme="minorHAnsi"/>
        </w:rPr>
        <w:t>s</w:t>
      </w:r>
      <w:r w:rsidRPr="00A54361">
        <w:rPr>
          <w:rFonts w:eastAsia="Times New Roman" w:cstheme="minorHAnsi"/>
          <w:spacing w:val="-1"/>
        </w:rPr>
        <w:t>e</w:t>
      </w:r>
      <w:r w:rsidRPr="00A54361">
        <w:rPr>
          <w:rFonts w:eastAsia="Times New Roman" w:cstheme="minorHAnsi"/>
        </w:rPr>
        <w:t>d</w:t>
      </w:r>
      <w:r w:rsidRPr="00A54361">
        <w:rPr>
          <w:rFonts w:eastAsia="Times New Roman" w:cstheme="minorHAnsi"/>
          <w:spacing w:val="2"/>
        </w:rPr>
        <w:t xml:space="preserve"> </w:t>
      </w:r>
      <w:r w:rsidRPr="00A54361">
        <w:rPr>
          <w:rFonts w:eastAsia="Times New Roman" w:cstheme="minorHAnsi"/>
          <w:spacing w:val="-1"/>
        </w:rPr>
        <w:t>a</w:t>
      </w:r>
      <w:r w:rsidRPr="00A54361">
        <w:rPr>
          <w:rFonts w:eastAsia="Times New Roman" w:cstheme="minorHAnsi"/>
        </w:rPr>
        <w:t>lo</w:t>
      </w:r>
      <w:r w:rsidRPr="00A54361">
        <w:rPr>
          <w:rFonts w:eastAsia="Times New Roman" w:cstheme="minorHAnsi"/>
          <w:spacing w:val="3"/>
        </w:rPr>
        <w:t>n</w:t>
      </w:r>
      <w:r w:rsidRPr="00A54361">
        <w:rPr>
          <w:rFonts w:eastAsia="Times New Roman" w:cstheme="minorHAnsi"/>
        </w:rPr>
        <w:t xml:space="preserve">g </w:t>
      </w:r>
      <w:r w:rsidRPr="00A54361">
        <w:rPr>
          <w:rFonts w:eastAsia="Times New Roman" w:cstheme="minorHAnsi"/>
          <w:spacing w:val="2"/>
        </w:rPr>
        <w:t>w</w:t>
      </w:r>
      <w:r w:rsidRPr="00A54361">
        <w:rPr>
          <w:rFonts w:eastAsia="Times New Roman" w:cstheme="minorHAnsi"/>
        </w:rPr>
        <w:t>i</w:t>
      </w:r>
      <w:r w:rsidRPr="00A54361">
        <w:rPr>
          <w:rFonts w:eastAsia="Times New Roman" w:cstheme="minorHAnsi"/>
          <w:spacing w:val="1"/>
        </w:rPr>
        <w:t>t</w:t>
      </w:r>
      <w:r w:rsidRPr="00A54361">
        <w:rPr>
          <w:rFonts w:eastAsia="Times New Roman" w:cstheme="minorHAnsi"/>
        </w:rPr>
        <w:t>h</w:t>
      </w:r>
      <w:r w:rsidRPr="00A54361">
        <w:rPr>
          <w:rFonts w:eastAsia="Times New Roman" w:cstheme="minorHAnsi"/>
          <w:spacing w:val="2"/>
        </w:rPr>
        <w:t xml:space="preserve"> </w:t>
      </w:r>
      <w:r w:rsidRPr="00A54361">
        <w:rPr>
          <w:rFonts w:eastAsia="Times New Roman" w:cstheme="minorHAnsi"/>
          <w:spacing w:val="-1"/>
        </w:rPr>
        <w:t>a</w:t>
      </w:r>
      <w:r w:rsidRPr="00A54361">
        <w:rPr>
          <w:rFonts w:eastAsia="Times New Roman" w:cstheme="minorHAnsi"/>
        </w:rPr>
        <w:t>ll</w:t>
      </w:r>
      <w:r w:rsidRPr="00A54361">
        <w:rPr>
          <w:rFonts w:eastAsia="Times New Roman" w:cstheme="minorHAnsi"/>
          <w:spacing w:val="3"/>
        </w:rPr>
        <w:t xml:space="preserve"> </w:t>
      </w:r>
      <w:r w:rsidRPr="00A54361">
        <w:rPr>
          <w:rFonts w:eastAsia="Times New Roman" w:cstheme="minorHAnsi"/>
        </w:rPr>
        <w:t>the</w:t>
      </w:r>
      <w:r w:rsidRPr="00A54361">
        <w:rPr>
          <w:rFonts w:eastAsia="Times New Roman" w:cstheme="minorHAnsi"/>
          <w:spacing w:val="2"/>
        </w:rPr>
        <w:t xml:space="preserve"> </w:t>
      </w:r>
      <w:r w:rsidRPr="00A54361">
        <w:rPr>
          <w:rFonts w:eastAsia="Times New Roman" w:cstheme="minorHAnsi"/>
        </w:rPr>
        <w:t>r</w:t>
      </w:r>
      <w:r w:rsidRPr="00A54361">
        <w:rPr>
          <w:rFonts w:eastAsia="Times New Roman" w:cstheme="minorHAnsi"/>
          <w:spacing w:val="-2"/>
        </w:rPr>
        <w:t>e</w:t>
      </w:r>
      <w:r w:rsidRPr="00A54361">
        <w:rPr>
          <w:rFonts w:eastAsia="Times New Roman" w:cstheme="minorHAnsi"/>
        </w:rPr>
        <w:t>lev</w:t>
      </w:r>
      <w:r w:rsidRPr="00A54361">
        <w:rPr>
          <w:rFonts w:eastAsia="Times New Roman" w:cstheme="minorHAnsi"/>
          <w:spacing w:val="-1"/>
        </w:rPr>
        <w:t>a</w:t>
      </w:r>
      <w:r w:rsidRPr="00A54361">
        <w:rPr>
          <w:rFonts w:eastAsia="Times New Roman" w:cstheme="minorHAnsi"/>
        </w:rPr>
        <w:t>nt p</w:t>
      </w:r>
      <w:r w:rsidRPr="00A54361">
        <w:rPr>
          <w:rFonts w:eastAsia="Times New Roman" w:cstheme="minorHAnsi"/>
          <w:spacing w:val="-1"/>
        </w:rPr>
        <w:t>a</w:t>
      </w:r>
      <w:r w:rsidRPr="00A54361">
        <w:rPr>
          <w:rFonts w:eastAsia="Times New Roman" w:cstheme="minorHAnsi"/>
        </w:rPr>
        <w:t>p</w:t>
      </w:r>
      <w:r w:rsidRPr="00A54361">
        <w:rPr>
          <w:rFonts w:eastAsia="Times New Roman" w:cstheme="minorHAnsi"/>
          <w:spacing w:val="-1"/>
        </w:rPr>
        <w:t>e</w:t>
      </w:r>
      <w:r w:rsidRPr="00A54361">
        <w:rPr>
          <w:rFonts w:eastAsia="Times New Roman" w:cstheme="minorHAnsi"/>
        </w:rPr>
        <w:t>rs</w:t>
      </w:r>
      <w:r w:rsidRPr="00A54361">
        <w:rPr>
          <w:rFonts w:eastAsia="Times New Roman" w:cstheme="minorHAnsi"/>
          <w:spacing w:val="7"/>
        </w:rPr>
        <w:t xml:space="preserve"> </w:t>
      </w:r>
      <w:r w:rsidRPr="00A54361">
        <w:rPr>
          <w:rFonts w:eastAsia="Times New Roman" w:cstheme="minorHAnsi"/>
          <w:spacing w:val="-1"/>
        </w:rPr>
        <w:t>a</w:t>
      </w:r>
      <w:r w:rsidRPr="00A54361">
        <w:rPr>
          <w:rFonts w:eastAsia="Times New Roman" w:cstheme="minorHAnsi"/>
        </w:rPr>
        <w:t>nd</w:t>
      </w:r>
      <w:r w:rsidRPr="00A54361">
        <w:rPr>
          <w:rFonts w:eastAsia="Times New Roman" w:cstheme="minorHAnsi"/>
          <w:spacing w:val="5"/>
        </w:rPr>
        <w:t xml:space="preserve"> </w:t>
      </w:r>
      <w:r w:rsidRPr="00A54361">
        <w:rPr>
          <w:rFonts w:eastAsia="Times New Roman" w:cstheme="minorHAnsi"/>
        </w:rPr>
        <w:t>do</w:t>
      </w:r>
      <w:r w:rsidRPr="00A54361">
        <w:rPr>
          <w:rFonts w:eastAsia="Times New Roman" w:cstheme="minorHAnsi"/>
          <w:spacing w:val="-1"/>
        </w:rPr>
        <w:t>c</w:t>
      </w:r>
      <w:r w:rsidRPr="00A54361">
        <w:rPr>
          <w:rFonts w:eastAsia="Times New Roman" w:cstheme="minorHAnsi"/>
        </w:rPr>
        <w:t>uments.</w:t>
      </w:r>
      <w:r w:rsidRPr="00A54361">
        <w:rPr>
          <w:rFonts w:eastAsia="Times New Roman" w:cstheme="minorHAnsi"/>
          <w:spacing w:val="8"/>
        </w:rPr>
        <w:t xml:space="preserve"> </w:t>
      </w:r>
      <w:r w:rsidRPr="00A54361">
        <w:rPr>
          <w:rFonts w:eastAsia="Times New Roman" w:cstheme="minorHAnsi"/>
        </w:rPr>
        <w:t>G</w:t>
      </w:r>
      <w:r w:rsidRPr="00A54361">
        <w:rPr>
          <w:rFonts w:eastAsia="Times New Roman" w:cstheme="minorHAnsi"/>
          <w:spacing w:val="-1"/>
        </w:rPr>
        <w:t>A</w:t>
      </w:r>
      <w:r w:rsidRPr="00A54361">
        <w:rPr>
          <w:rFonts w:eastAsia="Times New Roman" w:cstheme="minorHAnsi"/>
        </w:rPr>
        <w:t>D</w:t>
      </w:r>
      <w:r w:rsidRPr="00A54361">
        <w:rPr>
          <w:rFonts w:eastAsia="Times New Roman" w:cstheme="minorHAnsi"/>
          <w:spacing w:val="4"/>
        </w:rPr>
        <w:t xml:space="preserve"> </w:t>
      </w:r>
      <w:r w:rsidRPr="00A54361">
        <w:rPr>
          <w:rFonts w:eastAsia="Times New Roman" w:cstheme="minorHAnsi"/>
        </w:rPr>
        <w:t>sh</w:t>
      </w:r>
      <w:r w:rsidRPr="00A54361">
        <w:rPr>
          <w:rFonts w:eastAsia="Times New Roman" w:cstheme="minorHAnsi"/>
          <w:spacing w:val="-1"/>
        </w:rPr>
        <w:t>a</w:t>
      </w:r>
      <w:r w:rsidRPr="00A54361">
        <w:rPr>
          <w:rFonts w:eastAsia="Times New Roman" w:cstheme="minorHAnsi"/>
        </w:rPr>
        <w:t>ll</w:t>
      </w:r>
      <w:r w:rsidRPr="00A54361">
        <w:rPr>
          <w:rFonts w:eastAsia="Times New Roman" w:cstheme="minorHAnsi"/>
          <w:spacing w:val="8"/>
        </w:rPr>
        <w:t xml:space="preserve"> </w:t>
      </w:r>
      <w:r w:rsidRPr="00A54361">
        <w:rPr>
          <w:rFonts w:eastAsia="Times New Roman" w:cstheme="minorHAnsi"/>
          <w:spacing w:val="-2"/>
        </w:rPr>
        <w:t>g</w:t>
      </w:r>
      <w:r w:rsidRPr="00A54361">
        <w:rPr>
          <w:rFonts w:eastAsia="Times New Roman" w:cstheme="minorHAnsi"/>
          <w:spacing w:val="-1"/>
        </w:rPr>
        <w:t>e</w:t>
      </w:r>
      <w:r w:rsidRPr="00A54361">
        <w:rPr>
          <w:rFonts w:eastAsia="Times New Roman" w:cstheme="minorHAnsi"/>
        </w:rPr>
        <w:t>t</w:t>
      </w:r>
      <w:r w:rsidRPr="00A54361">
        <w:rPr>
          <w:rFonts w:eastAsia="Times New Roman" w:cstheme="minorHAnsi"/>
          <w:spacing w:val="8"/>
        </w:rPr>
        <w:t xml:space="preserve"> </w:t>
      </w:r>
      <w:r w:rsidRPr="00A54361">
        <w:rPr>
          <w:rFonts w:eastAsia="Times New Roman" w:cstheme="minorHAnsi"/>
        </w:rPr>
        <w:t>fe</w:t>
      </w:r>
      <w:r w:rsidRPr="00A54361">
        <w:rPr>
          <w:rFonts w:eastAsia="Times New Roman" w:cstheme="minorHAnsi"/>
          <w:spacing w:val="-1"/>
        </w:rPr>
        <w:t>e</w:t>
      </w:r>
      <w:r w:rsidRPr="00A54361">
        <w:rPr>
          <w:rFonts w:eastAsia="Times New Roman" w:cstheme="minorHAnsi"/>
        </w:rPr>
        <w:t>db</w:t>
      </w:r>
      <w:r w:rsidRPr="00A54361">
        <w:rPr>
          <w:rFonts w:eastAsia="Times New Roman" w:cstheme="minorHAnsi"/>
          <w:spacing w:val="-1"/>
        </w:rPr>
        <w:t>ac</w:t>
      </w:r>
      <w:r w:rsidRPr="00A54361">
        <w:rPr>
          <w:rFonts w:eastAsia="Times New Roman" w:cstheme="minorHAnsi"/>
        </w:rPr>
        <w:t>k</w:t>
      </w:r>
      <w:r w:rsidRPr="00A54361">
        <w:rPr>
          <w:rFonts w:eastAsia="Times New Roman" w:cstheme="minorHAnsi"/>
          <w:spacing w:val="10"/>
        </w:rPr>
        <w:t xml:space="preserve"> </w:t>
      </w:r>
      <w:r w:rsidRPr="00A54361">
        <w:rPr>
          <w:rFonts w:eastAsia="Times New Roman" w:cstheme="minorHAnsi"/>
          <w:spacing w:val="-1"/>
        </w:rPr>
        <w:t>a</w:t>
      </w:r>
      <w:r w:rsidRPr="00A54361">
        <w:rPr>
          <w:rFonts w:eastAsia="Times New Roman" w:cstheme="minorHAnsi"/>
        </w:rPr>
        <w:t>bout</w:t>
      </w:r>
      <w:r w:rsidRPr="00A54361">
        <w:rPr>
          <w:rFonts w:eastAsia="Times New Roman" w:cstheme="minorHAnsi"/>
          <w:spacing w:val="5"/>
        </w:rPr>
        <w:t xml:space="preserve"> </w:t>
      </w:r>
      <w:r w:rsidRPr="00A54361">
        <w:rPr>
          <w:rFonts w:eastAsia="Times New Roman" w:cstheme="minorHAnsi"/>
        </w:rPr>
        <w:t>that</w:t>
      </w:r>
      <w:r w:rsidRPr="00A54361">
        <w:rPr>
          <w:rFonts w:eastAsia="Times New Roman" w:cstheme="minorHAnsi"/>
          <w:spacing w:val="5"/>
        </w:rPr>
        <w:t xml:space="preserve"> </w:t>
      </w:r>
      <w:r w:rsidRPr="00A54361">
        <w:rPr>
          <w:rFonts w:eastAsia="Times New Roman" w:cstheme="minorHAnsi"/>
          <w:spacing w:val="1"/>
        </w:rPr>
        <w:t>a</w:t>
      </w:r>
      <w:r w:rsidRPr="00A54361">
        <w:rPr>
          <w:rFonts w:eastAsia="Times New Roman" w:cstheme="minorHAnsi"/>
          <w:spacing w:val="-2"/>
        </w:rPr>
        <w:t>g</w:t>
      </w:r>
      <w:r w:rsidRPr="00A54361">
        <w:rPr>
          <w:rFonts w:eastAsia="Times New Roman" w:cstheme="minorHAnsi"/>
          <w:spacing w:val="-1"/>
        </w:rPr>
        <w:t>e</w:t>
      </w:r>
      <w:r w:rsidRPr="00A54361">
        <w:rPr>
          <w:rFonts w:eastAsia="Times New Roman" w:cstheme="minorHAnsi"/>
          <w:spacing w:val="2"/>
        </w:rPr>
        <w:t>n</w:t>
      </w:r>
      <w:r w:rsidRPr="00A54361">
        <w:rPr>
          <w:rFonts w:eastAsia="Times New Roman" w:cstheme="minorHAnsi"/>
          <w:spacing w:val="4"/>
        </w:rPr>
        <w:t>c</w:t>
      </w:r>
      <w:r w:rsidRPr="00A54361">
        <w:rPr>
          <w:rFonts w:eastAsia="Times New Roman" w:cstheme="minorHAnsi"/>
        </w:rPr>
        <w:t xml:space="preserve">y </w:t>
      </w:r>
      <w:r w:rsidRPr="00A54361">
        <w:rPr>
          <w:rFonts w:eastAsia="Times New Roman" w:cstheme="minorHAnsi"/>
          <w:spacing w:val="1"/>
        </w:rPr>
        <w:t>f</w:t>
      </w:r>
      <w:r w:rsidRPr="00A54361">
        <w:rPr>
          <w:rFonts w:eastAsia="Times New Roman" w:cstheme="minorHAnsi"/>
        </w:rPr>
        <w:t>rom</w:t>
      </w:r>
      <w:r w:rsidRPr="00A54361">
        <w:rPr>
          <w:rFonts w:eastAsia="Times New Roman" w:cstheme="minorHAnsi"/>
          <w:spacing w:val="7"/>
        </w:rPr>
        <w:t xml:space="preserve"> </w:t>
      </w:r>
      <w:r w:rsidRPr="00A54361">
        <w:rPr>
          <w:rFonts w:eastAsia="Times New Roman" w:cstheme="minorHAnsi"/>
          <w:spacing w:val="-1"/>
        </w:rPr>
        <w:t>a</w:t>
      </w:r>
      <w:r w:rsidRPr="00A54361">
        <w:rPr>
          <w:rFonts w:eastAsia="Times New Roman" w:cstheme="minorHAnsi"/>
        </w:rPr>
        <w:t>ll</w:t>
      </w:r>
      <w:r w:rsidRPr="00A54361">
        <w:rPr>
          <w:rFonts w:eastAsia="Times New Roman" w:cstheme="minorHAnsi"/>
          <w:spacing w:val="6"/>
        </w:rPr>
        <w:t xml:space="preserve"> </w:t>
      </w:r>
      <w:r w:rsidRPr="00A54361">
        <w:rPr>
          <w:rFonts w:eastAsia="Times New Roman" w:cstheme="minorHAnsi"/>
        </w:rPr>
        <w:t>other</w:t>
      </w:r>
      <w:r w:rsidRPr="00A54361">
        <w:rPr>
          <w:rFonts w:eastAsia="Times New Roman" w:cstheme="minorHAnsi"/>
          <w:spacing w:val="6"/>
        </w:rPr>
        <w:t xml:space="preserve"> </w:t>
      </w:r>
      <w:r w:rsidRPr="00A54361">
        <w:rPr>
          <w:rFonts w:eastAsia="Times New Roman" w:cstheme="minorHAnsi"/>
          <w:spacing w:val="-3"/>
        </w:rPr>
        <w:t>Z</w:t>
      </w:r>
      <w:r w:rsidRPr="00A54361">
        <w:rPr>
          <w:rFonts w:eastAsia="Times New Roman" w:cstheme="minorHAnsi"/>
        </w:rPr>
        <w:t>on</w:t>
      </w:r>
      <w:r w:rsidRPr="00A54361">
        <w:rPr>
          <w:rFonts w:eastAsia="Times New Roman" w:cstheme="minorHAnsi"/>
          <w:spacing w:val="-1"/>
        </w:rPr>
        <w:t>e</w:t>
      </w:r>
      <w:r w:rsidRPr="00A54361">
        <w:rPr>
          <w:rFonts w:eastAsia="Times New Roman" w:cstheme="minorHAnsi"/>
        </w:rPr>
        <w:t>s</w:t>
      </w:r>
      <w:r w:rsidRPr="00A54361">
        <w:rPr>
          <w:rFonts w:eastAsia="Times New Roman" w:cstheme="minorHAnsi"/>
          <w:spacing w:val="7"/>
        </w:rPr>
        <w:t xml:space="preserve"> </w:t>
      </w:r>
      <w:r w:rsidRPr="00A54361">
        <w:rPr>
          <w:rFonts w:eastAsia="Times New Roman" w:cstheme="minorHAnsi"/>
          <w:spacing w:val="-1"/>
        </w:rPr>
        <w:t>a</w:t>
      </w:r>
      <w:r w:rsidRPr="00A54361">
        <w:rPr>
          <w:rFonts w:eastAsia="Times New Roman" w:cstheme="minorHAnsi"/>
        </w:rPr>
        <w:t>nd b</w:t>
      </w:r>
      <w:r w:rsidRPr="00A54361">
        <w:rPr>
          <w:rFonts w:eastAsia="Times New Roman" w:cstheme="minorHAnsi"/>
          <w:spacing w:val="-1"/>
        </w:rPr>
        <w:t>a</w:t>
      </w:r>
      <w:r w:rsidRPr="00A54361">
        <w:rPr>
          <w:rFonts w:eastAsia="Times New Roman" w:cstheme="minorHAnsi"/>
        </w:rPr>
        <w:t>s</w:t>
      </w:r>
      <w:r w:rsidRPr="00A54361">
        <w:rPr>
          <w:rFonts w:eastAsia="Times New Roman" w:cstheme="minorHAnsi"/>
          <w:spacing w:val="-1"/>
        </w:rPr>
        <w:t>e</w:t>
      </w:r>
      <w:r w:rsidRPr="00A54361">
        <w:rPr>
          <w:rFonts w:eastAsia="Times New Roman" w:cstheme="minorHAnsi"/>
        </w:rPr>
        <w:t>d on th</w:t>
      </w:r>
      <w:r w:rsidRPr="00A54361">
        <w:rPr>
          <w:rFonts w:eastAsia="Times New Roman" w:cstheme="minorHAnsi"/>
          <w:spacing w:val="1"/>
        </w:rPr>
        <w:t>i</w:t>
      </w:r>
      <w:r w:rsidRPr="00A54361">
        <w:rPr>
          <w:rFonts w:eastAsia="Times New Roman" w:cstheme="minorHAnsi"/>
        </w:rPr>
        <w:t xml:space="preserve">s </w:t>
      </w:r>
      <w:r w:rsidRPr="00A54361">
        <w:rPr>
          <w:rFonts w:eastAsia="Times New Roman" w:cstheme="minorHAnsi"/>
          <w:spacing w:val="2"/>
        </w:rPr>
        <w:t>f</w:t>
      </w:r>
      <w:r w:rsidRPr="00A54361">
        <w:rPr>
          <w:rFonts w:eastAsia="Times New Roman" w:cstheme="minorHAnsi"/>
          <w:spacing w:val="-1"/>
        </w:rPr>
        <w:t>ee</w:t>
      </w:r>
      <w:r w:rsidRPr="00A54361">
        <w:rPr>
          <w:rFonts w:eastAsia="Times New Roman" w:cstheme="minorHAnsi"/>
        </w:rPr>
        <w:t>db</w:t>
      </w:r>
      <w:r w:rsidRPr="00A54361">
        <w:rPr>
          <w:rFonts w:eastAsia="Times New Roman" w:cstheme="minorHAnsi"/>
          <w:spacing w:val="1"/>
        </w:rPr>
        <w:t>a</w:t>
      </w:r>
      <w:r w:rsidRPr="00A54361">
        <w:rPr>
          <w:rFonts w:eastAsia="Times New Roman" w:cstheme="minorHAnsi"/>
          <w:spacing w:val="-1"/>
        </w:rPr>
        <w:t>c</w:t>
      </w:r>
      <w:r w:rsidRPr="00A54361">
        <w:rPr>
          <w:rFonts w:eastAsia="Times New Roman" w:cstheme="minorHAnsi"/>
        </w:rPr>
        <w:t>k,</w:t>
      </w:r>
      <w:r w:rsidRPr="00A54361">
        <w:rPr>
          <w:rFonts w:eastAsia="Times New Roman" w:cstheme="minorHAnsi"/>
          <w:spacing w:val="2"/>
        </w:rPr>
        <w:t xml:space="preserve"> </w:t>
      </w:r>
      <w:r w:rsidRPr="00A54361">
        <w:rPr>
          <w:rFonts w:eastAsia="Times New Roman" w:cstheme="minorHAnsi"/>
        </w:rPr>
        <w:t>a</w:t>
      </w:r>
      <w:r w:rsidRPr="00A54361">
        <w:rPr>
          <w:rFonts w:eastAsia="Times New Roman" w:cstheme="minorHAnsi"/>
          <w:spacing w:val="1"/>
        </w:rPr>
        <w:t xml:space="preserve"> </w:t>
      </w:r>
      <w:r w:rsidRPr="00A54361">
        <w:rPr>
          <w:rFonts w:eastAsia="Times New Roman" w:cstheme="minorHAnsi"/>
        </w:rPr>
        <w:t>prim</w:t>
      </w:r>
      <w:r w:rsidRPr="00A54361">
        <w:rPr>
          <w:rFonts w:eastAsia="Times New Roman" w:cstheme="minorHAnsi"/>
          <w:spacing w:val="1"/>
        </w:rPr>
        <w:t>a</w:t>
      </w:r>
      <w:r w:rsidRPr="00A54361">
        <w:rPr>
          <w:rFonts w:eastAsia="Times New Roman" w:cstheme="minorHAnsi"/>
          <w:spacing w:val="-1"/>
        </w:rPr>
        <w:t>-</w:t>
      </w:r>
      <w:r w:rsidRPr="00A54361">
        <w:rPr>
          <w:rFonts w:eastAsia="Times New Roman" w:cstheme="minorHAnsi"/>
          <w:spacing w:val="1"/>
        </w:rPr>
        <w:t>f</w:t>
      </w:r>
      <w:r w:rsidRPr="00A54361">
        <w:rPr>
          <w:rFonts w:eastAsia="Times New Roman" w:cstheme="minorHAnsi"/>
          <w:spacing w:val="-1"/>
        </w:rPr>
        <w:t>ac</w:t>
      </w:r>
      <w:r w:rsidRPr="00A54361">
        <w:rPr>
          <w:rFonts w:eastAsia="Times New Roman" w:cstheme="minorHAnsi"/>
        </w:rPr>
        <w:t xml:space="preserve">ie </w:t>
      </w:r>
      <w:r w:rsidRPr="00A54361">
        <w:rPr>
          <w:rFonts w:eastAsia="Times New Roman" w:cstheme="minorHAnsi"/>
          <w:spacing w:val="2"/>
        </w:rPr>
        <w:t>d</w:t>
      </w:r>
      <w:r w:rsidRPr="00A54361">
        <w:rPr>
          <w:rFonts w:eastAsia="Times New Roman" w:cstheme="minorHAnsi"/>
          <w:spacing w:val="-1"/>
        </w:rPr>
        <w:t>ec</w:t>
      </w:r>
      <w:r w:rsidRPr="00A54361">
        <w:rPr>
          <w:rFonts w:eastAsia="Times New Roman" w:cstheme="minorHAnsi"/>
        </w:rPr>
        <w:t>is</w:t>
      </w:r>
      <w:r w:rsidRPr="00A54361">
        <w:rPr>
          <w:rFonts w:eastAsia="Times New Roman" w:cstheme="minorHAnsi"/>
          <w:spacing w:val="1"/>
        </w:rPr>
        <w:t>i</w:t>
      </w:r>
      <w:r w:rsidRPr="00A54361">
        <w:rPr>
          <w:rFonts w:eastAsia="Times New Roman" w:cstheme="minorHAnsi"/>
        </w:rPr>
        <w:t>on f</w:t>
      </w:r>
      <w:r w:rsidRPr="00A54361">
        <w:rPr>
          <w:rFonts w:eastAsia="Times New Roman" w:cstheme="minorHAnsi"/>
          <w:spacing w:val="1"/>
        </w:rPr>
        <w:t>o</w:t>
      </w:r>
      <w:r w:rsidRPr="00A54361">
        <w:rPr>
          <w:rFonts w:eastAsia="Times New Roman" w:cstheme="minorHAnsi"/>
        </w:rPr>
        <w:t>r</w:t>
      </w:r>
      <w:r w:rsidRPr="00A54361">
        <w:rPr>
          <w:rFonts w:eastAsia="Times New Roman" w:cstheme="minorHAnsi"/>
          <w:spacing w:val="1"/>
        </w:rPr>
        <w:t xml:space="preserve"> </w:t>
      </w:r>
      <w:r w:rsidRPr="00A54361">
        <w:rPr>
          <w:rFonts w:eastAsia="Times New Roman" w:cstheme="minorHAnsi"/>
        </w:rPr>
        <w:t>b</w:t>
      </w:r>
      <w:r w:rsidRPr="00A54361">
        <w:rPr>
          <w:rFonts w:eastAsia="Times New Roman" w:cstheme="minorHAnsi"/>
          <w:spacing w:val="-1"/>
        </w:rPr>
        <w:t>a</w:t>
      </w:r>
      <w:r w:rsidRPr="00A54361">
        <w:rPr>
          <w:rFonts w:eastAsia="Times New Roman" w:cstheme="minorHAnsi"/>
        </w:rPr>
        <w:t>nning</w:t>
      </w:r>
      <w:r w:rsidRPr="00A54361">
        <w:rPr>
          <w:rFonts w:eastAsia="Times New Roman" w:cstheme="minorHAnsi"/>
          <w:spacing w:val="-2"/>
        </w:rPr>
        <w:t xml:space="preserve"> </w:t>
      </w:r>
      <w:r w:rsidRPr="00A54361">
        <w:rPr>
          <w:rFonts w:eastAsia="Times New Roman" w:cstheme="minorHAnsi"/>
        </w:rPr>
        <w:t>/</w:t>
      </w:r>
      <w:r w:rsidRPr="00A54361">
        <w:rPr>
          <w:rFonts w:eastAsia="Times New Roman" w:cstheme="minorHAnsi"/>
          <w:spacing w:val="4"/>
        </w:rPr>
        <w:t xml:space="preserve"> </w:t>
      </w:r>
      <w:r w:rsidRPr="00A54361">
        <w:rPr>
          <w:rFonts w:eastAsia="Times New Roman" w:cstheme="minorHAnsi"/>
        </w:rPr>
        <w:t>or oth</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1"/>
        </w:rPr>
        <w:t>w</w:t>
      </w:r>
      <w:r w:rsidRPr="00A54361">
        <w:rPr>
          <w:rFonts w:eastAsia="Times New Roman" w:cstheme="minorHAnsi"/>
        </w:rPr>
        <w:t>ise s</w:t>
      </w:r>
      <w:r w:rsidRPr="00A54361">
        <w:rPr>
          <w:rFonts w:eastAsia="Times New Roman" w:cstheme="minorHAnsi"/>
          <w:spacing w:val="2"/>
        </w:rPr>
        <w:t>h</w:t>
      </w:r>
      <w:r w:rsidRPr="00A54361">
        <w:rPr>
          <w:rFonts w:eastAsia="Times New Roman" w:cstheme="minorHAnsi"/>
          <w:spacing w:val="-1"/>
        </w:rPr>
        <w:t>a</w:t>
      </w:r>
      <w:r w:rsidRPr="00A54361">
        <w:rPr>
          <w:rFonts w:eastAsia="Times New Roman" w:cstheme="minorHAnsi"/>
        </w:rPr>
        <w:t>ll</w:t>
      </w:r>
      <w:r w:rsidRPr="00A54361">
        <w:rPr>
          <w:rFonts w:eastAsia="Times New Roman" w:cstheme="minorHAnsi"/>
          <w:spacing w:val="1"/>
        </w:rPr>
        <w:t xml:space="preserve"> </w:t>
      </w:r>
      <w:r w:rsidRPr="00A54361">
        <w:rPr>
          <w:rFonts w:eastAsia="Times New Roman" w:cstheme="minorHAnsi"/>
        </w:rPr>
        <w:t>be</w:t>
      </w:r>
      <w:r w:rsidRPr="00A54361">
        <w:rPr>
          <w:rFonts w:eastAsia="Times New Roman" w:cstheme="minorHAnsi"/>
          <w:spacing w:val="-1"/>
        </w:rPr>
        <w:t xml:space="preserve"> </w:t>
      </w:r>
      <w:r w:rsidRPr="00A54361">
        <w:rPr>
          <w:rFonts w:eastAsia="Times New Roman" w:cstheme="minorHAnsi"/>
        </w:rPr>
        <w:t>tak</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2"/>
        </w:rPr>
        <w:t xml:space="preserve"> </w:t>
      </w:r>
      <w:r w:rsidRPr="00A54361">
        <w:rPr>
          <w:rFonts w:eastAsia="Times New Roman" w:cstheme="minorHAnsi"/>
          <w:spacing w:val="5"/>
        </w:rPr>
        <w:t>b</w:t>
      </w:r>
      <w:r w:rsidRPr="00A54361">
        <w:rPr>
          <w:rFonts w:eastAsia="Times New Roman" w:cstheme="minorHAnsi"/>
        </w:rPr>
        <w:t>y</w:t>
      </w:r>
      <w:r w:rsidRPr="00A54361">
        <w:rPr>
          <w:rFonts w:eastAsia="Times New Roman" w:cstheme="minorHAnsi"/>
          <w:spacing w:val="-5"/>
        </w:rPr>
        <w:t xml:space="preserve"> </w:t>
      </w:r>
      <w:r w:rsidRPr="00A54361">
        <w:rPr>
          <w:rFonts w:eastAsia="Times New Roman" w:cstheme="minorHAnsi"/>
        </w:rPr>
        <w:t>the Compet</w:t>
      </w:r>
      <w:r w:rsidRPr="00A54361">
        <w:rPr>
          <w:rFonts w:eastAsia="Times New Roman" w:cstheme="minorHAnsi"/>
          <w:spacing w:val="-1"/>
        </w:rPr>
        <w:t>e</w:t>
      </w:r>
      <w:r w:rsidRPr="00A54361">
        <w:rPr>
          <w:rFonts w:eastAsia="Times New Roman" w:cstheme="minorHAnsi"/>
        </w:rPr>
        <w:t>nt</w:t>
      </w:r>
      <w:r w:rsidRPr="00A54361">
        <w:rPr>
          <w:rFonts w:eastAsia="Times New Roman" w:cstheme="minorHAnsi"/>
          <w:spacing w:val="6"/>
        </w:rPr>
        <w:t xml:space="preserve"> </w:t>
      </w:r>
      <w:r w:rsidRPr="00A54361">
        <w:rPr>
          <w:rFonts w:eastAsia="Times New Roman" w:cstheme="minorHAnsi"/>
        </w:rPr>
        <w:t>Autho</w:t>
      </w:r>
      <w:r w:rsidRPr="00A54361">
        <w:rPr>
          <w:rFonts w:eastAsia="Times New Roman" w:cstheme="minorHAnsi"/>
          <w:spacing w:val="-1"/>
        </w:rPr>
        <w:t>r</w:t>
      </w:r>
      <w:r w:rsidRPr="00A54361">
        <w:rPr>
          <w:rFonts w:eastAsia="Times New Roman" w:cstheme="minorHAnsi"/>
        </w:rPr>
        <w:t>i</w:t>
      </w:r>
      <w:r w:rsidRPr="00A54361">
        <w:rPr>
          <w:rFonts w:eastAsia="Times New Roman" w:cstheme="minorHAnsi"/>
          <w:spacing w:val="3"/>
        </w:rPr>
        <w:t>t</w:t>
      </w:r>
      <w:r w:rsidRPr="00A54361">
        <w:rPr>
          <w:rFonts w:eastAsia="Times New Roman" w:cstheme="minorHAnsi"/>
          <w:spacing w:val="-5"/>
        </w:rPr>
        <w:t>y</w:t>
      </w:r>
      <w:r w:rsidRPr="00A54361">
        <w:rPr>
          <w:rFonts w:eastAsia="Times New Roman" w:cstheme="minorHAnsi"/>
        </w:rPr>
        <w:t>.</w:t>
      </w:r>
      <w:r w:rsidRPr="00A54361">
        <w:rPr>
          <w:rFonts w:eastAsia="Times New Roman" w:cstheme="minorHAnsi"/>
          <w:spacing w:val="5"/>
        </w:rPr>
        <w:t xml:space="preserve"> </w:t>
      </w:r>
      <w:r w:rsidRPr="00A54361">
        <w:rPr>
          <w:rFonts w:eastAsia="Times New Roman" w:cstheme="minorHAnsi"/>
          <w:spacing w:val="2"/>
        </w:rPr>
        <w:t>A</w:t>
      </w:r>
      <w:r w:rsidRPr="00A54361">
        <w:rPr>
          <w:rFonts w:eastAsia="Times New Roman" w:cstheme="minorHAnsi"/>
        </w:rPr>
        <w:t>t</w:t>
      </w:r>
      <w:r w:rsidRPr="00A54361">
        <w:rPr>
          <w:rFonts w:eastAsia="Times New Roman" w:cstheme="minorHAnsi"/>
          <w:spacing w:val="6"/>
        </w:rPr>
        <w:t xml:space="preserve"> </w:t>
      </w:r>
      <w:r w:rsidRPr="00A54361">
        <w:rPr>
          <w:rFonts w:eastAsia="Times New Roman" w:cstheme="minorHAnsi"/>
        </w:rPr>
        <w:t>th</w:t>
      </w:r>
      <w:r w:rsidRPr="00A54361">
        <w:rPr>
          <w:rFonts w:eastAsia="Times New Roman" w:cstheme="minorHAnsi"/>
          <w:spacing w:val="1"/>
        </w:rPr>
        <w:t>i</w:t>
      </w:r>
      <w:r w:rsidRPr="00A54361">
        <w:rPr>
          <w:rFonts w:eastAsia="Times New Roman" w:cstheme="minorHAnsi"/>
        </w:rPr>
        <w:t>s</w:t>
      </w:r>
      <w:r w:rsidRPr="00A54361">
        <w:rPr>
          <w:rFonts w:eastAsia="Times New Roman" w:cstheme="minorHAnsi"/>
          <w:spacing w:val="5"/>
        </w:rPr>
        <w:t xml:space="preserve"> </w:t>
      </w:r>
      <w:r w:rsidRPr="00A54361">
        <w:rPr>
          <w:rFonts w:eastAsia="Times New Roman" w:cstheme="minorHAnsi"/>
        </w:rPr>
        <w:t>sta</w:t>
      </w:r>
      <w:r w:rsidRPr="00A54361">
        <w:rPr>
          <w:rFonts w:eastAsia="Times New Roman" w:cstheme="minorHAnsi"/>
          <w:spacing w:val="-3"/>
        </w:rPr>
        <w:t>g</w:t>
      </w:r>
      <w:r w:rsidRPr="00A54361">
        <w:rPr>
          <w:rFonts w:eastAsia="Times New Roman" w:cstheme="minorHAnsi"/>
        </w:rPr>
        <w:t>e</w:t>
      </w:r>
      <w:r w:rsidRPr="00A54361">
        <w:rPr>
          <w:rFonts w:eastAsia="Times New Roman" w:cstheme="minorHAnsi"/>
          <w:spacing w:val="4"/>
        </w:rPr>
        <w:t xml:space="preserve"> </w:t>
      </w:r>
      <w:r w:rsidRPr="00A54361">
        <w:rPr>
          <w:rFonts w:eastAsia="Times New Roman" w:cstheme="minorHAnsi"/>
        </w:rPr>
        <w:t>if</w:t>
      </w:r>
      <w:r w:rsidRPr="00A54361">
        <w:rPr>
          <w:rFonts w:eastAsia="Times New Roman" w:cstheme="minorHAnsi"/>
          <w:spacing w:val="5"/>
        </w:rPr>
        <w:t xml:space="preserve"> </w:t>
      </w:r>
      <w:r w:rsidRPr="00A54361">
        <w:rPr>
          <w:rFonts w:eastAsia="Times New Roman" w:cstheme="minorHAnsi"/>
        </w:rPr>
        <w:t>it</w:t>
      </w:r>
      <w:r w:rsidRPr="00A54361">
        <w:rPr>
          <w:rFonts w:eastAsia="Times New Roman" w:cstheme="minorHAnsi"/>
          <w:spacing w:val="6"/>
        </w:rPr>
        <w:t xml:space="preserve"> </w:t>
      </w:r>
      <w:r w:rsidRPr="00A54361">
        <w:rPr>
          <w:rFonts w:eastAsia="Times New Roman" w:cstheme="minorHAnsi"/>
        </w:rPr>
        <w:t>is</w:t>
      </w:r>
      <w:r w:rsidRPr="00A54361">
        <w:rPr>
          <w:rFonts w:eastAsia="Times New Roman" w:cstheme="minorHAnsi"/>
          <w:spacing w:val="6"/>
        </w:rPr>
        <w:t xml:space="preserve"> </w:t>
      </w:r>
      <w:r w:rsidRPr="00A54361">
        <w:rPr>
          <w:rFonts w:eastAsia="Times New Roman" w:cstheme="minorHAnsi"/>
        </w:rPr>
        <w:t>f</w:t>
      </w:r>
      <w:r w:rsidRPr="00A54361">
        <w:rPr>
          <w:rFonts w:eastAsia="Times New Roman" w:cstheme="minorHAnsi"/>
          <w:spacing w:val="-2"/>
        </w:rPr>
        <w:t>e</w:t>
      </w:r>
      <w:r w:rsidRPr="00A54361">
        <w:rPr>
          <w:rFonts w:eastAsia="Times New Roman" w:cstheme="minorHAnsi"/>
        </w:rPr>
        <w:t>lt</w:t>
      </w:r>
      <w:r w:rsidRPr="00A54361">
        <w:rPr>
          <w:rFonts w:eastAsia="Times New Roman" w:cstheme="minorHAnsi"/>
          <w:spacing w:val="6"/>
        </w:rPr>
        <w:t xml:space="preserve"> </w:t>
      </w:r>
      <w:r w:rsidRPr="00A54361">
        <w:rPr>
          <w:rFonts w:eastAsia="Times New Roman" w:cstheme="minorHAnsi"/>
        </w:rPr>
        <w:t>by</w:t>
      </w:r>
      <w:r w:rsidRPr="00A54361">
        <w:rPr>
          <w:rFonts w:eastAsia="Times New Roman" w:cstheme="minorHAnsi"/>
          <w:spacing w:val="3"/>
        </w:rPr>
        <w:t xml:space="preserve"> </w:t>
      </w:r>
      <w:r w:rsidRPr="00A54361">
        <w:rPr>
          <w:rFonts w:eastAsia="Times New Roman" w:cstheme="minorHAnsi"/>
        </w:rPr>
        <w:t>the</w:t>
      </w:r>
      <w:r w:rsidRPr="00A54361">
        <w:rPr>
          <w:rFonts w:eastAsia="Times New Roman" w:cstheme="minorHAnsi"/>
          <w:spacing w:val="5"/>
        </w:rPr>
        <w:t xml:space="preserve"> </w:t>
      </w:r>
      <w:r w:rsidRPr="00A54361">
        <w:rPr>
          <w:rFonts w:eastAsia="Times New Roman" w:cstheme="minorHAnsi"/>
        </w:rPr>
        <w:t>Compet</w:t>
      </w:r>
      <w:r w:rsidRPr="00A54361">
        <w:rPr>
          <w:rFonts w:eastAsia="Times New Roman" w:cstheme="minorHAnsi"/>
          <w:spacing w:val="-1"/>
        </w:rPr>
        <w:t>e</w:t>
      </w:r>
      <w:r w:rsidRPr="00A54361">
        <w:rPr>
          <w:rFonts w:eastAsia="Times New Roman" w:cstheme="minorHAnsi"/>
        </w:rPr>
        <w:t>nt</w:t>
      </w:r>
      <w:r w:rsidRPr="00A54361">
        <w:rPr>
          <w:rFonts w:eastAsia="Times New Roman" w:cstheme="minorHAnsi"/>
          <w:spacing w:val="6"/>
        </w:rPr>
        <w:t xml:space="preserve"> </w:t>
      </w:r>
      <w:r w:rsidRPr="00A54361">
        <w:rPr>
          <w:rFonts w:eastAsia="Times New Roman" w:cstheme="minorHAnsi"/>
        </w:rPr>
        <w:t>Autho</w:t>
      </w:r>
      <w:r w:rsidRPr="00A54361">
        <w:rPr>
          <w:rFonts w:eastAsia="Times New Roman" w:cstheme="minorHAnsi"/>
          <w:spacing w:val="1"/>
        </w:rPr>
        <w:t>r</w:t>
      </w:r>
      <w:r w:rsidRPr="00A54361">
        <w:rPr>
          <w:rFonts w:eastAsia="Times New Roman" w:cstheme="minorHAnsi"/>
        </w:rPr>
        <w:t>i</w:t>
      </w:r>
      <w:r w:rsidRPr="00A54361">
        <w:rPr>
          <w:rFonts w:eastAsia="Times New Roman" w:cstheme="minorHAnsi"/>
          <w:spacing w:val="3"/>
        </w:rPr>
        <w:t>t</w:t>
      </w:r>
      <w:r w:rsidRPr="00A54361">
        <w:rPr>
          <w:rFonts w:eastAsia="Times New Roman" w:cstheme="minorHAnsi"/>
        </w:rPr>
        <w:t>y that</w:t>
      </w:r>
      <w:r w:rsidRPr="00A54361">
        <w:rPr>
          <w:rFonts w:eastAsia="Times New Roman" w:cstheme="minorHAnsi"/>
          <w:spacing w:val="5"/>
        </w:rPr>
        <w:t xml:space="preserve"> </w:t>
      </w:r>
      <w:r w:rsidRPr="00A54361">
        <w:rPr>
          <w:rFonts w:eastAsia="Times New Roman" w:cstheme="minorHAnsi"/>
        </w:rPr>
        <w:t>the</w:t>
      </w:r>
      <w:r w:rsidRPr="00A54361">
        <w:rPr>
          <w:rFonts w:eastAsia="Times New Roman" w:cstheme="minorHAnsi"/>
          <w:spacing w:val="-1"/>
        </w:rPr>
        <w:t>r</w:t>
      </w:r>
      <w:r w:rsidRPr="00A54361">
        <w:rPr>
          <w:rFonts w:eastAsia="Times New Roman" w:cstheme="minorHAnsi"/>
        </w:rPr>
        <w:t>e</w:t>
      </w:r>
      <w:r w:rsidRPr="00A54361">
        <w:rPr>
          <w:rFonts w:eastAsia="Times New Roman" w:cstheme="minorHAnsi"/>
          <w:spacing w:val="4"/>
        </w:rPr>
        <w:t xml:space="preserve"> </w:t>
      </w:r>
      <w:r w:rsidRPr="00A54361">
        <w:rPr>
          <w:rFonts w:eastAsia="Times New Roman" w:cstheme="minorHAnsi"/>
        </w:rPr>
        <w:t>is</w:t>
      </w:r>
      <w:r w:rsidRPr="00A54361">
        <w:rPr>
          <w:rFonts w:eastAsia="Times New Roman" w:cstheme="minorHAnsi"/>
          <w:spacing w:val="6"/>
        </w:rPr>
        <w:t xml:space="preserve"> </w:t>
      </w:r>
      <w:r w:rsidRPr="00A54361">
        <w:rPr>
          <w:rFonts w:eastAsia="Times New Roman" w:cstheme="minorHAnsi"/>
        </w:rPr>
        <w:t>no suf</w:t>
      </w:r>
      <w:r w:rsidRPr="00A54361">
        <w:rPr>
          <w:rFonts w:eastAsia="Times New Roman" w:cstheme="minorHAnsi"/>
          <w:spacing w:val="-1"/>
        </w:rPr>
        <w:t>f</w:t>
      </w:r>
      <w:r w:rsidRPr="00A54361">
        <w:rPr>
          <w:rFonts w:eastAsia="Times New Roman" w:cstheme="minorHAnsi"/>
        </w:rPr>
        <w:t>ici</w:t>
      </w:r>
      <w:r w:rsidRPr="00A54361">
        <w:rPr>
          <w:rFonts w:eastAsia="Times New Roman" w:cstheme="minorHAnsi"/>
          <w:spacing w:val="-1"/>
        </w:rPr>
        <w:t>e</w:t>
      </w:r>
      <w:r w:rsidRPr="00A54361">
        <w:rPr>
          <w:rFonts w:eastAsia="Times New Roman" w:cstheme="minorHAnsi"/>
        </w:rPr>
        <w:t>nt</w:t>
      </w:r>
      <w:r w:rsidRPr="00A54361">
        <w:rPr>
          <w:rFonts w:eastAsia="Times New Roman" w:cstheme="minorHAnsi"/>
          <w:spacing w:val="-2"/>
        </w:rPr>
        <w:t xml:space="preserve"> </w:t>
      </w:r>
      <w:r w:rsidRPr="00A54361">
        <w:rPr>
          <w:rFonts w:eastAsia="Times New Roman" w:cstheme="minorHAnsi"/>
        </w:rPr>
        <w:t>grou</w:t>
      </w:r>
      <w:r w:rsidRPr="00A54361">
        <w:rPr>
          <w:rFonts w:eastAsia="Times New Roman" w:cstheme="minorHAnsi"/>
          <w:spacing w:val="-1"/>
        </w:rPr>
        <w:t>n</w:t>
      </w:r>
      <w:r w:rsidRPr="00A54361">
        <w:rPr>
          <w:rFonts w:eastAsia="Times New Roman" w:cstheme="minorHAnsi"/>
        </w:rPr>
        <w:t>d</w:t>
      </w:r>
      <w:r w:rsidRPr="00A54361">
        <w:rPr>
          <w:rFonts w:eastAsia="Times New Roman" w:cstheme="minorHAnsi"/>
          <w:spacing w:val="-2"/>
        </w:rPr>
        <w:t xml:space="preserve"> </w:t>
      </w:r>
      <w:r w:rsidRPr="00A54361">
        <w:rPr>
          <w:rFonts w:eastAsia="Times New Roman" w:cstheme="minorHAnsi"/>
        </w:rPr>
        <w:t>for</w:t>
      </w:r>
      <w:r w:rsidRPr="00A54361">
        <w:rPr>
          <w:rFonts w:eastAsia="Times New Roman" w:cstheme="minorHAnsi"/>
          <w:spacing w:val="-1"/>
        </w:rPr>
        <w:t xml:space="preserve"> </w:t>
      </w:r>
      <w:r w:rsidRPr="00A54361">
        <w:rPr>
          <w:rFonts w:eastAsia="Times New Roman" w:cstheme="minorHAnsi"/>
          <w:spacing w:val="-2"/>
        </w:rPr>
        <w:t>B</w:t>
      </w:r>
      <w:r w:rsidRPr="00A54361">
        <w:rPr>
          <w:rFonts w:eastAsia="Times New Roman" w:cstheme="minorHAnsi"/>
          <w:spacing w:val="-1"/>
        </w:rPr>
        <w:t>a</w:t>
      </w:r>
      <w:r w:rsidRPr="00A54361">
        <w:rPr>
          <w:rFonts w:eastAsia="Times New Roman" w:cstheme="minorHAnsi"/>
          <w:spacing w:val="2"/>
        </w:rPr>
        <w:t>n</w:t>
      </w:r>
      <w:r w:rsidRPr="00A54361">
        <w:rPr>
          <w:rFonts w:eastAsia="Times New Roman" w:cstheme="minorHAnsi"/>
        </w:rPr>
        <w:t>k</w:t>
      </w:r>
      <w:r w:rsidRPr="00A54361">
        <w:rPr>
          <w:rFonts w:eastAsia="Times New Roman" w:cstheme="minorHAnsi"/>
          <w:spacing w:val="-2"/>
        </w:rPr>
        <w:t xml:space="preserve"> </w:t>
      </w:r>
      <w:r w:rsidRPr="00A54361">
        <w:rPr>
          <w:rFonts w:eastAsia="Times New Roman" w:cstheme="minorHAnsi"/>
        </w:rPr>
        <w:t>wide</w:t>
      </w:r>
      <w:r w:rsidRPr="00A54361">
        <w:rPr>
          <w:rFonts w:eastAsia="Times New Roman" w:cstheme="minorHAnsi"/>
          <w:spacing w:val="-3"/>
        </w:rPr>
        <w:t xml:space="preserve"> </w:t>
      </w:r>
      <w:r w:rsidRPr="00A54361">
        <w:rPr>
          <w:rFonts w:eastAsia="Times New Roman" w:cstheme="minorHAnsi"/>
        </w:rPr>
        <w:t>b</w:t>
      </w:r>
      <w:r w:rsidRPr="00A54361">
        <w:rPr>
          <w:rFonts w:eastAsia="Times New Roman" w:cstheme="minorHAnsi"/>
          <w:spacing w:val="-1"/>
        </w:rPr>
        <w:t>a</w:t>
      </w:r>
      <w:r w:rsidRPr="00A54361">
        <w:rPr>
          <w:rFonts w:eastAsia="Times New Roman" w:cstheme="minorHAnsi"/>
        </w:rPr>
        <w:t>nnin</w:t>
      </w:r>
      <w:r w:rsidRPr="00A54361">
        <w:rPr>
          <w:rFonts w:eastAsia="Times New Roman" w:cstheme="minorHAnsi"/>
          <w:spacing w:val="-2"/>
        </w:rPr>
        <w:t>g</w:t>
      </w:r>
      <w:r w:rsidRPr="00A54361">
        <w:rPr>
          <w:rFonts w:eastAsia="Times New Roman" w:cstheme="minorHAnsi"/>
        </w:rPr>
        <w:t>,</w:t>
      </w:r>
      <w:r w:rsidRPr="00A54361">
        <w:rPr>
          <w:rFonts w:eastAsia="Times New Roman" w:cstheme="minorHAnsi"/>
          <w:spacing w:val="-2"/>
        </w:rPr>
        <w:t xml:space="preserve"> </w:t>
      </w:r>
      <w:r w:rsidRPr="00A54361">
        <w:rPr>
          <w:rFonts w:eastAsia="Times New Roman" w:cstheme="minorHAnsi"/>
        </w:rPr>
        <w:t>then</w:t>
      </w:r>
      <w:r w:rsidRPr="00A54361">
        <w:rPr>
          <w:rFonts w:eastAsia="Times New Roman" w:cstheme="minorHAnsi"/>
          <w:spacing w:val="-3"/>
        </w:rPr>
        <w:t xml:space="preserve"> </w:t>
      </w:r>
      <w:r w:rsidRPr="00A54361">
        <w:rPr>
          <w:rFonts w:eastAsia="Times New Roman" w:cstheme="minorHAnsi"/>
        </w:rPr>
        <w:t xml:space="preserve">the </w:t>
      </w:r>
      <w:r w:rsidRPr="00A54361">
        <w:rPr>
          <w:rFonts w:eastAsia="Times New Roman" w:cstheme="minorHAnsi"/>
          <w:spacing w:val="-1"/>
        </w:rPr>
        <w:t>ca</w:t>
      </w:r>
      <w:r w:rsidRPr="00A54361">
        <w:rPr>
          <w:rFonts w:eastAsia="Times New Roman" w:cstheme="minorHAnsi"/>
        </w:rPr>
        <w:t>se</w:t>
      </w:r>
      <w:r w:rsidRPr="00A54361">
        <w:rPr>
          <w:rFonts w:eastAsia="Times New Roman" w:cstheme="minorHAnsi"/>
          <w:spacing w:val="-3"/>
        </w:rPr>
        <w:t xml:space="preserve"> </w:t>
      </w:r>
      <w:r w:rsidRPr="00A54361">
        <w:rPr>
          <w:rFonts w:eastAsia="Times New Roman" w:cstheme="minorHAnsi"/>
        </w:rPr>
        <w:t>sh</w:t>
      </w:r>
      <w:r w:rsidRPr="00A54361">
        <w:rPr>
          <w:rFonts w:eastAsia="Times New Roman" w:cstheme="minorHAnsi"/>
          <w:spacing w:val="-1"/>
        </w:rPr>
        <w:t>a</w:t>
      </w:r>
      <w:r w:rsidRPr="00A54361">
        <w:rPr>
          <w:rFonts w:eastAsia="Times New Roman" w:cstheme="minorHAnsi"/>
        </w:rPr>
        <w:t>ll</w:t>
      </w:r>
      <w:r w:rsidRPr="00A54361">
        <w:rPr>
          <w:rFonts w:eastAsia="Times New Roman" w:cstheme="minorHAnsi"/>
          <w:spacing w:val="-2"/>
        </w:rPr>
        <w:t xml:space="preserve"> </w:t>
      </w:r>
      <w:r w:rsidRPr="00A54361">
        <w:rPr>
          <w:rFonts w:eastAsia="Times New Roman" w:cstheme="minorHAnsi"/>
        </w:rPr>
        <w:t>be</w:t>
      </w:r>
      <w:r w:rsidRPr="00A54361">
        <w:rPr>
          <w:rFonts w:eastAsia="Times New Roman" w:cstheme="minorHAnsi"/>
          <w:spacing w:val="-3"/>
        </w:rPr>
        <w:t xml:space="preserve"> </w:t>
      </w:r>
      <w:r w:rsidRPr="00A54361">
        <w:rPr>
          <w:rFonts w:eastAsia="Times New Roman" w:cstheme="minorHAnsi"/>
        </w:rPr>
        <w:t>s</w:t>
      </w:r>
      <w:r w:rsidRPr="00A54361">
        <w:rPr>
          <w:rFonts w:eastAsia="Times New Roman" w:cstheme="minorHAnsi"/>
          <w:spacing w:val="-1"/>
        </w:rPr>
        <w:t>e</w:t>
      </w:r>
      <w:r w:rsidRPr="00A54361">
        <w:rPr>
          <w:rFonts w:eastAsia="Times New Roman" w:cstheme="minorHAnsi"/>
        </w:rPr>
        <w:t>nt</w:t>
      </w:r>
      <w:r w:rsidRPr="00A54361">
        <w:rPr>
          <w:rFonts w:eastAsia="Times New Roman" w:cstheme="minorHAnsi"/>
          <w:spacing w:val="-2"/>
        </w:rPr>
        <w:t xml:space="preserve"> </w:t>
      </w:r>
      <w:r w:rsidRPr="00A54361">
        <w:rPr>
          <w:rFonts w:eastAsia="Times New Roman" w:cstheme="minorHAnsi"/>
        </w:rPr>
        <w:t>b</w:t>
      </w:r>
      <w:r w:rsidRPr="00A54361">
        <w:rPr>
          <w:rFonts w:eastAsia="Times New Roman" w:cstheme="minorHAnsi"/>
          <w:spacing w:val="-1"/>
        </w:rPr>
        <w:t>ac</w:t>
      </w:r>
      <w:r w:rsidRPr="00A54361">
        <w:rPr>
          <w:rFonts w:eastAsia="Times New Roman" w:cstheme="minorHAnsi"/>
        </w:rPr>
        <w:t>k</w:t>
      </w:r>
      <w:r w:rsidRPr="00A54361">
        <w:rPr>
          <w:rFonts w:eastAsia="Times New Roman" w:cstheme="minorHAnsi"/>
          <w:spacing w:val="-2"/>
        </w:rPr>
        <w:t xml:space="preserve"> </w:t>
      </w:r>
      <w:r w:rsidRPr="00A54361">
        <w:rPr>
          <w:rFonts w:eastAsia="Times New Roman" w:cstheme="minorHAnsi"/>
        </w:rPr>
        <w:t>to the</w:t>
      </w:r>
      <w:r w:rsidRPr="00A54361">
        <w:rPr>
          <w:rFonts w:eastAsia="Times New Roman" w:cstheme="minorHAnsi"/>
          <w:spacing w:val="-3"/>
        </w:rPr>
        <w:t xml:space="preserve"> </w:t>
      </w:r>
      <w:r w:rsidRPr="00A54361">
        <w:rPr>
          <w:rFonts w:eastAsia="Times New Roman" w:cstheme="minorHAnsi"/>
        </w:rPr>
        <w:t>H</w:t>
      </w:r>
      <w:r w:rsidRPr="00A54361">
        <w:rPr>
          <w:rFonts w:eastAsia="Times New Roman" w:cstheme="minorHAnsi"/>
          <w:spacing w:val="-1"/>
        </w:rPr>
        <w:t>ea</w:t>
      </w:r>
      <w:r w:rsidRPr="00A54361">
        <w:rPr>
          <w:rFonts w:eastAsia="Times New Roman" w:cstheme="minorHAnsi"/>
        </w:rPr>
        <w:t>d</w:t>
      </w:r>
      <w:r w:rsidRPr="00A54361">
        <w:rPr>
          <w:rFonts w:eastAsia="Times New Roman" w:cstheme="minorHAnsi"/>
          <w:spacing w:val="-2"/>
        </w:rPr>
        <w:t xml:space="preserve"> </w:t>
      </w:r>
      <w:r w:rsidRPr="00A54361">
        <w:rPr>
          <w:rFonts w:eastAsia="Times New Roman" w:cstheme="minorHAnsi"/>
        </w:rPr>
        <w:t xml:space="preserve">of </w:t>
      </w:r>
      <w:r w:rsidRPr="00A54361">
        <w:rPr>
          <w:rFonts w:eastAsia="Times New Roman" w:cstheme="minorHAnsi"/>
          <w:spacing w:val="-3"/>
        </w:rPr>
        <w:t>Z</w:t>
      </w:r>
      <w:r w:rsidRPr="00A54361">
        <w:rPr>
          <w:rFonts w:eastAsia="Times New Roman" w:cstheme="minorHAnsi"/>
        </w:rPr>
        <w:t>on</w:t>
      </w:r>
      <w:r w:rsidRPr="00A54361">
        <w:rPr>
          <w:rFonts w:eastAsia="Times New Roman" w:cstheme="minorHAnsi"/>
          <w:spacing w:val="-1"/>
        </w:rPr>
        <w:t>a</w:t>
      </w:r>
      <w:r w:rsidRPr="00A54361">
        <w:rPr>
          <w:rFonts w:eastAsia="Times New Roman" w:cstheme="minorHAnsi"/>
        </w:rPr>
        <w:t>l O</w:t>
      </w:r>
      <w:r w:rsidRPr="00A54361">
        <w:rPr>
          <w:rFonts w:eastAsia="Times New Roman" w:cstheme="minorHAnsi"/>
          <w:spacing w:val="-1"/>
        </w:rPr>
        <w:t>f</w:t>
      </w:r>
      <w:r w:rsidRPr="00A54361">
        <w:rPr>
          <w:rFonts w:eastAsia="Times New Roman" w:cstheme="minorHAnsi"/>
        </w:rPr>
        <w:t>fi</w:t>
      </w:r>
      <w:r w:rsidRPr="00A54361">
        <w:rPr>
          <w:rFonts w:eastAsia="Times New Roman" w:cstheme="minorHAnsi"/>
          <w:spacing w:val="-1"/>
        </w:rPr>
        <w:t>c</w:t>
      </w:r>
      <w:r w:rsidRPr="00A54361">
        <w:rPr>
          <w:rFonts w:eastAsia="Times New Roman" w:cstheme="minorHAnsi"/>
        </w:rPr>
        <w:t>e</w:t>
      </w:r>
      <w:r w:rsidRPr="00A54361">
        <w:rPr>
          <w:rFonts w:eastAsia="Times New Roman" w:cstheme="minorHAnsi"/>
          <w:spacing w:val="2"/>
        </w:rPr>
        <w:t xml:space="preserve"> </w:t>
      </w:r>
      <w:r w:rsidRPr="00A54361">
        <w:rPr>
          <w:rFonts w:eastAsia="Times New Roman" w:cstheme="minorHAnsi"/>
        </w:rPr>
        <w:t>for</w:t>
      </w:r>
      <w:r w:rsidRPr="00A54361">
        <w:rPr>
          <w:rFonts w:eastAsia="Times New Roman" w:cstheme="minorHAnsi"/>
          <w:spacing w:val="2"/>
        </w:rPr>
        <w:t xml:space="preserve"> </w:t>
      </w:r>
      <w:r w:rsidRPr="00A54361">
        <w:rPr>
          <w:rFonts w:eastAsia="Times New Roman" w:cstheme="minorHAnsi"/>
        </w:rPr>
        <w:t>fu</w:t>
      </w:r>
      <w:r w:rsidRPr="00A54361">
        <w:rPr>
          <w:rFonts w:eastAsia="Times New Roman" w:cstheme="minorHAnsi"/>
          <w:spacing w:val="-1"/>
        </w:rPr>
        <w:t>r</w:t>
      </w:r>
      <w:r w:rsidRPr="00A54361">
        <w:rPr>
          <w:rFonts w:eastAsia="Times New Roman" w:cstheme="minorHAnsi"/>
        </w:rPr>
        <w:t>ther</w:t>
      </w:r>
      <w:r w:rsidRPr="00A54361">
        <w:rPr>
          <w:rFonts w:eastAsia="Times New Roman" w:cstheme="minorHAnsi"/>
          <w:spacing w:val="2"/>
        </w:rPr>
        <w:t xml:space="preserve"> </w:t>
      </w:r>
      <w:r w:rsidRPr="00A54361">
        <w:rPr>
          <w:rFonts w:eastAsia="Times New Roman" w:cstheme="minorHAnsi"/>
          <w:spacing w:val="-1"/>
        </w:rPr>
        <w:t>ac</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on</w:t>
      </w:r>
      <w:r w:rsidRPr="00A54361">
        <w:rPr>
          <w:rFonts w:eastAsia="Times New Roman" w:cstheme="minorHAnsi"/>
          <w:spacing w:val="3"/>
        </w:rPr>
        <w:t xml:space="preserve"> </w:t>
      </w:r>
      <w:r w:rsidRPr="00A54361">
        <w:rPr>
          <w:rFonts w:eastAsia="Times New Roman" w:cstheme="minorHAnsi"/>
          <w:spacing w:val="-1"/>
        </w:rPr>
        <w:t>a</w:t>
      </w:r>
      <w:r w:rsidRPr="00A54361">
        <w:rPr>
          <w:rFonts w:eastAsia="Times New Roman" w:cstheme="minorHAnsi"/>
        </w:rPr>
        <w:t>t</w:t>
      </w:r>
      <w:r w:rsidRPr="00A54361">
        <w:rPr>
          <w:rFonts w:eastAsia="Times New Roman" w:cstheme="minorHAnsi"/>
          <w:spacing w:val="1"/>
        </w:rPr>
        <w:t xml:space="preserve"> </w:t>
      </w:r>
      <w:r w:rsidRPr="00A54361">
        <w:rPr>
          <w:rFonts w:eastAsia="Times New Roman" w:cstheme="minorHAnsi"/>
        </w:rPr>
        <w:t>the</w:t>
      </w:r>
      <w:r w:rsidRPr="00A54361">
        <w:rPr>
          <w:rFonts w:eastAsia="Times New Roman" w:cstheme="minorHAnsi"/>
          <w:spacing w:val="5"/>
        </w:rPr>
        <w:t xml:space="preserve"> </w:t>
      </w:r>
      <w:r w:rsidRPr="00A54361">
        <w:rPr>
          <w:rFonts w:eastAsia="Times New Roman" w:cstheme="minorHAnsi"/>
          <w:spacing w:val="-3"/>
        </w:rPr>
        <w:t>Z</w:t>
      </w:r>
      <w:r w:rsidRPr="00A54361">
        <w:rPr>
          <w:rFonts w:eastAsia="Times New Roman" w:cstheme="minorHAnsi"/>
        </w:rPr>
        <w:t>one le</w:t>
      </w:r>
      <w:r w:rsidRPr="00A54361">
        <w:rPr>
          <w:rFonts w:eastAsia="Times New Roman" w:cstheme="minorHAnsi"/>
          <w:spacing w:val="2"/>
        </w:rPr>
        <w:t>v</w:t>
      </w:r>
      <w:r w:rsidRPr="00A54361">
        <w:rPr>
          <w:rFonts w:eastAsia="Times New Roman" w:cstheme="minorHAnsi"/>
          <w:spacing w:val="-1"/>
        </w:rPr>
        <w:t>e</w:t>
      </w:r>
      <w:r w:rsidRPr="00A54361">
        <w:rPr>
          <w:rFonts w:eastAsia="Times New Roman" w:cstheme="minorHAnsi"/>
        </w:rPr>
        <w:t>l.</w:t>
      </w:r>
      <w:r w:rsidRPr="00A54361">
        <w:rPr>
          <w:rFonts w:eastAsia="Times New Roman" w:cstheme="minorHAnsi"/>
          <w:spacing w:val="4"/>
        </w:rPr>
        <w:t xml:space="preserve"> </w:t>
      </w:r>
      <w:r w:rsidRPr="00A54361">
        <w:rPr>
          <w:rFonts w:eastAsia="Times New Roman" w:cstheme="minorHAnsi"/>
          <w:spacing w:val="-3"/>
        </w:rPr>
        <w:t>I</w:t>
      </w:r>
      <w:r w:rsidRPr="00A54361">
        <w:rPr>
          <w:rFonts w:eastAsia="Times New Roman" w:cstheme="minorHAnsi"/>
        </w:rPr>
        <w:t>f the</w:t>
      </w:r>
      <w:r w:rsidRPr="00A54361">
        <w:rPr>
          <w:rFonts w:eastAsia="Times New Roman" w:cstheme="minorHAnsi"/>
          <w:spacing w:val="5"/>
        </w:rPr>
        <w:t xml:space="preserve"> </w:t>
      </w:r>
      <w:r w:rsidRPr="00A54361">
        <w:rPr>
          <w:rFonts w:eastAsia="Times New Roman" w:cstheme="minorHAnsi"/>
        </w:rPr>
        <w:t>prim</w:t>
      </w:r>
      <w:r w:rsidRPr="00A54361">
        <w:rPr>
          <w:rFonts w:eastAsia="Times New Roman" w:cstheme="minorHAnsi"/>
          <w:spacing w:val="1"/>
        </w:rPr>
        <w:t>a</w:t>
      </w:r>
      <w:r w:rsidRPr="00A54361">
        <w:rPr>
          <w:rFonts w:eastAsia="Times New Roman" w:cstheme="minorHAnsi"/>
          <w:spacing w:val="-1"/>
        </w:rPr>
        <w:t>-</w:t>
      </w:r>
      <w:r w:rsidRPr="00A54361">
        <w:rPr>
          <w:rFonts w:eastAsia="Times New Roman" w:cstheme="minorHAnsi"/>
        </w:rPr>
        <w:t>fa</w:t>
      </w:r>
      <w:r w:rsidRPr="00A54361">
        <w:rPr>
          <w:rFonts w:eastAsia="Times New Roman" w:cstheme="minorHAnsi"/>
          <w:spacing w:val="-1"/>
        </w:rPr>
        <w:t>c</w:t>
      </w:r>
      <w:r w:rsidRPr="00A54361">
        <w:rPr>
          <w:rFonts w:eastAsia="Times New Roman" w:cstheme="minorHAnsi"/>
        </w:rPr>
        <w:t>ie d</w:t>
      </w:r>
      <w:r w:rsidRPr="00A54361">
        <w:rPr>
          <w:rFonts w:eastAsia="Times New Roman" w:cstheme="minorHAnsi"/>
          <w:spacing w:val="1"/>
        </w:rPr>
        <w:t>e</w:t>
      </w:r>
      <w:r w:rsidRPr="00A54361">
        <w:rPr>
          <w:rFonts w:eastAsia="Times New Roman" w:cstheme="minorHAnsi"/>
          <w:spacing w:val="-1"/>
        </w:rPr>
        <w:t>c</w:t>
      </w:r>
      <w:r w:rsidRPr="00A54361">
        <w:rPr>
          <w:rFonts w:eastAsia="Times New Roman" w:cstheme="minorHAnsi"/>
        </w:rPr>
        <w:t>is</w:t>
      </w:r>
      <w:r w:rsidRPr="00A54361">
        <w:rPr>
          <w:rFonts w:eastAsia="Times New Roman" w:cstheme="minorHAnsi"/>
          <w:spacing w:val="1"/>
        </w:rPr>
        <w:t>i</w:t>
      </w:r>
      <w:r w:rsidRPr="00A54361">
        <w:rPr>
          <w:rFonts w:eastAsia="Times New Roman" w:cstheme="minorHAnsi"/>
        </w:rPr>
        <w:t>on</w:t>
      </w:r>
      <w:r w:rsidRPr="00A54361">
        <w:rPr>
          <w:rFonts w:eastAsia="Times New Roman" w:cstheme="minorHAnsi"/>
          <w:spacing w:val="1"/>
        </w:rPr>
        <w:t xml:space="preserve"> </w:t>
      </w:r>
      <w:r w:rsidRPr="00A54361">
        <w:rPr>
          <w:rFonts w:eastAsia="Times New Roman" w:cstheme="minorHAnsi"/>
        </w:rPr>
        <w:t>for</w:t>
      </w:r>
      <w:r w:rsidRPr="00A54361">
        <w:rPr>
          <w:rFonts w:eastAsia="Times New Roman" w:cstheme="minorHAnsi"/>
          <w:spacing w:val="2"/>
        </w:rPr>
        <w:t xml:space="preserve"> </w:t>
      </w:r>
      <w:r w:rsidRPr="00A54361">
        <w:rPr>
          <w:rFonts w:eastAsia="Times New Roman" w:cstheme="minorHAnsi"/>
          <w:spacing w:val="-2"/>
        </w:rPr>
        <w:t>B</w:t>
      </w:r>
      <w:r w:rsidRPr="00A54361">
        <w:rPr>
          <w:rFonts w:eastAsia="Times New Roman" w:cstheme="minorHAnsi"/>
          <w:spacing w:val="-1"/>
        </w:rPr>
        <w:t>a</w:t>
      </w:r>
      <w:r w:rsidRPr="00A54361">
        <w:rPr>
          <w:rFonts w:eastAsia="Times New Roman" w:cstheme="minorHAnsi"/>
        </w:rPr>
        <w:t>n</w:t>
      </w:r>
      <w:r w:rsidRPr="00A54361">
        <w:rPr>
          <w:rFonts w:eastAsia="Times New Roman" w:cstheme="minorHAnsi"/>
          <w:spacing w:val="2"/>
        </w:rPr>
        <w:t>k-</w:t>
      </w:r>
      <w:r w:rsidRPr="00A54361">
        <w:rPr>
          <w:rFonts w:eastAsia="Times New Roman" w:cstheme="minorHAnsi"/>
        </w:rPr>
        <w:t>wide b</w:t>
      </w:r>
      <w:r w:rsidRPr="00A54361">
        <w:rPr>
          <w:rFonts w:eastAsia="Times New Roman" w:cstheme="minorHAnsi"/>
          <w:spacing w:val="-1"/>
        </w:rPr>
        <w:t>a</w:t>
      </w:r>
      <w:r w:rsidRPr="00A54361">
        <w:rPr>
          <w:rFonts w:eastAsia="Times New Roman" w:cstheme="minorHAnsi"/>
        </w:rPr>
        <w:t>nni</w:t>
      </w:r>
      <w:r w:rsidRPr="00A54361">
        <w:rPr>
          <w:rFonts w:eastAsia="Times New Roman" w:cstheme="minorHAnsi"/>
          <w:spacing w:val="3"/>
        </w:rPr>
        <w:t>n</w:t>
      </w:r>
      <w:r w:rsidRPr="00A54361">
        <w:rPr>
          <w:rFonts w:eastAsia="Times New Roman" w:cstheme="minorHAnsi"/>
        </w:rPr>
        <w:t>g h</w:t>
      </w:r>
      <w:r w:rsidRPr="00A54361">
        <w:rPr>
          <w:rFonts w:eastAsia="Times New Roman" w:cstheme="minorHAnsi"/>
          <w:spacing w:val="-1"/>
        </w:rPr>
        <w:t>a</w:t>
      </w:r>
      <w:r w:rsidRPr="00A54361">
        <w:rPr>
          <w:rFonts w:eastAsia="Times New Roman" w:cstheme="minorHAnsi"/>
        </w:rPr>
        <w:t>s</w:t>
      </w:r>
      <w:r w:rsidRPr="00A54361">
        <w:rPr>
          <w:rFonts w:eastAsia="Times New Roman" w:cstheme="minorHAnsi"/>
          <w:spacing w:val="5"/>
        </w:rPr>
        <w:t xml:space="preserve"> </w:t>
      </w:r>
      <w:r w:rsidRPr="00A54361">
        <w:rPr>
          <w:rFonts w:eastAsia="Times New Roman" w:cstheme="minorHAnsi"/>
        </w:rPr>
        <w:t>b</w:t>
      </w:r>
      <w:r w:rsidRPr="00A54361">
        <w:rPr>
          <w:rFonts w:eastAsia="Times New Roman" w:cstheme="minorHAnsi"/>
          <w:spacing w:val="-1"/>
        </w:rPr>
        <w:t>ee</w:t>
      </w:r>
      <w:r w:rsidRPr="00A54361">
        <w:rPr>
          <w:rFonts w:eastAsia="Times New Roman" w:cstheme="minorHAnsi"/>
        </w:rPr>
        <w:t>n</w:t>
      </w:r>
      <w:r w:rsidRPr="00A54361">
        <w:rPr>
          <w:rFonts w:eastAsia="Times New Roman" w:cstheme="minorHAnsi"/>
          <w:spacing w:val="4"/>
        </w:rPr>
        <w:t xml:space="preserve"> </w:t>
      </w:r>
      <w:r w:rsidRPr="00A54361">
        <w:rPr>
          <w:rFonts w:eastAsia="Times New Roman" w:cstheme="minorHAnsi"/>
        </w:rPr>
        <w:t>ta</w:t>
      </w:r>
      <w:r w:rsidRPr="00A54361">
        <w:rPr>
          <w:rFonts w:eastAsia="Times New Roman" w:cstheme="minorHAnsi"/>
          <w:spacing w:val="2"/>
        </w:rPr>
        <w:t>k</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4"/>
        </w:rPr>
        <w:t xml:space="preserve"> </w:t>
      </w:r>
      <w:r w:rsidRPr="00A54361">
        <w:rPr>
          <w:rFonts w:eastAsia="Times New Roman" w:cstheme="minorHAnsi"/>
        </w:rPr>
        <w:t>ED</w:t>
      </w:r>
      <w:r w:rsidRPr="00A54361">
        <w:rPr>
          <w:rFonts w:eastAsia="Times New Roman" w:cstheme="minorHAnsi"/>
          <w:spacing w:val="4"/>
        </w:rPr>
        <w:t xml:space="preserve"> </w:t>
      </w:r>
      <w:r w:rsidRPr="00A54361">
        <w:rPr>
          <w:rFonts w:eastAsia="Times New Roman" w:cstheme="minorHAnsi"/>
        </w:rPr>
        <w:t>(</w:t>
      </w:r>
      <w:r w:rsidR="00917777" w:rsidRPr="00A54361">
        <w:rPr>
          <w:rFonts w:eastAsia="Times New Roman" w:cstheme="minorHAnsi"/>
          <w:spacing w:val="1"/>
        </w:rPr>
        <w:t>BSD</w:t>
      </w:r>
      <w:r w:rsidRPr="00A54361">
        <w:rPr>
          <w:rFonts w:eastAsia="Times New Roman" w:cstheme="minorHAnsi"/>
        </w:rPr>
        <w:t>)</w:t>
      </w:r>
      <w:r w:rsidRPr="00A54361">
        <w:rPr>
          <w:rFonts w:eastAsia="Times New Roman" w:cstheme="minorHAnsi"/>
          <w:spacing w:val="3"/>
        </w:rPr>
        <w:t xml:space="preserve"> </w:t>
      </w:r>
      <w:r w:rsidRPr="00A54361">
        <w:rPr>
          <w:rFonts w:eastAsia="Times New Roman" w:cstheme="minorHAnsi"/>
        </w:rPr>
        <w:t>sh</w:t>
      </w:r>
      <w:r w:rsidRPr="00A54361">
        <w:rPr>
          <w:rFonts w:eastAsia="Times New Roman" w:cstheme="minorHAnsi"/>
          <w:spacing w:val="-1"/>
        </w:rPr>
        <w:t>a</w:t>
      </w:r>
      <w:r w:rsidRPr="00A54361">
        <w:rPr>
          <w:rFonts w:eastAsia="Times New Roman" w:cstheme="minorHAnsi"/>
        </w:rPr>
        <w:t>ll</w:t>
      </w:r>
      <w:r w:rsidRPr="00A54361">
        <w:rPr>
          <w:rFonts w:eastAsia="Times New Roman" w:cstheme="minorHAnsi"/>
          <w:spacing w:val="5"/>
        </w:rPr>
        <w:t xml:space="preserve"> </w:t>
      </w:r>
      <w:r w:rsidRPr="00A54361">
        <w:rPr>
          <w:rFonts w:eastAsia="Times New Roman" w:cstheme="minorHAnsi"/>
        </w:rPr>
        <w:t>is</w:t>
      </w:r>
      <w:r w:rsidRPr="00A54361">
        <w:rPr>
          <w:rFonts w:eastAsia="Times New Roman" w:cstheme="minorHAnsi"/>
          <w:spacing w:val="1"/>
        </w:rPr>
        <w:t>s</w:t>
      </w:r>
      <w:r w:rsidRPr="00A54361">
        <w:rPr>
          <w:rFonts w:eastAsia="Times New Roman" w:cstheme="minorHAnsi"/>
        </w:rPr>
        <w:t>ue</w:t>
      </w:r>
      <w:r w:rsidRPr="00A54361">
        <w:rPr>
          <w:rFonts w:eastAsia="Times New Roman" w:cstheme="minorHAnsi"/>
          <w:spacing w:val="3"/>
        </w:rPr>
        <w:t xml:space="preserve"> </w:t>
      </w:r>
      <w:r w:rsidRPr="00A54361">
        <w:rPr>
          <w:rFonts w:eastAsia="Times New Roman" w:cstheme="minorHAnsi"/>
        </w:rPr>
        <w:t>a</w:t>
      </w:r>
      <w:r w:rsidRPr="00A54361">
        <w:rPr>
          <w:rFonts w:eastAsia="Times New Roman" w:cstheme="minorHAnsi"/>
          <w:spacing w:val="3"/>
        </w:rPr>
        <w:t xml:space="preserve"> </w:t>
      </w:r>
      <w:r w:rsidRPr="00A54361">
        <w:rPr>
          <w:rFonts w:eastAsia="Times New Roman" w:cstheme="minorHAnsi"/>
        </w:rPr>
        <w:t>sho</w:t>
      </w:r>
      <w:r w:rsidRPr="00A54361">
        <w:rPr>
          <w:rFonts w:eastAsia="Times New Roman" w:cstheme="minorHAnsi"/>
          <w:spacing w:val="3"/>
        </w:rPr>
        <w:t>w</w:t>
      </w:r>
      <w:r w:rsidRPr="00A54361">
        <w:rPr>
          <w:rFonts w:eastAsia="Times New Roman" w:cstheme="minorHAnsi"/>
          <w:spacing w:val="2"/>
        </w:rPr>
        <w:t>-</w:t>
      </w:r>
      <w:r w:rsidRPr="00A54361">
        <w:rPr>
          <w:rFonts w:eastAsia="Times New Roman" w:cstheme="minorHAnsi"/>
          <w:spacing w:val="-1"/>
        </w:rPr>
        <w:t>c</w:t>
      </w:r>
      <w:r w:rsidRPr="00A54361">
        <w:rPr>
          <w:rFonts w:eastAsia="Times New Roman" w:cstheme="minorHAnsi"/>
          <w:spacing w:val="1"/>
        </w:rPr>
        <w:t>a</w:t>
      </w:r>
      <w:r w:rsidRPr="00A54361">
        <w:rPr>
          <w:rFonts w:eastAsia="Times New Roman" w:cstheme="minorHAnsi"/>
        </w:rPr>
        <w:t>use</w:t>
      </w:r>
      <w:r w:rsidRPr="00A54361">
        <w:rPr>
          <w:rFonts w:eastAsia="Times New Roman" w:cstheme="minorHAnsi"/>
          <w:spacing w:val="4"/>
        </w:rPr>
        <w:t xml:space="preserve"> </w:t>
      </w:r>
      <w:r w:rsidRPr="00A54361">
        <w:rPr>
          <w:rFonts w:eastAsia="Times New Roman" w:cstheme="minorHAnsi"/>
        </w:rPr>
        <w:t>not</w:t>
      </w:r>
      <w:r w:rsidRPr="00A54361">
        <w:rPr>
          <w:rFonts w:eastAsia="Times New Roman" w:cstheme="minorHAnsi"/>
          <w:spacing w:val="1"/>
        </w:rPr>
        <w:t>i</w:t>
      </w:r>
      <w:r w:rsidRPr="00A54361">
        <w:rPr>
          <w:rFonts w:eastAsia="Times New Roman" w:cstheme="minorHAnsi"/>
          <w:spacing w:val="-1"/>
        </w:rPr>
        <w:t>c</w:t>
      </w:r>
      <w:r w:rsidRPr="00A54361">
        <w:rPr>
          <w:rFonts w:eastAsia="Times New Roman" w:cstheme="minorHAnsi"/>
        </w:rPr>
        <w:t>e</w:t>
      </w:r>
      <w:r w:rsidRPr="00A54361">
        <w:rPr>
          <w:rFonts w:eastAsia="Times New Roman" w:cstheme="minorHAnsi"/>
          <w:spacing w:val="3"/>
        </w:rPr>
        <w:t xml:space="preserve"> </w:t>
      </w:r>
      <w:r w:rsidRPr="00A54361">
        <w:rPr>
          <w:rFonts w:eastAsia="Times New Roman" w:cstheme="minorHAnsi"/>
        </w:rPr>
        <w:t>to</w:t>
      </w:r>
      <w:r w:rsidRPr="00A54361">
        <w:rPr>
          <w:rFonts w:eastAsia="Times New Roman" w:cstheme="minorHAnsi"/>
          <w:spacing w:val="5"/>
        </w:rPr>
        <w:t xml:space="preserve"> </w:t>
      </w:r>
      <w:r w:rsidRPr="00A54361">
        <w:rPr>
          <w:rFonts w:eastAsia="Times New Roman" w:cstheme="minorHAnsi"/>
        </w:rPr>
        <w:t>the</w:t>
      </w:r>
      <w:r w:rsidRPr="00A54361">
        <w:rPr>
          <w:rFonts w:eastAsia="Times New Roman" w:cstheme="minorHAnsi"/>
          <w:spacing w:val="4"/>
        </w:rPr>
        <w:t xml:space="preserve"> </w:t>
      </w:r>
      <w:r w:rsidRPr="00A54361">
        <w:rPr>
          <w:rFonts w:eastAsia="Times New Roman" w:cstheme="minorHAnsi"/>
          <w:spacing w:val="1"/>
        </w:rPr>
        <w:t>a</w:t>
      </w:r>
      <w:r w:rsidRPr="00A54361">
        <w:rPr>
          <w:rFonts w:eastAsia="Times New Roman" w:cstheme="minorHAnsi"/>
          <w:spacing w:val="-2"/>
        </w:rPr>
        <w:t>g</w:t>
      </w:r>
      <w:r w:rsidRPr="00A54361">
        <w:rPr>
          <w:rFonts w:eastAsia="Times New Roman" w:cstheme="minorHAnsi"/>
          <w:spacing w:val="-1"/>
        </w:rPr>
        <w:t>e</w:t>
      </w:r>
      <w:r w:rsidRPr="00A54361">
        <w:rPr>
          <w:rFonts w:eastAsia="Times New Roman" w:cstheme="minorHAnsi"/>
          <w:spacing w:val="2"/>
        </w:rPr>
        <w:t>n</w:t>
      </w:r>
      <w:r w:rsidRPr="00A54361">
        <w:rPr>
          <w:rFonts w:eastAsia="Times New Roman" w:cstheme="minorHAnsi"/>
          <w:spacing w:val="4"/>
        </w:rPr>
        <w:t>c</w:t>
      </w:r>
      <w:r w:rsidRPr="00A54361">
        <w:rPr>
          <w:rFonts w:eastAsia="Times New Roman" w:cstheme="minorHAnsi"/>
        </w:rPr>
        <w:t>y</w:t>
      </w:r>
      <w:r w:rsidRPr="00A54361">
        <w:rPr>
          <w:rFonts w:eastAsia="Times New Roman" w:cstheme="minorHAnsi"/>
          <w:spacing w:val="2"/>
        </w:rPr>
        <w:t xml:space="preserve"> </w:t>
      </w:r>
      <w:r w:rsidRPr="00A54361">
        <w:rPr>
          <w:rFonts w:eastAsia="Times New Roman" w:cstheme="minorHAnsi"/>
          <w:spacing w:val="-1"/>
        </w:rPr>
        <w:t>c</w:t>
      </w:r>
      <w:r w:rsidRPr="00A54361">
        <w:rPr>
          <w:rFonts w:eastAsia="Times New Roman" w:cstheme="minorHAnsi"/>
        </w:rPr>
        <w:t>onv</w:t>
      </w:r>
      <w:r w:rsidRPr="00A54361">
        <w:rPr>
          <w:rFonts w:eastAsia="Times New Roman" w:cstheme="minorHAnsi"/>
          <w:spacing w:val="4"/>
        </w:rPr>
        <w:t>e</w:t>
      </w:r>
      <w:r w:rsidRPr="00A54361">
        <w:rPr>
          <w:rFonts w:eastAsia="Times New Roman" w:cstheme="minorHAnsi"/>
          <w:spacing w:val="-5"/>
        </w:rPr>
        <w:t>y</w:t>
      </w:r>
      <w:r w:rsidRPr="00A54361">
        <w:rPr>
          <w:rFonts w:eastAsia="Times New Roman" w:cstheme="minorHAnsi"/>
        </w:rPr>
        <w:t>i</w:t>
      </w:r>
      <w:r w:rsidRPr="00A54361">
        <w:rPr>
          <w:rFonts w:eastAsia="Times New Roman" w:cstheme="minorHAnsi"/>
          <w:spacing w:val="3"/>
        </w:rPr>
        <w:t>n</w:t>
      </w:r>
      <w:r w:rsidRPr="00A54361">
        <w:rPr>
          <w:rFonts w:eastAsia="Times New Roman" w:cstheme="minorHAnsi"/>
        </w:rPr>
        <w:t>g</w:t>
      </w:r>
      <w:r w:rsidRPr="00A54361">
        <w:rPr>
          <w:rFonts w:eastAsia="Times New Roman" w:cstheme="minorHAnsi"/>
          <w:spacing w:val="2"/>
        </w:rPr>
        <w:t xml:space="preserve"> </w:t>
      </w:r>
      <w:r w:rsidRPr="00A54361">
        <w:rPr>
          <w:rFonts w:eastAsia="Times New Roman" w:cstheme="minorHAnsi"/>
        </w:rPr>
        <w:t>w</w:t>
      </w:r>
      <w:r w:rsidRPr="00A54361">
        <w:rPr>
          <w:rFonts w:eastAsia="Times New Roman" w:cstheme="minorHAnsi"/>
          <w:spacing w:val="4"/>
        </w:rPr>
        <w:t>h</w:t>
      </w:r>
      <w:r w:rsidRPr="00A54361">
        <w:rPr>
          <w:rFonts w:eastAsia="Times New Roman" w:cstheme="minorHAnsi"/>
        </w:rPr>
        <w:t>y it should not be b</w:t>
      </w:r>
      <w:r w:rsidRPr="00A54361">
        <w:rPr>
          <w:rFonts w:eastAsia="Times New Roman" w:cstheme="minorHAnsi"/>
          <w:spacing w:val="-1"/>
        </w:rPr>
        <w:t>a</w:t>
      </w:r>
      <w:r w:rsidRPr="00A54361">
        <w:rPr>
          <w:rFonts w:eastAsia="Times New Roman" w:cstheme="minorHAnsi"/>
        </w:rPr>
        <w:t>nn</w:t>
      </w:r>
      <w:r w:rsidRPr="00A54361">
        <w:rPr>
          <w:rFonts w:eastAsia="Times New Roman" w:cstheme="minorHAnsi"/>
          <w:spacing w:val="-1"/>
        </w:rPr>
        <w:t>e</w:t>
      </w:r>
      <w:r w:rsidRPr="00A54361">
        <w:rPr>
          <w:rFonts w:eastAsia="Times New Roman" w:cstheme="minorHAnsi"/>
        </w:rPr>
        <w:t>d th</w:t>
      </w:r>
      <w:r w:rsidRPr="00A54361">
        <w:rPr>
          <w:rFonts w:eastAsia="Times New Roman" w:cstheme="minorHAnsi"/>
          <w:spacing w:val="2"/>
        </w:rPr>
        <w:t>r</w:t>
      </w:r>
      <w:r w:rsidRPr="00A54361">
        <w:rPr>
          <w:rFonts w:eastAsia="Times New Roman" w:cstheme="minorHAnsi"/>
        </w:rPr>
        <w:t>ou</w:t>
      </w:r>
      <w:r w:rsidRPr="00A54361">
        <w:rPr>
          <w:rFonts w:eastAsia="Times New Roman" w:cstheme="minorHAnsi"/>
          <w:spacing w:val="-2"/>
        </w:rPr>
        <w:t>g</w:t>
      </w:r>
      <w:r w:rsidRPr="00A54361">
        <w:rPr>
          <w:rFonts w:eastAsia="Times New Roman" w:cstheme="minorHAnsi"/>
        </w:rPr>
        <w:t xml:space="preserve">hout </w:t>
      </w:r>
      <w:r w:rsidRPr="00A54361">
        <w:rPr>
          <w:rFonts w:eastAsia="Times New Roman" w:cstheme="minorHAnsi"/>
          <w:spacing w:val="1"/>
        </w:rPr>
        <w:t>C</w:t>
      </w:r>
      <w:r w:rsidRPr="00A54361">
        <w:rPr>
          <w:rFonts w:eastAsia="Times New Roman" w:cstheme="minorHAnsi"/>
        </w:rPr>
        <w:t>E</w:t>
      </w:r>
      <w:r w:rsidRPr="00A54361">
        <w:rPr>
          <w:rFonts w:eastAsia="Times New Roman" w:cstheme="minorHAnsi"/>
          <w:spacing w:val="-1"/>
        </w:rPr>
        <w:t>N</w:t>
      </w:r>
      <w:r w:rsidRPr="00A54361">
        <w:rPr>
          <w:rFonts w:eastAsia="Times New Roman" w:cstheme="minorHAnsi"/>
        </w:rPr>
        <w:t>TR</w:t>
      </w:r>
      <w:r w:rsidRPr="00A54361">
        <w:rPr>
          <w:rFonts w:eastAsia="Times New Roman" w:cstheme="minorHAnsi"/>
          <w:spacing w:val="2"/>
        </w:rPr>
        <w:t>A</w:t>
      </w:r>
      <w:r w:rsidRPr="00A54361">
        <w:rPr>
          <w:rFonts w:eastAsia="Times New Roman" w:cstheme="minorHAnsi"/>
        </w:rPr>
        <w:t xml:space="preserve">L </w:t>
      </w:r>
      <w:r w:rsidRPr="00A54361">
        <w:rPr>
          <w:rFonts w:eastAsia="Times New Roman" w:cstheme="minorHAnsi"/>
          <w:spacing w:val="-2"/>
        </w:rPr>
        <w:t>B</w:t>
      </w:r>
      <w:r w:rsidRPr="00A54361">
        <w:rPr>
          <w:rFonts w:eastAsia="Times New Roman" w:cstheme="minorHAnsi"/>
          <w:spacing w:val="2"/>
        </w:rPr>
        <w:t>A</w:t>
      </w:r>
      <w:r w:rsidRPr="00A54361">
        <w:rPr>
          <w:rFonts w:eastAsia="Times New Roman" w:cstheme="minorHAnsi"/>
        </w:rPr>
        <w:t>NK</w:t>
      </w:r>
      <w:r w:rsidRPr="00A54361">
        <w:rPr>
          <w:rFonts w:eastAsia="Times New Roman" w:cstheme="minorHAnsi"/>
          <w:spacing w:val="-1"/>
        </w:rPr>
        <w:t xml:space="preserve"> </w:t>
      </w:r>
      <w:r w:rsidRPr="00A54361">
        <w:rPr>
          <w:rFonts w:eastAsia="Times New Roman" w:cstheme="minorHAnsi"/>
        </w:rPr>
        <w:t>OF</w:t>
      </w:r>
      <w:r w:rsidRPr="00A54361">
        <w:rPr>
          <w:rFonts w:eastAsia="Times New Roman" w:cstheme="minorHAnsi"/>
          <w:spacing w:val="3"/>
        </w:rPr>
        <w:t xml:space="preserve"> </w:t>
      </w:r>
      <w:r w:rsidRPr="00A54361">
        <w:rPr>
          <w:rFonts w:eastAsia="Times New Roman" w:cstheme="minorHAnsi"/>
          <w:spacing w:val="-3"/>
        </w:rPr>
        <w:t>I</w:t>
      </w:r>
      <w:r w:rsidRPr="00A54361">
        <w:rPr>
          <w:rFonts w:eastAsia="Times New Roman" w:cstheme="minorHAnsi"/>
        </w:rPr>
        <w:t>N</w:t>
      </w:r>
      <w:r w:rsidRPr="00A54361">
        <w:rPr>
          <w:rFonts w:eastAsia="Times New Roman" w:cstheme="minorHAnsi"/>
          <w:spacing w:val="1"/>
        </w:rPr>
        <w:t>D</w:t>
      </w:r>
      <w:r w:rsidRPr="00A54361">
        <w:rPr>
          <w:rFonts w:eastAsia="Times New Roman" w:cstheme="minorHAnsi"/>
          <w:spacing w:val="-3"/>
        </w:rPr>
        <w:t>I</w:t>
      </w:r>
      <w:r w:rsidRPr="00A54361">
        <w:rPr>
          <w:rFonts w:eastAsia="Times New Roman" w:cstheme="minorHAnsi"/>
          <w:spacing w:val="2"/>
        </w:rPr>
        <w:t>A</w:t>
      </w:r>
      <w:r w:rsidRPr="00A54361">
        <w:rPr>
          <w:rFonts w:eastAsia="Times New Roman" w:cstheme="minorHAnsi"/>
        </w:rPr>
        <w:t>.</w:t>
      </w:r>
    </w:p>
    <w:p w14:paraId="0DEEF993" w14:textId="0E2C2E98" w:rsidR="0054549F" w:rsidRPr="00A54361" w:rsidRDefault="0054549F" w:rsidP="00A54361">
      <w:pPr>
        <w:ind w:right="78"/>
        <w:jc w:val="both"/>
        <w:rPr>
          <w:rFonts w:cstheme="minorHAnsi"/>
        </w:rPr>
      </w:pPr>
      <w:r w:rsidRPr="00A54361">
        <w:rPr>
          <w:rFonts w:eastAsia="Times New Roman" w:cstheme="minorHAnsi"/>
        </w:rPr>
        <w:t>A</w:t>
      </w:r>
      <w:r w:rsidRPr="00A54361">
        <w:rPr>
          <w:rFonts w:eastAsia="Times New Roman" w:cstheme="minorHAnsi"/>
          <w:spacing w:val="-1"/>
        </w:rPr>
        <w:t>f</w:t>
      </w:r>
      <w:r w:rsidRPr="00A54361">
        <w:rPr>
          <w:rFonts w:eastAsia="Times New Roman" w:cstheme="minorHAnsi"/>
        </w:rPr>
        <w:t>ter</w:t>
      </w:r>
      <w:r w:rsidRPr="00A54361">
        <w:rPr>
          <w:rFonts w:eastAsia="Times New Roman" w:cstheme="minorHAnsi"/>
          <w:spacing w:val="6"/>
        </w:rPr>
        <w:t xml:space="preserve"> </w:t>
      </w:r>
      <w:r w:rsidRPr="00A54361">
        <w:rPr>
          <w:rFonts w:eastAsia="Times New Roman" w:cstheme="minorHAnsi"/>
          <w:spacing w:val="-1"/>
        </w:rPr>
        <w:t>c</w:t>
      </w:r>
      <w:r w:rsidRPr="00A54361">
        <w:rPr>
          <w:rFonts w:eastAsia="Times New Roman" w:cstheme="minorHAnsi"/>
        </w:rPr>
        <w:t>onsid</w:t>
      </w:r>
      <w:r w:rsidRPr="00A54361">
        <w:rPr>
          <w:rFonts w:eastAsia="Times New Roman" w:cstheme="minorHAnsi"/>
          <w:spacing w:val="-1"/>
        </w:rPr>
        <w:t>e</w:t>
      </w:r>
      <w:r w:rsidRPr="00A54361">
        <w:rPr>
          <w:rFonts w:eastAsia="Times New Roman" w:cstheme="minorHAnsi"/>
        </w:rPr>
        <w:t>ri</w:t>
      </w:r>
      <w:r w:rsidRPr="00A54361">
        <w:rPr>
          <w:rFonts w:eastAsia="Times New Roman" w:cstheme="minorHAnsi"/>
          <w:spacing w:val="2"/>
        </w:rPr>
        <w:t>n</w:t>
      </w:r>
      <w:r w:rsidRPr="00A54361">
        <w:rPr>
          <w:rFonts w:eastAsia="Times New Roman" w:cstheme="minorHAnsi"/>
        </w:rPr>
        <w:t>g</w:t>
      </w:r>
      <w:r w:rsidRPr="00A54361">
        <w:rPr>
          <w:rFonts w:eastAsia="Times New Roman" w:cstheme="minorHAnsi"/>
          <w:spacing w:val="2"/>
        </w:rPr>
        <w:t xml:space="preserve"> </w:t>
      </w:r>
      <w:r w:rsidRPr="00A54361">
        <w:rPr>
          <w:rFonts w:eastAsia="Times New Roman" w:cstheme="minorHAnsi"/>
        </w:rPr>
        <w:t>the</w:t>
      </w:r>
      <w:r w:rsidRPr="00A54361">
        <w:rPr>
          <w:rFonts w:eastAsia="Times New Roman" w:cstheme="minorHAnsi"/>
          <w:spacing w:val="6"/>
        </w:rPr>
        <w:t xml:space="preserve"> </w:t>
      </w:r>
      <w:r w:rsidRPr="00A54361">
        <w:rPr>
          <w:rFonts w:eastAsia="Times New Roman" w:cstheme="minorHAnsi"/>
        </w:rPr>
        <w:t>r</w:t>
      </w:r>
      <w:r w:rsidRPr="00A54361">
        <w:rPr>
          <w:rFonts w:eastAsia="Times New Roman" w:cstheme="minorHAnsi"/>
          <w:spacing w:val="-2"/>
        </w:rPr>
        <w:t>e</w:t>
      </w:r>
      <w:r w:rsidRPr="00A54361">
        <w:rPr>
          <w:rFonts w:eastAsia="Times New Roman" w:cstheme="minorHAnsi"/>
          <w:spacing w:val="2"/>
        </w:rPr>
        <w:t>p</w:t>
      </w:r>
      <w:r w:rsidRPr="00A54361">
        <w:rPr>
          <w:rFonts w:eastAsia="Times New Roman" w:cstheme="minorHAnsi"/>
          <w:spacing w:val="3"/>
        </w:rPr>
        <w:t>l</w:t>
      </w:r>
      <w:r w:rsidRPr="00A54361">
        <w:rPr>
          <w:rFonts w:eastAsia="Times New Roman" w:cstheme="minorHAnsi"/>
        </w:rPr>
        <w:t>y of</w:t>
      </w:r>
      <w:r w:rsidRPr="00A54361">
        <w:rPr>
          <w:rFonts w:eastAsia="Times New Roman" w:cstheme="minorHAnsi"/>
          <w:spacing w:val="6"/>
        </w:rPr>
        <w:t xml:space="preserve"> </w:t>
      </w:r>
      <w:r w:rsidRPr="00A54361">
        <w:rPr>
          <w:rFonts w:eastAsia="Times New Roman" w:cstheme="minorHAnsi"/>
        </w:rPr>
        <w:t>the</w:t>
      </w:r>
      <w:r w:rsidRPr="00A54361">
        <w:rPr>
          <w:rFonts w:eastAsia="Times New Roman" w:cstheme="minorHAnsi"/>
          <w:spacing w:val="4"/>
        </w:rPr>
        <w:t xml:space="preserve"> </w:t>
      </w:r>
      <w:r w:rsidRPr="00A54361">
        <w:rPr>
          <w:rFonts w:eastAsia="Times New Roman" w:cstheme="minorHAnsi"/>
          <w:spacing w:val="2"/>
        </w:rPr>
        <w:t>A</w:t>
      </w:r>
      <w:r w:rsidRPr="00A54361">
        <w:rPr>
          <w:rFonts w:eastAsia="Times New Roman" w:cstheme="minorHAnsi"/>
        </w:rPr>
        <w:t>g</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4"/>
        </w:rPr>
        <w:t>c</w:t>
      </w:r>
      <w:r w:rsidRPr="00A54361">
        <w:rPr>
          <w:rFonts w:eastAsia="Times New Roman" w:cstheme="minorHAnsi"/>
        </w:rPr>
        <w:t>y</w:t>
      </w:r>
      <w:r w:rsidRPr="00A54361">
        <w:rPr>
          <w:rFonts w:eastAsia="Times New Roman" w:cstheme="minorHAnsi"/>
          <w:spacing w:val="2"/>
        </w:rPr>
        <w:t xml:space="preserve"> </w:t>
      </w:r>
      <w:r w:rsidRPr="00A54361">
        <w:rPr>
          <w:rFonts w:eastAsia="Times New Roman" w:cstheme="minorHAnsi"/>
          <w:spacing w:val="-1"/>
        </w:rPr>
        <w:t>a</w:t>
      </w:r>
      <w:r w:rsidRPr="00A54361">
        <w:rPr>
          <w:rFonts w:eastAsia="Times New Roman" w:cstheme="minorHAnsi"/>
        </w:rPr>
        <w:t>nd</w:t>
      </w:r>
      <w:r w:rsidRPr="00A54361">
        <w:rPr>
          <w:rFonts w:eastAsia="Times New Roman" w:cstheme="minorHAnsi"/>
          <w:spacing w:val="5"/>
        </w:rPr>
        <w:t xml:space="preserve"> </w:t>
      </w:r>
      <w:r w:rsidRPr="00A54361">
        <w:rPr>
          <w:rFonts w:eastAsia="Times New Roman" w:cstheme="minorHAnsi"/>
        </w:rPr>
        <w:t>ot</w:t>
      </w:r>
      <w:r w:rsidRPr="00A54361">
        <w:rPr>
          <w:rFonts w:eastAsia="Times New Roman" w:cstheme="minorHAnsi"/>
          <w:spacing w:val="3"/>
        </w:rPr>
        <w:t>h</w:t>
      </w:r>
      <w:r w:rsidRPr="00A54361">
        <w:rPr>
          <w:rFonts w:eastAsia="Times New Roman" w:cstheme="minorHAnsi"/>
          <w:spacing w:val="4"/>
        </w:rPr>
        <w:t>e</w:t>
      </w:r>
      <w:r w:rsidRPr="00A54361">
        <w:rPr>
          <w:rFonts w:eastAsia="Times New Roman" w:cstheme="minorHAnsi"/>
        </w:rPr>
        <w:t>r</w:t>
      </w:r>
      <w:r w:rsidRPr="00A54361">
        <w:rPr>
          <w:rFonts w:eastAsia="Times New Roman" w:cstheme="minorHAnsi"/>
          <w:spacing w:val="4"/>
        </w:rPr>
        <w:t xml:space="preserve"> </w:t>
      </w:r>
      <w:r w:rsidRPr="00A54361">
        <w:rPr>
          <w:rFonts w:eastAsia="Times New Roman" w:cstheme="minorHAnsi"/>
          <w:spacing w:val="-1"/>
        </w:rPr>
        <w:t>c</w:t>
      </w:r>
      <w:r w:rsidRPr="00A54361">
        <w:rPr>
          <w:rFonts w:eastAsia="Times New Roman" w:cstheme="minorHAnsi"/>
        </w:rPr>
        <w:t>i</w:t>
      </w:r>
      <w:r w:rsidRPr="00A54361">
        <w:rPr>
          <w:rFonts w:eastAsia="Times New Roman" w:cstheme="minorHAnsi"/>
          <w:spacing w:val="2"/>
        </w:rPr>
        <w:t>r</w:t>
      </w:r>
      <w:r w:rsidRPr="00A54361">
        <w:rPr>
          <w:rFonts w:eastAsia="Times New Roman" w:cstheme="minorHAnsi"/>
          <w:spacing w:val="-1"/>
        </w:rPr>
        <w:t>c</w:t>
      </w:r>
      <w:r w:rsidRPr="00A54361">
        <w:rPr>
          <w:rFonts w:eastAsia="Times New Roman" w:cstheme="minorHAnsi"/>
        </w:rPr>
        <w:t>ums</w:t>
      </w:r>
      <w:r w:rsidRPr="00A54361">
        <w:rPr>
          <w:rFonts w:eastAsia="Times New Roman" w:cstheme="minorHAnsi"/>
          <w:spacing w:val="1"/>
        </w:rPr>
        <w:t>t</w:t>
      </w:r>
      <w:r w:rsidRPr="00A54361">
        <w:rPr>
          <w:rFonts w:eastAsia="Times New Roman" w:cstheme="minorHAnsi"/>
          <w:spacing w:val="-1"/>
        </w:rPr>
        <w:t>a</w:t>
      </w:r>
      <w:r w:rsidRPr="00A54361">
        <w:rPr>
          <w:rFonts w:eastAsia="Times New Roman" w:cstheme="minorHAnsi"/>
        </w:rPr>
        <w:t>n</w:t>
      </w:r>
      <w:r w:rsidRPr="00A54361">
        <w:rPr>
          <w:rFonts w:eastAsia="Times New Roman" w:cstheme="minorHAnsi"/>
          <w:spacing w:val="1"/>
        </w:rPr>
        <w:t>c</w:t>
      </w:r>
      <w:r w:rsidRPr="00A54361">
        <w:rPr>
          <w:rFonts w:eastAsia="Times New Roman" w:cstheme="minorHAnsi"/>
          <w:spacing w:val="-1"/>
        </w:rPr>
        <w:t>e</w:t>
      </w:r>
      <w:r w:rsidRPr="00A54361">
        <w:rPr>
          <w:rFonts w:eastAsia="Times New Roman" w:cstheme="minorHAnsi"/>
        </w:rPr>
        <w:t>s</w:t>
      </w:r>
      <w:r w:rsidRPr="00A54361">
        <w:rPr>
          <w:rFonts w:eastAsia="Times New Roman" w:cstheme="minorHAnsi"/>
          <w:spacing w:val="5"/>
        </w:rPr>
        <w:t xml:space="preserve"> </w:t>
      </w:r>
      <w:r w:rsidRPr="00A54361">
        <w:rPr>
          <w:rFonts w:eastAsia="Times New Roman" w:cstheme="minorHAnsi"/>
          <w:spacing w:val="-1"/>
        </w:rPr>
        <w:t>a</w:t>
      </w:r>
      <w:r w:rsidRPr="00A54361">
        <w:rPr>
          <w:rFonts w:eastAsia="Times New Roman" w:cstheme="minorHAnsi"/>
        </w:rPr>
        <w:t>nd</w:t>
      </w:r>
      <w:r w:rsidRPr="00A54361">
        <w:rPr>
          <w:rFonts w:eastAsia="Times New Roman" w:cstheme="minorHAnsi"/>
          <w:spacing w:val="7"/>
        </w:rPr>
        <w:t xml:space="preserve"> </w:t>
      </w:r>
      <w:r w:rsidRPr="00A54361">
        <w:rPr>
          <w:rFonts w:eastAsia="Times New Roman" w:cstheme="minorHAnsi"/>
        </w:rPr>
        <w:t>f</w:t>
      </w:r>
      <w:r w:rsidRPr="00A54361">
        <w:rPr>
          <w:rFonts w:eastAsia="Times New Roman" w:cstheme="minorHAnsi"/>
          <w:spacing w:val="-2"/>
        </w:rPr>
        <w:t>a</w:t>
      </w:r>
      <w:r w:rsidRPr="00A54361">
        <w:rPr>
          <w:rFonts w:eastAsia="Times New Roman" w:cstheme="minorHAnsi"/>
          <w:spacing w:val="1"/>
        </w:rPr>
        <w:t>c</w:t>
      </w:r>
      <w:r w:rsidRPr="00A54361">
        <w:rPr>
          <w:rFonts w:eastAsia="Times New Roman" w:cstheme="minorHAnsi"/>
        </w:rPr>
        <w:t>ts</w:t>
      </w:r>
      <w:r w:rsidRPr="00A54361">
        <w:rPr>
          <w:rFonts w:eastAsia="Times New Roman" w:cstheme="minorHAnsi"/>
          <w:spacing w:val="5"/>
        </w:rPr>
        <w:t xml:space="preserve"> </w:t>
      </w:r>
      <w:r w:rsidRPr="00A54361">
        <w:rPr>
          <w:rFonts w:eastAsia="Times New Roman" w:cstheme="minorHAnsi"/>
        </w:rPr>
        <w:t>of</w:t>
      </w:r>
      <w:r w:rsidRPr="00A54361">
        <w:rPr>
          <w:rFonts w:eastAsia="Times New Roman" w:cstheme="minorHAnsi"/>
          <w:spacing w:val="4"/>
        </w:rPr>
        <w:t xml:space="preserve"> </w:t>
      </w:r>
      <w:r w:rsidRPr="00A54361">
        <w:rPr>
          <w:rFonts w:eastAsia="Times New Roman" w:cstheme="minorHAnsi"/>
        </w:rPr>
        <w:t>the</w:t>
      </w:r>
      <w:r w:rsidRPr="00A54361">
        <w:rPr>
          <w:rFonts w:eastAsia="Times New Roman" w:cstheme="minorHAnsi"/>
          <w:spacing w:val="4"/>
        </w:rPr>
        <w:t xml:space="preserve"> </w:t>
      </w:r>
      <w:r w:rsidRPr="00A54361">
        <w:rPr>
          <w:rFonts w:eastAsia="Times New Roman" w:cstheme="minorHAnsi"/>
          <w:spacing w:val="1"/>
        </w:rPr>
        <w:t>c</w:t>
      </w:r>
      <w:r w:rsidRPr="00A54361">
        <w:rPr>
          <w:rFonts w:eastAsia="Times New Roman" w:cstheme="minorHAnsi"/>
          <w:spacing w:val="-1"/>
        </w:rPr>
        <w:t>a</w:t>
      </w:r>
      <w:r w:rsidRPr="00A54361">
        <w:rPr>
          <w:rFonts w:eastAsia="Times New Roman" w:cstheme="minorHAnsi"/>
        </w:rPr>
        <w:t>s</w:t>
      </w:r>
      <w:r w:rsidRPr="00A54361">
        <w:rPr>
          <w:rFonts w:eastAsia="Times New Roman" w:cstheme="minorHAnsi"/>
          <w:spacing w:val="-1"/>
        </w:rPr>
        <w:t>e</w:t>
      </w:r>
      <w:r w:rsidRPr="00A54361">
        <w:rPr>
          <w:rFonts w:eastAsia="Times New Roman" w:cstheme="minorHAnsi"/>
        </w:rPr>
        <w:t>,</w:t>
      </w:r>
      <w:r w:rsidRPr="00A54361">
        <w:rPr>
          <w:rFonts w:eastAsia="Times New Roman" w:cstheme="minorHAnsi"/>
          <w:spacing w:val="7"/>
        </w:rPr>
        <w:t xml:space="preserve"> </w:t>
      </w:r>
      <w:r w:rsidRPr="00A54361">
        <w:rPr>
          <w:rFonts w:eastAsia="Times New Roman" w:cstheme="minorHAnsi"/>
        </w:rPr>
        <w:t>ED (</w:t>
      </w:r>
      <w:r w:rsidR="00917777" w:rsidRPr="00A54361">
        <w:rPr>
          <w:rFonts w:eastAsia="Times New Roman" w:cstheme="minorHAnsi"/>
          <w:spacing w:val="-1"/>
        </w:rPr>
        <w:t>BSD</w:t>
      </w:r>
      <w:r w:rsidRPr="00A54361">
        <w:rPr>
          <w:rFonts w:eastAsia="Times New Roman" w:cstheme="minorHAnsi"/>
        </w:rPr>
        <w:t xml:space="preserve">) </w:t>
      </w:r>
      <w:r w:rsidRPr="00A54361">
        <w:rPr>
          <w:rFonts w:eastAsia="Times New Roman" w:cstheme="minorHAnsi"/>
          <w:spacing w:val="-1"/>
        </w:rPr>
        <w:t>w</w:t>
      </w:r>
      <w:r w:rsidRPr="00A54361">
        <w:rPr>
          <w:rFonts w:eastAsia="Times New Roman" w:cstheme="minorHAnsi"/>
        </w:rPr>
        <w:t>i</w:t>
      </w:r>
      <w:r w:rsidRPr="00A54361">
        <w:rPr>
          <w:rFonts w:eastAsia="Times New Roman" w:cstheme="minorHAnsi"/>
          <w:spacing w:val="1"/>
        </w:rPr>
        <w:t>l</w:t>
      </w:r>
      <w:r w:rsidRPr="00A54361">
        <w:rPr>
          <w:rFonts w:eastAsia="Times New Roman" w:cstheme="minorHAnsi"/>
        </w:rPr>
        <w:t>l sub</w:t>
      </w:r>
      <w:r w:rsidRPr="00A54361">
        <w:rPr>
          <w:rFonts w:eastAsia="Times New Roman" w:cstheme="minorHAnsi"/>
          <w:spacing w:val="1"/>
        </w:rPr>
        <w:t>m</w:t>
      </w:r>
      <w:r w:rsidRPr="00A54361">
        <w:rPr>
          <w:rFonts w:eastAsia="Times New Roman" w:cstheme="minorHAnsi"/>
        </w:rPr>
        <w:t>it</w:t>
      </w:r>
      <w:r w:rsidRPr="00A54361">
        <w:rPr>
          <w:rFonts w:eastAsia="Times New Roman" w:cstheme="minorHAnsi"/>
          <w:spacing w:val="-2"/>
        </w:rPr>
        <w:t xml:space="preserve"> </w:t>
      </w:r>
      <w:r w:rsidRPr="00A54361">
        <w:rPr>
          <w:rFonts w:eastAsia="Times New Roman" w:cstheme="minorHAnsi"/>
        </w:rPr>
        <w:t xml:space="preserve">the </w:t>
      </w:r>
      <w:r w:rsidRPr="00A54361">
        <w:rPr>
          <w:rFonts w:eastAsia="Times New Roman" w:cstheme="minorHAnsi"/>
          <w:spacing w:val="-1"/>
        </w:rPr>
        <w:t>ca</w:t>
      </w:r>
      <w:r w:rsidRPr="00A54361">
        <w:rPr>
          <w:rFonts w:eastAsia="Times New Roman" w:cstheme="minorHAnsi"/>
        </w:rPr>
        <w:t>se</w:t>
      </w:r>
      <w:r w:rsidRPr="00A54361">
        <w:rPr>
          <w:rFonts w:eastAsia="Times New Roman" w:cstheme="minorHAnsi"/>
          <w:spacing w:val="-1"/>
        </w:rPr>
        <w:t xml:space="preserve"> </w:t>
      </w:r>
      <w:r w:rsidRPr="00A54361">
        <w:rPr>
          <w:rFonts w:eastAsia="Times New Roman" w:cstheme="minorHAnsi"/>
        </w:rPr>
        <w:t xml:space="preserve">to </w:t>
      </w:r>
      <w:r w:rsidRPr="00A54361">
        <w:rPr>
          <w:rFonts w:eastAsia="Times New Roman" w:cstheme="minorHAnsi"/>
          <w:spacing w:val="1"/>
        </w:rPr>
        <w:t>t</w:t>
      </w:r>
      <w:r w:rsidRPr="00A54361">
        <w:rPr>
          <w:rFonts w:eastAsia="Times New Roman" w:cstheme="minorHAnsi"/>
        </w:rPr>
        <w:t>he</w:t>
      </w:r>
      <w:r w:rsidRPr="00A54361">
        <w:rPr>
          <w:rFonts w:eastAsia="Times New Roman" w:cstheme="minorHAnsi"/>
          <w:spacing w:val="-1"/>
        </w:rPr>
        <w:t xml:space="preserve"> </w:t>
      </w:r>
      <w:r w:rsidRPr="00A54361">
        <w:rPr>
          <w:rFonts w:eastAsia="Times New Roman" w:cstheme="minorHAnsi"/>
        </w:rPr>
        <w:t>C</w:t>
      </w:r>
      <w:r w:rsidRPr="00A54361">
        <w:rPr>
          <w:rFonts w:eastAsia="Times New Roman" w:cstheme="minorHAnsi"/>
          <w:spacing w:val="-2"/>
        </w:rPr>
        <w:t>o</w:t>
      </w:r>
      <w:r w:rsidRPr="00A54361">
        <w:rPr>
          <w:rFonts w:eastAsia="Times New Roman" w:cstheme="minorHAnsi"/>
        </w:rPr>
        <w:t>mpet</w:t>
      </w:r>
      <w:r w:rsidRPr="00A54361">
        <w:rPr>
          <w:rFonts w:eastAsia="Times New Roman" w:cstheme="minorHAnsi"/>
          <w:spacing w:val="-1"/>
        </w:rPr>
        <w:t>e</w:t>
      </w:r>
      <w:r w:rsidRPr="00A54361">
        <w:rPr>
          <w:rFonts w:eastAsia="Times New Roman" w:cstheme="minorHAnsi"/>
        </w:rPr>
        <w:t>nt Aut</w:t>
      </w:r>
      <w:r w:rsidRPr="00A54361">
        <w:rPr>
          <w:rFonts w:eastAsia="Times New Roman" w:cstheme="minorHAnsi"/>
          <w:spacing w:val="-2"/>
        </w:rPr>
        <w:t>h</w:t>
      </w:r>
      <w:r w:rsidRPr="00A54361">
        <w:rPr>
          <w:rFonts w:eastAsia="Times New Roman" w:cstheme="minorHAnsi"/>
        </w:rPr>
        <w:t>ori</w:t>
      </w:r>
      <w:r w:rsidRPr="00A54361">
        <w:rPr>
          <w:rFonts w:eastAsia="Times New Roman" w:cstheme="minorHAnsi"/>
          <w:spacing w:val="2"/>
        </w:rPr>
        <w:t>t</w:t>
      </w:r>
      <w:r w:rsidRPr="00A54361">
        <w:rPr>
          <w:rFonts w:eastAsia="Times New Roman" w:cstheme="minorHAnsi"/>
        </w:rPr>
        <w:t>y</w:t>
      </w:r>
      <w:r w:rsidRPr="00A54361">
        <w:rPr>
          <w:rFonts w:eastAsia="Times New Roman" w:cstheme="minorHAnsi"/>
          <w:spacing w:val="-7"/>
        </w:rPr>
        <w:t xml:space="preserve"> </w:t>
      </w:r>
      <w:r w:rsidRPr="00A54361">
        <w:rPr>
          <w:rFonts w:eastAsia="Times New Roman" w:cstheme="minorHAnsi"/>
        </w:rPr>
        <w:t xml:space="preserve">to </w:t>
      </w:r>
      <w:r w:rsidRPr="00A54361">
        <w:rPr>
          <w:rFonts w:eastAsia="Times New Roman" w:cstheme="minorHAnsi"/>
          <w:spacing w:val="1"/>
        </w:rPr>
        <w:t>t</w:t>
      </w:r>
      <w:r w:rsidRPr="00A54361">
        <w:rPr>
          <w:rFonts w:eastAsia="Times New Roman" w:cstheme="minorHAnsi"/>
          <w:spacing w:val="-1"/>
        </w:rPr>
        <w:t>a</w:t>
      </w:r>
      <w:r w:rsidRPr="00A54361">
        <w:rPr>
          <w:rFonts w:eastAsia="Times New Roman" w:cstheme="minorHAnsi"/>
        </w:rPr>
        <w:t>ke</w:t>
      </w:r>
      <w:r w:rsidRPr="00A54361">
        <w:rPr>
          <w:rFonts w:eastAsia="Times New Roman" w:cstheme="minorHAnsi"/>
          <w:spacing w:val="-1"/>
        </w:rPr>
        <w:t xml:space="preserve"> </w:t>
      </w:r>
      <w:r w:rsidRPr="00A54361">
        <w:rPr>
          <w:rFonts w:eastAsia="Times New Roman" w:cstheme="minorHAnsi"/>
        </w:rPr>
        <w:t>a</w:t>
      </w:r>
      <w:r w:rsidRPr="00A54361">
        <w:rPr>
          <w:rFonts w:eastAsia="Times New Roman" w:cstheme="minorHAnsi"/>
          <w:spacing w:val="-1"/>
        </w:rPr>
        <w:t xml:space="preserve"> </w:t>
      </w:r>
      <w:r w:rsidRPr="00A54361">
        <w:rPr>
          <w:rFonts w:eastAsia="Times New Roman" w:cstheme="minorHAnsi"/>
        </w:rPr>
        <w:t>fin</w:t>
      </w:r>
      <w:r w:rsidRPr="00A54361">
        <w:rPr>
          <w:rFonts w:eastAsia="Times New Roman" w:cstheme="minorHAnsi"/>
          <w:spacing w:val="-1"/>
        </w:rPr>
        <w:t>a</w:t>
      </w:r>
      <w:r w:rsidRPr="00A54361">
        <w:rPr>
          <w:rFonts w:eastAsia="Times New Roman" w:cstheme="minorHAnsi"/>
        </w:rPr>
        <w:t>l de</w:t>
      </w:r>
      <w:r w:rsidRPr="00A54361">
        <w:rPr>
          <w:rFonts w:eastAsia="Times New Roman" w:cstheme="minorHAnsi"/>
          <w:spacing w:val="-1"/>
        </w:rPr>
        <w:t>c</w:t>
      </w:r>
      <w:r w:rsidRPr="00A54361">
        <w:rPr>
          <w:rFonts w:eastAsia="Times New Roman" w:cstheme="minorHAnsi"/>
        </w:rPr>
        <w:t>is</w:t>
      </w:r>
      <w:r w:rsidRPr="00A54361">
        <w:rPr>
          <w:rFonts w:eastAsia="Times New Roman" w:cstheme="minorHAnsi"/>
          <w:spacing w:val="3"/>
        </w:rPr>
        <w:t>i</w:t>
      </w:r>
      <w:r w:rsidRPr="00A54361">
        <w:rPr>
          <w:rFonts w:eastAsia="Times New Roman" w:cstheme="minorHAnsi"/>
        </w:rPr>
        <w:t>on f</w:t>
      </w:r>
      <w:r w:rsidRPr="00A54361">
        <w:rPr>
          <w:rFonts w:eastAsia="Times New Roman" w:cstheme="minorHAnsi"/>
          <w:spacing w:val="-1"/>
        </w:rPr>
        <w:t>o</w:t>
      </w:r>
      <w:r w:rsidRPr="00A54361">
        <w:rPr>
          <w:rFonts w:eastAsia="Times New Roman" w:cstheme="minorHAnsi"/>
        </w:rPr>
        <w:t xml:space="preserve">r </w:t>
      </w:r>
      <w:r w:rsidRPr="00A54361">
        <w:rPr>
          <w:rFonts w:eastAsia="Times New Roman" w:cstheme="minorHAnsi"/>
          <w:spacing w:val="-2"/>
        </w:rPr>
        <w:t>B</w:t>
      </w:r>
      <w:r w:rsidRPr="00A54361">
        <w:rPr>
          <w:rFonts w:eastAsia="Times New Roman" w:cstheme="minorHAnsi"/>
          <w:spacing w:val="-1"/>
        </w:rPr>
        <w:t>a</w:t>
      </w:r>
      <w:r w:rsidRPr="00A54361">
        <w:rPr>
          <w:rFonts w:eastAsia="Times New Roman" w:cstheme="minorHAnsi"/>
        </w:rPr>
        <w:t>n</w:t>
      </w:r>
      <w:r w:rsidRPr="00A54361">
        <w:rPr>
          <w:rFonts w:eastAsia="Times New Roman" w:cstheme="minorHAnsi"/>
          <w:spacing w:val="3"/>
        </w:rPr>
        <w:t>k</w:t>
      </w:r>
      <w:r w:rsidRPr="00A54361">
        <w:rPr>
          <w:rFonts w:eastAsia="Times New Roman" w:cstheme="minorHAnsi"/>
          <w:spacing w:val="-1"/>
        </w:rPr>
        <w:t>-</w:t>
      </w:r>
      <w:r w:rsidRPr="00A54361">
        <w:rPr>
          <w:rFonts w:eastAsia="Times New Roman" w:cstheme="minorHAnsi"/>
        </w:rPr>
        <w:t>wide b</w:t>
      </w:r>
      <w:r w:rsidRPr="00A54361">
        <w:rPr>
          <w:rFonts w:eastAsia="Times New Roman" w:cstheme="minorHAnsi"/>
          <w:spacing w:val="-1"/>
        </w:rPr>
        <w:t>a</w:t>
      </w:r>
      <w:r w:rsidRPr="00A54361">
        <w:rPr>
          <w:rFonts w:eastAsia="Times New Roman" w:cstheme="minorHAnsi"/>
        </w:rPr>
        <w:t>nning</w:t>
      </w:r>
      <w:r w:rsidRPr="00A54361">
        <w:rPr>
          <w:rFonts w:eastAsia="Times New Roman" w:cstheme="minorHAnsi"/>
          <w:spacing w:val="-2"/>
        </w:rPr>
        <w:t xml:space="preserve"> </w:t>
      </w:r>
      <w:r w:rsidRPr="00A54361">
        <w:rPr>
          <w:rFonts w:eastAsia="Times New Roman" w:cstheme="minorHAnsi"/>
          <w:spacing w:val="2"/>
        </w:rPr>
        <w:t>o</w:t>
      </w:r>
      <w:r w:rsidRPr="00A54361">
        <w:rPr>
          <w:rFonts w:eastAsia="Times New Roman" w:cstheme="minorHAnsi"/>
        </w:rPr>
        <w:t>r oth</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1"/>
        </w:rPr>
        <w:t>w</w:t>
      </w:r>
      <w:r w:rsidRPr="00A54361">
        <w:rPr>
          <w:rFonts w:eastAsia="Times New Roman" w:cstheme="minorHAnsi"/>
        </w:rPr>
        <w:t>ise.</w:t>
      </w:r>
    </w:p>
    <w:p w14:paraId="23E94469" w14:textId="77777777" w:rsidR="0054549F" w:rsidRPr="00A54361" w:rsidRDefault="0054549F" w:rsidP="00A54361">
      <w:pPr>
        <w:ind w:right="80"/>
        <w:jc w:val="both"/>
        <w:rPr>
          <w:rFonts w:cstheme="minorHAnsi"/>
        </w:rPr>
      </w:pPr>
      <w:r w:rsidRPr="00A54361">
        <w:rPr>
          <w:rFonts w:eastAsia="Times New Roman" w:cstheme="minorHAnsi"/>
        </w:rPr>
        <w:t>7.4</w:t>
      </w:r>
      <w:r w:rsidRPr="00A54361">
        <w:rPr>
          <w:rFonts w:eastAsia="Times New Roman" w:cstheme="minorHAnsi"/>
          <w:spacing w:val="-5"/>
        </w:rPr>
        <w:t xml:space="preserve"> </w:t>
      </w:r>
      <w:r w:rsidRPr="00A54361">
        <w:rPr>
          <w:rFonts w:eastAsia="Times New Roman" w:cstheme="minorHAnsi"/>
          <w:spacing w:val="-3"/>
        </w:rPr>
        <w:t>I</w:t>
      </w:r>
      <w:r w:rsidRPr="00A54361">
        <w:rPr>
          <w:rFonts w:eastAsia="Times New Roman" w:cstheme="minorHAnsi"/>
        </w:rPr>
        <w:t>f</w:t>
      </w:r>
      <w:r w:rsidRPr="00A54361">
        <w:rPr>
          <w:rFonts w:eastAsia="Times New Roman" w:cstheme="minorHAnsi"/>
          <w:spacing w:val="-8"/>
        </w:rPr>
        <w:t xml:space="preserve"> </w:t>
      </w:r>
      <w:r w:rsidRPr="00A54361">
        <w:rPr>
          <w:rFonts w:eastAsia="Times New Roman" w:cstheme="minorHAnsi"/>
        </w:rPr>
        <w:t>the</w:t>
      </w:r>
      <w:r w:rsidRPr="00A54361">
        <w:rPr>
          <w:rFonts w:eastAsia="Times New Roman" w:cstheme="minorHAnsi"/>
          <w:spacing w:val="-8"/>
        </w:rPr>
        <w:t xml:space="preserve"> </w:t>
      </w:r>
      <w:r w:rsidRPr="00A54361">
        <w:rPr>
          <w:rFonts w:eastAsia="Times New Roman" w:cstheme="minorHAnsi"/>
        </w:rPr>
        <w:t>Compet</w:t>
      </w:r>
      <w:r w:rsidRPr="00A54361">
        <w:rPr>
          <w:rFonts w:eastAsia="Times New Roman" w:cstheme="minorHAnsi"/>
          <w:spacing w:val="-1"/>
        </w:rPr>
        <w:t>e</w:t>
      </w:r>
      <w:r w:rsidRPr="00A54361">
        <w:rPr>
          <w:rFonts w:eastAsia="Times New Roman" w:cstheme="minorHAnsi"/>
        </w:rPr>
        <w:t>nt</w:t>
      </w:r>
      <w:r w:rsidRPr="00A54361">
        <w:rPr>
          <w:rFonts w:eastAsia="Times New Roman" w:cstheme="minorHAnsi"/>
          <w:spacing w:val="-7"/>
        </w:rPr>
        <w:t xml:space="preserve"> </w:t>
      </w:r>
      <w:r w:rsidRPr="00A54361">
        <w:rPr>
          <w:rFonts w:eastAsia="Times New Roman" w:cstheme="minorHAnsi"/>
        </w:rPr>
        <w:t>Au</w:t>
      </w:r>
      <w:r w:rsidRPr="00A54361">
        <w:rPr>
          <w:rFonts w:eastAsia="Times New Roman" w:cstheme="minorHAnsi"/>
          <w:spacing w:val="2"/>
        </w:rPr>
        <w:t>t</w:t>
      </w:r>
      <w:r w:rsidRPr="00A54361">
        <w:rPr>
          <w:rFonts w:eastAsia="Times New Roman" w:cstheme="minorHAnsi"/>
        </w:rPr>
        <w:t>hori</w:t>
      </w:r>
      <w:r w:rsidRPr="00A54361">
        <w:rPr>
          <w:rFonts w:eastAsia="Times New Roman" w:cstheme="minorHAnsi"/>
          <w:spacing w:val="2"/>
        </w:rPr>
        <w:t>t</w:t>
      </w:r>
      <w:r w:rsidRPr="00A54361">
        <w:rPr>
          <w:rFonts w:eastAsia="Times New Roman" w:cstheme="minorHAnsi"/>
        </w:rPr>
        <w:t>y</w:t>
      </w:r>
      <w:r w:rsidRPr="00A54361">
        <w:rPr>
          <w:rFonts w:eastAsia="Times New Roman" w:cstheme="minorHAnsi"/>
          <w:spacing w:val="-12"/>
        </w:rPr>
        <w:t xml:space="preserve"> </w:t>
      </w:r>
      <w:r w:rsidRPr="00A54361">
        <w:rPr>
          <w:rFonts w:eastAsia="Times New Roman" w:cstheme="minorHAnsi"/>
        </w:rPr>
        <w:t>is</w:t>
      </w:r>
      <w:r w:rsidRPr="00A54361">
        <w:rPr>
          <w:rFonts w:eastAsia="Times New Roman" w:cstheme="minorHAnsi"/>
          <w:spacing w:val="-6"/>
        </w:rPr>
        <w:t xml:space="preserve"> </w:t>
      </w:r>
      <w:r w:rsidRPr="00A54361">
        <w:rPr>
          <w:rFonts w:eastAsia="Times New Roman" w:cstheme="minorHAnsi"/>
        </w:rPr>
        <w:t>prim</w:t>
      </w:r>
      <w:r w:rsidRPr="00A54361">
        <w:rPr>
          <w:rFonts w:eastAsia="Times New Roman" w:cstheme="minorHAnsi"/>
          <w:spacing w:val="1"/>
        </w:rPr>
        <w:t>a</w:t>
      </w:r>
      <w:r w:rsidRPr="00A54361">
        <w:rPr>
          <w:rFonts w:eastAsia="Times New Roman" w:cstheme="minorHAnsi"/>
          <w:spacing w:val="2"/>
        </w:rPr>
        <w:t>-</w:t>
      </w:r>
      <w:r w:rsidRPr="00A54361">
        <w:rPr>
          <w:rFonts w:eastAsia="Times New Roman" w:cstheme="minorHAnsi"/>
        </w:rPr>
        <w:t>f</w:t>
      </w:r>
      <w:r w:rsidRPr="00A54361">
        <w:rPr>
          <w:rFonts w:eastAsia="Times New Roman" w:cstheme="minorHAnsi"/>
          <w:spacing w:val="-2"/>
        </w:rPr>
        <w:t>a</w:t>
      </w:r>
      <w:r w:rsidRPr="00A54361">
        <w:rPr>
          <w:rFonts w:eastAsia="Times New Roman" w:cstheme="minorHAnsi"/>
          <w:spacing w:val="-1"/>
        </w:rPr>
        <w:t>c</w:t>
      </w:r>
      <w:r w:rsidRPr="00A54361">
        <w:rPr>
          <w:rFonts w:eastAsia="Times New Roman" w:cstheme="minorHAnsi"/>
          <w:spacing w:val="3"/>
        </w:rPr>
        <w:t>i</w:t>
      </w:r>
      <w:r w:rsidRPr="00A54361">
        <w:rPr>
          <w:rFonts w:eastAsia="Times New Roman" w:cstheme="minorHAnsi"/>
        </w:rPr>
        <w:t>e</w:t>
      </w:r>
      <w:r w:rsidRPr="00A54361">
        <w:rPr>
          <w:rFonts w:eastAsia="Times New Roman" w:cstheme="minorHAnsi"/>
          <w:spacing w:val="-8"/>
        </w:rPr>
        <w:t xml:space="preserve"> </w:t>
      </w:r>
      <w:r w:rsidRPr="00A54361">
        <w:rPr>
          <w:rFonts w:eastAsia="Times New Roman" w:cstheme="minorHAnsi"/>
        </w:rPr>
        <w:t>of</w:t>
      </w:r>
      <w:r w:rsidRPr="00A54361">
        <w:rPr>
          <w:rFonts w:eastAsia="Times New Roman" w:cstheme="minorHAnsi"/>
          <w:spacing w:val="-8"/>
        </w:rPr>
        <w:t xml:space="preserve"> </w:t>
      </w:r>
      <w:r w:rsidRPr="00A54361">
        <w:rPr>
          <w:rFonts w:eastAsia="Times New Roman" w:cstheme="minorHAnsi"/>
        </w:rPr>
        <w:t>v</w:t>
      </w:r>
      <w:r w:rsidRPr="00A54361">
        <w:rPr>
          <w:rFonts w:eastAsia="Times New Roman" w:cstheme="minorHAnsi"/>
          <w:spacing w:val="3"/>
        </w:rPr>
        <w:t>i</w:t>
      </w:r>
      <w:r w:rsidRPr="00A54361">
        <w:rPr>
          <w:rFonts w:eastAsia="Times New Roman" w:cstheme="minorHAnsi"/>
          <w:spacing w:val="-1"/>
        </w:rPr>
        <w:t>e</w:t>
      </w:r>
      <w:r w:rsidRPr="00A54361">
        <w:rPr>
          <w:rFonts w:eastAsia="Times New Roman" w:cstheme="minorHAnsi"/>
        </w:rPr>
        <w:t>w</w:t>
      </w:r>
      <w:r w:rsidRPr="00A54361">
        <w:rPr>
          <w:rFonts w:eastAsia="Times New Roman" w:cstheme="minorHAnsi"/>
          <w:spacing w:val="-8"/>
        </w:rPr>
        <w:t xml:space="preserve"> </w:t>
      </w:r>
      <w:r w:rsidRPr="00A54361">
        <w:rPr>
          <w:rFonts w:eastAsia="Times New Roman" w:cstheme="minorHAnsi"/>
        </w:rPr>
        <w:t>that</w:t>
      </w:r>
      <w:r w:rsidRPr="00A54361">
        <w:rPr>
          <w:rFonts w:eastAsia="Times New Roman" w:cstheme="minorHAnsi"/>
          <w:spacing w:val="-7"/>
        </w:rPr>
        <w:t xml:space="preserve"> </w:t>
      </w:r>
      <w:r w:rsidRPr="00A54361">
        <w:rPr>
          <w:rFonts w:eastAsia="Times New Roman" w:cstheme="minorHAnsi"/>
          <w:spacing w:val="1"/>
        </w:rPr>
        <w:t>a</w:t>
      </w:r>
      <w:r w:rsidRPr="00A54361">
        <w:rPr>
          <w:rFonts w:eastAsia="Times New Roman" w:cstheme="minorHAnsi"/>
          <w:spacing w:val="-1"/>
        </w:rPr>
        <w:t>c</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on</w:t>
      </w:r>
      <w:r w:rsidRPr="00A54361">
        <w:rPr>
          <w:rFonts w:eastAsia="Times New Roman" w:cstheme="minorHAnsi"/>
          <w:spacing w:val="-7"/>
        </w:rPr>
        <w:t xml:space="preserve"> </w:t>
      </w:r>
      <w:r w:rsidRPr="00A54361">
        <w:rPr>
          <w:rFonts w:eastAsia="Times New Roman" w:cstheme="minorHAnsi"/>
        </w:rPr>
        <w:t>for</w:t>
      </w:r>
      <w:r w:rsidRPr="00A54361">
        <w:rPr>
          <w:rFonts w:eastAsia="Times New Roman" w:cstheme="minorHAnsi"/>
          <w:spacing w:val="-9"/>
        </w:rPr>
        <w:t xml:space="preserve"> </w:t>
      </w:r>
      <w:r w:rsidRPr="00A54361">
        <w:rPr>
          <w:rFonts w:eastAsia="Times New Roman" w:cstheme="minorHAnsi"/>
        </w:rPr>
        <w:t>b</w:t>
      </w:r>
      <w:r w:rsidRPr="00A54361">
        <w:rPr>
          <w:rFonts w:eastAsia="Times New Roman" w:cstheme="minorHAnsi"/>
          <w:spacing w:val="-1"/>
        </w:rPr>
        <w:t>a</w:t>
      </w:r>
      <w:r w:rsidRPr="00A54361">
        <w:rPr>
          <w:rFonts w:eastAsia="Times New Roman" w:cstheme="minorHAnsi"/>
        </w:rPr>
        <w:t>nni</w:t>
      </w:r>
      <w:r w:rsidRPr="00A54361">
        <w:rPr>
          <w:rFonts w:eastAsia="Times New Roman" w:cstheme="minorHAnsi"/>
          <w:spacing w:val="3"/>
        </w:rPr>
        <w:t>n</w:t>
      </w:r>
      <w:r w:rsidRPr="00A54361">
        <w:rPr>
          <w:rFonts w:eastAsia="Times New Roman" w:cstheme="minorHAnsi"/>
        </w:rPr>
        <w:t>g</w:t>
      </w:r>
      <w:r w:rsidRPr="00A54361">
        <w:rPr>
          <w:rFonts w:eastAsia="Times New Roman" w:cstheme="minorHAnsi"/>
          <w:spacing w:val="-10"/>
        </w:rPr>
        <w:t xml:space="preserve"> </w:t>
      </w:r>
      <w:r w:rsidRPr="00A54361">
        <w:rPr>
          <w:rFonts w:eastAsia="Times New Roman" w:cstheme="minorHAnsi"/>
        </w:rPr>
        <w:t>busin</w:t>
      </w:r>
      <w:r w:rsidRPr="00A54361">
        <w:rPr>
          <w:rFonts w:eastAsia="Times New Roman" w:cstheme="minorHAnsi"/>
          <w:spacing w:val="-1"/>
        </w:rPr>
        <w:t>e</w:t>
      </w:r>
      <w:r w:rsidRPr="00A54361">
        <w:rPr>
          <w:rFonts w:eastAsia="Times New Roman" w:cstheme="minorHAnsi"/>
        </w:rPr>
        <w:t>ss</w:t>
      </w:r>
      <w:r w:rsidRPr="00A54361">
        <w:rPr>
          <w:rFonts w:eastAsia="Times New Roman" w:cstheme="minorHAnsi"/>
          <w:spacing w:val="-7"/>
        </w:rPr>
        <w:t xml:space="preserve"> </w:t>
      </w:r>
      <w:r w:rsidRPr="00A54361">
        <w:rPr>
          <w:rFonts w:eastAsia="Times New Roman" w:cstheme="minorHAnsi"/>
          <w:spacing w:val="2"/>
        </w:rPr>
        <w:t>d</w:t>
      </w:r>
      <w:r w:rsidRPr="00A54361">
        <w:rPr>
          <w:rFonts w:eastAsia="Times New Roman" w:cstheme="minorHAnsi"/>
          <w:spacing w:val="-1"/>
        </w:rPr>
        <w:t>ea</w:t>
      </w:r>
      <w:r w:rsidRPr="00A54361">
        <w:rPr>
          <w:rFonts w:eastAsia="Times New Roman" w:cstheme="minorHAnsi"/>
        </w:rPr>
        <w:t>l</w:t>
      </w:r>
      <w:r w:rsidRPr="00A54361">
        <w:rPr>
          <w:rFonts w:eastAsia="Times New Roman" w:cstheme="minorHAnsi"/>
          <w:spacing w:val="1"/>
        </w:rPr>
        <w:t>i</w:t>
      </w:r>
      <w:r w:rsidRPr="00A54361">
        <w:rPr>
          <w:rFonts w:eastAsia="Times New Roman" w:cstheme="minorHAnsi"/>
          <w:spacing w:val="2"/>
        </w:rPr>
        <w:t>n</w:t>
      </w:r>
      <w:r w:rsidRPr="00A54361">
        <w:rPr>
          <w:rFonts w:eastAsia="Times New Roman" w:cstheme="minorHAnsi"/>
          <w:spacing w:val="-2"/>
        </w:rPr>
        <w:t>g</w:t>
      </w:r>
      <w:r w:rsidRPr="00A54361">
        <w:rPr>
          <w:rFonts w:eastAsia="Times New Roman" w:cstheme="minorHAnsi"/>
        </w:rPr>
        <w:t>s with</w:t>
      </w:r>
      <w:r w:rsidRPr="00A54361">
        <w:rPr>
          <w:rFonts w:eastAsia="Times New Roman" w:cstheme="minorHAnsi"/>
          <w:spacing w:val="5"/>
        </w:rPr>
        <w:t xml:space="preserve"> </w:t>
      </w:r>
      <w:r w:rsidRPr="00A54361">
        <w:rPr>
          <w:rFonts w:eastAsia="Times New Roman" w:cstheme="minorHAnsi"/>
        </w:rPr>
        <w:t>the</w:t>
      </w:r>
      <w:r w:rsidRPr="00A54361">
        <w:rPr>
          <w:rFonts w:eastAsia="Times New Roman" w:cstheme="minorHAnsi"/>
          <w:spacing w:val="4"/>
        </w:rPr>
        <w:t xml:space="preserve"> </w:t>
      </w:r>
      <w:r w:rsidRPr="00A54361">
        <w:rPr>
          <w:rFonts w:eastAsia="Times New Roman" w:cstheme="minorHAnsi"/>
          <w:spacing w:val="2"/>
        </w:rPr>
        <w:t>A</w:t>
      </w:r>
      <w:r w:rsidRPr="00A54361">
        <w:rPr>
          <w:rFonts w:eastAsia="Times New Roman" w:cstheme="minorHAnsi"/>
          <w:spacing w:val="-2"/>
        </w:rPr>
        <w:t>g</w:t>
      </w:r>
      <w:r w:rsidRPr="00A54361">
        <w:rPr>
          <w:rFonts w:eastAsia="Times New Roman" w:cstheme="minorHAnsi"/>
          <w:spacing w:val="-1"/>
        </w:rPr>
        <w:t>e</w:t>
      </w:r>
      <w:r w:rsidRPr="00A54361">
        <w:rPr>
          <w:rFonts w:eastAsia="Times New Roman" w:cstheme="minorHAnsi"/>
          <w:spacing w:val="2"/>
        </w:rPr>
        <w:t>n</w:t>
      </w:r>
      <w:r w:rsidRPr="00A54361">
        <w:rPr>
          <w:rFonts w:eastAsia="Times New Roman" w:cstheme="minorHAnsi"/>
          <w:spacing w:val="4"/>
        </w:rPr>
        <w:t>c</w:t>
      </w:r>
      <w:r w:rsidRPr="00A54361">
        <w:rPr>
          <w:rFonts w:eastAsia="Times New Roman" w:cstheme="minorHAnsi"/>
        </w:rPr>
        <w:t>y is</w:t>
      </w:r>
      <w:r w:rsidRPr="00A54361">
        <w:rPr>
          <w:rFonts w:eastAsia="Times New Roman" w:cstheme="minorHAnsi"/>
          <w:spacing w:val="5"/>
        </w:rPr>
        <w:t xml:space="preserve"> </w:t>
      </w:r>
      <w:r w:rsidRPr="00A54361">
        <w:rPr>
          <w:rFonts w:eastAsia="Times New Roman" w:cstheme="minorHAnsi"/>
          <w:spacing w:val="1"/>
        </w:rPr>
        <w:t>c</w:t>
      </w:r>
      <w:r w:rsidRPr="00A54361">
        <w:rPr>
          <w:rFonts w:eastAsia="Times New Roman" w:cstheme="minorHAnsi"/>
          <w:spacing w:val="-1"/>
        </w:rPr>
        <w:t>a</w:t>
      </w:r>
      <w:r w:rsidRPr="00A54361">
        <w:rPr>
          <w:rFonts w:eastAsia="Times New Roman" w:cstheme="minorHAnsi"/>
        </w:rPr>
        <w:t>l</w:t>
      </w:r>
      <w:r w:rsidRPr="00A54361">
        <w:rPr>
          <w:rFonts w:eastAsia="Times New Roman" w:cstheme="minorHAnsi"/>
          <w:spacing w:val="1"/>
        </w:rPr>
        <w:t>l</w:t>
      </w:r>
      <w:r w:rsidRPr="00A54361">
        <w:rPr>
          <w:rFonts w:eastAsia="Times New Roman" w:cstheme="minorHAnsi"/>
          <w:spacing w:val="-1"/>
        </w:rPr>
        <w:t>e</w:t>
      </w:r>
      <w:r w:rsidRPr="00A54361">
        <w:rPr>
          <w:rFonts w:eastAsia="Times New Roman" w:cstheme="minorHAnsi"/>
        </w:rPr>
        <w:t>d</w:t>
      </w:r>
      <w:r w:rsidRPr="00A54361">
        <w:rPr>
          <w:rFonts w:eastAsia="Times New Roman" w:cstheme="minorHAnsi"/>
          <w:spacing w:val="4"/>
        </w:rPr>
        <w:t xml:space="preserve"> </w:t>
      </w:r>
      <w:r w:rsidRPr="00A54361">
        <w:rPr>
          <w:rFonts w:eastAsia="Times New Roman" w:cstheme="minorHAnsi"/>
        </w:rPr>
        <w:t>fo</w:t>
      </w:r>
      <w:r w:rsidRPr="00A54361">
        <w:rPr>
          <w:rFonts w:eastAsia="Times New Roman" w:cstheme="minorHAnsi"/>
          <w:spacing w:val="-1"/>
        </w:rPr>
        <w:t>r</w:t>
      </w:r>
      <w:r w:rsidRPr="00A54361">
        <w:rPr>
          <w:rFonts w:eastAsia="Times New Roman" w:cstheme="minorHAnsi"/>
        </w:rPr>
        <w:t>,</w:t>
      </w:r>
      <w:r w:rsidRPr="00A54361">
        <w:rPr>
          <w:rFonts w:eastAsia="Times New Roman" w:cstheme="minorHAnsi"/>
          <w:spacing w:val="7"/>
        </w:rPr>
        <w:t xml:space="preserve"> </w:t>
      </w:r>
      <w:r w:rsidRPr="00A54361">
        <w:rPr>
          <w:rFonts w:eastAsia="Times New Roman" w:cstheme="minorHAnsi"/>
        </w:rPr>
        <w:t>a</w:t>
      </w:r>
      <w:r w:rsidRPr="00A54361">
        <w:rPr>
          <w:rFonts w:eastAsia="Times New Roman" w:cstheme="minorHAnsi"/>
          <w:spacing w:val="3"/>
        </w:rPr>
        <w:t xml:space="preserve"> </w:t>
      </w:r>
      <w:r w:rsidRPr="00A54361">
        <w:rPr>
          <w:rFonts w:eastAsia="Times New Roman" w:cstheme="minorHAnsi"/>
        </w:rPr>
        <w:t>sh</w:t>
      </w:r>
      <w:r w:rsidRPr="00A54361">
        <w:rPr>
          <w:rFonts w:eastAsia="Times New Roman" w:cstheme="minorHAnsi"/>
          <w:spacing w:val="2"/>
        </w:rPr>
        <w:t>o</w:t>
      </w:r>
      <w:r w:rsidRPr="00A54361">
        <w:rPr>
          <w:rFonts w:eastAsia="Times New Roman" w:cstheme="minorHAnsi"/>
          <w:spacing w:val="3"/>
        </w:rPr>
        <w:t>w</w:t>
      </w:r>
      <w:r w:rsidRPr="00A54361">
        <w:rPr>
          <w:rFonts w:eastAsia="Times New Roman" w:cstheme="minorHAnsi"/>
          <w:spacing w:val="-1"/>
        </w:rPr>
        <w:t>-</w:t>
      </w:r>
      <w:r w:rsidRPr="00A54361">
        <w:rPr>
          <w:rFonts w:eastAsia="Times New Roman" w:cstheme="minorHAnsi"/>
          <w:spacing w:val="1"/>
        </w:rPr>
        <w:t>c</w:t>
      </w:r>
      <w:r w:rsidRPr="00A54361">
        <w:rPr>
          <w:rFonts w:eastAsia="Times New Roman" w:cstheme="minorHAnsi"/>
          <w:spacing w:val="-1"/>
        </w:rPr>
        <w:t>a</w:t>
      </w:r>
      <w:r w:rsidRPr="00A54361">
        <w:rPr>
          <w:rFonts w:eastAsia="Times New Roman" w:cstheme="minorHAnsi"/>
        </w:rPr>
        <w:t>use</w:t>
      </w:r>
      <w:r w:rsidRPr="00A54361">
        <w:rPr>
          <w:rFonts w:eastAsia="Times New Roman" w:cstheme="minorHAnsi"/>
          <w:spacing w:val="4"/>
        </w:rPr>
        <w:t xml:space="preserve"> </w:t>
      </w:r>
      <w:r w:rsidRPr="00A54361">
        <w:rPr>
          <w:rFonts w:eastAsia="Times New Roman" w:cstheme="minorHAnsi"/>
          <w:spacing w:val="2"/>
        </w:rPr>
        <w:t>n</w:t>
      </w:r>
      <w:r w:rsidRPr="00A54361">
        <w:rPr>
          <w:rFonts w:eastAsia="Times New Roman" w:cstheme="minorHAnsi"/>
        </w:rPr>
        <w:t>ot</w:t>
      </w:r>
      <w:r w:rsidRPr="00A54361">
        <w:rPr>
          <w:rFonts w:eastAsia="Times New Roman" w:cstheme="minorHAnsi"/>
          <w:spacing w:val="1"/>
        </w:rPr>
        <w:t>i</w:t>
      </w:r>
      <w:r w:rsidRPr="00A54361">
        <w:rPr>
          <w:rFonts w:eastAsia="Times New Roman" w:cstheme="minorHAnsi"/>
          <w:spacing w:val="-1"/>
        </w:rPr>
        <w:t>c</w:t>
      </w:r>
      <w:r w:rsidRPr="00A54361">
        <w:rPr>
          <w:rFonts w:eastAsia="Times New Roman" w:cstheme="minorHAnsi"/>
        </w:rPr>
        <w:t>e</w:t>
      </w:r>
      <w:r w:rsidRPr="00A54361">
        <w:rPr>
          <w:rFonts w:eastAsia="Times New Roman" w:cstheme="minorHAnsi"/>
          <w:spacing w:val="3"/>
        </w:rPr>
        <w:t xml:space="preserve"> </w:t>
      </w:r>
      <w:r w:rsidRPr="00A54361">
        <w:rPr>
          <w:rFonts w:eastAsia="Times New Roman" w:cstheme="minorHAnsi"/>
        </w:rPr>
        <w:t>m</w:t>
      </w:r>
      <w:r w:rsidRPr="00A54361">
        <w:rPr>
          <w:rFonts w:eastAsia="Times New Roman" w:cstheme="minorHAnsi"/>
          <w:spacing w:val="4"/>
        </w:rPr>
        <w:t>a</w:t>
      </w:r>
      <w:r w:rsidRPr="00A54361">
        <w:rPr>
          <w:rFonts w:eastAsia="Times New Roman" w:cstheme="minorHAnsi"/>
        </w:rPr>
        <w:t xml:space="preserve">y </w:t>
      </w:r>
      <w:r w:rsidRPr="00A54361">
        <w:rPr>
          <w:rFonts w:eastAsia="Times New Roman" w:cstheme="minorHAnsi"/>
          <w:spacing w:val="2"/>
        </w:rPr>
        <w:t>b</w:t>
      </w:r>
      <w:r w:rsidRPr="00A54361">
        <w:rPr>
          <w:rFonts w:eastAsia="Times New Roman" w:cstheme="minorHAnsi"/>
        </w:rPr>
        <w:t>e</w:t>
      </w:r>
      <w:r w:rsidRPr="00A54361">
        <w:rPr>
          <w:rFonts w:eastAsia="Times New Roman" w:cstheme="minorHAnsi"/>
          <w:spacing w:val="3"/>
        </w:rPr>
        <w:t xml:space="preserve"> </w:t>
      </w:r>
      <w:r w:rsidRPr="00A54361">
        <w:rPr>
          <w:rFonts w:eastAsia="Times New Roman" w:cstheme="minorHAnsi"/>
        </w:rPr>
        <w:t>is</w:t>
      </w:r>
      <w:r w:rsidRPr="00A54361">
        <w:rPr>
          <w:rFonts w:eastAsia="Times New Roman" w:cstheme="minorHAnsi"/>
          <w:spacing w:val="1"/>
        </w:rPr>
        <w:t>s</w:t>
      </w:r>
      <w:r w:rsidRPr="00A54361">
        <w:rPr>
          <w:rFonts w:eastAsia="Times New Roman" w:cstheme="minorHAnsi"/>
        </w:rPr>
        <w:t>u</w:t>
      </w:r>
      <w:r w:rsidRPr="00A54361">
        <w:rPr>
          <w:rFonts w:eastAsia="Times New Roman" w:cstheme="minorHAnsi"/>
          <w:spacing w:val="-1"/>
        </w:rPr>
        <w:t>e</w:t>
      </w:r>
      <w:r w:rsidRPr="00A54361">
        <w:rPr>
          <w:rFonts w:eastAsia="Times New Roman" w:cstheme="minorHAnsi"/>
        </w:rPr>
        <w:t>d</w:t>
      </w:r>
      <w:r w:rsidRPr="00A54361">
        <w:rPr>
          <w:rFonts w:eastAsia="Times New Roman" w:cstheme="minorHAnsi"/>
          <w:spacing w:val="4"/>
        </w:rPr>
        <w:t xml:space="preserve"> </w:t>
      </w:r>
      <w:r w:rsidRPr="00A54361">
        <w:rPr>
          <w:rFonts w:eastAsia="Times New Roman" w:cstheme="minorHAnsi"/>
        </w:rPr>
        <w:t>to</w:t>
      </w:r>
      <w:r w:rsidRPr="00A54361">
        <w:rPr>
          <w:rFonts w:eastAsia="Times New Roman" w:cstheme="minorHAnsi"/>
          <w:spacing w:val="7"/>
        </w:rPr>
        <w:t xml:space="preserve"> </w:t>
      </w:r>
      <w:r w:rsidRPr="00A54361">
        <w:rPr>
          <w:rFonts w:eastAsia="Times New Roman" w:cstheme="minorHAnsi"/>
        </w:rPr>
        <w:t>the</w:t>
      </w:r>
      <w:r w:rsidRPr="00A54361">
        <w:rPr>
          <w:rFonts w:eastAsia="Times New Roman" w:cstheme="minorHAnsi"/>
          <w:spacing w:val="4"/>
        </w:rPr>
        <w:t xml:space="preserve"> </w:t>
      </w:r>
      <w:r w:rsidRPr="00A54361">
        <w:rPr>
          <w:rFonts w:eastAsia="Times New Roman" w:cstheme="minorHAnsi"/>
          <w:spacing w:val="2"/>
        </w:rPr>
        <w:t>A</w:t>
      </w:r>
      <w:r w:rsidRPr="00A54361">
        <w:rPr>
          <w:rFonts w:eastAsia="Times New Roman" w:cstheme="minorHAnsi"/>
          <w:spacing w:val="-2"/>
        </w:rPr>
        <w:t>g</w:t>
      </w:r>
      <w:r w:rsidRPr="00A54361">
        <w:rPr>
          <w:rFonts w:eastAsia="Times New Roman" w:cstheme="minorHAnsi"/>
          <w:spacing w:val="-1"/>
        </w:rPr>
        <w:t>e</w:t>
      </w:r>
      <w:r w:rsidRPr="00A54361">
        <w:rPr>
          <w:rFonts w:eastAsia="Times New Roman" w:cstheme="minorHAnsi"/>
          <w:spacing w:val="2"/>
        </w:rPr>
        <w:t>n</w:t>
      </w:r>
      <w:r w:rsidRPr="00A54361">
        <w:rPr>
          <w:rFonts w:eastAsia="Times New Roman" w:cstheme="minorHAnsi"/>
          <w:spacing w:val="4"/>
        </w:rPr>
        <w:t>c</w:t>
      </w:r>
      <w:r w:rsidRPr="00A54361">
        <w:rPr>
          <w:rFonts w:eastAsia="Times New Roman" w:cstheme="minorHAnsi"/>
        </w:rPr>
        <w:t xml:space="preserve">y </w:t>
      </w:r>
      <w:r w:rsidRPr="00A54361">
        <w:rPr>
          <w:rFonts w:eastAsia="Times New Roman" w:cstheme="minorHAnsi"/>
          <w:spacing w:val="-1"/>
        </w:rPr>
        <w:t>a</w:t>
      </w:r>
      <w:r w:rsidRPr="00A54361">
        <w:rPr>
          <w:rFonts w:eastAsia="Times New Roman" w:cstheme="minorHAnsi"/>
        </w:rPr>
        <w:t>s</w:t>
      </w:r>
      <w:r w:rsidRPr="00A54361">
        <w:rPr>
          <w:rFonts w:eastAsia="Times New Roman" w:cstheme="minorHAnsi"/>
          <w:spacing w:val="7"/>
        </w:rPr>
        <w:t xml:space="preserve"> </w:t>
      </w:r>
      <w:r w:rsidRPr="00A54361">
        <w:rPr>
          <w:rFonts w:eastAsia="Times New Roman" w:cstheme="minorHAnsi"/>
        </w:rPr>
        <w:t>p</w:t>
      </w:r>
      <w:r w:rsidRPr="00A54361">
        <w:rPr>
          <w:rFonts w:eastAsia="Times New Roman" w:cstheme="minorHAnsi"/>
          <w:spacing w:val="1"/>
        </w:rPr>
        <w:t>e</w:t>
      </w:r>
      <w:r w:rsidRPr="00A54361">
        <w:rPr>
          <w:rFonts w:eastAsia="Times New Roman" w:cstheme="minorHAnsi"/>
        </w:rPr>
        <w:t>r p</w:t>
      </w:r>
      <w:r w:rsidRPr="00A54361">
        <w:rPr>
          <w:rFonts w:eastAsia="Times New Roman" w:cstheme="minorHAnsi"/>
          <w:spacing w:val="-1"/>
        </w:rPr>
        <w:t>a</w:t>
      </w:r>
      <w:r w:rsidRPr="00A54361">
        <w:rPr>
          <w:rFonts w:eastAsia="Times New Roman" w:cstheme="minorHAnsi"/>
        </w:rPr>
        <w:t>ra</w:t>
      </w:r>
      <w:r w:rsidRPr="00A54361">
        <w:rPr>
          <w:rFonts w:eastAsia="Times New Roman" w:cstheme="minorHAnsi"/>
          <w:spacing w:val="-2"/>
        </w:rPr>
        <w:t>g</w:t>
      </w:r>
      <w:r w:rsidRPr="00A54361">
        <w:rPr>
          <w:rFonts w:eastAsia="Times New Roman" w:cstheme="minorHAnsi"/>
          <w:spacing w:val="1"/>
        </w:rPr>
        <w:t>r</w:t>
      </w:r>
      <w:r w:rsidRPr="00A54361">
        <w:rPr>
          <w:rFonts w:eastAsia="Times New Roman" w:cstheme="minorHAnsi"/>
          <w:spacing w:val="-1"/>
        </w:rPr>
        <w:t>a</w:t>
      </w:r>
      <w:r w:rsidRPr="00A54361">
        <w:rPr>
          <w:rFonts w:eastAsia="Times New Roman" w:cstheme="minorHAnsi"/>
        </w:rPr>
        <w:t xml:space="preserve">ph 9.1 </w:t>
      </w:r>
      <w:r w:rsidRPr="00A54361">
        <w:rPr>
          <w:rFonts w:eastAsia="Times New Roman" w:cstheme="minorHAnsi"/>
          <w:spacing w:val="-1"/>
        </w:rPr>
        <w:t>a</w:t>
      </w:r>
      <w:r w:rsidRPr="00A54361">
        <w:rPr>
          <w:rFonts w:eastAsia="Times New Roman" w:cstheme="minorHAnsi"/>
        </w:rPr>
        <w:t>nd</w:t>
      </w:r>
      <w:r w:rsidRPr="00A54361">
        <w:rPr>
          <w:rFonts w:eastAsia="Times New Roman" w:cstheme="minorHAnsi"/>
          <w:spacing w:val="2"/>
        </w:rPr>
        <w:t xml:space="preserve"> </w:t>
      </w:r>
      <w:r w:rsidRPr="00A54361">
        <w:rPr>
          <w:rFonts w:eastAsia="Times New Roman" w:cstheme="minorHAnsi"/>
          <w:spacing w:val="-1"/>
        </w:rPr>
        <w:t>a</w:t>
      </w:r>
      <w:r w:rsidRPr="00A54361">
        <w:rPr>
          <w:rFonts w:eastAsia="Times New Roman" w:cstheme="minorHAnsi"/>
        </w:rPr>
        <w:t xml:space="preserve">n </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2"/>
        </w:rPr>
        <w:t>q</w:t>
      </w:r>
      <w:r w:rsidRPr="00A54361">
        <w:rPr>
          <w:rFonts w:eastAsia="Times New Roman" w:cstheme="minorHAnsi"/>
        </w:rPr>
        <w:t>ui</w:t>
      </w:r>
      <w:r w:rsidRPr="00A54361">
        <w:rPr>
          <w:rFonts w:eastAsia="Times New Roman" w:cstheme="minorHAnsi"/>
          <w:spacing w:val="2"/>
        </w:rPr>
        <w:t>r</w:t>
      </w:r>
      <w:r w:rsidRPr="00A54361">
        <w:rPr>
          <w:rFonts w:eastAsia="Times New Roman" w:cstheme="minorHAnsi"/>
        </w:rPr>
        <w:t>y</w:t>
      </w:r>
      <w:r w:rsidRPr="00A54361">
        <w:rPr>
          <w:rFonts w:eastAsia="Times New Roman" w:cstheme="minorHAnsi"/>
          <w:spacing w:val="-5"/>
        </w:rPr>
        <w:t xml:space="preserve"> </w:t>
      </w:r>
      <w:r w:rsidRPr="00A54361">
        <w:rPr>
          <w:rFonts w:eastAsia="Times New Roman" w:cstheme="minorHAnsi"/>
        </w:rPr>
        <w:t>h</w:t>
      </w:r>
      <w:r w:rsidRPr="00A54361">
        <w:rPr>
          <w:rFonts w:eastAsia="Times New Roman" w:cstheme="minorHAnsi"/>
          <w:spacing w:val="-1"/>
        </w:rPr>
        <w:t>e</w:t>
      </w:r>
      <w:r w:rsidRPr="00A54361">
        <w:rPr>
          <w:rFonts w:eastAsia="Times New Roman" w:cstheme="minorHAnsi"/>
        </w:rPr>
        <w:t>ld</w:t>
      </w:r>
      <w:r w:rsidRPr="00A54361">
        <w:rPr>
          <w:rFonts w:eastAsia="Times New Roman" w:cstheme="minorHAnsi"/>
          <w:spacing w:val="3"/>
        </w:rPr>
        <w:t xml:space="preserve"> </w:t>
      </w:r>
      <w:r w:rsidRPr="00A54361">
        <w:rPr>
          <w:rFonts w:eastAsia="Times New Roman" w:cstheme="minorHAnsi"/>
          <w:spacing w:val="-1"/>
        </w:rPr>
        <w:t>acc</w:t>
      </w:r>
      <w:r w:rsidRPr="00A54361">
        <w:rPr>
          <w:rFonts w:eastAsia="Times New Roman" w:cstheme="minorHAnsi"/>
          <w:spacing w:val="2"/>
        </w:rPr>
        <w:t>o</w:t>
      </w:r>
      <w:r w:rsidRPr="00A54361">
        <w:rPr>
          <w:rFonts w:eastAsia="Times New Roman" w:cstheme="minorHAnsi"/>
        </w:rPr>
        <w:t>rdi</w:t>
      </w:r>
      <w:r w:rsidRPr="00A54361">
        <w:rPr>
          <w:rFonts w:eastAsia="Times New Roman" w:cstheme="minorHAnsi"/>
          <w:spacing w:val="2"/>
        </w:rPr>
        <w:t>n</w:t>
      </w:r>
      <w:r w:rsidRPr="00A54361">
        <w:rPr>
          <w:rFonts w:eastAsia="Times New Roman" w:cstheme="minorHAnsi"/>
          <w:spacing w:val="-2"/>
        </w:rPr>
        <w:t>g</w:t>
      </w:r>
      <w:r w:rsidRPr="00A54361">
        <w:rPr>
          <w:rFonts w:eastAsia="Times New Roman" w:cstheme="minorHAnsi"/>
          <w:spacing w:val="3"/>
        </w:rPr>
        <w:t>l</w:t>
      </w:r>
      <w:r w:rsidRPr="00A54361">
        <w:rPr>
          <w:rFonts w:eastAsia="Times New Roman" w:cstheme="minorHAnsi"/>
          <w:spacing w:val="-5"/>
        </w:rPr>
        <w:t>y</w:t>
      </w:r>
      <w:r w:rsidRPr="00A54361">
        <w:rPr>
          <w:rFonts w:eastAsia="Times New Roman" w:cstheme="minorHAnsi"/>
        </w:rPr>
        <w:t>.</w:t>
      </w:r>
    </w:p>
    <w:p w14:paraId="46F238FA" w14:textId="77777777" w:rsidR="0054549F" w:rsidRPr="00A54361" w:rsidRDefault="0054549F" w:rsidP="00A54361">
      <w:pPr>
        <w:ind w:right="342"/>
        <w:jc w:val="both"/>
        <w:rPr>
          <w:rFonts w:cstheme="minorHAnsi"/>
        </w:rPr>
      </w:pPr>
      <w:r w:rsidRPr="00A54361">
        <w:rPr>
          <w:rFonts w:eastAsia="Times New Roman" w:cstheme="minorHAnsi"/>
        </w:rPr>
        <w:t xml:space="preserve">7.5 </w:t>
      </w:r>
      <w:r w:rsidRPr="00A54361">
        <w:rPr>
          <w:rFonts w:eastAsia="Times New Roman" w:cstheme="minorHAnsi"/>
          <w:spacing w:val="1"/>
        </w:rPr>
        <w:t>P</w:t>
      </w:r>
      <w:r w:rsidRPr="00A54361">
        <w:rPr>
          <w:rFonts w:eastAsia="Times New Roman" w:cstheme="minorHAnsi"/>
        </w:rPr>
        <w:t>ro</w:t>
      </w:r>
      <w:r w:rsidRPr="00A54361">
        <w:rPr>
          <w:rFonts w:eastAsia="Times New Roman" w:cstheme="minorHAnsi"/>
          <w:spacing w:val="-2"/>
        </w:rPr>
        <w:t>c</w:t>
      </w:r>
      <w:r w:rsidRPr="00A54361">
        <w:rPr>
          <w:rFonts w:eastAsia="Times New Roman" w:cstheme="minorHAnsi"/>
          <w:spacing w:val="-1"/>
        </w:rPr>
        <w:t>e</w:t>
      </w:r>
      <w:r w:rsidRPr="00A54361">
        <w:rPr>
          <w:rFonts w:eastAsia="Times New Roman" w:cstheme="minorHAnsi"/>
        </w:rPr>
        <w:t>dure for</w:t>
      </w:r>
      <w:r w:rsidRPr="00A54361">
        <w:rPr>
          <w:rFonts w:eastAsia="Times New Roman" w:cstheme="minorHAnsi"/>
          <w:spacing w:val="1"/>
        </w:rPr>
        <w:t xml:space="preserve"> </w:t>
      </w:r>
      <w:r w:rsidRPr="00A54361">
        <w:rPr>
          <w:rFonts w:eastAsia="Times New Roman" w:cstheme="minorHAnsi"/>
          <w:spacing w:val="-2"/>
        </w:rPr>
        <w:t>B</w:t>
      </w:r>
      <w:r w:rsidRPr="00A54361">
        <w:rPr>
          <w:rFonts w:eastAsia="Times New Roman" w:cstheme="minorHAnsi"/>
          <w:spacing w:val="-1"/>
        </w:rPr>
        <w:t>a</w:t>
      </w:r>
      <w:r w:rsidRPr="00A54361">
        <w:rPr>
          <w:rFonts w:eastAsia="Times New Roman" w:cstheme="minorHAnsi"/>
        </w:rPr>
        <w:t>nni</w:t>
      </w:r>
      <w:r w:rsidRPr="00A54361">
        <w:rPr>
          <w:rFonts w:eastAsia="Times New Roman" w:cstheme="minorHAnsi"/>
          <w:spacing w:val="3"/>
        </w:rPr>
        <w:t>n</w:t>
      </w:r>
      <w:r w:rsidRPr="00A54361">
        <w:rPr>
          <w:rFonts w:eastAsia="Times New Roman" w:cstheme="minorHAnsi"/>
        </w:rPr>
        <w:t>g</w:t>
      </w:r>
      <w:r w:rsidRPr="00A54361">
        <w:rPr>
          <w:rFonts w:eastAsia="Times New Roman" w:cstheme="minorHAnsi"/>
          <w:spacing w:val="-2"/>
        </w:rPr>
        <w:t xml:space="preserve"> </w:t>
      </w:r>
      <w:r w:rsidRPr="00A54361">
        <w:rPr>
          <w:rFonts w:eastAsia="Times New Roman" w:cstheme="minorHAnsi"/>
        </w:rPr>
        <w:t>of</w:t>
      </w:r>
      <w:r w:rsidRPr="00A54361">
        <w:rPr>
          <w:rFonts w:eastAsia="Times New Roman" w:cstheme="minorHAnsi"/>
          <w:spacing w:val="1"/>
        </w:rPr>
        <w:t xml:space="preserve"> </w:t>
      </w:r>
      <w:r w:rsidRPr="00A54361">
        <w:rPr>
          <w:rFonts w:eastAsia="Times New Roman" w:cstheme="minorHAnsi"/>
          <w:spacing w:val="-2"/>
        </w:rPr>
        <w:t>B</w:t>
      </w:r>
      <w:r w:rsidRPr="00A54361">
        <w:rPr>
          <w:rFonts w:eastAsia="Times New Roman" w:cstheme="minorHAnsi"/>
        </w:rPr>
        <w:t xml:space="preserve">usiness </w:t>
      </w:r>
      <w:r w:rsidRPr="00A54361">
        <w:rPr>
          <w:rFonts w:eastAsia="Times New Roman" w:cstheme="minorHAnsi"/>
          <w:spacing w:val="2"/>
        </w:rPr>
        <w:t>D</w:t>
      </w:r>
      <w:r w:rsidRPr="00A54361">
        <w:rPr>
          <w:rFonts w:eastAsia="Times New Roman" w:cstheme="minorHAnsi"/>
          <w:spacing w:val="-1"/>
        </w:rPr>
        <w:t>ea</w:t>
      </w:r>
      <w:r w:rsidRPr="00A54361">
        <w:rPr>
          <w:rFonts w:eastAsia="Times New Roman" w:cstheme="minorHAnsi"/>
        </w:rPr>
        <w:t>l</w:t>
      </w:r>
      <w:r w:rsidRPr="00A54361">
        <w:rPr>
          <w:rFonts w:eastAsia="Times New Roman" w:cstheme="minorHAnsi"/>
          <w:spacing w:val="1"/>
        </w:rPr>
        <w:t>i</w:t>
      </w:r>
      <w:r w:rsidRPr="00A54361">
        <w:rPr>
          <w:rFonts w:eastAsia="Times New Roman" w:cstheme="minorHAnsi"/>
          <w:spacing w:val="2"/>
        </w:rPr>
        <w:t>n</w:t>
      </w:r>
      <w:r w:rsidRPr="00A54361">
        <w:rPr>
          <w:rFonts w:eastAsia="Times New Roman" w:cstheme="minorHAnsi"/>
          <w:spacing w:val="-2"/>
        </w:rPr>
        <w:t>g</w:t>
      </w:r>
      <w:r w:rsidRPr="00A54361">
        <w:rPr>
          <w:rFonts w:eastAsia="Times New Roman" w:cstheme="minorHAnsi"/>
        </w:rPr>
        <w:t xml:space="preserve">s </w:t>
      </w:r>
      <w:r w:rsidRPr="00A54361">
        <w:rPr>
          <w:rFonts w:eastAsia="Times New Roman" w:cstheme="minorHAnsi"/>
          <w:spacing w:val="2"/>
        </w:rPr>
        <w:t>w</w:t>
      </w:r>
      <w:r w:rsidRPr="00A54361">
        <w:rPr>
          <w:rFonts w:eastAsia="Times New Roman" w:cstheme="minorHAnsi"/>
        </w:rPr>
        <w:t>i</w:t>
      </w:r>
      <w:r w:rsidRPr="00A54361">
        <w:rPr>
          <w:rFonts w:eastAsia="Times New Roman" w:cstheme="minorHAnsi"/>
          <w:spacing w:val="1"/>
        </w:rPr>
        <w:t>t</w:t>
      </w:r>
      <w:r w:rsidRPr="00A54361">
        <w:rPr>
          <w:rFonts w:eastAsia="Times New Roman" w:cstheme="minorHAnsi"/>
        </w:rPr>
        <w:t xml:space="preserve">h </w:t>
      </w:r>
      <w:r w:rsidRPr="00A54361">
        <w:rPr>
          <w:rFonts w:eastAsia="Times New Roman" w:cstheme="minorHAnsi"/>
          <w:spacing w:val="-1"/>
        </w:rPr>
        <w:t>F</w:t>
      </w:r>
      <w:r w:rsidRPr="00A54361">
        <w:rPr>
          <w:rFonts w:eastAsia="Times New Roman" w:cstheme="minorHAnsi"/>
        </w:rPr>
        <w:t>or</w:t>
      </w:r>
      <w:r w:rsidRPr="00A54361">
        <w:rPr>
          <w:rFonts w:eastAsia="Times New Roman" w:cstheme="minorHAnsi"/>
          <w:spacing w:val="-2"/>
        </w:rPr>
        <w:t>e</w:t>
      </w:r>
      <w:r w:rsidRPr="00A54361">
        <w:rPr>
          <w:rFonts w:eastAsia="Times New Roman" w:cstheme="minorHAnsi"/>
          <w:spacing w:val="3"/>
        </w:rPr>
        <w:t>i</w:t>
      </w:r>
      <w:r w:rsidRPr="00A54361">
        <w:rPr>
          <w:rFonts w:eastAsia="Times New Roman" w:cstheme="minorHAnsi"/>
          <w:spacing w:val="-2"/>
        </w:rPr>
        <w:t>g</w:t>
      </w:r>
      <w:r w:rsidRPr="00A54361">
        <w:rPr>
          <w:rFonts w:eastAsia="Times New Roman" w:cstheme="minorHAnsi"/>
        </w:rPr>
        <w:t xml:space="preserve">n </w:t>
      </w:r>
      <w:r w:rsidRPr="00A54361">
        <w:rPr>
          <w:rFonts w:eastAsia="Times New Roman" w:cstheme="minorHAnsi"/>
          <w:spacing w:val="1"/>
        </w:rPr>
        <w:t>S</w:t>
      </w:r>
      <w:r w:rsidRPr="00A54361">
        <w:rPr>
          <w:rFonts w:eastAsia="Times New Roman" w:cstheme="minorHAnsi"/>
        </w:rPr>
        <w:t>uppl</w:t>
      </w:r>
      <w:r w:rsidRPr="00A54361">
        <w:rPr>
          <w:rFonts w:eastAsia="Times New Roman" w:cstheme="minorHAnsi"/>
          <w:spacing w:val="1"/>
        </w:rPr>
        <w:t>i</w:t>
      </w:r>
      <w:r w:rsidRPr="00A54361">
        <w:rPr>
          <w:rFonts w:eastAsia="Times New Roman" w:cstheme="minorHAnsi"/>
          <w:spacing w:val="-1"/>
        </w:rPr>
        <w:t>e</w:t>
      </w:r>
      <w:r w:rsidRPr="00A54361">
        <w:rPr>
          <w:rFonts w:eastAsia="Times New Roman" w:cstheme="minorHAnsi"/>
        </w:rPr>
        <w:t>rs of</w:t>
      </w:r>
      <w:r w:rsidRPr="00A54361">
        <w:rPr>
          <w:rFonts w:eastAsia="Times New Roman" w:cstheme="minorHAnsi"/>
          <w:spacing w:val="-1"/>
        </w:rPr>
        <w:t xml:space="preserve"> </w:t>
      </w:r>
      <w:r w:rsidRPr="00A54361">
        <w:rPr>
          <w:rFonts w:eastAsia="Times New Roman" w:cstheme="minorHAnsi"/>
          <w:spacing w:val="3"/>
        </w:rPr>
        <w:t>i</w:t>
      </w:r>
      <w:r w:rsidRPr="00A54361">
        <w:rPr>
          <w:rFonts w:eastAsia="Times New Roman" w:cstheme="minorHAnsi"/>
        </w:rPr>
        <w:t>mport</w:t>
      </w:r>
      <w:r w:rsidRPr="00A54361">
        <w:rPr>
          <w:rFonts w:eastAsia="Times New Roman" w:cstheme="minorHAnsi"/>
          <w:spacing w:val="-1"/>
        </w:rPr>
        <w:t>e</w:t>
      </w:r>
      <w:r w:rsidRPr="00A54361">
        <w:rPr>
          <w:rFonts w:eastAsia="Times New Roman" w:cstheme="minorHAnsi"/>
        </w:rPr>
        <w:t xml:space="preserve">d </w:t>
      </w:r>
      <w:r w:rsidRPr="00A54361">
        <w:rPr>
          <w:rFonts w:eastAsia="Times New Roman" w:cstheme="minorHAnsi"/>
          <w:spacing w:val="-2"/>
        </w:rPr>
        <w:t>g</w:t>
      </w:r>
      <w:r w:rsidRPr="00A54361">
        <w:rPr>
          <w:rFonts w:eastAsia="Times New Roman" w:cstheme="minorHAnsi"/>
        </w:rPr>
        <w:t>oods.</w:t>
      </w:r>
    </w:p>
    <w:p w14:paraId="55809793" w14:textId="77777777" w:rsidR="0054549F" w:rsidRPr="00A54361" w:rsidRDefault="0054549F" w:rsidP="00A54361">
      <w:pPr>
        <w:ind w:right="1253"/>
        <w:jc w:val="both"/>
        <w:rPr>
          <w:rFonts w:cstheme="minorHAnsi"/>
        </w:rPr>
      </w:pPr>
      <w:r w:rsidRPr="00A54361">
        <w:rPr>
          <w:rFonts w:eastAsia="Times New Roman" w:cstheme="minorHAnsi"/>
        </w:rPr>
        <w:t xml:space="preserve">• </w:t>
      </w:r>
      <w:r w:rsidRPr="00A54361">
        <w:rPr>
          <w:rFonts w:eastAsia="Times New Roman" w:cstheme="minorHAnsi"/>
          <w:spacing w:val="-2"/>
        </w:rPr>
        <w:t>B</w:t>
      </w:r>
      <w:r w:rsidRPr="00A54361">
        <w:rPr>
          <w:rFonts w:eastAsia="Times New Roman" w:cstheme="minorHAnsi"/>
          <w:spacing w:val="-1"/>
        </w:rPr>
        <w:t>a</w:t>
      </w:r>
      <w:r w:rsidRPr="00A54361">
        <w:rPr>
          <w:rFonts w:eastAsia="Times New Roman" w:cstheme="minorHAnsi"/>
        </w:rPr>
        <w:t>nni</w:t>
      </w:r>
      <w:r w:rsidRPr="00A54361">
        <w:rPr>
          <w:rFonts w:eastAsia="Times New Roman" w:cstheme="minorHAnsi"/>
          <w:spacing w:val="3"/>
        </w:rPr>
        <w:t>n</w:t>
      </w:r>
      <w:r w:rsidRPr="00A54361">
        <w:rPr>
          <w:rFonts w:eastAsia="Times New Roman" w:cstheme="minorHAnsi"/>
        </w:rPr>
        <w:t>g</w:t>
      </w:r>
      <w:r w:rsidRPr="00A54361">
        <w:rPr>
          <w:rFonts w:eastAsia="Times New Roman" w:cstheme="minorHAnsi"/>
          <w:spacing w:val="-2"/>
        </w:rPr>
        <w:t xml:space="preserve"> </w:t>
      </w:r>
      <w:r w:rsidRPr="00A54361">
        <w:rPr>
          <w:rFonts w:eastAsia="Times New Roman" w:cstheme="minorHAnsi"/>
        </w:rPr>
        <w:t>of the</w:t>
      </w:r>
      <w:r w:rsidRPr="00A54361">
        <w:rPr>
          <w:rFonts w:eastAsia="Times New Roman" w:cstheme="minorHAnsi"/>
          <w:spacing w:val="1"/>
        </w:rPr>
        <w:t xml:space="preserve"> a</w:t>
      </w:r>
      <w:r w:rsidRPr="00A54361">
        <w:rPr>
          <w:rFonts w:eastAsia="Times New Roman" w:cstheme="minorHAnsi"/>
          <w:spacing w:val="-2"/>
        </w:rPr>
        <w:t>g</w:t>
      </w:r>
      <w:r w:rsidRPr="00A54361">
        <w:rPr>
          <w:rFonts w:eastAsia="Times New Roman" w:cstheme="minorHAnsi"/>
          <w:spacing w:val="-1"/>
        </w:rPr>
        <w:t>e</w:t>
      </w:r>
      <w:r w:rsidRPr="00A54361">
        <w:rPr>
          <w:rFonts w:eastAsia="Times New Roman" w:cstheme="minorHAnsi"/>
          <w:spacing w:val="2"/>
        </w:rPr>
        <w:t>n</w:t>
      </w:r>
      <w:r w:rsidRPr="00A54361">
        <w:rPr>
          <w:rFonts w:eastAsia="Times New Roman" w:cstheme="minorHAnsi"/>
          <w:spacing w:val="-1"/>
        </w:rPr>
        <w:t>c</w:t>
      </w:r>
      <w:r w:rsidRPr="00A54361">
        <w:rPr>
          <w:rFonts w:eastAsia="Times New Roman" w:cstheme="minorHAnsi"/>
        </w:rPr>
        <w:t>i</w:t>
      </w:r>
      <w:r w:rsidRPr="00A54361">
        <w:rPr>
          <w:rFonts w:eastAsia="Times New Roman" w:cstheme="minorHAnsi"/>
          <w:spacing w:val="2"/>
        </w:rPr>
        <w:t>e</w:t>
      </w:r>
      <w:r w:rsidRPr="00A54361">
        <w:rPr>
          <w:rFonts w:eastAsia="Times New Roman" w:cstheme="minorHAnsi"/>
        </w:rPr>
        <w:t>s shall a</w:t>
      </w:r>
      <w:r w:rsidRPr="00A54361">
        <w:rPr>
          <w:rFonts w:eastAsia="Times New Roman" w:cstheme="minorHAnsi"/>
          <w:spacing w:val="1"/>
        </w:rPr>
        <w:t>p</w:t>
      </w:r>
      <w:r w:rsidRPr="00A54361">
        <w:rPr>
          <w:rFonts w:eastAsia="Times New Roman" w:cstheme="minorHAnsi"/>
        </w:rPr>
        <w:t>p</w:t>
      </w:r>
      <w:r w:rsidRPr="00A54361">
        <w:rPr>
          <w:rFonts w:eastAsia="Times New Roman" w:cstheme="minorHAnsi"/>
          <w:spacing w:val="3"/>
        </w:rPr>
        <w:t>l</w:t>
      </w:r>
      <w:r w:rsidRPr="00A54361">
        <w:rPr>
          <w:rFonts w:eastAsia="Times New Roman" w:cstheme="minorHAnsi"/>
        </w:rPr>
        <w:t>y</w:t>
      </w:r>
      <w:r w:rsidRPr="00A54361">
        <w:rPr>
          <w:rFonts w:eastAsia="Times New Roman" w:cstheme="minorHAnsi"/>
          <w:spacing w:val="-5"/>
        </w:rPr>
        <w:t xml:space="preserve"> </w:t>
      </w:r>
      <w:r w:rsidRPr="00A54361">
        <w:rPr>
          <w:rFonts w:eastAsia="Times New Roman" w:cstheme="minorHAnsi"/>
        </w:rPr>
        <w:t>thro</w:t>
      </w:r>
      <w:r w:rsidRPr="00A54361">
        <w:rPr>
          <w:rFonts w:eastAsia="Times New Roman" w:cstheme="minorHAnsi"/>
          <w:spacing w:val="2"/>
        </w:rPr>
        <w:t>u</w:t>
      </w:r>
      <w:r w:rsidRPr="00A54361">
        <w:rPr>
          <w:rFonts w:eastAsia="Times New Roman" w:cstheme="minorHAnsi"/>
          <w:spacing w:val="-2"/>
        </w:rPr>
        <w:t>g</w:t>
      </w:r>
      <w:r w:rsidRPr="00A54361">
        <w:rPr>
          <w:rFonts w:eastAsia="Times New Roman" w:cstheme="minorHAnsi"/>
        </w:rPr>
        <w:t xml:space="preserve">hout </w:t>
      </w:r>
      <w:r w:rsidRPr="00A54361">
        <w:rPr>
          <w:rFonts w:eastAsia="Times New Roman" w:cstheme="minorHAnsi"/>
          <w:spacing w:val="3"/>
        </w:rPr>
        <w:t>t</w:t>
      </w:r>
      <w:r w:rsidRPr="00A54361">
        <w:rPr>
          <w:rFonts w:eastAsia="Times New Roman" w:cstheme="minorHAnsi"/>
        </w:rPr>
        <w:t>he</w:t>
      </w:r>
      <w:r w:rsidRPr="00A54361">
        <w:rPr>
          <w:rFonts w:eastAsia="Times New Roman" w:cstheme="minorHAnsi"/>
          <w:spacing w:val="-1"/>
        </w:rPr>
        <w:t xml:space="preserve"> </w:t>
      </w:r>
      <w:r w:rsidRPr="00A54361">
        <w:rPr>
          <w:rFonts w:eastAsia="Times New Roman" w:cstheme="minorHAnsi"/>
          <w:spacing w:val="-2"/>
        </w:rPr>
        <w:t>B</w:t>
      </w:r>
      <w:r w:rsidRPr="00A54361">
        <w:rPr>
          <w:rFonts w:eastAsia="Times New Roman" w:cstheme="minorHAnsi"/>
          <w:spacing w:val="-1"/>
        </w:rPr>
        <w:t>a</w:t>
      </w:r>
      <w:r w:rsidRPr="00A54361">
        <w:rPr>
          <w:rFonts w:eastAsia="Times New Roman" w:cstheme="minorHAnsi"/>
        </w:rPr>
        <w:t>nk i</w:t>
      </w:r>
      <w:r w:rsidRPr="00A54361">
        <w:rPr>
          <w:rFonts w:eastAsia="Times New Roman" w:cstheme="minorHAnsi"/>
          <w:spacing w:val="3"/>
        </w:rPr>
        <w:t>n</w:t>
      </w:r>
      <w:r w:rsidRPr="00A54361">
        <w:rPr>
          <w:rFonts w:eastAsia="Times New Roman" w:cstheme="minorHAnsi"/>
          <w:spacing w:val="-1"/>
        </w:rPr>
        <w:t>c</w:t>
      </w:r>
      <w:r w:rsidRPr="00A54361">
        <w:rPr>
          <w:rFonts w:eastAsia="Times New Roman" w:cstheme="minorHAnsi"/>
        </w:rPr>
        <w:t>lud</w:t>
      </w:r>
      <w:r w:rsidRPr="00A54361">
        <w:rPr>
          <w:rFonts w:eastAsia="Times New Roman" w:cstheme="minorHAnsi"/>
          <w:spacing w:val="1"/>
        </w:rPr>
        <w:t>i</w:t>
      </w:r>
      <w:r w:rsidRPr="00A54361">
        <w:rPr>
          <w:rFonts w:eastAsia="Times New Roman" w:cstheme="minorHAnsi"/>
        </w:rPr>
        <w:t>ng</w:t>
      </w:r>
      <w:r w:rsidRPr="00A54361">
        <w:rPr>
          <w:rFonts w:eastAsia="Times New Roman" w:cstheme="minorHAnsi"/>
          <w:spacing w:val="-2"/>
        </w:rPr>
        <w:t xml:space="preserve"> </w:t>
      </w:r>
      <w:r w:rsidRPr="00A54361">
        <w:rPr>
          <w:rFonts w:eastAsia="Times New Roman" w:cstheme="minorHAnsi"/>
          <w:spacing w:val="1"/>
        </w:rPr>
        <w:t>S</w:t>
      </w:r>
      <w:r w:rsidRPr="00A54361">
        <w:rPr>
          <w:rFonts w:eastAsia="Times New Roman" w:cstheme="minorHAnsi"/>
        </w:rPr>
        <w:t>ubs</w:t>
      </w:r>
      <w:r w:rsidRPr="00A54361">
        <w:rPr>
          <w:rFonts w:eastAsia="Times New Roman" w:cstheme="minorHAnsi"/>
          <w:spacing w:val="3"/>
        </w:rPr>
        <w:t>i</w:t>
      </w:r>
      <w:r w:rsidRPr="00A54361">
        <w:rPr>
          <w:rFonts w:eastAsia="Times New Roman" w:cstheme="minorHAnsi"/>
        </w:rPr>
        <w:t>dia</w:t>
      </w:r>
      <w:r w:rsidRPr="00A54361">
        <w:rPr>
          <w:rFonts w:eastAsia="Times New Roman" w:cstheme="minorHAnsi"/>
          <w:spacing w:val="-1"/>
        </w:rPr>
        <w:t>r</w:t>
      </w:r>
      <w:r w:rsidRPr="00A54361">
        <w:rPr>
          <w:rFonts w:eastAsia="Times New Roman" w:cstheme="minorHAnsi"/>
        </w:rPr>
        <w:t>ies.</w:t>
      </w:r>
    </w:p>
    <w:p w14:paraId="4143CA8E" w14:textId="061AE79E" w:rsidR="0054549F" w:rsidRPr="00A54361" w:rsidRDefault="0054549F" w:rsidP="00A54361">
      <w:pPr>
        <w:ind w:right="81"/>
        <w:jc w:val="both"/>
        <w:rPr>
          <w:rFonts w:cstheme="minorHAnsi"/>
        </w:rPr>
      </w:pPr>
      <w:r w:rsidRPr="00A54361">
        <w:rPr>
          <w:rFonts w:eastAsia="Times New Roman" w:cstheme="minorHAnsi"/>
        </w:rPr>
        <w:t>•</w:t>
      </w:r>
      <w:r w:rsidRPr="00A54361">
        <w:rPr>
          <w:rFonts w:eastAsia="Times New Roman" w:cstheme="minorHAnsi"/>
          <w:spacing w:val="-10"/>
        </w:rPr>
        <w:t xml:space="preserve"> </w:t>
      </w:r>
      <w:r w:rsidRPr="00A54361">
        <w:rPr>
          <w:rFonts w:eastAsia="Times New Roman" w:cstheme="minorHAnsi"/>
          <w:spacing w:val="-2"/>
        </w:rPr>
        <w:t>B</w:t>
      </w:r>
      <w:r w:rsidRPr="00A54361">
        <w:rPr>
          <w:rFonts w:eastAsia="Times New Roman" w:cstheme="minorHAnsi"/>
          <w:spacing w:val="-1"/>
        </w:rPr>
        <w:t>a</w:t>
      </w:r>
      <w:r w:rsidRPr="00A54361">
        <w:rPr>
          <w:rFonts w:eastAsia="Times New Roman" w:cstheme="minorHAnsi"/>
        </w:rPr>
        <w:t>s</w:t>
      </w:r>
      <w:r w:rsidRPr="00A54361">
        <w:rPr>
          <w:rFonts w:eastAsia="Times New Roman" w:cstheme="minorHAnsi"/>
          <w:spacing w:val="-1"/>
        </w:rPr>
        <w:t>e</w:t>
      </w:r>
      <w:r w:rsidRPr="00A54361">
        <w:rPr>
          <w:rFonts w:eastAsia="Times New Roman" w:cstheme="minorHAnsi"/>
        </w:rPr>
        <w:t>d</w:t>
      </w:r>
      <w:r w:rsidRPr="00A54361">
        <w:rPr>
          <w:rFonts w:eastAsia="Times New Roman" w:cstheme="minorHAnsi"/>
          <w:spacing w:val="-10"/>
        </w:rPr>
        <w:t xml:space="preserve"> </w:t>
      </w:r>
      <w:r w:rsidRPr="00A54361">
        <w:rPr>
          <w:rFonts w:eastAsia="Times New Roman" w:cstheme="minorHAnsi"/>
        </w:rPr>
        <w:t>on</w:t>
      </w:r>
      <w:r w:rsidRPr="00A54361">
        <w:rPr>
          <w:rFonts w:eastAsia="Times New Roman" w:cstheme="minorHAnsi"/>
          <w:spacing w:val="-10"/>
        </w:rPr>
        <w:t xml:space="preserve"> </w:t>
      </w:r>
      <w:r w:rsidRPr="00A54361">
        <w:rPr>
          <w:rFonts w:eastAsia="Times New Roman" w:cstheme="minorHAnsi"/>
        </w:rPr>
        <w:t>the</w:t>
      </w:r>
      <w:r w:rsidRPr="00A54361">
        <w:rPr>
          <w:rFonts w:eastAsia="Times New Roman" w:cstheme="minorHAnsi"/>
          <w:spacing w:val="-10"/>
        </w:rPr>
        <w:t xml:space="preserve"> </w:t>
      </w:r>
      <w:r w:rsidRPr="00A54361">
        <w:rPr>
          <w:rFonts w:eastAsia="Times New Roman" w:cstheme="minorHAnsi"/>
          <w:spacing w:val="-1"/>
        </w:rPr>
        <w:t>c</w:t>
      </w:r>
      <w:r w:rsidRPr="00A54361">
        <w:rPr>
          <w:rFonts w:eastAsia="Times New Roman" w:cstheme="minorHAnsi"/>
        </w:rPr>
        <w:t>omp</w:t>
      </w:r>
      <w:r w:rsidRPr="00A54361">
        <w:rPr>
          <w:rFonts w:eastAsia="Times New Roman" w:cstheme="minorHAnsi"/>
          <w:spacing w:val="1"/>
        </w:rPr>
        <w:t>l</w:t>
      </w:r>
      <w:r w:rsidRPr="00A54361">
        <w:rPr>
          <w:rFonts w:eastAsia="Times New Roman" w:cstheme="minorHAnsi"/>
          <w:spacing w:val="-1"/>
        </w:rPr>
        <w:t>a</w:t>
      </w:r>
      <w:r w:rsidRPr="00A54361">
        <w:rPr>
          <w:rFonts w:eastAsia="Times New Roman" w:cstheme="minorHAnsi"/>
        </w:rPr>
        <w:t>int</w:t>
      </w:r>
      <w:r w:rsidRPr="00A54361">
        <w:rPr>
          <w:rFonts w:eastAsia="Times New Roman" w:cstheme="minorHAnsi"/>
          <w:spacing w:val="-6"/>
        </w:rPr>
        <w:t xml:space="preserve"> </w:t>
      </w:r>
      <w:r w:rsidRPr="00A54361">
        <w:rPr>
          <w:rFonts w:eastAsia="Times New Roman" w:cstheme="minorHAnsi"/>
        </w:rPr>
        <w:t>fo</w:t>
      </w:r>
      <w:r w:rsidRPr="00A54361">
        <w:rPr>
          <w:rFonts w:eastAsia="Times New Roman" w:cstheme="minorHAnsi"/>
          <w:spacing w:val="-1"/>
        </w:rPr>
        <w:t>r</w:t>
      </w:r>
      <w:r w:rsidRPr="00A54361">
        <w:rPr>
          <w:rFonts w:eastAsia="Times New Roman" w:cstheme="minorHAnsi"/>
        </w:rPr>
        <w:t>w</w:t>
      </w:r>
      <w:r w:rsidRPr="00A54361">
        <w:rPr>
          <w:rFonts w:eastAsia="Times New Roman" w:cstheme="minorHAnsi"/>
          <w:spacing w:val="1"/>
        </w:rPr>
        <w:t>a</w:t>
      </w:r>
      <w:r w:rsidRPr="00A54361">
        <w:rPr>
          <w:rFonts w:eastAsia="Times New Roman" w:cstheme="minorHAnsi"/>
        </w:rPr>
        <w:t>rd</w:t>
      </w:r>
      <w:r w:rsidRPr="00A54361">
        <w:rPr>
          <w:rFonts w:eastAsia="Times New Roman" w:cstheme="minorHAnsi"/>
          <w:spacing w:val="-2"/>
        </w:rPr>
        <w:t>e</w:t>
      </w:r>
      <w:r w:rsidRPr="00A54361">
        <w:rPr>
          <w:rFonts w:eastAsia="Times New Roman" w:cstheme="minorHAnsi"/>
        </w:rPr>
        <w:t>d</w:t>
      </w:r>
      <w:r w:rsidRPr="00A54361">
        <w:rPr>
          <w:rFonts w:eastAsia="Times New Roman" w:cstheme="minorHAnsi"/>
          <w:spacing w:val="-10"/>
        </w:rPr>
        <w:t xml:space="preserve"> </w:t>
      </w:r>
      <w:r w:rsidRPr="00A54361">
        <w:rPr>
          <w:rFonts w:eastAsia="Times New Roman" w:cstheme="minorHAnsi"/>
          <w:spacing w:val="5"/>
        </w:rPr>
        <w:t>b</w:t>
      </w:r>
      <w:r w:rsidRPr="00A54361">
        <w:rPr>
          <w:rFonts w:eastAsia="Times New Roman" w:cstheme="minorHAnsi"/>
        </w:rPr>
        <w:t>y</w:t>
      </w:r>
      <w:r w:rsidRPr="00A54361">
        <w:rPr>
          <w:rFonts w:eastAsia="Times New Roman" w:cstheme="minorHAnsi"/>
          <w:spacing w:val="-14"/>
        </w:rPr>
        <w:t xml:space="preserve"> </w:t>
      </w:r>
      <w:r w:rsidRPr="00A54361">
        <w:rPr>
          <w:rFonts w:eastAsia="Times New Roman" w:cstheme="minorHAnsi"/>
        </w:rPr>
        <w:t>ED</w:t>
      </w:r>
      <w:r w:rsidRPr="00A54361">
        <w:rPr>
          <w:rFonts w:eastAsia="Times New Roman" w:cstheme="minorHAnsi"/>
          <w:spacing w:val="-10"/>
        </w:rPr>
        <w:t xml:space="preserve"> </w:t>
      </w:r>
      <w:r w:rsidRPr="00A54361">
        <w:rPr>
          <w:rFonts w:eastAsia="Times New Roman" w:cstheme="minorHAnsi"/>
        </w:rPr>
        <w:t>(</w:t>
      </w:r>
      <w:r w:rsidR="00917777" w:rsidRPr="00A54361">
        <w:rPr>
          <w:rFonts w:eastAsia="Times New Roman" w:cstheme="minorHAnsi"/>
        </w:rPr>
        <w:t>BSD</w:t>
      </w:r>
      <w:r w:rsidRPr="00A54361">
        <w:rPr>
          <w:rFonts w:eastAsia="Times New Roman" w:cstheme="minorHAnsi"/>
        </w:rPr>
        <w:t>)</w:t>
      </w:r>
      <w:r w:rsidRPr="00A54361">
        <w:rPr>
          <w:rFonts w:eastAsia="Times New Roman" w:cstheme="minorHAnsi"/>
          <w:spacing w:val="-8"/>
        </w:rPr>
        <w:t xml:space="preserve"> </w:t>
      </w:r>
      <w:r w:rsidRPr="00A54361">
        <w:rPr>
          <w:rFonts w:eastAsia="Times New Roman" w:cstheme="minorHAnsi"/>
        </w:rPr>
        <w:t>or</w:t>
      </w:r>
      <w:r w:rsidRPr="00A54361">
        <w:rPr>
          <w:rFonts w:eastAsia="Times New Roman" w:cstheme="minorHAnsi"/>
          <w:spacing w:val="-10"/>
        </w:rPr>
        <w:t xml:space="preserve"> </w:t>
      </w:r>
      <w:r w:rsidRPr="00A54361">
        <w:rPr>
          <w:rFonts w:eastAsia="Times New Roman" w:cstheme="minorHAnsi"/>
        </w:rPr>
        <w:t>r</w:t>
      </w:r>
      <w:r w:rsidRPr="00A54361">
        <w:rPr>
          <w:rFonts w:eastAsia="Times New Roman" w:cstheme="minorHAnsi"/>
          <w:spacing w:val="-2"/>
        </w:rPr>
        <w:t>e</w:t>
      </w:r>
      <w:r w:rsidRPr="00A54361">
        <w:rPr>
          <w:rFonts w:eastAsia="Times New Roman" w:cstheme="minorHAnsi"/>
          <w:spacing w:val="1"/>
        </w:rPr>
        <w:t>c</w:t>
      </w:r>
      <w:r w:rsidRPr="00A54361">
        <w:rPr>
          <w:rFonts w:eastAsia="Times New Roman" w:cstheme="minorHAnsi"/>
          <w:spacing w:val="-1"/>
        </w:rPr>
        <w:t>e</w:t>
      </w:r>
      <w:r w:rsidRPr="00A54361">
        <w:rPr>
          <w:rFonts w:eastAsia="Times New Roman" w:cstheme="minorHAnsi"/>
        </w:rPr>
        <w:t>ived</w:t>
      </w:r>
      <w:r w:rsidRPr="00A54361">
        <w:rPr>
          <w:rFonts w:eastAsia="Times New Roman" w:cstheme="minorHAnsi"/>
          <w:spacing w:val="-10"/>
        </w:rPr>
        <w:t xml:space="preserve"> </w:t>
      </w:r>
      <w:r w:rsidRPr="00A54361">
        <w:rPr>
          <w:rFonts w:eastAsia="Times New Roman" w:cstheme="minorHAnsi"/>
        </w:rPr>
        <w:t>dir</w:t>
      </w:r>
      <w:r w:rsidRPr="00A54361">
        <w:rPr>
          <w:rFonts w:eastAsia="Times New Roman" w:cstheme="minorHAnsi"/>
          <w:spacing w:val="-1"/>
        </w:rPr>
        <w:t>ec</w:t>
      </w:r>
      <w:r w:rsidRPr="00A54361">
        <w:rPr>
          <w:rFonts w:eastAsia="Times New Roman" w:cstheme="minorHAnsi"/>
        </w:rPr>
        <w:t>t</w:t>
      </w:r>
      <w:r w:rsidRPr="00A54361">
        <w:rPr>
          <w:rFonts w:eastAsia="Times New Roman" w:cstheme="minorHAnsi"/>
          <w:spacing w:val="6"/>
        </w:rPr>
        <w:t>l</w:t>
      </w:r>
      <w:r w:rsidRPr="00A54361">
        <w:rPr>
          <w:rFonts w:eastAsia="Times New Roman" w:cstheme="minorHAnsi"/>
        </w:rPr>
        <w:t>y</w:t>
      </w:r>
      <w:r w:rsidRPr="00A54361">
        <w:rPr>
          <w:rFonts w:eastAsia="Times New Roman" w:cstheme="minorHAnsi"/>
          <w:spacing w:val="-14"/>
        </w:rPr>
        <w:t xml:space="preserve"> </w:t>
      </w:r>
      <w:r w:rsidRPr="00A54361">
        <w:rPr>
          <w:rFonts w:eastAsia="Times New Roman" w:cstheme="minorHAnsi"/>
          <w:spacing w:val="5"/>
        </w:rPr>
        <w:t>b</w:t>
      </w:r>
      <w:r w:rsidRPr="00A54361">
        <w:rPr>
          <w:rFonts w:eastAsia="Times New Roman" w:cstheme="minorHAnsi"/>
        </w:rPr>
        <w:t>y</w:t>
      </w:r>
      <w:r w:rsidRPr="00A54361">
        <w:rPr>
          <w:rFonts w:eastAsia="Times New Roman" w:cstheme="minorHAnsi"/>
          <w:spacing w:val="-14"/>
        </w:rPr>
        <w:t xml:space="preserve"> </w:t>
      </w:r>
      <w:r w:rsidRPr="00A54361">
        <w:rPr>
          <w:rFonts w:eastAsia="Times New Roman" w:cstheme="minorHAnsi"/>
        </w:rPr>
        <w:t>Corpo</w:t>
      </w:r>
      <w:r w:rsidRPr="00A54361">
        <w:rPr>
          <w:rFonts w:eastAsia="Times New Roman" w:cstheme="minorHAnsi"/>
          <w:spacing w:val="-1"/>
        </w:rPr>
        <w:t>ra</w:t>
      </w:r>
      <w:r w:rsidRPr="00A54361">
        <w:rPr>
          <w:rFonts w:eastAsia="Times New Roman" w:cstheme="minorHAnsi"/>
        </w:rPr>
        <w:t>te</w:t>
      </w:r>
      <w:r w:rsidRPr="00A54361">
        <w:rPr>
          <w:rFonts w:eastAsia="Times New Roman" w:cstheme="minorHAnsi"/>
          <w:spacing w:val="-10"/>
        </w:rPr>
        <w:t xml:space="preserve"> </w:t>
      </w:r>
      <w:r w:rsidRPr="00A54361">
        <w:rPr>
          <w:rFonts w:eastAsia="Times New Roman" w:cstheme="minorHAnsi"/>
        </w:rPr>
        <w:t>V</w:t>
      </w:r>
      <w:r w:rsidRPr="00A54361">
        <w:rPr>
          <w:rFonts w:eastAsia="Times New Roman" w:cstheme="minorHAnsi"/>
          <w:spacing w:val="2"/>
        </w:rPr>
        <w:t>i</w:t>
      </w:r>
      <w:r w:rsidRPr="00A54361">
        <w:rPr>
          <w:rFonts w:eastAsia="Times New Roman" w:cstheme="minorHAnsi"/>
          <w:spacing w:val="-2"/>
        </w:rPr>
        <w:t>g</w:t>
      </w:r>
      <w:r w:rsidRPr="00A54361">
        <w:rPr>
          <w:rFonts w:eastAsia="Times New Roman" w:cstheme="minorHAnsi"/>
        </w:rPr>
        <w:t>i</w:t>
      </w:r>
      <w:r w:rsidRPr="00A54361">
        <w:rPr>
          <w:rFonts w:eastAsia="Times New Roman" w:cstheme="minorHAnsi"/>
          <w:spacing w:val="1"/>
        </w:rPr>
        <w:t>l</w:t>
      </w:r>
      <w:r w:rsidRPr="00A54361">
        <w:rPr>
          <w:rFonts w:eastAsia="Times New Roman" w:cstheme="minorHAnsi"/>
          <w:spacing w:val="-1"/>
        </w:rPr>
        <w:t>a</w:t>
      </w:r>
      <w:r w:rsidRPr="00A54361">
        <w:rPr>
          <w:rFonts w:eastAsia="Times New Roman" w:cstheme="minorHAnsi"/>
        </w:rPr>
        <w:t>n</w:t>
      </w:r>
      <w:r w:rsidRPr="00A54361">
        <w:rPr>
          <w:rFonts w:eastAsia="Times New Roman" w:cstheme="minorHAnsi"/>
          <w:spacing w:val="1"/>
        </w:rPr>
        <w:t>c</w:t>
      </w:r>
      <w:r w:rsidRPr="00A54361">
        <w:rPr>
          <w:rFonts w:eastAsia="Times New Roman" w:cstheme="minorHAnsi"/>
          <w:spacing w:val="-1"/>
        </w:rPr>
        <w:t>e</w:t>
      </w:r>
      <w:r w:rsidRPr="00A54361">
        <w:rPr>
          <w:rFonts w:eastAsia="Times New Roman" w:cstheme="minorHAnsi"/>
        </w:rPr>
        <w:t>, if</w:t>
      </w:r>
      <w:r w:rsidRPr="00A54361">
        <w:rPr>
          <w:rFonts w:eastAsia="Times New Roman" w:cstheme="minorHAnsi"/>
          <w:spacing w:val="2"/>
        </w:rPr>
        <w:t xml:space="preserve"> </w:t>
      </w:r>
      <w:r w:rsidRPr="00A54361">
        <w:rPr>
          <w:rFonts w:eastAsia="Times New Roman" w:cstheme="minorHAnsi"/>
          <w:spacing w:val="-2"/>
        </w:rPr>
        <w:t>g</w:t>
      </w:r>
      <w:r w:rsidRPr="00A54361">
        <w:rPr>
          <w:rFonts w:eastAsia="Times New Roman" w:cstheme="minorHAnsi"/>
          <w:spacing w:val="1"/>
        </w:rPr>
        <w:t>r</w:t>
      </w:r>
      <w:r w:rsidRPr="00A54361">
        <w:rPr>
          <w:rFonts w:eastAsia="Times New Roman" w:cstheme="minorHAnsi"/>
          <w:spacing w:val="-1"/>
        </w:rPr>
        <w:t>a</w:t>
      </w:r>
      <w:r w:rsidRPr="00A54361">
        <w:rPr>
          <w:rFonts w:eastAsia="Times New Roman" w:cstheme="minorHAnsi"/>
        </w:rPr>
        <w:t>vi</w:t>
      </w:r>
      <w:r w:rsidRPr="00A54361">
        <w:rPr>
          <w:rFonts w:eastAsia="Times New Roman" w:cstheme="minorHAnsi"/>
          <w:spacing w:val="3"/>
        </w:rPr>
        <w:t>t</w:t>
      </w:r>
      <w:r w:rsidRPr="00A54361">
        <w:rPr>
          <w:rFonts w:eastAsia="Times New Roman" w:cstheme="minorHAnsi"/>
        </w:rPr>
        <w:t>y</w:t>
      </w:r>
      <w:r w:rsidRPr="00A54361">
        <w:rPr>
          <w:rFonts w:eastAsia="Times New Roman" w:cstheme="minorHAnsi"/>
          <w:spacing w:val="-3"/>
        </w:rPr>
        <w:t xml:space="preserve"> </w:t>
      </w:r>
      <w:r w:rsidRPr="00A54361">
        <w:rPr>
          <w:rFonts w:eastAsia="Times New Roman" w:cstheme="minorHAnsi"/>
        </w:rPr>
        <w:t>of</w:t>
      </w:r>
      <w:r w:rsidRPr="00A54361">
        <w:rPr>
          <w:rFonts w:eastAsia="Times New Roman" w:cstheme="minorHAnsi"/>
          <w:spacing w:val="1"/>
        </w:rPr>
        <w:t xml:space="preserve"> </w:t>
      </w:r>
      <w:r w:rsidRPr="00A54361">
        <w:rPr>
          <w:rFonts w:eastAsia="Times New Roman" w:cstheme="minorHAnsi"/>
        </w:rPr>
        <w:t>the</w:t>
      </w:r>
      <w:r w:rsidRPr="00A54361">
        <w:rPr>
          <w:rFonts w:eastAsia="Times New Roman" w:cstheme="minorHAnsi"/>
          <w:spacing w:val="2"/>
        </w:rPr>
        <w:t xml:space="preserve"> </w:t>
      </w:r>
      <w:r w:rsidRPr="00A54361">
        <w:rPr>
          <w:rFonts w:eastAsia="Times New Roman" w:cstheme="minorHAnsi"/>
        </w:rPr>
        <w:t>m</w:t>
      </w:r>
      <w:r w:rsidRPr="00A54361">
        <w:rPr>
          <w:rFonts w:eastAsia="Times New Roman" w:cstheme="minorHAnsi"/>
          <w:spacing w:val="1"/>
        </w:rPr>
        <w:t>i</w:t>
      </w:r>
      <w:r w:rsidRPr="00A54361">
        <w:rPr>
          <w:rFonts w:eastAsia="Times New Roman" w:cstheme="minorHAnsi"/>
        </w:rPr>
        <w:t>s</w:t>
      </w:r>
      <w:r w:rsidRPr="00A54361">
        <w:rPr>
          <w:rFonts w:eastAsia="Times New Roman" w:cstheme="minorHAnsi"/>
          <w:spacing w:val="-1"/>
        </w:rPr>
        <w:t>c</w:t>
      </w:r>
      <w:r w:rsidRPr="00A54361">
        <w:rPr>
          <w:rFonts w:eastAsia="Times New Roman" w:cstheme="minorHAnsi"/>
        </w:rPr>
        <w:t>on</w:t>
      </w:r>
      <w:r w:rsidRPr="00A54361">
        <w:rPr>
          <w:rFonts w:eastAsia="Times New Roman" w:cstheme="minorHAnsi"/>
          <w:spacing w:val="2"/>
        </w:rPr>
        <w:t>d</w:t>
      </w:r>
      <w:r w:rsidRPr="00A54361">
        <w:rPr>
          <w:rFonts w:eastAsia="Times New Roman" w:cstheme="minorHAnsi"/>
        </w:rPr>
        <w:t>u</w:t>
      </w:r>
      <w:r w:rsidRPr="00A54361">
        <w:rPr>
          <w:rFonts w:eastAsia="Times New Roman" w:cstheme="minorHAnsi"/>
          <w:spacing w:val="-1"/>
        </w:rPr>
        <w:t>c</w:t>
      </w:r>
      <w:r w:rsidRPr="00A54361">
        <w:rPr>
          <w:rFonts w:eastAsia="Times New Roman" w:cstheme="minorHAnsi"/>
        </w:rPr>
        <w:t>t</w:t>
      </w:r>
      <w:r w:rsidRPr="00A54361">
        <w:rPr>
          <w:rFonts w:eastAsia="Times New Roman" w:cstheme="minorHAnsi"/>
          <w:spacing w:val="3"/>
        </w:rPr>
        <w:t xml:space="preserve"> </w:t>
      </w:r>
      <w:r w:rsidRPr="00A54361">
        <w:rPr>
          <w:rFonts w:eastAsia="Times New Roman" w:cstheme="minorHAnsi"/>
        </w:rPr>
        <w:t>und</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1"/>
        </w:rPr>
        <w:t xml:space="preserve"> </w:t>
      </w:r>
      <w:r w:rsidRPr="00A54361">
        <w:rPr>
          <w:rFonts w:eastAsia="Times New Roman" w:cstheme="minorHAnsi"/>
        </w:rPr>
        <w:t>investig</w:t>
      </w:r>
      <w:r w:rsidRPr="00A54361">
        <w:rPr>
          <w:rFonts w:eastAsia="Times New Roman" w:cstheme="minorHAnsi"/>
          <w:spacing w:val="-1"/>
        </w:rPr>
        <w:t>a</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on</w:t>
      </w:r>
      <w:r w:rsidRPr="00A54361">
        <w:rPr>
          <w:rFonts w:eastAsia="Times New Roman" w:cstheme="minorHAnsi"/>
          <w:spacing w:val="2"/>
        </w:rPr>
        <w:t xml:space="preserve"> </w:t>
      </w:r>
      <w:r w:rsidRPr="00A54361">
        <w:rPr>
          <w:rFonts w:eastAsia="Times New Roman" w:cstheme="minorHAnsi"/>
        </w:rPr>
        <w:t>is</w:t>
      </w:r>
      <w:r w:rsidRPr="00A54361">
        <w:rPr>
          <w:rFonts w:eastAsia="Times New Roman" w:cstheme="minorHAnsi"/>
          <w:spacing w:val="3"/>
        </w:rPr>
        <w:t xml:space="preserve"> </w:t>
      </w:r>
      <w:r w:rsidRPr="00A54361">
        <w:rPr>
          <w:rFonts w:eastAsia="Times New Roman" w:cstheme="minorHAnsi"/>
        </w:rPr>
        <w:t>found</w:t>
      </w:r>
      <w:r w:rsidRPr="00A54361">
        <w:rPr>
          <w:rFonts w:eastAsia="Times New Roman" w:cstheme="minorHAnsi"/>
          <w:spacing w:val="1"/>
        </w:rPr>
        <w:t xml:space="preserve"> </w:t>
      </w:r>
      <w:r w:rsidRPr="00A54361">
        <w:rPr>
          <w:rFonts w:eastAsia="Times New Roman" w:cstheme="minorHAnsi"/>
        </w:rPr>
        <w:t>s</w:t>
      </w:r>
      <w:r w:rsidRPr="00A54361">
        <w:rPr>
          <w:rFonts w:eastAsia="Times New Roman" w:cstheme="minorHAnsi"/>
          <w:spacing w:val="-1"/>
        </w:rPr>
        <w:t>e</w:t>
      </w:r>
      <w:r w:rsidRPr="00A54361">
        <w:rPr>
          <w:rFonts w:eastAsia="Times New Roman" w:cstheme="minorHAnsi"/>
        </w:rPr>
        <w:t>rious</w:t>
      </w:r>
      <w:r w:rsidRPr="00A54361">
        <w:rPr>
          <w:rFonts w:eastAsia="Times New Roman" w:cstheme="minorHAnsi"/>
          <w:spacing w:val="2"/>
        </w:rPr>
        <w:t xml:space="preserve"> </w:t>
      </w:r>
      <w:r w:rsidRPr="00A54361">
        <w:rPr>
          <w:rFonts w:eastAsia="Times New Roman" w:cstheme="minorHAnsi"/>
          <w:spacing w:val="-1"/>
        </w:rPr>
        <w:t>a</w:t>
      </w:r>
      <w:r w:rsidRPr="00A54361">
        <w:rPr>
          <w:rFonts w:eastAsia="Times New Roman" w:cstheme="minorHAnsi"/>
        </w:rPr>
        <w:t>nd</w:t>
      </w:r>
      <w:r w:rsidRPr="00A54361">
        <w:rPr>
          <w:rFonts w:eastAsia="Times New Roman" w:cstheme="minorHAnsi"/>
          <w:spacing w:val="2"/>
        </w:rPr>
        <w:t xml:space="preserve"> </w:t>
      </w:r>
      <w:r w:rsidRPr="00A54361">
        <w:rPr>
          <w:rFonts w:eastAsia="Times New Roman" w:cstheme="minorHAnsi"/>
        </w:rPr>
        <w:t>it</w:t>
      </w:r>
      <w:r w:rsidRPr="00A54361">
        <w:rPr>
          <w:rFonts w:eastAsia="Times New Roman" w:cstheme="minorHAnsi"/>
          <w:spacing w:val="3"/>
        </w:rPr>
        <w:t xml:space="preserve"> </w:t>
      </w:r>
      <w:r w:rsidRPr="00A54361">
        <w:rPr>
          <w:rFonts w:eastAsia="Times New Roman" w:cstheme="minorHAnsi"/>
        </w:rPr>
        <w:t>is</w:t>
      </w:r>
      <w:r w:rsidRPr="00A54361">
        <w:rPr>
          <w:rFonts w:eastAsia="Times New Roman" w:cstheme="minorHAnsi"/>
          <w:spacing w:val="3"/>
        </w:rPr>
        <w:t xml:space="preserve"> </w:t>
      </w:r>
      <w:r w:rsidRPr="00A54361">
        <w:rPr>
          <w:rFonts w:eastAsia="Times New Roman" w:cstheme="minorHAnsi"/>
        </w:rPr>
        <w:t>f</w:t>
      </w:r>
      <w:r w:rsidRPr="00A54361">
        <w:rPr>
          <w:rFonts w:eastAsia="Times New Roman" w:cstheme="minorHAnsi"/>
          <w:spacing w:val="-2"/>
        </w:rPr>
        <w:t>e</w:t>
      </w:r>
      <w:r w:rsidRPr="00A54361">
        <w:rPr>
          <w:rFonts w:eastAsia="Times New Roman" w:cstheme="minorHAnsi"/>
        </w:rPr>
        <w:t>lt</w:t>
      </w:r>
      <w:r w:rsidRPr="00A54361">
        <w:rPr>
          <w:rFonts w:eastAsia="Times New Roman" w:cstheme="minorHAnsi"/>
          <w:spacing w:val="3"/>
        </w:rPr>
        <w:t xml:space="preserve"> </w:t>
      </w:r>
      <w:r w:rsidRPr="00A54361">
        <w:rPr>
          <w:rFonts w:eastAsia="Times New Roman" w:cstheme="minorHAnsi"/>
        </w:rPr>
        <w:t>that</w:t>
      </w:r>
      <w:r w:rsidRPr="00A54361">
        <w:rPr>
          <w:rFonts w:eastAsia="Times New Roman" w:cstheme="minorHAnsi"/>
          <w:spacing w:val="2"/>
        </w:rPr>
        <w:t xml:space="preserve"> </w:t>
      </w:r>
      <w:r w:rsidRPr="00A54361">
        <w:rPr>
          <w:rFonts w:eastAsia="Times New Roman" w:cstheme="minorHAnsi"/>
        </w:rPr>
        <w:t>it</w:t>
      </w:r>
      <w:r w:rsidRPr="00A54361">
        <w:rPr>
          <w:rFonts w:eastAsia="Times New Roman" w:cstheme="minorHAnsi"/>
          <w:spacing w:val="3"/>
        </w:rPr>
        <w:t xml:space="preserve"> </w:t>
      </w:r>
      <w:r w:rsidRPr="00A54361">
        <w:rPr>
          <w:rFonts w:eastAsia="Times New Roman" w:cstheme="minorHAnsi"/>
        </w:rPr>
        <w:t>would</w:t>
      </w:r>
      <w:r w:rsidRPr="00A54361">
        <w:rPr>
          <w:rFonts w:eastAsia="Times New Roman" w:cstheme="minorHAnsi"/>
          <w:spacing w:val="2"/>
        </w:rPr>
        <w:t xml:space="preserve"> </w:t>
      </w:r>
      <w:r w:rsidRPr="00A54361">
        <w:rPr>
          <w:rFonts w:eastAsia="Times New Roman" w:cstheme="minorHAnsi"/>
        </w:rPr>
        <w:t>n</w:t>
      </w:r>
      <w:r w:rsidRPr="00A54361">
        <w:rPr>
          <w:rFonts w:eastAsia="Times New Roman" w:cstheme="minorHAnsi"/>
          <w:spacing w:val="-2"/>
        </w:rPr>
        <w:t>o</w:t>
      </w:r>
      <w:r w:rsidRPr="00A54361">
        <w:rPr>
          <w:rFonts w:eastAsia="Times New Roman" w:cstheme="minorHAnsi"/>
        </w:rPr>
        <w:t>t be</w:t>
      </w:r>
      <w:r w:rsidRPr="00A54361">
        <w:rPr>
          <w:rFonts w:eastAsia="Times New Roman" w:cstheme="minorHAnsi"/>
          <w:spacing w:val="2"/>
        </w:rPr>
        <w:t xml:space="preserve"> </w:t>
      </w:r>
      <w:r w:rsidRPr="00A54361">
        <w:rPr>
          <w:rFonts w:eastAsia="Times New Roman" w:cstheme="minorHAnsi"/>
        </w:rPr>
        <w:t>in</w:t>
      </w:r>
      <w:r w:rsidRPr="00A54361">
        <w:rPr>
          <w:rFonts w:eastAsia="Times New Roman" w:cstheme="minorHAnsi"/>
          <w:spacing w:val="3"/>
        </w:rPr>
        <w:t xml:space="preserve"> </w:t>
      </w:r>
      <w:r w:rsidRPr="00A54361">
        <w:rPr>
          <w:rFonts w:eastAsia="Times New Roman" w:cstheme="minorHAnsi"/>
        </w:rPr>
        <w:t>the</w:t>
      </w:r>
      <w:r w:rsidRPr="00A54361">
        <w:rPr>
          <w:rFonts w:eastAsia="Times New Roman" w:cstheme="minorHAnsi"/>
          <w:spacing w:val="2"/>
        </w:rPr>
        <w:t xml:space="preserve"> </w:t>
      </w:r>
      <w:r w:rsidRPr="00A54361">
        <w:rPr>
          <w:rFonts w:eastAsia="Times New Roman" w:cstheme="minorHAnsi"/>
        </w:rPr>
        <w:t>in</w:t>
      </w:r>
      <w:r w:rsidRPr="00A54361">
        <w:rPr>
          <w:rFonts w:eastAsia="Times New Roman" w:cstheme="minorHAnsi"/>
          <w:spacing w:val="1"/>
        </w:rPr>
        <w:t>t</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1"/>
        </w:rPr>
        <w:t>e</w:t>
      </w:r>
      <w:r w:rsidRPr="00A54361">
        <w:rPr>
          <w:rFonts w:eastAsia="Times New Roman" w:cstheme="minorHAnsi"/>
        </w:rPr>
        <w:t>st</w:t>
      </w:r>
      <w:r w:rsidRPr="00A54361">
        <w:rPr>
          <w:rFonts w:eastAsia="Times New Roman" w:cstheme="minorHAnsi"/>
          <w:spacing w:val="3"/>
        </w:rPr>
        <w:t xml:space="preserve"> </w:t>
      </w:r>
      <w:r w:rsidRPr="00A54361">
        <w:rPr>
          <w:rFonts w:eastAsia="Times New Roman" w:cstheme="minorHAnsi"/>
        </w:rPr>
        <w:t>of</w:t>
      </w:r>
      <w:r w:rsidRPr="00A54361">
        <w:rPr>
          <w:rFonts w:eastAsia="Times New Roman" w:cstheme="minorHAnsi"/>
          <w:spacing w:val="2"/>
        </w:rPr>
        <w:t xml:space="preserve"> </w:t>
      </w:r>
      <w:r w:rsidRPr="00A54361">
        <w:rPr>
          <w:rFonts w:eastAsia="Times New Roman" w:cstheme="minorHAnsi"/>
        </w:rPr>
        <w:t>CE</w:t>
      </w:r>
      <w:r w:rsidRPr="00A54361">
        <w:rPr>
          <w:rFonts w:eastAsia="Times New Roman" w:cstheme="minorHAnsi"/>
          <w:spacing w:val="-1"/>
        </w:rPr>
        <w:t>N</w:t>
      </w:r>
      <w:r w:rsidRPr="00A54361">
        <w:rPr>
          <w:rFonts w:eastAsia="Times New Roman" w:cstheme="minorHAnsi"/>
        </w:rPr>
        <w:t>TR</w:t>
      </w:r>
      <w:r w:rsidRPr="00A54361">
        <w:rPr>
          <w:rFonts w:eastAsia="Times New Roman" w:cstheme="minorHAnsi"/>
          <w:spacing w:val="2"/>
        </w:rPr>
        <w:t>A</w:t>
      </w:r>
      <w:r w:rsidRPr="00A54361">
        <w:rPr>
          <w:rFonts w:eastAsia="Times New Roman" w:cstheme="minorHAnsi"/>
        </w:rPr>
        <w:t xml:space="preserve">L </w:t>
      </w:r>
      <w:r w:rsidRPr="00A54361">
        <w:rPr>
          <w:rFonts w:eastAsia="Times New Roman" w:cstheme="minorHAnsi"/>
          <w:spacing w:val="-2"/>
        </w:rPr>
        <w:t>B</w:t>
      </w:r>
      <w:r w:rsidRPr="00A54361">
        <w:rPr>
          <w:rFonts w:eastAsia="Times New Roman" w:cstheme="minorHAnsi"/>
        </w:rPr>
        <w:t>A</w:t>
      </w:r>
      <w:r w:rsidRPr="00A54361">
        <w:rPr>
          <w:rFonts w:eastAsia="Times New Roman" w:cstheme="minorHAnsi"/>
          <w:spacing w:val="1"/>
        </w:rPr>
        <w:t>N</w:t>
      </w:r>
      <w:r w:rsidRPr="00A54361">
        <w:rPr>
          <w:rFonts w:eastAsia="Times New Roman" w:cstheme="minorHAnsi"/>
        </w:rPr>
        <w:t>K</w:t>
      </w:r>
      <w:r w:rsidRPr="00A54361">
        <w:rPr>
          <w:rFonts w:eastAsia="Times New Roman" w:cstheme="minorHAnsi"/>
          <w:spacing w:val="2"/>
        </w:rPr>
        <w:t xml:space="preserve"> </w:t>
      </w:r>
      <w:r w:rsidRPr="00A54361">
        <w:rPr>
          <w:rFonts w:eastAsia="Times New Roman" w:cstheme="minorHAnsi"/>
        </w:rPr>
        <w:t>OF</w:t>
      </w:r>
      <w:r w:rsidRPr="00A54361">
        <w:rPr>
          <w:rFonts w:eastAsia="Times New Roman" w:cstheme="minorHAnsi"/>
          <w:spacing w:val="3"/>
        </w:rPr>
        <w:t xml:space="preserve"> </w:t>
      </w:r>
      <w:r w:rsidRPr="00A54361">
        <w:rPr>
          <w:rFonts w:eastAsia="Times New Roman" w:cstheme="minorHAnsi"/>
          <w:spacing w:val="-3"/>
        </w:rPr>
        <w:t>I</w:t>
      </w:r>
      <w:r w:rsidRPr="00A54361">
        <w:rPr>
          <w:rFonts w:eastAsia="Times New Roman" w:cstheme="minorHAnsi"/>
          <w:spacing w:val="4"/>
        </w:rPr>
        <w:t>N</w:t>
      </w:r>
      <w:r w:rsidRPr="00A54361">
        <w:rPr>
          <w:rFonts w:eastAsia="Times New Roman" w:cstheme="minorHAnsi"/>
          <w:spacing w:val="2"/>
        </w:rPr>
        <w:t>D</w:t>
      </w:r>
      <w:r w:rsidRPr="00A54361">
        <w:rPr>
          <w:rFonts w:eastAsia="Times New Roman" w:cstheme="minorHAnsi"/>
          <w:spacing w:val="-3"/>
        </w:rPr>
        <w:t>I</w:t>
      </w:r>
      <w:r w:rsidRPr="00A54361">
        <w:rPr>
          <w:rFonts w:eastAsia="Times New Roman" w:cstheme="minorHAnsi"/>
        </w:rPr>
        <w:t>A</w:t>
      </w:r>
      <w:r w:rsidRPr="00A54361">
        <w:rPr>
          <w:rFonts w:eastAsia="Times New Roman" w:cstheme="minorHAnsi"/>
          <w:spacing w:val="2"/>
        </w:rPr>
        <w:t xml:space="preserve"> </w:t>
      </w:r>
      <w:r w:rsidRPr="00A54361">
        <w:rPr>
          <w:rFonts w:eastAsia="Times New Roman" w:cstheme="minorHAnsi"/>
        </w:rPr>
        <w:t>to</w:t>
      </w:r>
      <w:r w:rsidRPr="00A54361">
        <w:rPr>
          <w:rFonts w:eastAsia="Times New Roman" w:cstheme="minorHAnsi"/>
          <w:spacing w:val="3"/>
        </w:rPr>
        <w:t xml:space="preserve"> </w:t>
      </w:r>
      <w:r w:rsidRPr="00A54361">
        <w:rPr>
          <w:rFonts w:eastAsia="Times New Roman" w:cstheme="minorHAnsi"/>
          <w:spacing w:val="-1"/>
        </w:rPr>
        <w:t>c</w:t>
      </w:r>
      <w:r w:rsidRPr="00A54361">
        <w:rPr>
          <w:rFonts w:eastAsia="Times New Roman" w:cstheme="minorHAnsi"/>
        </w:rPr>
        <w:t>ont</w:t>
      </w:r>
      <w:r w:rsidRPr="00A54361">
        <w:rPr>
          <w:rFonts w:eastAsia="Times New Roman" w:cstheme="minorHAnsi"/>
          <w:spacing w:val="1"/>
        </w:rPr>
        <w:t>i</w:t>
      </w:r>
      <w:r w:rsidRPr="00A54361">
        <w:rPr>
          <w:rFonts w:eastAsia="Times New Roman" w:cstheme="minorHAnsi"/>
        </w:rPr>
        <w:t>nue</w:t>
      </w:r>
      <w:r w:rsidRPr="00A54361">
        <w:rPr>
          <w:rFonts w:eastAsia="Times New Roman" w:cstheme="minorHAnsi"/>
          <w:spacing w:val="2"/>
        </w:rPr>
        <w:t xml:space="preserve"> </w:t>
      </w:r>
      <w:r w:rsidRPr="00A54361">
        <w:rPr>
          <w:rFonts w:eastAsia="Times New Roman" w:cstheme="minorHAnsi"/>
        </w:rPr>
        <w:t>to</w:t>
      </w:r>
      <w:r w:rsidRPr="00A54361">
        <w:rPr>
          <w:rFonts w:eastAsia="Times New Roman" w:cstheme="minorHAnsi"/>
          <w:spacing w:val="3"/>
        </w:rPr>
        <w:t xml:space="preserve"> </w:t>
      </w:r>
      <w:r w:rsidRPr="00A54361">
        <w:rPr>
          <w:rFonts w:eastAsia="Times New Roman" w:cstheme="minorHAnsi"/>
        </w:rPr>
        <w:t>d</w:t>
      </w:r>
      <w:r w:rsidRPr="00A54361">
        <w:rPr>
          <w:rFonts w:eastAsia="Times New Roman" w:cstheme="minorHAnsi"/>
          <w:spacing w:val="-1"/>
        </w:rPr>
        <w:t>ea</w:t>
      </w:r>
      <w:r w:rsidRPr="00A54361">
        <w:rPr>
          <w:rFonts w:eastAsia="Times New Roman" w:cstheme="minorHAnsi"/>
        </w:rPr>
        <w:t>l</w:t>
      </w:r>
      <w:r w:rsidRPr="00A54361">
        <w:rPr>
          <w:rFonts w:eastAsia="Times New Roman" w:cstheme="minorHAnsi"/>
          <w:spacing w:val="5"/>
        </w:rPr>
        <w:t xml:space="preserve"> </w:t>
      </w:r>
      <w:r w:rsidRPr="00A54361">
        <w:rPr>
          <w:rFonts w:eastAsia="Times New Roman" w:cstheme="minorHAnsi"/>
        </w:rPr>
        <w:t>with</w:t>
      </w:r>
      <w:r w:rsidRPr="00A54361">
        <w:rPr>
          <w:rFonts w:eastAsia="Times New Roman" w:cstheme="minorHAnsi"/>
          <w:spacing w:val="3"/>
        </w:rPr>
        <w:t xml:space="preserve"> </w:t>
      </w:r>
      <w:r w:rsidRPr="00A54361">
        <w:rPr>
          <w:rFonts w:eastAsia="Times New Roman" w:cstheme="minorHAnsi"/>
        </w:rPr>
        <w:t>su</w:t>
      </w:r>
      <w:r w:rsidRPr="00A54361">
        <w:rPr>
          <w:rFonts w:eastAsia="Times New Roman" w:cstheme="minorHAnsi"/>
          <w:spacing w:val="-1"/>
        </w:rPr>
        <w:t>c</w:t>
      </w:r>
      <w:r w:rsidRPr="00A54361">
        <w:rPr>
          <w:rFonts w:eastAsia="Times New Roman" w:cstheme="minorHAnsi"/>
        </w:rPr>
        <w:t>h</w:t>
      </w:r>
      <w:r w:rsidRPr="00A54361">
        <w:rPr>
          <w:rFonts w:eastAsia="Times New Roman" w:cstheme="minorHAnsi"/>
          <w:spacing w:val="3"/>
        </w:rPr>
        <w:t xml:space="preserve"> </w:t>
      </w:r>
      <w:r w:rsidRPr="00A54361">
        <w:rPr>
          <w:rFonts w:eastAsia="Times New Roman" w:cstheme="minorHAnsi"/>
          <w:spacing w:val="-1"/>
        </w:rPr>
        <w:t>a</w:t>
      </w:r>
      <w:r w:rsidRPr="00A54361">
        <w:rPr>
          <w:rFonts w:eastAsia="Times New Roman" w:cstheme="minorHAnsi"/>
        </w:rPr>
        <w:t>g</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4"/>
        </w:rPr>
        <w:t>c</w:t>
      </w:r>
      <w:r w:rsidRPr="00A54361">
        <w:rPr>
          <w:rFonts w:eastAsia="Times New Roman" w:cstheme="minorHAnsi"/>
          <w:spacing w:val="-5"/>
        </w:rPr>
        <w:t>y</w:t>
      </w:r>
      <w:r w:rsidRPr="00A54361">
        <w:rPr>
          <w:rFonts w:eastAsia="Times New Roman" w:cstheme="minorHAnsi"/>
        </w:rPr>
        <w:t>, p</w:t>
      </w:r>
      <w:r w:rsidRPr="00A54361">
        <w:rPr>
          <w:rFonts w:eastAsia="Times New Roman" w:cstheme="minorHAnsi"/>
          <w:spacing w:val="-1"/>
        </w:rPr>
        <w:t>e</w:t>
      </w:r>
      <w:r w:rsidRPr="00A54361">
        <w:rPr>
          <w:rFonts w:eastAsia="Times New Roman" w:cstheme="minorHAnsi"/>
        </w:rPr>
        <w:t>nding in</w:t>
      </w:r>
      <w:r w:rsidRPr="00A54361">
        <w:rPr>
          <w:rFonts w:eastAsia="Times New Roman" w:cstheme="minorHAnsi"/>
          <w:spacing w:val="3"/>
        </w:rPr>
        <w:t>v</w:t>
      </w:r>
      <w:r w:rsidRPr="00A54361">
        <w:rPr>
          <w:rFonts w:eastAsia="Times New Roman" w:cstheme="minorHAnsi"/>
          <w:spacing w:val="-1"/>
        </w:rPr>
        <w:t>e</w:t>
      </w:r>
      <w:r w:rsidRPr="00A54361">
        <w:rPr>
          <w:rFonts w:eastAsia="Times New Roman" w:cstheme="minorHAnsi"/>
        </w:rPr>
        <w:t>st</w:t>
      </w:r>
      <w:r w:rsidRPr="00A54361">
        <w:rPr>
          <w:rFonts w:eastAsia="Times New Roman" w:cstheme="minorHAnsi"/>
          <w:spacing w:val="1"/>
        </w:rPr>
        <w:t>i</w:t>
      </w:r>
      <w:r w:rsidRPr="00A54361">
        <w:rPr>
          <w:rFonts w:eastAsia="Times New Roman" w:cstheme="minorHAnsi"/>
          <w:spacing w:val="-2"/>
        </w:rPr>
        <w:t>g</w:t>
      </w:r>
      <w:r w:rsidRPr="00A54361">
        <w:rPr>
          <w:rFonts w:eastAsia="Times New Roman" w:cstheme="minorHAnsi"/>
          <w:spacing w:val="-1"/>
        </w:rPr>
        <w:t>a</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on,</w:t>
      </w:r>
      <w:r w:rsidRPr="00A54361">
        <w:rPr>
          <w:rFonts w:eastAsia="Times New Roman" w:cstheme="minorHAnsi"/>
          <w:spacing w:val="2"/>
        </w:rPr>
        <w:t xml:space="preserve"> </w:t>
      </w:r>
      <w:r w:rsidRPr="00A54361">
        <w:rPr>
          <w:rFonts w:eastAsia="Times New Roman" w:cstheme="minorHAnsi"/>
          <w:spacing w:val="3"/>
        </w:rPr>
        <w:t>C</w:t>
      </w:r>
      <w:r w:rsidRPr="00A54361">
        <w:rPr>
          <w:rFonts w:eastAsia="Times New Roman" w:cstheme="minorHAnsi"/>
        </w:rPr>
        <w:t>orpo</w:t>
      </w:r>
      <w:r w:rsidRPr="00A54361">
        <w:rPr>
          <w:rFonts w:eastAsia="Times New Roman" w:cstheme="minorHAnsi"/>
          <w:spacing w:val="-1"/>
        </w:rPr>
        <w:t>ra</w:t>
      </w:r>
      <w:r w:rsidRPr="00A54361">
        <w:rPr>
          <w:rFonts w:eastAsia="Times New Roman" w:cstheme="minorHAnsi"/>
        </w:rPr>
        <w:t>te</w:t>
      </w:r>
      <w:r w:rsidRPr="00A54361">
        <w:rPr>
          <w:rFonts w:eastAsia="Times New Roman" w:cstheme="minorHAnsi"/>
          <w:spacing w:val="4"/>
        </w:rPr>
        <w:t xml:space="preserve"> </w:t>
      </w:r>
      <w:r w:rsidRPr="00A54361">
        <w:rPr>
          <w:rFonts w:eastAsia="Times New Roman" w:cstheme="minorHAnsi"/>
        </w:rPr>
        <w:t>Vi</w:t>
      </w:r>
      <w:r w:rsidRPr="00A54361">
        <w:rPr>
          <w:rFonts w:eastAsia="Times New Roman" w:cstheme="minorHAnsi"/>
          <w:spacing w:val="-2"/>
        </w:rPr>
        <w:t>g</w:t>
      </w:r>
      <w:r w:rsidRPr="00A54361">
        <w:rPr>
          <w:rFonts w:eastAsia="Times New Roman" w:cstheme="minorHAnsi"/>
        </w:rPr>
        <w:t>i</w:t>
      </w:r>
      <w:r w:rsidRPr="00A54361">
        <w:rPr>
          <w:rFonts w:eastAsia="Times New Roman" w:cstheme="minorHAnsi"/>
          <w:spacing w:val="1"/>
        </w:rPr>
        <w:t>l</w:t>
      </w:r>
      <w:r w:rsidRPr="00A54361">
        <w:rPr>
          <w:rFonts w:eastAsia="Times New Roman" w:cstheme="minorHAnsi"/>
          <w:spacing w:val="-1"/>
        </w:rPr>
        <w:t>a</w:t>
      </w:r>
      <w:r w:rsidRPr="00A54361">
        <w:rPr>
          <w:rFonts w:eastAsia="Times New Roman" w:cstheme="minorHAnsi"/>
          <w:spacing w:val="2"/>
        </w:rPr>
        <w:t>n</w:t>
      </w:r>
      <w:r w:rsidRPr="00A54361">
        <w:rPr>
          <w:rFonts w:eastAsia="Times New Roman" w:cstheme="minorHAnsi"/>
          <w:spacing w:val="-1"/>
        </w:rPr>
        <w:t>c</w:t>
      </w:r>
      <w:r w:rsidRPr="00A54361">
        <w:rPr>
          <w:rFonts w:eastAsia="Times New Roman" w:cstheme="minorHAnsi"/>
        </w:rPr>
        <w:t>e</w:t>
      </w:r>
      <w:r w:rsidRPr="00A54361">
        <w:rPr>
          <w:rFonts w:eastAsia="Times New Roman" w:cstheme="minorHAnsi"/>
          <w:spacing w:val="1"/>
        </w:rPr>
        <w:t xml:space="preserve"> </w:t>
      </w:r>
      <w:r w:rsidRPr="00A54361">
        <w:rPr>
          <w:rFonts w:eastAsia="Times New Roman" w:cstheme="minorHAnsi"/>
        </w:rPr>
        <w:t>m</w:t>
      </w:r>
      <w:r w:rsidRPr="00A54361">
        <w:rPr>
          <w:rFonts w:eastAsia="Times New Roman" w:cstheme="minorHAnsi"/>
          <w:spacing w:val="4"/>
        </w:rPr>
        <w:t>a</w:t>
      </w:r>
      <w:r w:rsidRPr="00A54361">
        <w:rPr>
          <w:rFonts w:eastAsia="Times New Roman" w:cstheme="minorHAnsi"/>
        </w:rPr>
        <w:t>y</w:t>
      </w:r>
      <w:r w:rsidRPr="00A54361">
        <w:rPr>
          <w:rFonts w:eastAsia="Times New Roman" w:cstheme="minorHAnsi"/>
          <w:spacing w:val="2"/>
        </w:rPr>
        <w:t xml:space="preserve"> </w:t>
      </w:r>
      <w:r w:rsidRPr="00A54361">
        <w:rPr>
          <w:rFonts w:eastAsia="Times New Roman" w:cstheme="minorHAnsi"/>
        </w:rPr>
        <w:t>s</w:t>
      </w:r>
      <w:r w:rsidRPr="00A54361">
        <w:rPr>
          <w:rFonts w:eastAsia="Times New Roman" w:cstheme="minorHAnsi"/>
          <w:spacing w:val="-1"/>
        </w:rPr>
        <w:t>e</w:t>
      </w:r>
      <w:r w:rsidRPr="00A54361">
        <w:rPr>
          <w:rFonts w:eastAsia="Times New Roman" w:cstheme="minorHAnsi"/>
        </w:rPr>
        <w:t>nd</w:t>
      </w:r>
      <w:r w:rsidRPr="00A54361">
        <w:rPr>
          <w:rFonts w:eastAsia="Times New Roman" w:cstheme="minorHAnsi"/>
          <w:spacing w:val="2"/>
        </w:rPr>
        <w:t xml:space="preserve"> </w:t>
      </w:r>
      <w:r w:rsidRPr="00A54361">
        <w:rPr>
          <w:rFonts w:eastAsia="Times New Roman" w:cstheme="minorHAnsi"/>
        </w:rPr>
        <w:t>su</w:t>
      </w:r>
      <w:r w:rsidRPr="00A54361">
        <w:rPr>
          <w:rFonts w:eastAsia="Times New Roman" w:cstheme="minorHAnsi"/>
          <w:spacing w:val="-1"/>
        </w:rPr>
        <w:t>c</w:t>
      </w:r>
      <w:r w:rsidRPr="00A54361">
        <w:rPr>
          <w:rFonts w:eastAsia="Times New Roman" w:cstheme="minorHAnsi"/>
        </w:rPr>
        <w:t>h</w:t>
      </w:r>
      <w:r w:rsidRPr="00A54361">
        <w:rPr>
          <w:rFonts w:eastAsia="Times New Roman" w:cstheme="minorHAnsi"/>
          <w:spacing w:val="2"/>
        </w:rPr>
        <w:t xml:space="preserve"> </w:t>
      </w:r>
      <w:r w:rsidRPr="00A54361">
        <w:rPr>
          <w:rFonts w:eastAsia="Times New Roman" w:cstheme="minorHAnsi"/>
          <w:spacing w:val="1"/>
        </w:rPr>
        <w:t>r</w:t>
      </w:r>
      <w:r w:rsidRPr="00A54361">
        <w:rPr>
          <w:rFonts w:eastAsia="Times New Roman" w:cstheme="minorHAnsi"/>
          <w:spacing w:val="-1"/>
        </w:rPr>
        <w:t>ec</w:t>
      </w:r>
      <w:r w:rsidRPr="00A54361">
        <w:rPr>
          <w:rFonts w:eastAsia="Times New Roman" w:cstheme="minorHAnsi"/>
        </w:rPr>
        <w:t>om</w:t>
      </w:r>
      <w:r w:rsidRPr="00A54361">
        <w:rPr>
          <w:rFonts w:eastAsia="Times New Roman" w:cstheme="minorHAnsi"/>
          <w:spacing w:val="1"/>
        </w:rPr>
        <w:t>m</w:t>
      </w:r>
      <w:r w:rsidRPr="00A54361">
        <w:rPr>
          <w:rFonts w:eastAsia="Times New Roman" w:cstheme="minorHAnsi"/>
          <w:spacing w:val="-1"/>
        </w:rPr>
        <w:t>e</w:t>
      </w:r>
      <w:r w:rsidRPr="00A54361">
        <w:rPr>
          <w:rFonts w:eastAsia="Times New Roman" w:cstheme="minorHAnsi"/>
        </w:rPr>
        <w:t>nd</w:t>
      </w:r>
      <w:r w:rsidRPr="00A54361">
        <w:rPr>
          <w:rFonts w:eastAsia="Times New Roman" w:cstheme="minorHAnsi"/>
          <w:spacing w:val="-1"/>
        </w:rPr>
        <w:t>a</w:t>
      </w:r>
      <w:r w:rsidRPr="00A54361">
        <w:rPr>
          <w:rFonts w:eastAsia="Times New Roman" w:cstheme="minorHAnsi"/>
        </w:rPr>
        <w:t>t</w:t>
      </w:r>
      <w:r w:rsidRPr="00A54361">
        <w:rPr>
          <w:rFonts w:eastAsia="Times New Roman" w:cstheme="minorHAnsi"/>
          <w:spacing w:val="3"/>
        </w:rPr>
        <w:t>i</w:t>
      </w:r>
      <w:r w:rsidRPr="00A54361">
        <w:rPr>
          <w:rFonts w:eastAsia="Times New Roman" w:cstheme="minorHAnsi"/>
        </w:rPr>
        <w:t>on</w:t>
      </w:r>
      <w:r w:rsidRPr="00A54361">
        <w:rPr>
          <w:rFonts w:eastAsia="Times New Roman" w:cstheme="minorHAnsi"/>
          <w:spacing w:val="2"/>
        </w:rPr>
        <w:t xml:space="preserve"> </w:t>
      </w:r>
      <w:r w:rsidRPr="00A54361">
        <w:rPr>
          <w:rFonts w:eastAsia="Times New Roman" w:cstheme="minorHAnsi"/>
        </w:rPr>
        <w:t>on</w:t>
      </w:r>
      <w:r w:rsidRPr="00A54361">
        <w:rPr>
          <w:rFonts w:eastAsia="Times New Roman" w:cstheme="minorHAnsi"/>
          <w:spacing w:val="2"/>
        </w:rPr>
        <w:t xml:space="preserve"> </w:t>
      </w:r>
      <w:r w:rsidRPr="00A54361">
        <w:rPr>
          <w:rFonts w:eastAsia="Times New Roman" w:cstheme="minorHAnsi"/>
        </w:rPr>
        <w:t>the</w:t>
      </w:r>
      <w:r w:rsidRPr="00A54361">
        <w:rPr>
          <w:rFonts w:eastAsia="Times New Roman" w:cstheme="minorHAnsi"/>
          <w:spacing w:val="2"/>
        </w:rPr>
        <w:t xml:space="preserve"> </w:t>
      </w:r>
      <w:r w:rsidRPr="00A54361">
        <w:rPr>
          <w:rFonts w:eastAsia="Times New Roman" w:cstheme="minorHAnsi"/>
        </w:rPr>
        <w:t>matter</w:t>
      </w:r>
      <w:r w:rsidRPr="00A54361">
        <w:rPr>
          <w:rFonts w:eastAsia="Times New Roman" w:cstheme="minorHAnsi"/>
          <w:spacing w:val="1"/>
        </w:rPr>
        <w:t xml:space="preserve"> </w:t>
      </w:r>
      <w:r w:rsidRPr="00A54361">
        <w:rPr>
          <w:rFonts w:eastAsia="Times New Roman" w:cstheme="minorHAnsi"/>
        </w:rPr>
        <w:t>to E</w:t>
      </w:r>
      <w:r w:rsidRPr="00A54361">
        <w:rPr>
          <w:rFonts w:eastAsia="Times New Roman" w:cstheme="minorHAnsi"/>
          <w:spacing w:val="2"/>
        </w:rPr>
        <w:t>x</w:t>
      </w:r>
      <w:r w:rsidRPr="00A54361">
        <w:rPr>
          <w:rFonts w:eastAsia="Times New Roman" w:cstheme="minorHAnsi"/>
          <w:spacing w:val="-1"/>
        </w:rPr>
        <w:t>ec</w:t>
      </w:r>
      <w:r w:rsidRPr="00A54361">
        <w:rPr>
          <w:rFonts w:eastAsia="Times New Roman" w:cstheme="minorHAnsi"/>
        </w:rPr>
        <w:t>ut</w:t>
      </w:r>
      <w:r w:rsidRPr="00A54361">
        <w:rPr>
          <w:rFonts w:eastAsia="Times New Roman" w:cstheme="minorHAnsi"/>
          <w:spacing w:val="1"/>
        </w:rPr>
        <w:t>i</w:t>
      </w:r>
      <w:r w:rsidRPr="00A54361">
        <w:rPr>
          <w:rFonts w:eastAsia="Times New Roman" w:cstheme="minorHAnsi"/>
        </w:rPr>
        <w:t>ve Dir</w:t>
      </w:r>
      <w:r w:rsidRPr="00A54361">
        <w:rPr>
          <w:rFonts w:eastAsia="Times New Roman" w:cstheme="minorHAnsi"/>
          <w:spacing w:val="-2"/>
        </w:rPr>
        <w:t>e</w:t>
      </w:r>
      <w:r w:rsidRPr="00A54361">
        <w:rPr>
          <w:rFonts w:eastAsia="Times New Roman" w:cstheme="minorHAnsi"/>
          <w:spacing w:val="-1"/>
        </w:rPr>
        <w:t>c</w:t>
      </w:r>
      <w:r w:rsidRPr="00A54361">
        <w:rPr>
          <w:rFonts w:eastAsia="Times New Roman" w:cstheme="minorHAnsi"/>
        </w:rPr>
        <w:t>tor,</w:t>
      </w:r>
      <w:r w:rsidRPr="00A54361">
        <w:rPr>
          <w:rFonts w:eastAsia="Times New Roman" w:cstheme="minorHAnsi"/>
          <w:spacing w:val="1"/>
        </w:rPr>
        <w:t xml:space="preserve"> </w:t>
      </w:r>
      <w:r w:rsidR="00917777" w:rsidRPr="00A54361">
        <w:rPr>
          <w:rFonts w:eastAsia="Times New Roman" w:cstheme="minorHAnsi"/>
          <w:spacing w:val="2"/>
        </w:rPr>
        <w:t>BSD</w:t>
      </w:r>
      <w:r w:rsidR="00917777" w:rsidRPr="00A54361">
        <w:rPr>
          <w:rFonts w:eastAsia="Times New Roman" w:cstheme="minorHAnsi"/>
          <w:spacing w:val="1"/>
        </w:rPr>
        <w:t xml:space="preserve"> </w:t>
      </w:r>
      <w:r w:rsidRPr="00A54361">
        <w:rPr>
          <w:rFonts w:eastAsia="Times New Roman" w:cstheme="minorHAnsi"/>
        </w:rPr>
        <w:t>to</w:t>
      </w:r>
      <w:r w:rsidRPr="00A54361">
        <w:rPr>
          <w:rFonts w:eastAsia="Times New Roman" w:cstheme="minorHAnsi"/>
          <w:spacing w:val="2"/>
        </w:rPr>
        <w:t xml:space="preserve"> </w:t>
      </w:r>
      <w:r w:rsidRPr="00A54361">
        <w:rPr>
          <w:rFonts w:eastAsia="Times New Roman" w:cstheme="minorHAnsi"/>
        </w:rPr>
        <w:t>pla</w:t>
      </w:r>
      <w:r w:rsidRPr="00A54361">
        <w:rPr>
          <w:rFonts w:eastAsia="Times New Roman" w:cstheme="minorHAnsi"/>
          <w:spacing w:val="-1"/>
        </w:rPr>
        <w:t>c</w:t>
      </w:r>
      <w:r w:rsidRPr="00A54361">
        <w:rPr>
          <w:rFonts w:eastAsia="Times New Roman" w:cstheme="minorHAnsi"/>
        </w:rPr>
        <w:t>e it</w:t>
      </w:r>
      <w:r w:rsidRPr="00A54361">
        <w:rPr>
          <w:rFonts w:eastAsia="Times New Roman" w:cstheme="minorHAnsi"/>
          <w:spacing w:val="2"/>
        </w:rPr>
        <w:t xml:space="preserve"> </w:t>
      </w:r>
      <w:r w:rsidRPr="00A54361">
        <w:rPr>
          <w:rFonts w:eastAsia="Times New Roman" w:cstheme="minorHAnsi"/>
        </w:rPr>
        <w:t>b</w:t>
      </w:r>
      <w:r w:rsidRPr="00A54361">
        <w:rPr>
          <w:rFonts w:eastAsia="Times New Roman" w:cstheme="minorHAnsi"/>
          <w:spacing w:val="-1"/>
        </w:rPr>
        <w:t>e</w:t>
      </w:r>
      <w:r w:rsidRPr="00A54361">
        <w:rPr>
          <w:rFonts w:eastAsia="Times New Roman" w:cstheme="minorHAnsi"/>
        </w:rPr>
        <w:t>f</w:t>
      </w:r>
      <w:r w:rsidRPr="00A54361">
        <w:rPr>
          <w:rFonts w:eastAsia="Times New Roman" w:cstheme="minorHAnsi"/>
          <w:spacing w:val="1"/>
        </w:rPr>
        <w:t>o</w:t>
      </w:r>
      <w:r w:rsidRPr="00A54361">
        <w:rPr>
          <w:rFonts w:eastAsia="Times New Roman" w:cstheme="minorHAnsi"/>
        </w:rPr>
        <w:t>re E</w:t>
      </w:r>
      <w:r w:rsidRPr="00A54361">
        <w:rPr>
          <w:rFonts w:eastAsia="Times New Roman" w:cstheme="minorHAnsi"/>
          <w:spacing w:val="2"/>
        </w:rPr>
        <w:t>x</w:t>
      </w:r>
      <w:r w:rsidRPr="00A54361">
        <w:rPr>
          <w:rFonts w:eastAsia="Times New Roman" w:cstheme="minorHAnsi"/>
          <w:spacing w:val="-1"/>
        </w:rPr>
        <w:t>e</w:t>
      </w:r>
      <w:r w:rsidRPr="00A54361">
        <w:rPr>
          <w:rFonts w:eastAsia="Times New Roman" w:cstheme="minorHAnsi"/>
          <w:spacing w:val="1"/>
        </w:rPr>
        <w:t>c</w:t>
      </w:r>
      <w:r w:rsidRPr="00A54361">
        <w:rPr>
          <w:rFonts w:eastAsia="Times New Roman" w:cstheme="minorHAnsi"/>
        </w:rPr>
        <w:t>ut</w:t>
      </w:r>
      <w:r w:rsidRPr="00A54361">
        <w:rPr>
          <w:rFonts w:eastAsia="Times New Roman" w:cstheme="minorHAnsi"/>
          <w:spacing w:val="1"/>
        </w:rPr>
        <w:t>i</w:t>
      </w:r>
      <w:r w:rsidRPr="00A54361">
        <w:rPr>
          <w:rFonts w:eastAsia="Times New Roman" w:cstheme="minorHAnsi"/>
        </w:rPr>
        <w:t>ve Dir</w:t>
      </w:r>
      <w:r w:rsidRPr="00A54361">
        <w:rPr>
          <w:rFonts w:eastAsia="Times New Roman" w:cstheme="minorHAnsi"/>
          <w:spacing w:val="-2"/>
        </w:rPr>
        <w:t>e</w:t>
      </w:r>
      <w:r w:rsidRPr="00A54361">
        <w:rPr>
          <w:rFonts w:eastAsia="Times New Roman" w:cstheme="minorHAnsi"/>
          <w:spacing w:val="-1"/>
        </w:rPr>
        <w:t>c</w:t>
      </w:r>
      <w:r w:rsidRPr="00A54361">
        <w:rPr>
          <w:rFonts w:eastAsia="Times New Roman" w:cstheme="minorHAnsi"/>
        </w:rPr>
        <w:t>tor</w:t>
      </w:r>
      <w:r w:rsidRPr="00A54361">
        <w:rPr>
          <w:rFonts w:eastAsia="Times New Roman" w:cstheme="minorHAnsi"/>
          <w:spacing w:val="2"/>
        </w:rPr>
        <w:t>s</w:t>
      </w:r>
      <w:r w:rsidRPr="00A54361">
        <w:rPr>
          <w:rFonts w:eastAsia="Times New Roman" w:cstheme="minorHAnsi"/>
        </w:rPr>
        <w:t>‟ Com</w:t>
      </w:r>
      <w:r w:rsidRPr="00A54361">
        <w:rPr>
          <w:rFonts w:eastAsia="Times New Roman" w:cstheme="minorHAnsi"/>
          <w:spacing w:val="1"/>
        </w:rPr>
        <w:t>m</w:t>
      </w:r>
      <w:r w:rsidRPr="00A54361">
        <w:rPr>
          <w:rFonts w:eastAsia="Times New Roman" w:cstheme="minorHAnsi"/>
        </w:rPr>
        <w:t>i</w:t>
      </w:r>
      <w:r w:rsidRPr="00A54361">
        <w:rPr>
          <w:rFonts w:eastAsia="Times New Roman" w:cstheme="minorHAnsi"/>
          <w:spacing w:val="-1"/>
        </w:rPr>
        <w:t>t</w:t>
      </w:r>
      <w:r w:rsidRPr="00A54361">
        <w:rPr>
          <w:rFonts w:eastAsia="Times New Roman" w:cstheme="minorHAnsi"/>
        </w:rPr>
        <w:t>tee (</w:t>
      </w:r>
      <w:r w:rsidRPr="00A54361">
        <w:rPr>
          <w:rFonts w:eastAsia="Times New Roman" w:cstheme="minorHAnsi"/>
          <w:spacing w:val="-1"/>
        </w:rPr>
        <w:t>E</w:t>
      </w:r>
      <w:r w:rsidRPr="00A54361">
        <w:rPr>
          <w:rFonts w:eastAsia="Times New Roman" w:cstheme="minorHAnsi"/>
        </w:rPr>
        <w:t>DC)</w:t>
      </w:r>
      <w:r w:rsidRPr="00A54361">
        <w:rPr>
          <w:rFonts w:eastAsia="Times New Roman" w:cstheme="minorHAnsi"/>
          <w:spacing w:val="3"/>
        </w:rPr>
        <w:t xml:space="preserve"> </w:t>
      </w:r>
      <w:r w:rsidRPr="00A54361">
        <w:rPr>
          <w:rFonts w:eastAsia="Times New Roman" w:cstheme="minorHAnsi"/>
        </w:rPr>
        <w:t>with</w:t>
      </w:r>
      <w:r w:rsidRPr="00A54361">
        <w:rPr>
          <w:rFonts w:eastAsia="Times New Roman" w:cstheme="minorHAnsi"/>
          <w:spacing w:val="2"/>
        </w:rPr>
        <w:t xml:space="preserve"> </w:t>
      </w:r>
      <w:r w:rsidRPr="00A54361">
        <w:rPr>
          <w:rFonts w:eastAsia="Times New Roman" w:cstheme="minorHAnsi"/>
        </w:rPr>
        <w:t>ED (</w:t>
      </w:r>
      <w:r w:rsidR="00917777" w:rsidRPr="00A54361">
        <w:rPr>
          <w:rFonts w:eastAsia="Times New Roman" w:cstheme="minorHAnsi"/>
          <w:spacing w:val="-1"/>
        </w:rPr>
        <w:t>BSD</w:t>
      </w:r>
      <w:r w:rsidRPr="00A54361">
        <w:rPr>
          <w:rFonts w:eastAsia="Times New Roman" w:cstheme="minorHAnsi"/>
        </w:rPr>
        <w:t>)</w:t>
      </w:r>
      <w:r w:rsidRPr="00A54361">
        <w:rPr>
          <w:rFonts w:eastAsia="Times New Roman" w:cstheme="minorHAnsi"/>
          <w:spacing w:val="1"/>
        </w:rPr>
        <w:t xml:space="preserve"> </w:t>
      </w:r>
      <w:r w:rsidRPr="00A54361">
        <w:rPr>
          <w:rFonts w:eastAsia="Times New Roman" w:cstheme="minorHAnsi"/>
          <w:spacing w:val="-1"/>
        </w:rPr>
        <w:t>a</w:t>
      </w:r>
      <w:r w:rsidRPr="00A54361">
        <w:rPr>
          <w:rFonts w:eastAsia="Times New Roman" w:cstheme="minorHAnsi"/>
        </w:rPr>
        <w:t>s Conv</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1"/>
        </w:rPr>
        <w:t xml:space="preserve"> </w:t>
      </w:r>
      <w:r w:rsidRPr="00A54361">
        <w:rPr>
          <w:rFonts w:eastAsia="Times New Roman" w:cstheme="minorHAnsi"/>
          <w:spacing w:val="2"/>
        </w:rPr>
        <w:t>o</w:t>
      </w:r>
      <w:r w:rsidRPr="00A54361">
        <w:rPr>
          <w:rFonts w:eastAsia="Times New Roman" w:cstheme="minorHAnsi"/>
        </w:rPr>
        <w:t>f the</w:t>
      </w:r>
      <w:r w:rsidRPr="00A54361">
        <w:rPr>
          <w:rFonts w:eastAsia="Times New Roman" w:cstheme="minorHAnsi"/>
          <w:spacing w:val="-1"/>
        </w:rPr>
        <w:t xml:space="preserve"> </w:t>
      </w:r>
      <w:r w:rsidRPr="00A54361">
        <w:rPr>
          <w:rFonts w:eastAsia="Times New Roman" w:cstheme="minorHAnsi"/>
        </w:rPr>
        <w:t>Com</w:t>
      </w:r>
      <w:r w:rsidRPr="00A54361">
        <w:rPr>
          <w:rFonts w:eastAsia="Times New Roman" w:cstheme="minorHAnsi"/>
          <w:spacing w:val="1"/>
        </w:rPr>
        <w:t>m</w:t>
      </w:r>
      <w:r w:rsidRPr="00A54361">
        <w:rPr>
          <w:rFonts w:eastAsia="Times New Roman" w:cstheme="minorHAnsi"/>
        </w:rPr>
        <w:t>i</w:t>
      </w:r>
      <w:r w:rsidRPr="00A54361">
        <w:rPr>
          <w:rFonts w:eastAsia="Times New Roman" w:cstheme="minorHAnsi"/>
          <w:spacing w:val="1"/>
        </w:rPr>
        <w:t>t</w:t>
      </w:r>
      <w:r w:rsidRPr="00A54361">
        <w:rPr>
          <w:rFonts w:eastAsia="Times New Roman" w:cstheme="minorHAnsi"/>
        </w:rPr>
        <w:t>te</w:t>
      </w:r>
      <w:r w:rsidRPr="00A54361">
        <w:rPr>
          <w:rFonts w:eastAsia="Times New Roman" w:cstheme="minorHAnsi"/>
          <w:spacing w:val="-1"/>
        </w:rPr>
        <w:t>e</w:t>
      </w:r>
      <w:r w:rsidRPr="00A54361">
        <w:rPr>
          <w:rFonts w:eastAsia="Times New Roman" w:cstheme="minorHAnsi"/>
        </w:rPr>
        <w:t>.</w:t>
      </w:r>
    </w:p>
    <w:p w14:paraId="60BE6F7E" w14:textId="55D70BAD" w:rsidR="0054549F" w:rsidRPr="00A54361" w:rsidRDefault="0054549F" w:rsidP="00A54361">
      <w:pPr>
        <w:ind w:right="84"/>
        <w:jc w:val="both"/>
        <w:rPr>
          <w:rFonts w:cstheme="minorHAnsi"/>
        </w:rPr>
      </w:pPr>
      <w:r w:rsidRPr="00A54361">
        <w:rPr>
          <w:rFonts w:eastAsia="Times New Roman" w:cstheme="minorHAnsi"/>
        </w:rPr>
        <w:t>•</w:t>
      </w:r>
      <w:r w:rsidRPr="00A54361">
        <w:rPr>
          <w:rFonts w:eastAsia="Times New Roman" w:cstheme="minorHAnsi"/>
          <w:spacing w:val="7"/>
        </w:rPr>
        <w:t xml:space="preserve"> </w:t>
      </w:r>
      <w:r w:rsidRPr="00A54361">
        <w:rPr>
          <w:rFonts w:eastAsia="Times New Roman" w:cstheme="minorHAnsi"/>
        </w:rPr>
        <w:t>The</w:t>
      </w:r>
      <w:r w:rsidRPr="00A54361">
        <w:rPr>
          <w:rFonts w:eastAsia="Times New Roman" w:cstheme="minorHAnsi"/>
          <w:spacing w:val="6"/>
        </w:rPr>
        <w:t xml:space="preserve"> </w:t>
      </w:r>
      <w:r w:rsidRPr="00A54361">
        <w:rPr>
          <w:rFonts w:eastAsia="Times New Roman" w:cstheme="minorHAnsi"/>
          <w:spacing w:val="-1"/>
        </w:rPr>
        <w:t>c</w:t>
      </w:r>
      <w:r w:rsidRPr="00A54361">
        <w:rPr>
          <w:rFonts w:eastAsia="Times New Roman" w:cstheme="minorHAnsi"/>
        </w:rPr>
        <w:t>om</w:t>
      </w:r>
      <w:r w:rsidRPr="00A54361">
        <w:rPr>
          <w:rFonts w:eastAsia="Times New Roman" w:cstheme="minorHAnsi"/>
          <w:spacing w:val="1"/>
        </w:rPr>
        <w:t>m</w:t>
      </w:r>
      <w:r w:rsidRPr="00A54361">
        <w:rPr>
          <w:rFonts w:eastAsia="Times New Roman" w:cstheme="minorHAnsi"/>
        </w:rPr>
        <w:t>i</w:t>
      </w:r>
      <w:r w:rsidRPr="00A54361">
        <w:rPr>
          <w:rFonts w:eastAsia="Times New Roman" w:cstheme="minorHAnsi"/>
          <w:spacing w:val="1"/>
        </w:rPr>
        <w:t>t</w:t>
      </w:r>
      <w:r w:rsidRPr="00A54361">
        <w:rPr>
          <w:rFonts w:eastAsia="Times New Roman" w:cstheme="minorHAnsi"/>
        </w:rPr>
        <w:t>tee</w:t>
      </w:r>
      <w:r w:rsidRPr="00A54361">
        <w:rPr>
          <w:rFonts w:eastAsia="Times New Roman" w:cstheme="minorHAnsi"/>
          <w:spacing w:val="6"/>
        </w:rPr>
        <w:t xml:space="preserve"> </w:t>
      </w:r>
      <w:r w:rsidRPr="00A54361">
        <w:rPr>
          <w:rFonts w:eastAsia="Times New Roman" w:cstheme="minorHAnsi"/>
        </w:rPr>
        <w:t>sh</w:t>
      </w:r>
      <w:r w:rsidRPr="00A54361">
        <w:rPr>
          <w:rFonts w:eastAsia="Times New Roman" w:cstheme="minorHAnsi"/>
          <w:spacing w:val="-1"/>
        </w:rPr>
        <w:t>a</w:t>
      </w:r>
      <w:r w:rsidRPr="00A54361">
        <w:rPr>
          <w:rFonts w:eastAsia="Times New Roman" w:cstheme="minorHAnsi"/>
        </w:rPr>
        <w:t>ll</w:t>
      </w:r>
      <w:r w:rsidRPr="00A54361">
        <w:rPr>
          <w:rFonts w:eastAsia="Times New Roman" w:cstheme="minorHAnsi"/>
          <w:spacing w:val="8"/>
        </w:rPr>
        <w:t xml:space="preserve"> </w:t>
      </w:r>
      <w:r w:rsidRPr="00A54361">
        <w:rPr>
          <w:rFonts w:eastAsia="Times New Roman" w:cstheme="minorHAnsi"/>
          <w:spacing w:val="-1"/>
        </w:rPr>
        <w:t>e</w:t>
      </w:r>
      <w:r w:rsidRPr="00A54361">
        <w:rPr>
          <w:rFonts w:eastAsia="Times New Roman" w:cstheme="minorHAnsi"/>
          <w:spacing w:val="2"/>
        </w:rPr>
        <w:t>x</w:t>
      </w:r>
      <w:r w:rsidRPr="00A54361">
        <w:rPr>
          <w:rFonts w:eastAsia="Times New Roman" w:cstheme="minorHAnsi"/>
        </w:rPr>
        <w:t>p</w:t>
      </w:r>
      <w:r w:rsidRPr="00A54361">
        <w:rPr>
          <w:rFonts w:eastAsia="Times New Roman" w:cstheme="minorHAnsi"/>
          <w:spacing w:val="-1"/>
        </w:rPr>
        <w:t>e</w:t>
      </w:r>
      <w:r w:rsidRPr="00A54361">
        <w:rPr>
          <w:rFonts w:eastAsia="Times New Roman" w:cstheme="minorHAnsi"/>
        </w:rPr>
        <w:t>di</w:t>
      </w:r>
      <w:r w:rsidRPr="00A54361">
        <w:rPr>
          <w:rFonts w:eastAsia="Times New Roman" w:cstheme="minorHAnsi"/>
          <w:spacing w:val="1"/>
        </w:rPr>
        <w:t>t</w:t>
      </w:r>
      <w:r w:rsidRPr="00A54361">
        <w:rPr>
          <w:rFonts w:eastAsia="Times New Roman" w:cstheme="minorHAnsi"/>
        </w:rPr>
        <w:t>ious</w:t>
      </w:r>
      <w:r w:rsidRPr="00A54361">
        <w:rPr>
          <w:rFonts w:eastAsia="Times New Roman" w:cstheme="minorHAnsi"/>
          <w:spacing w:val="3"/>
        </w:rPr>
        <w:t>l</w:t>
      </w:r>
      <w:r w:rsidRPr="00A54361">
        <w:rPr>
          <w:rFonts w:eastAsia="Times New Roman" w:cstheme="minorHAnsi"/>
        </w:rPr>
        <w:t>y</w:t>
      </w:r>
      <w:r w:rsidRPr="00A54361">
        <w:rPr>
          <w:rFonts w:eastAsia="Times New Roman" w:cstheme="minorHAnsi"/>
          <w:spacing w:val="2"/>
        </w:rPr>
        <w:t xml:space="preserve"> </w:t>
      </w:r>
      <w:r w:rsidRPr="00A54361">
        <w:rPr>
          <w:rFonts w:eastAsia="Times New Roman" w:cstheme="minorHAnsi"/>
          <w:spacing w:val="-1"/>
        </w:rPr>
        <w:t>e</w:t>
      </w:r>
      <w:r w:rsidRPr="00A54361">
        <w:rPr>
          <w:rFonts w:eastAsia="Times New Roman" w:cstheme="minorHAnsi"/>
          <w:spacing w:val="2"/>
        </w:rPr>
        <w:t>x</w:t>
      </w:r>
      <w:r w:rsidRPr="00A54361">
        <w:rPr>
          <w:rFonts w:eastAsia="Times New Roman" w:cstheme="minorHAnsi"/>
          <w:spacing w:val="-1"/>
        </w:rPr>
        <w:t>a</w:t>
      </w:r>
      <w:r w:rsidRPr="00A54361">
        <w:rPr>
          <w:rFonts w:eastAsia="Times New Roman" w:cstheme="minorHAnsi"/>
        </w:rPr>
        <w:t>m</w:t>
      </w:r>
      <w:r w:rsidRPr="00A54361">
        <w:rPr>
          <w:rFonts w:eastAsia="Times New Roman" w:cstheme="minorHAnsi"/>
          <w:spacing w:val="1"/>
        </w:rPr>
        <w:t>i</w:t>
      </w:r>
      <w:r w:rsidRPr="00A54361">
        <w:rPr>
          <w:rFonts w:eastAsia="Times New Roman" w:cstheme="minorHAnsi"/>
        </w:rPr>
        <w:t>ne</w:t>
      </w:r>
      <w:r w:rsidRPr="00A54361">
        <w:rPr>
          <w:rFonts w:eastAsia="Times New Roman" w:cstheme="minorHAnsi"/>
          <w:spacing w:val="6"/>
        </w:rPr>
        <w:t xml:space="preserve"> </w:t>
      </w:r>
      <w:r w:rsidRPr="00A54361">
        <w:rPr>
          <w:rFonts w:eastAsia="Times New Roman" w:cstheme="minorHAnsi"/>
        </w:rPr>
        <w:t>the</w:t>
      </w:r>
      <w:r w:rsidRPr="00A54361">
        <w:rPr>
          <w:rFonts w:eastAsia="Times New Roman" w:cstheme="minorHAnsi"/>
          <w:spacing w:val="6"/>
        </w:rPr>
        <w:t xml:space="preserve"> </w:t>
      </w:r>
      <w:r w:rsidRPr="00A54361">
        <w:rPr>
          <w:rFonts w:eastAsia="Times New Roman" w:cstheme="minorHAnsi"/>
          <w:spacing w:val="1"/>
        </w:rPr>
        <w:t>r</w:t>
      </w:r>
      <w:r w:rsidRPr="00A54361">
        <w:rPr>
          <w:rFonts w:eastAsia="Times New Roman" w:cstheme="minorHAnsi"/>
          <w:spacing w:val="-1"/>
        </w:rPr>
        <w:t>e</w:t>
      </w:r>
      <w:r w:rsidRPr="00A54361">
        <w:rPr>
          <w:rFonts w:eastAsia="Times New Roman" w:cstheme="minorHAnsi"/>
        </w:rPr>
        <w:t>port,</w:t>
      </w:r>
      <w:r w:rsidRPr="00A54361">
        <w:rPr>
          <w:rFonts w:eastAsia="Times New Roman" w:cstheme="minorHAnsi"/>
          <w:spacing w:val="7"/>
        </w:rPr>
        <w:t xml:space="preserve"> </w:t>
      </w:r>
      <w:r w:rsidRPr="00A54361">
        <w:rPr>
          <w:rFonts w:eastAsia="Times New Roman" w:cstheme="minorHAnsi"/>
          <w:spacing w:val="-2"/>
        </w:rPr>
        <w:t>g</w:t>
      </w:r>
      <w:r w:rsidRPr="00A54361">
        <w:rPr>
          <w:rFonts w:eastAsia="Times New Roman" w:cstheme="minorHAnsi"/>
        </w:rPr>
        <w:t>i</w:t>
      </w:r>
      <w:r w:rsidRPr="00A54361">
        <w:rPr>
          <w:rFonts w:eastAsia="Times New Roman" w:cstheme="minorHAnsi"/>
          <w:spacing w:val="3"/>
        </w:rPr>
        <w:t>v</w:t>
      </w:r>
      <w:r w:rsidRPr="00A54361">
        <w:rPr>
          <w:rFonts w:eastAsia="Times New Roman" w:cstheme="minorHAnsi"/>
        </w:rPr>
        <w:t>e</w:t>
      </w:r>
      <w:r w:rsidRPr="00A54361">
        <w:rPr>
          <w:rFonts w:eastAsia="Times New Roman" w:cstheme="minorHAnsi"/>
          <w:spacing w:val="6"/>
        </w:rPr>
        <w:t xml:space="preserve"> </w:t>
      </w:r>
      <w:r w:rsidRPr="00A54361">
        <w:rPr>
          <w:rFonts w:eastAsia="Times New Roman" w:cstheme="minorHAnsi"/>
        </w:rPr>
        <w:t>i</w:t>
      </w:r>
      <w:r w:rsidRPr="00A54361">
        <w:rPr>
          <w:rFonts w:eastAsia="Times New Roman" w:cstheme="minorHAnsi"/>
          <w:spacing w:val="1"/>
        </w:rPr>
        <w:t>t</w:t>
      </w:r>
      <w:r w:rsidRPr="00A54361">
        <w:rPr>
          <w:rFonts w:eastAsia="Times New Roman" w:cstheme="minorHAnsi"/>
        </w:rPr>
        <w:t>s</w:t>
      </w:r>
      <w:r w:rsidRPr="00A54361">
        <w:rPr>
          <w:rFonts w:eastAsia="Times New Roman" w:cstheme="minorHAnsi"/>
          <w:spacing w:val="7"/>
        </w:rPr>
        <w:t xml:space="preserve"> </w:t>
      </w:r>
      <w:r w:rsidRPr="00A54361">
        <w:rPr>
          <w:rFonts w:eastAsia="Times New Roman" w:cstheme="minorHAnsi"/>
          <w:spacing w:val="-1"/>
        </w:rPr>
        <w:t>c</w:t>
      </w:r>
      <w:r w:rsidRPr="00A54361">
        <w:rPr>
          <w:rFonts w:eastAsia="Times New Roman" w:cstheme="minorHAnsi"/>
        </w:rPr>
        <w:t>om</w:t>
      </w:r>
      <w:r w:rsidRPr="00A54361">
        <w:rPr>
          <w:rFonts w:eastAsia="Times New Roman" w:cstheme="minorHAnsi"/>
          <w:spacing w:val="1"/>
        </w:rPr>
        <w:t>m</w:t>
      </w:r>
      <w:r w:rsidRPr="00A54361">
        <w:rPr>
          <w:rFonts w:eastAsia="Times New Roman" w:cstheme="minorHAnsi"/>
          <w:spacing w:val="-1"/>
        </w:rPr>
        <w:t>e</w:t>
      </w:r>
      <w:r w:rsidRPr="00A54361">
        <w:rPr>
          <w:rFonts w:eastAsia="Times New Roman" w:cstheme="minorHAnsi"/>
        </w:rPr>
        <w:t>nts</w:t>
      </w:r>
      <w:r w:rsidRPr="00A54361">
        <w:rPr>
          <w:rFonts w:eastAsia="Times New Roman" w:cstheme="minorHAnsi"/>
          <w:spacing w:val="1"/>
        </w:rPr>
        <w:t>/</w:t>
      </w:r>
      <w:r w:rsidRPr="00A54361">
        <w:rPr>
          <w:rFonts w:eastAsia="Times New Roman" w:cstheme="minorHAnsi"/>
        </w:rPr>
        <w:t>r</w:t>
      </w:r>
      <w:r w:rsidRPr="00A54361">
        <w:rPr>
          <w:rFonts w:eastAsia="Times New Roman" w:cstheme="minorHAnsi"/>
          <w:spacing w:val="-2"/>
        </w:rPr>
        <w:t>e</w:t>
      </w:r>
      <w:r w:rsidRPr="00A54361">
        <w:rPr>
          <w:rFonts w:eastAsia="Times New Roman" w:cstheme="minorHAnsi"/>
          <w:spacing w:val="-1"/>
        </w:rPr>
        <w:t>c</w:t>
      </w:r>
      <w:r w:rsidRPr="00A54361">
        <w:rPr>
          <w:rFonts w:eastAsia="Times New Roman" w:cstheme="minorHAnsi"/>
        </w:rPr>
        <w:t>om</w:t>
      </w:r>
      <w:r w:rsidRPr="00A54361">
        <w:rPr>
          <w:rFonts w:eastAsia="Times New Roman" w:cstheme="minorHAnsi"/>
          <w:spacing w:val="1"/>
        </w:rPr>
        <w:t>m</w:t>
      </w:r>
      <w:r w:rsidRPr="00A54361">
        <w:rPr>
          <w:rFonts w:eastAsia="Times New Roman" w:cstheme="minorHAnsi"/>
          <w:spacing w:val="-1"/>
        </w:rPr>
        <w:t>e</w:t>
      </w:r>
      <w:r w:rsidRPr="00A54361">
        <w:rPr>
          <w:rFonts w:eastAsia="Times New Roman" w:cstheme="minorHAnsi"/>
        </w:rPr>
        <w:t>nd</w:t>
      </w:r>
      <w:r w:rsidRPr="00A54361">
        <w:rPr>
          <w:rFonts w:eastAsia="Times New Roman" w:cstheme="minorHAnsi"/>
          <w:spacing w:val="-1"/>
        </w:rPr>
        <w:t>a</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ons with</w:t>
      </w:r>
      <w:r w:rsidRPr="00A54361">
        <w:rPr>
          <w:rFonts w:eastAsia="Times New Roman" w:cstheme="minorHAnsi"/>
          <w:spacing w:val="1"/>
        </w:rPr>
        <w:t>i</w:t>
      </w:r>
      <w:r w:rsidRPr="00A54361">
        <w:rPr>
          <w:rFonts w:eastAsia="Times New Roman" w:cstheme="minorHAnsi"/>
        </w:rPr>
        <w:t>n tw</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3"/>
        </w:rPr>
        <w:t>t</w:t>
      </w:r>
      <w:r w:rsidRPr="00A54361">
        <w:rPr>
          <w:rFonts w:eastAsia="Times New Roman" w:cstheme="minorHAnsi"/>
        </w:rPr>
        <w:t>y</w:t>
      </w:r>
      <w:r w:rsidRPr="00A54361">
        <w:rPr>
          <w:rFonts w:eastAsia="Times New Roman" w:cstheme="minorHAnsi"/>
          <w:spacing w:val="-5"/>
        </w:rPr>
        <w:t xml:space="preserve"> </w:t>
      </w:r>
      <w:r w:rsidRPr="00A54361">
        <w:rPr>
          <w:rFonts w:eastAsia="Times New Roman" w:cstheme="minorHAnsi"/>
        </w:rPr>
        <w:t>one</w:t>
      </w:r>
      <w:r w:rsidRPr="00A54361">
        <w:rPr>
          <w:rFonts w:eastAsia="Times New Roman" w:cstheme="minorHAnsi"/>
          <w:spacing w:val="-1"/>
        </w:rPr>
        <w:t xml:space="preserve"> </w:t>
      </w:r>
      <w:r w:rsidRPr="00A54361">
        <w:rPr>
          <w:rFonts w:eastAsia="Times New Roman" w:cstheme="minorHAnsi"/>
          <w:spacing w:val="2"/>
        </w:rPr>
        <w:t>d</w:t>
      </w:r>
      <w:r w:rsidRPr="00A54361">
        <w:rPr>
          <w:rFonts w:eastAsia="Times New Roman" w:cstheme="minorHAnsi"/>
          <w:spacing w:val="4"/>
        </w:rPr>
        <w:t>a</w:t>
      </w:r>
      <w:r w:rsidRPr="00A54361">
        <w:rPr>
          <w:rFonts w:eastAsia="Times New Roman" w:cstheme="minorHAnsi"/>
          <w:spacing w:val="-7"/>
        </w:rPr>
        <w:t>y</w:t>
      </w:r>
      <w:r w:rsidRPr="00A54361">
        <w:rPr>
          <w:rFonts w:eastAsia="Times New Roman" w:cstheme="minorHAnsi"/>
        </w:rPr>
        <w:t xml:space="preserve">s </w:t>
      </w:r>
      <w:r w:rsidRPr="00A54361">
        <w:rPr>
          <w:rFonts w:eastAsia="Times New Roman" w:cstheme="minorHAnsi"/>
          <w:spacing w:val="2"/>
        </w:rPr>
        <w:t>o</w:t>
      </w:r>
      <w:r w:rsidRPr="00A54361">
        <w:rPr>
          <w:rFonts w:eastAsia="Times New Roman" w:cstheme="minorHAnsi"/>
        </w:rPr>
        <w:t xml:space="preserve">f </w:t>
      </w:r>
      <w:r w:rsidRPr="00A54361">
        <w:rPr>
          <w:rFonts w:eastAsia="Times New Roman" w:cstheme="minorHAnsi"/>
          <w:spacing w:val="-1"/>
        </w:rPr>
        <w:t>re</w:t>
      </w:r>
      <w:r w:rsidRPr="00A54361">
        <w:rPr>
          <w:rFonts w:eastAsia="Times New Roman" w:cstheme="minorHAnsi"/>
          <w:spacing w:val="1"/>
        </w:rPr>
        <w:t>c</w:t>
      </w:r>
      <w:r w:rsidRPr="00A54361">
        <w:rPr>
          <w:rFonts w:eastAsia="Times New Roman" w:cstheme="minorHAnsi"/>
          <w:spacing w:val="-1"/>
        </w:rPr>
        <w:t>e</w:t>
      </w:r>
      <w:r w:rsidRPr="00A54361">
        <w:rPr>
          <w:rFonts w:eastAsia="Times New Roman" w:cstheme="minorHAnsi"/>
        </w:rPr>
        <w:t>ipt</w:t>
      </w:r>
      <w:r w:rsidRPr="00A54361">
        <w:rPr>
          <w:rFonts w:eastAsia="Times New Roman" w:cstheme="minorHAnsi"/>
          <w:spacing w:val="1"/>
        </w:rPr>
        <w:t xml:space="preserve"> </w:t>
      </w:r>
      <w:r w:rsidRPr="00A54361">
        <w:rPr>
          <w:rFonts w:eastAsia="Times New Roman" w:cstheme="minorHAnsi"/>
        </w:rPr>
        <w:t>of the</w:t>
      </w:r>
      <w:r w:rsidRPr="00A54361">
        <w:rPr>
          <w:rFonts w:eastAsia="Times New Roman" w:cstheme="minorHAnsi"/>
          <w:spacing w:val="-1"/>
        </w:rPr>
        <w:t xml:space="preserve"> </w:t>
      </w:r>
      <w:r w:rsidRPr="00A54361">
        <w:rPr>
          <w:rFonts w:eastAsia="Times New Roman" w:cstheme="minorHAnsi"/>
          <w:spacing w:val="1"/>
        </w:rPr>
        <w:t>r</w:t>
      </w:r>
      <w:r w:rsidRPr="00A54361">
        <w:rPr>
          <w:rFonts w:eastAsia="Times New Roman" w:cstheme="minorHAnsi"/>
          <w:spacing w:val="-1"/>
        </w:rPr>
        <w:t>e</w:t>
      </w:r>
      <w:r w:rsidRPr="00A54361">
        <w:rPr>
          <w:rFonts w:eastAsia="Times New Roman" w:cstheme="minorHAnsi"/>
        </w:rPr>
        <w:t>fer</w:t>
      </w:r>
      <w:r w:rsidRPr="00A54361">
        <w:rPr>
          <w:rFonts w:eastAsia="Times New Roman" w:cstheme="minorHAnsi"/>
          <w:spacing w:val="-2"/>
        </w:rPr>
        <w:t>e</w:t>
      </w:r>
      <w:r w:rsidRPr="00A54361">
        <w:rPr>
          <w:rFonts w:eastAsia="Times New Roman" w:cstheme="minorHAnsi"/>
        </w:rPr>
        <w:t>n</w:t>
      </w:r>
      <w:r w:rsidRPr="00A54361">
        <w:rPr>
          <w:rFonts w:eastAsia="Times New Roman" w:cstheme="minorHAnsi"/>
          <w:spacing w:val="1"/>
        </w:rPr>
        <w:t>c</w:t>
      </w:r>
      <w:r w:rsidRPr="00A54361">
        <w:rPr>
          <w:rFonts w:eastAsia="Times New Roman" w:cstheme="minorHAnsi"/>
        </w:rPr>
        <w:t>e</w:t>
      </w:r>
      <w:r w:rsidRPr="00A54361">
        <w:rPr>
          <w:rFonts w:eastAsia="Times New Roman" w:cstheme="minorHAnsi"/>
          <w:spacing w:val="1"/>
        </w:rPr>
        <w:t xml:space="preserve"> </w:t>
      </w:r>
      <w:r w:rsidRPr="00A54361">
        <w:rPr>
          <w:rFonts w:eastAsia="Times New Roman" w:cstheme="minorHAnsi"/>
          <w:spacing w:val="2"/>
        </w:rPr>
        <w:t>b</w:t>
      </w:r>
      <w:r w:rsidRPr="00A54361">
        <w:rPr>
          <w:rFonts w:eastAsia="Times New Roman" w:cstheme="minorHAnsi"/>
        </w:rPr>
        <w:t>y</w:t>
      </w:r>
      <w:r w:rsidRPr="00A54361">
        <w:rPr>
          <w:rFonts w:eastAsia="Times New Roman" w:cstheme="minorHAnsi"/>
          <w:spacing w:val="-5"/>
        </w:rPr>
        <w:t xml:space="preserve"> </w:t>
      </w:r>
      <w:r w:rsidRPr="00A54361">
        <w:rPr>
          <w:rFonts w:eastAsia="Times New Roman" w:cstheme="minorHAnsi"/>
        </w:rPr>
        <w:t>E</w:t>
      </w:r>
      <w:r w:rsidRPr="00A54361">
        <w:rPr>
          <w:rFonts w:eastAsia="Times New Roman" w:cstheme="minorHAnsi"/>
          <w:spacing w:val="-1"/>
        </w:rPr>
        <w:t>D</w:t>
      </w:r>
      <w:r w:rsidRPr="00A54361">
        <w:rPr>
          <w:rFonts w:eastAsia="Times New Roman" w:cstheme="minorHAnsi"/>
        </w:rPr>
        <w:t>,</w:t>
      </w:r>
      <w:r w:rsidRPr="00A54361">
        <w:rPr>
          <w:rFonts w:eastAsia="Times New Roman" w:cstheme="minorHAnsi"/>
          <w:spacing w:val="2"/>
        </w:rPr>
        <w:t xml:space="preserve"> </w:t>
      </w:r>
      <w:r w:rsidR="00917777" w:rsidRPr="00A54361">
        <w:rPr>
          <w:rFonts w:eastAsia="Times New Roman" w:cstheme="minorHAnsi"/>
        </w:rPr>
        <w:t>BSD</w:t>
      </w:r>
      <w:r w:rsidRPr="00A54361">
        <w:rPr>
          <w:rFonts w:eastAsia="Times New Roman" w:cstheme="minorHAnsi"/>
        </w:rPr>
        <w:t>.</w:t>
      </w:r>
    </w:p>
    <w:p w14:paraId="04C820AD" w14:textId="25FA3848" w:rsidR="0054549F" w:rsidRPr="00A54361" w:rsidRDefault="0054549F" w:rsidP="00A54361">
      <w:pPr>
        <w:ind w:right="79"/>
        <w:jc w:val="both"/>
        <w:rPr>
          <w:rFonts w:cstheme="minorHAnsi"/>
        </w:rPr>
      </w:pPr>
      <w:r w:rsidRPr="00A54361">
        <w:rPr>
          <w:rFonts w:eastAsia="Times New Roman" w:cstheme="minorHAnsi"/>
        </w:rPr>
        <w:t>•</w:t>
      </w:r>
      <w:r w:rsidRPr="00A54361">
        <w:rPr>
          <w:rFonts w:eastAsia="Times New Roman" w:cstheme="minorHAnsi"/>
          <w:spacing w:val="7"/>
        </w:rPr>
        <w:t xml:space="preserve"> </w:t>
      </w:r>
      <w:r w:rsidRPr="00A54361">
        <w:rPr>
          <w:rFonts w:eastAsia="Times New Roman" w:cstheme="minorHAnsi"/>
          <w:spacing w:val="-6"/>
        </w:rPr>
        <w:t>I</w:t>
      </w:r>
      <w:r w:rsidRPr="00A54361">
        <w:rPr>
          <w:rFonts w:eastAsia="Times New Roman" w:cstheme="minorHAnsi"/>
        </w:rPr>
        <w:t>f</w:t>
      </w:r>
      <w:r w:rsidRPr="00A54361">
        <w:rPr>
          <w:rFonts w:eastAsia="Times New Roman" w:cstheme="minorHAnsi"/>
          <w:spacing w:val="4"/>
        </w:rPr>
        <w:t xml:space="preserve"> </w:t>
      </w:r>
      <w:r w:rsidRPr="00A54361">
        <w:rPr>
          <w:rFonts w:eastAsia="Times New Roman" w:cstheme="minorHAnsi"/>
        </w:rPr>
        <w:t>E</w:t>
      </w:r>
      <w:r w:rsidRPr="00A54361">
        <w:rPr>
          <w:rFonts w:eastAsia="Times New Roman" w:cstheme="minorHAnsi"/>
          <w:spacing w:val="-1"/>
        </w:rPr>
        <w:t>D</w:t>
      </w:r>
      <w:r w:rsidRPr="00A54361">
        <w:rPr>
          <w:rFonts w:eastAsia="Times New Roman" w:cstheme="minorHAnsi"/>
        </w:rPr>
        <w:t>C</w:t>
      </w:r>
      <w:r w:rsidRPr="00A54361">
        <w:rPr>
          <w:rFonts w:eastAsia="Times New Roman" w:cstheme="minorHAnsi"/>
          <w:spacing w:val="5"/>
        </w:rPr>
        <w:t xml:space="preserve"> </w:t>
      </w:r>
      <w:r w:rsidRPr="00A54361">
        <w:rPr>
          <w:rFonts w:eastAsia="Times New Roman" w:cstheme="minorHAnsi"/>
        </w:rPr>
        <w:t>opines</w:t>
      </w:r>
      <w:r w:rsidRPr="00A54361">
        <w:rPr>
          <w:rFonts w:eastAsia="Times New Roman" w:cstheme="minorHAnsi"/>
          <w:spacing w:val="5"/>
        </w:rPr>
        <w:t xml:space="preserve"> </w:t>
      </w:r>
      <w:r w:rsidRPr="00A54361">
        <w:rPr>
          <w:rFonts w:eastAsia="Times New Roman" w:cstheme="minorHAnsi"/>
        </w:rPr>
        <w:t>that</w:t>
      </w:r>
      <w:r w:rsidRPr="00A54361">
        <w:rPr>
          <w:rFonts w:eastAsia="Times New Roman" w:cstheme="minorHAnsi"/>
          <w:spacing w:val="5"/>
        </w:rPr>
        <w:t xml:space="preserve"> </w:t>
      </w:r>
      <w:r w:rsidRPr="00A54361">
        <w:rPr>
          <w:rFonts w:eastAsia="Times New Roman" w:cstheme="minorHAnsi"/>
        </w:rPr>
        <w:t>it</w:t>
      </w:r>
      <w:r w:rsidRPr="00A54361">
        <w:rPr>
          <w:rFonts w:eastAsia="Times New Roman" w:cstheme="minorHAnsi"/>
          <w:spacing w:val="3"/>
        </w:rPr>
        <w:t xml:space="preserve"> </w:t>
      </w:r>
      <w:r w:rsidRPr="00A54361">
        <w:rPr>
          <w:rFonts w:eastAsia="Times New Roman" w:cstheme="minorHAnsi"/>
          <w:spacing w:val="-2"/>
        </w:rPr>
        <w:t>i</w:t>
      </w:r>
      <w:r w:rsidRPr="00A54361">
        <w:rPr>
          <w:rFonts w:eastAsia="Times New Roman" w:cstheme="minorHAnsi"/>
        </w:rPr>
        <w:t>s</w:t>
      </w:r>
      <w:r w:rsidRPr="00A54361">
        <w:rPr>
          <w:rFonts w:eastAsia="Times New Roman" w:cstheme="minorHAnsi"/>
          <w:spacing w:val="5"/>
        </w:rPr>
        <w:t xml:space="preserve"> </w:t>
      </w:r>
      <w:r w:rsidRPr="00A54361">
        <w:rPr>
          <w:rFonts w:eastAsia="Times New Roman" w:cstheme="minorHAnsi"/>
        </w:rPr>
        <w:t>a</w:t>
      </w:r>
      <w:r w:rsidRPr="00A54361">
        <w:rPr>
          <w:rFonts w:eastAsia="Times New Roman" w:cstheme="minorHAnsi"/>
          <w:spacing w:val="4"/>
        </w:rPr>
        <w:t xml:space="preserve"> </w:t>
      </w:r>
      <w:r w:rsidRPr="00A54361">
        <w:rPr>
          <w:rFonts w:eastAsia="Times New Roman" w:cstheme="minorHAnsi"/>
        </w:rPr>
        <w:t>fit</w:t>
      </w:r>
      <w:r w:rsidRPr="00A54361">
        <w:rPr>
          <w:rFonts w:eastAsia="Times New Roman" w:cstheme="minorHAnsi"/>
          <w:spacing w:val="5"/>
        </w:rPr>
        <w:t xml:space="preserve"> </w:t>
      </w:r>
      <w:r w:rsidRPr="00A54361">
        <w:rPr>
          <w:rFonts w:eastAsia="Times New Roman" w:cstheme="minorHAnsi"/>
          <w:spacing w:val="-1"/>
        </w:rPr>
        <w:t>ca</w:t>
      </w:r>
      <w:r w:rsidRPr="00A54361">
        <w:rPr>
          <w:rFonts w:eastAsia="Times New Roman" w:cstheme="minorHAnsi"/>
        </w:rPr>
        <w:t>se</w:t>
      </w:r>
      <w:r w:rsidRPr="00A54361">
        <w:rPr>
          <w:rFonts w:eastAsia="Times New Roman" w:cstheme="minorHAnsi"/>
          <w:spacing w:val="4"/>
        </w:rPr>
        <w:t xml:space="preserve"> </w:t>
      </w:r>
      <w:r w:rsidRPr="00A54361">
        <w:rPr>
          <w:rFonts w:eastAsia="Times New Roman" w:cstheme="minorHAnsi"/>
        </w:rPr>
        <w:t>for</w:t>
      </w:r>
      <w:r w:rsidRPr="00A54361">
        <w:rPr>
          <w:rFonts w:eastAsia="Times New Roman" w:cstheme="minorHAnsi"/>
          <w:spacing w:val="4"/>
        </w:rPr>
        <w:t xml:space="preserve"> </w:t>
      </w:r>
      <w:r w:rsidRPr="00A54361">
        <w:rPr>
          <w:rFonts w:eastAsia="Times New Roman" w:cstheme="minorHAnsi"/>
        </w:rPr>
        <w:t>in</w:t>
      </w:r>
      <w:r w:rsidRPr="00A54361">
        <w:rPr>
          <w:rFonts w:eastAsia="Times New Roman" w:cstheme="minorHAnsi"/>
          <w:spacing w:val="1"/>
        </w:rPr>
        <w:t>i</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spacing w:val="-1"/>
        </w:rPr>
        <w:t>a</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ng b</w:t>
      </w:r>
      <w:r w:rsidRPr="00A54361">
        <w:rPr>
          <w:rFonts w:eastAsia="Times New Roman" w:cstheme="minorHAnsi"/>
          <w:spacing w:val="-1"/>
        </w:rPr>
        <w:t>a</w:t>
      </w:r>
      <w:r w:rsidRPr="00A54361">
        <w:rPr>
          <w:rFonts w:eastAsia="Times New Roman" w:cstheme="minorHAnsi"/>
        </w:rPr>
        <w:t>nning</w:t>
      </w:r>
      <w:r w:rsidRPr="00A54361">
        <w:rPr>
          <w:rFonts w:eastAsia="Times New Roman" w:cstheme="minorHAnsi"/>
          <w:spacing w:val="3"/>
        </w:rPr>
        <w:t xml:space="preserve"> </w:t>
      </w:r>
      <w:r w:rsidRPr="00A54361">
        <w:rPr>
          <w:rFonts w:eastAsia="Times New Roman" w:cstheme="minorHAnsi"/>
          <w:spacing w:val="1"/>
        </w:rPr>
        <w:t>a</w:t>
      </w:r>
      <w:r w:rsidRPr="00A54361">
        <w:rPr>
          <w:rFonts w:eastAsia="Times New Roman" w:cstheme="minorHAnsi"/>
          <w:spacing w:val="-1"/>
        </w:rPr>
        <w:t>c</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on,</w:t>
      </w:r>
      <w:r w:rsidRPr="00A54361">
        <w:rPr>
          <w:rFonts w:eastAsia="Times New Roman" w:cstheme="minorHAnsi"/>
          <w:spacing w:val="5"/>
        </w:rPr>
        <w:t xml:space="preserve"> </w:t>
      </w:r>
      <w:r w:rsidRPr="00A54361">
        <w:rPr>
          <w:rFonts w:eastAsia="Times New Roman" w:cstheme="minorHAnsi"/>
        </w:rPr>
        <w:t>it</w:t>
      </w:r>
      <w:r w:rsidRPr="00A54361">
        <w:rPr>
          <w:rFonts w:eastAsia="Times New Roman" w:cstheme="minorHAnsi"/>
          <w:spacing w:val="6"/>
        </w:rPr>
        <w:t xml:space="preserve"> </w:t>
      </w:r>
      <w:r w:rsidRPr="00A54361">
        <w:rPr>
          <w:rFonts w:eastAsia="Times New Roman" w:cstheme="minorHAnsi"/>
        </w:rPr>
        <w:t>wi</w:t>
      </w:r>
      <w:r w:rsidRPr="00A54361">
        <w:rPr>
          <w:rFonts w:eastAsia="Times New Roman" w:cstheme="minorHAnsi"/>
          <w:spacing w:val="-2"/>
        </w:rPr>
        <w:t>l</w:t>
      </w:r>
      <w:r w:rsidRPr="00A54361">
        <w:rPr>
          <w:rFonts w:eastAsia="Times New Roman" w:cstheme="minorHAnsi"/>
        </w:rPr>
        <w:t>l</w:t>
      </w:r>
      <w:r w:rsidRPr="00A54361">
        <w:rPr>
          <w:rFonts w:eastAsia="Times New Roman" w:cstheme="minorHAnsi"/>
          <w:spacing w:val="5"/>
        </w:rPr>
        <w:t xml:space="preserve"> </w:t>
      </w:r>
      <w:r w:rsidRPr="00A54361">
        <w:rPr>
          <w:rFonts w:eastAsia="Times New Roman" w:cstheme="minorHAnsi"/>
          <w:spacing w:val="7"/>
        </w:rPr>
        <w:t>d</w:t>
      </w:r>
      <w:r w:rsidRPr="00A54361">
        <w:rPr>
          <w:rFonts w:eastAsia="Times New Roman" w:cstheme="minorHAnsi"/>
          <w:spacing w:val="-2"/>
        </w:rPr>
        <w:t>i</w:t>
      </w:r>
      <w:r w:rsidRPr="00A54361">
        <w:rPr>
          <w:rFonts w:eastAsia="Times New Roman" w:cstheme="minorHAnsi"/>
        </w:rPr>
        <w:t>r</w:t>
      </w:r>
      <w:r w:rsidRPr="00A54361">
        <w:rPr>
          <w:rFonts w:eastAsia="Times New Roman" w:cstheme="minorHAnsi"/>
          <w:spacing w:val="-2"/>
        </w:rPr>
        <w:t>e</w:t>
      </w:r>
      <w:r w:rsidRPr="00A54361">
        <w:rPr>
          <w:rFonts w:eastAsia="Times New Roman" w:cstheme="minorHAnsi"/>
          <w:spacing w:val="-1"/>
        </w:rPr>
        <w:t>c</w:t>
      </w:r>
      <w:r w:rsidRPr="00A54361">
        <w:rPr>
          <w:rFonts w:eastAsia="Times New Roman" w:cstheme="minorHAnsi"/>
        </w:rPr>
        <w:t>t</w:t>
      </w:r>
      <w:r w:rsidRPr="00A54361">
        <w:rPr>
          <w:rFonts w:eastAsia="Times New Roman" w:cstheme="minorHAnsi"/>
          <w:spacing w:val="5"/>
        </w:rPr>
        <w:t xml:space="preserve"> </w:t>
      </w:r>
      <w:r w:rsidRPr="00A54361">
        <w:rPr>
          <w:rFonts w:eastAsia="Times New Roman" w:cstheme="minorHAnsi"/>
        </w:rPr>
        <w:t>ED</w:t>
      </w:r>
      <w:r w:rsidRPr="00A54361">
        <w:rPr>
          <w:rFonts w:eastAsia="Times New Roman" w:cstheme="minorHAnsi"/>
          <w:spacing w:val="4"/>
        </w:rPr>
        <w:t xml:space="preserve"> </w:t>
      </w:r>
      <w:r w:rsidRPr="00A54361">
        <w:rPr>
          <w:rFonts w:eastAsia="Times New Roman" w:cstheme="minorHAnsi"/>
        </w:rPr>
        <w:t>(</w:t>
      </w:r>
      <w:r w:rsidR="00917777" w:rsidRPr="00A54361">
        <w:rPr>
          <w:rFonts w:eastAsia="Times New Roman" w:cstheme="minorHAnsi"/>
          <w:spacing w:val="-1"/>
        </w:rPr>
        <w:t>BSD</w:t>
      </w:r>
      <w:r w:rsidRPr="00A54361">
        <w:rPr>
          <w:rFonts w:eastAsia="Times New Roman" w:cstheme="minorHAnsi"/>
        </w:rPr>
        <w:t>)</w:t>
      </w:r>
      <w:r w:rsidRPr="00A54361">
        <w:rPr>
          <w:rFonts w:eastAsia="Times New Roman" w:cstheme="minorHAnsi"/>
          <w:spacing w:val="4"/>
        </w:rPr>
        <w:t xml:space="preserve"> </w:t>
      </w:r>
      <w:r w:rsidRPr="00A54361">
        <w:rPr>
          <w:rFonts w:eastAsia="Times New Roman" w:cstheme="minorHAnsi"/>
        </w:rPr>
        <w:t>to is</w:t>
      </w:r>
      <w:r w:rsidRPr="00A54361">
        <w:rPr>
          <w:rFonts w:eastAsia="Times New Roman" w:cstheme="minorHAnsi"/>
          <w:spacing w:val="1"/>
        </w:rPr>
        <w:t>s</w:t>
      </w:r>
      <w:r w:rsidRPr="00A54361">
        <w:rPr>
          <w:rFonts w:eastAsia="Times New Roman" w:cstheme="minorHAnsi"/>
        </w:rPr>
        <w:t>ue</w:t>
      </w:r>
      <w:r w:rsidRPr="00A54361">
        <w:rPr>
          <w:rFonts w:eastAsia="Times New Roman" w:cstheme="minorHAnsi"/>
          <w:spacing w:val="-1"/>
        </w:rPr>
        <w:t xml:space="preserve"> </w:t>
      </w:r>
      <w:r w:rsidRPr="00A54361">
        <w:rPr>
          <w:rFonts w:eastAsia="Times New Roman" w:cstheme="minorHAnsi"/>
        </w:rPr>
        <w:t>show</w:t>
      </w:r>
      <w:r w:rsidRPr="00A54361">
        <w:rPr>
          <w:rFonts w:eastAsia="Times New Roman" w:cstheme="minorHAnsi"/>
          <w:spacing w:val="-1"/>
        </w:rPr>
        <w:t>-ca</w:t>
      </w:r>
      <w:r w:rsidRPr="00A54361">
        <w:rPr>
          <w:rFonts w:eastAsia="Times New Roman" w:cstheme="minorHAnsi"/>
        </w:rPr>
        <w:t>u</w:t>
      </w:r>
      <w:r w:rsidRPr="00A54361">
        <w:rPr>
          <w:rFonts w:eastAsia="Times New Roman" w:cstheme="minorHAnsi"/>
          <w:spacing w:val="2"/>
        </w:rPr>
        <w:t>s</w:t>
      </w:r>
      <w:r w:rsidRPr="00A54361">
        <w:rPr>
          <w:rFonts w:eastAsia="Times New Roman" w:cstheme="minorHAnsi"/>
        </w:rPr>
        <w:t>e</w:t>
      </w:r>
      <w:r w:rsidRPr="00A54361">
        <w:rPr>
          <w:rFonts w:eastAsia="Times New Roman" w:cstheme="minorHAnsi"/>
          <w:spacing w:val="-1"/>
        </w:rPr>
        <w:t xml:space="preserve"> </w:t>
      </w:r>
      <w:r w:rsidRPr="00A54361">
        <w:rPr>
          <w:rFonts w:eastAsia="Times New Roman" w:cstheme="minorHAnsi"/>
        </w:rPr>
        <w:t>not</w:t>
      </w:r>
      <w:r w:rsidRPr="00A54361">
        <w:rPr>
          <w:rFonts w:eastAsia="Times New Roman" w:cstheme="minorHAnsi"/>
          <w:spacing w:val="1"/>
        </w:rPr>
        <w:t>i</w:t>
      </w:r>
      <w:r w:rsidRPr="00A54361">
        <w:rPr>
          <w:rFonts w:eastAsia="Times New Roman" w:cstheme="minorHAnsi"/>
          <w:spacing w:val="-1"/>
        </w:rPr>
        <w:t>c</w:t>
      </w:r>
      <w:r w:rsidRPr="00A54361">
        <w:rPr>
          <w:rFonts w:eastAsia="Times New Roman" w:cstheme="minorHAnsi"/>
        </w:rPr>
        <w:t>e</w:t>
      </w:r>
      <w:r w:rsidRPr="00A54361">
        <w:rPr>
          <w:rFonts w:eastAsia="Times New Roman" w:cstheme="minorHAnsi"/>
          <w:spacing w:val="-1"/>
        </w:rPr>
        <w:t xml:space="preserve"> </w:t>
      </w:r>
      <w:r w:rsidRPr="00A54361">
        <w:rPr>
          <w:rFonts w:eastAsia="Times New Roman" w:cstheme="minorHAnsi"/>
          <w:spacing w:val="3"/>
        </w:rPr>
        <w:t>t</w:t>
      </w:r>
      <w:r w:rsidRPr="00A54361">
        <w:rPr>
          <w:rFonts w:eastAsia="Times New Roman" w:cstheme="minorHAnsi"/>
        </w:rPr>
        <w:t xml:space="preserve">o the </w:t>
      </w:r>
      <w:r w:rsidRPr="00A54361">
        <w:rPr>
          <w:rFonts w:eastAsia="Times New Roman" w:cstheme="minorHAnsi"/>
          <w:spacing w:val="1"/>
        </w:rPr>
        <w:t>a</w:t>
      </w:r>
      <w:r w:rsidRPr="00A54361">
        <w:rPr>
          <w:rFonts w:eastAsia="Times New Roman" w:cstheme="minorHAnsi"/>
          <w:spacing w:val="-2"/>
        </w:rPr>
        <w:t>g</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4"/>
        </w:rPr>
        <w:t>c</w:t>
      </w:r>
      <w:r w:rsidRPr="00A54361">
        <w:rPr>
          <w:rFonts w:eastAsia="Times New Roman" w:cstheme="minorHAnsi"/>
        </w:rPr>
        <w:t>y</w:t>
      </w:r>
      <w:r w:rsidRPr="00A54361">
        <w:rPr>
          <w:rFonts w:eastAsia="Times New Roman" w:cstheme="minorHAnsi"/>
          <w:spacing w:val="-3"/>
        </w:rPr>
        <w:t xml:space="preserve"> </w:t>
      </w:r>
      <w:r w:rsidRPr="00A54361">
        <w:rPr>
          <w:rFonts w:eastAsia="Times New Roman" w:cstheme="minorHAnsi"/>
        </w:rPr>
        <w:t>for</w:t>
      </w:r>
      <w:r w:rsidRPr="00A54361">
        <w:rPr>
          <w:rFonts w:eastAsia="Times New Roman" w:cstheme="minorHAnsi"/>
          <w:spacing w:val="-1"/>
        </w:rPr>
        <w:t xml:space="preserve"> </w:t>
      </w:r>
      <w:r w:rsidRPr="00A54361">
        <w:rPr>
          <w:rFonts w:eastAsia="Times New Roman" w:cstheme="minorHAnsi"/>
          <w:spacing w:val="1"/>
        </w:rPr>
        <w:t>r</w:t>
      </w:r>
      <w:r w:rsidRPr="00A54361">
        <w:rPr>
          <w:rFonts w:eastAsia="Times New Roman" w:cstheme="minorHAnsi"/>
          <w:spacing w:val="-1"/>
        </w:rPr>
        <w:t>e</w:t>
      </w:r>
      <w:r w:rsidRPr="00A54361">
        <w:rPr>
          <w:rFonts w:eastAsia="Times New Roman" w:cstheme="minorHAnsi"/>
        </w:rPr>
        <w:t>p</w:t>
      </w:r>
      <w:r w:rsidRPr="00A54361">
        <w:rPr>
          <w:rFonts w:eastAsia="Times New Roman" w:cstheme="minorHAnsi"/>
          <w:spacing w:val="3"/>
        </w:rPr>
        <w:t>l</w:t>
      </w:r>
      <w:r w:rsidRPr="00A54361">
        <w:rPr>
          <w:rFonts w:eastAsia="Times New Roman" w:cstheme="minorHAnsi"/>
          <w:spacing w:val="-5"/>
        </w:rPr>
        <w:t>y</w:t>
      </w:r>
      <w:r w:rsidRPr="00A54361">
        <w:rPr>
          <w:rFonts w:eastAsia="Times New Roman" w:cstheme="minorHAnsi"/>
        </w:rPr>
        <w:t>i</w:t>
      </w:r>
      <w:r w:rsidRPr="00A54361">
        <w:rPr>
          <w:rFonts w:eastAsia="Times New Roman" w:cstheme="minorHAnsi"/>
          <w:spacing w:val="3"/>
        </w:rPr>
        <w:t>n</w:t>
      </w:r>
      <w:r w:rsidRPr="00A54361">
        <w:rPr>
          <w:rFonts w:eastAsia="Times New Roman" w:cstheme="minorHAnsi"/>
        </w:rPr>
        <w:t>g with</w:t>
      </w:r>
      <w:r w:rsidRPr="00A54361">
        <w:rPr>
          <w:rFonts w:eastAsia="Times New Roman" w:cstheme="minorHAnsi"/>
          <w:spacing w:val="1"/>
        </w:rPr>
        <w:t>i</w:t>
      </w:r>
      <w:r w:rsidRPr="00A54361">
        <w:rPr>
          <w:rFonts w:eastAsia="Times New Roman" w:cstheme="minorHAnsi"/>
        </w:rPr>
        <w:t>n a</w:t>
      </w:r>
      <w:r w:rsidRPr="00A54361">
        <w:rPr>
          <w:rFonts w:eastAsia="Times New Roman" w:cstheme="minorHAnsi"/>
          <w:spacing w:val="-1"/>
        </w:rPr>
        <w:t xml:space="preserve"> </w:t>
      </w:r>
      <w:r w:rsidRPr="00A54361">
        <w:rPr>
          <w:rFonts w:eastAsia="Times New Roman" w:cstheme="minorHAnsi"/>
        </w:rPr>
        <w:t>r</w:t>
      </w:r>
      <w:r w:rsidRPr="00A54361">
        <w:rPr>
          <w:rFonts w:eastAsia="Times New Roman" w:cstheme="minorHAnsi"/>
          <w:spacing w:val="-2"/>
        </w:rPr>
        <w:t>e</w:t>
      </w:r>
      <w:r w:rsidRPr="00A54361">
        <w:rPr>
          <w:rFonts w:eastAsia="Times New Roman" w:cstheme="minorHAnsi"/>
          <w:spacing w:val="-1"/>
        </w:rPr>
        <w:t>a</w:t>
      </w:r>
      <w:r w:rsidRPr="00A54361">
        <w:rPr>
          <w:rFonts w:eastAsia="Times New Roman" w:cstheme="minorHAnsi"/>
        </w:rPr>
        <w:t>son</w:t>
      </w:r>
      <w:r w:rsidRPr="00A54361">
        <w:rPr>
          <w:rFonts w:eastAsia="Times New Roman" w:cstheme="minorHAnsi"/>
          <w:spacing w:val="-1"/>
        </w:rPr>
        <w:t>a</w:t>
      </w:r>
      <w:r w:rsidRPr="00A54361">
        <w:rPr>
          <w:rFonts w:eastAsia="Times New Roman" w:cstheme="minorHAnsi"/>
        </w:rPr>
        <w:t>b</w:t>
      </w:r>
      <w:r w:rsidRPr="00A54361">
        <w:rPr>
          <w:rFonts w:eastAsia="Times New Roman" w:cstheme="minorHAnsi"/>
          <w:spacing w:val="3"/>
        </w:rPr>
        <w:t>l</w:t>
      </w:r>
      <w:r w:rsidRPr="00A54361">
        <w:rPr>
          <w:rFonts w:eastAsia="Times New Roman" w:cstheme="minorHAnsi"/>
        </w:rPr>
        <w:t>e</w:t>
      </w:r>
      <w:r w:rsidRPr="00A54361">
        <w:rPr>
          <w:rFonts w:eastAsia="Times New Roman" w:cstheme="minorHAnsi"/>
          <w:spacing w:val="-1"/>
        </w:rPr>
        <w:t xml:space="preserve"> </w:t>
      </w:r>
      <w:r w:rsidRPr="00A54361">
        <w:rPr>
          <w:rFonts w:eastAsia="Times New Roman" w:cstheme="minorHAnsi"/>
        </w:rPr>
        <w:t>p</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2"/>
        </w:rPr>
        <w:t>i</w:t>
      </w:r>
      <w:r w:rsidRPr="00A54361">
        <w:rPr>
          <w:rFonts w:eastAsia="Times New Roman" w:cstheme="minorHAnsi"/>
        </w:rPr>
        <w:t>od.</w:t>
      </w:r>
    </w:p>
    <w:p w14:paraId="0C9A2F8B" w14:textId="5BB89111" w:rsidR="0054549F" w:rsidRPr="00A54361" w:rsidRDefault="0054549F" w:rsidP="00A54361">
      <w:pPr>
        <w:ind w:right="80"/>
        <w:jc w:val="both"/>
        <w:rPr>
          <w:rFonts w:cstheme="minorHAnsi"/>
        </w:rPr>
      </w:pPr>
      <w:r w:rsidRPr="00A54361">
        <w:rPr>
          <w:rFonts w:eastAsia="Times New Roman" w:cstheme="minorHAnsi"/>
        </w:rPr>
        <w:t>•</w:t>
      </w:r>
      <w:r w:rsidRPr="00A54361">
        <w:rPr>
          <w:rFonts w:eastAsia="Times New Roman" w:cstheme="minorHAnsi"/>
          <w:spacing w:val="12"/>
        </w:rPr>
        <w:t xml:space="preserve"> </w:t>
      </w:r>
      <w:r w:rsidRPr="00A54361">
        <w:rPr>
          <w:rFonts w:eastAsia="Times New Roman" w:cstheme="minorHAnsi"/>
        </w:rPr>
        <w:t>On</w:t>
      </w:r>
      <w:r w:rsidRPr="00A54361">
        <w:rPr>
          <w:rFonts w:eastAsia="Times New Roman" w:cstheme="minorHAnsi"/>
          <w:spacing w:val="11"/>
        </w:rPr>
        <w:t xml:space="preserve"> </w:t>
      </w:r>
      <w:r w:rsidRPr="00A54361">
        <w:rPr>
          <w:rFonts w:eastAsia="Times New Roman" w:cstheme="minorHAnsi"/>
        </w:rPr>
        <w:t>r</w:t>
      </w:r>
      <w:r w:rsidRPr="00A54361">
        <w:rPr>
          <w:rFonts w:eastAsia="Times New Roman" w:cstheme="minorHAnsi"/>
          <w:spacing w:val="-2"/>
        </w:rPr>
        <w:t>e</w:t>
      </w:r>
      <w:r w:rsidRPr="00A54361">
        <w:rPr>
          <w:rFonts w:eastAsia="Times New Roman" w:cstheme="minorHAnsi"/>
          <w:spacing w:val="-1"/>
        </w:rPr>
        <w:t>ce</w:t>
      </w:r>
      <w:r w:rsidRPr="00A54361">
        <w:rPr>
          <w:rFonts w:eastAsia="Times New Roman" w:cstheme="minorHAnsi"/>
        </w:rPr>
        <w:t>ipt</w:t>
      </w:r>
      <w:r w:rsidRPr="00A54361">
        <w:rPr>
          <w:rFonts w:eastAsia="Times New Roman" w:cstheme="minorHAnsi"/>
          <w:spacing w:val="12"/>
        </w:rPr>
        <w:t xml:space="preserve"> </w:t>
      </w:r>
      <w:r w:rsidRPr="00A54361">
        <w:rPr>
          <w:rFonts w:eastAsia="Times New Roman" w:cstheme="minorHAnsi"/>
        </w:rPr>
        <w:t>of</w:t>
      </w:r>
      <w:r w:rsidRPr="00A54361">
        <w:rPr>
          <w:rFonts w:eastAsia="Times New Roman" w:cstheme="minorHAnsi"/>
          <w:spacing w:val="11"/>
        </w:rPr>
        <w:t xml:space="preserve"> </w:t>
      </w:r>
      <w:r w:rsidRPr="00A54361">
        <w:rPr>
          <w:rFonts w:eastAsia="Times New Roman" w:cstheme="minorHAnsi"/>
        </w:rPr>
        <w:t>the</w:t>
      </w:r>
      <w:r w:rsidRPr="00A54361">
        <w:rPr>
          <w:rFonts w:eastAsia="Times New Roman" w:cstheme="minorHAnsi"/>
          <w:spacing w:val="11"/>
        </w:rPr>
        <w:t xml:space="preserve"> </w:t>
      </w:r>
      <w:r w:rsidRPr="00A54361">
        <w:rPr>
          <w:rFonts w:eastAsia="Times New Roman" w:cstheme="minorHAnsi"/>
        </w:rPr>
        <w:t>r</w:t>
      </w:r>
      <w:r w:rsidRPr="00A54361">
        <w:rPr>
          <w:rFonts w:eastAsia="Times New Roman" w:cstheme="minorHAnsi"/>
          <w:spacing w:val="-2"/>
        </w:rPr>
        <w:t>e</w:t>
      </w:r>
      <w:r w:rsidRPr="00A54361">
        <w:rPr>
          <w:rFonts w:eastAsia="Times New Roman" w:cstheme="minorHAnsi"/>
        </w:rPr>
        <w:t>p</w:t>
      </w:r>
      <w:r w:rsidRPr="00A54361">
        <w:rPr>
          <w:rFonts w:eastAsia="Times New Roman" w:cstheme="minorHAnsi"/>
          <w:spacing w:val="5"/>
        </w:rPr>
        <w:t>l</w:t>
      </w:r>
      <w:r w:rsidRPr="00A54361">
        <w:rPr>
          <w:rFonts w:eastAsia="Times New Roman" w:cstheme="minorHAnsi"/>
        </w:rPr>
        <w:t>y</w:t>
      </w:r>
      <w:r w:rsidRPr="00A54361">
        <w:rPr>
          <w:rFonts w:eastAsia="Times New Roman" w:cstheme="minorHAnsi"/>
          <w:spacing w:val="9"/>
        </w:rPr>
        <w:t xml:space="preserve"> </w:t>
      </w:r>
      <w:r w:rsidRPr="00A54361">
        <w:rPr>
          <w:rFonts w:eastAsia="Times New Roman" w:cstheme="minorHAnsi"/>
        </w:rPr>
        <w:t>or</w:t>
      </w:r>
      <w:r w:rsidRPr="00A54361">
        <w:rPr>
          <w:rFonts w:eastAsia="Times New Roman" w:cstheme="minorHAnsi"/>
          <w:spacing w:val="11"/>
        </w:rPr>
        <w:t xml:space="preserve"> </w:t>
      </w:r>
      <w:r w:rsidRPr="00A54361">
        <w:rPr>
          <w:rFonts w:eastAsia="Times New Roman" w:cstheme="minorHAnsi"/>
        </w:rPr>
        <w:t>on</w:t>
      </w:r>
      <w:r w:rsidRPr="00A54361">
        <w:rPr>
          <w:rFonts w:eastAsia="Times New Roman" w:cstheme="minorHAnsi"/>
          <w:spacing w:val="12"/>
        </w:rPr>
        <w:t xml:space="preserve"> </w:t>
      </w:r>
      <w:r w:rsidRPr="00A54361">
        <w:rPr>
          <w:rFonts w:eastAsia="Times New Roman" w:cstheme="minorHAnsi"/>
          <w:spacing w:val="-1"/>
        </w:rPr>
        <w:t>e</w:t>
      </w:r>
      <w:r w:rsidRPr="00A54361">
        <w:rPr>
          <w:rFonts w:eastAsia="Times New Roman" w:cstheme="minorHAnsi"/>
          <w:spacing w:val="2"/>
        </w:rPr>
        <w:t>x</w:t>
      </w:r>
      <w:r w:rsidRPr="00A54361">
        <w:rPr>
          <w:rFonts w:eastAsia="Times New Roman" w:cstheme="minorHAnsi"/>
        </w:rPr>
        <w:t>pi</w:t>
      </w:r>
      <w:r w:rsidRPr="00A54361">
        <w:rPr>
          <w:rFonts w:eastAsia="Times New Roman" w:cstheme="minorHAnsi"/>
          <w:spacing w:val="2"/>
        </w:rPr>
        <w:t>r</w:t>
      </w:r>
      <w:r w:rsidRPr="00A54361">
        <w:rPr>
          <w:rFonts w:eastAsia="Times New Roman" w:cstheme="minorHAnsi"/>
        </w:rPr>
        <w:t>y</w:t>
      </w:r>
      <w:r w:rsidRPr="00A54361">
        <w:rPr>
          <w:rFonts w:eastAsia="Times New Roman" w:cstheme="minorHAnsi"/>
          <w:spacing w:val="5"/>
        </w:rPr>
        <w:t xml:space="preserve"> </w:t>
      </w:r>
      <w:r w:rsidRPr="00A54361">
        <w:rPr>
          <w:rFonts w:eastAsia="Times New Roman" w:cstheme="minorHAnsi"/>
        </w:rPr>
        <w:t>of</w:t>
      </w:r>
      <w:r w:rsidRPr="00A54361">
        <w:rPr>
          <w:rFonts w:eastAsia="Times New Roman" w:cstheme="minorHAnsi"/>
          <w:spacing w:val="11"/>
        </w:rPr>
        <w:t xml:space="preserve"> </w:t>
      </w:r>
      <w:r w:rsidRPr="00A54361">
        <w:rPr>
          <w:rFonts w:eastAsia="Times New Roman" w:cstheme="minorHAnsi"/>
        </w:rPr>
        <w:t>the</w:t>
      </w:r>
      <w:r w:rsidRPr="00A54361">
        <w:rPr>
          <w:rFonts w:eastAsia="Times New Roman" w:cstheme="minorHAnsi"/>
          <w:spacing w:val="11"/>
        </w:rPr>
        <w:t xml:space="preserve"> </w:t>
      </w:r>
      <w:r w:rsidRPr="00A54361">
        <w:rPr>
          <w:rFonts w:eastAsia="Times New Roman" w:cstheme="minorHAnsi"/>
        </w:rPr>
        <w:t>st</w:t>
      </w:r>
      <w:r w:rsidRPr="00A54361">
        <w:rPr>
          <w:rFonts w:eastAsia="Times New Roman" w:cstheme="minorHAnsi"/>
          <w:spacing w:val="1"/>
        </w:rPr>
        <w:t>i</w:t>
      </w:r>
      <w:r w:rsidRPr="00A54361">
        <w:rPr>
          <w:rFonts w:eastAsia="Times New Roman" w:cstheme="minorHAnsi"/>
        </w:rPr>
        <w:t>pulat</w:t>
      </w:r>
      <w:r w:rsidRPr="00A54361">
        <w:rPr>
          <w:rFonts w:eastAsia="Times New Roman" w:cstheme="minorHAnsi"/>
          <w:spacing w:val="-1"/>
        </w:rPr>
        <w:t>e</w:t>
      </w:r>
      <w:r w:rsidRPr="00A54361">
        <w:rPr>
          <w:rFonts w:eastAsia="Times New Roman" w:cstheme="minorHAnsi"/>
        </w:rPr>
        <w:t>d</w:t>
      </w:r>
      <w:r w:rsidRPr="00A54361">
        <w:rPr>
          <w:rFonts w:eastAsia="Times New Roman" w:cstheme="minorHAnsi"/>
          <w:spacing w:val="12"/>
        </w:rPr>
        <w:t xml:space="preserve"> </w:t>
      </w:r>
      <w:r w:rsidRPr="00A54361">
        <w:rPr>
          <w:rFonts w:eastAsia="Times New Roman" w:cstheme="minorHAnsi"/>
        </w:rPr>
        <w:t>p</w:t>
      </w:r>
      <w:r w:rsidRPr="00A54361">
        <w:rPr>
          <w:rFonts w:eastAsia="Times New Roman" w:cstheme="minorHAnsi"/>
          <w:spacing w:val="-1"/>
        </w:rPr>
        <w:t>e</w:t>
      </w:r>
      <w:r w:rsidRPr="00A54361">
        <w:rPr>
          <w:rFonts w:eastAsia="Times New Roman" w:cstheme="minorHAnsi"/>
        </w:rPr>
        <w:t>riod,</w:t>
      </w:r>
      <w:r w:rsidRPr="00A54361">
        <w:rPr>
          <w:rFonts w:eastAsia="Times New Roman" w:cstheme="minorHAnsi"/>
          <w:spacing w:val="12"/>
        </w:rPr>
        <w:t xml:space="preserve"> </w:t>
      </w:r>
      <w:r w:rsidRPr="00A54361">
        <w:rPr>
          <w:rFonts w:eastAsia="Times New Roman" w:cstheme="minorHAnsi"/>
        </w:rPr>
        <w:t>the</w:t>
      </w:r>
      <w:r w:rsidRPr="00A54361">
        <w:rPr>
          <w:rFonts w:eastAsia="Times New Roman" w:cstheme="minorHAnsi"/>
          <w:spacing w:val="11"/>
        </w:rPr>
        <w:t xml:space="preserve"> </w:t>
      </w:r>
      <w:r w:rsidRPr="00A54361">
        <w:rPr>
          <w:rFonts w:eastAsia="Times New Roman" w:cstheme="minorHAnsi"/>
          <w:spacing w:val="-1"/>
        </w:rPr>
        <w:t>ca</w:t>
      </w:r>
      <w:r w:rsidRPr="00A54361">
        <w:rPr>
          <w:rFonts w:eastAsia="Times New Roman" w:cstheme="minorHAnsi"/>
          <w:spacing w:val="2"/>
        </w:rPr>
        <w:t>s</w:t>
      </w:r>
      <w:r w:rsidRPr="00A54361">
        <w:rPr>
          <w:rFonts w:eastAsia="Times New Roman" w:cstheme="minorHAnsi"/>
        </w:rPr>
        <w:t>e</w:t>
      </w:r>
      <w:r w:rsidRPr="00A54361">
        <w:rPr>
          <w:rFonts w:eastAsia="Times New Roman" w:cstheme="minorHAnsi"/>
          <w:spacing w:val="11"/>
        </w:rPr>
        <w:t xml:space="preserve"> </w:t>
      </w:r>
      <w:r w:rsidRPr="00A54361">
        <w:rPr>
          <w:rFonts w:eastAsia="Times New Roman" w:cstheme="minorHAnsi"/>
        </w:rPr>
        <w:t>sh</w:t>
      </w:r>
      <w:r w:rsidRPr="00A54361">
        <w:rPr>
          <w:rFonts w:eastAsia="Times New Roman" w:cstheme="minorHAnsi"/>
          <w:spacing w:val="-1"/>
        </w:rPr>
        <w:t>a</w:t>
      </w:r>
      <w:r w:rsidRPr="00A54361">
        <w:rPr>
          <w:rFonts w:eastAsia="Times New Roman" w:cstheme="minorHAnsi"/>
        </w:rPr>
        <w:t>ll</w:t>
      </w:r>
      <w:r w:rsidRPr="00A54361">
        <w:rPr>
          <w:rFonts w:eastAsia="Times New Roman" w:cstheme="minorHAnsi"/>
          <w:spacing w:val="12"/>
        </w:rPr>
        <w:t xml:space="preserve"> </w:t>
      </w:r>
      <w:r w:rsidRPr="00A54361">
        <w:rPr>
          <w:rFonts w:eastAsia="Times New Roman" w:cstheme="minorHAnsi"/>
        </w:rPr>
        <w:t>be</w:t>
      </w:r>
      <w:r w:rsidRPr="00A54361">
        <w:rPr>
          <w:rFonts w:eastAsia="Times New Roman" w:cstheme="minorHAnsi"/>
          <w:spacing w:val="11"/>
        </w:rPr>
        <w:t xml:space="preserve"> </w:t>
      </w:r>
      <w:r w:rsidRPr="00A54361">
        <w:rPr>
          <w:rFonts w:eastAsia="Times New Roman" w:cstheme="minorHAnsi"/>
        </w:rPr>
        <w:t>submi</w:t>
      </w:r>
      <w:r w:rsidRPr="00A54361">
        <w:rPr>
          <w:rFonts w:eastAsia="Times New Roman" w:cstheme="minorHAnsi"/>
          <w:spacing w:val="1"/>
        </w:rPr>
        <w:t>t</w:t>
      </w:r>
      <w:r w:rsidRPr="00A54361">
        <w:rPr>
          <w:rFonts w:eastAsia="Times New Roman" w:cstheme="minorHAnsi"/>
        </w:rPr>
        <w:t>ted</w:t>
      </w:r>
      <w:r w:rsidRPr="00A54361">
        <w:rPr>
          <w:rFonts w:eastAsia="Times New Roman" w:cstheme="minorHAnsi"/>
          <w:spacing w:val="11"/>
        </w:rPr>
        <w:t xml:space="preserve"> </w:t>
      </w:r>
      <w:r w:rsidRPr="00A54361">
        <w:rPr>
          <w:rFonts w:eastAsia="Times New Roman" w:cstheme="minorHAnsi"/>
          <w:spacing w:val="2"/>
        </w:rPr>
        <w:t>b</w:t>
      </w:r>
      <w:r w:rsidRPr="00A54361">
        <w:rPr>
          <w:rFonts w:eastAsia="Times New Roman" w:cstheme="minorHAnsi"/>
        </w:rPr>
        <w:t>y ED</w:t>
      </w:r>
      <w:r w:rsidRPr="00A54361">
        <w:rPr>
          <w:rFonts w:eastAsia="Times New Roman" w:cstheme="minorHAnsi"/>
          <w:spacing w:val="-1"/>
        </w:rPr>
        <w:t xml:space="preserve"> </w:t>
      </w:r>
      <w:r w:rsidRPr="00A54361">
        <w:rPr>
          <w:rFonts w:eastAsia="Times New Roman" w:cstheme="minorHAnsi"/>
        </w:rPr>
        <w:t>(</w:t>
      </w:r>
      <w:r w:rsidR="00917777" w:rsidRPr="00A54361">
        <w:rPr>
          <w:rFonts w:eastAsia="Times New Roman" w:cstheme="minorHAnsi"/>
          <w:spacing w:val="-1"/>
        </w:rPr>
        <w:t>BSD</w:t>
      </w:r>
      <w:r w:rsidRPr="00A54361">
        <w:rPr>
          <w:rFonts w:eastAsia="Times New Roman" w:cstheme="minorHAnsi"/>
        </w:rPr>
        <w:t>) to E</w:t>
      </w:r>
      <w:r w:rsidRPr="00A54361">
        <w:rPr>
          <w:rFonts w:eastAsia="Times New Roman" w:cstheme="minorHAnsi"/>
          <w:spacing w:val="-1"/>
        </w:rPr>
        <w:t>D</w:t>
      </w:r>
      <w:r w:rsidRPr="00A54361">
        <w:rPr>
          <w:rFonts w:eastAsia="Times New Roman" w:cstheme="minorHAnsi"/>
        </w:rPr>
        <w:t>C for</w:t>
      </w:r>
      <w:r w:rsidRPr="00A54361">
        <w:rPr>
          <w:rFonts w:eastAsia="Times New Roman" w:cstheme="minorHAnsi"/>
          <w:spacing w:val="-1"/>
        </w:rPr>
        <w:t xml:space="preserve"> </w:t>
      </w:r>
      <w:r w:rsidRPr="00A54361">
        <w:rPr>
          <w:rFonts w:eastAsia="Times New Roman" w:cstheme="minorHAnsi"/>
          <w:spacing w:val="1"/>
        </w:rPr>
        <w:t>c</w:t>
      </w:r>
      <w:r w:rsidRPr="00A54361">
        <w:rPr>
          <w:rFonts w:eastAsia="Times New Roman" w:cstheme="minorHAnsi"/>
        </w:rPr>
        <w:t>onsid</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2"/>
        </w:rPr>
        <w:t>a</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on &amp;</w:t>
      </w:r>
      <w:r w:rsidRPr="00A54361">
        <w:rPr>
          <w:rFonts w:eastAsia="Times New Roman" w:cstheme="minorHAnsi"/>
          <w:spacing w:val="-2"/>
        </w:rPr>
        <w:t xml:space="preserve"> </w:t>
      </w:r>
      <w:r w:rsidRPr="00A54361">
        <w:rPr>
          <w:rFonts w:eastAsia="Times New Roman" w:cstheme="minorHAnsi"/>
          <w:spacing w:val="2"/>
        </w:rPr>
        <w:t>d</w:t>
      </w:r>
      <w:r w:rsidRPr="00A54361">
        <w:rPr>
          <w:rFonts w:eastAsia="Times New Roman" w:cstheme="minorHAnsi"/>
          <w:spacing w:val="-1"/>
        </w:rPr>
        <w:t>ec</w:t>
      </w:r>
      <w:r w:rsidRPr="00A54361">
        <w:rPr>
          <w:rFonts w:eastAsia="Times New Roman" w:cstheme="minorHAnsi"/>
        </w:rPr>
        <w:t>is</w:t>
      </w:r>
      <w:r w:rsidRPr="00A54361">
        <w:rPr>
          <w:rFonts w:eastAsia="Times New Roman" w:cstheme="minorHAnsi"/>
          <w:spacing w:val="1"/>
        </w:rPr>
        <w:t>i</w:t>
      </w:r>
      <w:r w:rsidRPr="00A54361">
        <w:rPr>
          <w:rFonts w:eastAsia="Times New Roman" w:cstheme="minorHAnsi"/>
        </w:rPr>
        <w:t>on.</w:t>
      </w:r>
    </w:p>
    <w:p w14:paraId="121E9ECC" w14:textId="1338A419" w:rsidR="0054549F" w:rsidRPr="00A54361" w:rsidRDefault="0054549F" w:rsidP="00A54361">
      <w:pPr>
        <w:ind w:right="1490"/>
        <w:jc w:val="both"/>
        <w:rPr>
          <w:rFonts w:cstheme="minorHAnsi"/>
        </w:rPr>
      </w:pPr>
      <w:r w:rsidRPr="00A54361">
        <w:rPr>
          <w:rFonts w:eastAsia="Times New Roman" w:cstheme="minorHAnsi"/>
        </w:rPr>
        <w:t>• The</w:t>
      </w:r>
      <w:r w:rsidRPr="00A54361">
        <w:rPr>
          <w:rFonts w:eastAsia="Times New Roman" w:cstheme="minorHAnsi"/>
          <w:spacing w:val="-1"/>
        </w:rPr>
        <w:t xml:space="preserve"> </w:t>
      </w:r>
      <w:r w:rsidRPr="00A54361">
        <w:rPr>
          <w:rFonts w:eastAsia="Times New Roman" w:cstheme="minorHAnsi"/>
        </w:rPr>
        <w:t>d</w:t>
      </w:r>
      <w:r w:rsidRPr="00A54361">
        <w:rPr>
          <w:rFonts w:eastAsia="Times New Roman" w:cstheme="minorHAnsi"/>
          <w:spacing w:val="-1"/>
        </w:rPr>
        <w:t>ec</w:t>
      </w:r>
      <w:r w:rsidRPr="00A54361">
        <w:rPr>
          <w:rFonts w:eastAsia="Times New Roman" w:cstheme="minorHAnsi"/>
        </w:rPr>
        <w:t>is</w:t>
      </w:r>
      <w:r w:rsidRPr="00A54361">
        <w:rPr>
          <w:rFonts w:eastAsia="Times New Roman" w:cstheme="minorHAnsi"/>
          <w:spacing w:val="1"/>
        </w:rPr>
        <w:t>i</w:t>
      </w:r>
      <w:r w:rsidRPr="00A54361">
        <w:rPr>
          <w:rFonts w:eastAsia="Times New Roman" w:cstheme="minorHAnsi"/>
        </w:rPr>
        <w:t>on of the</w:t>
      </w:r>
      <w:r w:rsidRPr="00A54361">
        <w:rPr>
          <w:rFonts w:eastAsia="Times New Roman" w:cstheme="minorHAnsi"/>
          <w:spacing w:val="-1"/>
        </w:rPr>
        <w:t xml:space="preserve"> </w:t>
      </w:r>
      <w:r w:rsidRPr="00A54361">
        <w:rPr>
          <w:rFonts w:eastAsia="Times New Roman" w:cstheme="minorHAnsi"/>
          <w:spacing w:val="2"/>
        </w:rPr>
        <w:t>ED</w:t>
      </w:r>
      <w:r w:rsidRPr="00A54361">
        <w:rPr>
          <w:rFonts w:eastAsia="Times New Roman" w:cstheme="minorHAnsi"/>
        </w:rPr>
        <w:t>C sh</w:t>
      </w:r>
      <w:r w:rsidRPr="00A54361">
        <w:rPr>
          <w:rFonts w:eastAsia="Times New Roman" w:cstheme="minorHAnsi"/>
          <w:spacing w:val="-1"/>
        </w:rPr>
        <w:t>a</w:t>
      </w:r>
      <w:r w:rsidRPr="00A54361">
        <w:rPr>
          <w:rFonts w:eastAsia="Times New Roman" w:cstheme="minorHAnsi"/>
        </w:rPr>
        <w:t>ll</w:t>
      </w:r>
      <w:r w:rsidRPr="00A54361">
        <w:rPr>
          <w:rFonts w:eastAsia="Times New Roman" w:cstheme="minorHAnsi"/>
          <w:spacing w:val="1"/>
        </w:rPr>
        <w:t xml:space="preserve"> </w:t>
      </w:r>
      <w:r w:rsidRPr="00A54361">
        <w:rPr>
          <w:rFonts w:eastAsia="Times New Roman" w:cstheme="minorHAnsi"/>
        </w:rPr>
        <w:t>be</w:t>
      </w:r>
      <w:r w:rsidRPr="00A54361">
        <w:rPr>
          <w:rFonts w:eastAsia="Times New Roman" w:cstheme="minorHAnsi"/>
          <w:spacing w:val="-1"/>
        </w:rPr>
        <w:t xml:space="preserve"> c</w:t>
      </w:r>
      <w:r w:rsidRPr="00A54361">
        <w:rPr>
          <w:rFonts w:eastAsia="Times New Roman" w:cstheme="minorHAnsi"/>
        </w:rPr>
        <w:t>om</w:t>
      </w:r>
      <w:r w:rsidRPr="00A54361">
        <w:rPr>
          <w:rFonts w:eastAsia="Times New Roman" w:cstheme="minorHAnsi"/>
          <w:spacing w:val="1"/>
        </w:rPr>
        <w:t>m</w:t>
      </w:r>
      <w:r w:rsidRPr="00A54361">
        <w:rPr>
          <w:rFonts w:eastAsia="Times New Roman" w:cstheme="minorHAnsi"/>
        </w:rPr>
        <w:t>unic</w:t>
      </w:r>
      <w:r w:rsidRPr="00A54361">
        <w:rPr>
          <w:rFonts w:eastAsia="Times New Roman" w:cstheme="minorHAnsi"/>
          <w:spacing w:val="-1"/>
        </w:rPr>
        <w:t>a</w:t>
      </w:r>
      <w:r w:rsidRPr="00A54361">
        <w:rPr>
          <w:rFonts w:eastAsia="Times New Roman" w:cstheme="minorHAnsi"/>
        </w:rPr>
        <w:t>ted</w:t>
      </w:r>
      <w:r w:rsidRPr="00A54361">
        <w:rPr>
          <w:rFonts w:eastAsia="Times New Roman" w:cstheme="minorHAnsi"/>
          <w:spacing w:val="2"/>
        </w:rPr>
        <w:t xml:space="preserve"> </w:t>
      </w:r>
      <w:r w:rsidRPr="00A54361">
        <w:rPr>
          <w:rFonts w:eastAsia="Times New Roman" w:cstheme="minorHAnsi"/>
        </w:rPr>
        <w:t xml:space="preserve">to </w:t>
      </w:r>
      <w:r w:rsidRPr="00A54361">
        <w:rPr>
          <w:rFonts w:eastAsia="Times New Roman" w:cstheme="minorHAnsi"/>
          <w:spacing w:val="1"/>
        </w:rPr>
        <w:t>t</w:t>
      </w:r>
      <w:r w:rsidRPr="00A54361">
        <w:rPr>
          <w:rFonts w:eastAsia="Times New Roman" w:cstheme="minorHAnsi"/>
        </w:rPr>
        <w:t>he</w:t>
      </w:r>
      <w:r w:rsidRPr="00A54361">
        <w:rPr>
          <w:rFonts w:eastAsia="Times New Roman" w:cstheme="minorHAnsi"/>
          <w:spacing w:val="-1"/>
        </w:rPr>
        <w:t xml:space="preserve"> a</w:t>
      </w:r>
      <w:r w:rsidRPr="00A54361">
        <w:rPr>
          <w:rFonts w:eastAsia="Times New Roman" w:cstheme="minorHAnsi"/>
        </w:rPr>
        <w:t>g</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4"/>
        </w:rPr>
        <w:t>c</w:t>
      </w:r>
      <w:r w:rsidRPr="00A54361">
        <w:rPr>
          <w:rFonts w:eastAsia="Times New Roman" w:cstheme="minorHAnsi"/>
        </w:rPr>
        <w:t>y</w:t>
      </w:r>
      <w:r w:rsidRPr="00A54361">
        <w:rPr>
          <w:rFonts w:eastAsia="Times New Roman" w:cstheme="minorHAnsi"/>
          <w:spacing w:val="-5"/>
        </w:rPr>
        <w:t xml:space="preserve"> </w:t>
      </w:r>
      <w:r w:rsidRPr="00A54361">
        <w:rPr>
          <w:rFonts w:eastAsia="Times New Roman" w:cstheme="minorHAnsi"/>
          <w:spacing w:val="5"/>
        </w:rPr>
        <w:t>b</w:t>
      </w:r>
      <w:r w:rsidRPr="00A54361">
        <w:rPr>
          <w:rFonts w:eastAsia="Times New Roman" w:cstheme="minorHAnsi"/>
        </w:rPr>
        <w:t>y</w:t>
      </w:r>
      <w:r w:rsidRPr="00A54361">
        <w:rPr>
          <w:rFonts w:eastAsia="Times New Roman" w:cstheme="minorHAnsi"/>
          <w:spacing w:val="-5"/>
        </w:rPr>
        <w:t xml:space="preserve"> </w:t>
      </w:r>
      <w:r w:rsidRPr="00A54361">
        <w:rPr>
          <w:rFonts w:eastAsia="Times New Roman" w:cstheme="minorHAnsi"/>
        </w:rPr>
        <w:t>ED</w:t>
      </w:r>
      <w:r w:rsidRPr="00A54361">
        <w:rPr>
          <w:rFonts w:eastAsia="Times New Roman" w:cstheme="minorHAnsi"/>
          <w:spacing w:val="1"/>
        </w:rPr>
        <w:t xml:space="preserve"> </w:t>
      </w:r>
      <w:r w:rsidRPr="00A54361">
        <w:rPr>
          <w:rFonts w:eastAsia="Times New Roman" w:cstheme="minorHAnsi"/>
        </w:rPr>
        <w:t>(</w:t>
      </w:r>
      <w:r w:rsidR="00917777" w:rsidRPr="00A54361">
        <w:rPr>
          <w:rFonts w:eastAsia="Times New Roman" w:cstheme="minorHAnsi"/>
          <w:spacing w:val="1"/>
        </w:rPr>
        <w:t>BSD</w:t>
      </w:r>
      <w:r w:rsidRPr="00A54361">
        <w:rPr>
          <w:rFonts w:eastAsia="Times New Roman" w:cstheme="minorHAnsi"/>
        </w:rPr>
        <w:t>).</w:t>
      </w:r>
    </w:p>
    <w:p w14:paraId="3BBEAD89" w14:textId="77777777" w:rsidR="0054549F" w:rsidRPr="00A54361" w:rsidRDefault="0054549F" w:rsidP="00A54361">
      <w:pPr>
        <w:ind w:left="-142" w:right="1613"/>
        <w:jc w:val="both"/>
        <w:rPr>
          <w:rFonts w:cstheme="minorHAnsi"/>
        </w:rPr>
      </w:pPr>
      <w:r w:rsidRPr="00A54361">
        <w:rPr>
          <w:rFonts w:eastAsia="Times New Roman" w:cstheme="minorHAnsi"/>
          <w:b/>
        </w:rPr>
        <w:t>8 R</w:t>
      </w:r>
      <w:r w:rsidRPr="00A54361">
        <w:rPr>
          <w:rFonts w:eastAsia="Times New Roman" w:cstheme="minorHAnsi"/>
          <w:b/>
          <w:spacing w:val="1"/>
        </w:rPr>
        <w:t>e</w:t>
      </w:r>
      <w:r w:rsidRPr="00A54361">
        <w:rPr>
          <w:rFonts w:eastAsia="Times New Roman" w:cstheme="minorHAnsi"/>
          <w:b/>
          <w:spacing w:val="-3"/>
        </w:rPr>
        <w:t>m</w:t>
      </w:r>
      <w:r w:rsidRPr="00A54361">
        <w:rPr>
          <w:rFonts w:eastAsia="Times New Roman" w:cstheme="minorHAnsi"/>
          <w:b/>
        </w:rPr>
        <w:t xml:space="preserve">oval </w:t>
      </w:r>
      <w:r w:rsidRPr="00A54361">
        <w:rPr>
          <w:rFonts w:eastAsia="Times New Roman" w:cstheme="minorHAnsi"/>
          <w:b/>
          <w:spacing w:val="2"/>
        </w:rPr>
        <w:t>f</w:t>
      </w:r>
      <w:r w:rsidRPr="00A54361">
        <w:rPr>
          <w:rFonts w:eastAsia="Times New Roman" w:cstheme="minorHAnsi"/>
          <w:b/>
          <w:spacing w:val="-1"/>
        </w:rPr>
        <w:t>r</w:t>
      </w:r>
      <w:r w:rsidRPr="00A54361">
        <w:rPr>
          <w:rFonts w:eastAsia="Times New Roman" w:cstheme="minorHAnsi"/>
          <w:b/>
          <w:spacing w:val="2"/>
        </w:rPr>
        <w:t>o</w:t>
      </w:r>
      <w:r w:rsidRPr="00A54361">
        <w:rPr>
          <w:rFonts w:eastAsia="Times New Roman" w:cstheme="minorHAnsi"/>
          <w:b/>
        </w:rPr>
        <w:t>m</w:t>
      </w:r>
      <w:r w:rsidRPr="00A54361">
        <w:rPr>
          <w:rFonts w:eastAsia="Times New Roman" w:cstheme="minorHAnsi"/>
          <w:b/>
          <w:spacing w:val="-3"/>
        </w:rPr>
        <w:t xml:space="preserve"> </w:t>
      </w:r>
      <w:r w:rsidRPr="00A54361">
        <w:rPr>
          <w:rFonts w:eastAsia="Times New Roman" w:cstheme="minorHAnsi"/>
          <w:b/>
        </w:rPr>
        <w:t>List of</w:t>
      </w:r>
      <w:r w:rsidRPr="00A54361">
        <w:rPr>
          <w:rFonts w:eastAsia="Times New Roman" w:cstheme="minorHAnsi"/>
          <w:b/>
          <w:spacing w:val="1"/>
        </w:rPr>
        <w:t xml:space="preserve"> </w:t>
      </w:r>
      <w:r w:rsidRPr="00A54361">
        <w:rPr>
          <w:rFonts w:eastAsia="Times New Roman" w:cstheme="minorHAnsi"/>
          <w:b/>
        </w:rPr>
        <w:t>Ap</w:t>
      </w:r>
      <w:r w:rsidRPr="00A54361">
        <w:rPr>
          <w:rFonts w:eastAsia="Times New Roman" w:cstheme="minorHAnsi"/>
          <w:b/>
          <w:spacing w:val="1"/>
        </w:rPr>
        <w:t>p</w:t>
      </w:r>
      <w:r w:rsidRPr="00A54361">
        <w:rPr>
          <w:rFonts w:eastAsia="Times New Roman" w:cstheme="minorHAnsi"/>
          <w:b/>
          <w:spacing w:val="-1"/>
        </w:rPr>
        <w:t>r</w:t>
      </w:r>
      <w:r w:rsidRPr="00A54361">
        <w:rPr>
          <w:rFonts w:eastAsia="Times New Roman" w:cstheme="minorHAnsi"/>
          <w:b/>
        </w:rPr>
        <w:t>ov</w:t>
      </w:r>
      <w:r w:rsidRPr="00A54361">
        <w:rPr>
          <w:rFonts w:eastAsia="Times New Roman" w:cstheme="minorHAnsi"/>
          <w:b/>
          <w:spacing w:val="-1"/>
        </w:rPr>
        <w:t>e</w:t>
      </w:r>
      <w:r w:rsidRPr="00A54361">
        <w:rPr>
          <w:rFonts w:eastAsia="Times New Roman" w:cstheme="minorHAnsi"/>
          <w:b/>
        </w:rPr>
        <w:t>d</w:t>
      </w:r>
      <w:r w:rsidRPr="00A54361">
        <w:rPr>
          <w:rFonts w:eastAsia="Times New Roman" w:cstheme="minorHAnsi"/>
          <w:b/>
          <w:spacing w:val="1"/>
        </w:rPr>
        <w:t xml:space="preserve"> </w:t>
      </w:r>
      <w:r w:rsidRPr="00A54361">
        <w:rPr>
          <w:rFonts w:eastAsia="Times New Roman" w:cstheme="minorHAnsi"/>
          <w:b/>
        </w:rPr>
        <w:t>Ag</w:t>
      </w:r>
      <w:r w:rsidRPr="00A54361">
        <w:rPr>
          <w:rFonts w:eastAsia="Times New Roman" w:cstheme="minorHAnsi"/>
          <w:b/>
          <w:spacing w:val="-1"/>
        </w:rPr>
        <w:t>e</w:t>
      </w:r>
      <w:r w:rsidRPr="00A54361">
        <w:rPr>
          <w:rFonts w:eastAsia="Times New Roman" w:cstheme="minorHAnsi"/>
          <w:b/>
          <w:spacing w:val="1"/>
        </w:rPr>
        <w:t>n</w:t>
      </w:r>
      <w:r w:rsidRPr="00A54361">
        <w:rPr>
          <w:rFonts w:eastAsia="Times New Roman" w:cstheme="minorHAnsi"/>
          <w:b/>
          <w:spacing w:val="-1"/>
        </w:rPr>
        <w:t>c</w:t>
      </w:r>
      <w:r w:rsidRPr="00A54361">
        <w:rPr>
          <w:rFonts w:eastAsia="Times New Roman" w:cstheme="minorHAnsi"/>
          <w:b/>
        </w:rPr>
        <w:t>ies</w:t>
      </w:r>
      <w:r w:rsidRPr="00A54361">
        <w:rPr>
          <w:rFonts w:eastAsia="Times New Roman" w:cstheme="minorHAnsi"/>
          <w:b/>
          <w:spacing w:val="2"/>
        </w:rPr>
        <w:t xml:space="preserve"> </w:t>
      </w:r>
      <w:r w:rsidRPr="00A54361">
        <w:rPr>
          <w:rFonts w:eastAsia="Times New Roman" w:cstheme="minorHAnsi"/>
          <w:b/>
        </w:rPr>
        <w:t>-</w:t>
      </w:r>
      <w:r w:rsidRPr="00A54361">
        <w:rPr>
          <w:rFonts w:eastAsia="Times New Roman" w:cstheme="minorHAnsi"/>
          <w:b/>
          <w:spacing w:val="-1"/>
        </w:rPr>
        <w:t xml:space="preserve"> </w:t>
      </w:r>
      <w:r w:rsidRPr="00A54361">
        <w:rPr>
          <w:rFonts w:eastAsia="Times New Roman" w:cstheme="minorHAnsi"/>
          <w:b/>
          <w:spacing w:val="3"/>
        </w:rPr>
        <w:t>S</w:t>
      </w:r>
      <w:r w:rsidRPr="00A54361">
        <w:rPr>
          <w:rFonts w:eastAsia="Times New Roman" w:cstheme="minorHAnsi"/>
          <w:b/>
          <w:spacing w:val="1"/>
        </w:rPr>
        <w:t>upp</w:t>
      </w:r>
      <w:r w:rsidRPr="00A54361">
        <w:rPr>
          <w:rFonts w:eastAsia="Times New Roman" w:cstheme="minorHAnsi"/>
          <w:b/>
          <w:spacing w:val="-2"/>
        </w:rPr>
        <w:t>l</w:t>
      </w:r>
      <w:r w:rsidRPr="00A54361">
        <w:rPr>
          <w:rFonts w:eastAsia="Times New Roman" w:cstheme="minorHAnsi"/>
          <w:b/>
        </w:rPr>
        <w:t>ie</w:t>
      </w:r>
      <w:r w:rsidRPr="00A54361">
        <w:rPr>
          <w:rFonts w:eastAsia="Times New Roman" w:cstheme="minorHAnsi"/>
          <w:b/>
          <w:spacing w:val="-1"/>
        </w:rPr>
        <w:t>r</w:t>
      </w:r>
      <w:r w:rsidRPr="00A54361">
        <w:rPr>
          <w:rFonts w:eastAsia="Times New Roman" w:cstheme="minorHAnsi"/>
          <w:b/>
        </w:rPr>
        <w:t>s / Co</w:t>
      </w:r>
      <w:r w:rsidRPr="00A54361">
        <w:rPr>
          <w:rFonts w:eastAsia="Times New Roman" w:cstheme="minorHAnsi"/>
          <w:b/>
          <w:spacing w:val="1"/>
        </w:rPr>
        <w:t>n</w:t>
      </w:r>
      <w:r w:rsidRPr="00A54361">
        <w:rPr>
          <w:rFonts w:eastAsia="Times New Roman" w:cstheme="minorHAnsi"/>
          <w:b/>
        </w:rPr>
        <w:t>t</w:t>
      </w:r>
      <w:r w:rsidRPr="00A54361">
        <w:rPr>
          <w:rFonts w:eastAsia="Times New Roman" w:cstheme="minorHAnsi"/>
          <w:b/>
          <w:spacing w:val="-2"/>
        </w:rPr>
        <w:t>r</w:t>
      </w:r>
      <w:r w:rsidRPr="00A54361">
        <w:rPr>
          <w:rFonts w:eastAsia="Times New Roman" w:cstheme="minorHAnsi"/>
          <w:b/>
        </w:rPr>
        <w:t>a</w:t>
      </w:r>
      <w:r w:rsidRPr="00A54361">
        <w:rPr>
          <w:rFonts w:eastAsia="Times New Roman" w:cstheme="minorHAnsi"/>
          <w:b/>
          <w:spacing w:val="-1"/>
        </w:rPr>
        <w:t>c</w:t>
      </w:r>
      <w:r w:rsidRPr="00A54361">
        <w:rPr>
          <w:rFonts w:eastAsia="Times New Roman" w:cstheme="minorHAnsi"/>
          <w:b/>
        </w:rPr>
        <w:t>t</w:t>
      </w:r>
      <w:r w:rsidRPr="00A54361">
        <w:rPr>
          <w:rFonts w:eastAsia="Times New Roman" w:cstheme="minorHAnsi"/>
          <w:b/>
          <w:spacing w:val="1"/>
        </w:rPr>
        <w:t>o</w:t>
      </w:r>
      <w:r w:rsidRPr="00A54361">
        <w:rPr>
          <w:rFonts w:eastAsia="Times New Roman" w:cstheme="minorHAnsi"/>
          <w:b/>
          <w:spacing w:val="-1"/>
        </w:rPr>
        <w:t>r</w:t>
      </w:r>
      <w:r w:rsidRPr="00A54361">
        <w:rPr>
          <w:rFonts w:eastAsia="Times New Roman" w:cstheme="minorHAnsi"/>
          <w:b/>
        </w:rPr>
        <w:t>s, et</w:t>
      </w:r>
      <w:r w:rsidRPr="00A54361">
        <w:rPr>
          <w:rFonts w:eastAsia="Times New Roman" w:cstheme="minorHAnsi"/>
          <w:b/>
          <w:spacing w:val="-2"/>
        </w:rPr>
        <w:t>c</w:t>
      </w:r>
      <w:r w:rsidRPr="00A54361">
        <w:rPr>
          <w:rFonts w:eastAsia="Times New Roman" w:cstheme="minorHAnsi"/>
          <w:b/>
        </w:rPr>
        <w:t>.</w:t>
      </w:r>
    </w:p>
    <w:p w14:paraId="1D1427CE" w14:textId="77777777" w:rsidR="0054549F" w:rsidRPr="00A54361" w:rsidRDefault="0054549F" w:rsidP="00A54361">
      <w:pPr>
        <w:spacing w:line="260" w:lineRule="exact"/>
        <w:ind w:left="100" w:right="85"/>
        <w:jc w:val="both"/>
        <w:rPr>
          <w:rFonts w:cstheme="minorHAnsi"/>
        </w:rPr>
      </w:pPr>
      <w:r w:rsidRPr="00A54361">
        <w:rPr>
          <w:rFonts w:eastAsia="Times New Roman" w:cstheme="minorHAnsi"/>
        </w:rPr>
        <w:t>8.1</w:t>
      </w:r>
      <w:r w:rsidRPr="00A54361">
        <w:rPr>
          <w:rFonts w:eastAsia="Times New Roman" w:cstheme="minorHAnsi"/>
          <w:spacing w:val="-5"/>
        </w:rPr>
        <w:t xml:space="preserve"> </w:t>
      </w:r>
      <w:r w:rsidRPr="00A54361">
        <w:rPr>
          <w:rFonts w:eastAsia="Times New Roman" w:cstheme="minorHAnsi"/>
          <w:spacing w:val="-3"/>
        </w:rPr>
        <w:t>I</w:t>
      </w:r>
      <w:r w:rsidRPr="00A54361">
        <w:rPr>
          <w:rFonts w:eastAsia="Times New Roman" w:cstheme="minorHAnsi"/>
        </w:rPr>
        <w:t>f</w:t>
      </w:r>
      <w:r w:rsidRPr="00A54361">
        <w:rPr>
          <w:rFonts w:eastAsia="Times New Roman" w:cstheme="minorHAnsi"/>
          <w:spacing w:val="-8"/>
        </w:rPr>
        <w:t xml:space="preserve"> </w:t>
      </w:r>
      <w:r w:rsidRPr="00A54361">
        <w:rPr>
          <w:rFonts w:eastAsia="Times New Roman" w:cstheme="minorHAnsi"/>
        </w:rPr>
        <w:t>the</w:t>
      </w:r>
      <w:r w:rsidRPr="00A54361">
        <w:rPr>
          <w:rFonts w:eastAsia="Times New Roman" w:cstheme="minorHAnsi"/>
          <w:spacing w:val="-6"/>
        </w:rPr>
        <w:t xml:space="preserve"> </w:t>
      </w:r>
      <w:r w:rsidRPr="00A54361">
        <w:rPr>
          <w:rFonts w:eastAsia="Times New Roman" w:cstheme="minorHAnsi"/>
        </w:rPr>
        <w:t>Compet</w:t>
      </w:r>
      <w:r w:rsidRPr="00A54361">
        <w:rPr>
          <w:rFonts w:eastAsia="Times New Roman" w:cstheme="minorHAnsi"/>
          <w:spacing w:val="-1"/>
        </w:rPr>
        <w:t>e</w:t>
      </w:r>
      <w:r w:rsidRPr="00A54361">
        <w:rPr>
          <w:rFonts w:eastAsia="Times New Roman" w:cstheme="minorHAnsi"/>
        </w:rPr>
        <w:t>nt</w:t>
      </w:r>
      <w:r w:rsidRPr="00A54361">
        <w:rPr>
          <w:rFonts w:eastAsia="Times New Roman" w:cstheme="minorHAnsi"/>
          <w:spacing w:val="-7"/>
        </w:rPr>
        <w:t xml:space="preserve"> </w:t>
      </w:r>
      <w:r w:rsidRPr="00A54361">
        <w:rPr>
          <w:rFonts w:eastAsia="Times New Roman" w:cstheme="minorHAnsi"/>
        </w:rPr>
        <w:t>Au</w:t>
      </w:r>
      <w:r w:rsidRPr="00A54361">
        <w:rPr>
          <w:rFonts w:eastAsia="Times New Roman" w:cstheme="minorHAnsi"/>
          <w:spacing w:val="2"/>
        </w:rPr>
        <w:t>t</w:t>
      </w:r>
      <w:r w:rsidRPr="00A54361">
        <w:rPr>
          <w:rFonts w:eastAsia="Times New Roman" w:cstheme="minorHAnsi"/>
        </w:rPr>
        <w:t>hori</w:t>
      </w:r>
      <w:r w:rsidRPr="00A54361">
        <w:rPr>
          <w:rFonts w:eastAsia="Times New Roman" w:cstheme="minorHAnsi"/>
          <w:spacing w:val="2"/>
        </w:rPr>
        <w:t>t</w:t>
      </w:r>
      <w:r w:rsidRPr="00A54361">
        <w:rPr>
          <w:rFonts w:eastAsia="Times New Roman" w:cstheme="minorHAnsi"/>
        </w:rPr>
        <w:t>y</w:t>
      </w:r>
      <w:r w:rsidRPr="00A54361">
        <w:rPr>
          <w:rFonts w:eastAsia="Times New Roman" w:cstheme="minorHAnsi"/>
          <w:spacing w:val="-12"/>
        </w:rPr>
        <w:t xml:space="preserve"> </w:t>
      </w:r>
      <w:r w:rsidRPr="00A54361">
        <w:rPr>
          <w:rFonts w:eastAsia="Times New Roman" w:cstheme="minorHAnsi"/>
          <w:spacing w:val="2"/>
        </w:rPr>
        <w:t>d</w:t>
      </w:r>
      <w:r w:rsidRPr="00A54361">
        <w:rPr>
          <w:rFonts w:eastAsia="Times New Roman" w:cstheme="minorHAnsi"/>
          <w:spacing w:val="-1"/>
        </w:rPr>
        <w:t>ec</w:t>
      </w:r>
      <w:r w:rsidRPr="00A54361">
        <w:rPr>
          <w:rFonts w:eastAsia="Times New Roman" w:cstheme="minorHAnsi"/>
        </w:rPr>
        <w:t>ides</w:t>
      </w:r>
      <w:r w:rsidRPr="00A54361">
        <w:rPr>
          <w:rFonts w:eastAsia="Times New Roman" w:cstheme="minorHAnsi"/>
          <w:spacing w:val="-7"/>
        </w:rPr>
        <w:t xml:space="preserve"> </w:t>
      </w:r>
      <w:r w:rsidRPr="00A54361">
        <w:rPr>
          <w:rFonts w:eastAsia="Times New Roman" w:cstheme="minorHAnsi"/>
        </w:rPr>
        <w:t>t</w:t>
      </w:r>
      <w:r w:rsidRPr="00A54361">
        <w:rPr>
          <w:rFonts w:eastAsia="Times New Roman" w:cstheme="minorHAnsi"/>
          <w:spacing w:val="3"/>
        </w:rPr>
        <w:t>h</w:t>
      </w:r>
      <w:r w:rsidRPr="00A54361">
        <w:rPr>
          <w:rFonts w:eastAsia="Times New Roman" w:cstheme="minorHAnsi"/>
          <w:spacing w:val="-1"/>
        </w:rPr>
        <w:t>a</w:t>
      </w:r>
      <w:r w:rsidRPr="00A54361">
        <w:rPr>
          <w:rFonts w:eastAsia="Times New Roman" w:cstheme="minorHAnsi"/>
        </w:rPr>
        <w:t>t</w:t>
      </w:r>
      <w:r w:rsidRPr="00A54361">
        <w:rPr>
          <w:rFonts w:eastAsia="Times New Roman" w:cstheme="minorHAnsi"/>
          <w:spacing w:val="-7"/>
        </w:rPr>
        <w:t xml:space="preserve"> </w:t>
      </w:r>
      <w:r w:rsidRPr="00A54361">
        <w:rPr>
          <w:rFonts w:eastAsia="Times New Roman" w:cstheme="minorHAnsi"/>
        </w:rPr>
        <w:t>the</w:t>
      </w:r>
      <w:r w:rsidRPr="00A54361">
        <w:rPr>
          <w:rFonts w:eastAsia="Times New Roman" w:cstheme="minorHAnsi"/>
          <w:spacing w:val="-5"/>
        </w:rPr>
        <w:t xml:space="preserve"> </w:t>
      </w:r>
      <w:r w:rsidRPr="00A54361">
        <w:rPr>
          <w:rFonts w:eastAsia="Times New Roman" w:cstheme="minorHAnsi"/>
          <w:spacing w:val="-1"/>
        </w:rPr>
        <w:t>c</w:t>
      </w:r>
      <w:r w:rsidRPr="00A54361">
        <w:rPr>
          <w:rFonts w:eastAsia="Times New Roman" w:cstheme="minorHAnsi"/>
          <w:spacing w:val="2"/>
        </w:rPr>
        <w:t>h</w:t>
      </w:r>
      <w:r w:rsidRPr="00A54361">
        <w:rPr>
          <w:rFonts w:eastAsia="Times New Roman" w:cstheme="minorHAnsi"/>
          <w:spacing w:val="-1"/>
        </w:rPr>
        <w:t>a</w:t>
      </w:r>
      <w:r w:rsidRPr="00A54361">
        <w:rPr>
          <w:rFonts w:eastAsia="Times New Roman" w:cstheme="minorHAnsi"/>
          <w:spacing w:val="1"/>
        </w:rPr>
        <w:t>r</w:t>
      </w:r>
      <w:r w:rsidRPr="00A54361">
        <w:rPr>
          <w:rFonts w:eastAsia="Times New Roman" w:cstheme="minorHAnsi"/>
          <w:spacing w:val="-2"/>
        </w:rPr>
        <w:t>g</w:t>
      </w:r>
      <w:r w:rsidRPr="00A54361">
        <w:rPr>
          <w:rFonts w:eastAsia="Times New Roman" w:cstheme="minorHAnsi"/>
        </w:rPr>
        <w:t>e</w:t>
      </w:r>
      <w:r w:rsidRPr="00A54361">
        <w:rPr>
          <w:rFonts w:eastAsia="Times New Roman" w:cstheme="minorHAnsi"/>
          <w:spacing w:val="-6"/>
        </w:rPr>
        <w:t xml:space="preserve"> </w:t>
      </w:r>
      <w:r w:rsidRPr="00A54361">
        <w:rPr>
          <w:rFonts w:eastAsia="Times New Roman" w:cstheme="minorHAnsi"/>
          <w:spacing w:val="1"/>
        </w:rPr>
        <w:t>a</w:t>
      </w:r>
      <w:r w:rsidRPr="00A54361">
        <w:rPr>
          <w:rFonts w:eastAsia="Times New Roman" w:cstheme="minorHAnsi"/>
          <w:spacing w:val="-2"/>
        </w:rPr>
        <w:t>g</w:t>
      </w:r>
      <w:r w:rsidRPr="00A54361">
        <w:rPr>
          <w:rFonts w:eastAsia="Times New Roman" w:cstheme="minorHAnsi"/>
          <w:spacing w:val="-1"/>
        </w:rPr>
        <w:t>a</w:t>
      </w:r>
      <w:r w:rsidRPr="00A54361">
        <w:rPr>
          <w:rFonts w:eastAsia="Times New Roman" w:cstheme="minorHAnsi"/>
        </w:rPr>
        <w:t>inst</w:t>
      </w:r>
      <w:r w:rsidRPr="00A54361">
        <w:rPr>
          <w:rFonts w:eastAsia="Times New Roman" w:cstheme="minorHAnsi"/>
          <w:spacing w:val="-6"/>
        </w:rPr>
        <w:t xml:space="preserve"> </w:t>
      </w:r>
      <w:r w:rsidRPr="00A54361">
        <w:rPr>
          <w:rFonts w:eastAsia="Times New Roman" w:cstheme="minorHAnsi"/>
        </w:rPr>
        <w:t>the</w:t>
      </w:r>
      <w:r w:rsidRPr="00A54361">
        <w:rPr>
          <w:rFonts w:eastAsia="Times New Roman" w:cstheme="minorHAnsi"/>
          <w:spacing w:val="-5"/>
        </w:rPr>
        <w:t xml:space="preserve"> </w:t>
      </w:r>
      <w:r w:rsidRPr="00A54361">
        <w:rPr>
          <w:rFonts w:eastAsia="Times New Roman" w:cstheme="minorHAnsi"/>
          <w:spacing w:val="2"/>
        </w:rPr>
        <w:t>A</w:t>
      </w:r>
      <w:r w:rsidRPr="00A54361">
        <w:rPr>
          <w:rFonts w:eastAsia="Times New Roman" w:cstheme="minorHAnsi"/>
          <w:spacing w:val="-2"/>
        </w:rPr>
        <w:t>g</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4"/>
        </w:rPr>
        <w:t>c</w:t>
      </w:r>
      <w:r w:rsidRPr="00A54361">
        <w:rPr>
          <w:rFonts w:eastAsia="Times New Roman" w:cstheme="minorHAnsi"/>
        </w:rPr>
        <w:t>y</w:t>
      </w:r>
      <w:r w:rsidRPr="00A54361">
        <w:rPr>
          <w:rFonts w:eastAsia="Times New Roman" w:cstheme="minorHAnsi"/>
          <w:spacing w:val="-10"/>
        </w:rPr>
        <w:t xml:space="preserve"> </w:t>
      </w:r>
      <w:r w:rsidRPr="00A54361">
        <w:rPr>
          <w:rFonts w:eastAsia="Times New Roman" w:cstheme="minorHAnsi"/>
          <w:spacing w:val="3"/>
        </w:rPr>
        <w:t>i</w:t>
      </w:r>
      <w:r w:rsidRPr="00A54361">
        <w:rPr>
          <w:rFonts w:eastAsia="Times New Roman" w:cstheme="minorHAnsi"/>
        </w:rPr>
        <w:t>s</w:t>
      </w:r>
      <w:r w:rsidRPr="00A54361">
        <w:rPr>
          <w:rFonts w:eastAsia="Times New Roman" w:cstheme="minorHAnsi"/>
          <w:spacing w:val="-7"/>
        </w:rPr>
        <w:t xml:space="preserve"> </w:t>
      </w:r>
      <w:r w:rsidRPr="00A54361">
        <w:rPr>
          <w:rFonts w:eastAsia="Times New Roman" w:cstheme="minorHAnsi"/>
        </w:rPr>
        <w:t>of</w:t>
      </w:r>
      <w:r w:rsidRPr="00A54361">
        <w:rPr>
          <w:rFonts w:eastAsia="Times New Roman" w:cstheme="minorHAnsi"/>
          <w:spacing w:val="-8"/>
        </w:rPr>
        <w:t xml:space="preserve"> </w:t>
      </w:r>
      <w:r w:rsidRPr="00A54361">
        <w:rPr>
          <w:rFonts w:eastAsia="Times New Roman" w:cstheme="minorHAnsi"/>
        </w:rPr>
        <w:t>a</w:t>
      </w:r>
      <w:r w:rsidRPr="00A54361">
        <w:rPr>
          <w:rFonts w:eastAsia="Times New Roman" w:cstheme="minorHAnsi"/>
          <w:spacing w:val="-6"/>
        </w:rPr>
        <w:t xml:space="preserve"> </w:t>
      </w:r>
      <w:r w:rsidRPr="00A54361">
        <w:rPr>
          <w:rFonts w:eastAsia="Times New Roman" w:cstheme="minorHAnsi"/>
        </w:rPr>
        <w:t>m</w:t>
      </w:r>
      <w:r w:rsidRPr="00A54361">
        <w:rPr>
          <w:rFonts w:eastAsia="Times New Roman" w:cstheme="minorHAnsi"/>
          <w:spacing w:val="1"/>
        </w:rPr>
        <w:t>i</w:t>
      </w:r>
      <w:r w:rsidRPr="00A54361">
        <w:rPr>
          <w:rFonts w:eastAsia="Times New Roman" w:cstheme="minorHAnsi"/>
        </w:rPr>
        <w:t>nor</w:t>
      </w:r>
      <w:r w:rsidRPr="00A54361">
        <w:rPr>
          <w:rFonts w:eastAsia="Times New Roman" w:cstheme="minorHAnsi"/>
          <w:spacing w:val="-8"/>
        </w:rPr>
        <w:t xml:space="preserve"> </w:t>
      </w:r>
      <w:r w:rsidRPr="00A54361">
        <w:rPr>
          <w:rFonts w:eastAsia="Times New Roman" w:cstheme="minorHAnsi"/>
        </w:rPr>
        <w:t>n</w:t>
      </w:r>
      <w:r w:rsidRPr="00A54361">
        <w:rPr>
          <w:rFonts w:eastAsia="Times New Roman" w:cstheme="minorHAnsi"/>
          <w:spacing w:val="-1"/>
        </w:rPr>
        <w:t>a</w:t>
      </w:r>
      <w:r w:rsidRPr="00A54361">
        <w:rPr>
          <w:rFonts w:eastAsia="Times New Roman" w:cstheme="minorHAnsi"/>
        </w:rPr>
        <w:t>tu</w:t>
      </w:r>
      <w:r w:rsidRPr="00A54361">
        <w:rPr>
          <w:rFonts w:eastAsia="Times New Roman" w:cstheme="minorHAnsi"/>
          <w:spacing w:val="2"/>
        </w:rPr>
        <w:t>r</w:t>
      </w:r>
      <w:r w:rsidRPr="00A54361">
        <w:rPr>
          <w:rFonts w:eastAsia="Times New Roman" w:cstheme="minorHAnsi"/>
          <w:spacing w:val="-1"/>
        </w:rPr>
        <w:t>e</w:t>
      </w:r>
      <w:r w:rsidRPr="00A54361">
        <w:rPr>
          <w:rFonts w:eastAsia="Times New Roman" w:cstheme="minorHAnsi"/>
        </w:rPr>
        <w:t>,</w:t>
      </w:r>
    </w:p>
    <w:p w14:paraId="2947C4CE" w14:textId="77777777" w:rsidR="0054549F" w:rsidRPr="00A54361" w:rsidRDefault="0054549F" w:rsidP="00A54361">
      <w:pPr>
        <w:ind w:left="100" w:right="82"/>
        <w:jc w:val="both"/>
        <w:rPr>
          <w:rFonts w:cstheme="minorHAnsi"/>
        </w:rPr>
      </w:pPr>
      <w:r w:rsidRPr="00A54361">
        <w:rPr>
          <w:rFonts w:eastAsia="Times New Roman" w:cstheme="minorHAnsi"/>
        </w:rPr>
        <w:t>it</w:t>
      </w:r>
      <w:r w:rsidRPr="00A54361">
        <w:rPr>
          <w:rFonts w:eastAsia="Times New Roman" w:cstheme="minorHAnsi"/>
          <w:spacing w:val="5"/>
        </w:rPr>
        <w:t xml:space="preserve"> </w:t>
      </w:r>
      <w:r w:rsidRPr="00A54361">
        <w:rPr>
          <w:rFonts w:eastAsia="Times New Roman" w:cstheme="minorHAnsi"/>
        </w:rPr>
        <w:t>m</w:t>
      </w:r>
      <w:r w:rsidRPr="00A54361">
        <w:rPr>
          <w:rFonts w:eastAsia="Times New Roman" w:cstheme="minorHAnsi"/>
          <w:spacing w:val="2"/>
        </w:rPr>
        <w:t>a</w:t>
      </w:r>
      <w:r w:rsidRPr="00A54361">
        <w:rPr>
          <w:rFonts w:eastAsia="Times New Roman" w:cstheme="minorHAnsi"/>
        </w:rPr>
        <w:t>y is</w:t>
      </w:r>
      <w:r w:rsidRPr="00A54361">
        <w:rPr>
          <w:rFonts w:eastAsia="Times New Roman" w:cstheme="minorHAnsi"/>
          <w:spacing w:val="1"/>
        </w:rPr>
        <w:t>s</w:t>
      </w:r>
      <w:r w:rsidRPr="00A54361">
        <w:rPr>
          <w:rFonts w:eastAsia="Times New Roman" w:cstheme="minorHAnsi"/>
          <w:spacing w:val="2"/>
        </w:rPr>
        <w:t>u</w:t>
      </w:r>
      <w:r w:rsidRPr="00A54361">
        <w:rPr>
          <w:rFonts w:eastAsia="Times New Roman" w:cstheme="minorHAnsi"/>
        </w:rPr>
        <w:t>e</w:t>
      </w:r>
      <w:r w:rsidRPr="00A54361">
        <w:rPr>
          <w:rFonts w:eastAsia="Times New Roman" w:cstheme="minorHAnsi"/>
          <w:spacing w:val="4"/>
        </w:rPr>
        <w:t xml:space="preserve"> </w:t>
      </w:r>
      <w:r w:rsidRPr="00A54361">
        <w:rPr>
          <w:rFonts w:eastAsia="Times New Roman" w:cstheme="minorHAnsi"/>
        </w:rPr>
        <w:t>a</w:t>
      </w:r>
      <w:r w:rsidRPr="00A54361">
        <w:rPr>
          <w:rFonts w:eastAsia="Times New Roman" w:cstheme="minorHAnsi"/>
          <w:spacing w:val="6"/>
        </w:rPr>
        <w:t xml:space="preserve"> </w:t>
      </w:r>
      <w:r w:rsidRPr="00A54361">
        <w:rPr>
          <w:rFonts w:eastAsia="Times New Roman" w:cstheme="minorHAnsi"/>
        </w:rPr>
        <w:t>sho</w:t>
      </w:r>
      <w:r w:rsidRPr="00A54361">
        <w:rPr>
          <w:rFonts w:eastAsia="Times New Roman" w:cstheme="minorHAnsi"/>
          <w:spacing w:val="2"/>
        </w:rPr>
        <w:t>w-</w:t>
      </w:r>
      <w:r w:rsidRPr="00A54361">
        <w:rPr>
          <w:rFonts w:eastAsia="Times New Roman" w:cstheme="minorHAnsi"/>
          <w:spacing w:val="-1"/>
        </w:rPr>
        <w:t>ca</w:t>
      </w:r>
      <w:r w:rsidRPr="00A54361">
        <w:rPr>
          <w:rFonts w:eastAsia="Times New Roman" w:cstheme="minorHAnsi"/>
          <w:spacing w:val="3"/>
        </w:rPr>
        <w:t>u</w:t>
      </w:r>
      <w:r w:rsidRPr="00A54361">
        <w:rPr>
          <w:rFonts w:eastAsia="Times New Roman" w:cstheme="minorHAnsi"/>
        </w:rPr>
        <w:t>se</w:t>
      </w:r>
      <w:r w:rsidRPr="00A54361">
        <w:rPr>
          <w:rFonts w:eastAsia="Times New Roman" w:cstheme="minorHAnsi"/>
          <w:spacing w:val="4"/>
        </w:rPr>
        <w:t xml:space="preserve"> </w:t>
      </w:r>
      <w:r w:rsidRPr="00A54361">
        <w:rPr>
          <w:rFonts w:eastAsia="Times New Roman" w:cstheme="minorHAnsi"/>
        </w:rPr>
        <w:t>not</w:t>
      </w:r>
      <w:r w:rsidRPr="00A54361">
        <w:rPr>
          <w:rFonts w:eastAsia="Times New Roman" w:cstheme="minorHAnsi"/>
          <w:spacing w:val="1"/>
        </w:rPr>
        <w:t>i</w:t>
      </w:r>
      <w:r w:rsidRPr="00A54361">
        <w:rPr>
          <w:rFonts w:eastAsia="Times New Roman" w:cstheme="minorHAnsi"/>
          <w:spacing w:val="-1"/>
        </w:rPr>
        <w:t>c</w:t>
      </w:r>
      <w:r w:rsidRPr="00A54361">
        <w:rPr>
          <w:rFonts w:eastAsia="Times New Roman" w:cstheme="minorHAnsi"/>
        </w:rPr>
        <w:t>e</w:t>
      </w:r>
      <w:r w:rsidRPr="00A54361">
        <w:rPr>
          <w:rFonts w:eastAsia="Times New Roman" w:cstheme="minorHAnsi"/>
          <w:spacing w:val="6"/>
        </w:rPr>
        <w:t xml:space="preserve"> </w:t>
      </w:r>
      <w:r w:rsidRPr="00A54361">
        <w:rPr>
          <w:rFonts w:eastAsia="Times New Roman" w:cstheme="minorHAnsi"/>
          <w:spacing w:val="-1"/>
        </w:rPr>
        <w:t>a</w:t>
      </w:r>
      <w:r w:rsidRPr="00A54361">
        <w:rPr>
          <w:rFonts w:eastAsia="Times New Roman" w:cstheme="minorHAnsi"/>
        </w:rPr>
        <w:t>s</w:t>
      </w:r>
      <w:r w:rsidRPr="00A54361">
        <w:rPr>
          <w:rFonts w:eastAsia="Times New Roman" w:cstheme="minorHAnsi"/>
          <w:spacing w:val="5"/>
        </w:rPr>
        <w:t xml:space="preserve"> </w:t>
      </w:r>
      <w:r w:rsidRPr="00A54361">
        <w:rPr>
          <w:rFonts w:eastAsia="Times New Roman" w:cstheme="minorHAnsi"/>
        </w:rPr>
        <w:t>to</w:t>
      </w:r>
      <w:r w:rsidRPr="00A54361">
        <w:rPr>
          <w:rFonts w:eastAsia="Times New Roman" w:cstheme="minorHAnsi"/>
          <w:spacing w:val="7"/>
        </w:rPr>
        <w:t xml:space="preserve"> </w:t>
      </w:r>
      <w:r w:rsidRPr="00A54361">
        <w:rPr>
          <w:rFonts w:eastAsia="Times New Roman" w:cstheme="minorHAnsi"/>
        </w:rPr>
        <w:t>w</w:t>
      </w:r>
      <w:r w:rsidRPr="00A54361">
        <w:rPr>
          <w:rFonts w:eastAsia="Times New Roman" w:cstheme="minorHAnsi"/>
          <w:spacing w:val="4"/>
        </w:rPr>
        <w:t>h</w:t>
      </w:r>
      <w:r w:rsidRPr="00A54361">
        <w:rPr>
          <w:rFonts w:eastAsia="Times New Roman" w:cstheme="minorHAnsi"/>
        </w:rPr>
        <w:t>y the</w:t>
      </w:r>
      <w:r w:rsidRPr="00A54361">
        <w:rPr>
          <w:rFonts w:eastAsia="Times New Roman" w:cstheme="minorHAnsi"/>
          <w:spacing w:val="9"/>
        </w:rPr>
        <w:t xml:space="preserve"> </w:t>
      </w:r>
      <w:r w:rsidRPr="00A54361">
        <w:rPr>
          <w:rFonts w:eastAsia="Times New Roman" w:cstheme="minorHAnsi"/>
        </w:rPr>
        <w:t>n</w:t>
      </w:r>
      <w:r w:rsidRPr="00A54361">
        <w:rPr>
          <w:rFonts w:eastAsia="Times New Roman" w:cstheme="minorHAnsi"/>
          <w:spacing w:val="-1"/>
        </w:rPr>
        <w:t>a</w:t>
      </w:r>
      <w:r w:rsidRPr="00A54361">
        <w:rPr>
          <w:rFonts w:eastAsia="Times New Roman" w:cstheme="minorHAnsi"/>
        </w:rPr>
        <w:t>me</w:t>
      </w:r>
      <w:r w:rsidRPr="00A54361">
        <w:rPr>
          <w:rFonts w:eastAsia="Times New Roman" w:cstheme="minorHAnsi"/>
          <w:spacing w:val="4"/>
        </w:rPr>
        <w:t xml:space="preserve"> </w:t>
      </w:r>
      <w:r w:rsidRPr="00A54361">
        <w:rPr>
          <w:rFonts w:eastAsia="Times New Roman" w:cstheme="minorHAnsi"/>
        </w:rPr>
        <w:t>of</w:t>
      </w:r>
      <w:r w:rsidRPr="00A54361">
        <w:rPr>
          <w:rFonts w:eastAsia="Times New Roman" w:cstheme="minorHAnsi"/>
          <w:spacing w:val="6"/>
        </w:rPr>
        <w:t xml:space="preserve"> </w:t>
      </w:r>
      <w:r w:rsidRPr="00A54361">
        <w:rPr>
          <w:rFonts w:eastAsia="Times New Roman" w:cstheme="minorHAnsi"/>
        </w:rPr>
        <w:t>the</w:t>
      </w:r>
      <w:r w:rsidRPr="00A54361">
        <w:rPr>
          <w:rFonts w:eastAsia="Times New Roman" w:cstheme="minorHAnsi"/>
          <w:spacing w:val="6"/>
        </w:rPr>
        <w:t xml:space="preserve"> </w:t>
      </w:r>
      <w:r w:rsidRPr="00A54361">
        <w:rPr>
          <w:rFonts w:eastAsia="Times New Roman" w:cstheme="minorHAnsi"/>
          <w:spacing w:val="2"/>
        </w:rPr>
        <w:t>A</w:t>
      </w:r>
      <w:r w:rsidRPr="00A54361">
        <w:rPr>
          <w:rFonts w:eastAsia="Times New Roman" w:cstheme="minorHAnsi"/>
          <w:spacing w:val="-2"/>
        </w:rPr>
        <w:t>g</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4"/>
        </w:rPr>
        <w:t>c</w:t>
      </w:r>
      <w:r w:rsidRPr="00A54361">
        <w:rPr>
          <w:rFonts w:eastAsia="Times New Roman" w:cstheme="minorHAnsi"/>
        </w:rPr>
        <w:t>y</w:t>
      </w:r>
      <w:r w:rsidRPr="00A54361">
        <w:rPr>
          <w:rFonts w:eastAsia="Times New Roman" w:cstheme="minorHAnsi"/>
          <w:spacing w:val="2"/>
        </w:rPr>
        <w:t xml:space="preserve"> </w:t>
      </w:r>
      <w:r w:rsidRPr="00A54361">
        <w:rPr>
          <w:rFonts w:eastAsia="Times New Roman" w:cstheme="minorHAnsi"/>
        </w:rPr>
        <w:t>sh</w:t>
      </w:r>
      <w:r w:rsidRPr="00A54361">
        <w:rPr>
          <w:rFonts w:eastAsia="Times New Roman" w:cstheme="minorHAnsi"/>
          <w:spacing w:val="2"/>
        </w:rPr>
        <w:t>o</w:t>
      </w:r>
      <w:r w:rsidRPr="00A54361">
        <w:rPr>
          <w:rFonts w:eastAsia="Times New Roman" w:cstheme="minorHAnsi"/>
        </w:rPr>
        <w:t>uld</w:t>
      </w:r>
      <w:r w:rsidRPr="00A54361">
        <w:rPr>
          <w:rFonts w:eastAsia="Times New Roman" w:cstheme="minorHAnsi"/>
          <w:spacing w:val="5"/>
        </w:rPr>
        <w:t xml:space="preserve"> </w:t>
      </w:r>
      <w:r w:rsidRPr="00A54361">
        <w:rPr>
          <w:rFonts w:eastAsia="Times New Roman" w:cstheme="minorHAnsi"/>
        </w:rPr>
        <w:t>not</w:t>
      </w:r>
      <w:r w:rsidRPr="00A54361">
        <w:rPr>
          <w:rFonts w:eastAsia="Times New Roman" w:cstheme="minorHAnsi"/>
          <w:spacing w:val="5"/>
        </w:rPr>
        <w:t xml:space="preserve"> </w:t>
      </w:r>
      <w:r w:rsidRPr="00A54361">
        <w:rPr>
          <w:rFonts w:eastAsia="Times New Roman" w:cstheme="minorHAnsi"/>
        </w:rPr>
        <w:t>be</w:t>
      </w:r>
      <w:r w:rsidRPr="00A54361">
        <w:rPr>
          <w:rFonts w:eastAsia="Times New Roman" w:cstheme="minorHAnsi"/>
          <w:spacing w:val="6"/>
        </w:rPr>
        <w:t xml:space="preserve"> </w:t>
      </w:r>
      <w:r w:rsidRPr="00A54361">
        <w:rPr>
          <w:rFonts w:eastAsia="Times New Roman" w:cstheme="minorHAnsi"/>
        </w:rPr>
        <w:t>r</w:t>
      </w:r>
      <w:r w:rsidRPr="00A54361">
        <w:rPr>
          <w:rFonts w:eastAsia="Times New Roman" w:cstheme="minorHAnsi"/>
          <w:spacing w:val="-2"/>
        </w:rPr>
        <w:t>e</w:t>
      </w:r>
      <w:r w:rsidRPr="00A54361">
        <w:rPr>
          <w:rFonts w:eastAsia="Times New Roman" w:cstheme="minorHAnsi"/>
        </w:rPr>
        <w:t>moved f</w:t>
      </w:r>
      <w:r w:rsidRPr="00A54361">
        <w:rPr>
          <w:rFonts w:eastAsia="Times New Roman" w:cstheme="minorHAnsi"/>
          <w:spacing w:val="-1"/>
        </w:rPr>
        <w:t>r</w:t>
      </w:r>
      <w:r w:rsidRPr="00A54361">
        <w:rPr>
          <w:rFonts w:eastAsia="Times New Roman" w:cstheme="minorHAnsi"/>
        </w:rPr>
        <w:t xml:space="preserve">om </w:t>
      </w:r>
      <w:r w:rsidRPr="00A54361">
        <w:rPr>
          <w:rFonts w:eastAsia="Times New Roman" w:cstheme="minorHAnsi"/>
          <w:spacing w:val="1"/>
        </w:rPr>
        <w:t>t</w:t>
      </w:r>
      <w:r w:rsidRPr="00A54361">
        <w:rPr>
          <w:rFonts w:eastAsia="Times New Roman" w:cstheme="minorHAnsi"/>
        </w:rPr>
        <w:t>he</w:t>
      </w:r>
      <w:r w:rsidRPr="00A54361">
        <w:rPr>
          <w:rFonts w:eastAsia="Times New Roman" w:cstheme="minorHAnsi"/>
          <w:spacing w:val="-1"/>
        </w:rPr>
        <w:t xml:space="preserve"> </w:t>
      </w:r>
      <w:r w:rsidRPr="00A54361">
        <w:rPr>
          <w:rFonts w:eastAsia="Times New Roman" w:cstheme="minorHAnsi"/>
        </w:rPr>
        <w:t>l</w:t>
      </w:r>
      <w:r w:rsidRPr="00A54361">
        <w:rPr>
          <w:rFonts w:eastAsia="Times New Roman" w:cstheme="minorHAnsi"/>
          <w:spacing w:val="1"/>
        </w:rPr>
        <w:t>i</w:t>
      </w:r>
      <w:r w:rsidRPr="00A54361">
        <w:rPr>
          <w:rFonts w:eastAsia="Times New Roman" w:cstheme="minorHAnsi"/>
        </w:rPr>
        <w:t xml:space="preserve">st of </w:t>
      </w:r>
      <w:r w:rsidRPr="00A54361">
        <w:rPr>
          <w:rFonts w:eastAsia="Times New Roman" w:cstheme="minorHAnsi"/>
          <w:spacing w:val="-1"/>
        </w:rPr>
        <w:t>a</w:t>
      </w:r>
      <w:r w:rsidRPr="00A54361">
        <w:rPr>
          <w:rFonts w:eastAsia="Times New Roman" w:cstheme="minorHAnsi"/>
        </w:rPr>
        <w:t>ppro</w:t>
      </w:r>
      <w:r w:rsidRPr="00A54361">
        <w:rPr>
          <w:rFonts w:eastAsia="Times New Roman" w:cstheme="minorHAnsi"/>
          <w:spacing w:val="-1"/>
        </w:rPr>
        <w:t>ve</w:t>
      </w:r>
      <w:r w:rsidRPr="00A54361">
        <w:rPr>
          <w:rFonts w:eastAsia="Times New Roman" w:cstheme="minorHAnsi"/>
        </w:rPr>
        <w:t>d</w:t>
      </w:r>
      <w:r w:rsidRPr="00A54361">
        <w:rPr>
          <w:rFonts w:eastAsia="Times New Roman" w:cstheme="minorHAnsi"/>
          <w:spacing w:val="2"/>
        </w:rPr>
        <w:t xml:space="preserve"> </w:t>
      </w:r>
      <w:r w:rsidRPr="00A54361">
        <w:rPr>
          <w:rFonts w:eastAsia="Times New Roman" w:cstheme="minorHAnsi"/>
        </w:rPr>
        <w:t>Ag</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1"/>
        </w:rPr>
        <w:t>c</w:t>
      </w:r>
      <w:r w:rsidRPr="00A54361">
        <w:rPr>
          <w:rFonts w:eastAsia="Times New Roman" w:cstheme="minorHAnsi"/>
        </w:rPr>
        <w:t>ies</w:t>
      </w:r>
      <w:r w:rsidRPr="00A54361">
        <w:rPr>
          <w:rFonts w:eastAsia="Times New Roman" w:cstheme="minorHAnsi"/>
          <w:spacing w:val="1"/>
        </w:rPr>
        <w:t xml:space="preserve"> </w:t>
      </w:r>
      <w:r w:rsidRPr="00A54361">
        <w:rPr>
          <w:rFonts w:eastAsia="Times New Roman" w:cstheme="minorHAnsi"/>
        </w:rPr>
        <w:t>-</w:t>
      </w:r>
      <w:r w:rsidRPr="00A54361">
        <w:rPr>
          <w:rFonts w:eastAsia="Times New Roman" w:cstheme="minorHAnsi"/>
          <w:spacing w:val="-1"/>
        </w:rPr>
        <w:t xml:space="preserve"> </w:t>
      </w:r>
      <w:r w:rsidRPr="00A54361">
        <w:rPr>
          <w:rFonts w:eastAsia="Times New Roman" w:cstheme="minorHAnsi"/>
          <w:spacing w:val="1"/>
        </w:rPr>
        <w:t>S</w:t>
      </w:r>
      <w:r w:rsidRPr="00A54361">
        <w:rPr>
          <w:rFonts w:eastAsia="Times New Roman" w:cstheme="minorHAnsi"/>
        </w:rPr>
        <w:t>uppl</w:t>
      </w:r>
      <w:r w:rsidRPr="00A54361">
        <w:rPr>
          <w:rFonts w:eastAsia="Times New Roman" w:cstheme="minorHAnsi"/>
          <w:spacing w:val="1"/>
        </w:rPr>
        <w:t>i</w:t>
      </w:r>
      <w:r w:rsidRPr="00A54361">
        <w:rPr>
          <w:rFonts w:eastAsia="Times New Roman" w:cstheme="minorHAnsi"/>
          <w:spacing w:val="-1"/>
        </w:rPr>
        <w:t>e</w:t>
      </w:r>
      <w:r w:rsidRPr="00A54361">
        <w:rPr>
          <w:rFonts w:eastAsia="Times New Roman" w:cstheme="minorHAnsi"/>
        </w:rPr>
        <w:t xml:space="preserve">rs / </w:t>
      </w:r>
      <w:r w:rsidRPr="00A54361">
        <w:rPr>
          <w:rFonts w:eastAsia="Times New Roman" w:cstheme="minorHAnsi"/>
          <w:spacing w:val="3"/>
        </w:rPr>
        <w:t>C</w:t>
      </w:r>
      <w:r w:rsidRPr="00A54361">
        <w:rPr>
          <w:rFonts w:eastAsia="Times New Roman" w:cstheme="minorHAnsi"/>
        </w:rPr>
        <w:t>ontr</w:t>
      </w:r>
      <w:r w:rsidRPr="00A54361">
        <w:rPr>
          <w:rFonts w:eastAsia="Times New Roman" w:cstheme="minorHAnsi"/>
          <w:spacing w:val="-1"/>
        </w:rPr>
        <w:t>ac</w:t>
      </w:r>
      <w:r w:rsidRPr="00A54361">
        <w:rPr>
          <w:rFonts w:eastAsia="Times New Roman" w:cstheme="minorHAnsi"/>
        </w:rPr>
        <w:t xml:space="preserve">tors, </w:t>
      </w:r>
      <w:r w:rsidRPr="00A54361">
        <w:rPr>
          <w:rFonts w:eastAsia="Times New Roman" w:cstheme="minorHAnsi"/>
          <w:spacing w:val="-1"/>
        </w:rPr>
        <w:t>e</w:t>
      </w:r>
      <w:r w:rsidRPr="00A54361">
        <w:rPr>
          <w:rFonts w:eastAsia="Times New Roman" w:cstheme="minorHAnsi"/>
        </w:rPr>
        <w:t>tc.</w:t>
      </w:r>
    </w:p>
    <w:p w14:paraId="4155EACD" w14:textId="77777777" w:rsidR="0054549F" w:rsidRPr="00A54361" w:rsidRDefault="0054549F" w:rsidP="00A54361">
      <w:pPr>
        <w:spacing w:line="260" w:lineRule="exact"/>
        <w:ind w:left="100" w:right="93"/>
        <w:jc w:val="both"/>
        <w:rPr>
          <w:rFonts w:cstheme="minorHAnsi"/>
        </w:rPr>
      </w:pPr>
      <w:r w:rsidRPr="00A54361">
        <w:rPr>
          <w:rFonts w:eastAsia="Times New Roman" w:cstheme="minorHAnsi"/>
        </w:rPr>
        <w:t>8.2</w:t>
      </w:r>
      <w:r w:rsidRPr="00A54361">
        <w:rPr>
          <w:rFonts w:eastAsia="Times New Roman" w:cstheme="minorHAnsi"/>
          <w:spacing w:val="31"/>
        </w:rPr>
        <w:t xml:space="preserve"> </w:t>
      </w:r>
      <w:r w:rsidRPr="00A54361">
        <w:rPr>
          <w:rFonts w:eastAsia="Times New Roman" w:cstheme="minorHAnsi"/>
        </w:rPr>
        <w:t>The</w:t>
      </w:r>
      <w:r w:rsidRPr="00A54361">
        <w:rPr>
          <w:rFonts w:eastAsia="Times New Roman" w:cstheme="minorHAnsi"/>
          <w:spacing w:val="32"/>
        </w:rPr>
        <w:t xml:space="preserve"> </w:t>
      </w:r>
      <w:r w:rsidRPr="00A54361">
        <w:rPr>
          <w:rFonts w:eastAsia="Times New Roman" w:cstheme="minorHAnsi"/>
          <w:spacing w:val="-1"/>
        </w:rPr>
        <w:t>e</w:t>
      </w:r>
      <w:r w:rsidRPr="00A54361">
        <w:rPr>
          <w:rFonts w:eastAsia="Times New Roman" w:cstheme="minorHAnsi"/>
        </w:rPr>
        <w:t>f</w:t>
      </w:r>
      <w:r w:rsidRPr="00A54361">
        <w:rPr>
          <w:rFonts w:eastAsia="Times New Roman" w:cstheme="minorHAnsi"/>
          <w:spacing w:val="1"/>
        </w:rPr>
        <w:t>f</w:t>
      </w:r>
      <w:r w:rsidRPr="00A54361">
        <w:rPr>
          <w:rFonts w:eastAsia="Times New Roman" w:cstheme="minorHAnsi"/>
          <w:spacing w:val="-1"/>
        </w:rPr>
        <w:t>ec</w:t>
      </w:r>
      <w:r w:rsidRPr="00A54361">
        <w:rPr>
          <w:rFonts w:eastAsia="Times New Roman" w:cstheme="minorHAnsi"/>
        </w:rPr>
        <w:t>t</w:t>
      </w:r>
      <w:r w:rsidRPr="00A54361">
        <w:rPr>
          <w:rFonts w:eastAsia="Times New Roman" w:cstheme="minorHAnsi"/>
          <w:spacing w:val="31"/>
        </w:rPr>
        <w:t xml:space="preserve"> </w:t>
      </w:r>
      <w:r w:rsidRPr="00A54361">
        <w:rPr>
          <w:rFonts w:eastAsia="Times New Roman" w:cstheme="minorHAnsi"/>
          <w:spacing w:val="2"/>
        </w:rPr>
        <w:t>o</w:t>
      </w:r>
      <w:r w:rsidRPr="00A54361">
        <w:rPr>
          <w:rFonts w:eastAsia="Times New Roman" w:cstheme="minorHAnsi"/>
        </w:rPr>
        <w:t>f</w:t>
      </w:r>
      <w:r w:rsidRPr="00A54361">
        <w:rPr>
          <w:rFonts w:eastAsia="Times New Roman" w:cstheme="minorHAnsi"/>
          <w:spacing w:val="30"/>
        </w:rPr>
        <w:t xml:space="preserve"> </w:t>
      </w:r>
      <w:r w:rsidRPr="00A54361">
        <w:rPr>
          <w:rFonts w:eastAsia="Times New Roman" w:cstheme="minorHAnsi"/>
        </w:rPr>
        <w:t>su</w:t>
      </w:r>
      <w:r w:rsidRPr="00A54361">
        <w:rPr>
          <w:rFonts w:eastAsia="Times New Roman" w:cstheme="minorHAnsi"/>
          <w:spacing w:val="-1"/>
        </w:rPr>
        <w:t>c</w:t>
      </w:r>
      <w:r w:rsidRPr="00A54361">
        <w:rPr>
          <w:rFonts w:eastAsia="Times New Roman" w:cstheme="minorHAnsi"/>
        </w:rPr>
        <w:t>h</w:t>
      </w:r>
      <w:r w:rsidRPr="00A54361">
        <w:rPr>
          <w:rFonts w:eastAsia="Times New Roman" w:cstheme="minorHAnsi"/>
          <w:spacing w:val="33"/>
        </w:rPr>
        <w:t xml:space="preserve"> </w:t>
      </w:r>
      <w:r w:rsidRPr="00A54361">
        <w:rPr>
          <w:rFonts w:eastAsia="Times New Roman" w:cstheme="minorHAnsi"/>
          <w:spacing w:val="1"/>
        </w:rPr>
        <w:t>a</w:t>
      </w:r>
      <w:r w:rsidRPr="00A54361">
        <w:rPr>
          <w:rFonts w:eastAsia="Times New Roman" w:cstheme="minorHAnsi"/>
        </w:rPr>
        <w:t>n</w:t>
      </w:r>
      <w:r w:rsidRPr="00A54361">
        <w:rPr>
          <w:rFonts w:eastAsia="Times New Roman" w:cstheme="minorHAnsi"/>
          <w:spacing w:val="31"/>
        </w:rPr>
        <w:t xml:space="preserve"> </w:t>
      </w:r>
      <w:r w:rsidRPr="00A54361">
        <w:rPr>
          <w:rFonts w:eastAsia="Times New Roman" w:cstheme="minorHAnsi"/>
        </w:rPr>
        <w:t>ord</w:t>
      </w:r>
      <w:r w:rsidRPr="00A54361">
        <w:rPr>
          <w:rFonts w:eastAsia="Times New Roman" w:cstheme="minorHAnsi"/>
          <w:spacing w:val="-2"/>
        </w:rPr>
        <w:t>e</w:t>
      </w:r>
      <w:r w:rsidRPr="00A54361">
        <w:rPr>
          <w:rFonts w:eastAsia="Times New Roman" w:cstheme="minorHAnsi"/>
        </w:rPr>
        <w:t>r</w:t>
      </w:r>
      <w:r w:rsidRPr="00A54361">
        <w:rPr>
          <w:rFonts w:eastAsia="Times New Roman" w:cstheme="minorHAnsi"/>
          <w:spacing w:val="32"/>
        </w:rPr>
        <w:t xml:space="preserve"> </w:t>
      </w:r>
      <w:r w:rsidRPr="00A54361">
        <w:rPr>
          <w:rFonts w:eastAsia="Times New Roman" w:cstheme="minorHAnsi"/>
        </w:rPr>
        <w:t>would</w:t>
      </w:r>
      <w:r w:rsidRPr="00A54361">
        <w:rPr>
          <w:rFonts w:eastAsia="Times New Roman" w:cstheme="minorHAnsi"/>
          <w:spacing w:val="31"/>
        </w:rPr>
        <w:t xml:space="preserve"> </w:t>
      </w:r>
      <w:r w:rsidRPr="00A54361">
        <w:rPr>
          <w:rFonts w:eastAsia="Times New Roman" w:cstheme="minorHAnsi"/>
          <w:spacing w:val="2"/>
        </w:rPr>
        <w:t>b</w:t>
      </w:r>
      <w:r w:rsidRPr="00A54361">
        <w:rPr>
          <w:rFonts w:eastAsia="Times New Roman" w:cstheme="minorHAnsi"/>
        </w:rPr>
        <w:t>e</w:t>
      </w:r>
      <w:r w:rsidRPr="00A54361">
        <w:rPr>
          <w:rFonts w:eastAsia="Times New Roman" w:cstheme="minorHAnsi"/>
          <w:spacing w:val="30"/>
        </w:rPr>
        <w:t xml:space="preserve"> </w:t>
      </w:r>
      <w:r w:rsidRPr="00A54361">
        <w:rPr>
          <w:rFonts w:eastAsia="Times New Roman" w:cstheme="minorHAnsi"/>
        </w:rPr>
        <w:t>that</w:t>
      </w:r>
      <w:r w:rsidRPr="00A54361">
        <w:rPr>
          <w:rFonts w:eastAsia="Times New Roman" w:cstheme="minorHAnsi"/>
          <w:spacing w:val="33"/>
        </w:rPr>
        <w:t xml:space="preserve"> </w:t>
      </w:r>
      <w:r w:rsidRPr="00A54361">
        <w:rPr>
          <w:rFonts w:eastAsia="Times New Roman" w:cstheme="minorHAnsi"/>
        </w:rPr>
        <w:t>the</w:t>
      </w:r>
      <w:r w:rsidRPr="00A54361">
        <w:rPr>
          <w:rFonts w:eastAsia="Times New Roman" w:cstheme="minorHAnsi"/>
          <w:spacing w:val="30"/>
        </w:rPr>
        <w:t xml:space="preserve"> </w:t>
      </w:r>
      <w:r w:rsidRPr="00A54361">
        <w:rPr>
          <w:rFonts w:eastAsia="Times New Roman" w:cstheme="minorHAnsi"/>
          <w:spacing w:val="2"/>
        </w:rPr>
        <w:t>A</w:t>
      </w:r>
      <w:r w:rsidRPr="00A54361">
        <w:rPr>
          <w:rFonts w:eastAsia="Times New Roman" w:cstheme="minorHAnsi"/>
          <w:spacing w:val="-2"/>
        </w:rPr>
        <w:t>g</w:t>
      </w:r>
      <w:r w:rsidRPr="00A54361">
        <w:rPr>
          <w:rFonts w:eastAsia="Times New Roman" w:cstheme="minorHAnsi"/>
          <w:spacing w:val="-1"/>
        </w:rPr>
        <w:t>e</w:t>
      </w:r>
      <w:r w:rsidRPr="00A54361">
        <w:rPr>
          <w:rFonts w:eastAsia="Times New Roman" w:cstheme="minorHAnsi"/>
          <w:spacing w:val="2"/>
        </w:rPr>
        <w:t>n</w:t>
      </w:r>
      <w:r w:rsidRPr="00A54361">
        <w:rPr>
          <w:rFonts w:eastAsia="Times New Roman" w:cstheme="minorHAnsi"/>
          <w:spacing w:val="4"/>
        </w:rPr>
        <w:t>c</w:t>
      </w:r>
      <w:r w:rsidRPr="00A54361">
        <w:rPr>
          <w:rFonts w:eastAsia="Times New Roman" w:cstheme="minorHAnsi"/>
        </w:rPr>
        <w:t>y</w:t>
      </w:r>
      <w:r w:rsidRPr="00A54361">
        <w:rPr>
          <w:rFonts w:eastAsia="Times New Roman" w:cstheme="minorHAnsi"/>
          <w:spacing w:val="29"/>
        </w:rPr>
        <w:t xml:space="preserve"> </w:t>
      </w:r>
      <w:r w:rsidRPr="00A54361">
        <w:rPr>
          <w:rFonts w:eastAsia="Times New Roman" w:cstheme="minorHAnsi"/>
        </w:rPr>
        <w:t>would</w:t>
      </w:r>
      <w:r w:rsidRPr="00A54361">
        <w:rPr>
          <w:rFonts w:eastAsia="Times New Roman" w:cstheme="minorHAnsi"/>
          <w:spacing w:val="31"/>
        </w:rPr>
        <w:t xml:space="preserve"> </w:t>
      </w:r>
      <w:r w:rsidRPr="00A54361">
        <w:rPr>
          <w:rFonts w:eastAsia="Times New Roman" w:cstheme="minorHAnsi"/>
        </w:rPr>
        <w:t>not</w:t>
      </w:r>
      <w:r w:rsidRPr="00A54361">
        <w:rPr>
          <w:rFonts w:eastAsia="Times New Roman" w:cstheme="minorHAnsi"/>
          <w:spacing w:val="31"/>
        </w:rPr>
        <w:t xml:space="preserve"> </w:t>
      </w:r>
      <w:r w:rsidRPr="00A54361">
        <w:rPr>
          <w:rFonts w:eastAsia="Times New Roman" w:cstheme="minorHAnsi"/>
          <w:spacing w:val="2"/>
        </w:rPr>
        <w:t>b</w:t>
      </w:r>
      <w:r w:rsidRPr="00A54361">
        <w:rPr>
          <w:rFonts w:eastAsia="Times New Roman" w:cstheme="minorHAnsi"/>
        </w:rPr>
        <w:t>e</w:t>
      </w:r>
      <w:r w:rsidRPr="00A54361">
        <w:rPr>
          <w:rFonts w:eastAsia="Times New Roman" w:cstheme="minorHAnsi"/>
          <w:spacing w:val="30"/>
        </w:rPr>
        <w:t xml:space="preserve"> </w:t>
      </w:r>
      <w:r w:rsidRPr="00A54361">
        <w:rPr>
          <w:rFonts w:eastAsia="Times New Roman" w:cstheme="minorHAnsi"/>
        </w:rPr>
        <w:t>disqu</w:t>
      </w:r>
      <w:r w:rsidRPr="00A54361">
        <w:rPr>
          <w:rFonts w:eastAsia="Times New Roman" w:cstheme="minorHAnsi"/>
          <w:spacing w:val="-1"/>
        </w:rPr>
        <w:t>a</w:t>
      </w:r>
      <w:r w:rsidRPr="00A54361">
        <w:rPr>
          <w:rFonts w:eastAsia="Times New Roman" w:cstheme="minorHAnsi"/>
        </w:rPr>
        <w:t>l</w:t>
      </w:r>
      <w:r w:rsidRPr="00A54361">
        <w:rPr>
          <w:rFonts w:eastAsia="Times New Roman" w:cstheme="minorHAnsi"/>
          <w:spacing w:val="1"/>
        </w:rPr>
        <w:t>i</w:t>
      </w:r>
      <w:r w:rsidRPr="00A54361">
        <w:rPr>
          <w:rFonts w:eastAsia="Times New Roman" w:cstheme="minorHAnsi"/>
        </w:rPr>
        <w:t>fi</w:t>
      </w:r>
      <w:r w:rsidRPr="00A54361">
        <w:rPr>
          <w:rFonts w:eastAsia="Times New Roman" w:cstheme="minorHAnsi"/>
          <w:spacing w:val="-1"/>
        </w:rPr>
        <w:t>e</w:t>
      </w:r>
      <w:r w:rsidRPr="00A54361">
        <w:rPr>
          <w:rFonts w:eastAsia="Times New Roman" w:cstheme="minorHAnsi"/>
        </w:rPr>
        <w:t>d</w:t>
      </w:r>
      <w:r w:rsidRPr="00A54361">
        <w:rPr>
          <w:rFonts w:eastAsia="Times New Roman" w:cstheme="minorHAnsi"/>
          <w:spacing w:val="33"/>
        </w:rPr>
        <w:t xml:space="preserve"> </w:t>
      </w:r>
      <w:r w:rsidRPr="00A54361">
        <w:rPr>
          <w:rFonts w:eastAsia="Times New Roman" w:cstheme="minorHAnsi"/>
        </w:rPr>
        <w:t>f</w:t>
      </w:r>
      <w:r w:rsidRPr="00A54361">
        <w:rPr>
          <w:rFonts w:eastAsia="Times New Roman" w:cstheme="minorHAnsi"/>
          <w:spacing w:val="-1"/>
        </w:rPr>
        <w:t>r</w:t>
      </w:r>
      <w:r w:rsidRPr="00A54361">
        <w:rPr>
          <w:rFonts w:eastAsia="Times New Roman" w:cstheme="minorHAnsi"/>
        </w:rPr>
        <w:t xml:space="preserve">om  </w:t>
      </w:r>
    </w:p>
    <w:p w14:paraId="181D9DC1" w14:textId="77777777" w:rsidR="0054549F" w:rsidRPr="00A54361" w:rsidRDefault="0054549F" w:rsidP="00A54361">
      <w:pPr>
        <w:spacing w:before="29"/>
        <w:ind w:left="100" w:right="85"/>
        <w:jc w:val="both"/>
        <w:rPr>
          <w:rFonts w:cstheme="minorHAnsi"/>
        </w:rPr>
      </w:pPr>
      <w:r w:rsidRPr="00A54361">
        <w:rPr>
          <w:rFonts w:eastAsia="Times New Roman" w:cstheme="minorHAnsi"/>
          <w:spacing w:val="-1"/>
        </w:rPr>
        <w:t>Competing</w:t>
      </w:r>
      <w:r w:rsidRPr="00A54361">
        <w:rPr>
          <w:rFonts w:eastAsia="Times New Roman" w:cstheme="minorHAnsi"/>
          <w:spacing w:val="3"/>
        </w:rPr>
        <w:t xml:space="preserve"> </w:t>
      </w:r>
      <w:r w:rsidRPr="00A54361">
        <w:rPr>
          <w:rFonts w:eastAsia="Times New Roman" w:cstheme="minorHAnsi"/>
        </w:rPr>
        <w:t>in</w:t>
      </w:r>
      <w:r w:rsidRPr="00A54361">
        <w:rPr>
          <w:rFonts w:eastAsia="Times New Roman" w:cstheme="minorHAnsi"/>
          <w:spacing w:val="3"/>
        </w:rPr>
        <w:t xml:space="preserve"> </w:t>
      </w:r>
      <w:r w:rsidRPr="00A54361">
        <w:rPr>
          <w:rFonts w:eastAsia="Times New Roman" w:cstheme="minorHAnsi"/>
        </w:rPr>
        <w:t>Op</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5"/>
        </w:rPr>
        <w:t xml:space="preserve"> </w:t>
      </w:r>
      <w:r w:rsidRPr="00A54361">
        <w:rPr>
          <w:rFonts w:eastAsia="Times New Roman" w:cstheme="minorHAnsi"/>
        </w:rPr>
        <w:t>T</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2"/>
        </w:rPr>
        <w:t>d</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2"/>
        </w:rPr>
        <w:t xml:space="preserve"> </w:t>
      </w:r>
      <w:r w:rsidRPr="00A54361">
        <w:rPr>
          <w:rFonts w:eastAsia="Times New Roman" w:cstheme="minorHAnsi"/>
        </w:rPr>
        <w:t>Enquir</w:t>
      </w:r>
      <w:r w:rsidRPr="00A54361">
        <w:rPr>
          <w:rFonts w:eastAsia="Times New Roman" w:cstheme="minorHAnsi"/>
          <w:spacing w:val="2"/>
        </w:rPr>
        <w:t>i</w:t>
      </w:r>
      <w:r w:rsidRPr="00A54361">
        <w:rPr>
          <w:rFonts w:eastAsia="Times New Roman" w:cstheme="minorHAnsi"/>
          <w:spacing w:val="-1"/>
        </w:rPr>
        <w:t>e</w:t>
      </w:r>
      <w:r w:rsidRPr="00A54361">
        <w:rPr>
          <w:rFonts w:eastAsia="Times New Roman" w:cstheme="minorHAnsi"/>
        </w:rPr>
        <w:t>s</w:t>
      </w:r>
      <w:r w:rsidRPr="00A54361">
        <w:rPr>
          <w:rFonts w:eastAsia="Times New Roman" w:cstheme="minorHAnsi"/>
          <w:spacing w:val="5"/>
        </w:rPr>
        <w:t xml:space="preserve"> </w:t>
      </w:r>
      <w:r w:rsidRPr="00A54361">
        <w:rPr>
          <w:rFonts w:eastAsia="Times New Roman" w:cstheme="minorHAnsi"/>
        </w:rPr>
        <w:t>but</w:t>
      </w:r>
      <w:r w:rsidRPr="00A54361">
        <w:rPr>
          <w:rFonts w:eastAsia="Times New Roman" w:cstheme="minorHAnsi"/>
          <w:spacing w:val="5"/>
        </w:rPr>
        <w:t xml:space="preserve"> </w:t>
      </w:r>
      <w:r w:rsidRPr="00A54361">
        <w:rPr>
          <w:rFonts w:eastAsia="Times New Roman" w:cstheme="minorHAnsi"/>
          <w:spacing w:val="-3"/>
        </w:rPr>
        <w:t>L</w:t>
      </w:r>
      <w:r w:rsidRPr="00A54361">
        <w:rPr>
          <w:rFonts w:eastAsia="Times New Roman" w:cstheme="minorHAnsi"/>
        </w:rPr>
        <w:t>i</w:t>
      </w:r>
      <w:r w:rsidRPr="00A54361">
        <w:rPr>
          <w:rFonts w:eastAsia="Times New Roman" w:cstheme="minorHAnsi"/>
          <w:spacing w:val="1"/>
        </w:rPr>
        <w:t>m</w:t>
      </w:r>
      <w:r w:rsidRPr="00A54361">
        <w:rPr>
          <w:rFonts w:eastAsia="Times New Roman" w:cstheme="minorHAnsi"/>
        </w:rPr>
        <w:t>i</w:t>
      </w:r>
      <w:r w:rsidRPr="00A54361">
        <w:rPr>
          <w:rFonts w:eastAsia="Times New Roman" w:cstheme="minorHAnsi"/>
          <w:spacing w:val="1"/>
        </w:rPr>
        <w:t>t</w:t>
      </w:r>
      <w:r w:rsidRPr="00A54361">
        <w:rPr>
          <w:rFonts w:eastAsia="Times New Roman" w:cstheme="minorHAnsi"/>
          <w:spacing w:val="-1"/>
        </w:rPr>
        <w:t>e</w:t>
      </w:r>
      <w:r w:rsidRPr="00A54361">
        <w:rPr>
          <w:rFonts w:eastAsia="Times New Roman" w:cstheme="minorHAnsi"/>
        </w:rPr>
        <w:t>d</w:t>
      </w:r>
      <w:r w:rsidRPr="00A54361">
        <w:rPr>
          <w:rFonts w:eastAsia="Times New Roman" w:cstheme="minorHAnsi"/>
          <w:spacing w:val="5"/>
        </w:rPr>
        <w:t xml:space="preserve"> </w:t>
      </w:r>
      <w:r w:rsidRPr="00A54361">
        <w:rPr>
          <w:rFonts w:eastAsia="Times New Roman" w:cstheme="minorHAnsi"/>
        </w:rPr>
        <w:t>T</w:t>
      </w:r>
      <w:r w:rsidRPr="00A54361">
        <w:rPr>
          <w:rFonts w:eastAsia="Times New Roman" w:cstheme="minorHAnsi"/>
          <w:spacing w:val="-1"/>
        </w:rPr>
        <w:t>e</w:t>
      </w:r>
      <w:r w:rsidRPr="00A54361">
        <w:rPr>
          <w:rFonts w:eastAsia="Times New Roman" w:cstheme="minorHAnsi"/>
        </w:rPr>
        <w:t>nd</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4"/>
        </w:rPr>
        <w:t xml:space="preserve"> </w:t>
      </w:r>
      <w:r w:rsidRPr="00A54361">
        <w:rPr>
          <w:rFonts w:eastAsia="Times New Roman" w:cstheme="minorHAnsi"/>
        </w:rPr>
        <w:t>Enqui</w:t>
      </w:r>
      <w:r w:rsidRPr="00A54361">
        <w:rPr>
          <w:rFonts w:eastAsia="Times New Roman" w:cstheme="minorHAnsi"/>
          <w:spacing w:val="4"/>
        </w:rPr>
        <w:t>r</w:t>
      </w:r>
      <w:r w:rsidRPr="00A54361">
        <w:rPr>
          <w:rFonts w:eastAsia="Times New Roman" w:cstheme="minorHAnsi"/>
        </w:rPr>
        <w:t xml:space="preserve">y </w:t>
      </w:r>
      <w:r w:rsidRPr="00A54361">
        <w:rPr>
          <w:rFonts w:eastAsia="Times New Roman" w:cstheme="minorHAnsi"/>
          <w:spacing w:val="1"/>
        </w:rPr>
        <w:t>(</w:t>
      </w:r>
      <w:r w:rsidRPr="00A54361">
        <w:rPr>
          <w:rFonts w:eastAsia="Times New Roman" w:cstheme="minorHAnsi"/>
          <w:spacing w:val="-3"/>
        </w:rPr>
        <w:t>L</w:t>
      </w:r>
      <w:r w:rsidRPr="00A54361">
        <w:rPr>
          <w:rFonts w:eastAsia="Times New Roman" w:cstheme="minorHAnsi"/>
        </w:rPr>
        <w:t>TE)</w:t>
      </w:r>
      <w:r w:rsidRPr="00A54361">
        <w:rPr>
          <w:rFonts w:eastAsia="Times New Roman" w:cstheme="minorHAnsi"/>
          <w:spacing w:val="4"/>
        </w:rPr>
        <w:t xml:space="preserve"> </w:t>
      </w:r>
      <w:r w:rsidRPr="00A54361">
        <w:rPr>
          <w:rFonts w:eastAsia="Times New Roman" w:cstheme="minorHAnsi"/>
        </w:rPr>
        <w:t>m</w:t>
      </w:r>
      <w:r w:rsidRPr="00A54361">
        <w:rPr>
          <w:rFonts w:eastAsia="Times New Roman" w:cstheme="minorHAnsi"/>
          <w:spacing w:val="2"/>
        </w:rPr>
        <w:t>a</w:t>
      </w:r>
      <w:r w:rsidRPr="00A54361">
        <w:rPr>
          <w:rFonts w:eastAsia="Times New Roman" w:cstheme="minorHAnsi"/>
        </w:rPr>
        <w:t>y not</w:t>
      </w:r>
      <w:r w:rsidRPr="00A54361">
        <w:rPr>
          <w:rFonts w:eastAsia="Times New Roman" w:cstheme="minorHAnsi"/>
          <w:spacing w:val="3"/>
        </w:rPr>
        <w:t xml:space="preserve"> </w:t>
      </w:r>
      <w:r w:rsidRPr="00A54361">
        <w:rPr>
          <w:rFonts w:eastAsia="Times New Roman" w:cstheme="minorHAnsi"/>
          <w:spacing w:val="2"/>
        </w:rPr>
        <w:t>b</w:t>
      </w:r>
      <w:r w:rsidRPr="00A54361">
        <w:rPr>
          <w:rFonts w:eastAsia="Times New Roman" w:cstheme="minorHAnsi"/>
        </w:rPr>
        <w:t>e</w:t>
      </w:r>
      <w:r w:rsidRPr="00A54361">
        <w:rPr>
          <w:rFonts w:eastAsia="Times New Roman" w:cstheme="minorHAnsi"/>
          <w:spacing w:val="4"/>
        </w:rPr>
        <w:t xml:space="preserve"> </w:t>
      </w:r>
      <w:r w:rsidRPr="00A54361">
        <w:rPr>
          <w:rFonts w:eastAsia="Times New Roman" w:cstheme="minorHAnsi"/>
          <w:spacing w:val="-2"/>
        </w:rPr>
        <w:t>g</w:t>
      </w:r>
      <w:r w:rsidRPr="00A54361">
        <w:rPr>
          <w:rFonts w:eastAsia="Times New Roman" w:cstheme="minorHAnsi"/>
        </w:rPr>
        <w:t>iven</w:t>
      </w:r>
      <w:r w:rsidRPr="00A54361">
        <w:rPr>
          <w:rFonts w:eastAsia="Times New Roman" w:cstheme="minorHAnsi"/>
          <w:spacing w:val="4"/>
        </w:rPr>
        <w:t xml:space="preserve"> </w:t>
      </w:r>
      <w:r w:rsidRPr="00A54361">
        <w:rPr>
          <w:rFonts w:eastAsia="Times New Roman" w:cstheme="minorHAnsi"/>
        </w:rPr>
        <w:t xml:space="preserve">to the </w:t>
      </w:r>
      <w:r w:rsidRPr="00A54361">
        <w:rPr>
          <w:rFonts w:eastAsia="Times New Roman" w:cstheme="minorHAnsi"/>
          <w:spacing w:val="-1"/>
        </w:rPr>
        <w:t>A</w:t>
      </w:r>
      <w:r w:rsidRPr="00A54361">
        <w:rPr>
          <w:rFonts w:eastAsia="Times New Roman" w:cstheme="minorHAnsi"/>
        </w:rPr>
        <w:t>g</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4"/>
        </w:rPr>
        <w:t>c</w:t>
      </w:r>
      <w:r w:rsidRPr="00A54361">
        <w:rPr>
          <w:rFonts w:eastAsia="Times New Roman" w:cstheme="minorHAnsi"/>
        </w:rPr>
        <w:t>y</w:t>
      </w:r>
      <w:r w:rsidRPr="00A54361">
        <w:rPr>
          <w:rFonts w:eastAsia="Times New Roman" w:cstheme="minorHAnsi"/>
          <w:spacing w:val="-3"/>
        </w:rPr>
        <w:t xml:space="preserve"> </w:t>
      </w:r>
      <w:r w:rsidRPr="00A54361">
        <w:rPr>
          <w:rFonts w:eastAsia="Times New Roman" w:cstheme="minorHAnsi"/>
          <w:spacing w:val="-1"/>
        </w:rPr>
        <w:t>c</w:t>
      </w:r>
      <w:r w:rsidRPr="00A54361">
        <w:rPr>
          <w:rFonts w:eastAsia="Times New Roman" w:cstheme="minorHAnsi"/>
        </w:rPr>
        <w:t>on</w:t>
      </w:r>
      <w:r w:rsidRPr="00A54361">
        <w:rPr>
          <w:rFonts w:eastAsia="Times New Roman" w:cstheme="minorHAnsi"/>
          <w:spacing w:val="-1"/>
        </w:rPr>
        <w:t>c</w:t>
      </w:r>
      <w:r w:rsidRPr="00A54361">
        <w:rPr>
          <w:rFonts w:eastAsia="Times New Roman" w:cstheme="minorHAnsi"/>
          <w:spacing w:val="1"/>
        </w:rPr>
        <w:t>e</w:t>
      </w:r>
      <w:r w:rsidRPr="00A54361">
        <w:rPr>
          <w:rFonts w:eastAsia="Times New Roman" w:cstheme="minorHAnsi"/>
        </w:rPr>
        <w:t>rn</w:t>
      </w:r>
      <w:r w:rsidRPr="00A54361">
        <w:rPr>
          <w:rFonts w:eastAsia="Times New Roman" w:cstheme="minorHAnsi"/>
          <w:spacing w:val="-2"/>
        </w:rPr>
        <w:t>e</w:t>
      </w:r>
      <w:r w:rsidRPr="00A54361">
        <w:rPr>
          <w:rFonts w:eastAsia="Times New Roman" w:cstheme="minorHAnsi"/>
        </w:rPr>
        <w:t>d.</w:t>
      </w:r>
    </w:p>
    <w:p w14:paraId="4339C270" w14:textId="77777777" w:rsidR="0054549F" w:rsidRPr="00A54361" w:rsidRDefault="0054549F" w:rsidP="00A54361">
      <w:pPr>
        <w:ind w:left="100" w:right="86"/>
        <w:jc w:val="both"/>
        <w:rPr>
          <w:rFonts w:cstheme="minorHAnsi"/>
        </w:rPr>
      </w:pPr>
      <w:r w:rsidRPr="00A54361">
        <w:rPr>
          <w:rFonts w:eastAsia="Times New Roman" w:cstheme="minorHAnsi"/>
        </w:rPr>
        <w:t>8.3</w:t>
      </w:r>
      <w:r w:rsidRPr="00A54361">
        <w:rPr>
          <w:rFonts w:eastAsia="Times New Roman" w:cstheme="minorHAnsi"/>
          <w:spacing w:val="5"/>
        </w:rPr>
        <w:t xml:space="preserve"> </w:t>
      </w:r>
      <w:r w:rsidRPr="00A54361">
        <w:rPr>
          <w:rFonts w:eastAsia="Times New Roman" w:cstheme="minorHAnsi"/>
          <w:spacing w:val="1"/>
        </w:rPr>
        <w:t>P</w:t>
      </w:r>
      <w:r w:rsidRPr="00A54361">
        <w:rPr>
          <w:rFonts w:eastAsia="Times New Roman" w:cstheme="minorHAnsi"/>
          <w:spacing w:val="-1"/>
        </w:rPr>
        <w:t>a</w:t>
      </w:r>
      <w:r w:rsidRPr="00A54361">
        <w:rPr>
          <w:rFonts w:eastAsia="Times New Roman" w:cstheme="minorHAnsi"/>
        </w:rPr>
        <w:t>st</w:t>
      </w:r>
      <w:r w:rsidRPr="00A54361">
        <w:rPr>
          <w:rFonts w:eastAsia="Times New Roman" w:cstheme="minorHAnsi"/>
          <w:spacing w:val="5"/>
        </w:rPr>
        <w:t xml:space="preserve"> </w:t>
      </w:r>
      <w:r w:rsidRPr="00A54361">
        <w:rPr>
          <w:rFonts w:eastAsia="Times New Roman" w:cstheme="minorHAnsi"/>
        </w:rPr>
        <w:t>p</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1"/>
        </w:rPr>
        <w:t>f</w:t>
      </w:r>
      <w:r w:rsidRPr="00A54361">
        <w:rPr>
          <w:rFonts w:eastAsia="Times New Roman" w:cstheme="minorHAnsi"/>
          <w:spacing w:val="2"/>
        </w:rPr>
        <w:t>o</w:t>
      </w:r>
      <w:r w:rsidRPr="00A54361">
        <w:rPr>
          <w:rFonts w:eastAsia="Times New Roman" w:cstheme="minorHAnsi"/>
        </w:rPr>
        <w:t>rm</w:t>
      </w:r>
      <w:r w:rsidRPr="00A54361">
        <w:rPr>
          <w:rFonts w:eastAsia="Times New Roman" w:cstheme="minorHAnsi"/>
          <w:spacing w:val="-1"/>
        </w:rPr>
        <w:t>a</w:t>
      </w:r>
      <w:r w:rsidRPr="00A54361">
        <w:rPr>
          <w:rFonts w:eastAsia="Times New Roman" w:cstheme="minorHAnsi"/>
        </w:rPr>
        <w:t>n</w:t>
      </w:r>
      <w:r w:rsidRPr="00A54361">
        <w:rPr>
          <w:rFonts w:eastAsia="Times New Roman" w:cstheme="minorHAnsi"/>
          <w:spacing w:val="1"/>
        </w:rPr>
        <w:t>c</w:t>
      </w:r>
      <w:r w:rsidRPr="00A54361">
        <w:rPr>
          <w:rFonts w:eastAsia="Times New Roman" w:cstheme="minorHAnsi"/>
        </w:rPr>
        <w:t>e</w:t>
      </w:r>
      <w:r w:rsidRPr="00A54361">
        <w:rPr>
          <w:rFonts w:eastAsia="Times New Roman" w:cstheme="minorHAnsi"/>
          <w:spacing w:val="4"/>
        </w:rPr>
        <w:t xml:space="preserve"> </w:t>
      </w:r>
      <w:r w:rsidRPr="00A54361">
        <w:rPr>
          <w:rFonts w:eastAsia="Times New Roman" w:cstheme="minorHAnsi"/>
        </w:rPr>
        <w:t>of</w:t>
      </w:r>
      <w:r w:rsidRPr="00A54361">
        <w:rPr>
          <w:rFonts w:eastAsia="Times New Roman" w:cstheme="minorHAnsi"/>
          <w:spacing w:val="4"/>
        </w:rPr>
        <w:t xml:space="preserve"> </w:t>
      </w:r>
      <w:r w:rsidRPr="00A54361">
        <w:rPr>
          <w:rFonts w:eastAsia="Times New Roman" w:cstheme="minorHAnsi"/>
          <w:spacing w:val="3"/>
        </w:rPr>
        <w:t>t</w:t>
      </w:r>
      <w:r w:rsidRPr="00A54361">
        <w:rPr>
          <w:rFonts w:eastAsia="Times New Roman" w:cstheme="minorHAnsi"/>
        </w:rPr>
        <w:t>he</w:t>
      </w:r>
      <w:r w:rsidRPr="00A54361">
        <w:rPr>
          <w:rFonts w:eastAsia="Times New Roman" w:cstheme="minorHAnsi"/>
          <w:spacing w:val="4"/>
        </w:rPr>
        <w:t xml:space="preserve"> </w:t>
      </w:r>
      <w:r w:rsidRPr="00A54361">
        <w:rPr>
          <w:rFonts w:eastAsia="Times New Roman" w:cstheme="minorHAnsi"/>
          <w:spacing w:val="2"/>
        </w:rPr>
        <w:t>A</w:t>
      </w:r>
      <w:r w:rsidRPr="00A54361">
        <w:rPr>
          <w:rFonts w:eastAsia="Times New Roman" w:cstheme="minorHAnsi"/>
          <w:spacing w:val="-2"/>
        </w:rPr>
        <w:t>g</w:t>
      </w:r>
      <w:r w:rsidRPr="00A54361">
        <w:rPr>
          <w:rFonts w:eastAsia="Times New Roman" w:cstheme="minorHAnsi"/>
          <w:spacing w:val="-1"/>
        </w:rPr>
        <w:t>e</w:t>
      </w:r>
      <w:r w:rsidRPr="00A54361">
        <w:rPr>
          <w:rFonts w:eastAsia="Times New Roman" w:cstheme="minorHAnsi"/>
          <w:spacing w:val="2"/>
        </w:rPr>
        <w:t>n</w:t>
      </w:r>
      <w:r w:rsidRPr="00A54361">
        <w:rPr>
          <w:rFonts w:eastAsia="Times New Roman" w:cstheme="minorHAnsi"/>
          <w:spacing w:val="4"/>
        </w:rPr>
        <w:t>c</w:t>
      </w:r>
      <w:r w:rsidRPr="00A54361">
        <w:rPr>
          <w:rFonts w:eastAsia="Times New Roman" w:cstheme="minorHAnsi"/>
        </w:rPr>
        <w:t>y m</w:t>
      </w:r>
      <w:r w:rsidRPr="00A54361">
        <w:rPr>
          <w:rFonts w:eastAsia="Times New Roman" w:cstheme="minorHAnsi"/>
          <w:spacing w:val="4"/>
        </w:rPr>
        <w:t>a</w:t>
      </w:r>
      <w:r w:rsidRPr="00A54361">
        <w:rPr>
          <w:rFonts w:eastAsia="Times New Roman" w:cstheme="minorHAnsi"/>
        </w:rPr>
        <w:t xml:space="preserve">y </w:t>
      </w:r>
      <w:r w:rsidRPr="00A54361">
        <w:rPr>
          <w:rFonts w:eastAsia="Times New Roman" w:cstheme="minorHAnsi"/>
          <w:spacing w:val="2"/>
        </w:rPr>
        <w:t>b</w:t>
      </w:r>
      <w:r w:rsidRPr="00A54361">
        <w:rPr>
          <w:rFonts w:eastAsia="Times New Roman" w:cstheme="minorHAnsi"/>
        </w:rPr>
        <w:t>e</w:t>
      </w:r>
      <w:r w:rsidRPr="00A54361">
        <w:rPr>
          <w:rFonts w:eastAsia="Times New Roman" w:cstheme="minorHAnsi"/>
          <w:spacing w:val="4"/>
        </w:rPr>
        <w:t xml:space="preserve"> </w:t>
      </w:r>
      <w:r w:rsidRPr="00A54361">
        <w:rPr>
          <w:rFonts w:eastAsia="Times New Roman" w:cstheme="minorHAnsi"/>
        </w:rPr>
        <w:t>ta</w:t>
      </w:r>
      <w:r w:rsidRPr="00A54361">
        <w:rPr>
          <w:rFonts w:eastAsia="Times New Roman" w:cstheme="minorHAnsi"/>
          <w:spacing w:val="2"/>
        </w:rPr>
        <w:t>k</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7"/>
        </w:rPr>
        <w:t xml:space="preserve"> </w:t>
      </w:r>
      <w:r w:rsidRPr="00A54361">
        <w:rPr>
          <w:rFonts w:eastAsia="Times New Roman" w:cstheme="minorHAnsi"/>
        </w:rPr>
        <w:t>in</w:t>
      </w:r>
      <w:r w:rsidRPr="00A54361">
        <w:rPr>
          <w:rFonts w:eastAsia="Times New Roman" w:cstheme="minorHAnsi"/>
          <w:spacing w:val="1"/>
        </w:rPr>
        <w:t>t</w:t>
      </w:r>
      <w:r w:rsidRPr="00A54361">
        <w:rPr>
          <w:rFonts w:eastAsia="Times New Roman" w:cstheme="minorHAnsi"/>
        </w:rPr>
        <w:t>o</w:t>
      </w:r>
      <w:r w:rsidRPr="00A54361">
        <w:rPr>
          <w:rFonts w:eastAsia="Times New Roman" w:cstheme="minorHAnsi"/>
          <w:spacing w:val="5"/>
        </w:rPr>
        <w:t xml:space="preserve"> </w:t>
      </w:r>
      <w:r w:rsidRPr="00A54361">
        <w:rPr>
          <w:rFonts w:eastAsia="Times New Roman" w:cstheme="minorHAnsi"/>
          <w:spacing w:val="-1"/>
        </w:rPr>
        <w:t>acc</w:t>
      </w:r>
      <w:r w:rsidRPr="00A54361">
        <w:rPr>
          <w:rFonts w:eastAsia="Times New Roman" w:cstheme="minorHAnsi"/>
        </w:rPr>
        <w:t>ount</w:t>
      </w:r>
      <w:r w:rsidRPr="00A54361">
        <w:rPr>
          <w:rFonts w:eastAsia="Times New Roman" w:cstheme="minorHAnsi"/>
          <w:spacing w:val="7"/>
        </w:rPr>
        <w:t xml:space="preserve"> </w:t>
      </w:r>
      <w:r w:rsidRPr="00A54361">
        <w:rPr>
          <w:rFonts w:eastAsia="Times New Roman" w:cstheme="minorHAnsi"/>
        </w:rPr>
        <w:t>while</w:t>
      </w:r>
      <w:r w:rsidRPr="00A54361">
        <w:rPr>
          <w:rFonts w:eastAsia="Times New Roman" w:cstheme="minorHAnsi"/>
          <w:spacing w:val="4"/>
        </w:rPr>
        <w:t xml:space="preserve"> </w:t>
      </w:r>
      <w:r w:rsidRPr="00A54361">
        <w:rPr>
          <w:rFonts w:eastAsia="Times New Roman" w:cstheme="minorHAnsi"/>
        </w:rPr>
        <w:t>pr</w:t>
      </w:r>
      <w:r w:rsidRPr="00A54361">
        <w:rPr>
          <w:rFonts w:eastAsia="Times New Roman" w:cstheme="minorHAnsi"/>
          <w:spacing w:val="1"/>
        </w:rPr>
        <w:t>o</w:t>
      </w:r>
      <w:r w:rsidRPr="00A54361">
        <w:rPr>
          <w:rFonts w:eastAsia="Times New Roman" w:cstheme="minorHAnsi"/>
          <w:spacing w:val="-1"/>
        </w:rPr>
        <w:t>c</w:t>
      </w:r>
      <w:r w:rsidRPr="00A54361">
        <w:rPr>
          <w:rFonts w:eastAsia="Times New Roman" w:cstheme="minorHAnsi"/>
          <w:spacing w:val="1"/>
        </w:rPr>
        <w:t>e</w:t>
      </w:r>
      <w:r w:rsidRPr="00A54361">
        <w:rPr>
          <w:rFonts w:eastAsia="Times New Roman" w:cstheme="minorHAnsi"/>
        </w:rPr>
        <w:t>ss</w:t>
      </w:r>
      <w:r w:rsidRPr="00A54361">
        <w:rPr>
          <w:rFonts w:eastAsia="Times New Roman" w:cstheme="minorHAnsi"/>
          <w:spacing w:val="1"/>
        </w:rPr>
        <w:t>i</w:t>
      </w:r>
      <w:r w:rsidRPr="00A54361">
        <w:rPr>
          <w:rFonts w:eastAsia="Times New Roman" w:cstheme="minorHAnsi"/>
        </w:rPr>
        <w:t>ng</w:t>
      </w:r>
      <w:r w:rsidRPr="00A54361">
        <w:rPr>
          <w:rFonts w:eastAsia="Times New Roman" w:cstheme="minorHAnsi"/>
          <w:spacing w:val="2"/>
        </w:rPr>
        <w:t xml:space="preserve"> </w:t>
      </w:r>
      <w:r w:rsidRPr="00A54361">
        <w:rPr>
          <w:rFonts w:eastAsia="Times New Roman" w:cstheme="minorHAnsi"/>
        </w:rPr>
        <w:t>f</w:t>
      </w:r>
      <w:r w:rsidRPr="00A54361">
        <w:rPr>
          <w:rFonts w:eastAsia="Times New Roman" w:cstheme="minorHAnsi"/>
          <w:spacing w:val="1"/>
        </w:rPr>
        <w:t>o</w:t>
      </w:r>
      <w:r w:rsidRPr="00A54361">
        <w:rPr>
          <w:rFonts w:eastAsia="Times New Roman" w:cstheme="minorHAnsi"/>
        </w:rPr>
        <w:t>r</w:t>
      </w:r>
      <w:r w:rsidRPr="00A54361">
        <w:rPr>
          <w:rFonts w:eastAsia="Times New Roman" w:cstheme="minorHAnsi"/>
          <w:spacing w:val="4"/>
        </w:rPr>
        <w:t xml:space="preserve"> </w:t>
      </w:r>
      <w:r w:rsidRPr="00A54361">
        <w:rPr>
          <w:rFonts w:eastAsia="Times New Roman" w:cstheme="minorHAnsi"/>
          <w:spacing w:val="-1"/>
        </w:rPr>
        <w:t>a</w:t>
      </w:r>
      <w:r w:rsidRPr="00A54361">
        <w:rPr>
          <w:rFonts w:eastAsia="Times New Roman" w:cstheme="minorHAnsi"/>
        </w:rPr>
        <w:t>p</w:t>
      </w:r>
      <w:r w:rsidRPr="00A54361">
        <w:rPr>
          <w:rFonts w:eastAsia="Times New Roman" w:cstheme="minorHAnsi"/>
          <w:spacing w:val="2"/>
        </w:rPr>
        <w:t>p</w:t>
      </w:r>
      <w:r w:rsidRPr="00A54361">
        <w:rPr>
          <w:rFonts w:eastAsia="Times New Roman" w:cstheme="minorHAnsi"/>
        </w:rPr>
        <w:t>rov</w:t>
      </w:r>
      <w:r w:rsidRPr="00A54361">
        <w:rPr>
          <w:rFonts w:eastAsia="Times New Roman" w:cstheme="minorHAnsi"/>
          <w:spacing w:val="-2"/>
        </w:rPr>
        <w:t>a</w:t>
      </w:r>
      <w:r w:rsidRPr="00A54361">
        <w:rPr>
          <w:rFonts w:eastAsia="Times New Roman" w:cstheme="minorHAnsi"/>
        </w:rPr>
        <w:t>l of the</w:t>
      </w:r>
      <w:r w:rsidRPr="00A54361">
        <w:rPr>
          <w:rFonts w:eastAsia="Times New Roman" w:cstheme="minorHAnsi"/>
          <w:spacing w:val="-1"/>
        </w:rPr>
        <w:t xml:space="preserve"> </w:t>
      </w:r>
      <w:r w:rsidRPr="00A54361">
        <w:rPr>
          <w:rFonts w:eastAsia="Times New Roman" w:cstheme="minorHAnsi"/>
        </w:rPr>
        <w:t>Compet</w:t>
      </w:r>
      <w:r w:rsidRPr="00A54361">
        <w:rPr>
          <w:rFonts w:eastAsia="Times New Roman" w:cstheme="minorHAnsi"/>
          <w:spacing w:val="-1"/>
        </w:rPr>
        <w:t>e</w:t>
      </w:r>
      <w:r w:rsidRPr="00A54361">
        <w:rPr>
          <w:rFonts w:eastAsia="Times New Roman" w:cstheme="minorHAnsi"/>
        </w:rPr>
        <w:t>nt Autho</w:t>
      </w:r>
      <w:r w:rsidRPr="00A54361">
        <w:rPr>
          <w:rFonts w:eastAsia="Times New Roman" w:cstheme="minorHAnsi"/>
          <w:spacing w:val="2"/>
        </w:rPr>
        <w:t>r</w:t>
      </w:r>
      <w:r w:rsidRPr="00A54361">
        <w:rPr>
          <w:rFonts w:eastAsia="Times New Roman" w:cstheme="minorHAnsi"/>
        </w:rPr>
        <w:t>i</w:t>
      </w:r>
      <w:r w:rsidRPr="00A54361">
        <w:rPr>
          <w:rFonts w:eastAsia="Times New Roman" w:cstheme="minorHAnsi"/>
          <w:spacing w:val="3"/>
        </w:rPr>
        <w:t>t</w:t>
      </w:r>
      <w:r w:rsidRPr="00A54361">
        <w:rPr>
          <w:rFonts w:eastAsia="Times New Roman" w:cstheme="minorHAnsi"/>
        </w:rPr>
        <w:t>y</w:t>
      </w:r>
      <w:r w:rsidRPr="00A54361">
        <w:rPr>
          <w:rFonts w:eastAsia="Times New Roman" w:cstheme="minorHAnsi"/>
          <w:spacing w:val="-5"/>
        </w:rPr>
        <w:t xml:space="preserve"> </w:t>
      </w:r>
      <w:r w:rsidRPr="00A54361">
        <w:rPr>
          <w:rFonts w:eastAsia="Times New Roman" w:cstheme="minorHAnsi"/>
        </w:rPr>
        <w:t>for</w:t>
      </w:r>
      <w:r w:rsidRPr="00A54361">
        <w:rPr>
          <w:rFonts w:eastAsia="Times New Roman" w:cstheme="minorHAnsi"/>
          <w:spacing w:val="1"/>
        </w:rPr>
        <w:t xml:space="preserve"> </w:t>
      </w:r>
      <w:r w:rsidRPr="00A54361">
        <w:rPr>
          <w:rFonts w:eastAsia="Times New Roman" w:cstheme="minorHAnsi"/>
          <w:spacing w:val="-1"/>
        </w:rPr>
        <w:t>a</w:t>
      </w:r>
      <w:r w:rsidRPr="00A54361">
        <w:rPr>
          <w:rFonts w:eastAsia="Times New Roman" w:cstheme="minorHAnsi"/>
        </w:rPr>
        <w:t>w</w:t>
      </w:r>
      <w:r w:rsidRPr="00A54361">
        <w:rPr>
          <w:rFonts w:eastAsia="Times New Roman" w:cstheme="minorHAnsi"/>
          <w:spacing w:val="-1"/>
        </w:rPr>
        <w:t>a</w:t>
      </w:r>
      <w:r w:rsidRPr="00A54361">
        <w:rPr>
          <w:rFonts w:eastAsia="Times New Roman" w:cstheme="minorHAnsi"/>
        </w:rPr>
        <w:t>rdi</w:t>
      </w:r>
      <w:r w:rsidRPr="00A54361">
        <w:rPr>
          <w:rFonts w:eastAsia="Times New Roman" w:cstheme="minorHAnsi"/>
          <w:spacing w:val="2"/>
        </w:rPr>
        <w:t>n</w:t>
      </w:r>
      <w:r w:rsidRPr="00A54361">
        <w:rPr>
          <w:rFonts w:eastAsia="Times New Roman" w:cstheme="minorHAnsi"/>
        </w:rPr>
        <w:t>g</w:t>
      </w:r>
      <w:r w:rsidRPr="00A54361">
        <w:rPr>
          <w:rFonts w:eastAsia="Times New Roman" w:cstheme="minorHAnsi"/>
          <w:spacing w:val="-2"/>
        </w:rPr>
        <w:t xml:space="preserve"> </w:t>
      </w:r>
      <w:r w:rsidRPr="00A54361">
        <w:rPr>
          <w:rFonts w:eastAsia="Times New Roman" w:cstheme="minorHAnsi"/>
        </w:rPr>
        <w:t>the</w:t>
      </w:r>
      <w:r w:rsidRPr="00A54361">
        <w:rPr>
          <w:rFonts w:eastAsia="Times New Roman" w:cstheme="minorHAnsi"/>
          <w:spacing w:val="2"/>
        </w:rPr>
        <w:t xml:space="preserve"> </w:t>
      </w:r>
      <w:r w:rsidRPr="00A54361">
        <w:rPr>
          <w:rFonts w:eastAsia="Times New Roman" w:cstheme="minorHAnsi"/>
          <w:spacing w:val="-1"/>
        </w:rPr>
        <w:t>c</w:t>
      </w:r>
      <w:r w:rsidRPr="00A54361">
        <w:rPr>
          <w:rFonts w:eastAsia="Times New Roman" w:cstheme="minorHAnsi"/>
        </w:rPr>
        <w:t>ont</w:t>
      </w:r>
      <w:r w:rsidRPr="00A54361">
        <w:rPr>
          <w:rFonts w:eastAsia="Times New Roman" w:cstheme="minorHAnsi"/>
          <w:spacing w:val="2"/>
        </w:rPr>
        <w:t>r</w:t>
      </w:r>
      <w:r w:rsidRPr="00A54361">
        <w:rPr>
          <w:rFonts w:eastAsia="Times New Roman" w:cstheme="minorHAnsi"/>
          <w:spacing w:val="-1"/>
        </w:rPr>
        <w:t>ac</w:t>
      </w:r>
      <w:r w:rsidRPr="00A54361">
        <w:rPr>
          <w:rFonts w:eastAsia="Times New Roman" w:cstheme="minorHAnsi"/>
        </w:rPr>
        <w:t>t.</w:t>
      </w:r>
    </w:p>
    <w:p w14:paraId="19E52DEA" w14:textId="77777777" w:rsidR="0054549F" w:rsidRPr="00A54361" w:rsidRDefault="0054549F" w:rsidP="00A54361">
      <w:pPr>
        <w:tabs>
          <w:tab w:val="left" w:pos="284"/>
        </w:tabs>
        <w:spacing w:before="5"/>
        <w:ind w:left="-142" w:right="7018" w:hanging="142"/>
        <w:jc w:val="both"/>
        <w:rPr>
          <w:rFonts w:cstheme="minorHAnsi"/>
        </w:rPr>
      </w:pPr>
      <w:r w:rsidRPr="00A54361">
        <w:rPr>
          <w:rFonts w:eastAsia="Times New Roman" w:cstheme="minorHAnsi"/>
          <w:b/>
        </w:rPr>
        <w:tab/>
        <w:t>9 Show Cause Notice</w:t>
      </w:r>
    </w:p>
    <w:p w14:paraId="081F1AB7" w14:textId="77777777" w:rsidR="0054549F" w:rsidRPr="00A54361" w:rsidRDefault="0054549F" w:rsidP="00A54361">
      <w:pPr>
        <w:spacing w:line="260" w:lineRule="exact"/>
        <w:ind w:left="100" w:right="86"/>
        <w:jc w:val="both"/>
        <w:rPr>
          <w:rFonts w:cstheme="minorHAnsi"/>
        </w:rPr>
      </w:pPr>
      <w:r w:rsidRPr="00A54361">
        <w:rPr>
          <w:rFonts w:eastAsia="Times New Roman" w:cstheme="minorHAnsi"/>
        </w:rPr>
        <w:t xml:space="preserve">9.1 </w:t>
      </w:r>
      <w:r w:rsidRPr="00A54361">
        <w:rPr>
          <w:rFonts w:eastAsia="Times New Roman" w:cstheme="minorHAnsi"/>
          <w:spacing w:val="-6"/>
        </w:rPr>
        <w:t>I</w:t>
      </w:r>
      <w:r w:rsidRPr="00A54361">
        <w:rPr>
          <w:rFonts w:eastAsia="Times New Roman" w:cstheme="minorHAnsi"/>
        </w:rPr>
        <w:t>n</w:t>
      </w:r>
      <w:r w:rsidRPr="00A54361">
        <w:rPr>
          <w:rFonts w:eastAsia="Times New Roman" w:cstheme="minorHAnsi"/>
          <w:spacing w:val="-2"/>
        </w:rPr>
        <w:t xml:space="preserve"> </w:t>
      </w:r>
      <w:r w:rsidRPr="00A54361">
        <w:rPr>
          <w:rFonts w:eastAsia="Times New Roman" w:cstheme="minorHAnsi"/>
          <w:spacing w:val="1"/>
        </w:rPr>
        <w:t>c</w:t>
      </w:r>
      <w:r w:rsidRPr="00A54361">
        <w:rPr>
          <w:rFonts w:eastAsia="Times New Roman" w:cstheme="minorHAnsi"/>
          <w:spacing w:val="-1"/>
        </w:rPr>
        <w:t>a</w:t>
      </w:r>
      <w:r w:rsidRPr="00A54361">
        <w:rPr>
          <w:rFonts w:eastAsia="Times New Roman" w:cstheme="minorHAnsi"/>
        </w:rPr>
        <w:t>se</w:t>
      </w:r>
      <w:r w:rsidRPr="00A54361">
        <w:rPr>
          <w:rFonts w:eastAsia="Times New Roman" w:cstheme="minorHAnsi"/>
          <w:spacing w:val="-3"/>
        </w:rPr>
        <w:t xml:space="preserve"> </w:t>
      </w:r>
      <w:r w:rsidRPr="00A54361">
        <w:rPr>
          <w:rFonts w:eastAsia="Times New Roman" w:cstheme="minorHAnsi"/>
        </w:rPr>
        <w:t>wh</w:t>
      </w:r>
      <w:r w:rsidRPr="00A54361">
        <w:rPr>
          <w:rFonts w:eastAsia="Times New Roman" w:cstheme="minorHAnsi"/>
          <w:spacing w:val="1"/>
        </w:rPr>
        <w:t>e</w:t>
      </w:r>
      <w:r w:rsidRPr="00A54361">
        <w:rPr>
          <w:rFonts w:eastAsia="Times New Roman" w:cstheme="minorHAnsi"/>
        </w:rPr>
        <w:t>re</w:t>
      </w:r>
      <w:r w:rsidRPr="00A54361">
        <w:rPr>
          <w:rFonts w:eastAsia="Times New Roman" w:cstheme="minorHAnsi"/>
          <w:spacing w:val="-4"/>
        </w:rPr>
        <w:t xml:space="preserve"> </w:t>
      </w:r>
      <w:r w:rsidRPr="00A54361">
        <w:rPr>
          <w:rFonts w:eastAsia="Times New Roman" w:cstheme="minorHAnsi"/>
        </w:rPr>
        <w:t>the</w:t>
      </w:r>
      <w:r w:rsidRPr="00A54361">
        <w:rPr>
          <w:rFonts w:eastAsia="Times New Roman" w:cstheme="minorHAnsi"/>
          <w:spacing w:val="-3"/>
        </w:rPr>
        <w:t xml:space="preserve"> </w:t>
      </w:r>
      <w:r w:rsidRPr="00A54361">
        <w:rPr>
          <w:rFonts w:eastAsia="Times New Roman" w:cstheme="minorHAnsi"/>
        </w:rPr>
        <w:t>C</w:t>
      </w:r>
      <w:r w:rsidRPr="00A54361">
        <w:rPr>
          <w:rFonts w:eastAsia="Times New Roman" w:cstheme="minorHAnsi"/>
          <w:spacing w:val="2"/>
        </w:rPr>
        <w:t>o</w:t>
      </w:r>
      <w:r w:rsidRPr="00A54361">
        <w:rPr>
          <w:rFonts w:eastAsia="Times New Roman" w:cstheme="minorHAnsi"/>
        </w:rPr>
        <w:t>mpet</w:t>
      </w:r>
      <w:r w:rsidRPr="00A54361">
        <w:rPr>
          <w:rFonts w:eastAsia="Times New Roman" w:cstheme="minorHAnsi"/>
          <w:spacing w:val="-1"/>
        </w:rPr>
        <w:t>e</w:t>
      </w:r>
      <w:r w:rsidRPr="00A54361">
        <w:rPr>
          <w:rFonts w:eastAsia="Times New Roman" w:cstheme="minorHAnsi"/>
        </w:rPr>
        <w:t>nt</w:t>
      </w:r>
      <w:r w:rsidRPr="00A54361">
        <w:rPr>
          <w:rFonts w:eastAsia="Times New Roman" w:cstheme="minorHAnsi"/>
          <w:spacing w:val="-2"/>
        </w:rPr>
        <w:t xml:space="preserve"> </w:t>
      </w:r>
      <w:r w:rsidRPr="00A54361">
        <w:rPr>
          <w:rFonts w:eastAsia="Times New Roman" w:cstheme="minorHAnsi"/>
        </w:rPr>
        <w:t>Autho</w:t>
      </w:r>
      <w:r w:rsidRPr="00A54361">
        <w:rPr>
          <w:rFonts w:eastAsia="Times New Roman" w:cstheme="minorHAnsi"/>
          <w:spacing w:val="-1"/>
        </w:rPr>
        <w:t>r</w:t>
      </w:r>
      <w:r w:rsidRPr="00A54361">
        <w:rPr>
          <w:rFonts w:eastAsia="Times New Roman" w:cstheme="minorHAnsi"/>
        </w:rPr>
        <w:t>i</w:t>
      </w:r>
      <w:r w:rsidRPr="00A54361">
        <w:rPr>
          <w:rFonts w:eastAsia="Times New Roman" w:cstheme="minorHAnsi"/>
          <w:spacing w:val="3"/>
        </w:rPr>
        <w:t>t</w:t>
      </w:r>
      <w:r w:rsidRPr="00A54361">
        <w:rPr>
          <w:rFonts w:eastAsia="Times New Roman" w:cstheme="minorHAnsi"/>
        </w:rPr>
        <w:t>y</w:t>
      </w:r>
      <w:r w:rsidRPr="00A54361">
        <w:rPr>
          <w:rFonts w:eastAsia="Times New Roman" w:cstheme="minorHAnsi"/>
          <w:spacing w:val="-7"/>
        </w:rPr>
        <w:t xml:space="preserve"> </w:t>
      </w:r>
      <w:r w:rsidRPr="00A54361">
        <w:rPr>
          <w:rFonts w:eastAsia="Times New Roman" w:cstheme="minorHAnsi"/>
        </w:rPr>
        <w:t>d</w:t>
      </w:r>
      <w:r w:rsidRPr="00A54361">
        <w:rPr>
          <w:rFonts w:eastAsia="Times New Roman" w:cstheme="minorHAnsi"/>
          <w:spacing w:val="-1"/>
        </w:rPr>
        <w:t>ec</w:t>
      </w:r>
      <w:r w:rsidRPr="00A54361">
        <w:rPr>
          <w:rFonts w:eastAsia="Times New Roman" w:cstheme="minorHAnsi"/>
        </w:rPr>
        <w:t>i</w:t>
      </w:r>
      <w:r w:rsidRPr="00A54361">
        <w:rPr>
          <w:rFonts w:eastAsia="Times New Roman" w:cstheme="minorHAnsi"/>
          <w:spacing w:val="3"/>
        </w:rPr>
        <w:t>d</w:t>
      </w:r>
      <w:r w:rsidRPr="00A54361">
        <w:rPr>
          <w:rFonts w:eastAsia="Times New Roman" w:cstheme="minorHAnsi"/>
          <w:spacing w:val="1"/>
        </w:rPr>
        <w:t>e</w:t>
      </w:r>
      <w:r w:rsidRPr="00A54361">
        <w:rPr>
          <w:rFonts w:eastAsia="Times New Roman" w:cstheme="minorHAnsi"/>
        </w:rPr>
        <w:t>s</w:t>
      </w:r>
      <w:r w:rsidRPr="00A54361">
        <w:rPr>
          <w:rFonts w:eastAsia="Times New Roman" w:cstheme="minorHAnsi"/>
          <w:spacing w:val="-2"/>
        </w:rPr>
        <w:t xml:space="preserve"> </w:t>
      </w:r>
      <w:r w:rsidRPr="00A54361">
        <w:rPr>
          <w:rFonts w:eastAsia="Times New Roman" w:cstheme="minorHAnsi"/>
        </w:rPr>
        <w:t>that</w:t>
      </w:r>
      <w:r w:rsidRPr="00A54361">
        <w:rPr>
          <w:rFonts w:eastAsia="Times New Roman" w:cstheme="minorHAnsi"/>
          <w:spacing w:val="-2"/>
        </w:rPr>
        <w:t xml:space="preserve"> </w:t>
      </w:r>
      <w:r w:rsidRPr="00A54361">
        <w:rPr>
          <w:rFonts w:eastAsia="Times New Roman" w:cstheme="minorHAnsi"/>
          <w:spacing w:val="-1"/>
        </w:rPr>
        <w:t>ac</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on</w:t>
      </w:r>
      <w:r w:rsidRPr="00A54361">
        <w:rPr>
          <w:rFonts w:eastAsia="Times New Roman" w:cstheme="minorHAnsi"/>
          <w:spacing w:val="-2"/>
        </w:rPr>
        <w:t xml:space="preserve"> </w:t>
      </w:r>
      <w:r w:rsidRPr="00A54361">
        <w:rPr>
          <w:rFonts w:eastAsia="Times New Roman" w:cstheme="minorHAnsi"/>
          <w:spacing w:val="-1"/>
        </w:rPr>
        <w:t>a</w:t>
      </w:r>
      <w:r w:rsidRPr="00A54361">
        <w:rPr>
          <w:rFonts w:eastAsia="Times New Roman" w:cstheme="minorHAnsi"/>
          <w:spacing w:val="-2"/>
        </w:rPr>
        <w:t>g</w:t>
      </w:r>
      <w:r w:rsidRPr="00A54361">
        <w:rPr>
          <w:rFonts w:eastAsia="Times New Roman" w:cstheme="minorHAnsi"/>
          <w:spacing w:val="-1"/>
        </w:rPr>
        <w:t>a</w:t>
      </w:r>
      <w:r w:rsidRPr="00A54361">
        <w:rPr>
          <w:rFonts w:eastAsia="Times New Roman" w:cstheme="minorHAnsi"/>
        </w:rPr>
        <w:t>inst</w:t>
      </w:r>
      <w:r w:rsidRPr="00A54361">
        <w:rPr>
          <w:rFonts w:eastAsia="Times New Roman" w:cstheme="minorHAnsi"/>
          <w:spacing w:val="-1"/>
        </w:rPr>
        <w:t xml:space="preserve"> a</w:t>
      </w:r>
      <w:r w:rsidRPr="00A54361">
        <w:rPr>
          <w:rFonts w:eastAsia="Times New Roman" w:cstheme="minorHAnsi"/>
        </w:rPr>
        <w:t>n</w:t>
      </w:r>
      <w:r w:rsidRPr="00A54361">
        <w:rPr>
          <w:rFonts w:eastAsia="Times New Roman" w:cstheme="minorHAnsi"/>
          <w:spacing w:val="-2"/>
        </w:rPr>
        <w:t xml:space="preserve"> </w:t>
      </w:r>
      <w:r w:rsidRPr="00A54361">
        <w:rPr>
          <w:rFonts w:eastAsia="Times New Roman" w:cstheme="minorHAnsi"/>
          <w:spacing w:val="2"/>
        </w:rPr>
        <w:t>A</w:t>
      </w:r>
      <w:r w:rsidRPr="00A54361">
        <w:rPr>
          <w:rFonts w:eastAsia="Times New Roman" w:cstheme="minorHAnsi"/>
          <w:spacing w:val="-2"/>
        </w:rPr>
        <w:t>g</w:t>
      </w:r>
      <w:r w:rsidRPr="00A54361">
        <w:rPr>
          <w:rFonts w:eastAsia="Times New Roman" w:cstheme="minorHAnsi"/>
          <w:spacing w:val="-1"/>
        </w:rPr>
        <w:t>e</w:t>
      </w:r>
      <w:r w:rsidRPr="00A54361">
        <w:rPr>
          <w:rFonts w:eastAsia="Times New Roman" w:cstheme="minorHAnsi"/>
          <w:spacing w:val="2"/>
        </w:rPr>
        <w:t>n</w:t>
      </w:r>
      <w:r w:rsidRPr="00A54361">
        <w:rPr>
          <w:rFonts w:eastAsia="Times New Roman" w:cstheme="minorHAnsi"/>
          <w:spacing w:val="4"/>
        </w:rPr>
        <w:t>c</w:t>
      </w:r>
      <w:r w:rsidRPr="00A54361">
        <w:rPr>
          <w:rFonts w:eastAsia="Times New Roman" w:cstheme="minorHAnsi"/>
        </w:rPr>
        <w:t>y</w:t>
      </w:r>
      <w:r w:rsidRPr="00A54361">
        <w:rPr>
          <w:rFonts w:eastAsia="Times New Roman" w:cstheme="minorHAnsi"/>
          <w:spacing w:val="-7"/>
        </w:rPr>
        <w:t xml:space="preserve"> </w:t>
      </w:r>
      <w:r w:rsidRPr="00A54361">
        <w:rPr>
          <w:rFonts w:eastAsia="Times New Roman" w:cstheme="minorHAnsi"/>
        </w:rPr>
        <w:t>is</w:t>
      </w:r>
      <w:r w:rsidRPr="00A54361">
        <w:rPr>
          <w:rFonts w:eastAsia="Times New Roman" w:cstheme="minorHAnsi"/>
          <w:spacing w:val="-2"/>
        </w:rPr>
        <w:t xml:space="preserve"> </w:t>
      </w:r>
      <w:r w:rsidRPr="00A54361">
        <w:rPr>
          <w:rFonts w:eastAsia="Times New Roman" w:cstheme="minorHAnsi"/>
          <w:spacing w:val="-1"/>
        </w:rPr>
        <w:t>ca</w:t>
      </w:r>
      <w:r w:rsidRPr="00A54361">
        <w:rPr>
          <w:rFonts w:eastAsia="Times New Roman" w:cstheme="minorHAnsi"/>
        </w:rPr>
        <w:t>l</w:t>
      </w:r>
      <w:r w:rsidRPr="00A54361">
        <w:rPr>
          <w:rFonts w:eastAsia="Times New Roman" w:cstheme="minorHAnsi"/>
          <w:spacing w:val="1"/>
        </w:rPr>
        <w:t>l</w:t>
      </w:r>
      <w:r w:rsidRPr="00A54361">
        <w:rPr>
          <w:rFonts w:eastAsia="Times New Roman" w:cstheme="minorHAnsi"/>
          <w:spacing w:val="-1"/>
        </w:rPr>
        <w:t>e</w:t>
      </w:r>
      <w:r w:rsidRPr="00A54361">
        <w:rPr>
          <w:rFonts w:eastAsia="Times New Roman" w:cstheme="minorHAnsi"/>
        </w:rPr>
        <w:t>d</w:t>
      </w:r>
      <w:r w:rsidRPr="00A54361">
        <w:rPr>
          <w:rFonts w:eastAsia="Times New Roman" w:cstheme="minorHAnsi"/>
          <w:spacing w:val="-2"/>
        </w:rPr>
        <w:t xml:space="preserve"> </w:t>
      </w:r>
      <w:r w:rsidRPr="00A54361">
        <w:rPr>
          <w:rFonts w:eastAsia="Times New Roman" w:cstheme="minorHAnsi"/>
        </w:rPr>
        <w:t>fo</w:t>
      </w:r>
      <w:r w:rsidRPr="00A54361">
        <w:rPr>
          <w:rFonts w:eastAsia="Times New Roman" w:cstheme="minorHAnsi"/>
          <w:spacing w:val="-1"/>
        </w:rPr>
        <w:t>r</w:t>
      </w:r>
      <w:r w:rsidRPr="00A54361">
        <w:rPr>
          <w:rFonts w:eastAsia="Times New Roman" w:cstheme="minorHAnsi"/>
        </w:rPr>
        <w:t>, a show</w:t>
      </w:r>
      <w:r w:rsidRPr="00A54361">
        <w:rPr>
          <w:rFonts w:eastAsia="Times New Roman" w:cstheme="minorHAnsi"/>
          <w:spacing w:val="2"/>
        </w:rPr>
        <w:t>-</w:t>
      </w:r>
      <w:r w:rsidRPr="00A54361">
        <w:rPr>
          <w:rFonts w:eastAsia="Times New Roman" w:cstheme="minorHAnsi"/>
          <w:spacing w:val="-1"/>
        </w:rPr>
        <w:t>ca</w:t>
      </w:r>
      <w:r w:rsidRPr="00A54361">
        <w:rPr>
          <w:rFonts w:eastAsia="Times New Roman" w:cstheme="minorHAnsi"/>
        </w:rPr>
        <w:t>use</w:t>
      </w:r>
      <w:r w:rsidRPr="00A54361">
        <w:rPr>
          <w:rFonts w:eastAsia="Times New Roman" w:cstheme="minorHAnsi"/>
          <w:spacing w:val="2"/>
        </w:rPr>
        <w:t xml:space="preserve"> </w:t>
      </w:r>
      <w:r w:rsidRPr="00A54361">
        <w:rPr>
          <w:rFonts w:eastAsia="Times New Roman" w:cstheme="minorHAnsi"/>
        </w:rPr>
        <w:t>not</w:t>
      </w:r>
      <w:r w:rsidRPr="00A54361">
        <w:rPr>
          <w:rFonts w:eastAsia="Times New Roman" w:cstheme="minorHAnsi"/>
          <w:spacing w:val="1"/>
        </w:rPr>
        <w:t>i</w:t>
      </w:r>
      <w:r w:rsidRPr="00A54361">
        <w:rPr>
          <w:rFonts w:eastAsia="Times New Roman" w:cstheme="minorHAnsi"/>
          <w:spacing w:val="-1"/>
        </w:rPr>
        <w:t>c</w:t>
      </w:r>
      <w:r w:rsidRPr="00A54361">
        <w:rPr>
          <w:rFonts w:eastAsia="Times New Roman" w:cstheme="minorHAnsi"/>
        </w:rPr>
        <w:t>e</w:t>
      </w:r>
      <w:r w:rsidRPr="00A54361">
        <w:rPr>
          <w:rFonts w:eastAsia="Times New Roman" w:cstheme="minorHAnsi"/>
          <w:spacing w:val="2"/>
        </w:rPr>
        <w:t xml:space="preserve"> </w:t>
      </w:r>
      <w:r w:rsidRPr="00A54361">
        <w:rPr>
          <w:rFonts w:eastAsia="Times New Roman" w:cstheme="minorHAnsi"/>
        </w:rPr>
        <w:t>h</w:t>
      </w:r>
      <w:r w:rsidRPr="00A54361">
        <w:rPr>
          <w:rFonts w:eastAsia="Times New Roman" w:cstheme="minorHAnsi"/>
          <w:spacing w:val="-1"/>
        </w:rPr>
        <w:t>a</w:t>
      </w:r>
      <w:r w:rsidRPr="00A54361">
        <w:rPr>
          <w:rFonts w:eastAsia="Times New Roman" w:cstheme="minorHAnsi"/>
        </w:rPr>
        <w:t>s</w:t>
      </w:r>
      <w:r w:rsidRPr="00A54361">
        <w:rPr>
          <w:rFonts w:eastAsia="Times New Roman" w:cstheme="minorHAnsi"/>
          <w:spacing w:val="3"/>
        </w:rPr>
        <w:t xml:space="preserve"> </w:t>
      </w:r>
      <w:r w:rsidRPr="00A54361">
        <w:rPr>
          <w:rFonts w:eastAsia="Times New Roman" w:cstheme="minorHAnsi"/>
        </w:rPr>
        <w:t>to</w:t>
      </w:r>
      <w:r w:rsidRPr="00A54361">
        <w:rPr>
          <w:rFonts w:eastAsia="Times New Roman" w:cstheme="minorHAnsi"/>
          <w:spacing w:val="1"/>
        </w:rPr>
        <w:t xml:space="preserve"> </w:t>
      </w:r>
      <w:r w:rsidRPr="00A54361">
        <w:rPr>
          <w:rFonts w:eastAsia="Times New Roman" w:cstheme="minorHAnsi"/>
        </w:rPr>
        <w:t>be is</w:t>
      </w:r>
      <w:r w:rsidRPr="00A54361">
        <w:rPr>
          <w:rFonts w:eastAsia="Times New Roman" w:cstheme="minorHAnsi"/>
          <w:spacing w:val="1"/>
        </w:rPr>
        <w:t>s</w:t>
      </w:r>
      <w:r w:rsidRPr="00A54361">
        <w:rPr>
          <w:rFonts w:eastAsia="Times New Roman" w:cstheme="minorHAnsi"/>
        </w:rPr>
        <w:t>u</w:t>
      </w:r>
      <w:r w:rsidRPr="00A54361">
        <w:rPr>
          <w:rFonts w:eastAsia="Times New Roman" w:cstheme="minorHAnsi"/>
          <w:spacing w:val="-1"/>
        </w:rPr>
        <w:t>e</w:t>
      </w:r>
      <w:r w:rsidRPr="00A54361">
        <w:rPr>
          <w:rFonts w:eastAsia="Times New Roman" w:cstheme="minorHAnsi"/>
        </w:rPr>
        <w:t>d</w:t>
      </w:r>
      <w:r w:rsidRPr="00A54361">
        <w:rPr>
          <w:rFonts w:eastAsia="Times New Roman" w:cstheme="minorHAnsi"/>
          <w:spacing w:val="1"/>
        </w:rPr>
        <w:t xml:space="preserve"> </w:t>
      </w:r>
      <w:r w:rsidRPr="00A54361">
        <w:rPr>
          <w:rFonts w:eastAsia="Times New Roman" w:cstheme="minorHAnsi"/>
        </w:rPr>
        <w:t>to</w:t>
      </w:r>
      <w:r w:rsidRPr="00A54361">
        <w:rPr>
          <w:rFonts w:eastAsia="Times New Roman" w:cstheme="minorHAnsi"/>
          <w:spacing w:val="3"/>
        </w:rPr>
        <w:t xml:space="preserve"> </w:t>
      </w:r>
      <w:r w:rsidRPr="00A54361">
        <w:rPr>
          <w:rFonts w:eastAsia="Times New Roman" w:cstheme="minorHAnsi"/>
        </w:rPr>
        <w:t xml:space="preserve">the </w:t>
      </w:r>
      <w:r w:rsidRPr="00A54361">
        <w:rPr>
          <w:rFonts w:eastAsia="Times New Roman" w:cstheme="minorHAnsi"/>
          <w:spacing w:val="2"/>
        </w:rPr>
        <w:t>A</w:t>
      </w:r>
      <w:r w:rsidRPr="00A54361">
        <w:rPr>
          <w:rFonts w:eastAsia="Times New Roman" w:cstheme="minorHAnsi"/>
        </w:rPr>
        <w:t>g</w:t>
      </w:r>
      <w:r w:rsidRPr="00A54361">
        <w:rPr>
          <w:rFonts w:eastAsia="Times New Roman" w:cstheme="minorHAnsi"/>
          <w:spacing w:val="-1"/>
        </w:rPr>
        <w:t>e</w:t>
      </w:r>
      <w:r w:rsidRPr="00A54361">
        <w:rPr>
          <w:rFonts w:eastAsia="Times New Roman" w:cstheme="minorHAnsi"/>
          <w:spacing w:val="2"/>
        </w:rPr>
        <w:t>n</w:t>
      </w:r>
      <w:r w:rsidRPr="00A54361">
        <w:rPr>
          <w:rFonts w:eastAsia="Times New Roman" w:cstheme="minorHAnsi"/>
          <w:spacing w:val="1"/>
        </w:rPr>
        <w:t>c</w:t>
      </w:r>
      <w:r w:rsidRPr="00A54361">
        <w:rPr>
          <w:rFonts w:eastAsia="Times New Roman" w:cstheme="minorHAnsi"/>
          <w:spacing w:val="-5"/>
        </w:rPr>
        <w:t>y</w:t>
      </w:r>
      <w:r w:rsidRPr="00A54361">
        <w:rPr>
          <w:rFonts w:eastAsia="Times New Roman" w:cstheme="minorHAnsi"/>
        </w:rPr>
        <w:t>.</w:t>
      </w:r>
      <w:r w:rsidRPr="00A54361">
        <w:rPr>
          <w:rFonts w:eastAsia="Times New Roman" w:cstheme="minorHAnsi"/>
          <w:spacing w:val="3"/>
        </w:rPr>
        <w:t xml:space="preserve"> </w:t>
      </w:r>
      <w:r w:rsidRPr="00A54361">
        <w:rPr>
          <w:rFonts w:eastAsia="Times New Roman" w:cstheme="minorHAnsi"/>
          <w:spacing w:val="1"/>
        </w:rPr>
        <w:t>S</w:t>
      </w:r>
      <w:r w:rsidRPr="00A54361">
        <w:rPr>
          <w:rFonts w:eastAsia="Times New Roman" w:cstheme="minorHAnsi"/>
        </w:rPr>
        <w:t>tat</w:t>
      </w:r>
      <w:r w:rsidRPr="00A54361">
        <w:rPr>
          <w:rFonts w:eastAsia="Times New Roman" w:cstheme="minorHAnsi"/>
          <w:spacing w:val="-1"/>
        </w:rPr>
        <w:t>e</w:t>
      </w:r>
      <w:r w:rsidRPr="00A54361">
        <w:rPr>
          <w:rFonts w:eastAsia="Times New Roman" w:cstheme="minorHAnsi"/>
        </w:rPr>
        <w:t>ment</w:t>
      </w:r>
      <w:r w:rsidRPr="00A54361">
        <w:rPr>
          <w:rFonts w:eastAsia="Times New Roman" w:cstheme="minorHAnsi"/>
          <w:spacing w:val="3"/>
        </w:rPr>
        <w:t xml:space="preserve"> </w:t>
      </w:r>
      <w:r w:rsidRPr="00A54361">
        <w:rPr>
          <w:rFonts w:eastAsia="Times New Roman" w:cstheme="minorHAnsi"/>
          <w:spacing w:val="-1"/>
        </w:rPr>
        <w:t>c</w:t>
      </w:r>
      <w:r w:rsidRPr="00A54361">
        <w:rPr>
          <w:rFonts w:eastAsia="Times New Roman" w:cstheme="minorHAnsi"/>
        </w:rPr>
        <w:t>ontaining</w:t>
      </w:r>
      <w:r w:rsidRPr="00A54361">
        <w:rPr>
          <w:rFonts w:eastAsia="Times New Roman" w:cstheme="minorHAnsi"/>
          <w:spacing w:val="1"/>
        </w:rPr>
        <w:t xml:space="preserve"> </w:t>
      </w:r>
      <w:r w:rsidRPr="00A54361">
        <w:rPr>
          <w:rFonts w:eastAsia="Times New Roman" w:cstheme="minorHAnsi"/>
        </w:rPr>
        <w:t>the i</w:t>
      </w:r>
      <w:r w:rsidRPr="00A54361">
        <w:rPr>
          <w:rFonts w:eastAsia="Times New Roman" w:cstheme="minorHAnsi"/>
          <w:spacing w:val="1"/>
        </w:rPr>
        <w:t>m</w:t>
      </w:r>
      <w:r w:rsidRPr="00A54361">
        <w:rPr>
          <w:rFonts w:eastAsia="Times New Roman" w:cstheme="minorHAnsi"/>
        </w:rPr>
        <w:t>putation</w:t>
      </w:r>
      <w:r w:rsidRPr="00A54361">
        <w:rPr>
          <w:rFonts w:eastAsia="Times New Roman" w:cstheme="minorHAnsi"/>
          <w:spacing w:val="1"/>
        </w:rPr>
        <w:t xml:space="preserve"> </w:t>
      </w:r>
      <w:r w:rsidRPr="00A54361">
        <w:rPr>
          <w:rFonts w:eastAsia="Times New Roman" w:cstheme="minorHAnsi"/>
        </w:rPr>
        <w:t>of m</w:t>
      </w:r>
      <w:r w:rsidRPr="00A54361">
        <w:rPr>
          <w:rFonts w:eastAsia="Times New Roman" w:cstheme="minorHAnsi"/>
          <w:spacing w:val="1"/>
        </w:rPr>
        <w:t>i</w:t>
      </w:r>
      <w:r w:rsidRPr="00A54361">
        <w:rPr>
          <w:rFonts w:eastAsia="Times New Roman" w:cstheme="minorHAnsi"/>
        </w:rPr>
        <w:t>s</w:t>
      </w:r>
      <w:r w:rsidRPr="00A54361">
        <w:rPr>
          <w:rFonts w:eastAsia="Times New Roman" w:cstheme="minorHAnsi"/>
          <w:spacing w:val="-1"/>
        </w:rPr>
        <w:t>c</w:t>
      </w:r>
      <w:r w:rsidRPr="00A54361">
        <w:rPr>
          <w:rFonts w:eastAsia="Times New Roman" w:cstheme="minorHAnsi"/>
        </w:rPr>
        <w:t>ondu</w:t>
      </w:r>
      <w:r w:rsidRPr="00A54361">
        <w:rPr>
          <w:rFonts w:eastAsia="Times New Roman" w:cstheme="minorHAnsi"/>
          <w:spacing w:val="-1"/>
        </w:rPr>
        <w:t>c</w:t>
      </w:r>
      <w:r w:rsidRPr="00A54361">
        <w:rPr>
          <w:rFonts w:eastAsia="Times New Roman" w:cstheme="minorHAnsi"/>
        </w:rPr>
        <w:t>t</w:t>
      </w:r>
      <w:r w:rsidRPr="00A54361">
        <w:rPr>
          <w:rFonts w:eastAsia="Times New Roman" w:cstheme="minorHAnsi"/>
          <w:spacing w:val="-2"/>
        </w:rPr>
        <w:t xml:space="preserve"> </w:t>
      </w:r>
      <w:r w:rsidRPr="00A54361">
        <w:rPr>
          <w:rFonts w:eastAsia="Times New Roman" w:cstheme="minorHAnsi"/>
        </w:rPr>
        <w:t>or</w:t>
      </w:r>
      <w:r w:rsidRPr="00A54361">
        <w:rPr>
          <w:rFonts w:eastAsia="Times New Roman" w:cstheme="minorHAnsi"/>
          <w:spacing w:val="-3"/>
        </w:rPr>
        <w:t xml:space="preserve"> </w:t>
      </w:r>
      <w:r w:rsidRPr="00A54361">
        <w:rPr>
          <w:rFonts w:eastAsia="Times New Roman" w:cstheme="minorHAnsi"/>
        </w:rPr>
        <w:t>m</w:t>
      </w:r>
      <w:r w:rsidRPr="00A54361">
        <w:rPr>
          <w:rFonts w:eastAsia="Times New Roman" w:cstheme="minorHAnsi"/>
          <w:spacing w:val="1"/>
        </w:rPr>
        <w:t>i</w:t>
      </w:r>
      <w:r w:rsidRPr="00A54361">
        <w:rPr>
          <w:rFonts w:eastAsia="Times New Roman" w:cstheme="minorHAnsi"/>
        </w:rPr>
        <w:t>sb</w:t>
      </w:r>
      <w:r w:rsidRPr="00A54361">
        <w:rPr>
          <w:rFonts w:eastAsia="Times New Roman" w:cstheme="minorHAnsi"/>
          <w:spacing w:val="-1"/>
        </w:rPr>
        <w:t>e</w:t>
      </w:r>
      <w:r w:rsidRPr="00A54361">
        <w:rPr>
          <w:rFonts w:eastAsia="Times New Roman" w:cstheme="minorHAnsi"/>
          <w:spacing w:val="2"/>
        </w:rPr>
        <w:t>h</w:t>
      </w:r>
      <w:r w:rsidRPr="00A54361">
        <w:rPr>
          <w:rFonts w:eastAsia="Times New Roman" w:cstheme="minorHAnsi"/>
          <w:spacing w:val="-1"/>
        </w:rPr>
        <w:t>a</w:t>
      </w:r>
      <w:r w:rsidRPr="00A54361">
        <w:rPr>
          <w:rFonts w:eastAsia="Times New Roman" w:cstheme="minorHAnsi"/>
        </w:rPr>
        <w:t>viour</w:t>
      </w:r>
      <w:r w:rsidRPr="00A54361">
        <w:rPr>
          <w:rFonts w:eastAsia="Times New Roman" w:cstheme="minorHAnsi"/>
          <w:spacing w:val="-2"/>
        </w:rPr>
        <w:t xml:space="preserve"> </w:t>
      </w:r>
      <w:r w:rsidRPr="00A54361">
        <w:rPr>
          <w:rFonts w:eastAsia="Times New Roman" w:cstheme="minorHAnsi"/>
        </w:rPr>
        <w:t>m</w:t>
      </w:r>
      <w:r w:rsidRPr="00A54361">
        <w:rPr>
          <w:rFonts w:eastAsia="Times New Roman" w:cstheme="minorHAnsi"/>
          <w:spacing w:val="4"/>
        </w:rPr>
        <w:t>a</w:t>
      </w:r>
      <w:r w:rsidRPr="00A54361">
        <w:rPr>
          <w:rFonts w:eastAsia="Times New Roman" w:cstheme="minorHAnsi"/>
        </w:rPr>
        <w:t>y</w:t>
      </w:r>
      <w:r w:rsidRPr="00A54361">
        <w:rPr>
          <w:rFonts w:eastAsia="Times New Roman" w:cstheme="minorHAnsi"/>
          <w:spacing w:val="-7"/>
        </w:rPr>
        <w:t xml:space="preserve"> </w:t>
      </w:r>
      <w:r w:rsidRPr="00A54361">
        <w:rPr>
          <w:rFonts w:eastAsia="Times New Roman" w:cstheme="minorHAnsi"/>
          <w:spacing w:val="2"/>
        </w:rPr>
        <w:t>b</w:t>
      </w:r>
      <w:r w:rsidRPr="00A54361">
        <w:rPr>
          <w:rFonts w:eastAsia="Times New Roman" w:cstheme="minorHAnsi"/>
        </w:rPr>
        <w:t>e</w:t>
      </w:r>
      <w:r w:rsidRPr="00A54361">
        <w:rPr>
          <w:rFonts w:eastAsia="Times New Roman" w:cstheme="minorHAnsi"/>
          <w:spacing w:val="-1"/>
        </w:rPr>
        <w:t xml:space="preserve"> a</w:t>
      </w:r>
      <w:r w:rsidRPr="00A54361">
        <w:rPr>
          <w:rFonts w:eastAsia="Times New Roman" w:cstheme="minorHAnsi"/>
        </w:rPr>
        <w:t>pp</w:t>
      </w:r>
      <w:r w:rsidRPr="00A54361">
        <w:rPr>
          <w:rFonts w:eastAsia="Times New Roman" w:cstheme="minorHAnsi"/>
          <w:spacing w:val="-1"/>
        </w:rPr>
        <w:t>e</w:t>
      </w:r>
      <w:r w:rsidRPr="00A54361">
        <w:rPr>
          <w:rFonts w:eastAsia="Times New Roman" w:cstheme="minorHAnsi"/>
        </w:rPr>
        <w:t>nd</w:t>
      </w:r>
      <w:r w:rsidRPr="00A54361">
        <w:rPr>
          <w:rFonts w:eastAsia="Times New Roman" w:cstheme="minorHAnsi"/>
          <w:spacing w:val="-1"/>
        </w:rPr>
        <w:t>e</w:t>
      </w:r>
      <w:r w:rsidRPr="00A54361">
        <w:rPr>
          <w:rFonts w:eastAsia="Times New Roman" w:cstheme="minorHAnsi"/>
        </w:rPr>
        <w:t>d to</w:t>
      </w:r>
      <w:r w:rsidRPr="00A54361">
        <w:rPr>
          <w:rFonts w:eastAsia="Times New Roman" w:cstheme="minorHAnsi"/>
          <w:spacing w:val="-2"/>
        </w:rPr>
        <w:t xml:space="preserve"> </w:t>
      </w:r>
      <w:r w:rsidRPr="00A54361">
        <w:rPr>
          <w:rFonts w:eastAsia="Times New Roman" w:cstheme="minorHAnsi"/>
        </w:rPr>
        <w:t>t</w:t>
      </w:r>
      <w:r w:rsidRPr="00A54361">
        <w:rPr>
          <w:rFonts w:eastAsia="Times New Roman" w:cstheme="minorHAnsi"/>
          <w:spacing w:val="3"/>
        </w:rPr>
        <w:t>h</w:t>
      </w:r>
      <w:r w:rsidRPr="00A54361">
        <w:rPr>
          <w:rFonts w:eastAsia="Times New Roman" w:cstheme="minorHAnsi"/>
        </w:rPr>
        <w:t>e</w:t>
      </w:r>
      <w:r w:rsidRPr="00A54361">
        <w:rPr>
          <w:rFonts w:eastAsia="Times New Roman" w:cstheme="minorHAnsi"/>
          <w:spacing w:val="-3"/>
        </w:rPr>
        <w:t xml:space="preserve"> </w:t>
      </w:r>
      <w:r w:rsidRPr="00A54361">
        <w:rPr>
          <w:rFonts w:eastAsia="Times New Roman" w:cstheme="minorHAnsi"/>
        </w:rPr>
        <w:t>sho</w:t>
      </w:r>
      <w:r w:rsidRPr="00A54361">
        <w:rPr>
          <w:rFonts w:eastAsia="Times New Roman" w:cstheme="minorHAnsi"/>
          <w:spacing w:val="1"/>
        </w:rPr>
        <w:t>w</w:t>
      </w:r>
      <w:r w:rsidRPr="00A54361">
        <w:rPr>
          <w:rFonts w:eastAsia="Times New Roman" w:cstheme="minorHAnsi"/>
          <w:spacing w:val="2"/>
        </w:rPr>
        <w:t>-</w:t>
      </w:r>
      <w:r w:rsidRPr="00A54361">
        <w:rPr>
          <w:rFonts w:eastAsia="Times New Roman" w:cstheme="minorHAnsi"/>
          <w:spacing w:val="-1"/>
        </w:rPr>
        <w:t>ca</w:t>
      </w:r>
      <w:r w:rsidRPr="00A54361">
        <w:rPr>
          <w:rFonts w:eastAsia="Times New Roman" w:cstheme="minorHAnsi"/>
        </w:rPr>
        <w:t>use</w:t>
      </w:r>
      <w:r w:rsidRPr="00A54361">
        <w:rPr>
          <w:rFonts w:eastAsia="Times New Roman" w:cstheme="minorHAnsi"/>
          <w:spacing w:val="-1"/>
        </w:rPr>
        <w:t xml:space="preserve"> </w:t>
      </w:r>
      <w:r w:rsidRPr="00A54361">
        <w:rPr>
          <w:rFonts w:eastAsia="Times New Roman" w:cstheme="minorHAnsi"/>
        </w:rPr>
        <w:t>not</w:t>
      </w:r>
      <w:r w:rsidRPr="00A54361">
        <w:rPr>
          <w:rFonts w:eastAsia="Times New Roman" w:cstheme="minorHAnsi"/>
          <w:spacing w:val="1"/>
        </w:rPr>
        <w:t>i</w:t>
      </w:r>
      <w:r w:rsidRPr="00A54361">
        <w:rPr>
          <w:rFonts w:eastAsia="Times New Roman" w:cstheme="minorHAnsi"/>
          <w:spacing w:val="-1"/>
        </w:rPr>
        <w:t>c</w:t>
      </w:r>
      <w:r w:rsidRPr="00A54361">
        <w:rPr>
          <w:rFonts w:eastAsia="Times New Roman" w:cstheme="minorHAnsi"/>
        </w:rPr>
        <w:t>e</w:t>
      </w:r>
      <w:r w:rsidRPr="00A54361">
        <w:rPr>
          <w:rFonts w:eastAsia="Times New Roman" w:cstheme="minorHAnsi"/>
          <w:spacing w:val="-1"/>
        </w:rPr>
        <w:t xml:space="preserve"> a</w:t>
      </w:r>
      <w:r w:rsidRPr="00A54361">
        <w:rPr>
          <w:rFonts w:eastAsia="Times New Roman" w:cstheme="minorHAnsi"/>
        </w:rPr>
        <w:t>nd the</w:t>
      </w:r>
      <w:r w:rsidRPr="00A54361">
        <w:rPr>
          <w:rFonts w:eastAsia="Times New Roman" w:cstheme="minorHAnsi"/>
          <w:spacing w:val="-3"/>
        </w:rPr>
        <w:t xml:space="preserve"> </w:t>
      </w:r>
      <w:r w:rsidRPr="00A54361">
        <w:rPr>
          <w:rFonts w:eastAsia="Times New Roman" w:cstheme="minorHAnsi"/>
          <w:spacing w:val="2"/>
        </w:rPr>
        <w:t>A</w:t>
      </w:r>
      <w:r w:rsidRPr="00A54361">
        <w:rPr>
          <w:rFonts w:eastAsia="Times New Roman" w:cstheme="minorHAnsi"/>
          <w:spacing w:val="-2"/>
        </w:rPr>
        <w:t>g</w:t>
      </w:r>
      <w:r w:rsidRPr="00A54361">
        <w:rPr>
          <w:rFonts w:eastAsia="Times New Roman" w:cstheme="minorHAnsi"/>
          <w:spacing w:val="-1"/>
        </w:rPr>
        <w:t>e</w:t>
      </w:r>
      <w:r w:rsidRPr="00A54361">
        <w:rPr>
          <w:rFonts w:eastAsia="Times New Roman" w:cstheme="minorHAnsi"/>
          <w:spacing w:val="2"/>
        </w:rPr>
        <w:t>n</w:t>
      </w:r>
      <w:r w:rsidRPr="00A54361">
        <w:rPr>
          <w:rFonts w:eastAsia="Times New Roman" w:cstheme="minorHAnsi"/>
          <w:spacing w:val="4"/>
        </w:rPr>
        <w:t>c</w:t>
      </w:r>
      <w:r w:rsidRPr="00A54361">
        <w:rPr>
          <w:rFonts w:eastAsia="Times New Roman" w:cstheme="minorHAnsi"/>
        </w:rPr>
        <w:t>y</w:t>
      </w:r>
      <w:r w:rsidRPr="00A54361">
        <w:rPr>
          <w:rFonts w:eastAsia="Times New Roman" w:cstheme="minorHAnsi"/>
          <w:spacing w:val="-7"/>
        </w:rPr>
        <w:t xml:space="preserve"> </w:t>
      </w:r>
      <w:r w:rsidRPr="00A54361">
        <w:rPr>
          <w:rFonts w:eastAsia="Times New Roman" w:cstheme="minorHAnsi"/>
          <w:spacing w:val="2"/>
        </w:rPr>
        <w:t>s</w:t>
      </w:r>
      <w:r w:rsidRPr="00A54361">
        <w:rPr>
          <w:rFonts w:eastAsia="Times New Roman" w:cstheme="minorHAnsi"/>
        </w:rPr>
        <w:t>hould be</w:t>
      </w:r>
      <w:r w:rsidRPr="00A54361">
        <w:rPr>
          <w:rFonts w:eastAsia="Times New Roman" w:cstheme="minorHAnsi"/>
          <w:spacing w:val="-1"/>
        </w:rPr>
        <w:t xml:space="preserve"> a</w:t>
      </w:r>
      <w:r w:rsidRPr="00A54361">
        <w:rPr>
          <w:rFonts w:eastAsia="Times New Roman" w:cstheme="minorHAnsi"/>
        </w:rPr>
        <w:t>sk</w:t>
      </w:r>
      <w:r w:rsidRPr="00A54361">
        <w:rPr>
          <w:rFonts w:eastAsia="Times New Roman" w:cstheme="minorHAnsi"/>
          <w:spacing w:val="-1"/>
        </w:rPr>
        <w:t>e</w:t>
      </w:r>
      <w:r w:rsidRPr="00A54361">
        <w:rPr>
          <w:rFonts w:eastAsia="Times New Roman" w:cstheme="minorHAnsi"/>
        </w:rPr>
        <w:t>d to subm</w:t>
      </w:r>
      <w:r w:rsidRPr="00A54361">
        <w:rPr>
          <w:rFonts w:eastAsia="Times New Roman" w:cstheme="minorHAnsi"/>
          <w:spacing w:val="1"/>
        </w:rPr>
        <w:t>i</w:t>
      </w:r>
      <w:r w:rsidRPr="00A54361">
        <w:rPr>
          <w:rFonts w:eastAsia="Times New Roman" w:cstheme="minorHAnsi"/>
        </w:rPr>
        <w:t>t wi</w:t>
      </w:r>
      <w:r w:rsidRPr="00A54361">
        <w:rPr>
          <w:rFonts w:eastAsia="Times New Roman" w:cstheme="minorHAnsi"/>
          <w:spacing w:val="1"/>
        </w:rPr>
        <w:t>t</w:t>
      </w:r>
      <w:r w:rsidRPr="00A54361">
        <w:rPr>
          <w:rFonts w:eastAsia="Times New Roman" w:cstheme="minorHAnsi"/>
        </w:rPr>
        <w:t>hin 15 d</w:t>
      </w:r>
      <w:r w:rsidRPr="00A54361">
        <w:rPr>
          <w:rFonts w:eastAsia="Times New Roman" w:cstheme="minorHAnsi"/>
          <w:spacing w:val="2"/>
        </w:rPr>
        <w:t>a</w:t>
      </w:r>
      <w:r w:rsidRPr="00A54361">
        <w:rPr>
          <w:rFonts w:eastAsia="Times New Roman" w:cstheme="minorHAnsi"/>
          <w:spacing w:val="-5"/>
        </w:rPr>
        <w:t>y</w:t>
      </w:r>
      <w:r w:rsidRPr="00A54361">
        <w:rPr>
          <w:rFonts w:eastAsia="Times New Roman" w:cstheme="minorHAnsi"/>
        </w:rPr>
        <w:t>s</w:t>
      </w:r>
      <w:r w:rsidRPr="00A54361">
        <w:rPr>
          <w:rFonts w:eastAsia="Times New Roman" w:cstheme="minorHAnsi"/>
          <w:spacing w:val="2"/>
        </w:rPr>
        <w:t xml:space="preserve"> </w:t>
      </w:r>
      <w:r w:rsidRPr="00A54361">
        <w:rPr>
          <w:rFonts w:eastAsia="Times New Roman" w:cstheme="minorHAnsi"/>
        </w:rPr>
        <w:t>a</w:t>
      </w:r>
      <w:r w:rsidRPr="00A54361">
        <w:rPr>
          <w:rFonts w:eastAsia="Times New Roman" w:cstheme="minorHAnsi"/>
          <w:spacing w:val="-1"/>
        </w:rPr>
        <w:t xml:space="preserve"> </w:t>
      </w:r>
      <w:r w:rsidRPr="00A54361">
        <w:rPr>
          <w:rFonts w:eastAsia="Times New Roman" w:cstheme="minorHAnsi"/>
        </w:rPr>
        <w:t>w</w:t>
      </w:r>
      <w:r w:rsidRPr="00A54361">
        <w:rPr>
          <w:rFonts w:eastAsia="Times New Roman" w:cstheme="minorHAnsi"/>
          <w:spacing w:val="-1"/>
        </w:rPr>
        <w:t>r</w:t>
      </w:r>
      <w:r w:rsidRPr="00A54361">
        <w:rPr>
          <w:rFonts w:eastAsia="Times New Roman" w:cstheme="minorHAnsi"/>
        </w:rPr>
        <w:t>i</w:t>
      </w:r>
      <w:r w:rsidRPr="00A54361">
        <w:rPr>
          <w:rFonts w:eastAsia="Times New Roman" w:cstheme="minorHAnsi"/>
          <w:spacing w:val="1"/>
        </w:rPr>
        <w:t>t</w:t>
      </w:r>
      <w:r w:rsidRPr="00A54361">
        <w:rPr>
          <w:rFonts w:eastAsia="Times New Roman" w:cstheme="minorHAnsi"/>
        </w:rPr>
        <w:t>ten stat</w:t>
      </w:r>
      <w:r w:rsidRPr="00A54361">
        <w:rPr>
          <w:rFonts w:eastAsia="Times New Roman" w:cstheme="minorHAnsi"/>
          <w:spacing w:val="1"/>
        </w:rPr>
        <w:t>e</w:t>
      </w:r>
      <w:r w:rsidRPr="00A54361">
        <w:rPr>
          <w:rFonts w:eastAsia="Times New Roman" w:cstheme="minorHAnsi"/>
        </w:rPr>
        <w:t xml:space="preserve">ment in </w:t>
      </w:r>
      <w:r w:rsidRPr="00A54361">
        <w:rPr>
          <w:rFonts w:eastAsia="Times New Roman" w:cstheme="minorHAnsi"/>
          <w:spacing w:val="1"/>
        </w:rPr>
        <w:t>i</w:t>
      </w:r>
      <w:r w:rsidRPr="00A54361">
        <w:rPr>
          <w:rFonts w:eastAsia="Times New Roman" w:cstheme="minorHAnsi"/>
        </w:rPr>
        <w:t>ts</w:t>
      </w:r>
      <w:r w:rsidRPr="00A54361">
        <w:rPr>
          <w:rFonts w:eastAsia="Times New Roman" w:cstheme="minorHAnsi"/>
          <w:spacing w:val="4"/>
        </w:rPr>
        <w:t xml:space="preserve"> </w:t>
      </w:r>
      <w:r w:rsidRPr="00A54361">
        <w:rPr>
          <w:rFonts w:eastAsia="Times New Roman" w:cstheme="minorHAnsi"/>
        </w:rPr>
        <w:t>d</w:t>
      </w:r>
      <w:r w:rsidRPr="00A54361">
        <w:rPr>
          <w:rFonts w:eastAsia="Times New Roman" w:cstheme="minorHAnsi"/>
          <w:spacing w:val="-1"/>
        </w:rPr>
        <w:t>e</w:t>
      </w:r>
      <w:r w:rsidRPr="00A54361">
        <w:rPr>
          <w:rFonts w:eastAsia="Times New Roman" w:cstheme="minorHAnsi"/>
        </w:rPr>
        <w:t>f</w:t>
      </w:r>
      <w:r w:rsidRPr="00A54361">
        <w:rPr>
          <w:rFonts w:eastAsia="Times New Roman" w:cstheme="minorHAnsi"/>
          <w:spacing w:val="-2"/>
        </w:rPr>
        <w:t>e</w:t>
      </w:r>
      <w:r w:rsidRPr="00A54361">
        <w:rPr>
          <w:rFonts w:eastAsia="Times New Roman" w:cstheme="minorHAnsi"/>
        </w:rPr>
        <w:t>ns</w:t>
      </w:r>
      <w:r w:rsidRPr="00A54361">
        <w:rPr>
          <w:rFonts w:eastAsia="Times New Roman" w:cstheme="minorHAnsi"/>
          <w:spacing w:val="-1"/>
        </w:rPr>
        <w:t>e</w:t>
      </w:r>
      <w:r w:rsidRPr="00A54361">
        <w:rPr>
          <w:rFonts w:eastAsia="Times New Roman" w:cstheme="minorHAnsi"/>
        </w:rPr>
        <w:t>.</w:t>
      </w:r>
    </w:p>
    <w:p w14:paraId="2C509481" w14:textId="77777777" w:rsidR="0054549F" w:rsidRPr="00A54361" w:rsidRDefault="0054549F" w:rsidP="00A54361">
      <w:pPr>
        <w:ind w:left="100" w:right="77"/>
        <w:jc w:val="both"/>
        <w:rPr>
          <w:rFonts w:cstheme="minorHAnsi"/>
        </w:rPr>
      </w:pPr>
      <w:r w:rsidRPr="00A54361">
        <w:rPr>
          <w:rFonts w:eastAsia="Times New Roman" w:cstheme="minorHAnsi"/>
        </w:rPr>
        <w:t>9.2</w:t>
      </w:r>
      <w:r w:rsidRPr="00A54361">
        <w:rPr>
          <w:rFonts w:eastAsia="Times New Roman" w:cstheme="minorHAnsi"/>
          <w:spacing w:val="-7"/>
        </w:rPr>
        <w:t xml:space="preserve"> </w:t>
      </w:r>
      <w:r w:rsidRPr="00A54361">
        <w:rPr>
          <w:rFonts w:eastAsia="Times New Roman" w:cstheme="minorHAnsi"/>
          <w:spacing w:val="-6"/>
        </w:rPr>
        <w:t>I</w:t>
      </w:r>
      <w:r w:rsidRPr="00A54361">
        <w:rPr>
          <w:rFonts w:eastAsia="Times New Roman" w:cstheme="minorHAnsi"/>
        </w:rPr>
        <w:t>f</w:t>
      </w:r>
      <w:r w:rsidRPr="00A54361">
        <w:rPr>
          <w:rFonts w:eastAsia="Times New Roman" w:cstheme="minorHAnsi"/>
          <w:spacing w:val="-10"/>
        </w:rPr>
        <w:t xml:space="preserve"> </w:t>
      </w:r>
      <w:r w:rsidRPr="00A54361">
        <w:rPr>
          <w:rFonts w:eastAsia="Times New Roman" w:cstheme="minorHAnsi"/>
        </w:rPr>
        <w:t>the</w:t>
      </w:r>
      <w:r w:rsidRPr="00A54361">
        <w:rPr>
          <w:rFonts w:eastAsia="Times New Roman" w:cstheme="minorHAnsi"/>
          <w:spacing w:val="-10"/>
        </w:rPr>
        <w:t xml:space="preserve"> </w:t>
      </w:r>
      <w:r w:rsidRPr="00A54361">
        <w:rPr>
          <w:rFonts w:eastAsia="Times New Roman" w:cstheme="minorHAnsi"/>
          <w:spacing w:val="2"/>
        </w:rPr>
        <w:t>A</w:t>
      </w:r>
      <w:r w:rsidRPr="00A54361">
        <w:rPr>
          <w:rFonts w:eastAsia="Times New Roman" w:cstheme="minorHAnsi"/>
          <w:spacing w:val="-2"/>
        </w:rPr>
        <w:t>g</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4"/>
        </w:rPr>
        <w:t>c</w:t>
      </w:r>
      <w:r w:rsidRPr="00A54361">
        <w:rPr>
          <w:rFonts w:eastAsia="Times New Roman" w:cstheme="minorHAnsi"/>
        </w:rPr>
        <w:t>y</w:t>
      </w:r>
      <w:r w:rsidRPr="00A54361">
        <w:rPr>
          <w:rFonts w:eastAsia="Times New Roman" w:cstheme="minorHAnsi"/>
          <w:spacing w:val="-14"/>
        </w:rPr>
        <w:t xml:space="preserve"> </w:t>
      </w:r>
      <w:r w:rsidRPr="00A54361">
        <w:rPr>
          <w:rFonts w:eastAsia="Times New Roman" w:cstheme="minorHAnsi"/>
          <w:spacing w:val="1"/>
        </w:rPr>
        <w:t>r</w:t>
      </w:r>
      <w:r w:rsidRPr="00A54361">
        <w:rPr>
          <w:rFonts w:eastAsia="Times New Roman" w:cstheme="minorHAnsi"/>
          <w:spacing w:val="-1"/>
        </w:rPr>
        <w:t>e</w:t>
      </w:r>
      <w:r w:rsidRPr="00A54361">
        <w:rPr>
          <w:rFonts w:eastAsia="Times New Roman" w:cstheme="minorHAnsi"/>
        </w:rPr>
        <w:t>qu</w:t>
      </w:r>
      <w:r w:rsidRPr="00A54361">
        <w:rPr>
          <w:rFonts w:eastAsia="Times New Roman" w:cstheme="minorHAnsi"/>
          <w:spacing w:val="-1"/>
        </w:rPr>
        <w:t>e</w:t>
      </w:r>
      <w:r w:rsidRPr="00A54361">
        <w:rPr>
          <w:rFonts w:eastAsia="Times New Roman" w:cstheme="minorHAnsi"/>
        </w:rPr>
        <w:t>s</w:t>
      </w:r>
      <w:r w:rsidRPr="00A54361">
        <w:rPr>
          <w:rFonts w:eastAsia="Times New Roman" w:cstheme="minorHAnsi"/>
          <w:spacing w:val="3"/>
        </w:rPr>
        <w:t>t</w:t>
      </w:r>
      <w:r w:rsidRPr="00A54361">
        <w:rPr>
          <w:rFonts w:eastAsia="Times New Roman" w:cstheme="minorHAnsi"/>
        </w:rPr>
        <w:t>s</w:t>
      </w:r>
      <w:r w:rsidRPr="00A54361">
        <w:rPr>
          <w:rFonts w:eastAsia="Times New Roman" w:cstheme="minorHAnsi"/>
          <w:spacing w:val="-9"/>
        </w:rPr>
        <w:t xml:space="preserve"> </w:t>
      </w:r>
      <w:r w:rsidRPr="00A54361">
        <w:rPr>
          <w:rFonts w:eastAsia="Times New Roman" w:cstheme="minorHAnsi"/>
        </w:rPr>
        <w:t>for</w:t>
      </w:r>
      <w:r w:rsidRPr="00A54361">
        <w:rPr>
          <w:rFonts w:eastAsia="Times New Roman" w:cstheme="minorHAnsi"/>
          <w:spacing w:val="-11"/>
        </w:rPr>
        <w:t xml:space="preserve"> </w:t>
      </w:r>
      <w:r w:rsidRPr="00A54361">
        <w:rPr>
          <w:rFonts w:eastAsia="Times New Roman" w:cstheme="minorHAnsi"/>
        </w:rPr>
        <w:t>inspe</w:t>
      </w:r>
      <w:r w:rsidRPr="00A54361">
        <w:rPr>
          <w:rFonts w:eastAsia="Times New Roman" w:cstheme="minorHAnsi"/>
          <w:spacing w:val="-1"/>
        </w:rPr>
        <w:t>c</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on</w:t>
      </w:r>
      <w:r w:rsidRPr="00A54361">
        <w:rPr>
          <w:rFonts w:eastAsia="Times New Roman" w:cstheme="minorHAnsi"/>
          <w:spacing w:val="-10"/>
        </w:rPr>
        <w:t xml:space="preserve"> </w:t>
      </w:r>
      <w:r w:rsidRPr="00A54361">
        <w:rPr>
          <w:rFonts w:eastAsia="Times New Roman" w:cstheme="minorHAnsi"/>
        </w:rPr>
        <w:t>of</w:t>
      </w:r>
      <w:r w:rsidRPr="00A54361">
        <w:rPr>
          <w:rFonts w:eastAsia="Times New Roman" w:cstheme="minorHAnsi"/>
          <w:spacing w:val="-10"/>
        </w:rPr>
        <w:t xml:space="preserve"> </w:t>
      </w:r>
      <w:r w:rsidRPr="00A54361">
        <w:rPr>
          <w:rFonts w:eastAsia="Times New Roman" w:cstheme="minorHAnsi"/>
          <w:spacing w:val="-1"/>
        </w:rPr>
        <w:t>a</w:t>
      </w:r>
      <w:r w:rsidRPr="00A54361">
        <w:rPr>
          <w:rFonts w:eastAsia="Times New Roman" w:cstheme="minorHAnsi"/>
          <w:spacing w:val="2"/>
        </w:rPr>
        <w:t>n</w:t>
      </w:r>
      <w:r w:rsidRPr="00A54361">
        <w:rPr>
          <w:rFonts w:eastAsia="Times New Roman" w:cstheme="minorHAnsi"/>
        </w:rPr>
        <w:t>y</w:t>
      </w:r>
      <w:r w:rsidRPr="00A54361">
        <w:rPr>
          <w:rFonts w:eastAsia="Times New Roman" w:cstheme="minorHAnsi"/>
          <w:spacing w:val="-17"/>
        </w:rPr>
        <w:t xml:space="preserve"> </w:t>
      </w:r>
      <w:r w:rsidRPr="00A54361">
        <w:rPr>
          <w:rFonts w:eastAsia="Times New Roman" w:cstheme="minorHAnsi"/>
          <w:spacing w:val="1"/>
        </w:rPr>
        <w:t>r</w:t>
      </w:r>
      <w:r w:rsidRPr="00A54361">
        <w:rPr>
          <w:rFonts w:eastAsia="Times New Roman" w:cstheme="minorHAnsi"/>
          <w:spacing w:val="-1"/>
        </w:rPr>
        <w:t>e</w:t>
      </w:r>
      <w:r w:rsidRPr="00A54361">
        <w:rPr>
          <w:rFonts w:eastAsia="Times New Roman" w:cstheme="minorHAnsi"/>
        </w:rPr>
        <w:t>lev</w:t>
      </w:r>
      <w:r w:rsidRPr="00A54361">
        <w:rPr>
          <w:rFonts w:eastAsia="Times New Roman" w:cstheme="minorHAnsi"/>
          <w:spacing w:val="-1"/>
        </w:rPr>
        <w:t>a</w:t>
      </w:r>
      <w:r w:rsidRPr="00A54361">
        <w:rPr>
          <w:rFonts w:eastAsia="Times New Roman" w:cstheme="minorHAnsi"/>
        </w:rPr>
        <w:t>nt</w:t>
      </w:r>
      <w:r w:rsidRPr="00A54361">
        <w:rPr>
          <w:rFonts w:eastAsia="Times New Roman" w:cstheme="minorHAnsi"/>
          <w:spacing w:val="-9"/>
        </w:rPr>
        <w:t xml:space="preserve"> </w:t>
      </w:r>
      <w:r w:rsidRPr="00A54361">
        <w:rPr>
          <w:rFonts w:eastAsia="Times New Roman" w:cstheme="minorHAnsi"/>
        </w:rPr>
        <w:t>do</w:t>
      </w:r>
      <w:r w:rsidRPr="00A54361">
        <w:rPr>
          <w:rFonts w:eastAsia="Times New Roman" w:cstheme="minorHAnsi"/>
          <w:spacing w:val="-1"/>
        </w:rPr>
        <w:t>c</w:t>
      </w:r>
      <w:r w:rsidRPr="00A54361">
        <w:rPr>
          <w:rFonts w:eastAsia="Times New Roman" w:cstheme="minorHAnsi"/>
        </w:rPr>
        <w:t>ument</w:t>
      </w:r>
      <w:r w:rsidRPr="00A54361">
        <w:rPr>
          <w:rFonts w:eastAsia="Times New Roman" w:cstheme="minorHAnsi"/>
          <w:spacing w:val="-10"/>
        </w:rPr>
        <w:t xml:space="preserve"> </w:t>
      </w:r>
      <w:r w:rsidRPr="00A54361">
        <w:rPr>
          <w:rFonts w:eastAsia="Times New Roman" w:cstheme="minorHAnsi"/>
        </w:rPr>
        <w:t>in</w:t>
      </w:r>
      <w:r w:rsidRPr="00A54361">
        <w:rPr>
          <w:rFonts w:eastAsia="Times New Roman" w:cstheme="minorHAnsi"/>
          <w:spacing w:val="-9"/>
        </w:rPr>
        <w:t xml:space="preserve"> </w:t>
      </w:r>
      <w:r w:rsidRPr="00A54361">
        <w:rPr>
          <w:rFonts w:eastAsia="Times New Roman" w:cstheme="minorHAnsi"/>
        </w:rPr>
        <w:t>posse</w:t>
      </w:r>
      <w:r w:rsidRPr="00A54361">
        <w:rPr>
          <w:rFonts w:eastAsia="Times New Roman" w:cstheme="minorHAnsi"/>
          <w:spacing w:val="-3"/>
        </w:rPr>
        <w:t>s</w:t>
      </w:r>
      <w:r w:rsidRPr="00A54361">
        <w:rPr>
          <w:rFonts w:eastAsia="Times New Roman" w:cstheme="minorHAnsi"/>
        </w:rPr>
        <w:t>sion</w:t>
      </w:r>
      <w:r w:rsidRPr="00A54361">
        <w:rPr>
          <w:rFonts w:eastAsia="Times New Roman" w:cstheme="minorHAnsi"/>
          <w:spacing w:val="-9"/>
        </w:rPr>
        <w:t xml:space="preserve"> </w:t>
      </w:r>
      <w:r w:rsidRPr="00A54361">
        <w:rPr>
          <w:rFonts w:eastAsia="Times New Roman" w:cstheme="minorHAnsi"/>
        </w:rPr>
        <w:t>of</w:t>
      </w:r>
      <w:r w:rsidRPr="00A54361">
        <w:rPr>
          <w:rFonts w:eastAsia="Times New Roman" w:cstheme="minorHAnsi"/>
          <w:spacing w:val="-10"/>
        </w:rPr>
        <w:t xml:space="preserve"> </w:t>
      </w:r>
      <w:r w:rsidRPr="00A54361">
        <w:rPr>
          <w:rFonts w:eastAsia="Times New Roman" w:cstheme="minorHAnsi"/>
        </w:rPr>
        <w:t>CE</w:t>
      </w:r>
      <w:r w:rsidRPr="00A54361">
        <w:rPr>
          <w:rFonts w:eastAsia="Times New Roman" w:cstheme="minorHAnsi"/>
          <w:spacing w:val="-1"/>
        </w:rPr>
        <w:t>N</w:t>
      </w:r>
      <w:r w:rsidRPr="00A54361">
        <w:rPr>
          <w:rFonts w:eastAsia="Times New Roman" w:cstheme="minorHAnsi"/>
        </w:rPr>
        <w:t xml:space="preserve">TRAL </w:t>
      </w:r>
      <w:r w:rsidRPr="00A54361">
        <w:rPr>
          <w:rFonts w:eastAsia="Times New Roman" w:cstheme="minorHAnsi"/>
          <w:spacing w:val="-2"/>
        </w:rPr>
        <w:t>B</w:t>
      </w:r>
      <w:r w:rsidRPr="00A54361">
        <w:rPr>
          <w:rFonts w:eastAsia="Times New Roman" w:cstheme="minorHAnsi"/>
        </w:rPr>
        <w:t>A</w:t>
      </w:r>
      <w:r w:rsidRPr="00A54361">
        <w:rPr>
          <w:rFonts w:eastAsia="Times New Roman" w:cstheme="minorHAnsi"/>
          <w:spacing w:val="-1"/>
        </w:rPr>
        <w:t>N</w:t>
      </w:r>
      <w:r w:rsidRPr="00A54361">
        <w:rPr>
          <w:rFonts w:eastAsia="Times New Roman" w:cstheme="minorHAnsi"/>
        </w:rPr>
        <w:t>K</w:t>
      </w:r>
      <w:r w:rsidRPr="00A54361">
        <w:rPr>
          <w:rFonts w:eastAsia="Times New Roman" w:cstheme="minorHAnsi"/>
          <w:spacing w:val="2"/>
        </w:rPr>
        <w:t xml:space="preserve"> </w:t>
      </w:r>
      <w:r w:rsidRPr="00A54361">
        <w:rPr>
          <w:rFonts w:eastAsia="Times New Roman" w:cstheme="minorHAnsi"/>
        </w:rPr>
        <w:t>OF</w:t>
      </w:r>
      <w:r w:rsidRPr="00A54361">
        <w:rPr>
          <w:rFonts w:eastAsia="Times New Roman" w:cstheme="minorHAnsi"/>
          <w:spacing w:val="3"/>
        </w:rPr>
        <w:t xml:space="preserve"> </w:t>
      </w:r>
      <w:r w:rsidRPr="00A54361">
        <w:rPr>
          <w:rFonts w:eastAsia="Times New Roman" w:cstheme="minorHAnsi"/>
          <w:spacing w:val="-3"/>
        </w:rPr>
        <w:t>I</w:t>
      </w:r>
      <w:r w:rsidRPr="00A54361">
        <w:rPr>
          <w:rFonts w:eastAsia="Times New Roman" w:cstheme="minorHAnsi"/>
        </w:rPr>
        <w:t>N</w:t>
      </w:r>
      <w:r w:rsidRPr="00A54361">
        <w:rPr>
          <w:rFonts w:eastAsia="Times New Roman" w:cstheme="minorHAnsi"/>
          <w:spacing w:val="1"/>
        </w:rPr>
        <w:t>D</w:t>
      </w:r>
      <w:r w:rsidRPr="00A54361">
        <w:rPr>
          <w:rFonts w:eastAsia="Times New Roman" w:cstheme="minorHAnsi"/>
          <w:spacing w:val="-3"/>
        </w:rPr>
        <w:t>I</w:t>
      </w:r>
      <w:r w:rsidRPr="00A54361">
        <w:rPr>
          <w:rFonts w:eastAsia="Times New Roman" w:cstheme="minorHAnsi"/>
        </w:rPr>
        <w:t xml:space="preserve">A, </w:t>
      </w:r>
      <w:r w:rsidRPr="00A54361">
        <w:rPr>
          <w:rFonts w:eastAsia="Times New Roman" w:cstheme="minorHAnsi"/>
          <w:spacing w:val="2"/>
        </w:rPr>
        <w:t>n</w:t>
      </w:r>
      <w:r w:rsidRPr="00A54361">
        <w:rPr>
          <w:rFonts w:eastAsia="Times New Roman" w:cstheme="minorHAnsi"/>
          <w:spacing w:val="-1"/>
        </w:rPr>
        <w:t>e</w:t>
      </w:r>
      <w:r w:rsidRPr="00A54361">
        <w:rPr>
          <w:rFonts w:eastAsia="Times New Roman" w:cstheme="minorHAnsi"/>
          <w:spacing w:val="1"/>
        </w:rPr>
        <w:t>c</w:t>
      </w:r>
      <w:r w:rsidRPr="00A54361">
        <w:rPr>
          <w:rFonts w:eastAsia="Times New Roman" w:cstheme="minorHAnsi"/>
          <w:spacing w:val="-1"/>
        </w:rPr>
        <w:t>e</w:t>
      </w:r>
      <w:r w:rsidRPr="00A54361">
        <w:rPr>
          <w:rFonts w:eastAsia="Times New Roman" w:cstheme="minorHAnsi"/>
          <w:spacing w:val="2"/>
        </w:rPr>
        <w:t>s</w:t>
      </w:r>
      <w:r w:rsidRPr="00A54361">
        <w:rPr>
          <w:rFonts w:eastAsia="Times New Roman" w:cstheme="minorHAnsi"/>
        </w:rPr>
        <w:t>s</w:t>
      </w:r>
      <w:r w:rsidRPr="00A54361">
        <w:rPr>
          <w:rFonts w:eastAsia="Times New Roman" w:cstheme="minorHAnsi"/>
          <w:spacing w:val="-1"/>
        </w:rPr>
        <w:t>a</w:t>
      </w:r>
      <w:r w:rsidRPr="00A54361">
        <w:rPr>
          <w:rFonts w:eastAsia="Times New Roman" w:cstheme="minorHAnsi"/>
          <w:spacing w:val="4"/>
        </w:rPr>
        <w:t>r</w:t>
      </w:r>
      <w:r w:rsidRPr="00A54361">
        <w:rPr>
          <w:rFonts w:eastAsia="Times New Roman" w:cstheme="minorHAnsi"/>
        </w:rPr>
        <w:t>y</w:t>
      </w:r>
      <w:r w:rsidRPr="00A54361">
        <w:rPr>
          <w:rFonts w:eastAsia="Times New Roman" w:cstheme="minorHAnsi"/>
          <w:spacing w:val="-5"/>
        </w:rPr>
        <w:t xml:space="preserve"> </w:t>
      </w:r>
      <w:r w:rsidRPr="00A54361">
        <w:rPr>
          <w:rFonts w:eastAsia="Times New Roman" w:cstheme="minorHAnsi"/>
        </w:rPr>
        <w:t>fa</w:t>
      </w:r>
      <w:r w:rsidRPr="00A54361">
        <w:rPr>
          <w:rFonts w:eastAsia="Times New Roman" w:cstheme="minorHAnsi"/>
          <w:spacing w:val="-1"/>
        </w:rPr>
        <w:t>c</w:t>
      </w:r>
      <w:r w:rsidRPr="00A54361">
        <w:rPr>
          <w:rFonts w:eastAsia="Times New Roman" w:cstheme="minorHAnsi"/>
        </w:rPr>
        <w:t>i</w:t>
      </w:r>
      <w:r w:rsidRPr="00A54361">
        <w:rPr>
          <w:rFonts w:eastAsia="Times New Roman" w:cstheme="minorHAnsi"/>
          <w:spacing w:val="1"/>
        </w:rPr>
        <w:t>l</w:t>
      </w:r>
      <w:r w:rsidRPr="00A54361">
        <w:rPr>
          <w:rFonts w:eastAsia="Times New Roman" w:cstheme="minorHAnsi"/>
        </w:rPr>
        <w:t>i</w:t>
      </w:r>
      <w:r w:rsidRPr="00A54361">
        <w:rPr>
          <w:rFonts w:eastAsia="Times New Roman" w:cstheme="minorHAnsi"/>
          <w:spacing w:val="3"/>
        </w:rPr>
        <w:t>t</w:t>
      </w:r>
      <w:r w:rsidRPr="00A54361">
        <w:rPr>
          <w:rFonts w:eastAsia="Times New Roman" w:cstheme="minorHAnsi"/>
        </w:rPr>
        <w:t>y</w:t>
      </w:r>
      <w:r w:rsidRPr="00A54361">
        <w:rPr>
          <w:rFonts w:eastAsia="Times New Roman" w:cstheme="minorHAnsi"/>
          <w:spacing w:val="-5"/>
        </w:rPr>
        <w:t xml:space="preserve"> </w:t>
      </w:r>
      <w:r w:rsidRPr="00A54361">
        <w:rPr>
          <w:rFonts w:eastAsia="Times New Roman" w:cstheme="minorHAnsi"/>
        </w:rPr>
        <w:t>for</w:t>
      </w:r>
      <w:r w:rsidRPr="00A54361">
        <w:rPr>
          <w:rFonts w:eastAsia="Times New Roman" w:cstheme="minorHAnsi"/>
          <w:spacing w:val="-1"/>
        </w:rPr>
        <w:t xml:space="preserve"> </w:t>
      </w:r>
      <w:r w:rsidRPr="00A54361">
        <w:rPr>
          <w:rFonts w:eastAsia="Times New Roman" w:cstheme="minorHAnsi"/>
        </w:rPr>
        <w:t>ins</w:t>
      </w:r>
      <w:r w:rsidRPr="00A54361">
        <w:rPr>
          <w:rFonts w:eastAsia="Times New Roman" w:cstheme="minorHAnsi"/>
          <w:spacing w:val="3"/>
        </w:rPr>
        <w:t>p</w:t>
      </w:r>
      <w:r w:rsidRPr="00A54361">
        <w:rPr>
          <w:rFonts w:eastAsia="Times New Roman" w:cstheme="minorHAnsi"/>
          <w:spacing w:val="-1"/>
        </w:rPr>
        <w:t>ec</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spacing w:val="2"/>
        </w:rPr>
        <w:t>o</w:t>
      </w:r>
      <w:r w:rsidRPr="00A54361">
        <w:rPr>
          <w:rFonts w:eastAsia="Times New Roman" w:cstheme="minorHAnsi"/>
        </w:rPr>
        <w:t xml:space="preserve">n of </w:t>
      </w:r>
      <w:r w:rsidRPr="00A54361">
        <w:rPr>
          <w:rFonts w:eastAsia="Times New Roman" w:cstheme="minorHAnsi"/>
          <w:spacing w:val="-1"/>
        </w:rPr>
        <w:t>d</w:t>
      </w:r>
      <w:r w:rsidRPr="00A54361">
        <w:rPr>
          <w:rFonts w:eastAsia="Times New Roman" w:cstheme="minorHAnsi"/>
        </w:rPr>
        <w:t>o</w:t>
      </w:r>
      <w:r w:rsidRPr="00A54361">
        <w:rPr>
          <w:rFonts w:eastAsia="Times New Roman" w:cstheme="minorHAnsi"/>
          <w:spacing w:val="-1"/>
        </w:rPr>
        <w:t>c</w:t>
      </w:r>
      <w:r w:rsidRPr="00A54361">
        <w:rPr>
          <w:rFonts w:eastAsia="Times New Roman" w:cstheme="minorHAnsi"/>
        </w:rPr>
        <w:t>uments m</w:t>
      </w:r>
      <w:r w:rsidRPr="00A54361">
        <w:rPr>
          <w:rFonts w:eastAsia="Times New Roman" w:cstheme="minorHAnsi"/>
          <w:spacing w:val="4"/>
        </w:rPr>
        <w:t>a</w:t>
      </w:r>
      <w:r w:rsidRPr="00A54361">
        <w:rPr>
          <w:rFonts w:eastAsia="Times New Roman" w:cstheme="minorHAnsi"/>
        </w:rPr>
        <w:t>y</w:t>
      </w:r>
      <w:r w:rsidRPr="00A54361">
        <w:rPr>
          <w:rFonts w:eastAsia="Times New Roman" w:cstheme="minorHAnsi"/>
          <w:spacing w:val="-5"/>
        </w:rPr>
        <w:t xml:space="preserve"> </w:t>
      </w:r>
      <w:r w:rsidRPr="00A54361">
        <w:rPr>
          <w:rFonts w:eastAsia="Times New Roman" w:cstheme="minorHAnsi"/>
        </w:rPr>
        <w:t>be</w:t>
      </w:r>
      <w:r w:rsidRPr="00A54361">
        <w:rPr>
          <w:rFonts w:eastAsia="Times New Roman" w:cstheme="minorHAnsi"/>
          <w:spacing w:val="-1"/>
        </w:rPr>
        <w:t xml:space="preserve"> </w:t>
      </w:r>
      <w:r w:rsidRPr="00A54361">
        <w:rPr>
          <w:rFonts w:eastAsia="Times New Roman" w:cstheme="minorHAnsi"/>
          <w:spacing w:val="2"/>
        </w:rPr>
        <w:t>p</w:t>
      </w:r>
      <w:r w:rsidRPr="00A54361">
        <w:rPr>
          <w:rFonts w:eastAsia="Times New Roman" w:cstheme="minorHAnsi"/>
        </w:rPr>
        <w:t>rovid</w:t>
      </w:r>
      <w:r w:rsidRPr="00A54361">
        <w:rPr>
          <w:rFonts w:eastAsia="Times New Roman" w:cstheme="minorHAnsi"/>
          <w:spacing w:val="-1"/>
        </w:rPr>
        <w:t>e</w:t>
      </w:r>
      <w:r w:rsidRPr="00A54361">
        <w:rPr>
          <w:rFonts w:eastAsia="Times New Roman" w:cstheme="minorHAnsi"/>
        </w:rPr>
        <w:t>d.</w:t>
      </w:r>
    </w:p>
    <w:p w14:paraId="2A5DF148" w14:textId="77777777" w:rsidR="0054549F" w:rsidRPr="00A54361" w:rsidRDefault="0054549F" w:rsidP="00A54361">
      <w:pPr>
        <w:ind w:left="100" w:right="1059"/>
        <w:jc w:val="both"/>
        <w:rPr>
          <w:rFonts w:cstheme="minorHAnsi"/>
        </w:rPr>
      </w:pPr>
      <w:r w:rsidRPr="00A54361">
        <w:rPr>
          <w:rFonts w:eastAsia="Times New Roman" w:cstheme="minorHAnsi"/>
        </w:rPr>
        <w:t>9.3 The</w:t>
      </w:r>
      <w:r w:rsidRPr="00A54361">
        <w:rPr>
          <w:rFonts w:eastAsia="Times New Roman" w:cstheme="minorHAnsi"/>
          <w:spacing w:val="-1"/>
        </w:rPr>
        <w:t xml:space="preserve"> </w:t>
      </w:r>
      <w:r w:rsidRPr="00A54361">
        <w:rPr>
          <w:rFonts w:eastAsia="Times New Roman" w:cstheme="minorHAnsi"/>
        </w:rPr>
        <w:t>Compet</w:t>
      </w:r>
      <w:r w:rsidRPr="00A54361">
        <w:rPr>
          <w:rFonts w:eastAsia="Times New Roman" w:cstheme="minorHAnsi"/>
          <w:spacing w:val="-1"/>
        </w:rPr>
        <w:t>e</w:t>
      </w:r>
      <w:r w:rsidRPr="00A54361">
        <w:rPr>
          <w:rFonts w:eastAsia="Times New Roman" w:cstheme="minorHAnsi"/>
        </w:rPr>
        <w:t>nt Authori</w:t>
      </w:r>
      <w:r w:rsidRPr="00A54361">
        <w:rPr>
          <w:rFonts w:eastAsia="Times New Roman" w:cstheme="minorHAnsi"/>
          <w:spacing w:val="3"/>
        </w:rPr>
        <w:t>t</w:t>
      </w:r>
      <w:r w:rsidRPr="00A54361">
        <w:rPr>
          <w:rFonts w:eastAsia="Times New Roman" w:cstheme="minorHAnsi"/>
        </w:rPr>
        <w:t>y</w:t>
      </w:r>
      <w:r w:rsidRPr="00A54361">
        <w:rPr>
          <w:rFonts w:eastAsia="Times New Roman" w:cstheme="minorHAnsi"/>
          <w:spacing w:val="-5"/>
        </w:rPr>
        <w:t xml:space="preserve"> </w:t>
      </w:r>
      <w:r w:rsidRPr="00A54361">
        <w:rPr>
          <w:rFonts w:eastAsia="Times New Roman" w:cstheme="minorHAnsi"/>
        </w:rPr>
        <w:t>m</w:t>
      </w:r>
      <w:r w:rsidRPr="00A54361">
        <w:rPr>
          <w:rFonts w:eastAsia="Times New Roman" w:cstheme="minorHAnsi"/>
          <w:spacing w:val="4"/>
        </w:rPr>
        <w:t>a</w:t>
      </w:r>
      <w:r w:rsidRPr="00A54361">
        <w:rPr>
          <w:rFonts w:eastAsia="Times New Roman" w:cstheme="minorHAnsi"/>
        </w:rPr>
        <w:t>y</w:t>
      </w:r>
      <w:r w:rsidRPr="00A54361">
        <w:rPr>
          <w:rFonts w:eastAsia="Times New Roman" w:cstheme="minorHAnsi"/>
          <w:spacing w:val="-5"/>
        </w:rPr>
        <w:t xml:space="preserve"> </w:t>
      </w:r>
      <w:r w:rsidRPr="00A54361">
        <w:rPr>
          <w:rFonts w:eastAsia="Times New Roman" w:cstheme="minorHAnsi"/>
          <w:spacing w:val="-1"/>
        </w:rPr>
        <w:t>c</w:t>
      </w:r>
      <w:r w:rsidRPr="00A54361">
        <w:rPr>
          <w:rFonts w:eastAsia="Times New Roman" w:cstheme="minorHAnsi"/>
        </w:rPr>
        <w:t>onsi</w:t>
      </w:r>
      <w:r w:rsidRPr="00A54361">
        <w:rPr>
          <w:rFonts w:eastAsia="Times New Roman" w:cstheme="minorHAnsi"/>
          <w:spacing w:val="2"/>
        </w:rPr>
        <w:t>d</w:t>
      </w:r>
      <w:r w:rsidRPr="00A54361">
        <w:rPr>
          <w:rFonts w:eastAsia="Times New Roman" w:cstheme="minorHAnsi"/>
          <w:spacing w:val="-1"/>
        </w:rPr>
        <w:t>e</w:t>
      </w:r>
      <w:r w:rsidRPr="00A54361">
        <w:rPr>
          <w:rFonts w:eastAsia="Times New Roman" w:cstheme="minorHAnsi"/>
        </w:rPr>
        <w:t xml:space="preserve">r </w:t>
      </w:r>
      <w:r w:rsidRPr="00A54361">
        <w:rPr>
          <w:rFonts w:eastAsia="Times New Roman" w:cstheme="minorHAnsi"/>
          <w:spacing w:val="-2"/>
        </w:rPr>
        <w:t>a</w:t>
      </w:r>
      <w:r w:rsidRPr="00A54361">
        <w:rPr>
          <w:rFonts w:eastAsia="Times New Roman" w:cstheme="minorHAnsi"/>
        </w:rPr>
        <w:t xml:space="preserve">nd </w:t>
      </w:r>
      <w:r w:rsidRPr="00A54361">
        <w:rPr>
          <w:rFonts w:eastAsia="Times New Roman" w:cstheme="minorHAnsi"/>
          <w:spacing w:val="2"/>
        </w:rPr>
        <w:t>p</w:t>
      </w:r>
      <w:r w:rsidRPr="00A54361">
        <w:rPr>
          <w:rFonts w:eastAsia="Times New Roman" w:cstheme="minorHAnsi"/>
          <w:spacing w:val="-1"/>
        </w:rPr>
        <w:t>a</w:t>
      </w:r>
      <w:r w:rsidRPr="00A54361">
        <w:rPr>
          <w:rFonts w:eastAsia="Times New Roman" w:cstheme="minorHAnsi"/>
        </w:rPr>
        <w:t xml:space="preserve">ss an </w:t>
      </w:r>
      <w:r w:rsidRPr="00A54361">
        <w:rPr>
          <w:rFonts w:eastAsia="Times New Roman" w:cstheme="minorHAnsi"/>
          <w:spacing w:val="-1"/>
        </w:rPr>
        <w:t>a</w:t>
      </w:r>
      <w:r w:rsidRPr="00A54361">
        <w:rPr>
          <w:rFonts w:eastAsia="Times New Roman" w:cstheme="minorHAnsi"/>
        </w:rPr>
        <w:t>ppro</w:t>
      </w:r>
      <w:r w:rsidRPr="00A54361">
        <w:rPr>
          <w:rFonts w:eastAsia="Times New Roman" w:cstheme="minorHAnsi"/>
          <w:spacing w:val="1"/>
        </w:rPr>
        <w:t>p</w:t>
      </w:r>
      <w:r w:rsidRPr="00A54361">
        <w:rPr>
          <w:rFonts w:eastAsia="Times New Roman" w:cstheme="minorHAnsi"/>
        </w:rPr>
        <w:t>ri</w:t>
      </w:r>
      <w:r w:rsidRPr="00A54361">
        <w:rPr>
          <w:rFonts w:eastAsia="Times New Roman" w:cstheme="minorHAnsi"/>
          <w:spacing w:val="-1"/>
        </w:rPr>
        <w:t>a</w:t>
      </w:r>
      <w:r w:rsidRPr="00A54361">
        <w:rPr>
          <w:rFonts w:eastAsia="Times New Roman" w:cstheme="minorHAnsi"/>
        </w:rPr>
        <w:t>te sp</w:t>
      </w:r>
      <w:r w:rsidRPr="00A54361">
        <w:rPr>
          <w:rFonts w:eastAsia="Times New Roman" w:cstheme="minorHAnsi"/>
          <w:spacing w:val="1"/>
        </w:rPr>
        <w:t>e</w:t>
      </w:r>
      <w:r w:rsidRPr="00A54361">
        <w:rPr>
          <w:rFonts w:eastAsia="Times New Roman" w:cstheme="minorHAnsi"/>
          <w:spacing w:val="-1"/>
        </w:rPr>
        <w:t>a</w:t>
      </w:r>
      <w:r w:rsidRPr="00A54361">
        <w:rPr>
          <w:rFonts w:eastAsia="Times New Roman" w:cstheme="minorHAnsi"/>
        </w:rPr>
        <w:t>king</w:t>
      </w:r>
      <w:r w:rsidRPr="00A54361">
        <w:rPr>
          <w:rFonts w:eastAsia="Times New Roman" w:cstheme="minorHAnsi"/>
          <w:spacing w:val="-2"/>
        </w:rPr>
        <w:t xml:space="preserve"> o</w:t>
      </w:r>
      <w:r w:rsidRPr="00A54361">
        <w:rPr>
          <w:rFonts w:eastAsia="Times New Roman" w:cstheme="minorHAnsi"/>
        </w:rPr>
        <w:t>r</w:t>
      </w:r>
      <w:r w:rsidRPr="00A54361">
        <w:rPr>
          <w:rFonts w:eastAsia="Times New Roman" w:cstheme="minorHAnsi"/>
          <w:spacing w:val="1"/>
        </w:rPr>
        <w:t>d</w:t>
      </w:r>
      <w:r w:rsidRPr="00A54361">
        <w:rPr>
          <w:rFonts w:eastAsia="Times New Roman" w:cstheme="minorHAnsi"/>
          <w:spacing w:val="-1"/>
        </w:rPr>
        <w:t>e</w:t>
      </w:r>
      <w:r w:rsidRPr="00A54361">
        <w:rPr>
          <w:rFonts w:eastAsia="Times New Roman" w:cstheme="minorHAnsi"/>
        </w:rPr>
        <w:t>r:</w:t>
      </w:r>
    </w:p>
    <w:p w14:paraId="70FE1784" w14:textId="77777777" w:rsidR="0054549F" w:rsidRPr="00A54361" w:rsidRDefault="0054549F" w:rsidP="00A54361">
      <w:pPr>
        <w:ind w:left="100" w:right="2914"/>
        <w:jc w:val="both"/>
        <w:rPr>
          <w:rFonts w:cstheme="minorHAnsi"/>
        </w:rPr>
      </w:pPr>
      <w:r w:rsidRPr="00A54361">
        <w:rPr>
          <w:rFonts w:eastAsia="Times New Roman" w:cstheme="minorHAnsi"/>
          <w:spacing w:val="-1"/>
        </w:rPr>
        <w:t>a</w:t>
      </w:r>
      <w:r w:rsidRPr="00A54361">
        <w:rPr>
          <w:rFonts w:eastAsia="Times New Roman" w:cstheme="minorHAnsi"/>
        </w:rPr>
        <w:t xml:space="preserve">) </w:t>
      </w:r>
      <w:r w:rsidRPr="00A54361">
        <w:rPr>
          <w:rFonts w:eastAsia="Times New Roman" w:cstheme="minorHAnsi"/>
          <w:spacing w:val="-2"/>
        </w:rPr>
        <w:t>F</w:t>
      </w:r>
      <w:r w:rsidRPr="00A54361">
        <w:rPr>
          <w:rFonts w:eastAsia="Times New Roman" w:cstheme="minorHAnsi"/>
          <w:spacing w:val="2"/>
        </w:rPr>
        <w:t>o</w:t>
      </w:r>
      <w:r w:rsidRPr="00A54361">
        <w:rPr>
          <w:rFonts w:eastAsia="Times New Roman" w:cstheme="minorHAnsi"/>
        </w:rPr>
        <w:t xml:space="preserve">r </w:t>
      </w:r>
      <w:r w:rsidRPr="00A54361">
        <w:rPr>
          <w:rFonts w:eastAsia="Times New Roman" w:cstheme="minorHAnsi"/>
          <w:spacing w:val="-2"/>
        </w:rPr>
        <w:t>e</w:t>
      </w:r>
      <w:r w:rsidRPr="00A54361">
        <w:rPr>
          <w:rFonts w:eastAsia="Times New Roman" w:cstheme="minorHAnsi"/>
          <w:spacing w:val="2"/>
        </w:rPr>
        <w:t>x</w:t>
      </w:r>
      <w:r w:rsidRPr="00A54361">
        <w:rPr>
          <w:rFonts w:eastAsia="Times New Roman" w:cstheme="minorHAnsi"/>
        </w:rPr>
        <w:t>on</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2"/>
        </w:rPr>
        <w:t>a</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spacing w:val="2"/>
        </w:rPr>
        <w:t>n</w:t>
      </w:r>
      <w:r w:rsidRPr="00A54361">
        <w:rPr>
          <w:rFonts w:eastAsia="Times New Roman" w:cstheme="minorHAnsi"/>
        </w:rPr>
        <w:t>g</w:t>
      </w:r>
      <w:r w:rsidRPr="00A54361">
        <w:rPr>
          <w:rFonts w:eastAsia="Times New Roman" w:cstheme="minorHAnsi"/>
          <w:spacing w:val="-2"/>
        </w:rPr>
        <w:t xml:space="preserve"> </w:t>
      </w:r>
      <w:r w:rsidRPr="00A54361">
        <w:rPr>
          <w:rFonts w:eastAsia="Times New Roman" w:cstheme="minorHAnsi"/>
        </w:rPr>
        <w:t xml:space="preserve">the </w:t>
      </w:r>
      <w:r w:rsidRPr="00A54361">
        <w:rPr>
          <w:rFonts w:eastAsia="Times New Roman" w:cstheme="minorHAnsi"/>
          <w:spacing w:val="1"/>
        </w:rPr>
        <w:t>A</w:t>
      </w:r>
      <w:r w:rsidRPr="00A54361">
        <w:rPr>
          <w:rFonts w:eastAsia="Times New Roman" w:cstheme="minorHAnsi"/>
          <w:spacing w:val="-2"/>
        </w:rPr>
        <w:t>g</w:t>
      </w:r>
      <w:r w:rsidRPr="00A54361">
        <w:rPr>
          <w:rFonts w:eastAsia="Times New Roman" w:cstheme="minorHAnsi"/>
          <w:spacing w:val="-1"/>
        </w:rPr>
        <w:t>e</w:t>
      </w:r>
      <w:r w:rsidRPr="00A54361">
        <w:rPr>
          <w:rFonts w:eastAsia="Times New Roman" w:cstheme="minorHAnsi"/>
          <w:spacing w:val="2"/>
        </w:rPr>
        <w:t>n</w:t>
      </w:r>
      <w:r w:rsidRPr="00A54361">
        <w:rPr>
          <w:rFonts w:eastAsia="Times New Roman" w:cstheme="minorHAnsi"/>
          <w:spacing w:val="4"/>
        </w:rPr>
        <w:t>c</w:t>
      </w:r>
      <w:r w:rsidRPr="00A54361">
        <w:rPr>
          <w:rFonts w:eastAsia="Times New Roman" w:cstheme="minorHAnsi"/>
        </w:rPr>
        <w:t>y</w:t>
      </w:r>
      <w:r w:rsidRPr="00A54361">
        <w:rPr>
          <w:rFonts w:eastAsia="Times New Roman" w:cstheme="minorHAnsi"/>
          <w:spacing w:val="-5"/>
        </w:rPr>
        <w:t xml:space="preserve"> </w:t>
      </w:r>
      <w:r w:rsidRPr="00A54361">
        <w:rPr>
          <w:rFonts w:eastAsia="Times New Roman" w:cstheme="minorHAnsi"/>
        </w:rPr>
        <w:t>if the</w:t>
      </w:r>
      <w:r w:rsidRPr="00A54361">
        <w:rPr>
          <w:rFonts w:eastAsia="Times New Roman" w:cstheme="minorHAnsi"/>
          <w:spacing w:val="-1"/>
        </w:rPr>
        <w:t xml:space="preserve"> c</w:t>
      </w:r>
      <w:r w:rsidRPr="00A54361">
        <w:rPr>
          <w:rFonts w:eastAsia="Times New Roman" w:cstheme="minorHAnsi"/>
          <w:spacing w:val="2"/>
        </w:rPr>
        <w:t>h</w:t>
      </w:r>
      <w:r w:rsidRPr="00A54361">
        <w:rPr>
          <w:rFonts w:eastAsia="Times New Roman" w:cstheme="minorHAnsi"/>
          <w:spacing w:val="-1"/>
        </w:rPr>
        <w:t>a</w:t>
      </w:r>
      <w:r w:rsidRPr="00A54361">
        <w:rPr>
          <w:rFonts w:eastAsia="Times New Roman" w:cstheme="minorHAnsi"/>
          <w:spacing w:val="1"/>
        </w:rPr>
        <w:t>r</w:t>
      </w:r>
      <w:r w:rsidRPr="00A54361">
        <w:rPr>
          <w:rFonts w:eastAsia="Times New Roman" w:cstheme="minorHAnsi"/>
        </w:rPr>
        <w:t>g</w:t>
      </w:r>
      <w:r w:rsidRPr="00A54361">
        <w:rPr>
          <w:rFonts w:eastAsia="Times New Roman" w:cstheme="minorHAnsi"/>
          <w:spacing w:val="-1"/>
        </w:rPr>
        <w:t>e</w:t>
      </w:r>
      <w:r w:rsidRPr="00A54361">
        <w:rPr>
          <w:rFonts w:eastAsia="Times New Roman" w:cstheme="minorHAnsi"/>
        </w:rPr>
        <w:t xml:space="preserve">s </w:t>
      </w:r>
      <w:r w:rsidRPr="00A54361">
        <w:rPr>
          <w:rFonts w:eastAsia="Times New Roman" w:cstheme="minorHAnsi"/>
          <w:spacing w:val="-1"/>
        </w:rPr>
        <w:t>a</w:t>
      </w:r>
      <w:r w:rsidRPr="00A54361">
        <w:rPr>
          <w:rFonts w:eastAsia="Times New Roman" w:cstheme="minorHAnsi"/>
          <w:spacing w:val="1"/>
        </w:rPr>
        <w:t>r</w:t>
      </w:r>
      <w:r w:rsidRPr="00A54361">
        <w:rPr>
          <w:rFonts w:eastAsia="Times New Roman" w:cstheme="minorHAnsi"/>
        </w:rPr>
        <w:t>e</w:t>
      </w:r>
      <w:r w:rsidRPr="00A54361">
        <w:rPr>
          <w:rFonts w:eastAsia="Times New Roman" w:cstheme="minorHAnsi"/>
          <w:spacing w:val="1"/>
        </w:rPr>
        <w:t xml:space="preserve"> </w:t>
      </w:r>
      <w:r w:rsidRPr="00A54361">
        <w:rPr>
          <w:rFonts w:eastAsia="Times New Roman" w:cstheme="minorHAnsi"/>
        </w:rPr>
        <w:t>not est</w:t>
      </w:r>
      <w:r w:rsidRPr="00A54361">
        <w:rPr>
          <w:rFonts w:eastAsia="Times New Roman" w:cstheme="minorHAnsi"/>
          <w:spacing w:val="-1"/>
        </w:rPr>
        <w:t>a</w:t>
      </w:r>
      <w:r w:rsidRPr="00A54361">
        <w:rPr>
          <w:rFonts w:eastAsia="Times New Roman" w:cstheme="minorHAnsi"/>
        </w:rPr>
        <w:t>bl</w:t>
      </w:r>
      <w:r w:rsidRPr="00A54361">
        <w:rPr>
          <w:rFonts w:eastAsia="Times New Roman" w:cstheme="minorHAnsi"/>
          <w:spacing w:val="1"/>
        </w:rPr>
        <w:t>i</w:t>
      </w:r>
      <w:r w:rsidRPr="00A54361">
        <w:rPr>
          <w:rFonts w:eastAsia="Times New Roman" w:cstheme="minorHAnsi"/>
        </w:rPr>
        <w:t>sh</w:t>
      </w:r>
      <w:r w:rsidRPr="00A54361">
        <w:rPr>
          <w:rFonts w:eastAsia="Times New Roman" w:cstheme="minorHAnsi"/>
          <w:spacing w:val="-1"/>
        </w:rPr>
        <w:t>e</w:t>
      </w:r>
      <w:r w:rsidRPr="00A54361">
        <w:rPr>
          <w:rFonts w:eastAsia="Times New Roman" w:cstheme="minorHAnsi"/>
        </w:rPr>
        <w:t>d;</w:t>
      </w:r>
    </w:p>
    <w:p w14:paraId="5ED92447" w14:textId="77777777" w:rsidR="0054549F" w:rsidRPr="00A54361" w:rsidRDefault="0054549F" w:rsidP="00A54361">
      <w:pPr>
        <w:ind w:left="100" w:right="1278"/>
        <w:jc w:val="both"/>
        <w:rPr>
          <w:rFonts w:cstheme="minorHAnsi"/>
        </w:rPr>
      </w:pPr>
      <w:r w:rsidRPr="00A54361">
        <w:rPr>
          <w:rFonts w:eastAsia="Times New Roman" w:cstheme="minorHAnsi"/>
        </w:rPr>
        <w:t xml:space="preserve">b) </w:t>
      </w:r>
      <w:r w:rsidRPr="00A54361">
        <w:rPr>
          <w:rFonts w:eastAsia="Times New Roman" w:cstheme="minorHAnsi"/>
          <w:spacing w:val="-2"/>
        </w:rPr>
        <w:t>F</w:t>
      </w:r>
      <w:r w:rsidRPr="00A54361">
        <w:rPr>
          <w:rFonts w:eastAsia="Times New Roman" w:cstheme="minorHAnsi"/>
        </w:rPr>
        <w:t>or</w:t>
      </w:r>
      <w:r w:rsidRPr="00A54361">
        <w:rPr>
          <w:rFonts w:eastAsia="Times New Roman" w:cstheme="minorHAnsi"/>
          <w:spacing w:val="1"/>
        </w:rPr>
        <w:t xml:space="preserve"> </w:t>
      </w:r>
      <w:r w:rsidRPr="00A54361">
        <w:rPr>
          <w:rFonts w:eastAsia="Times New Roman" w:cstheme="minorHAnsi"/>
        </w:rPr>
        <w:t>r</w:t>
      </w:r>
      <w:r w:rsidRPr="00A54361">
        <w:rPr>
          <w:rFonts w:eastAsia="Times New Roman" w:cstheme="minorHAnsi"/>
          <w:spacing w:val="-2"/>
        </w:rPr>
        <w:t>e</w:t>
      </w:r>
      <w:r w:rsidRPr="00A54361">
        <w:rPr>
          <w:rFonts w:eastAsia="Times New Roman" w:cstheme="minorHAnsi"/>
        </w:rPr>
        <w:t>mov</w:t>
      </w:r>
      <w:r w:rsidRPr="00A54361">
        <w:rPr>
          <w:rFonts w:eastAsia="Times New Roman" w:cstheme="minorHAnsi"/>
          <w:spacing w:val="1"/>
        </w:rPr>
        <w:t>i</w:t>
      </w:r>
      <w:r w:rsidRPr="00A54361">
        <w:rPr>
          <w:rFonts w:eastAsia="Times New Roman" w:cstheme="minorHAnsi"/>
          <w:spacing w:val="2"/>
        </w:rPr>
        <w:t>n</w:t>
      </w:r>
      <w:r w:rsidRPr="00A54361">
        <w:rPr>
          <w:rFonts w:eastAsia="Times New Roman" w:cstheme="minorHAnsi"/>
        </w:rPr>
        <w:t>g</w:t>
      </w:r>
      <w:r w:rsidRPr="00A54361">
        <w:rPr>
          <w:rFonts w:eastAsia="Times New Roman" w:cstheme="minorHAnsi"/>
          <w:spacing w:val="-2"/>
        </w:rPr>
        <w:t xml:space="preserve"> </w:t>
      </w:r>
      <w:r w:rsidRPr="00A54361">
        <w:rPr>
          <w:rFonts w:eastAsia="Times New Roman" w:cstheme="minorHAnsi"/>
        </w:rPr>
        <w:t xml:space="preserve">the </w:t>
      </w:r>
      <w:r w:rsidRPr="00A54361">
        <w:rPr>
          <w:rFonts w:eastAsia="Times New Roman" w:cstheme="minorHAnsi"/>
          <w:spacing w:val="1"/>
        </w:rPr>
        <w:t>A</w:t>
      </w:r>
      <w:r w:rsidRPr="00A54361">
        <w:rPr>
          <w:rFonts w:eastAsia="Times New Roman" w:cstheme="minorHAnsi"/>
          <w:spacing w:val="-2"/>
        </w:rPr>
        <w:t>g</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1"/>
        </w:rPr>
        <w:t>c</w:t>
      </w:r>
      <w:r w:rsidRPr="00A54361">
        <w:rPr>
          <w:rFonts w:eastAsia="Times New Roman" w:cstheme="minorHAnsi"/>
        </w:rPr>
        <w:t>y</w:t>
      </w:r>
      <w:r w:rsidRPr="00A54361">
        <w:rPr>
          <w:rFonts w:eastAsia="Times New Roman" w:cstheme="minorHAnsi"/>
          <w:spacing w:val="-3"/>
        </w:rPr>
        <w:t xml:space="preserve"> </w:t>
      </w:r>
      <w:r w:rsidRPr="00A54361">
        <w:rPr>
          <w:rFonts w:eastAsia="Times New Roman" w:cstheme="minorHAnsi"/>
        </w:rPr>
        <w:t>f</w:t>
      </w:r>
      <w:r w:rsidRPr="00A54361">
        <w:rPr>
          <w:rFonts w:eastAsia="Times New Roman" w:cstheme="minorHAnsi"/>
          <w:spacing w:val="-1"/>
        </w:rPr>
        <w:t>r</w:t>
      </w:r>
      <w:r w:rsidRPr="00A54361">
        <w:rPr>
          <w:rFonts w:eastAsia="Times New Roman" w:cstheme="minorHAnsi"/>
        </w:rPr>
        <w:t xml:space="preserve">om </w:t>
      </w:r>
      <w:r w:rsidRPr="00A54361">
        <w:rPr>
          <w:rFonts w:eastAsia="Times New Roman" w:cstheme="minorHAnsi"/>
          <w:spacing w:val="1"/>
        </w:rPr>
        <w:t>t</w:t>
      </w:r>
      <w:r w:rsidRPr="00A54361">
        <w:rPr>
          <w:rFonts w:eastAsia="Times New Roman" w:cstheme="minorHAnsi"/>
        </w:rPr>
        <w:t>he</w:t>
      </w:r>
      <w:r w:rsidRPr="00A54361">
        <w:rPr>
          <w:rFonts w:eastAsia="Times New Roman" w:cstheme="minorHAnsi"/>
          <w:spacing w:val="-1"/>
        </w:rPr>
        <w:t xml:space="preserve"> </w:t>
      </w:r>
      <w:r w:rsidRPr="00A54361">
        <w:rPr>
          <w:rFonts w:eastAsia="Times New Roman" w:cstheme="minorHAnsi"/>
        </w:rPr>
        <w:t>l</w:t>
      </w:r>
      <w:r w:rsidRPr="00A54361">
        <w:rPr>
          <w:rFonts w:eastAsia="Times New Roman" w:cstheme="minorHAnsi"/>
          <w:spacing w:val="1"/>
        </w:rPr>
        <w:t>i</w:t>
      </w:r>
      <w:r w:rsidRPr="00A54361">
        <w:rPr>
          <w:rFonts w:eastAsia="Times New Roman" w:cstheme="minorHAnsi"/>
        </w:rPr>
        <w:t xml:space="preserve">st of </w:t>
      </w:r>
      <w:r w:rsidRPr="00A54361">
        <w:rPr>
          <w:rFonts w:eastAsia="Times New Roman" w:cstheme="minorHAnsi"/>
          <w:spacing w:val="-1"/>
        </w:rPr>
        <w:t>a</w:t>
      </w:r>
      <w:r w:rsidRPr="00A54361">
        <w:rPr>
          <w:rFonts w:eastAsia="Times New Roman" w:cstheme="minorHAnsi"/>
        </w:rPr>
        <w:t>ppr</w:t>
      </w:r>
      <w:r w:rsidRPr="00A54361">
        <w:rPr>
          <w:rFonts w:eastAsia="Times New Roman" w:cstheme="minorHAnsi"/>
          <w:spacing w:val="1"/>
        </w:rPr>
        <w:t>o</w:t>
      </w:r>
      <w:r w:rsidRPr="00A54361">
        <w:rPr>
          <w:rFonts w:eastAsia="Times New Roman" w:cstheme="minorHAnsi"/>
        </w:rPr>
        <w:t>v</w:t>
      </w:r>
      <w:r w:rsidRPr="00A54361">
        <w:rPr>
          <w:rFonts w:eastAsia="Times New Roman" w:cstheme="minorHAnsi"/>
          <w:spacing w:val="-1"/>
        </w:rPr>
        <w:t>e</w:t>
      </w:r>
      <w:r w:rsidRPr="00A54361">
        <w:rPr>
          <w:rFonts w:eastAsia="Times New Roman" w:cstheme="minorHAnsi"/>
        </w:rPr>
        <w:t xml:space="preserve">d </w:t>
      </w:r>
      <w:r w:rsidRPr="00A54361">
        <w:rPr>
          <w:rFonts w:eastAsia="Times New Roman" w:cstheme="minorHAnsi"/>
          <w:spacing w:val="1"/>
        </w:rPr>
        <w:t>S</w:t>
      </w:r>
      <w:r w:rsidRPr="00A54361">
        <w:rPr>
          <w:rFonts w:eastAsia="Times New Roman" w:cstheme="minorHAnsi"/>
        </w:rPr>
        <w:t>uppl</w:t>
      </w:r>
      <w:r w:rsidRPr="00A54361">
        <w:rPr>
          <w:rFonts w:eastAsia="Times New Roman" w:cstheme="minorHAnsi"/>
          <w:spacing w:val="1"/>
        </w:rPr>
        <w:t>i</w:t>
      </w:r>
      <w:r w:rsidRPr="00A54361">
        <w:rPr>
          <w:rFonts w:eastAsia="Times New Roman" w:cstheme="minorHAnsi"/>
          <w:spacing w:val="-1"/>
        </w:rPr>
        <w:t>e</w:t>
      </w:r>
      <w:r w:rsidRPr="00A54361">
        <w:rPr>
          <w:rFonts w:eastAsia="Times New Roman" w:cstheme="minorHAnsi"/>
        </w:rPr>
        <w:t>rs / Conta</w:t>
      </w:r>
      <w:r w:rsidRPr="00A54361">
        <w:rPr>
          <w:rFonts w:eastAsia="Times New Roman" w:cstheme="minorHAnsi"/>
          <w:spacing w:val="-1"/>
        </w:rPr>
        <w:t>c</w:t>
      </w:r>
      <w:r w:rsidRPr="00A54361">
        <w:rPr>
          <w:rFonts w:eastAsia="Times New Roman" w:cstheme="minorHAnsi"/>
        </w:rPr>
        <w:t xml:space="preserve">tors, </w:t>
      </w:r>
      <w:r w:rsidRPr="00A54361">
        <w:rPr>
          <w:rFonts w:eastAsia="Times New Roman" w:cstheme="minorHAnsi"/>
          <w:spacing w:val="-1"/>
        </w:rPr>
        <w:t>e</w:t>
      </w:r>
      <w:r w:rsidRPr="00A54361">
        <w:rPr>
          <w:rFonts w:eastAsia="Times New Roman" w:cstheme="minorHAnsi"/>
        </w:rPr>
        <w:t xml:space="preserve">tc. </w:t>
      </w:r>
      <w:r w:rsidRPr="00A54361">
        <w:rPr>
          <w:rFonts w:eastAsia="Times New Roman" w:cstheme="minorHAnsi"/>
          <w:spacing w:val="-1"/>
        </w:rPr>
        <w:t>c</w:t>
      </w:r>
      <w:r w:rsidRPr="00A54361">
        <w:rPr>
          <w:rFonts w:eastAsia="Times New Roman" w:cstheme="minorHAnsi"/>
        </w:rPr>
        <w:t xml:space="preserve">) </w:t>
      </w:r>
      <w:r w:rsidRPr="00A54361">
        <w:rPr>
          <w:rFonts w:eastAsia="Times New Roman" w:cstheme="minorHAnsi"/>
          <w:spacing w:val="-2"/>
        </w:rPr>
        <w:t>F</w:t>
      </w:r>
      <w:r w:rsidRPr="00A54361">
        <w:rPr>
          <w:rFonts w:eastAsia="Times New Roman" w:cstheme="minorHAnsi"/>
          <w:spacing w:val="2"/>
        </w:rPr>
        <w:t>o</w:t>
      </w:r>
      <w:r w:rsidRPr="00A54361">
        <w:rPr>
          <w:rFonts w:eastAsia="Times New Roman" w:cstheme="minorHAnsi"/>
        </w:rPr>
        <w:t>r b</w:t>
      </w:r>
      <w:r w:rsidRPr="00A54361">
        <w:rPr>
          <w:rFonts w:eastAsia="Times New Roman" w:cstheme="minorHAnsi"/>
          <w:spacing w:val="-2"/>
        </w:rPr>
        <w:t>a</w:t>
      </w:r>
      <w:r w:rsidRPr="00A54361">
        <w:rPr>
          <w:rFonts w:eastAsia="Times New Roman" w:cstheme="minorHAnsi"/>
        </w:rPr>
        <w:t>nni</w:t>
      </w:r>
      <w:r w:rsidRPr="00A54361">
        <w:rPr>
          <w:rFonts w:eastAsia="Times New Roman" w:cstheme="minorHAnsi"/>
          <w:spacing w:val="3"/>
        </w:rPr>
        <w:t>n</w:t>
      </w:r>
      <w:r w:rsidRPr="00A54361">
        <w:rPr>
          <w:rFonts w:eastAsia="Times New Roman" w:cstheme="minorHAnsi"/>
        </w:rPr>
        <w:t>g</w:t>
      </w:r>
      <w:r w:rsidRPr="00A54361">
        <w:rPr>
          <w:rFonts w:eastAsia="Times New Roman" w:cstheme="minorHAnsi"/>
          <w:spacing w:val="-2"/>
        </w:rPr>
        <w:t xml:space="preserve"> </w:t>
      </w:r>
      <w:r w:rsidRPr="00A54361">
        <w:rPr>
          <w:rFonts w:eastAsia="Times New Roman" w:cstheme="minorHAnsi"/>
        </w:rPr>
        <w:t>the busin</w:t>
      </w:r>
      <w:r w:rsidRPr="00A54361">
        <w:rPr>
          <w:rFonts w:eastAsia="Times New Roman" w:cstheme="minorHAnsi"/>
          <w:spacing w:val="1"/>
        </w:rPr>
        <w:t>e</w:t>
      </w:r>
      <w:r w:rsidRPr="00A54361">
        <w:rPr>
          <w:rFonts w:eastAsia="Times New Roman" w:cstheme="minorHAnsi"/>
        </w:rPr>
        <w:t>ss deal</w:t>
      </w:r>
      <w:r w:rsidRPr="00A54361">
        <w:rPr>
          <w:rFonts w:eastAsia="Times New Roman" w:cstheme="minorHAnsi"/>
          <w:spacing w:val="1"/>
        </w:rPr>
        <w:t>i</w:t>
      </w:r>
      <w:r w:rsidRPr="00A54361">
        <w:rPr>
          <w:rFonts w:eastAsia="Times New Roman" w:cstheme="minorHAnsi"/>
        </w:rPr>
        <w:t>ng</w:t>
      </w:r>
      <w:r w:rsidRPr="00A54361">
        <w:rPr>
          <w:rFonts w:eastAsia="Times New Roman" w:cstheme="minorHAnsi"/>
          <w:spacing w:val="-2"/>
        </w:rPr>
        <w:t xml:space="preserve"> </w:t>
      </w:r>
      <w:r w:rsidRPr="00A54361">
        <w:rPr>
          <w:rFonts w:eastAsia="Times New Roman" w:cstheme="minorHAnsi"/>
        </w:rPr>
        <w:t xml:space="preserve">with </w:t>
      </w:r>
      <w:r w:rsidRPr="00A54361">
        <w:rPr>
          <w:rFonts w:eastAsia="Times New Roman" w:cstheme="minorHAnsi"/>
          <w:spacing w:val="1"/>
        </w:rPr>
        <w:t>t</w:t>
      </w:r>
      <w:r w:rsidRPr="00A54361">
        <w:rPr>
          <w:rFonts w:eastAsia="Times New Roman" w:cstheme="minorHAnsi"/>
        </w:rPr>
        <w:t>he</w:t>
      </w:r>
      <w:r w:rsidRPr="00A54361">
        <w:rPr>
          <w:rFonts w:eastAsia="Times New Roman" w:cstheme="minorHAnsi"/>
          <w:spacing w:val="-1"/>
        </w:rPr>
        <w:t xml:space="preserve"> </w:t>
      </w:r>
      <w:r w:rsidRPr="00A54361">
        <w:rPr>
          <w:rFonts w:eastAsia="Times New Roman" w:cstheme="minorHAnsi"/>
          <w:spacing w:val="2"/>
        </w:rPr>
        <w:t>A</w:t>
      </w:r>
      <w:r w:rsidRPr="00A54361">
        <w:rPr>
          <w:rFonts w:eastAsia="Times New Roman" w:cstheme="minorHAnsi"/>
        </w:rPr>
        <w:t>g</w:t>
      </w:r>
      <w:r w:rsidRPr="00A54361">
        <w:rPr>
          <w:rFonts w:eastAsia="Times New Roman" w:cstheme="minorHAnsi"/>
          <w:spacing w:val="-1"/>
        </w:rPr>
        <w:t>e</w:t>
      </w:r>
      <w:r w:rsidRPr="00A54361">
        <w:rPr>
          <w:rFonts w:eastAsia="Times New Roman" w:cstheme="minorHAnsi"/>
          <w:spacing w:val="2"/>
        </w:rPr>
        <w:t>n</w:t>
      </w:r>
      <w:r w:rsidRPr="00A54361">
        <w:rPr>
          <w:rFonts w:eastAsia="Times New Roman" w:cstheme="minorHAnsi"/>
          <w:spacing w:val="1"/>
        </w:rPr>
        <w:t>c</w:t>
      </w:r>
      <w:r w:rsidRPr="00A54361">
        <w:rPr>
          <w:rFonts w:eastAsia="Times New Roman" w:cstheme="minorHAnsi"/>
          <w:spacing w:val="-5"/>
        </w:rPr>
        <w:t>y</w:t>
      </w:r>
      <w:r w:rsidRPr="00A54361">
        <w:rPr>
          <w:rFonts w:eastAsia="Times New Roman" w:cstheme="minorHAnsi"/>
        </w:rPr>
        <w:t>.</w:t>
      </w:r>
    </w:p>
    <w:p w14:paraId="4B51A56A" w14:textId="77777777" w:rsidR="0054549F" w:rsidRPr="00A54361" w:rsidRDefault="0054549F" w:rsidP="00A54361">
      <w:pPr>
        <w:ind w:left="100" w:right="75"/>
        <w:jc w:val="both"/>
        <w:rPr>
          <w:rFonts w:cstheme="minorHAnsi"/>
        </w:rPr>
      </w:pPr>
      <w:r w:rsidRPr="00A54361">
        <w:rPr>
          <w:rFonts w:eastAsia="Times New Roman" w:cstheme="minorHAnsi"/>
        </w:rPr>
        <w:t xml:space="preserve">9.4 </w:t>
      </w:r>
      <w:r w:rsidRPr="00A54361">
        <w:rPr>
          <w:rFonts w:eastAsia="Times New Roman" w:cstheme="minorHAnsi"/>
          <w:spacing w:val="-6"/>
        </w:rPr>
        <w:t>I</w:t>
      </w:r>
      <w:r w:rsidRPr="00A54361">
        <w:rPr>
          <w:rFonts w:eastAsia="Times New Roman" w:cstheme="minorHAnsi"/>
        </w:rPr>
        <w:t>f</w:t>
      </w:r>
      <w:r w:rsidRPr="00A54361">
        <w:rPr>
          <w:rFonts w:eastAsia="Times New Roman" w:cstheme="minorHAnsi"/>
          <w:spacing w:val="-3"/>
        </w:rPr>
        <w:t xml:space="preserve"> </w:t>
      </w:r>
      <w:r w:rsidRPr="00A54361">
        <w:rPr>
          <w:rFonts w:eastAsia="Times New Roman" w:cstheme="minorHAnsi"/>
        </w:rPr>
        <w:t>it</w:t>
      </w:r>
      <w:r w:rsidRPr="00A54361">
        <w:rPr>
          <w:rFonts w:eastAsia="Times New Roman" w:cstheme="minorHAnsi"/>
          <w:spacing w:val="-2"/>
        </w:rPr>
        <w:t xml:space="preserve"> </w:t>
      </w:r>
      <w:r w:rsidRPr="00A54361">
        <w:rPr>
          <w:rFonts w:eastAsia="Times New Roman" w:cstheme="minorHAnsi"/>
        </w:rPr>
        <w:t>d</w:t>
      </w:r>
      <w:r w:rsidRPr="00A54361">
        <w:rPr>
          <w:rFonts w:eastAsia="Times New Roman" w:cstheme="minorHAnsi"/>
          <w:spacing w:val="-1"/>
        </w:rPr>
        <w:t>ec</w:t>
      </w:r>
      <w:r w:rsidRPr="00A54361">
        <w:rPr>
          <w:rFonts w:eastAsia="Times New Roman" w:cstheme="minorHAnsi"/>
        </w:rPr>
        <w:t>ides</w:t>
      </w:r>
      <w:r w:rsidRPr="00A54361">
        <w:rPr>
          <w:rFonts w:eastAsia="Times New Roman" w:cstheme="minorHAnsi"/>
          <w:spacing w:val="-3"/>
        </w:rPr>
        <w:t xml:space="preserve"> </w:t>
      </w:r>
      <w:r w:rsidRPr="00A54361">
        <w:rPr>
          <w:rFonts w:eastAsia="Times New Roman" w:cstheme="minorHAnsi"/>
        </w:rPr>
        <w:t>to</w:t>
      </w:r>
      <w:r w:rsidRPr="00A54361">
        <w:rPr>
          <w:rFonts w:eastAsia="Times New Roman" w:cstheme="minorHAnsi"/>
          <w:spacing w:val="-2"/>
        </w:rPr>
        <w:t xml:space="preserve"> </w:t>
      </w:r>
      <w:r w:rsidRPr="00A54361">
        <w:rPr>
          <w:rFonts w:eastAsia="Times New Roman" w:cstheme="minorHAnsi"/>
        </w:rPr>
        <w:t>b</w:t>
      </w:r>
      <w:r w:rsidRPr="00A54361">
        <w:rPr>
          <w:rFonts w:eastAsia="Times New Roman" w:cstheme="minorHAnsi"/>
          <w:spacing w:val="-1"/>
        </w:rPr>
        <w:t>a</w:t>
      </w:r>
      <w:r w:rsidRPr="00A54361">
        <w:rPr>
          <w:rFonts w:eastAsia="Times New Roman" w:cstheme="minorHAnsi"/>
        </w:rPr>
        <w:t>n</w:t>
      </w:r>
      <w:r w:rsidRPr="00A54361">
        <w:rPr>
          <w:rFonts w:eastAsia="Times New Roman" w:cstheme="minorHAnsi"/>
          <w:spacing w:val="-2"/>
        </w:rPr>
        <w:t xml:space="preserve"> </w:t>
      </w:r>
      <w:r w:rsidRPr="00A54361">
        <w:rPr>
          <w:rFonts w:eastAsia="Times New Roman" w:cstheme="minorHAnsi"/>
        </w:rPr>
        <w:t>busin</w:t>
      </w:r>
      <w:r w:rsidRPr="00A54361">
        <w:rPr>
          <w:rFonts w:eastAsia="Times New Roman" w:cstheme="minorHAnsi"/>
          <w:spacing w:val="-1"/>
        </w:rPr>
        <w:t>e</w:t>
      </w:r>
      <w:r w:rsidRPr="00A54361">
        <w:rPr>
          <w:rFonts w:eastAsia="Times New Roman" w:cstheme="minorHAnsi"/>
        </w:rPr>
        <w:t>ss</w:t>
      </w:r>
      <w:r w:rsidRPr="00A54361">
        <w:rPr>
          <w:rFonts w:eastAsia="Times New Roman" w:cstheme="minorHAnsi"/>
          <w:spacing w:val="-2"/>
        </w:rPr>
        <w:t xml:space="preserve"> </w:t>
      </w:r>
      <w:r w:rsidRPr="00A54361">
        <w:rPr>
          <w:rFonts w:eastAsia="Times New Roman" w:cstheme="minorHAnsi"/>
        </w:rPr>
        <w:t>d</w:t>
      </w:r>
      <w:r w:rsidRPr="00A54361">
        <w:rPr>
          <w:rFonts w:eastAsia="Times New Roman" w:cstheme="minorHAnsi"/>
          <w:spacing w:val="-1"/>
        </w:rPr>
        <w:t>ea</w:t>
      </w:r>
      <w:r w:rsidRPr="00A54361">
        <w:rPr>
          <w:rFonts w:eastAsia="Times New Roman" w:cstheme="minorHAnsi"/>
        </w:rPr>
        <w:t>l</w:t>
      </w:r>
      <w:r w:rsidRPr="00A54361">
        <w:rPr>
          <w:rFonts w:eastAsia="Times New Roman" w:cstheme="minorHAnsi"/>
          <w:spacing w:val="1"/>
        </w:rPr>
        <w:t>i</w:t>
      </w:r>
      <w:r w:rsidRPr="00A54361">
        <w:rPr>
          <w:rFonts w:eastAsia="Times New Roman" w:cstheme="minorHAnsi"/>
        </w:rPr>
        <w:t>n</w:t>
      </w:r>
      <w:r w:rsidRPr="00A54361">
        <w:rPr>
          <w:rFonts w:eastAsia="Times New Roman" w:cstheme="minorHAnsi"/>
          <w:spacing w:val="-2"/>
        </w:rPr>
        <w:t>g</w:t>
      </w:r>
      <w:r w:rsidRPr="00A54361">
        <w:rPr>
          <w:rFonts w:eastAsia="Times New Roman" w:cstheme="minorHAnsi"/>
        </w:rPr>
        <w:t>s,</w:t>
      </w:r>
      <w:r w:rsidRPr="00A54361">
        <w:rPr>
          <w:rFonts w:eastAsia="Times New Roman" w:cstheme="minorHAnsi"/>
          <w:spacing w:val="-2"/>
        </w:rPr>
        <w:t xml:space="preserve"> </w:t>
      </w:r>
      <w:r w:rsidRPr="00A54361">
        <w:rPr>
          <w:rFonts w:eastAsia="Times New Roman" w:cstheme="minorHAnsi"/>
        </w:rPr>
        <w:t>the</w:t>
      </w:r>
      <w:r w:rsidRPr="00A54361">
        <w:rPr>
          <w:rFonts w:eastAsia="Times New Roman" w:cstheme="minorHAnsi"/>
          <w:spacing w:val="-3"/>
        </w:rPr>
        <w:t xml:space="preserve"> </w:t>
      </w:r>
      <w:r w:rsidRPr="00A54361">
        <w:rPr>
          <w:rFonts w:eastAsia="Times New Roman" w:cstheme="minorHAnsi"/>
        </w:rPr>
        <w:t>p</w:t>
      </w:r>
      <w:r w:rsidRPr="00A54361">
        <w:rPr>
          <w:rFonts w:eastAsia="Times New Roman" w:cstheme="minorHAnsi"/>
          <w:spacing w:val="-1"/>
        </w:rPr>
        <w:t>e</w:t>
      </w:r>
      <w:r w:rsidRPr="00A54361">
        <w:rPr>
          <w:rFonts w:eastAsia="Times New Roman" w:cstheme="minorHAnsi"/>
        </w:rPr>
        <w:t>ri</w:t>
      </w:r>
      <w:r w:rsidRPr="00A54361">
        <w:rPr>
          <w:rFonts w:eastAsia="Times New Roman" w:cstheme="minorHAnsi"/>
          <w:spacing w:val="2"/>
        </w:rPr>
        <w:t>o</w:t>
      </w:r>
      <w:r w:rsidRPr="00A54361">
        <w:rPr>
          <w:rFonts w:eastAsia="Times New Roman" w:cstheme="minorHAnsi"/>
        </w:rPr>
        <w:t>d</w:t>
      </w:r>
      <w:r w:rsidRPr="00A54361">
        <w:rPr>
          <w:rFonts w:eastAsia="Times New Roman" w:cstheme="minorHAnsi"/>
          <w:spacing w:val="-2"/>
        </w:rPr>
        <w:t xml:space="preserve"> </w:t>
      </w:r>
      <w:r w:rsidRPr="00A54361">
        <w:rPr>
          <w:rFonts w:eastAsia="Times New Roman" w:cstheme="minorHAnsi"/>
        </w:rPr>
        <w:t>for</w:t>
      </w:r>
      <w:r w:rsidRPr="00A54361">
        <w:rPr>
          <w:rFonts w:eastAsia="Times New Roman" w:cstheme="minorHAnsi"/>
          <w:spacing w:val="-4"/>
        </w:rPr>
        <w:t xml:space="preserve"> </w:t>
      </w:r>
      <w:r w:rsidRPr="00A54361">
        <w:rPr>
          <w:rFonts w:eastAsia="Times New Roman" w:cstheme="minorHAnsi"/>
        </w:rPr>
        <w:t>whi</w:t>
      </w:r>
      <w:r w:rsidRPr="00A54361">
        <w:rPr>
          <w:rFonts w:eastAsia="Times New Roman" w:cstheme="minorHAnsi"/>
          <w:spacing w:val="-1"/>
        </w:rPr>
        <w:t>c</w:t>
      </w:r>
      <w:r w:rsidRPr="00A54361">
        <w:rPr>
          <w:rFonts w:eastAsia="Times New Roman" w:cstheme="minorHAnsi"/>
        </w:rPr>
        <w:t>h</w:t>
      </w:r>
      <w:r w:rsidRPr="00A54361">
        <w:rPr>
          <w:rFonts w:eastAsia="Times New Roman" w:cstheme="minorHAnsi"/>
          <w:spacing w:val="-2"/>
        </w:rPr>
        <w:t xml:space="preserve"> </w:t>
      </w:r>
      <w:r w:rsidRPr="00A54361">
        <w:rPr>
          <w:rFonts w:eastAsia="Times New Roman" w:cstheme="minorHAnsi"/>
        </w:rPr>
        <w:t>the</w:t>
      </w:r>
      <w:r w:rsidRPr="00A54361">
        <w:rPr>
          <w:rFonts w:eastAsia="Times New Roman" w:cstheme="minorHAnsi"/>
          <w:spacing w:val="-3"/>
        </w:rPr>
        <w:t xml:space="preserve"> </w:t>
      </w:r>
      <w:r w:rsidRPr="00A54361">
        <w:rPr>
          <w:rFonts w:eastAsia="Times New Roman" w:cstheme="minorHAnsi"/>
        </w:rPr>
        <w:t>b</w:t>
      </w:r>
      <w:r w:rsidRPr="00A54361">
        <w:rPr>
          <w:rFonts w:eastAsia="Times New Roman" w:cstheme="minorHAnsi"/>
          <w:spacing w:val="-1"/>
        </w:rPr>
        <w:t>a</w:t>
      </w:r>
      <w:r w:rsidRPr="00A54361">
        <w:rPr>
          <w:rFonts w:eastAsia="Times New Roman" w:cstheme="minorHAnsi"/>
        </w:rPr>
        <w:t>n</w:t>
      </w:r>
      <w:r w:rsidRPr="00A54361">
        <w:rPr>
          <w:rFonts w:eastAsia="Times New Roman" w:cstheme="minorHAnsi"/>
          <w:spacing w:val="-2"/>
        </w:rPr>
        <w:t xml:space="preserve"> </w:t>
      </w:r>
      <w:r w:rsidRPr="00A54361">
        <w:rPr>
          <w:rFonts w:eastAsia="Times New Roman" w:cstheme="minorHAnsi"/>
        </w:rPr>
        <w:t>would</w:t>
      </w:r>
      <w:r w:rsidRPr="00A54361">
        <w:rPr>
          <w:rFonts w:eastAsia="Times New Roman" w:cstheme="minorHAnsi"/>
          <w:spacing w:val="-2"/>
        </w:rPr>
        <w:t xml:space="preserve"> </w:t>
      </w:r>
      <w:r w:rsidRPr="00A54361">
        <w:rPr>
          <w:rFonts w:eastAsia="Times New Roman" w:cstheme="minorHAnsi"/>
        </w:rPr>
        <w:t>be</w:t>
      </w:r>
      <w:r w:rsidRPr="00A54361">
        <w:rPr>
          <w:rFonts w:eastAsia="Times New Roman" w:cstheme="minorHAnsi"/>
          <w:spacing w:val="-3"/>
        </w:rPr>
        <w:t xml:space="preserve"> </w:t>
      </w:r>
      <w:r w:rsidRPr="00A54361">
        <w:rPr>
          <w:rFonts w:eastAsia="Times New Roman" w:cstheme="minorHAnsi"/>
        </w:rPr>
        <w:t>op</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2"/>
        </w:rPr>
        <w:t>a</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ve</w:t>
      </w:r>
      <w:r w:rsidRPr="00A54361">
        <w:rPr>
          <w:rFonts w:eastAsia="Times New Roman" w:cstheme="minorHAnsi"/>
          <w:spacing w:val="-3"/>
        </w:rPr>
        <w:t xml:space="preserve"> </w:t>
      </w:r>
      <w:r w:rsidRPr="00A54361">
        <w:rPr>
          <w:rFonts w:eastAsia="Times New Roman" w:cstheme="minorHAnsi"/>
        </w:rPr>
        <w:t>m</w:t>
      </w:r>
      <w:r w:rsidRPr="00A54361">
        <w:rPr>
          <w:rFonts w:eastAsia="Times New Roman" w:cstheme="minorHAnsi"/>
          <w:spacing w:val="2"/>
        </w:rPr>
        <w:t>a</w:t>
      </w:r>
      <w:r w:rsidRPr="00A54361">
        <w:rPr>
          <w:rFonts w:eastAsia="Times New Roman" w:cstheme="minorHAnsi"/>
        </w:rPr>
        <w:t>y be</w:t>
      </w:r>
      <w:r w:rsidRPr="00A54361">
        <w:rPr>
          <w:rFonts w:eastAsia="Times New Roman" w:cstheme="minorHAnsi"/>
          <w:spacing w:val="3"/>
        </w:rPr>
        <w:t xml:space="preserve"> </w:t>
      </w:r>
      <w:r w:rsidRPr="00A54361">
        <w:rPr>
          <w:rFonts w:eastAsia="Times New Roman" w:cstheme="minorHAnsi"/>
        </w:rPr>
        <w:t>mentioned.</w:t>
      </w:r>
      <w:r w:rsidRPr="00A54361">
        <w:rPr>
          <w:rFonts w:eastAsia="Times New Roman" w:cstheme="minorHAnsi"/>
          <w:spacing w:val="4"/>
        </w:rPr>
        <w:t xml:space="preserve"> </w:t>
      </w:r>
      <w:r w:rsidRPr="00A54361">
        <w:rPr>
          <w:rFonts w:eastAsia="Times New Roman" w:cstheme="minorHAnsi"/>
        </w:rPr>
        <w:t>The</w:t>
      </w:r>
      <w:r w:rsidRPr="00A54361">
        <w:rPr>
          <w:rFonts w:eastAsia="Times New Roman" w:cstheme="minorHAnsi"/>
          <w:spacing w:val="3"/>
        </w:rPr>
        <w:t xml:space="preserve"> </w:t>
      </w:r>
      <w:r w:rsidRPr="00A54361">
        <w:rPr>
          <w:rFonts w:eastAsia="Times New Roman" w:cstheme="minorHAnsi"/>
        </w:rPr>
        <w:t>ord</w:t>
      </w:r>
      <w:r w:rsidRPr="00A54361">
        <w:rPr>
          <w:rFonts w:eastAsia="Times New Roman" w:cstheme="minorHAnsi"/>
          <w:spacing w:val="-2"/>
        </w:rPr>
        <w:t>e</w:t>
      </w:r>
      <w:r w:rsidRPr="00A54361">
        <w:rPr>
          <w:rFonts w:eastAsia="Times New Roman" w:cstheme="minorHAnsi"/>
        </w:rPr>
        <w:t>r</w:t>
      </w:r>
      <w:r w:rsidRPr="00A54361">
        <w:rPr>
          <w:rFonts w:eastAsia="Times New Roman" w:cstheme="minorHAnsi"/>
          <w:spacing w:val="6"/>
        </w:rPr>
        <w:t xml:space="preserve"> </w:t>
      </w:r>
      <w:r w:rsidRPr="00A54361">
        <w:rPr>
          <w:rFonts w:eastAsia="Times New Roman" w:cstheme="minorHAnsi"/>
        </w:rPr>
        <w:t>m</w:t>
      </w:r>
      <w:r w:rsidRPr="00A54361">
        <w:rPr>
          <w:rFonts w:eastAsia="Times New Roman" w:cstheme="minorHAnsi"/>
          <w:spacing w:val="2"/>
        </w:rPr>
        <w:t>a</w:t>
      </w:r>
      <w:r w:rsidRPr="00A54361">
        <w:rPr>
          <w:rFonts w:eastAsia="Times New Roman" w:cstheme="minorHAnsi"/>
        </w:rPr>
        <w:t xml:space="preserve">y </w:t>
      </w:r>
      <w:r w:rsidRPr="00A54361">
        <w:rPr>
          <w:rFonts w:eastAsia="Times New Roman" w:cstheme="minorHAnsi"/>
          <w:spacing w:val="-1"/>
        </w:rPr>
        <w:t>a</w:t>
      </w:r>
      <w:r w:rsidRPr="00A54361">
        <w:rPr>
          <w:rFonts w:eastAsia="Times New Roman" w:cstheme="minorHAnsi"/>
        </w:rPr>
        <w:t>lso</w:t>
      </w:r>
      <w:r w:rsidRPr="00A54361">
        <w:rPr>
          <w:rFonts w:eastAsia="Times New Roman" w:cstheme="minorHAnsi"/>
          <w:spacing w:val="5"/>
        </w:rPr>
        <w:t xml:space="preserve"> </w:t>
      </w:r>
      <w:r w:rsidRPr="00A54361">
        <w:rPr>
          <w:rFonts w:eastAsia="Times New Roman" w:cstheme="minorHAnsi"/>
        </w:rPr>
        <w:t>mention</w:t>
      </w:r>
      <w:r w:rsidRPr="00A54361">
        <w:rPr>
          <w:rFonts w:eastAsia="Times New Roman" w:cstheme="minorHAnsi"/>
          <w:spacing w:val="5"/>
        </w:rPr>
        <w:t xml:space="preserve"> </w:t>
      </w:r>
      <w:r w:rsidRPr="00A54361">
        <w:rPr>
          <w:rFonts w:eastAsia="Times New Roman" w:cstheme="minorHAnsi"/>
        </w:rPr>
        <w:t>that</w:t>
      </w:r>
      <w:r w:rsidRPr="00A54361">
        <w:rPr>
          <w:rFonts w:eastAsia="Times New Roman" w:cstheme="minorHAnsi"/>
          <w:spacing w:val="4"/>
        </w:rPr>
        <w:t xml:space="preserve"> </w:t>
      </w:r>
      <w:r w:rsidRPr="00A54361">
        <w:rPr>
          <w:rFonts w:eastAsia="Times New Roman" w:cstheme="minorHAnsi"/>
          <w:spacing w:val="-2"/>
        </w:rPr>
        <w:t>t</w:t>
      </w:r>
      <w:r w:rsidRPr="00A54361">
        <w:rPr>
          <w:rFonts w:eastAsia="Times New Roman" w:cstheme="minorHAnsi"/>
        </w:rPr>
        <w:t>he</w:t>
      </w:r>
      <w:r w:rsidRPr="00A54361">
        <w:rPr>
          <w:rFonts w:eastAsia="Times New Roman" w:cstheme="minorHAnsi"/>
          <w:spacing w:val="3"/>
        </w:rPr>
        <w:t xml:space="preserve"> </w:t>
      </w:r>
      <w:r w:rsidRPr="00A54361">
        <w:rPr>
          <w:rFonts w:eastAsia="Times New Roman" w:cstheme="minorHAnsi"/>
        </w:rPr>
        <w:t>b</w:t>
      </w:r>
      <w:r w:rsidRPr="00A54361">
        <w:rPr>
          <w:rFonts w:eastAsia="Times New Roman" w:cstheme="minorHAnsi"/>
          <w:spacing w:val="-1"/>
        </w:rPr>
        <w:t>a</w:t>
      </w:r>
      <w:r w:rsidRPr="00A54361">
        <w:rPr>
          <w:rFonts w:eastAsia="Times New Roman" w:cstheme="minorHAnsi"/>
        </w:rPr>
        <w:t>n</w:t>
      </w:r>
      <w:r w:rsidRPr="00A54361">
        <w:rPr>
          <w:rFonts w:eastAsia="Times New Roman" w:cstheme="minorHAnsi"/>
          <w:spacing w:val="4"/>
        </w:rPr>
        <w:t xml:space="preserve"> </w:t>
      </w:r>
      <w:r w:rsidRPr="00A54361">
        <w:rPr>
          <w:rFonts w:eastAsia="Times New Roman" w:cstheme="minorHAnsi"/>
        </w:rPr>
        <w:t>would</w:t>
      </w:r>
      <w:r w:rsidRPr="00A54361">
        <w:rPr>
          <w:rFonts w:eastAsia="Times New Roman" w:cstheme="minorHAnsi"/>
          <w:spacing w:val="4"/>
        </w:rPr>
        <w:t xml:space="preserve"> </w:t>
      </w:r>
      <w:r w:rsidRPr="00A54361">
        <w:rPr>
          <w:rFonts w:eastAsia="Times New Roman" w:cstheme="minorHAnsi"/>
          <w:spacing w:val="-1"/>
        </w:rPr>
        <w:t>e</w:t>
      </w:r>
      <w:r w:rsidRPr="00A54361">
        <w:rPr>
          <w:rFonts w:eastAsia="Times New Roman" w:cstheme="minorHAnsi"/>
          <w:spacing w:val="2"/>
        </w:rPr>
        <w:t>x</w:t>
      </w:r>
      <w:r w:rsidRPr="00A54361">
        <w:rPr>
          <w:rFonts w:eastAsia="Times New Roman" w:cstheme="minorHAnsi"/>
        </w:rPr>
        <w:t>tend</w:t>
      </w:r>
      <w:r w:rsidRPr="00A54361">
        <w:rPr>
          <w:rFonts w:eastAsia="Times New Roman" w:cstheme="minorHAnsi"/>
          <w:spacing w:val="4"/>
        </w:rPr>
        <w:t xml:space="preserve"> </w:t>
      </w:r>
      <w:r w:rsidRPr="00A54361">
        <w:rPr>
          <w:rFonts w:eastAsia="Times New Roman" w:cstheme="minorHAnsi"/>
        </w:rPr>
        <w:t>to the</w:t>
      </w:r>
      <w:r w:rsidRPr="00A54361">
        <w:rPr>
          <w:rFonts w:eastAsia="Times New Roman" w:cstheme="minorHAnsi"/>
          <w:spacing w:val="4"/>
        </w:rPr>
        <w:t xml:space="preserve"> </w:t>
      </w:r>
      <w:r w:rsidRPr="00A54361">
        <w:rPr>
          <w:rFonts w:eastAsia="Times New Roman" w:cstheme="minorHAnsi"/>
        </w:rPr>
        <w:t>in</w:t>
      </w:r>
      <w:r w:rsidRPr="00A54361">
        <w:rPr>
          <w:rFonts w:eastAsia="Times New Roman" w:cstheme="minorHAnsi"/>
          <w:spacing w:val="1"/>
        </w:rPr>
        <w:t>t</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2"/>
        </w:rPr>
        <w:t>c</w:t>
      </w:r>
      <w:r w:rsidRPr="00A54361">
        <w:rPr>
          <w:rFonts w:eastAsia="Times New Roman" w:cstheme="minorHAnsi"/>
        </w:rPr>
        <w:t>onn</w:t>
      </w:r>
      <w:r w:rsidRPr="00A54361">
        <w:rPr>
          <w:rFonts w:eastAsia="Times New Roman" w:cstheme="minorHAnsi"/>
          <w:spacing w:val="-1"/>
        </w:rPr>
        <w:t>ec</w:t>
      </w:r>
      <w:r w:rsidRPr="00A54361">
        <w:rPr>
          <w:rFonts w:eastAsia="Times New Roman" w:cstheme="minorHAnsi"/>
        </w:rPr>
        <w:t>ted Ag</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1"/>
        </w:rPr>
        <w:t>c</w:t>
      </w:r>
      <w:r w:rsidRPr="00A54361">
        <w:rPr>
          <w:rFonts w:eastAsia="Times New Roman" w:cstheme="minorHAnsi"/>
        </w:rPr>
        <w:t>ies of</w:t>
      </w:r>
      <w:r w:rsidRPr="00A54361">
        <w:rPr>
          <w:rFonts w:eastAsia="Times New Roman" w:cstheme="minorHAnsi"/>
          <w:spacing w:val="-1"/>
        </w:rPr>
        <w:t xml:space="preserve"> </w:t>
      </w:r>
      <w:r w:rsidRPr="00A54361">
        <w:rPr>
          <w:rFonts w:eastAsia="Times New Roman" w:cstheme="minorHAnsi"/>
        </w:rPr>
        <w:t>t</w:t>
      </w:r>
      <w:r w:rsidRPr="00A54361">
        <w:rPr>
          <w:rFonts w:eastAsia="Times New Roman" w:cstheme="minorHAnsi"/>
          <w:spacing w:val="3"/>
        </w:rPr>
        <w:t>h</w:t>
      </w:r>
      <w:r w:rsidRPr="00A54361">
        <w:rPr>
          <w:rFonts w:eastAsia="Times New Roman" w:cstheme="minorHAnsi"/>
        </w:rPr>
        <w:t>e</w:t>
      </w:r>
      <w:r w:rsidRPr="00A54361">
        <w:rPr>
          <w:rFonts w:eastAsia="Times New Roman" w:cstheme="minorHAnsi"/>
          <w:spacing w:val="-1"/>
        </w:rPr>
        <w:t xml:space="preserve"> </w:t>
      </w:r>
      <w:r w:rsidRPr="00A54361">
        <w:rPr>
          <w:rFonts w:eastAsia="Times New Roman" w:cstheme="minorHAnsi"/>
          <w:spacing w:val="2"/>
        </w:rPr>
        <w:t>A</w:t>
      </w:r>
      <w:r w:rsidRPr="00A54361">
        <w:rPr>
          <w:rFonts w:eastAsia="Times New Roman" w:cstheme="minorHAnsi"/>
          <w:spacing w:val="-2"/>
        </w:rPr>
        <w:t>g</w:t>
      </w:r>
      <w:r w:rsidRPr="00A54361">
        <w:rPr>
          <w:rFonts w:eastAsia="Times New Roman" w:cstheme="minorHAnsi"/>
          <w:spacing w:val="-1"/>
        </w:rPr>
        <w:t>e</w:t>
      </w:r>
      <w:r w:rsidRPr="00A54361">
        <w:rPr>
          <w:rFonts w:eastAsia="Times New Roman" w:cstheme="minorHAnsi"/>
          <w:spacing w:val="2"/>
        </w:rPr>
        <w:t>n</w:t>
      </w:r>
      <w:r w:rsidRPr="00A54361">
        <w:rPr>
          <w:rFonts w:eastAsia="Times New Roman" w:cstheme="minorHAnsi"/>
          <w:spacing w:val="4"/>
        </w:rPr>
        <w:t>c</w:t>
      </w:r>
      <w:r w:rsidRPr="00A54361">
        <w:rPr>
          <w:rFonts w:eastAsia="Times New Roman" w:cstheme="minorHAnsi"/>
          <w:spacing w:val="-5"/>
        </w:rPr>
        <w:t>y</w:t>
      </w:r>
      <w:r w:rsidRPr="00A54361">
        <w:rPr>
          <w:rFonts w:eastAsia="Times New Roman" w:cstheme="minorHAnsi"/>
        </w:rPr>
        <w:t>.</w:t>
      </w:r>
    </w:p>
    <w:p w14:paraId="1643A362" w14:textId="77777777" w:rsidR="0054549F" w:rsidRPr="00A54361" w:rsidRDefault="0054549F" w:rsidP="00A54361">
      <w:pPr>
        <w:ind w:left="-142" w:right="3074"/>
        <w:jc w:val="both"/>
        <w:rPr>
          <w:rFonts w:cstheme="minorHAnsi"/>
        </w:rPr>
      </w:pPr>
      <w:r w:rsidRPr="00A54361">
        <w:rPr>
          <w:rFonts w:eastAsia="Times New Roman" w:cstheme="minorHAnsi"/>
          <w:b/>
        </w:rPr>
        <w:t>10 Ap</w:t>
      </w:r>
      <w:r w:rsidRPr="00A54361">
        <w:rPr>
          <w:rFonts w:eastAsia="Times New Roman" w:cstheme="minorHAnsi"/>
          <w:b/>
          <w:spacing w:val="1"/>
        </w:rPr>
        <w:t>p</w:t>
      </w:r>
      <w:r w:rsidRPr="00A54361">
        <w:rPr>
          <w:rFonts w:eastAsia="Times New Roman" w:cstheme="minorHAnsi"/>
          <w:b/>
          <w:spacing w:val="-1"/>
        </w:rPr>
        <w:t>e</w:t>
      </w:r>
      <w:r w:rsidRPr="00A54361">
        <w:rPr>
          <w:rFonts w:eastAsia="Times New Roman" w:cstheme="minorHAnsi"/>
          <w:b/>
        </w:rPr>
        <w:t>al aga</w:t>
      </w:r>
      <w:r w:rsidRPr="00A54361">
        <w:rPr>
          <w:rFonts w:eastAsia="Times New Roman" w:cstheme="minorHAnsi"/>
          <w:b/>
          <w:spacing w:val="1"/>
        </w:rPr>
        <w:t>in</w:t>
      </w:r>
      <w:r w:rsidRPr="00A54361">
        <w:rPr>
          <w:rFonts w:eastAsia="Times New Roman" w:cstheme="minorHAnsi"/>
          <w:b/>
        </w:rPr>
        <w:t xml:space="preserve">st </w:t>
      </w:r>
      <w:r w:rsidRPr="00A54361">
        <w:rPr>
          <w:rFonts w:eastAsia="Times New Roman" w:cstheme="minorHAnsi"/>
          <w:b/>
          <w:spacing w:val="-1"/>
        </w:rPr>
        <w:t>t</w:t>
      </w:r>
      <w:r w:rsidRPr="00A54361">
        <w:rPr>
          <w:rFonts w:eastAsia="Times New Roman" w:cstheme="minorHAnsi"/>
          <w:b/>
          <w:spacing w:val="1"/>
        </w:rPr>
        <w:t>h</w:t>
      </w:r>
      <w:r w:rsidRPr="00A54361">
        <w:rPr>
          <w:rFonts w:eastAsia="Times New Roman" w:cstheme="minorHAnsi"/>
          <w:b/>
        </w:rPr>
        <w:t>e</w:t>
      </w:r>
      <w:r w:rsidRPr="00A54361">
        <w:rPr>
          <w:rFonts w:eastAsia="Times New Roman" w:cstheme="minorHAnsi"/>
          <w:b/>
          <w:spacing w:val="-1"/>
        </w:rPr>
        <w:t xml:space="preserve"> </w:t>
      </w:r>
      <w:r w:rsidRPr="00A54361">
        <w:rPr>
          <w:rFonts w:eastAsia="Times New Roman" w:cstheme="minorHAnsi"/>
          <w:b/>
        </w:rPr>
        <w:t>D</w:t>
      </w:r>
      <w:r w:rsidRPr="00A54361">
        <w:rPr>
          <w:rFonts w:eastAsia="Times New Roman" w:cstheme="minorHAnsi"/>
          <w:b/>
          <w:spacing w:val="-1"/>
        </w:rPr>
        <w:t>ec</w:t>
      </w:r>
      <w:r w:rsidRPr="00A54361">
        <w:rPr>
          <w:rFonts w:eastAsia="Times New Roman" w:cstheme="minorHAnsi"/>
          <w:b/>
        </w:rPr>
        <w:t>is</w:t>
      </w:r>
      <w:r w:rsidRPr="00A54361">
        <w:rPr>
          <w:rFonts w:eastAsia="Times New Roman" w:cstheme="minorHAnsi"/>
          <w:b/>
          <w:spacing w:val="1"/>
        </w:rPr>
        <w:t>i</w:t>
      </w:r>
      <w:r w:rsidRPr="00A54361">
        <w:rPr>
          <w:rFonts w:eastAsia="Times New Roman" w:cstheme="minorHAnsi"/>
          <w:b/>
        </w:rPr>
        <w:t>on</w:t>
      </w:r>
      <w:r w:rsidRPr="00A54361">
        <w:rPr>
          <w:rFonts w:eastAsia="Times New Roman" w:cstheme="minorHAnsi"/>
          <w:b/>
          <w:spacing w:val="1"/>
        </w:rPr>
        <w:t xml:space="preserve"> </w:t>
      </w:r>
      <w:r w:rsidRPr="00A54361">
        <w:rPr>
          <w:rFonts w:eastAsia="Times New Roman" w:cstheme="minorHAnsi"/>
          <w:b/>
        </w:rPr>
        <w:t>of</w:t>
      </w:r>
      <w:r w:rsidRPr="00A54361">
        <w:rPr>
          <w:rFonts w:eastAsia="Times New Roman" w:cstheme="minorHAnsi"/>
          <w:b/>
          <w:spacing w:val="1"/>
        </w:rPr>
        <w:t xml:space="preserve"> </w:t>
      </w:r>
      <w:r w:rsidRPr="00A54361">
        <w:rPr>
          <w:rFonts w:eastAsia="Times New Roman" w:cstheme="minorHAnsi"/>
          <w:b/>
        </w:rPr>
        <w:t xml:space="preserve">the </w:t>
      </w:r>
      <w:r w:rsidRPr="00A54361">
        <w:rPr>
          <w:rFonts w:eastAsia="Times New Roman" w:cstheme="minorHAnsi"/>
          <w:b/>
          <w:spacing w:val="-1"/>
        </w:rPr>
        <w:t>C</w:t>
      </w:r>
      <w:r w:rsidRPr="00A54361">
        <w:rPr>
          <w:rFonts w:eastAsia="Times New Roman" w:cstheme="minorHAnsi"/>
          <w:b/>
        </w:rPr>
        <w:t>o</w:t>
      </w:r>
      <w:r w:rsidRPr="00A54361">
        <w:rPr>
          <w:rFonts w:eastAsia="Times New Roman" w:cstheme="minorHAnsi"/>
          <w:b/>
          <w:spacing w:val="-3"/>
        </w:rPr>
        <w:t>m</w:t>
      </w:r>
      <w:r w:rsidRPr="00A54361">
        <w:rPr>
          <w:rFonts w:eastAsia="Times New Roman" w:cstheme="minorHAnsi"/>
          <w:b/>
          <w:spacing w:val="1"/>
        </w:rPr>
        <w:t>p</w:t>
      </w:r>
      <w:r w:rsidRPr="00A54361">
        <w:rPr>
          <w:rFonts w:eastAsia="Times New Roman" w:cstheme="minorHAnsi"/>
          <w:b/>
          <w:spacing w:val="-1"/>
        </w:rPr>
        <w:t>e</w:t>
      </w:r>
      <w:r w:rsidRPr="00A54361">
        <w:rPr>
          <w:rFonts w:eastAsia="Times New Roman" w:cstheme="minorHAnsi"/>
          <w:b/>
          <w:spacing w:val="1"/>
        </w:rPr>
        <w:t>t</w:t>
      </w:r>
      <w:r w:rsidRPr="00A54361">
        <w:rPr>
          <w:rFonts w:eastAsia="Times New Roman" w:cstheme="minorHAnsi"/>
          <w:b/>
          <w:spacing w:val="-1"/>
        </w:rPr>
        <w:t>e</w:t>
      </w:r>
      <w:r w:rsidRPr="00A54361">
        <w:rPr>
          <w:rFonts w:eastAsia="Times New Roman" w:cstheme="minorHAnsi"/>
          <w:b/>
          <w:spacing w:val="1"/>
        </w:rPr>
        <w:t>n</w:t>
      </w:r>
      <w:r w:rsidRPr="00A54361">
        <w:rPr>
          <w:rFonts w:eastAsia="Times New Roman" w:cstheme="minorHAnsi"/>
          <w:b/>
        </w:rPr>
        <w:t>t A</w:t>
      </w:r>
      <w:r w:rsidRPr="00A54361">
        <w:rPr>
          <w:rFonts w:eastAsia="Times New Roman" w:cstheme="minorHAnsi"/>
          <w:b/>
          <w:spacing w:val="1"/>
        </w:rPr>
        <w:t>u</w:t>
      </w:r>
      <w:r w:rsidRPr="00A54361">
        <w:rPr>
          <w:rFonts w:eastAsia="Times New Roman" w:cstheme="minorHAnsi"/>
          <w:b/>
        </w:rPr>
        <w:t>tho</w:t>
      </w:r>
      <w:r w:rsidRPr="00A54361">
        <w:rPr>
          <w:rFonts w:eastAsia="Times New Roman" w:cstheme="minorHAnsi"/>
          <w:b/>
          <w:spacing w:val="-1"/>
        </w:rPr>
        <w:t>r</w:t>
      </w:r>
      <w:r w:rsidRPr="00A54361">
        <w:rPr>
          <w:rFonts w:eastAsia="Times New Roman" w:cstheme="minorHAnsi"/>
          <w:b/>
        </w:rPr>
        <w:t>ity</w:t>
      </w:r>
    </w:p>
    <w:p w14:paraId="3BDFB234" w14:textId="77777777" w:rsidR="0054549F" w:rsidRPr="00A54361" w:rsidRDefault="0054549F" w:rsidP="00A54361">
      <w:pPr>
        <w:spacing w:line="260" w:lineRule="exact"/>
        <w:ind w:left="100" w:right="86"/>
        <w:jc w:val="both"/>
        <w:rPr>
          <w:rFonts w:cstheme="minorHAnsi"/>
        </w:rPr>
      </w:pPr>
      <w:r w:rsidRPr="00A54361">
        <w:rPr>
          <w:rFonts w:eastAsia="Times New Roman" w:cstheme="minorHAnsi"/>
        </w:rPr>
        <w:t>10.1</w:t>
      </w:r>
      <w:r w:rsidRPr="00A54361">
        <w:rPr>
          <w:rFonts w:eastAsia="Times New Roman" w:cstheme="minorHAnsi"/>
          <w:spacing w:val="24"/>
        </w:rPr>
        <w:t xml:space="preserve"> </w:t>
      </w:r>
      <w:r w:rsidRPr="00A54361">
        <w:rPr>
          <w:rFonts w:eastAsia="Times New Roman" w:cstheme="minorHAnsi"/>
        </w:rPr>
        <w:t>The</w:t>
      </w:r>
      <w:r w:rsidRPr="00A54361">
        <w:rPr>
          <w:rFonts w:eastAsia="Times New Roman" w:cstheme="minorHAnsi"/>
          <w:spacing w:val="23"/>
        </w:rPr>
        <w:t xml:space="preserve"> </w:t>
      </w:r>
      <w:r w:rsidRPr="00A54361">
        <w:rPr>
          <w:rFonts w:eastAsia="Times New Roman" w:cstheme="minorHAnsi"/>
        </w:rPr>
        <w:t>Ag</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4"/>
        </w:rPr>
        <w:t>c</w:t>
      </w:r>
      <w:r w:rsidRPr="00A54361">
        <w:rPr>
          <w:rFonts w:eastAsia="Times New Roman" w:cstheme="minorHAnsi"/>
        </w:rPr>
        <w:t>y</w:t>
      </w:r>
      <w:r w:rsidRPr="00A54361">
        <w:rPr>
          <w:rFonts w:eastAsia="Times New Roman" w:cstheme="minorHAnsi"/>
          <w:spacing w:val="19"/>
        </w:rPr>
        <w:t xml:space="preserve"> </w:t>
      </w:r>
      <w:r w:rsidRPr="00A54361">
        <w:rPr>
          <w:rFonts w:eastAsia="Times New Roman" w:cstheme="minorHAnsi"/>
        </w:rPr>
        <w:t>m</w:t>
      </w:r>
      <w:r w:rsidRPr="00A54361">
        <w:rPr>
          <w:rFonts w:eastAsia="Times New Roman" w:cstheme="minorHAnsi"/>
          <w:spacing w:val="4"/>
        </w:rPr>
        <w:t>a</w:t>
      </w:r>
      <w:r w:rsidRPr="00A54361">
        <w:rPr>
          <w:rFonts w:eastAsia="Times New Roman" w:cstheme="minorHAnsi"/>
        </w:rPr>
        <w:t>y</w:t>
      </w:r>
      <w:r w:rsidRPr="00A54361">
        <w:rPr>
          <w:rFonts w:eastAsia="Times New Roman" w:cstheme="minorHAnsi"/>
          <w:spacing w:val="19"/>
        </w:rPr>
        <w:t xml:space="preserve"> </w:t>
      </w:r>
      <w:r w:rsidRPr="00A54361">
        <w:rPr>
          <w:rFonts w:eastAsia="Times New Roman" w:cstheme="minorHAnsi"/>
        </w:rPr>
        <w:t>f</w:t>
      </w:r>
      <w:r w:rsidRPr="00A54361">
        <w:rPr>
          <w:rFonts w:eastAsia="Times New Roman" w:cstheme="minorHAnsi"/>
          <w:spacing w:val="2"/>
        </w:rPr>
        <w:t>i</w:t>
      </w:r>
      <w:r w:rsidRPr="00A54361">
        <w:rPr>
          <w:rFonts w:eastAsia="Times New Roman" w:cstheme="minorHAnsi"/>
        </w:rPr>
        <w:t>le</w:t>
      </w:r>
      <w:r w:rsidRPr="00A54361">
        <w:rPr>
          <w:rFonts w:eastAsia="Times New Roman" w:cstheme="minorHAnsi"/>
          <w:spacing w:val="23"/>
        </w:rPr>
        <w:t xml:space="preserve"> </w:t>
      </w:r>
      <w:r w:rsidRPr="00A54361">
        <w:rPr>
          <w:rFonts w:eastAsia="Times New Roman" w:cstheme="minorHAnsi"/>
          <w:spacing w:val="-1"/>
        </w:rPr>
        <w:t>a</w:t>
      </w:r>
      <w:r w:rsidRPr="00A54361">
        <w:rPr>
          <w:rFonts w:eastAsia="Times New Roman" w:cstheme="minorHAnsi"/>
        </w:rPr>
        <w:t>n</w:t>
      </w:r>
      <w:r w:rsidRPr="00A54361">
        <w:rPr>
          <w:rFonts w:eastAsia="Times New Roman" w:cstheme="minorHAnsi"/>
          <w:spacing w:val="24"/>
        </w:rPr>
        <w:t xml:space="preserve"> </w:t>
      </w:r>
      <w:r w:rsidRPr="00A54361">
        <w:rPr>
          <w:rFonts w:eastAsia="Times New Roman" w:cstheme="minorHAnsi"/>
          <w:spacing w:val="-1"/>
        </w:rPr>
        <w:t>a</w:t>
      </w:r>
      <w:r w:rsidRPr="00A54361">
        <w:rPr>
          <w:rFonts w:eastAsia="Times New Roman" w:cstheme="minorHAnsi"/>
        </w:rPr>
        <w:t>pp</w:t>
      </w:r>
      <w:r w:rsidRPr="00A54361">
        <w:rPr>
          <w:rFonts w:eastAsia="Times New Roman" w:cstheme="minorHAnsi"/>
          <w:spacing w:val="-1"/>
        </w:rPr>
        <w:t>ea</w:t>
      </w:r>
      <w:r w:rsidRPr="00A54361">
        <w:rPr>
          <w:rFonts w:eastAsia="Times New Roman" w:cstheme="minorHAnsi"/>
        </w:rPr>
        <w:t>l</w:t>
      </w:r>
      <w:r w:rsidRPr="00A54361">
        <w:rPr>
          <w:rFonts w:eastAsia="Times New Roman" w:cstheme="minorHAnsi"/>
          <w:spacing w:val="24"/>
        </w:rPr>
        <w:t xml:space="preserve"> </w:t>
      </w:r>
      <w:r w:rsidRPr="00A54361">
        <w:rPr>
          <w:rFonts w:eastAsia="Times New Roman" w:cstheme="minorHAnsi"/>
          <w:spacing w:val="1"/>
        </w:rPr>
        <w:t>a</w:t>
      </w:r>
      <w:r w:rsidRPr="00A54361">
        <w:rPr>
          <w:rFonts w:eastAsia="Times New Roman" w:cstheme="minorHAnsi"/>
        </w:rPr>
        <w:t>g</w:t>
      </w:r>
      <w:r w:rsidRPr="00A54361">
        <w:rPr>
          <w:rFonts w:eastAsia="Times New Roman" w:cstheme="minorHAnsi"/>
          <w:spacing w:val="-1"/>
        </w:rPr>
        <w:t>a</w:t>
      </w:r>
      <w:r w:rsidRPr="00A54361">
        <w:rPr>
          <w:rFonts w:eastAsia="Times New Roman" w:cstheme="minorHAnsi"/>
        </w:rPr>
        <w:t>inst</w:t>
      </w:r>
      <w:r w:rsidRPr="00A54361">
        <w:rPr>
          <w:rFonts w:eastAsia="Times New Roman" w:cstheme="minorHAnsi"/>
          <w:spacing w:val="25"/>
        </w:rPr>
        <w:t xml:space="preserve"> </w:t>
      </w:r>
      <w:r w:rsidRPr="00A54361">
        <w:rPr>
          <w:rFonts w:eastAsia="Times New Roman" w:cstheme="minorHAnsi"/>
        </w:rPr>
        <w:t>the</w:t>
      </w:r>
      <w:r w:rsidRPr="00A54361">
        <w:rPr>
          <w:rFonts w:eastAsia="Times New Roman" w:cstheme="minorHAnsi"/>
          <w:spacing w:val="23"/>
        </w:rPr>
        <w:t xml:space="preserve"> </w:t>
      </w:r>
      <w:r w:rsidRPr="00A54361">
        <w:rPr>
          <w:rFonts w:eastAsia="Times New Roman" w:cstheme="minorHAnsi"/>
        </w:rPr>
        <w:t>ord</w:t>
      </w:r>
      <w:r w:rsidRPr="00A54361">
        <w:rPr>
          <w:rFonts w:eastAsia="Times New Roman" w:cstheme="minorHAnsi"/>
          <w:spacing w:val="-2"/>
        </w:rPr>
        <w:t>e</w:t>
      </w:r>
      <w:r w:rsidRPr="00A54361">
        <w:rPr>
          <w:rFonts w:eastAsia="Times New Roman" w:cstheme="minorHAnsi"/>
        </w:rPr>
        <w:t>r</w:t>
      </w:r>
      <w:r w:rsidRPr="00A54361">
        <w:rPr>
          <w:rFonts w:eastAsia="Times New Roman" w:cstheme="minorHAnsi"/>
          <w:spacing w:val="23"/>
        </w:rPr>
        <w:t xml:space="preserve"> </w:t>
      </w:r>
      <w:r w:rsidRPr="00A54361">
        <w:rPr>
          <w:rFonts w:eastAsia="Times New Roman" w:cstheme="minorHAnsi"/>
        </w:rPr>
        <w:t>of</w:t>
      </w:r>
      <w:r w:rsidRPr="00A54361">
        <w:rPr>
          <w:rFonts w:eastAsia="Times New Roman" w:cstheme="minorHAnsi"/>
          <w:spacing w:val="23"/>
        </w:rPr>
        <w:t xml:space="preserve"> </w:t>
      </w:r>
      <w:r w:rsidRPr="00A54361">
        <w:rPr>
          <w:rFonts w:eastAsia="Times New Roman" w:cstheme="minorHAnsi"/>
        </w:rPr>
        <w:t>the</w:t>
      </w:r>
      <w:r w:rsidRPr="00A54361">
        <w:rPr>
          <w:rFonts w:eastAsia="Times New Roman" w:cstheme="minorHAnsi"/>
          <w:spacing w:val="23"/>
        </w:rPr>
        <w:t xml:space="preserve"> </w:t>
      </w:r>
      <w:r w:rsidRPr="00A54361">
        <w:rPr>
          <w:rFonts w:eastAsia="Times New Roman" w:cstheme="minorHAnsi"/>
        </w:rPr>
        <w:t>Compet</w:t>
      </w:r>
      <w:r w:rsidRPr="00A54361">
        <w:rPr>
          <w:rFonts w:eastAsia="Times New Roman" w:cstheme="minorHAnsi"/>
          <w:spacing w:val="-1"/>
        </w:rPr>
        <w:t>e</w:t>
      </w:r>
      <w:r w:rsidRPr="00A54361">
        <w:rPr>
          <w:rFonts w:eastAsia="Times New Roman" w:cstheme="minorHAnsi"/>
        </w:rPr>
        <w:t>nt</w:t>
      </w:r>
      <w:r w:rsidRPr="00A54361">
        <w:rPr>
          <w:rFonts w:eastAsia="Times New Roman" w:cstheme="minorHAnsi"/>
          <w:spacing w:val="27"/>
        </w:rPr>
        <w:t xml:space="preserve"> </w:t>
      </w:r>
      <w:r w:rsidRPr="00A54361">
        <w:rPr>
          <w:rFonts w:eastAsia="Times New Roman" w:cstheme="minorHAnsi"/>
        </w:rPr>
        <w:t>Autho</w:t>
      </w:r>
      <w:r w:rsidRPr="00A54361">
        <w:rPr>
          <w:rFonts w:eastAsia="Times New Roman" w:cstheme="minorHAnsi"/>
          <w:spacing w:val="-1"/>
        </w:rPr>
        <w:t>r</w:t>
      </w:r>
      <w:r w:rsidRPr="00A54361">
        <w:rPr>
          <w:rFonts w:eastAsia="Times New Roman" w:cstheme="minorHAnsi"/>
        </w:rPr>
        <w:t>i</w:t>
      </w:r>
      <w:r w:rsidRPr="00A54361">
        <w:rPr>
          <w:rFonts w:eastAsia="Times New Roman" w:cstheme="minorHAnsi"/>
          <w:spacing w:val="3"/>
        </w:rPr>
        <w:t>t</w:t>
      </w:r>
      <w:r w:rsidRPr="00A54361">
        <w:rPr>
          <w:rFonts w:eastAsia="Times New Roman" w:cstheme="minorHAnsi"/>
        </w:rPr>
        <w:t>y</w:t>
      </w:r>
      <w:r w:rsidRPr="00A54361">
        <w:rPr>
          <w:rFonts w:eastAsia="Times New Roman" w:cstheme="minorHAnsi"/>
          <w:spacing w:val="19"/>
        </w:rPr>
        <w:t xml:space="preserve"> </w:t>
      </w:r>
      <w:r w:rsidRPr="00A54361">
        <w:rPr>
          <w:rFonts w:eastAsia="Times New Roman" w:cstheme="minorHAnsi"/>
        </w:rPr>
        <w:t>b</w:t>
      </w:r>
      <w:r w:rsidRPr="00A54361">
        <w:rPr>
          <w:rFonts w:eastAsia="Times New Roman" w:cstheme="minorHAnsi"/>
          <w:spacing w:val="-1"/>
        </w:rPr>
        <w:t>a</w:t>
      </w:r>
      <w:r w:rsidRPr="00A54361">
        <w:rPr>
          <w:rFonts w:eastAsia="Times New Roman" w:cstheme="minorHAnsi"/>
        </w:rPr>
        <w:t>nni</w:t>
      </w:r>
      <w:r w:rsidRPr="00A54361">
        <w:rPr>
          <w:rFonts w:eastAsia="Times New Roman" w:cstheme="minorHAnsi"/>
          <w:spacing w:val="3"/>
        </w:rPr>
        <w:t>n</w:t>
      </w:r>
      <w:r w:rsidRPr="00A54361">
        <w:rPr>
          <w:rFonts w:eastAsia="Times New Roman" w:cstheme="minorHAnsi"/>
        </w:rPr>
        <w:t>g</w:t>
      </w:r>
    </w:p>
    <w:p w14:paraId="0FC4594C" w14:textId="77777777" w:rsidR="0054549F" w:rsidRPr="00A54361" w:rsidRDefault="0054549F" w:rsidP="00A54361">
      <w:pPr>
        <w:ind w:left="100" w:right="83"/>
        <w:jc w:val="both"/>
        <w:rPr>
          <w:rFonts w:cstheme="minorHAnsi"/>
        </w:rPr>
      </w:pPr>
      <w:r w:rsidRPr="00A54361">
        <w:rPr>
          <w:rFonts w:eastAsia="Times New Roman" w:cstheme="minorHAnsi"/>
        </w:rPr>
        <w:t>busin</w:t>
      </w:r>
      <w:r w:rsidRPr="00A54361">
        <w:rPr>
          <w:rFonts w:eastAsia="Times New Roman" w:cstheme="minorHAnsi"/>
          <w:spacing w:val="-1"/>
        </w:rPr>
        <w:t>e</w:t>
      </w:r>
      <w:r w:rsidRPr="00A54361">
        <w:rPr>
          <w:rFonts w:eastAsia="Times New Roman" w:cstheme="minorHAnsi"/>
        </w:rPr>
        <w:t>ss</w:t>
      </w:r>
      <w:r w:rsidRPr="00A54361">
        <w:rPr>
          <w:rFonts w:eastAsia="Times New Roman" w:cstheme="minorHAnsi"/>
          <w:spacing w:val="1"/>
        </w:rPr>
        <w:t xml:space="preserve"> </w:t>
      </w:r>
      <w:r w:rsidRPr="00A54361">
        <w:rPr>
          <w:rFonts w:eastAsia="Times New Roman" w:cstheme="minorHAnsi"/>
        </w:rPr>
        <w:t>d</w:t>
      </w:r>
      <w:r w:rsidRPr="00A54361">
        <w:rPr>
          <w:rFonts w:eastAsia="Times New Roman" w:cstheme="minorHAnsi"/>
          <w:spacing w:val="-1"/>
        </w:rPr>
        <w:t>ea</w:t>
      </w:r>
      <w:r w:rsidRPr="00A54361">
        <w:rPr>
          <w:rFonts w:eastAsia="Times New Roman" w:cstheme="minorHAnsi"/>
        </w:rPr>
        <w:t>l</w:t>
      </w:r>
      <w:r w:rsidRPr="00A54361">
        <w:rPr>
          <w:rFonts w:eastAsia="Times New Roman" w:cstheme="minorHAnsi"/>
          <w:spacing w:val="1"/>
        </w:rPr>
        <w:t>i</w:t>
      </w:r>
      <w:r w:rsidRPr="00A54361">
        <w:rPr>
          <w:rFonts w:eastAsia="Times New Roman" w:cstheme="minorHAnsi"/>
          <w:spacing w:val="2"/>
        </w:rPr>
        <w:t>n</w:t>
      </w:r>
      <w:r w:rsidRPr="00A54361">
        <w:rPr>
          <w:rFonts w:eastAsia="Times New Roman" w:cstheme="minorHAnsi"/>
          <w:spacing w:val="-2"/>
        </w:rPr>
        <w:t>g</w:t>
      </w:r>
      <w:r w:rsidRPr="00A54361">
        <w:rPr>
          <w:rFonts w:eastAsia="Times New Roman" w:cstheme="minorHAnsi"/>
        </w:rPr>
        <w:t>,</w:t>
      </w:r>
      <w:r w:rsidRPr="00A54361">
        <w:rPr>
          <w:rFonts w:eastAsia="Times New Roman" w:cstheme="minorHAnsi"/>
          <w:spacing w:val="1"/>
        </w:rPr>
        <w:t xml:space="preserve"> </w:t>
      </w:r>
      <w:r w:rsidRPr="00A54361">
        <w:rPr>
          <w:rFonts w:eastAsia="Times New Roman" w:cstheme="minorHAnsi"/>
          <w:spacing w:val="-1"/>
        </w:rPr>
        <w:t>e</w:t>
      </w:r>
      <w:r w:rsidRPr="00A54361">
        <w:rPr>
          <w:rFonts w:eastAsia="Times New Roman" w:cstheme="minorHAnsi"/>
          <w:spacing w:val="3"/>
        </w:rPr>
        <w:t>t</w:t>
      </w:r>
      <w:r w:rsidRPr="00A54361">
        <w:rPr>
          <w:rFonts w:eastAsia="Times New Roman" w:cstheme="minorHAnsi"/>
          <w:spacing w:val="-1"/>
        </w:rPr>
        <w:t>c</w:t>
      </w:r>
      <w:r w:rsidRPr="00A54361">
        <w:rPr>
          <w:rFonts w:eastAsia="Times New Roman" w:cstheme="minorHAnsi"/>
        </w:rPr>
        <w:t>.</w:t>
      </w:r>
      <w:r w:rsidRPr="00A54361">
        <w:rPr>
          <w:rFonts w:eastAsia="Times New Roman" w:cstheme="minorHAnsi"/>
          <w:spacing w:val="1"/>
        </w:rPr>
        <w:t xml:space="preserve"> </w:t>
      </w:r>
      <w:r w:rsidRPr="00A54361">
        <w:rPr>
          <w:rFonts w:eastAsia="Times New Roman" w:cstheme="minorHAnsi"/>
          <w:spacing w:val="2"/>
        </w:rPr>
        <w:t>T</w:t>
      </w:r>
      <w:r w:rsidRPr="00A54361">
        <w:rPr>
          <w:rFonts w:eastAsia="Times New Roman" w:cstheme="minorHAnsi"/>
        </w:rPr>
        <w:t xml:space="preserve">he </w:t>
      </w:r>
      <w:r w:rsidRPr="00A54361">
        <w:rPr>
          <w:rFonts w:eastAsia="Times New Roman" w:cstheme="minorHAnsi"/>
          <w:spacing w:val="-1"/>
        </w:rPr>
        <w:t>a</w:t>
      </w:r>
      <w:r w:rsidRPr="00A54361">
        <w:rPr>
          <w:rFonts w:eastAsia="Times New Roman" w:cstheme="minorHAnsi"/>
        </w:rPr>
        <w:t>p</w:t>
      </w:r>
      <w:r w:rsidRPr="00A54361">
        <w:rPr>
          <w:rFonts w:eastAsia="Times New Roman" w:cstheme="minorHAnsi"/>
          <w:spacing w:val="2"/>
        </w:rPr>
        <w:t>p</w:t>
      </w:r>
      <w:r w:rsidRPr="00A54361">
        <w:rPr>
          <w:rFonts w:eastAsia="Times New Roman" w:cstheme="minorHAnsi"/>
          <w:spacing w:val="-1"/>
        </w:rPr>
        <w:t>ea</w:t>
      </w:r>
      <w:r w:rsidRPr="00A54361">
        <w:rPr>
          <w:rFonts w:eastAsia="Times New Roman" w:cstheme="minorHAnsi"/>
        </w:rPr>
        <w:t>l</w:t>
      </w:r>
      <w:r w:rsidRPr="00A54361">
        <w:rPr>
          <w:rFonts w:eastAsia="Times New Roman" w:cstheme="minorHAnsi"/>
          <w:spacing w:val="1"/>
        </w:rPr>
        <w:t xml:space="preserve"> </w:t>
      </w:r>
      <w:r w:rsidRPr="00A54361">
        <w:rPr>
          <w:rFonts w:eastAsia="Times New Roman" w:cstheme="minorHAnsi"/>
        </w:rPr>
        <w:t>sh</w:t>
      </w:r>
      <w:r w:rsidRPr="00A54361">
        <w:rPr>
          <w:rFonts w:eastAsia="Times New Roman" w:cstheme="minorHAnsi"/>
          <w:spacing w:val="-1"/>
        </w:rPr>
        <w:t>a</w:t>
      </w:r>
      <w:r w:rsidRPr="00A54361">
        <w:rPr>
          <w:rFonts w:eastAsia="Times New Roman" w:cstheme="minorHAnsi"/>
        </w:rPr>
        <w:t>ll</w:t>
      </w:r>
      <w:r w:rsidRPr="00A54361">
        <w:rPr>
          <w:rFonts w:eastAsia="Times New Roman" w:cstheme="minorHAnsi"/>
          <w:spacing w:val="2"/>
        </w:rPr>
        <w:t xml:space="preserve"> </w:t>
      </w:r>
      <w:r w:rsidRPr="00A54361">
        <w:rPr>
          <w:rFonts w:eastAsia="Times New Roman" w:cstheme="minorHAnsi"/>
        </w:rPr>
        <w:t>l</w:t>
      </w:r>
      <w:r w:rsidRPr="00A54361">
        <w:rPr>
          <w:rFonts w:eastAsia="Times New Roman" w:cstheme="minorHAnsi"/>
          <w:spacing w:val="1"/>
        </w:rPr>
        <w:t>i</w:t>
      </w:r>
      <w:r w:rsidRPr="00A54361">
        <w:rPr>
          <w:rFonts w:eastAsia="Times New Roman" w:cstheme="minorHAnsi"/>
        </w:rPr>
        <w:t>e</w:t>
      </w:r>
      <w:r w:rsidRPr="00A54361">
        <w:rPr>
          <w:rFonts w:eastAsia="Times New Roman" w:cstheme="minorHAnsi"/>
          <w:spacing w:val="2"/>
        </w:rPr>
        <w:t xml:space="preserve"> </w:t>
      </w:r>
      <w:r w:rsidRPr="00A54361">
        <w:rPr>
          <w:rFonts w:eastAsia="Times New Roman" w:cstheme="minorHAnsi"/>
        </w:rPr>
        <w:t>to</w:t>
      </w:r>
      <w:r w:rsidRPr="00A54361">
        <w:rPr>
          <w:rFonts w:eastAsia="Times New Roman" w:cstheme="minorHAnsi"/>
          <w:spacing w:val="1"/>
        </w:rPr>
        <w:t xml:space="preserve"> </w:t>
      </w:r>
      <w:r w:rsidRPr="00A54361">
        <w:rPr>
          <w:rFonts w:eastAsia="Times New Roman" w:cstheme="minorHAnsi"/>
          <w:spacing w:val="2"/>
        </w:rPr>
        <w:t>A</w:t>
      </w:r>
      <w:r w:rsidRPr="00A54361">
        <w:rPr>
          <w:rFonts w:eastAsia="Times New Roman" w:cstheme="minorHAnsi"/>
        </w:rPr>
        <w:t>pp</w:t>
      </w:r>
      <w:r w:rsidRPr="00A54361">
        <w:rPr>
          <w:rFonts w:eastAsia="Times New Roman" w:cstheme="minorHAnsi"/>
          <w:spacing w:val="-1"/>
        </w:rPr>
        <w:t>e</w:t>
      </w:r>
      <w:r w:rsidRPr="00A54361">
        <w:rPr>
          <w:rFonts w:eastAsia="Times New Roman" w:cstheme="minorHAnsi"/>
        </w:rPr>
        <w:t>l</w:t>
      </w:r>
      <w:r w:rsidRPr="00A54361">
        <w:rPr>
          <w:rFonts w:eastAsia="Times New Roman" w:cstheme="minorHAnsi"/>
          <w:spacing w:val="1"/>
        </w:rPr>
        <w:t>l</w:t>
      </w:r>
      <w:r w:rsidRPr="00A54361">
        <w:rPr>
          <w:rFonts w:eastAsia="Times New Roman" w:cstheme="minorHAnsi"/>
          <w:spacing w:val="-1"/>
        </w:rPr>
        <w:t>a</w:t>
      </w:r>
      <w:r w:rsidRPr="00A54361">
        <w:rPr>
          <w:rFonts w:eastAsia="Times New Roman" w:cstheme="minorHAnsi"/>
        </w:rPr>
        <w:t>te Autho</w:t>
      </w:r>
      <w:r w:rsidRPr="00A54361">
        <w:rPr>
          <w:rFonts w:eastAsia="Times New Roman" w:cstheme="minorHAnsi"/>
          <w:spacing w:val="-1"/>
        </w:rPr>
        <w:t>r</w:t>
      </w:r>
      <w:r w:rsidRPr="00A54361">
        <w:rPr>
          <w:rFonts w:eastAsia="Times New Roman" w:cstheme="minorHAnsi"/>
        </w:rPr>
        <w:t>i</w:t>
      </w:r>
      <w:r w:rsidRPr="00A54361">
        <w:rPr>
          <w:rFonts w:eastAsia="Times New Roman" w:cstheme="minorHAnsi"/>
          <w:spacing w:val="6"/>
        </w:rPr>
        <w:t>t</w:t>
      </w:r>
      <w:r w:rsidRPr="00A54361">
        <w:rPr>
          <w:rFonts w:eastAsia="Times New Roman" w:cstheme="minorHAnsi"/>
          <w:spacing w:val="-5"/>
        </w:rPr>
        <w:t>y</w:t>
      </w:r>
      <w:r w:rsidRPr="00A54361">
        <w:rPr>
          <w:rFonts w:eastAsia="Times New Roman" w:cstheme="minorHAnsi"/>
        </w:rPr>
        <w:t>.</w:t>
      </w:r>
      <w:r w:rsidRPr="00A54361">
        <w:rPr>
          <w:rFonts w:eastAsia="Times New Roman" w:cstheme="minorHAnsi"/>
          <w:spacing w:val="1"/>
        </w:rPr>
        <w:t xml:space="preserve"> S</w:t>
      </w:r>
      <w:r w:rsidRPr="00A54361">
        <w:rPr>
          <w:rFonts w:eastAsia="Times New Roman" w:cstheme="minorHAnsi"/>
        </w:rPr>
        <w:t>u</w:t>
      </w:r>
      <w:r w:rsidRPr="00A54361">
        <w:rPr>
          <w:rFonts w:eastAsia="Times New Roman" w:cstheme="minorHAnsi"/>
          <w:spacing w:val="-1"/>
        </w:rPr>
        <w:t>c</w:t>
      </w:r>
      <w:r w:rsidRPr="00A54361">
        <w:rPr>
          <w:rFonts w:eastAsia="Times New Roman" w:cstheme="minorHAnsi"/>
        </w:rPr>
        <w:t>h</w:t>
      </w:r>
      <w:r w:rsidRPr="00A54361">
        <w:rPr>
          <w:rFonts w:eastAsia="Times New Roman" w:cstheme="minorHAnsi"/>
          <w:spacing w:val="3"/>
        </w:rPr>
        <w:t xml:space="preserve"> </w:t>
      </w:r>
      <w:r w:rsidRPr="00A54361">
        <w:rPr>
          <w:rFonts w:eastAsia="Times New Roman" w:cstheme="minorHAnsi"/>
          <w:spacing w:val="-1"/>
        </w:rPr>
        <w:t>a</w:t>
      </w:r>
      <w:r w:rsidRPr="00A54361">
        <w:rPr>
          <w:rFonts w:eastAsia="Times New Roman" w:cstheme="minorHAnsi"/>
        </w:rPr>
        <w:t>n</w:t>
      </w:r>
      <w:r w:rsidRPr="00A54361">
        <w:rPr>
          <w:rFonts w:eastAsia="Times New Roman" w:cstheme="minorHAnsi"/>
          <w:spacing w:val="3"/>
        </w:rPr>
        <w:t xml:space="preserve"> </w:t>
      </w:r>
      <w:r w:rsidRPr="00A54361">
        <w:rPr>
          <w:rFonts w:eastAsia="Times New Roman" w:cstheme="minorHAnsi"/>
          <w:spacing w:val="-1"/>
        </w:rPr>
        <w:t>a</w:t>
      </w:r>
      <w:r w:rsidRPr="00A54361">
        <w:rPr>
          <w:rFonts w:eastAsia="Times New Roman" w:cstheme="minorHAnsi"/>
        </w:rPr>
        <w:t>pp</w:t>
      </w:r>
      <w:r w:rsidRPr="00A54361">
        <w:rPr>
          <w:rFonts w:eastAsia="Times New Roman" w:cstheme="minorHAnsi"/>
          <w:spacing w:val="-1"/>
        </w:rPr>
        <w:t>ea</w:t>
      </w:r>
      <w:r w:rsidRPr="00A54361">
        <w:rPr>
          <w:rFonts w:eastAsia="Times New Roman" w:cstheme="minorHAnsi"/>
        </w:rPr>
        <w:t>l</w:t>
      </w:r>
      <w:r w:rsidRPr="00A54361">
        <w:rPr>
          <w:rFonts w:eastAsia="Times New Roman" w:cstheme="minorHAnsi"/>
          <w:spacing w:val="1"/>
        </w:rPr>
        <w:t xml:space="preserve"> </w:t>
      </w:r>
      <w:r w:rsidRPr="00A54361">
        <w:rPr>
          <w:rFonts w:eastAsia="Times New Roman" w:cstheme="minorHAnsi"/>
        </w:rPr>
        <w:t>s</w:t>
      </w:r>
      <w:r w:rsidRPr="00A54361">
        <w:rPr>
          <w:rFonts w:eastAsia="Times New Roman" w:cstheme="minorHAnsi"/>
          <w:spacing w:val="2"/>
        </w:rPr>
        <w:t>h</w:t>
      </w:r>
      <w:r w:rsidRPr="00A54361">
        <w:rPr>
          <w:rFonts w:eastAsia="Times New Roman" w:cstheme="minorHAnsi"/>
          <w:spacing w:val="-1"/>
        </w:rPr>
        <w:t>a</w:t>
      </w:r>
      <w:r w:rsidRPr="00A54361">
        <w:rPr>
          <w:rFonts w:eastAsia="Times New Roman" w:cstheme="minorHAnsi"/>
        </w:rPr>
        <w:t>ll</w:t>
      </w:r>
      <w:r w:rsidRPr="00A54361">
        <w:rPr>
          <w:rFonts w:eastAsia="Times New Roman" w:cstheme="minorHAnsi"/>
          <w:spacing w:val="2"/>
        </w:rPr>
        <w:t xml:space="preserve"> </w:t>
      </w:r>
      <w:r w:rsidRPr="00A54361">
        <w:rPr>
          <w:rFonts w:eastAsia="Times New Roman" w:cstheme="minorHAnsi"/>
        </w:rPr>
        <w:t>be pr</w:t>
      </w:r>
      <w:r w:rsidRPr="00A54361">
        <w:rPr>
          <w:rFonts w:eastAsia="Times New Roman" w:cstheme="minorHAnsi"/>
          <w:spacing w:val="-2"/>
        </w:rPr>
        <w:t>e</w:t>
      </w:r>
      <w:r w:rsidRPr="00A54361">
        <w:rPr>
          <w:rFonts w:eastAsia="Times New Roman" w:cstheme="minorHAnsi"/>
        </w:rPr>
        <w:t>fer</w:t>
      </w:r>
      <w:r w:rsidRPr="00A54361">
        <w:rPr>
          <w:rFonts w:eastAsia="Times New Roman" w:cstheme="minorHAnsi"/>
          <w:spacing w:val="-1"/>
        </w:rPr>
        <w:t>re</w:t>
      </w:r>
      <w:r w:rsidRPr="00A54361">
        <w:rPr>
          <w:rFonts w:eastAsia="Times New Roman" w:cstheme="minorHAnsi"/>
        </w:rPr>
        <w:t>d with</w:t>
      </w:r>
      <w:r w:rsidRPr="00A54361">
        <w:rPr>
          <w:rFonts w:eastAsia="Times New Roman" w:cstheme="minorHAnsi"/>
          <w:spacing w:val="1"/>
        </w:rPr>
        <w:t>i</w:t>
      </w:r>
      <w:r w:rsidRPr="00A54361">
        <w:rPr>
          <w:rFonts w:eastAsia="Times New Roman" w:cstheme="minorHAnsi"/>
        </w:rPr>
        <w:t>n</w:t>
      </w:r>
      <w:r w:rsidRPr="00A54361">
        <w:rPr>
          <w:rFonts w:eastAsia="Times New Roman" w:cstheme="minorHAnsi"/>
          <w:spacing w:val="-2"/>
        </w:rPr>
        <w:t xml:space="preserve"> </w:t>
      </w:r>
      <w:r w:rsidRPr="00A54361">
        <w:rPr>
          <w:rFonts w:eastAsia="Times New Roman" w:cstheme="minorHAnsi"/>
        </w:rPr>
        <w:t>one</w:t>
      </w:r>
      <w:r w:rsidRPr="00A54361">
        <w:rPr>
          <w:rFonts w:eastAsia="Times New Roman" w:cstheme="minorHAnsi"/>
          <w:spacing w:val="-3"/>
        </w:rPr>
        <w:t xml:space="preserve"> </w:t>
      </w:r>
      <w:r w:rsidRPr="00A54361">
        <w:rPr>
          <w:rFonts w:eastAsia="Times New Roman" w:cstheme="minorHAnsi"/>
        </w:rPr>
        <w:t>mo</w:t>
      </w:r>
      <w:r w:rsidRPr="00A54361">
        <w:rPr>
          <w:rFonts w:eastAsia="Times New Roman" w:cstheme="minorHAnsi"/>
          <w:spacing w:val="3"/>
        </w:rPr>
        <w:t>n</w:t>
      </w:r>
      <w:r w:rsidRPr="00A54361">
        <w:rPr>
          <w:rFonts w:eastAsia="Times New Roman" w:cstheme="minorHAnsi"/>
        </w:rPr>
        <w:t>th</w:t>
      </w:r>
      <w:r w:rsidRPr="00A54361">
        <w:rPr>
          <w:rFonts w:eastAsia="Times New Roman" w:cstheme="minorHAnsi"/>
          <w:spacing w:val="-2"/>
        </w:rPr>
        <w:t xml:space="preserve"> </w:t>
      </w:r>
      <w:r w:rsidRPr="00A54361">
        <w:rPr>
          <w:rFonts w:eastAsia="Times New Roman" w:cstheme="minorHAnsi"/>
        </w:rPr>
        <w:t>f</w:t>
      </w:r>
      <w:r w:rsidRPr="00A54361">
        <w:rPr>
          <w:rFonts w:eastAsia="Times New Roman" w:cstheme="minorHAnsi"/>
          <w:spacing w:val="-1"/>
        </w:rPr>
        <w:t>r</w:t>
      </w:r>
      <w:r w:rsidRPr="00A54361">
        <w:rPr>
          <w:rFonts w:eastAsia="Times New Roman" w:cstheme="minorHAnsi"/>
        </w:rPr>
        <w:t>om</w:t>
      </w:r>
      <w:r w:rsidRPr="00A54361">
        <w:rPr>
          <w:rFonts w:eastAsia="Times New Roman" w:cstheme="minorHAnsi"/>
          <w:spacing w:val="-2"/>
        </w:rPr>
        <w:t xml:space="preserve"> </w:t>
      </w:r>
      <w:r w:rsidRPr="00A54361">
        <w:rPr>
          <w:rFonts w:eastAsia="Times New Roman" w:cstheme="minorHAnsi"/>
        </w:rPr>
        <w:t>the</w:t>
      </w:r>
      <w:r w:rsidRPr="00A54361">
        <w:rPr>
          <w:rFonts w:eastAsia="Times New Roman" w:cstheme="minorHAnsi"/>
          <w:spacing w:val="-3"/>
        </w:rPr>
        <w:t xml:space="preserve"> </w:t>
      </w:r>
      <w:r w:rsidRPr="00A54361">
        <w:rPr>
          <w:rFonts w:eastAsia="Times New Roman" w:cstheme="minorHAnsi"/>
        </w:rPr>
        <w:t>d</w:t>
      </w:r>
      <w:r w:rsidRPr="00A54361">
        <w:rPr>
          <w:rFonts w:eastAsia="Times New Roman" w:cstheme="minorHAnsi"/>
          <w:spacing w:val="-1"/>
        </w:rPr>
        <w:t>a</w:t>
      </w:r>
      <w:r w:rsidRPr="00A54361">
        <w:rPr>
          <w:rFonts w:eastAsia="Times New Roman" w:cstheme="minorHAnsi"/>
        </w:rPr>
        <w:t>te</w:t>
      </w:r>
      <w:r w:rsidRPr="00A54361">
        <w:rPr>
          <w:rFonts w:eastAsia="Times New Roman" w:cstheme="minorHAnsi"/>
          <w:spacing w:val="-1"/>
        </w:rPr>
        <w:t xml:space="preserve"> </w:t>
      </w:r>
      <w:r w:rsidRPr="00A54361">
        <w:rPr>
          <w:rFonts w:eastAsia="Times New Roman" w:cstheme="minorHAnsi"/>
        </w:rPr>
        <w:t>of</w:t>
      </w:r>
      <w:r w:rsidRPr="00A54361">
        <w:rPr>
          <w:rFonts w:eastAsia="Times New Roman" w:cstheme="minorHAnsi"/>
          <w:spacing w:val="-3"/>
        </w:rPr>
        <w:t xml:space="preserve"> </w:t>
      </w:r>
      <w:r w:rsidRPr="00A54361">
        <w:rPr>
          <w:rFonts w:eastAsia="Times New Roman" w:cstheme="minorHAnsi"/>
          <w:spacing w:val="1"/>
        </w:rPr>
        <w:t>r</w:t>
      </w:r>
      <w:r w:rsidRPr="00A54361">
        <w:rPr>
          <w:rFonts w:eastAsia="Times New Roman" w:cstheme="minorHAnsi"/>
          <w:spacing w:val="-1"/>
        </w:rPr>
        <w:t>e</w:t>
      </w:r>
      <w:r w:rsidRPr="00A54361">
        <w:rPr>
          <w:rFonts w:eastAsia="Times New Roman" w:cstheme="minorHAnsi"/>
          <w:spacing w:val="1"/>
        </w:rPr>
        <w:t>c</w:t>
      </w:r>
      <w:r w:rsidRPr="00A54361">
        <w:rPr>
          <w:rFonts w:eastAsia="Times New Roman" w:cstheme="minorHAnsi"/>
          <w:spacing w:val="-1"/>
        </w:rPr>
        <w:t>e</w:t>
      </w:r>
      <w:r w:rsidRPr="00A54361">
        <w:rPr>
          <w:rFonts w:eastAsia="Times New Roman" w:cstheme="minorHAnsi"/>
        </w:rPr>
        <w:t>ipt</w:t>
      </w:r>
      <w:r w:rsidRPr="00A54361">
        <w:rPr>
          <w:rFonts w:eastAsia="Times New Roman" w:cstheme="minorHAnsi"/>
          <w:spacing w:val="-2"/>
        </w:rPr>
        <w:t xml:space="preserve"> </w:t>
      </w:r>
      <w:r w:rsidRPr="00A54361">
        <w:rPr>
          <w:rFonts w:eastAsia="Times New Roman" w:cstheme="minorHAnsi"/>
        </w:rPr>
        <w:t>of</w:t>
      </w:r>
      <w:r w:rsidRPr="00A54361">
        <w:rPr>
          <w:rFonts w:eastAsia="Times New Roman" w:cstheme="minorHAnsi"/>
          <w:spacing w:val="-3"/>
        </w:rPr>
        <w:t xml:space="preserve"> </w:t>
      </w:r>
      <w:r w:rsidRPr="00A54361">
        <w:rPr>
          <w:rFonts w:eastAsia="Times New Roman" w:cstheme="minorHAnsi"/>
        </w:rPr>
        <w:t>the</w:t>
      </w:r>
      <w:r w:rsidRPr="00A54361">
        <w:rPr>
          <w:rFonts w:eastAsia="Times New Roman" w:cstheme="minorHAnsi"/>
          <w:spacing w:val="-3"/>
        </w:rPr>
        <w:t xml:space="preserve"> </w:t>
      </w:r>
      <w:r w:rsidRPr="00A54361">
        <w:rPr>
          <w:rFonts w:eastAsia="Times New Roman" w:cstheme="minorHAnsi"/>
        </w:rPr>
        <w:t>order</w:t>
      </w:r>
      <w:r w:rsidRPr="00A54361">
        <w:rPr>
          <w:rFonts w:eastAsia="Times New Roman" w:cstheme="minorHAnsi"/>
          <w:spacing w:val="-3"/>
        </w:rPr>
        <w:t xml:space="preserve"> </w:t>
      </w:r>
      <w:r w:rsidRPr="00A54361">
        <w:rPr>
          <w:rFonts w:eastAsia="Times New Roman" w:cstheme="minorHAnsi"/>
        </w:rPr>
        <w:t>b</w:t>
      </w:r>
      <w:r w:rsidRPr="00A54361">
        <w:rPr>
          <w:rFonts w:eastAsia="Times New Roman" w:cstheme="minorHAnsi"/>
          <w:spacing w:val="-1"/>
        </w:rPr>
        <w:t>a</w:t>
      </w:r>
      <w:r w:rsidRPr="00A54361">
        <w:rPr>
          <w:rFonts w:eastAsia="Times New Roman" w:cstheme="minorHAnsi"/>
        </w:rPr>
        <w:t>nni</w:t>
      </w:r>
      <w:r w:rsidRPr="00A54361">
        <w:rPr>
          <w:rFonts w:eastAsia="Times New Roman" w:cstheme="minorHAnsi"/>
          <w:spacing w:val="3"/>
        </w:rPr>
        <w:t>n</w:t>
      </w:r>
      <w:r w:rsidRPr="00A54361">
        <w:rPr>
          <w:rFonts w:eastAsia="Times New Roman" w:cstheme="minorHAnsi"/>
        </w:rPr>
        <w:t>g</w:t>
      </w:r>
      <w:r w:rsidRPr="00A54361">
        <w:rPr>
          <w:rFonts w:eastAsia="Times New Roman" w:cstheme="minorHAnsi"/>
          <w:spacing w:val="-5"/>
        </w:rPr>
        <w:t xml:space="preserve"> </w:t>
      </w:r>
      <w:r w:rsidRPr="00A54361">
        <w:rPr>
          <w:rFonts w:eastAsia="Times New Roman" w:cstheme="minorHAnsi"/>
        </w:rPr>
        <w:t>b</w:t>
      </w:r>
      <w:r w:rsidRPr="00A54361">
        <w:rPr>
          <w:rFonts w:eastAsia="Times New Roman" w:cstheme="minorHAnsi"/>
          <w:spacing w:val="2"/>
        </w:rPr>
        <w:t>u</w:t>
      </w:r>
      <w:r w:rsidRPr="00A54361">
        <w:rPr>
          <w:rFonts w:eastAsia="Times New Roman" w:cstheme="minorHAnsi"/>
        </w:rPr>
        <w:t>siness</w:t>
      </w:r>
      <w:r w:rsidRPr="00A54361">
        <w:rPr>
          <w:rFonts w:eastAsia="Times New Roman" w:cstheme="minorHAnsi"/>
          <w:spacing w:val="-2"/>
        </w:rPr>
        <w:t xml:space="preserve"> </w:t>
      </w:r>
      <w:r w:rsidRPr="00A54361">
        <w:rPr>
          <w:rFonts w:eastAsia="Times New Roman" w:cstheme="minorHAnsi"/>
        </w:rPr>
        <w:t>d</w:t>
      </w:r>
      <w:r w:rsidRPr="00A54361">
        <w:rPr>
          <w:rFonts w:eastAsia="Times New Roman" w:cstheme="minorHAnsi"/>
          <w:spacing w:val="-1"/>
        </w:rPr>
        <w:t>ea</w:t>
      </w:r>
      <w:r w:rsidRPr="00A54361">
        <w:rPr>
          <w:rFonts w:eastAsia="Times New Roman" w:cstheme="minorHAnsi"/>
        </w:rPr>
        <w:t>l</w:t>
      </w:r>
      <w:r w:rsidRPr="00A54361">
        <w:rPr>
          <w:rFonts w:eastAsia="Times New Roman" w:cstheme="minorHAnsi"/>
          <w:spacing w:val="1"/>
        </w:rPr>
        <w:t>i</w:t>
      </w:r>
      <w:r w:rsidRPr="00A54361">
        <w:rPr>
          <w:rFonts w:eastAsia="Times New Roman" w:cstheme="minorHAnsi"/>
        </w:rPr>
        <w:t>n</w:t>
      </w:r>
      <w:r w:rsidRPr="00A54361">
        <w:rPr>
          <w:rFonts w:eastAsia="Times New Roman" w:cstheme="minorHAnsi"/>
          <w:spacing w:val="-2"/>
        </w:rPr>
        <w:t>g</w:t>
      </w:r>
      <w:r w:rsidRPr="00A54361">
        <w:rPr>
          <w:rFonts w:eastAsia="Times New Roman" w:cstheme="minorHAnsi"/>
        </w:rPr>
        <w:t xml:space="preserve">, </w:t>
      </w:r>
      <w:r w:rsidRPr="00A54361">
        <w:rPr>
          <w:rFonts w:eastAsia="Times New Roman" w:cstheme="minorHAnsi"/>
          <w:spacing w:val="-1"/>
        </w:rPr>
        <w:t>e</w:t>
      </w:r>
      <w:r w:rsidRPr="00A54361">
        <w:rPr>
          <w:rFonts w:eastAsia="Times New Roman" w:cstheme="minorHAnsi"/>
        </w:rPr>
        <w:t>tc.</w:t>
      </w:r>
    </w:p>
    <w:p w14:paraId="7AA27B5E" w14:textId="77777777" w:rsidR="0054549F" w:rsidRPr="00A54361" w:rsidRDefault="0054549F" w:rsidP="00A54361">
      <w:pPr>
        <w:ind w:left="100" w:right="80"/>
        <w:jc w:val="both"/>
        <w:rPr>
          <w:rFonts w:cstheme="minorHAnsi"/>
        </w:rPr>
      </w:pPr>
      <w:r w:rsidRPr="00A54361">
        <w:rPr>
          <w:rFonts w:eastAsia="Times New Roman" w:cstheme="minorHAnsi"/>
        </w:rPr>
        <w:t>10.2 App</w:t>
      </w:r>
      <w:r w:rsidRPr="00A54361">
        <w:rPr>
          <w:rFonts w:eastAsia="Times New Roman" w:cstheme="minorHAnsi"/>
          <w:spacing w:val="-1"/>
        </w:rPr>
        <w:t>e</w:t>
      </w:r>
      <w:r w:rsidRPr="00A54361">
        <w:rPr>
          <w:rFonts w:eastAsia="Times New Roman" w:cstheme="minorHAnsi"/>
        </w:rPr>
        <w:t>l</w:t>
      </w:r>
      <w:r w:rsidRPr="00A54361">
        <w:rPr>
          <w:rFonts w:eastAsia="Times New Roman" w:cstheme="minorHAnsi"/>
          <w:spacing w:val="1"/>
        </w:rPr>
        <w:t>l</w:t>
      </w:r>
      <w:r w:rsidRPr="00A54361">
        <w:rPr>
          <w:rFonts w:eastAsia="Times New Roman" w:cstheme="minorHAnsi"/>
          <w:spacing w:val="-1"/>
        </w:rPr>
        <w:t>a</w:t>
      </w:r>
      <w:r w:rsidRPr="00A54361">
        <w:rPr>
          <w:rFonts w:eastAsia="Times New Roman" w:cstheme="minorHAnsi"/>
        </w:rPr>
        <w:t xml:space="preserve">te </w:t>
      </w:r>
      <w:r w:rsidRPr="00A54361">
        <w:rPr>
          <w:rFonts w:eastAsia="Times New Roman" w:cstheme="minorHAnsi"/>
          <w:spacing w:val="-1"/>
        </w:rPr>
        <w:t>A</w:t>
      </w:r>
      <w:r w:rsidRPr="00A54361">
        <w:rPr>
          <w:rFonts w:eastAsia="Times New Roman" w:cstheme="minorHAnsi"/>
        </w:rPr>
        <w:t>uthori</w:t>
      </w:r>
      <w:r w:rsidRPr="00A54361">
        <w:rPr>
          <w:rFonts w:eastAsia="Times New Roman" w:cstheme="minorHAnsi"/>
          <w:spacing w:val="5"/>
        </w:rPr>
        <w:t>t</w:t>
      </w:r>
      <w:r w:rsidRPr="00A54361">
        <w:rPr>
          <w:rFonts w:eastAsia="Times New Roman" w:cstheme="minorHAnsi"/>
        </w:rPr>
        <w:t>y</w:t>
      </w:r>
      <w:r w:rsidRPr="00A54361">
        <w:rPr>
          <w:rFonts w:eastAsia="Times New Roman" w:cstheme="minorHAnsi"/>
          <w:spacing w:val="-2"/>
        </w:rPr>
        <w:t xml:space="preserve"> </w:t>
      </w:r>
      <w:r w:rsidRPr="00A54361">
        <w:rPr>
          <w:rFonts w:eastAsia="Times New Roman" w:cstheme="minorHAnsi"/>
        </w:rPr>
        <w:t xml:space="preserve">would </w:t>
      </w:r>
      <w:r w:rsidRPr="00A54361">
        <w:rPr>
          <w:rFonts w:eastAsia="Times New Roman" w:cstheme="minorHAnsi"/>
          <w:spacing w:val="-1"/>
        </w:rPr>
        <w:t>c</w:t>
      </w:r>
      <w:r w:rsidRPr="00A54361">
        <w:rPr>
          <w:rFonts w:eastAsia="Times New Roman" w:cstheme="minorHAnsi"/>
        </w:rPr>
        <w:t>onsid</w:t>
      </w:r>
      <w:r w:rsidRPr="00A54361">
        <w:rPr>
          <w:rFonts w:eastAsia="Times New Roman" w:cstheme="minorHAnsi"/>
          <w:spacing w:val="-1"/>
        </w:rPr>
        <w:t>e</w:t>
      </w:r>
      <w:r w:rsidRPr="00A54361">
        <w:rPr>
          <w:rFonts w:eastAsia="Times New Roman" w:cstheme="minorHAnsi"/>
        </w:rPr>
        <w:t>r the</w:t>
      </w:r>
      <w:r w:rsidRPr="00A54361">
        <w:rPr>
          <w:rFonts w:eastAsia="Times New Roman" w:cstheme="minorHAnsi"/>
          <w:spacing w:val="1"/>
        </w:rPr>
        <w:t xml:space="preserve"> </w:t>
      </w:r>
      <w:r w:rsidRPr="00A54361">
        <w:rPr>
          <w:rFonts w:eastAsia="Times New Roman" w:cstheme="minorHAnsi"/>
          <w:spacing w:val="-1"/>
        </w:rPr>
        <w:t>a</w:t>
      </w:r>
      <w:r w:rsidRPr="00A54361">
        <w:rPr>
          <w:rFonts w:eastAsia="Times New Roman" w:cstheme="minorHAnsi"/>
        </w:rPr>
        <w:t>pp</w:t>
      </w:r>
      <w:r w:rsidRPr="00A54361">
        <w:rPr>
          <w:rFonts w:eastAsia="Times New Roman" w:cstheme="minorHAnsi"/>
          <w:spacing w:val="1"/>
        </w:rPr>
        <w:t>e</w:t>
      </w:r>
      <w:r w:rsidRPr="00A54361">
        <w:rPr>
          <w:rFonts w:eastAsia="Times New Roman" w:cstheme="minorHAnsi"/>
          <w:spacing w:val="-1"/>
        </w:rPr>
        <w:t>a</w:t>
      </w:r>
      <w:r w:rsidRPr="00A54361">
        <w:rPr>
          <w:rFonts w:eastAsia="Times New Roman" w:cstheme="minorHAnsi"/>
        </w:rPr>
        <w:t>l and p</w:t>
      </w:r>
      <w:r w:rsidRPr="00A54361">
        <w:rPr>
          <w:rFonts w:eastAsia="Times New Roman" w:cstheme="minorHAnsi"/>
          <w:spacing w:val="-1"/>
        </w:rPr>
        <w:t>a</w:t>
      </w:r>
      <w:r w:rsidRPr="00A54361">
        <w:rPr>
          <w:rFonts w:eastAsia="Times New Roman" w:cstheme="minorHAnsi"/>
        </w:rPr>
        <w:t>ss ap</w:t>
      </w:r>
      <w:r w:rsidRPr="00A54361">
        <w:rPr>
          <w:rFonts w:eastAsia="Times New Roman" w:cstheme="minorHAnsi"/>
          <w:spacing w:val="2"/>
        </w:rPr>
        <w:t>p</w:t>
      </w:r>
      <w:r w:rsidRPr="00A54361">
        <w:rPr>
          <w:rFonts w:eastAsia="Times New Roman" w:cstheme="minorHAnsi"/>
        </w:rPr>
        <w:t>rop</w:t>
      </w:r>
      <w:r w:rsidRPr="00A54361">
        <w:rPr>
          <w:rFonts w:eastAsia="Times New Roman" w:cstheme="minorHAnsi"/>
          <w:spacing w:val="-1"/>
        </w:rPr>
        <w:t>r</w:t>
      </w:r>
      <w:r w:rsidRPr="00A54361">
        <w:rPr>
          <w:rFonts w:eastAsia="Times New Roman" w:cstheme="minorHAnsi"/>
        </w:rPr>
        <w:t>iate</w:t>
      </w:r>
      <w:r w:rsidRPr="00A54361">
        <w:rPr>
          <w:rFonts w:eastAsia="Times New Roman" w:cstheme="minorHAnsi"/>
          <w:spacing w:val="1"/>
        </w:rPr>
        <w:t xml:space="preserve"> </w:t>
      </w:r>
      <w:r w:rsidRPr="00A54361">
        <w:rPr>
          <w:rFonts w:eastAsia="Times New Roman" w:cstheme="minorHAnsi"/>
          <w:spacing w:val="2"/>
        </w:rPr>
        <w:t>o</w:t>
      </w:r>
      <w:r w:rsidRPr="00A54361">
        <w:rPr>
          <w:rFonts w:eastAsia="Times New Roman" w:cstheme="minorHAnsi"/>
        </w:rPr>
        <w:t>rd</w:t>
      </w:r>
      <w:r w:rsidRPr="00A54361">
        <w:rPr>
          <w:rFonts w:eastAsia="Times New Roman" w:cstheme="minorHAnsi"/>
          <w:spacing w:val="-2"/>
        </w:rPr>
        <w:t>e</w:t>
      </w:r>
      <w:r w:rsidRPr="00A54361">
        <w:rPr>
          <w:rFonts w:eastAsia="Times New Roman" w:cstheme="minorHAnsi"/>
        </w:rPr>
        <w:t xml:space="preserve">r </w:t>
      </w:r>
      <w:r w:rsidRPr="00A54361">
        <w:rPr>
          <w:rFonts w:eastAsia="Times New Roman" w:cstheme="minorHAnsi"/>
          <w:spacing w:val="-1"/>
        </w:rPr>
        <w:t>w</w:t>
      </w:r>
      <w:r w:rsidRPr="00A54361">
        <w:rPr>
          <w:rFonts w:eastAsia="Times New Roman" w:cstheme="minorHAnsi"/>
        </w:rPr>
        <w:t>hi</w:t>
      </w:r>
      <w:r w:rsidRPr="00A54361">
        <w:rPr>
          <w:rFonts w:eastAsia="Times New Roman" w:cstheme="minorHAnsi"/>
          <w:spacing w:val="2"/>
        </w:rPr>
        <w:t>c</w:t>
      </w:r>
      <w:r w:rsidRPr="00A54361">
        <w:rPr>
          <w:rFonts w:eastAsia="Times New Roman" w:cstheme="minorHAnsi"/>
        </w:rPr>
        <w:t>h sh</w:t>
      </w:r>
      <w:r w:rsidRPr="00A54361">
        <w:rPr>
          <w:rFonts w:eastAsia="Times New Roman" w:cstheme="minorHAnsi"/>
          <w:spacing w:val="-1"/>
        </w:rPr>
        <w:t>a</w:t>
      </w:r>
      <w:r w:rsidRPr="00A54361">
        <w:rPr>
          <w:rFonts w:eastAsia="Times New Roman" w:cstheme="minorHAnsi"/>
        </w:rPr>
        <w:t>ll</w:t>
      </w:r>
      <w:r w:rsidRPr="00A54361">
        <w:rPr>
          <w:rFonts w:eastAsia="Times New Roman" w:cstheme="minorHAnsi"/>
          <w:spacing w:val="1"/>
        </w:rPr>
        <w:t xml:space="preserve"> </w:t>
      </w:r>
      <w:r w:rsidRPr="00A54361">
        <w:rPr>
          <w:rFonts w:eastAsia="Times New Roman" w:cstheme="minorHAnsi"/>
        </w:rPr>
        <w:t xml:space="preserve">be </w:t>
      </w:r>
      <w:r w:rsidRPr="00A54361">
        <w:rPr>
          <w:rFonts w:eastAsia="Times New Roman" w:cstheme="minorHAnsi"/>
          <w:spacing w:val="-1"/>
        </w:rPr>
        <w:t>c</w:t>
      </w:r>
      <w:r w:rsidRPr="00A54361">
        <w:rPr>
          <w:rFonts w:eastAsia="Times New Roman" w:cstheme="minorHAnsi"/>
        </w:rPr>
        <w:t>om</w:t>
      </w:r>
      <w:r w:rsidRPr="00A54361">
        <w:rPr>
          <w:rFonts w:eastAsia="Times New Roman" w:cstheme="minorHAnsi"/>
          <w:spacing w:val="1"/>
        </w:rPr>
        <w:t>m</w:t>
      </w:r>
      <w:r w:rsidRPr="00A54361">
        <w:rPr>
          <w:rFonts w:eastAsia="Times New Roman" w:cstheme="minorHAnsi"/>
        </w:rPr>
        <w:t>unic</w:t>
      </w:r>
      <w:r w:rsidRPr="00A54361">
        <w:rPr>
          <w:rFonts w:eastAsia="Times New Roman" w:cstheme="minorHAnsi"/>
          <w:spacing w:val="-1"/>
        </w:rPr>
        <w:t>a</w:t>
      </w:r>
      <w:r w:rsidRPr="00A54361">
        <w:rPr>
          <w:rFonts w:eastAsia="Times New Roman" w:cstheme="minorHAnsi"/>
        </w:rPr>
        <w:t xml:space="preserve">ted to the </w:t>
      </w:r>
      <w:r w:rsidRPr="00A54361">
        <w:rPr>
          <w:rFonts w:eastAsia="Times New Roman" w:cstheme="minorHAnsi"/>
          <w:spacing w:val="1"/>
        </w:rPr>
        <w:t>A</w:t>
      </w:r>
      <w:r w:rsidRPr="00A54361">
        <w:rPr>
          <w:rFonts w:eastAsia="Times New Roman" w:cstheme="minorHAnsi"/>
        </w:rPr>
        <w:t>g</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4"/>
        </w:rPr>
        <w:t>c</w:t>
      </w:r>
      <w:r w:rsidRPr="00A54361">
        <w:rPr>
          <w:rFonts w:eastAsia="Times New Roman" w:cstheme="minorHAnsi"/>
        </w:rPr>
        <w:t>y</w:t>
      </w:r>
      <w:r w:rsidRPr="00A54361">
        <w:rPr>
          <w:rFonts w:eastAsia="Times New Roman" w:cstheme="minorHAnsi"/>
          <w:spacing w:val="-5"/>
        </w:rPr>
        <w:t xml:space="preserve"> </w:t>
      </w:r>
      <w:r w:rsidRPr="00A54361">
        <w:rPr>
          <w:rFonts w:eastAsia="Times New Roman" w:cstheme="minorHAnsi"/>
          <w:spacing w:val="-1"/>
        </w:rPr>
        <w:t>a</w:t>
      </w:r>
      <w:r w:rsidRPr="00A54361">
        <w:rPr>
          <w:rFonts w:eastAsia="Times New Roman" w:cstheme="minorHAnsi"/>
        </w:rPr>
        <w:t xml:space="preserve">s </w:t>
      </w:r>
      <w:r w:rsidRPr="00A54361">
        <w:rPr>
          <w:rFonts w:eastAsia="Times New Roman" w:cstheme="minorHAnsi"/>
          <w:spacing w:val="2"/>
        </w:rPr>
        <w:t>w</w:t>
      </w:r>
      <w:r w:rsidRPr="00A54361">
        <w:rPr>
          <w:rFonts w:eastAsia="Times New Roman" w:cstheme="minorHAnsi"/>
          <w:spacing w:val="-1"/>
        </w:rPr>
        <w:t>e</w:t>
      </w:r>
      <w:r w:rsidRPr="00A54361">
        <w:rPr>
          <w:rFonts w:eastAsia="Times New Roman" w:cstheme="minorHAnsi"/>
        </w:rPr>
        <w:t>ll</w:t>
      </w:r>
      <w:r w:rsidRPr="00A54361">
        <w:rPr>
          <w:rFonts w:eastAsia="Times New Roman" w:cstheme="minorHAnsi"/>
          <w:spacing w:val="1"/>
        </w:rPr>
        <w:t xml:space="preserve"> </w:t>
      </w:r>
      <w:r w:rsidRPr="00A54361">
        <w:rPr>
          <w:rFonts w:eastAsia="Times New Roman" w:cstheme="minorHAnsi"/>
          <w:spacing w:val="-1"/>
        </w:rPr>
        <w:t>a</w:t>
      </w:r>
      <w:r w:rsidRPr="00A54361">
        <w:rPr>
          <w:rFonts w:eastAsia="Times New Roman" w:cstheme="minorHAnsi"/>
        </w:rPr>
        <w:t>s the Co</w:t>
      </w:r>
      <w:r w:rsidRPr="00A54361">
        <w:rPr>
          <w:rFonts w:eastAsia="Times New Roman" w:cstheme="minorHAnsi"/>
          <w:spacing w:val="1"/>
        </w:rPr>
        <w:t>m</w:t>
      </w:r>
      <w:r w:rsidRPr="00A54361">
        <w:rPr>
          <w:rFonts w:eastAsia="Times New Roman" w:cstheme="minorHAnsi"/>
        </w:rPr>
        <w:t>p</w:t>
      </w:r>
      <w:r w:rsidRPr="00A54361">
        <w:rPr>
          <w:rFonts w:eastAsia="Times New Roman" w:cstheme="minorHAnsi"/>
          <w:spacing w:val="-1"/>
        </w:rPr>
        <w:t>e</w:t>
      </w:r>
      <w:r w:rsidRPr="00A54361">
        <w:rPr>
          <w:rFonts w:eastAsia="Times New Roman" w:cstheme="minorHAnsi"/>
        </w:rPr>
        <w:t>tent Autho</w:t>
      </w:r>
      <w:r w:rsidRPr="00A54361">
        <w:rPr>
          <w:rFonts w:eastAsia="Times New Roman" w:cstheme="minorHAnsi"/>
          <w:spacing w:val="-1"/>
        </w:rPr>
        <w:t>r</w:t>
      </w:r>
      <w:r w:rsidRPr="00A54361">
        <w:rPr>
          <w:rFonts w:eastAsia="Times New Roman" w:cstheme="minorHAnsi"/>
        </w:rPr>
        <w:t>i</w:t>
      </w:r>
      <w:r w:rsidRPr="00A54361">
        <w:rPr>
          <w:rFonts w:eastAsia="Times New Roman" w:cstheme="minorHAnsi"/>
          <w:spacing w:val="3"/>
        </w:rPr>
        <w:t>t</w:t>
      </w:r>
      <w:r w:rsidRPr="00A54361">
        <w:rPr>
          <w:rFonts w:eastAsia="Times New Roman" w:cstheme="minorHAnsi"/>
          <w:spacing w:val="-5"/>
        </w:rPr>
        <w:t>y</w:t>
      </w:r>
      <w:r w:rsidRPr="00A54361">
        <w:rPr>
          <w:rFonts w:eastAsia="Times New Roman" w:cstheme="minorHAnsi"/>
        </w:rPr>
        <w:t>.</w:t>
      </w:r>
    </w:p>
    <w:p w14:paraId="4663BF48" w14:textId="77777777" w:rsidR="0054549F" w:rsidRPr="00A54361" w:rsidRDefault="0054549F" w:rsidP="00A54361">
      <w:pPr>
        <w:ind w:left="-284" w:right="3539"/>
        <w:jc w:val="both"/>
        <w:rPr>
          <w:rFonts w:cstheme="minorHAnsi"/>
        </w:rPr>
      </w:pPr>
      <w:r w:rsidRPr="00A54361">
        <w:rPr>
          <w:rFonts w:eastAsia="Times New Roman" w:cstheme="minorHAnsi"/>
          <w:b/>
        </w:rPr>
        <w:t>11 R</w:t>
      </w:r>
      <w:r w:rsidRPr="00A54361">
        <w:rPr>
          <w:rFonts w:eastAsia="Times New Roman" w:cstheme="minorHAnsi"/>
          <w:b/>
          <w:spacing w:val="-1"/>
        </w:rPr>
        <w:t>e</w:t>
      </w:r>
      <w:r w:rsidRPr="00A54361">
        <w:rPr>
          <w:rFonts w:eastAsia="Times New Roman" w:cstheme="minorHAnsi"/>
          <w:b/>
        </w:rPr>
        <w:t>view</w:t>
      </w:r>
      <w:r w:rsidRPr="00A54361">
        <w:rPr>
          <w:rFonts w:eastAsia="Times New Roman" w:cstheme="minorHAnsi"/>
          <w:b/>
          <w:spacing w:val="1"/>
        </w:rPr>
        <w:t xml:space="preserve"> </w:t>
      </w:r>
      <w:r w:rsidRPr="00A54361">
        <w:rPr>
          <w:rFonts w:eastAsia="Times New Roman" w:cstheme="minorHAnsi"/>
          <w:b/>
        </w:rPr>
        <w:t>of</w:t>
      </w:r>
      <w:r w:rsidRPr="00A54361">
        <w:rPr>
          <w:rFonts w:eastAsia="Times New Roman" w:cstheme="minorHAnsi"/>
          <w:b/>
          <w:spacing w:val="1"/>
        </w:rPr>
        <w:t xml:space="preserve"> </w:t>
      </w:r>
      <w:r w:rsidRPr="00A54361">
        <w:rPr>
          <w:rFonts w:eastAsia="Times New Roman" w:cstheme="minorHAnsi"/>
          <w:b/>
        </w:rPr>
        <w:t xml:space="preserve">the </w:t>
      </w:r>
      <w:r w:rsidRPr="00A54361">
        <w:rPr>
          <w:rFonts w:eastAsia="Times New Roman" w:cstheme="minorHAnsi"/>
          <w:b/>
          <w:spacing w:val="-1"/>
        </w:rPr>
        <w:t>Dec</w:t>
      </w:r>
      <w:r w:rsidRPr="00A54361">
        <w:rPr>
          <w:rFonts w:eastAsia="Times New Roman" w:cstheme="minorHAnsi"/>
          <w:b/>
        </w:rPr>
        <w:t>is</w:t>
      </w:r>
      <w:r w:rsidRPr="00A54361">
        <w:rPr>
          <w:rFonts w:eastAsia="Times New Roman" w:cstheme="minorHAnsi"/>
          <w:b/>
          <w:spacing w:val="1"/>
        </w:rPr>
        <w:t>i</w:t>
      </w:r>
      <w:r w:rsidRPr="00A54361">
        <w:rPr>
          <w:rFonts w:eastAsia="Times New Roman" w:cstheme="minorHAnsi"/>
          <w:b/>
        </w:rPr>
        <w:t>on</w:t>
      </w:r>
      <w:r w:rsidRPr="00A54361">
        <w:rPr>
          <w:rFonts w:eastAsia="Times New Roman" w:cstheme="minorHAnsi"/>
          <w:b/>
          <w:spacing w:val="1"/>
        </w:rPr>
        <w:t xml:space="preserve"> b</w:t>
      </w:r>
      <w:r w:rsidRPr="00A54361">
        <w:rPr>
          <w:rFonts w:eastAsia="Times New Roman" w:cstheme="minorHAnsi"/>
          <w:b/>
        </w:rPr>
        <w:t xml:space="preserve">y the </w:t>
      </w:r>
      <w:r w:rsidRPr="00A54361">
        <w:rPr>
          <w:rFonts w:eastAsia="Times New Roman" w:cstheme="minorHAnsi"/>
          <w:b/>
          <w:spacing w:val="-1"/>
        </w:rPr>
        <w:t>C</w:t>
      </w:r>
      <w:r w:rsidRPr="00A54361">
        <w:rPr>
          <w:rFonts w:eastAsia="Times New Roman" w:cstheme="minorHAnsi"/>
          <w:b/>
        </w:rPr>
        <w:t>o</w:t>
      </w:r>
      <w:r w:rsidRPr="00A54361">
        <w:rPr>
          <w:rFonts w:eastAsia="Times New Roman" w:cstheme="minorHAnsi"/>
          <w:b/>
          <w:spacing w:val="-3"/>
        </w:rPr>
        <w:t>m</w:t>
      </w:r>
      <w:r w:rsidRPr="00A54361">
        <w:rPr>
          <w:rFonts w:eastAsia="Times New Roman" w:cstheme="minorHAnsi"/>
          <w:b/>
          <w:spacing w:val="1"/>
        </w:rPr>
        <w:t>p</w:t>
      </w:r>
      <w:r w:rsidRPr="00A54361">
        <w:rPr>
          <w:rFonts w:eastAsia="Times New Roman" w:cstheme="minorHAnsi"/>
          <w:b/>
          <w:spacing w:val="-1"/>
        </w:rPr>
        <w:t>e</w:t>
      </w:r>
      <w:r w:rsidRPr="00A54361">
        <w:rPr>
          <w:rFonts w:eastAsia="Times New Roman" w:cstheme="minorHAnsi"/>
          <w:b/>
          <w:spacing w:val="1"/>
        </w:rPr>
        <w:t>t</w:t>
      </w:r>
      <w:r w:rsidRPr="00A54361">
        <w:rPr>
          <w:rFonts w:eastAsia="Times New Roman" w:cstheme="minorHAnsi"/>
          <w:b/>
          <w:spacing w:val="-1"/>
        </w:rPr>
        <w:t>e</w:t>
      </w:r>
      <w:r w:rsidRPr="00A54361">
        <w:rPr>
          <w:rFonts w:eastAsia="Times New Roman" w:cstheme="minorHAnsi"/>
          <w:b/>
          <w:spacing w:val="1"/>
        </w:rPr>
        <w:t>n</w:t>
      </w:r>
      <w:r w:rsidRPr="00A54361">
        <w:rPr>
          <w:rFonts w:eastAsia="Times New Roman" w:cstheme="minorHAnsi"/>
          <w:b/>
        </w:rPr>
        <w:t xml:space="preserve">t </w:t>
      </w:r>
      <w:r w:rsidRPr="00A54361">
        <w:rPr>
          <w:rFonts w:eastAsia="Times New Roman" w:cstheme="minorHAnsi"/>
          <w:b/>
          <w:spacing w:val="1"/>
        </w:rPr>
        <w:t>Au</w:t>
      </w:r>
      <w:r w:rsidRPr="00A54361">
        <w:rPr>
          <w:rFonts w:eastAsia="Times New Roman" w:cstheme="minorHAnsi"/>
          <w:b/>
        </w:rPr>
        <w:t>tho</w:t>
      </w:r>
      <w:r w:rsidRPr="00A54361">
        <w:rPr>
          <w:rFonts w:eastAsia="Times New Roman" w:cstheme="minorHAnsi"/>
          <w:b/>
          <w:spacing w:val="-1"/>
        </w:rPr>
        <w:t>r</w:t>
      </w:r>
      <w:r w:rsidRPr="00A54361">
        <w:rPr>
          <w:rFonts w:eastAsia="Times New Roman" w:cstheme="minorHAnsi"/>
          <w:b/>
        </w:rPr>
        <w:t>ity</w:t>
      </w:r>
    </w:p>
    <w:p w14:paraId="7BAE09FD" w14:textId="77777777" w:rsidR="0054549F" w:rsidRPr="00A54361" w:rsidRDefault="0054549F" w:rsidP="00A54361">
      <w:pPr>
        <w:spacing w:line="260" w:lineRule="exact"/>
        <w:ind w:left="100" w:right="92"/>
        <w:jc w:val="both"/>
        <w:rPr>
          <w:rFonts w:cstheme="minorHAnsi"/>
        </w:rPr>
      </w:pPr>
      <w:r w:rsidRPr="00A54361">
        <w:rPr>
          <w:rFonts w:eastAsia="Times New Roman" w:cstheme="minorHAnsi"/>
        </w:rPr>
        <w:t>A</w:t>
      </w:r>
      <w:r w:rsidRPr="00A54361">
        <w:rPr>
          <w:rFonts w:eastAsia="Times New Roman" w:cstheme="minorHAnsi"/>
          <w:spacing w:val="2"/>
        </w:rPr>
        <w:t>n</w:t>
      </w:r>
      <w:r w:rsidRPr="00A54361">
        <w:rPr>
          <w:rFonts w:eastAsia="Times New Roman" w:cstheme="minorHAnsi"/>
        </w:rPr>
        <w:t>y</w:t>
      </w:r>
      <w:r w:rsidRPr="00A54361">
        <w:rPr>
          <w:rFonts w:eastAsia="Times New Roman" w:cstheme="minorHAnsi"/>
          <w:spacing w:val="24"/>
        </w:rPr>
        <w:t xml:space="preserve"> </w:t>
      </w:r>
      <w:r w:rsidRPr="00A54361">
        <w:rPr>
          <w:rFonts w:eastAsia="Times New Roman" w:cstheme="minorHAnsi"/>
          <w:spacing w:val="2"/>
        </w:rPr>
        <w:t>p</w:t>
      </w:r>
      <w:r w:rsidRPr="00A54361">
        <w:rPr>
          <w:rFonts w:eastAsia="Times New Roman" w:cstheme="minorHAnsi"/>
          <w:spacing w:val="-1"/>
        </w:rPr>
        <w:t>e</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on</w:t>
      </w:r>
      <w:r w:rsidRPr="00A54361">
        <w:rPr>
          <w:rFonts w:eastAsia="Times New Roman" w:cstheme="minorHAnsi"/>
          <w:spacing w:val="29"/>
        </w:rPr>
        <w:t xml:space="preserve"> </w:t>
      </w:r>
      <w:r w:rsidRPr="00A54361">
        <w:rPr>
          <w:rFonts w:eastAsia="Times New Roman" w:cstheme="minorHAnsi"/>
        </w:rPr>
        <w:t>/</w:t>
      </w:r>
      <w:r w:rsidRPr="00A54361">
        <w:rPr>
          <w:rFonts w:eastAsia="Times New Roman" w:cstheme="minorHAnsi"/>
          <w:spacing w:val="29"/>
        </w:rPr>
        <w:t xml:space="preserve"> </w:t>
      </w:r>
      <w:r w:rsidRPr="00A54361">
        <w:rPr>
          <w:rFonts w:eastAsia="Times New Roman" w:cstheme="minorHAnsi"/>
          <w:spacing w:val="-1"/>
        </w:rPr>
        <w:t>a</w:t>
      </w:r>
      <w:r w:rsidRPr="00A54361">
        <w:rPr>
          <w:rFonts w:eastAsia="Times New Roman" w:cstheme="minorHAnsi"/>
        </w:rPr>
        <w:t>ppl</w:t>
      </w:r>
      <w:r w:rsidRPr="00A54361">
        <w:rPr>
          <w:rFonts w:eastAsia="Times New Roman" w:cstheme="minorHAnsi"/>
          <w:spacing w:val="1"/>
        </w:rPr>
        <w:t>i</w:t>
      </w:r>
      <w:r w:rsidRPr="00A54361">
        <w:rPr>
          <w:rFonts w:eastAsia="Times New Roman" w:cstheme="minorHAnsi"/>
          <w:spacing w:val="-1"/>
        </w:rPr>
        <w:t>ca</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on</w:t>
      </w:r>
      <w:r w:rsidRPr="00A54361">
        <w:rPr>
          <w:rFonts w:eastAsia="Times New Roman" w:cstheme="minorHAnsi"/>
          <w:spacing w:val="29"/>
        </w:rPr>
        <w:t xml:space="preserve"> </w:t>
      </w:r>
      <w:r w:rsidRPr="00A54361">
        <w:rPr>
          <w:rFonts w:eastAsia="Times New Roman" w:cstheme="minorHAnsi"/>
        </w:rPr>
        <w:t>fil</w:t>
      </w:r>
      <w:r w:rsidRPr="00A54361">
        <w:rPr>
          <w:rFonts w:eastAsia="Times New Roman" w:cstheme="minorHAnsi"/>
          <w:spacing w:val="-1"/>
        </w:rPr>
        <w:t>e</w:t>
      </w:r>
      <w:r w:rsidRPr="00A54361">
        <w:rPr>
          <w:rFonts w:eastAsia="Times New Roman" w:cstheme="minorHAnsi"/>
        </w:rPr>
        <w:t>d</w:t>
      </w:r>
      <w:r w:rsidRPr="00A54361">
        <w:rPr>
          <w:rFonts w:eastAsia="Times New Roman" w:cstheme="minorHAnsi"/>
          <w:spacing w:val="29"/>
        </w:rPr>
        <w:t xml:space="preserve"> </w:t>
      </w:r>
      <w:r w:rsidRPr="00A54361">
        <w:rPr>
          <w:rFonts w:eastAsia="Times New Roman" w:cstheme="minorHAnsi"/>
          <w:spacing w:val="2"/>
        </w:rPr>
        <w:t>b</w:t>
      </w:r>
      <w:r w:rsidRPr="00A54361">
        <w:rPr>
          <w:rFonts w:eastAsia="Times New Roman" w:cstheme="minorHAnsi"/>
        </w:rPr>
        <w:t>y</w:t>
      </w:r>
      <w:r w:rsidRPr="00A54361">
        <w:rPr>
          <w:rFonts w:eastAsia="Times New Roman" w:cstheme="minorHAnsi"/>
          <w:spacing w:val="24"/>
        </w:rPr>
        <w:t xml:space="preserve"> </w:t>
      </w:r>
      <w:r w:rsidRPr="00A54361">
        <w:rPr>
          <w:rFonts w:eastAsia="Times New Roman" w:cstheme="minorHAnsi"/>
        </w:rPr>
        <w:t>the</w:t>
      </w:r>
      <w:r w:rsidRPr="00A54361">
        <w:rPr>
          <w:rFonts w:eastAsia="Times New Roman" w:cstheme="minorHAnsi"/>
          <w:spacing w:val="30"/>
        </w:rPr>
        <w:t xml:space="preserve"> </w:t>
      </w:r>
      <w:r w:rsidRPr="00A54361">
        <w:rPr>
          <w:rFonts w:eastAsia="Times New Roman" w:cstheme="minorHAnsi"/>
          <w:spacing w:val="2"/>
        </w:rPr>
        <w:t>A</w:t>
      </w:r>
      <w:r w:rsidRPr="00A54361">
        <w:rPr>
          <w:rFonts w:eastAsia="Times New Roman" w:cstheme="minorHAnsi"/>
          <w:spacing w:val="-2"/>
        </w:rPr>
        <w:t>g</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4"/>
        </w:rPr>
        <w:t>c</w:t>
      </w:r>
      <w:r w:rsidRPr="00A54361">
        <w:rPr>
          <w:rFonts w:eastAsia="Times New Roman" w:cstheme="minorHAnsi"/>
        </w:rPr>
        <w:t>y</w:t>
      </w:r>
      <w:r w:rsidRPr="00A54361">
        <w:rPr>
          <w:rFonts w:eastAsia="Times New Roman" w:cstheme="minorHAnsi"/>
          <w:spacing w:val="26"/>
        </w:rPr>
        <w:t xml:space="preserve"> </w:t>
      </w:r>
      <w:r w:rsidRPr="00A54361">
        <w:rPr>
          <w:rFonts w:eastAsia="Times New Roman" w:cstheme="minorHAnsi"/>
          <w:spacing w:val="1"/>
        </w:rPr>
        <w:t>c</w:t>
      </w:r>
      <w:r w:rsidRPr="00A54361">
        <w:rPr>
          <w:rFonts w:eastAsia="Times New Roman" w:cstheme="minorHAnsi"/>
        </w:rPr>
        <w:t>on</w:t>
      </w:r>
      <w:r w:rsidRPr="00A54361">
        <w:rPr>
          <w:rFonts w:eastAsia="Times New Roman" w:cstheme="minorHAnsi"/>
          <w:spacing w:val="-1"/>
        </w:rPr>
        <w:t>ce</w:t>
      </w:r>
      <w:r w:rsidRPr="00A54361">
        <w:rPr>
          <w:rFonts w:eastAsia="Times New Roman" w:cstheme="minorHAnsi"/>
        </w:rPr>
        <w:t>rni</w:t>
      </w:r>
      <w:r w:rsidRPr="00A54361">
        <w:rPr>
          <w:rFonts w:eastAsia="Times New Roman" w:cstheme="minorHAnsi"/>
          <w:spacing w:val="2"/>
        </w:rPr>
        <w:t>n</w:t>
      </w:r>
      <w:r w:rsidRPr="00A54361">
        <w:rPr>
          <w:rFonts w:eastAsia="Times New Roman" w:cstheme="minorHAnsi"/>
        </w:rPr>
        <w:t>g</w:t>
      </w:r>
      <w:r w:rsidRPr="00A54361">
        <w:rPr>
          <w:rFonts w:eastAsia="Times New Roman" w:cstheme="minorHAnsi"/>
          <w:spacing w:val="26"/>
        </w:rPr>
        <w:t xml:space="preserve"> </w:t>
      </w:r>
      <w:r w:rsidRPr="00A54361">
        <w:rPr>
          <w:rFonts w:eastAsia="Times New Roman" w:cstheme="minorHAnsi"/>
        </w:rPr>
        <w:t>the</w:t>
      </w:r>
      <w:r w:rsidRPr="00A54361">
        <w:rPr>
          <w:rFonts w:eastAsia="Times New Roman" w:cstheme="minorHAnsi"/>
          <w:spacing w:val="28"/>
        </w:rPr>
        <w:t xml:space="preserve"> </w:t>
      </w:r>
      <w:r w:rsidRPr="00A54361">
        <w:rPr>
          <w:rFonts w:eastAsia="Times New Roman" w:cstheme="minorHAnsi"/>
          <w:spacing w:val="1"/>
        </w:rPr>
        <w:t>r</w:t>
      </w:r>
      <w:r w:rsidRPr="00A54361">
        <w:rPr>
          <w:rFonts w:eastAsia="Times New Roman" w:cstheme="minorHAnsi"/>
          <w:spacing w:val="-1"/>
        </w:rPr>
        <w:t>e</w:t>
      </w:r>
      <w:r w:rsidRPr="00A54361">
        <w:rPr>
          <w:rFonts w:eastAsia="Times New Roman" w:cstheme="minorHAnsi"/>
        </w:rPr>
        <w:t>view</w:t>
      </w:r>
      <w:r w:rsidRPr="00A54361">
        <w:rPr>
          <w:rFonts w:eastAsia="Times New Roman" w:cstheme="minorHAnsi"/>
          <w:spacing w:val="28"/>
        </w:rPr>
        <w:t xml:space="preserve"> </w:t>
      </w:r>
      <w:r w:rsidRPr="00A54361">
        <w:rPr>
          <w:rFonts w:eastAsia="Times New Roman" w:cstheme="minorHAnsi"/>
        </w:rPr>
        <w:t>of</w:t>
      </w:r>
      <w:r w:rsidRPr="00A54361">
        <w:rPr>
          <w:rFonts w:eastAsia="Times New Roman" w:cstheme="minorHAnsi"/>
          <w:spacing w:val="30"/>
        </w:rPr>
        <w:t xml:space="preserve"> </w:t>
      </w:r>
      <w:r w:rsidRPr="00A54361">
        <w:rPr>
          <w:rFonts w:eastAsia="Times New Roman" w:cstheme="minorHAnsi"/>
        </w:rPr>
        <w:t>the</w:t>
      </w:r>
      <w:r w:rsidRPr="00A54361">
        <w:rPr>
          <w:rFonts w:eastAsia="Times New Roman" w:cstheme="minorHAnsi"/>
          <w:spacing w:val="28"/>
        </w:rPr>
        <w:t xml:space="preserve"> </w:t>
      </w:r>
      <w:r w:rsidRPr="00A54361">
        <w:rPr>
          <w:rFonts w:eastAsia="Times New Roman" w:cstheme="minorHAnsi"/>
        </w:rPr>
        <w:t>b</w:t>
      </w:r>
      <w:r w:rsidRPr="00A54361">
        <w:rPr>
          <w:rFonts w:eastAsia="Times New Roman" w:cstheme="minorHAnsi"/>
          <w:spacing w:val="-1"/>
        </w:rPr>
        <w:t>a</w:t>
      </w:r>
      <w:r w:rsidRPr="00A54361">
        <w:rPr>
          <w:rFonts w:eastAsia="Times New Roman" w:cstheme="minorHAnsi"/>
        </w:rPr>
        <w:t>nning</w:t>
      </w:r>
      <w:r w:rsidRPr="00A54361">
        <w:rPr>
          <w:rFonts w:eastAsia="Times New Roman" w:cstheme="minorHAnsi"/>
          <w:spacing w:val="27"/>
        </w:rPr>
        <w:t xml:space="preserve"> </w:t>
      </w:r>
      <w:r w:rsidRPr="00A54361">
        <w:rPr>
          <w:rFonts w:eastAsia="Times New Roman" w:cstheme="minorHAnsi"/>
          <w:spacing w:val="2"/>
        </w:rPr>
        <w:t>o</w:t>
      </w:r>
      <w:r w:rsidRPr="00A54361">
        <w:rPr>
          <w:rFonts w:eastAsia="Times New Roman" w:cstheme="minorHAnsi"/>
        </w:rPr>
        <w:t>rd</w:t>
      </w:r>
      <w:r w:rsidRPr="00A54361">
        <w:rPr>
          <w:rFonts w:eastAsia="Times New Roman" w:cstheme="minorHAnsi"/>
          <w:spacing w:val="-2"/>
        </w:rPr>
        <w:t>e</w:t>
      </w:r>
      <w:r w:rsidRPr="00A54361">
        <w:rPr>
          <w:rFonts w:eastAsia="Times New Roman" w:cstheme="minorHAnsi"/>
        </w:rPr>
        <w:t>r</w:t>
      </w:r>
    </w:p>
    <w:p w14:paraId="5EC23122" w14:textId="77777777" w:rsidR="0054549F" w:rsidRPr="00A54361" w:rsidRDefault="0054549F" w:rsidP="00A54361">
      <w:pPr>
        <w:ind w:left="100" w:right="82"/>
        <w:jc w:val="both"/>
        <w:rPr>
          <w:rFonts w:cstheme="minorHAnsi"/>
        </w:rPr>
      </w:pPr>
      <w:r w:rsidRPr="00A54361">
        <w:rPr>
          <w:rFonts w:eastAsia="Times New Roman" w:cstheme="minorHAnsi"/>
        </w:rPr>
        <w:t>p</w:t>
      </w:r>
      <w:r w:rsidRPr="00A54361">
        <w:rPr>
          <w:rFonts w:eastAsia="Times New Roman" w:cstheme="minorHAnsi"/>
          <w:spacing w:val="-1"/>
        </w:rPr>
        <w:t>a</w:t>
      </w:r>
      <w:r w:rsidRPr="00A54361">
        <w:rPr>
          <w:rFonts w:eastAsia="Times New Roman" w:cstheme="minorHAnsi"/>
        </w:rPr>
        <w:t>ssed</w:t>
      </w:r>
      <w:r w:rsidRPr="00A54361">
        <w:rPr>
          <w:rFonts w:eastAsia="Times New Roman" w:cstheme="minorHAnsi"/>
          <w:spacing w:val="4"/>
        </w:rPr>
        <w:t xml:space="preserve"> </w:t>
      </w:r>
      <w:r w:rsidRPr="00A54361">
        <w:rPr>
          <w:rFonts w:eastAsia="Times New Roman" w:cstheme="minorHAnsi"/>
        </w:rPr>
        <w:t>or</w:t>
      </w:r>
      <w:r w:rsidRPr="00A54361">
        <w:rPr>
          <w:rFonts w:eastAsia="Times New Roman" w:cstheme="minorHAnsi"/>
          <w:spacing w:val="2"/>
        </w:rPr>
        <w:t>i</w:t>
      </w:r>
      <w:r w:rsidRPr="00A54361">
        <w:rPr>
          <w:rFonts w:eastAsia="Times New Roman" w:cstheme="minorHAnsi"/>
          <w:spacing w:val="-2"/>
        </w:rPr>
        <w:t>g</w:t>
      </w:r>
      <w:r w:rsidRPr="00A54361">
        <w:rPr>
          <w:rFonts w:eastAsia="Times New Roman" w:cstheme="minorHAnsi"/>
        </w:rPr>
        <w:t>inal</w:t>
      </w:r>
      <w:r w:rsidRPr="00A54361">
        <w:rPr>
          <w:rFonts w:eastAsia="Times New Roman" w:cstheme="minorHAnsi"/>
          <w:spacing w:val="5"/>
        </w:rPr>
        <w:t>l</w:t>
      </w:r>
      <w:r w:rsidRPr="00A54361">
        <w:rPr>
          <w:rFonts w:eastAsia="Times New Roman" w:cstheme="minorHAnsi"/>
        </w:rPr>
        <w:t xml:space="preserve">y </w:t>
      </w:r>
      <w:r w:rsidRPr="00A54361">
        <w:rPr>
          <w:rFonts w:eastAsia="Times New Roman" w:cstheme="minorHAnsi"/>
          <w:spacing w:val="5"/>
        </w:rPr>
        <w:t>b</w:t>
      </w:r>
      <w:r w:rsidRPr="00A54361">
        <w:rPr>
          <w:rFonts w:eastAsia="Times New Roman" w:cstheme="minorHAnsi"/>
        </w:rPr>
        <w:t>y C</w:t>
      </w:r>
      <w:r w:rsidRPr="00A54361">
        <w:rPr>
          <w:rFonts w:eastAsia="Times New Roman" w:cstheme="minorHAnsi"/>
          <w:spacing w:val="2"/>
        </w:rPr>
        <w:t>o</w:t>
      </w:r>
      <w:r w:rsidRPr="00A54361">
        <w:rPr>
          <w:rFonts w:eastAsia="Times New Roman" w:cstheme="minorHAnsi"/>
        </w:rPr>
        <w:t>mpet</w:t>
      </w:r>
      <w:r w:rsidRPr="00A54361">
        <w:rPr>
          <w:rFonts w:eastAsia="Times New Roman" w:cstheme="minorHAnsi"/>
          <w:spacing w:val="-1"/>
        </w:rPr>
        <w:t>e</w:t>
      </w:r>
      <w:r w:rsidRPr="00A54361">
        <w:rPr>
          <w:rFonts w:eastAsia="Times New Roman" w:cstheme="minorHAnsi"/>
        </w:rPr>
        <w:t>nt</w:t>
      </w:r>
      <w:r w:rsidRPr="00A54361">
        <w:rPr>
          <w:rFonts w:eastAsia="Times New Roman" w:cstheme="minorHAnsi"/>
          <w:spacing w:val="5"/>
        </w:rPr>
        <w:t xml:space="preserve"> </w:t>
      </w:r>
      <w:r w:rsidRPr="00A54361">
        <w:rPr>
          <w:rFonts w:eastAsia="Times New Roman" w:cstheme="minorHAnsi"/>
        </w:rPr>
        <w:t>Autho</w:t>
      </w:r>
      <w:r w:rsidRPr="00A54361">
        <w:rPr>
          <w:rFonts w:eastAsia="Times New Roman" w:cstheme="minorHAnsi"/>
          <w:spacing w:val="-1"/>
        </w:rPr>
        <w:t>r</w:t>
      </w:r>
      <w:r w:rsidRPr="00A54361">
        <w:rPr>
          <w:rFonts w:eastAsia="Times New Roman" w:cstheme="minorHAnsi"/>
        </w:rPr>
        <w:t>i</w:t>
      </w:r>
      <w:r w:rsidRPr="00A54361">
        <w:rPr>
          <w:rFonts w:eastAsia="Times New Roman" w:cstheme="minorHAnsi"/>
          <w:spacing w:val="3"/>
        </w:rPr>
        <w:t>t</w:t>
      </w:r>
      <w:r w:rsidRPr="00A54361">
        <w:rPr>
          <w:rFonts w:eastAsia="Times New Roman" w:cstheme="minorHAnsi"/>
        </w:rPr>
        <w:t>y</w:t>
      </w:r>
      <w:r w:rsidRPr="00A54361">
        <w:rPr>
          <w:rFonts w:eastAsia="Times New Roman" w:cstheme="minorHAnsi"/>
          <w:spacing w:val="2"/>
        </w:rPr>
        <w:t xml:space="preserve"> </w:t>
      </w:r>
      <w:r w:rsidRPr="00A54361">
        <w:rPr>
          <w:rFonts w:eastAsia="Times New Roman" w:cstheme="minorHAnsi"/>
        </w:rPr>
        <w:t>und</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6"/>
        </w:rPr>
        <w:t xml:space="preserve"> </w:t>
      </w:r>
      <w:r w:rsidRPr="00A54361">
        <w:rPr>
          <w:rFonts w:eastAsia="Times New Roman" w:cstheme="minorHAnsi"/>
        </w:rPr>
        <w:t>the</w:t>
      </w:r>
      <w:r w:rsidRPr="00A54361">
        <w:rPr>
          <w:rFonts w:eastAsia="Times New Roman" w:cstheme="minorHAnsi"/>
          <w:spacing w:val="4"/>
        </w:rPr>
        <w:t xml:space="preserve"> </w:t>
      </w:r>
      <w:r w:rsidRPr="00A54361">
        <w:rPr>
          <w:rFonts w:eastAsia="Times New Roman" w:cstheme="minorHAnsi"/>
          <w:spacing w:val="-1"/>
        </w:rPr>
        <w:t>e</w:t>
      </w:r>
      <w:r w:rsidRPr="00A54361">
        <w:rPr>
          <w:rFonts w:eastAsia="Times New Roman" w:cstheme="minorHAnsi"/>
          <w:spacing w:val="2"/>
        </w:rPr>
        <w:t>x</w:t>
      </w:r>
      <w:r w:rsidRPr="00A54361">
        <w:rPr>
          <w:rFonts w:eastAsia="Times New Roman" w:cstheme="minorHAnsi"/>
        </w:rPr>
        <w:t>is</w:t>
      </w:r>
      <w:r w:rsidRPr="00A54361">
        <w:rPr>
          <w:rFonts w:eastAsia="Times New Roman" w:cstheme="minorHAnsi"/>
          <w:spacing w:val="1"/>
        </w:rPr>
        <w:t>t</w:t>
      </w:r>
      <w:r w:rsidRPr="00A54361">
        <w:rPr>
          <w:rFonts w:eastAsia="Times New Roman" w:cstheme="minorHAnsi"/>
        </w:rPr>
        <w:t>ing</w:t>
      </w:r>
      <w:r w:rsidRPr="00A54361">
        <w:rPr>
          <w:rFonts w:eastAsia="Times New Roman" w:cstheme="minorHAnsi"/>
          <w:spacing w:val="5"/>
        </w:rPr>
        <w:t xml:space="preserve"> </w:t>
      </w:r>
      <w:r w:rsidRPr="00A54361">
        <w:rPr>
          <w:rFonts w:eastAsia="Times New Roman" w:cstheme="minorHAnsi"/>
          <w:spacing w:val="-2"/>
        </w:rPr>
        <w:t>g</w:t>
      </w:r>
      <w:r w:rsidRPr="00A54361">
        <w:rPr>
          <w:rFonts w:eastAsia="Times New Roman" w:cstheme="minorHAnsi"/>
        </w:rPr>
        <w:t>uidelines</w:t>
      </w:r>
      <w:r w:rsidRPr="00A54361">
        <w:rPr>
          <w:rFonts w:eastAsia="Times New Roman" w:cstheme="minorHAnsi"/>
          <w:spacing w:val="4"/>
        </w:rPr>
        <w:t xml:space="preserve"> </w:t>
      </w:r>
      <w:r w:rsidRPr="00A54361">
        <w:rPr>
          <w:rFonts w:eastAsia="Times New Roman" w:cstheme="minorHAnsi"/>
          <w:spacing w:val="1"/>
        </w:rPr>
        <w:t>e</w:t>
      </w:r>
      <w:r w:rsidRPr="00A54361">
        <w:rPr>
          <w:rFonts w:eastAsia="Times New Roman" w:cstheme="minorHAnsi"/>
        </w:rPr>
        <w:t>i</w:t>
      </w:r>
      <w:r w:rsidRPr="00A54361">
        <w:rPr>
          <w:rFonts w:eastAsia="Times New Roman" w:cstheme="minorHAnsi"/>
          <w:spacing w:val="1"/>
        </w:rPr>
        <w:t>t</w:t>
      </w:r>
      <w:r w:rsidRPr="00A54361">
        <w:rPr>
          <w:rFonts w:eastAsia="Times New Roman" w:cstheme="minorHAnsi"/>
        </w:rPr>
        <w:t>h</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4"/>
        </w:rPr>
        <w:t xml:space="preserve"> </w:t>
      </w:r>
      <w:r w:rsidRPr="00A54361">
        <w:rPr>
          <w:rFonts w:eastAsia="Times New Roman" w:cstheme="minorHAnsi"/>
        </w:rPr>
        <w:t>b</w:t>
      </w:r>
      <w:r w:rsidRPr="00A54361">
        <w:rPr>
          <w:rFonts w:eastAsia="Times New Roman" w:cstheme="minorHAnsi"/>
          <w:spacing w:val="-1"/>
        </w:rPr>
        <w:t>e</w:t>
      </w:r>
      <w:r w:rsidRPr="00A54361">
        <w:rPr>
          <w:rFonts w:eastAsia="Times New Roman" w:cstheme="minorHAnsi"/>
        </w:rPr>
        <w:t>f</w:t>
      </w:r>
      <w:r w:rsidRPr="00A54361">
        <w:rPr>
          <w:rFonts w:eastAsia="Times New Roman" w:cstheme="minorHAnsi"/>
          <w:spacing w:val="1"/>
        </w:rPr>
        <w:t>o</w:t>
      </w:r>
      <w:r w:rsidRPr="00A54361">
        <w:rPr>
          <w:rFonts w:eastAsia="Times New Roman" w:cstheme="minorHAnsi"/>
        </w:rPr>
        <w:t>re</w:t>
      </w:r>
      <w:r w:rsidRPr="00A54361">
        <w:rPr>
          <w:rFonts w:eastAsia="Times New Roman" w:cstheme="minorHAnsi"/>
          <w:spacing w:val="3"/>
        </w:rPr>
        <w:t xml:space="preserve"> </w:t>
      </w:r>
      <w:r w:rsidRPr="00A54361">
        <w:rPr>
          <w:rFonts w:eastAsia="Times New Roman" w:cstheme="minorHAnsi"/>
        </w:rPr>
        <w:t>or</w:t>
      </w:r>
      <w:r w:rsidRPr="00A54361">
        <w:rPr>
          <w:rFonts w:eastAsia="Times New Roman" w:cstheme="minorHAnsi"/>
          <w:spacing w:val="6"/>
        </w:rPr>
        <w:t xml:space="preserve"> </w:t>
      </w:r>
      <w:r w:rsidRPr="00A54361">
        <w:rPr>
          <w:rFonts w:eastAsia="Times New Roman" w:cstheme="minorHAnsi"/>
          <w:spacing w:val="-1"/>
        </w:rPr>
        <w:t>a</w:t>
      </w:r>
      <w:r w:rsidRPr="00A54361">
        <w:rPr>
          <w:rFonts w:eastAsia="Times New Roman" w:cstheme="minorHAnsi"/>
        </w:rPr>
        <w:t>f</w:t>
      </w:r>
      <w:r w:rsidRPr="00A54361">
        <w:rPr>
          <w:rFonts w:eastAsia="Times New Roman" w:cstheme="minorHAnsi"/>
          <w:spacing w:val="2"/>
        </w:rPr>
        <w:t>t</w:t>
      </w:r>
      <w:r w:rsidRPr="00A54361">
        <w:rPr>
          <w:rFonts w:eastAsia="Times New Roman" w:cstheme="minorHAnsi"/>
          <w:spacing w:val="-1"/>
        </w:rPr>
        <w:t>e</w:t>
      </w:r>
      <w:r w:rsidRPr="00A54361">
        <w:rPr>
          <w:rFonts w:eastAsia="Times New Roman" w:cstheme="minorHAnsi"/>
        </w:rPr>
        <w:t>r filing</w:t>
      </w:r>
      <w:r w:rsidRPr="00A54361">
        <w:rPr>
          <w:rFonts w:eastAsia="Times New Roman" w:cstheme="minorHAnsi"/>
          <w:spacing w:val="3"/>
        </w:rPr>
        <w:t xml:space="preserve"> </w:t>
      </w:r>
      <w:r w:rsidRPr="00A54361">
        <w:rPr>
          <w:rFonts w:eastAsia="Times New Roman" w:cstheme="minorHAnsi"/>
        </w:rPr>
        <w:t>of</w:t>
      </w:r>
      <w:r w:rsidRPr="00A54361">
        <w:rPr>
          <w:rFonts w:eastAsia="Times New Roman" w:cstheme="minorHAnsi"/>
          <w:spacing w:val="6"/>
        </w:rPr>
        <w:t xml:space="preserve"> </w:t>
      </w:r>
      <w:r w:rsidRPr="00A54361">
        <w:rPr>
          <w:rFonts w:eastAsia="Times New Roman" w:cstheme="minorHAnsi"/>
          <w:spacing w:val="-1"/>
        </w:rPr>
        <w:t>a</w:t>
      </w:r>
      <w:r w:rsidRPr="00A54361">
        <w:rPr>
          <w:rFonts w:eastAsia="Times New Roman" w:cstheme="minorHAnsi"/>
        </w:rPr>
        <w:t>p</w:t>
      </w:r>
      <w:r w:rsidRPr="00A54361">
        <w:rPr>
          <w:rFonts w:eastAsia="Times New Roman" w:cstheme="minorHAnsi"/>
          <w:spacing w:val="2"/>
        </w:rPr>
        <w:t>p</w:t>
      </w:r>
      <w:r w:rsidRPr="00A54361">
        <w:rPr>
          <w:rFonts w:eastAsia="Times New Roman" w:cstheme="minorHAnsi"/>
          <w:spacing w:val="-1"/>
        </w:rPr>
        <w:t>ea</w:t>
      </w:r>
      <w:r w:rsidRPr="00A54361">
        <w:rPr>
          <w:rFonts w:eastAsia="Times New Roman" w:cstheme="minorHAnsi"/>
        </w:rPr>
        <w:t>l</w:t>
      </w:r>
      <w:r w:rsidRPr="00A54361">
        <w:rPr>
          <w:rFonts w:eastAsia="Times New Roman" w:cstheme="minorHAnsi"/>
          <w:spacing w:val="5"/>
        </w:rPr>
        <w:t xml:space="preserve"> </w:t>
      </w:r>
      <w:r w:rsidRPr="00A54361">
        <w:rPr>
          <w:rFonts w:eastAsia="Times New Roman" w:cstheme="minorHAnsi"/>
          <w:spacing w:val="2"/>
        </w:rPr>
        <w:t>b</w:t>
      </w:r>
      <w:r w:rsidRPr="00A54361">
        <w:rPr>
          <w:rFonts w:eastAsia="Times New Roman" w:cstheme="minorHAnsi"/>
          <w:spacing w:val="-1"/>
        </w:rPr>
        <w:t>e</w:t>
      </w:r>
      <w:r w:rsidRPr="00A54361">
        <w:rPr>
          <w:rFonts w:eastAsia="Times New Roman" w:cstheme="minorHAnsi"/>
        </w:rPr>
        <w:t>fo</w:t>
      </w:r>
      <w:r w:rsidRPr="00A54361">
        <w:rPr>
          <w:rFonts w:eastAsia="Times New Roman" w:cstheme="minorHAnsi"/>
          <w:spacing w:val="1"/>
        </w:rPr>
        <w:t>r</w:t>
      </w:r>
      <w:r w:rsidRPr="00A54361">
        <w:rPr>
          <w:rFonts w:eastAsia="Times New Roman" w:cstheme="minorHAnsi"/>
        </w:rPr>
        <w:t>e</w:t>
      </w:r>
      <w:r w:rsidRPr="00A54361">
        <w:rPr>
          <w:rFonts w:eastAsia="Times New Roman" w:cstheme="minorHAnsi"/>
          <w:spacing w:val="4"/>
        </w:rPr>
        <w:t xml:space="preserve"> </w:t>
      </w:r>
      <w:r w:rsidRPr="00A54361">
        <w:rPr>
          <w:rFonts w:eastAsia="Times New Roman" w:cstheme="minorHAnsi"/>
          <w:spacing w:val="3"/>
        </w:rPr>
        <w:t>t</w:t>
      </w:r>
      <w:r w:rsidRPr="00A54361">
        <w:rPr>
          <w:rFonts w:eastAsia="Times New Roman" w:cstheme="minorHAnsi"/>
        </w:rPr>
        <w:t>he</w:t>
      </w:r>
      <w:r w:rsidRPr="00A54361">
        <w:rPr>
          <w:rFonts w:eastAsia="Times New Roman" w:cstheme="minorHAnsi"/>
          <w:spacing w:val="4"/>
        </w:rPr>
        <w:t xml:space="preserve"> </w:t>
      </w:r>
      <w:r w:rsidRPr="00A54361">
        <w:rPr>
          <w:rFonts w:eastAsia="Times New Roman" w:cstheme="minorHAnsi"/>
        </w:rPr>
        <w:t>App</w:t>
      </w:r>
      <w:r w:rsidRPr="00A54361">
        <w:rPr>
          <w:rFonts w:eastAsia="Times New Roman" w:cstheme="minorHAnsi"/>
          <w:spacing w:val="-1"/>
        </w:rPr>
        <w:t>e</w:t>
      </w:r>
      <w:r w:rsidRPr="00A54361">
        <w:rPr>
          <w:rFonts w:eastAsia="Times New Roman" w:cstheme="minorHAnsi"/>
        </w:rPr>
        <w:t>l</w:t>
      </w:r>
      <w:r w:rsidRPr="00A54361">
        <w:rPr>
          <w:rFonts w:eastAsia="Times New Roman" w:cstheme="minorHAnsi"/>
          <w:spacing w:val="1"/>
        </w:rPr>
        <w:t>l</w:t>
      </w:r>
      <w:r w:rsidRPr="00A54361">
        <w:rPr>
          <w:rFonts w:eastAsia="Times New Roman" w:cstheme="minorHAnsi"/>
          <w:spacing w:val="-1"/>
        </w:rPr>
        <w:t>a</w:t>
      </w:r>
      <w:r w:rsidRPr="00A54361">
        <w:rPr>
          <w:rFonts w:eastAsia="Times New Roman" w:cstheme="minorHAnsi"/>
          <w:spacing w:val="3"/>
        </w:rPr>
        <w:t>t</w:t>
      </w:r>
      <w:r w:rsidRPr="00A54361">
        <w:rPr>
          <w:rFonts w:eastAsia="Times New Roman" w:cstheme="minorHAnsi"/>
        </w:rPr>
        <w:t>e</w:t>
      </w:r>
      <w:r w:rsidRPr="00A54361">
        <w:rPr>
          <w:rFonts w:eastAsia="Times New Roman" w:cstheme="minorHAnsi"/>
          <w:spacing w:val="7"/>
        </w:rPr>
        <w:t xml:space="preserve"> </w:t>
      </w:r>
      <w:r w:rsidRPr="00A54361">
        <w:rPr>
          <w:rFonts w:eastAsia="Times New Roman" w:cstheme="minorHAnsi"/>
        </w:rPr>
        <w:t>Autho</w:t>
      </w:r>
      <w:r w:rsidRPr="00A54361">
        <w:rPr>
          <w:rFonts w:eastAsia="Times New Roman" w:cstheme="minorHAnsi"/>
          <w:spacing w:val="-1"/>
        </w:rPr>
        <w:t>r</w:t>
      </w:r>
      <w:r w:rsidRPr="00A54361">
        <w:rPr>
          <w:rFonts w:eastAsia="Times New Roman" w:cstheme="minorHAnsi"/>
        </w:rPr>
        <w:t>i</w:t>
      </w:r>
      <w:r w:rsidRPr="00A54361">
        <w:rPr>
          <w:rFonts w:eastAsia="Times New Roman" w:cstheme="minorHAnsi"/>
          <w:spacing w:val="6"/>
        </w:rPr>
        <w:t>t</w:t>
      </w:r>
      <w:r w:rsidRPr="00A54361">
        <w:rPr>
          <w:rFonts w:eastAsia="Times New Roman" w:cstheme="minorHAnsi"/>
        </w:rPr>
        <w:t>y</w:t>
      </w:r>
      <w:r w:rsidRPr="00A54361">
        <w:rPr>
          <w:rFonts w:eastAsia="Times New Roman" w:cstheme="minorHAnsi"/>
          <w:spacing w:val="2"/>
        </w:rPr>
        <w:t xml:space="preserve"> </w:t>
      </w:r>
      <w:r w:rsidRPr="00A54361">
        <w:rPr>
          <w:rFonts w:eastAsia="Times New Roman" w:cstheme="minorHAnsi"/>
        </w:rPr>
        <w:t>or</w:t>
      </w:r>
      <w:r w:rsidRPr="00A54361">
        <w:rPr>
          <w:rFonts w:eastAsia="Times New Roman" w:cstheme="minorHAnsi"/>
          <w:spacing w:val="4"/>
        </w:rPr>
        <w:t xml:space="preserve"> </w:t>
      </w:r>
      <w:r w:rsidRPr="00A54361">
        <w:rPr>
          <w:rFonts w:eastAsia="Times New Roman" w:cstheme="minorHAnsi"/>
          <w:spacing w:val="-1"/>
        </w:rPr>
        <w:t>a</w:t>
      </w:r>
      <w:r w:rsidRPr="00A54361">
        <w:rPr>
          <w:rFonts w:eastAsia="Times New Roman" w:cstheme="minorHAnsi"/>
        </w:rPr>
        <w:t>f</w:t>
      </w:r>
      <w:r w:rsidRPr="00A54361">
        <w:rPr>
          <w:rFonts w:eastAsia="Times New Roman" w:cstheme="minorHAnsi"/>
          <w:spacing w:val="2"/>
        </w:rPr>
        <w:t>t</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4"/>
        </w:rPr>
        <w:t xml:space="preserve"> </w:t>
      </w:r>
      <w:r w:rsidRPr="00A54361">
        <w:rPr>
          <w:rFonts w:eastAsia="Times New Roman" w:cstheme="minorHAnsi"/>
        </w:rPr>
        <w:t>dispos</w:t>
      </w:r>
      <w:r w:rsidRPr="00A54361">
        <w:rPr>
          <w:rFonts w:eastAsia="Times New Roman" w:cstheme="minorHAnsi"/>
          <w:spacing w:val="-1"/>
        </w:rPr>
        <w:t>a</w:t>
      </w:r>
      <w:r w:rsidRPr="00A54361">
        <w:rPr>
          <w:rFonts w:eastAsia="Times New Roman" w:cstheme="minorHAnsi"/>
        </w:rPr>
        <w:t>l</w:t>
      </w:r>
      <w:r w:rsidRPr="00A54361">
        <w:rPr>
          <w:rFonts w:eastAsia="Times New Roman" w:cstheme="minorHAnsi"/>
          <w:spacing w:val="7"/>
        </w:rPr>
        <w:t xml:space="preserve"> </w:t>
      </w:r>
      <w:r w:rsidRPr="00A54361">
        <w:rPr>
          <w:rFonts w:eastAsia="Times New Roman" w:cstheme="minorHAnsi"/>
        </w:rPr>
        <w:t>of</w:t>
      </w:r>
      <w:r w:rsidRPr="00A54361">
        <w:rPr>
          <w:rFonts w:eastAsia="Times New Roman" w:cstheme="minorHAnsi"/>
          <w:spacing w:val="6"/>
        </w:rPr>
        <w:t xml:space="preserve"> </w:t>
      </w:r>
      <w:r w:rsidRPr="00A54361">
        <w:rPr>
          <w:rFonts w:eastAsia="Times New Roman" w:cstheme="minorHAnsi"/>
          <w:spacing w:val="-1"/>
        </w:rPr>
        <w:t>a</w:t>
      </w:r>
      <w:r w:rsidRPr="00A54361">
        <w:rPr>
          <w:rFonts w:eastAsia="Times New Roman" w:cstheme="minorHAnsi"/>
        </w:rPr>
        <w:t>pp</w:t>
      </w:r>
      <w:r w:rsidRPr="00A54361">
        <w:rPr>
          <w:rFonts w:eastAsia="Times New Roman" w:cstheme="minorHAnsi"/>
          <w:spacing w:val="1"/>
        </w:rPr>
        <w:t>e</w:t>
      </w:r>
      <w:r w:rsidRPr="00A54361">
        <w:rPr>
          <w:rFonts w:eastAsia="Times New Roman" w:cstheme="minorHAnsi"/>
          <w:spacing w:val="-1"/>
        </w:rPr>
        <w:t>a</w:t>
      </w:r>
      <w:r w:rsidRPr="00A54361">
        <w:rPr>
          <w:rFonts w:eastAsia="Times New Roman" w:cstheme="minorHAnsi"/>
        </w:rPr>
        <w:t>l</w:t>
      </w:r>
      <w:r w:rsidRPr="00A54361">
        <w:rPr>
          <w:rFonts w:eastAsia="Times New Roman" w:cstheme="minorHAnsi"/>
          <w:spacing w:val="5"/>
        </w:rPr>
        <w:t xml:space="preserve"> b</w:t>
      </w:r>
      <w:r w:rsidRPr="00A54361">
        <w:rPr>
          <w:rFonts w:eastAsia="Times New Roman" w:cstheme="minorHAnsi"/>
        </w:rPr>
        <w:t>y the</w:t>
      </w:r>
      <w:r w:rsidRPr="00A54361">
        <w:rPr>
          <w:rFonts w:eastAsia="Times New Roman" w:cstheme="minorHAnsi"/>
          <w:spacing w:val="6"/>
        </w:rPr>
        <w:t xml:space="preserve"> </w:t>
      </w:r>
      <w:r w:rsidRPr="00A54361">
        <w:rPr>
          <w:rFonts w:eastAsia="Times New Roman" w:cstheme="minorHAnsi"/>
        </w:rPr>
        <w:t>App</w:t>
      </w:r>
      <w:r w:rsidRPr="00A54361">
        <w:rPr>
          <w:rFonts w:eastAsia="Times New Roman" w:cstheme="minorHAnsi"/>
          <w:spacing w:val="-1"/>
        </w:rPr>
        <w:t>e</w:t>
      </w:r>
      <w:r w:rsidRPr="00A54361">
        <w:rPr>
          <w:rFonts w:eastAsia="Times New Roman" w:cstheme="minorHAnsi"/>
        </w:rPr>
        <w:t>l</w:t>
      </w:r>
      <w:r w:rsidRPr="00A54361">
        <w:rPr>
          <w:rFonts w:eastAsia="Times New Roman" w:cstheme="minorHAnsi"/>
          <w:spacing w:val="1"/>
        </w:rPr>
        <w:t>l</w:t>
      </w:r>
      <w:r w:rsidRPr="00A54361">
        <w:rPr>
          <w:rFonts w:eastAsia="Times New Roman" w:cstheme="minorHAnsi"/>
          <w:spacing w:val="-1"/>
        </w:rPr>
        <w:t>a</w:t>
      </w:r>
      <w:r w:rsidRPr="00A54361">
        <w:rPr>
          <w:rFonts w:eastAsia="Times New Roman" w:cstheme="minorHAnsi"/>
        </w:rPr>
        <w:t>te Autho</w:t>
      </w:r>
      <w:r w:rsidRPr="00A54361">
        <w:rPr>
          <w:rFonts w:eastAsia="Times New Roman" w:cstheme="minorHAnsi"/>
          <w:spacing w:val="-1"/>
        </w:rPr>
        <w:t>r</w:t>
      </w:r>
      <w:r w:rsidRPr="00A54361">
        <w:rPr>
          <w:rFonts w:eastAsia="Times New Roman" w:cstheme="minorHAnsi"/>
        </w:rPr>
        <w:t>i</w:t>
      </w:r>
      <w:r w:rsidRPr="00A54361">
        <w:rPr>
          <w:rFonts w:eastAsia="Times New Roman" w:cstheme="minorHAnsi"/>
          <w:spacing w:val="3"/>
        </w:rPr>
        <w:t>t</w:t>
      </w:r>
      <w:r w:rsidRPr="00A54361">
        <w:rPr>
          <w:rFonts w:eastAsia="Times New Roman" w:cstheme="minorHAnsi"/>
          <w:spacing w:val="-5"/>
        </w:rPr>
        <w:t>y</w:t>
      </w:r>
      <w:r w:rsidRPr="00A54361">
        <w:rPr>
          <w:rFonts w:eastAsia="Times New Roman" w:cstheme="minorHAnsi"/>
        </w:rPr>
        <w:t>,</w:t>
      </w:r>
      <w:r w:rsidRPr="00A54361">
        <w:rPr>
          <w:rFonts w:eastAsia="Times New Roman" w:cstheme="minorHAnsi"/>
          <w:spacing w:val="5"/>
        </w:rPr>
        <w:t xml:space="preserve"> </w:t>
      </w:r>
      <w:r w:rsidRPr="00A54361">
        <w:rPr>
          <w:rFonts w:eastAsia="Times New Roman" w:cstheme="minorHAnsi"/>
        </w:rPr>
        <w:t>the</w:t>
      </w:r>
      <w:r w:rsidRPr="00A54361">
        <w:rPr>
          <w:rFonts w:eastAsia="Times New Roman" w:cstheme="minorHAnsi"/>
          <w:spacing w:val="7"/>
        </w:rPr>
        <w:t xml:space="preserve"> </w:t>
      </w:r>
      <w:r w:rsidRPr="00A54361">
        <w:rPr>
          <w:rFonts w:eastAsia="Times New Roman" w:cstheme="minorHAnsi"/>
        </w:rPr>
        <w:t>r</w:t>
      </w:r>
      <w:r w:rsidRPr="00A54361">
        <w:rPr>
          <w:rFonts w:eastAsia="Times New Roman" w:cstheme="minorHAnsi"/>
          <w:spacing w:val="-2"/>
        </w:rPr>
        <w:t>e</w:t>
      </w:r>
      <w:r w:rsidRPr="00A54361">
        <w:rPr>
          <w:rFonts w:eastAsia="Times New Roman" w:cstheme="minorHAnsi"/>
        </w:rPr>
        <w:t>view</w:t>
      </w:r>
      <w:r w:rsidRPr="00A54361">
        <w:rPr>
          <w:rFonts w:eastAsia="Times New Roman" w:cstheme="minorHAnsi"/>
          <w:spacing w:val="4"/>
        </w:rPr>
        <w:t xml:space="preserve"> </w:t>
      </w:r>
      <w:r w:rsidRPr="00A54361">
        <w:rPr>
          <w:rFonts w:eastAsia="Times New Roman" w:cstheme="minorHAnsi"/>
          <w:spacing w:val="2"/>
        </w:rPr>
        <w:t>p</w:t>
      </w:r>
      <w:r w:rsidRPr="00A54361">
        <w:rPr>
          <w:rFonts w:eastAsia="Times New Roman" w:cstheme="minorHAnsi"/>
          <w:spacing w:val="-1"/>
        </w:rPr>
        <w:t>e</w:t>
      </w:r>
      <w:r w:rsidRPr="00A54361">
        <w:rPr>
          <w:rFonts w:eastAsia="Times New Roman" w:cstheme="minorHAnsi"/>
          <w:spacing w:val="3"/>
        </w:rPr>
        <w:t>t</w:t>
      </w:r>
      <w:r w:rsidRPr="00A54361">
        <w:rPr>
          <w:rFonts w:eastAsia="Times New Roman" w:cstheme="minorHAnsi"/>
        </w:rPr>
        <w:t>i</w:t>
      </w:r>
      <w:r w:rsidRPr="00A54361">
        <w:rPr>
          <w:rFonts w:eastAsia="Times New Roman" w:cstheme="minorHAnsi"/>
          <w:spacing w:val="1"/>
        </w:rPr>
        <w:t>t</w:t>
      </w:r>
      <w:r w:rsidRPr="00A54361">
        <w:rPr>
          <w:rFonts w:eastAsia="Times New Roman" w:cstheme="minorHAnsi"/>
        </w:rPr>
        <w:t>ion</w:t>
      </w:r>
      <w:r w:rsidRPr="00A54361">
        <w:rPr>
          <w:rFonts w:eastAsia="Times New Roman" w:cstheme="minorHAnsi"/>
          <w:spacing w:val="5"/>
        </w:rPr>
        <w:t xml:space="preserve"> </w:t>
      </w:r>
      <w:r w:rsidRPr="00A54361">
        <w:rPr>
          <w:rFonts w:eastAsia="Times New Roman" w:cstheme="minorHAnsi"/>
          <w:spacing w:val="-1"/>
        </w:rPr>
        <w:t>ca</w:t>
      </w:r>
      <w:r w:rsidRPr="00A54361">
        <w:rPr>
          <w:rFonts w:eastAsia="Times New Roman" w:cstheme="minorHAnsi"/>
        </w:rPr>
        <w:t>n</w:t>
      </w:r>
      <w:r w:rsidRPr="00A54361">
        <w:rPr>
          <w:rFonts w:eastAsia="Times New Roman" w:cstheme="minorHAnsi"/>
          <w:spacing w:val="5"/>
        </w:rPr>
        <w:t xml:space="preserve"> </w:t>
      </w:r>
      <w:r w:rsidRPr="00A54361">
        <w:rPr>
          <w:rFonts w:eastAsia="Times New Roman" w:cstheme="minorHAnsi"/>
        </w:rPr>
        <w:t>be</w:t>
      </w:r>
      <w:r w:rsidRPr="00A54361">
        <w:rPr>
          <w:rFonts w:eastAsia="Times New Roman" w:cstheme="minorHAnsi"/>
          <w:spacing w:val="4"/>
        </w:rPr>
        <w:t xml:space="preserve"> </w:t>
      </w:r>
      <w:r w:rsidRPr="00A54361">
        <w:rPr>
          <w:rFonts w:eastAsia="Times New Roman" w:cstheme="minorHAnsi"/>
        </w:rPr>
        <w:t>d</w:t>
      </w:r>
      <w:r w:rsidRPr="00A54361">
        <w:rPr>
          <w:rFonts w:eastAsia="Times New Roman" w:cstheme="minorHAnsi"/>
          <w:spacing w:val="1"/>
        </w:rPr>
        <w:t>e</w:t>
      </w:r>
      <w:r w:rsidRPr="00A54361">
        <w:rPr>
          <w:rFonts w:eastAsia="Times New Roman" w:cstheme="minorHAnsi"/>
          <w:spacing w:val="-1"/>
        </w:rPr>
        <w:t>c</w:t>
      </w:r>
      <w:r w:rsidRPr="00A54361">
        <w:rPr>
          <w:rFonts w:eastAsia="Times New Roman" w:cstheme="minorHAnsi"/>
        </w:rPr>
        <w:t>ided</w:t>
      </w:r>
      <w:r w:rsidRPr="00A54361">
        <w:rPr>
          <w:rFonts w:eastAsia="Times New Roman" w:cstheme="minorHAnsi"/>
          <w:spacing w:val="4"/>
        </w:rPr>
        <w:t xml:space="preserve"> </w:t>
      </w:r>
      <w:r w:rsidRPr="00A54361">
        <w:rPr>
          <w:rFonts w:eastAsia="Times New Roman" w:cstheme="minorHAnsi"/>
          <w:spacing w:val="5"/>
        </w:rPr>
        <w:t>b</w:t>
      </w:r>
      <w:r w:rsidRPr="00A54361">
        <w:rPr>
          <w:rFonts w:eastAsia="Times New Roman" w:cstheme="minorHAnsi"/>
        </w:rPr>
        <w:t xml:space="preserve">y </w:t>
      </w:r>
      <w:r w:rsidRPr="00A54361">
        <w:rPr>
          <w:rFonts w:eastAsia="Times New Roman" w:cstheme="minorHAnsi"/>
          <w:spacing w:val="3"/>
        </w:rPr>
        <w:t>t</w:t>
      </w:r>
      <w:r w:rsidRPr="00A54361">
        <w:rPr>
          <w:rFonts w:eastAsia="Times New Roman" w:cstheme="minorHAnsi"/>
        </w:rPr>
        <w:t>he</w:t>
      </w:r>
      <w:r w:rsidRPr="00A54361">
        <w:rPr>
          <w:rFonts w:eastAsia="Times New Roman" w:cstheme="minorHAnsi"/>
          <w:spacing w:val="4"/>
        </w:rPr>
        <w:t xml:space="preserve"> </w:t>
      </w:r>
      <w:r w:rsidRPr="00A54361">
        <w:rPr>
          <w:rFonts w:eastAsia="Times New Roman" w:cstheme="minorHAnsi"/>
        </w:rPr>
        <w:t>Compet</w:t>
      </w:r>
      <w:r w:rsidRPr="00A54361">
        <w:rPr>
          <w:rFonts w:eastAsia="Times New Roman" w:cstheme="minorHAnsi"/>
          <w:spacing w:val="-1"/>
        </w:rPr>
        <w:t>e</w:t>
      </w:r>
      <w:r w:rsidRPr="00A54361">
        <w:rPr>
          <w:rFonts w:eastAsia="Times New Roman" w:cstheme="minorHAnsi"/>
        </w:rPr>
        <w:t>nt</w:t>
      </w:r>
      <w:r w:rsidRPr="00A54361">
        <w:rPr>
          <w:rFonts w:eastAsia="Times New Roman" w:cstheme="minorHAnsi"/>
          <w:spacing w:val="5"/>
        </w:rPr>
        <w:t xml:space="preserve"> </w:t>
      </w:r>
      <w:r w:rsidRPr="00A54361">
        <w:rPr>
          <w:rFonts w:eastAsia="Times New Roman" w:cstheme="minorHAnsi"/>
        </w:rPr>
        <w:t>Autho</w:t>
      </w:r>
      <w:r w:rsidRPr="00A54361">
        <w:rPr>
          <w:rFonts w:eastAsia="Times New Roman" w:cstheme="minorHAnsi"/>
          <w:spacing w:val="-1"/>
        </w:rPr>
        <w:t>r</w:t>
      </w:r>
      <w:r w:rsidRPr="00A54361">
        <w:rPr>
          <w:rFonts w:eastAsia="Times New Roman" w:cstheme="minorHAnsi"/>
        </w:rPr>
        <w:t>i</w:t>
      </w:r>
      <w:r w:rsidRPr="00A54361">
        <w:rPr>
          <w:rFonts w:eastAsia="Times New Roman" w:cstheme="minorHAnsi"/>
          <w:spacing w:val="3"/>
        </w:rPr>
        <w:t>t</w:t>
      </w:r>
      <w:r w:rsidRPr="00A54361">
        <w:rPr>
          <w:rFonts w:eastAsia="Times New Roman" w:cstheme="minorHAnsi"/>
        </w:rPr>
        <w:t>y</w:t>
      </w:r>
      <w:r w:rsidRPr="00A54361">
        <w:rPr>
          <w:rFonts w:eastAsia="Times New Roman" w:cstheme="minorHAnsi"/>
          <w:spacing w:val="3"/>
        </w:rPr>
        <w:t xml:space="preserve"> </w:t>
      </w:r>
      <w:r w:rsidRPr="00A54361">
        <w:rPr>
          <w:rFonts w:eastAsia="Times New Roman" w:cstheme="minorHAnsi"/>
        </w:rPr>
        <w:t>upon</w:t>
      </w:r>
      <w:r w:rsidRPr="00A54361">
        <w:rPr>
          <w:rFonts w:eastAsia="Times New Roman" w:cstheme="minorHAnsi"/>
          <w:spacing w:val="5"/>
        </w:rPr>
        <w:t xml:space="preserve"> </w:t>
      </w:r>
      <w:r w:rsidRPr="00A54361">
        <w:rPr>
          <w:rFonts w:eastAsia="Times New Roman" w:cstheme="minorHAnsi"/>
        </w:rPr>
        <w:t>disclosure</w:t>
      </w:r>
      <w:r w:rsidRPr="00A54361">
        <w:rPr>
          <w:rFonts w:eastAsia="Times New Roman" w:cstheme="minorHAnsi"/>
          <w:spacing w:val="4"/>
        </w:rPr>
        <w:t xml:space="preserve"> </w:t>
      </w:r>
      <w:r w:rsidRPr="00A54361">
        <w:rPr>
          <w:rFonts w:eastAsia="Times New Roman" w:cstheme="minorHAnsi"/>
        </w:rPr>
        <w:t>of n</w:t>
      </w:r>
      <w:r w:rsidRPr="00A54361">
        <w:rPr>
          <w:rFonts w:eastAsia="Times New Roman" w:cstheme="minorHAnsi"/>
          <w:spacing w:val="-1"/>
        </w:rPr>
        <w:t>e</w:t>
      </w:r>
      <w:r w:rsidRPr="00A54361">
        <w:rPr>
          <w:rFonts w:eastAsia="Times New Roman" w:cstheme="minorHAnsi"/>
        </w:rPr>
        <w:t>w f</w:t>
      </w:r>
      <w:r w:rsidRPr="00A54361">
        <w:rPr>
          <w:rFonts w:eastAsia="Times New Roman" w:cstheme="minorHAnsi"/>
          <w:spacing w:val="-2"/>
        </w:rPr>
        <w:t>a</w:t>
      </w:r>
      <w:r w:rsidRPr="00A54361">
        <w:rPr>
          <w:rFonts w:eastAsia="Times New Roman" w:cstheme="minorHAnsi"/>
          <w:spacing w:val="-1"/>
        </w:rPr>
        <w:t>c</w:t>
      </w:r>
      <w:r w:rsidRPr="00A54361">
        <w:rPr>
          <w:rFonts w:eastAsia="Times New Roman" w:cstheme="minorHAnsi"/>
        </w:rPr>
        <w:t>ts</w:t>
      </w:r>
      <w:r w:rsidRPr="00A54361">
        <w:rPr>
          <w:rFonts w:eastAsia="Times New Roman" w:cstheme="minorHAnsi"/>
          <w:spacing w:val="1"/>
        </w:rPr>
        <w:t xml:space="preserve"> </w:t>
      </w:r>
      <w:r w:rsidRPr="00A54361">
        <w:rPr>
          <w:rFonts w:eastAsia="Times New Roman" w:cstheme="minorHAnsi"/>
        </w:rPr>
        <w:t>/</w:t>
      </w:r>
      <w:r w:rsidRPr="00A54361">
        <w:rPr>
          <w:rFonts w:eastAsia="Times New Roman" w:cstheme="minorHAnsi"/>
          <w:spacing w:val="1"/>
        </w:rPr>
        <w:t xml:space="preserve"> </w:t>
      </w:r>
      <w:r w:rsidRPr="00A54361">
        <w:rPr>
          <w:rFonts w:eastAsia="Times New Roman" w:cstheme="minorHAnsi"/>
          <w:spacing w:val="-1"/>
        </w:rPr>
        <w:t>c</w:t>
      </w:r>
      <w:r w:rsidRPr="00A54361">
        <w:rPr>
          <w:rFonts w:eastAsia="Times New Roman" w:cstheme="minorHAnsi"/>
        </w:rPr>
        <w:t>ir</w:t>
      </w:r>
      <w:r w:rsidRPr="00A54361">
        <w:rPr>
          <w:rFonts w:eastAsia="Times New Roman" w:cstheme="minorHAnsi"/>
          <w:spacing w:val="-1"/>
        </w:rPr>
        <w:t>c</w:t>
      </w:r>
      <w:r w:rsidRPr="00A54361">
        <w:rPr>
          <w:rFonts w:eastAsia="Times New Roman" w:cstheme="minorHAnsi"/>
        </w:rPr>
        <w:t>ums</w:t>
      </w:r>
      <w:r w:rsidRPr="00A54361">
        <w:rPr>
          <w:rFonts w:eastAsia="Times New Roman" w:cstheme="minorHAnsi"/>
          <w:spacing w:val="1"/>
        </w:rPr>
        <w:t>t</w:t>
      </w:r>
      <w:r w:rsidRPr="00A54361">
        <w:rPr>
          <w:rFonts w:eastAsia="Times New Roman" w:cstheme="minorHAnsi"/>
          <w:spacing w:val="-1"/>
        </w:rPr>
        <w:t>a</w:t>
      </w:r>
      <w:r w:rsidRPr="00A54361">
        <w:rPr>
          <w:rFonts w:eastAsia="Times New Roman" w:cstheme="minorHAnsi"/>
        </w:rPr>
        <w:t>n</w:t>
      </w:r>
      <w:r w:rsidRPr="00A54361">
        <w:rPr>
          <w:rFonts w:eastAsia="Times New Roman" w:cstheme="minorHAnsi"/>
          <w:spacing w:val="-1"/>
        </w:rPr>
        <w:t>ce</w:t>
      </w:r>
      <w:r w:rsidRPr="00A54361">
        <w:rPr>
          <w:rFonts w:eastAsia="Times New Roman" w:cstheme="minorHAnsi"/>
        </w:rPr>
        <w:t>s</w:t>
      </w:r>
      <w:r w:rsidRPr="00A54361">
        <w:rPr>
          <w:rFonts w:eastAsia="Times New Roman" w:cstheme="minorHAnsi"/>
          <w:spacing w:val="1"/>
        </w:rPr>
        <w:t xml:space="preserve"> </w:t>
      </w:r>
      <w:r w:rsidRPr="00A54361">
        <w:rPr>
          <w:rFonts w:eastAsia="Times New Roman" w:cstheme="minorHAnsi"/>
        </w:rPr>
        <w:t>or subsequ</w:t>
      </w:r>
      <w:r w:rsidRPr="00A54361">
        <w:rPr>
          <w:rFonts w:eastAsia="Times New Roman" w:cstheme="minorHAnsi"/>
          <w:spacing w:val="-1"/>
        </w:rPr>
        <w:t>e</w:t>
      </w:r>
      <w:r w:rsidRPr="00A54361">
        <w:rPr>
          <w:rFonts w:eastAsia="Times New Roman" w:cstheme="minorHAnsi"/>
        </w:rPr>
        <w:t>nt</w:t>
      </w:r>
      <w:r w:rsidRPr="00A54361">
        <w:rPr>
          <w:rFonts w:eastAsia="Times New Roman" w:cstheme="minorHAnsi"/>
          <w:spacing w:val="1"/>
        </w:rPr>
        <w:t xml:space="preserve"> </w:t>
      </w:r>
      <w:r w:rsidRPr="00A54361">
        <w:rPr>
          <w:rFonts w:eastAsia="Times New Roman" w:cstheme="minorHAnsi"/>
        </w:rPr>
        <w:t>d</w:t>
      </w:r>
      <w:r w:rsidRPr="00A54361">
        <w:rPr>
          <w:rFonts w:eastAsia="Times New Roman" w:cstheme="minorHAnsi"/>
          <w:spacing w:val="-1"/>
        </w:rPr>
        <w:t>e</w:t>
      </w:r>
      <w:r w:rsidRPr="00A54361">
        <w:rPr>
          <w:rFonts w:eastAsia="Times New Roman" w:cstheme="minorHAnsi"/>
        </w:rPr>
        <w:t>v</w:t>
      </w:r>
      <w:r w:rsidRPr="00A54361">
        <w:rPr>
          <w:rFonts w:eastAsia="Times New Roman" w:cstheme="minorHAnsi"/>
          <w:spacing w:val="-1"/>
        </w:rPr>
        <w:t>e</w:t>
      </w:r>
      <w:r w:rsidRPr="00A54361">
        <w:rPr>
          <w:rFonts w:eastAsia="Times New Roman" w:cstheme="minorHAnsi"/>
        </w:rPr>
        <w:t>lop</w:t>
      </w:r>
      <w:r w:rsidRPr="00A54361">
        <w:rPr>
          <w:rFonts w:eastAsia="Times New Roman" w:cstheme="minorHAnsi"/>
          <w:spacing w:val="1"/>
        </w:rPr>
        <w:t>m</w:t>
      </w:r>
      <w:r w:rsidRPr="00A54361">
        <w:rPr>
          <w:rFonts w:eastAsia="Times New Roman" w:cstheme="minorHAnsi"/>
          <w:spacing w:val="-1"/>
        </w:rPr>
        <w:t>e</w:t>
      </w:r>
      <w:r w:rsidRPr="00A54361">
        <w:rPr>
          <w:rFonts w:eastAsia="Times New Roman" w:cstheme="minorHAnsi"/>
        </w:rPr>
        <w:t>nt</w:t>
      </w:r>
      <w:r w:rsidRPr="00A54361">
        <w:rPr>
          <w:rFonts w:eastAsia="Times New Roman" w:cstheme="minorHAnsi"/>
          <w:spacing w:val="1"/>
        </w:rPr>
        <w:t xml:space="preserve"> </w:t>
      </w:r>
      <w:r w:rsidRPr="00A54361">
        <w:rPr>
          <w:rFonts w:eastAsia="Times New Roman" w:cstheme="minorHAnsi"/>
        </w:rPr>
        <w:t>n</w:t>
      </w:r>
      <w:r w:rsidRPr="00A54361">
        <w:rPr>
          <w:rFonts w:eastAsia="Times New Roman" w:cstheme="minorHAnsi"/>
          <w:spacing w:val="-1"/>
        </w:rPr>
        <w:t>ece</w:t>
      </w:r>
      <w:r w:rsidRPr="00A54361">
        <w:rPr>
          <w:rFonts w:eastAsia="Times New Roman" w:cstheme="minorHAnsi"/>
        </w:rPr>
        <w:t>ss</w:t>
      </w:r>
      <w:r w:rsidRPr="00A54361">
        <w:rPr>
          <w:rFonts w:eastAsia="Times New Roman" w:cstheme="minorHAnsi"/>
          <w:spacing w:val="1"/>
        </w:rPr>
        <w:t>i</w:t>
      </w:r>
      <w:r w:rsidRPr="00A54361">
        <w:rPr>
          <w:rFonts w:eastAsia="Times New Roman" w:cstheme="minorHAnsi"/>
        </w:rPr>
        <w:t>tating</w:t>
      </w:r>
      <w:r w:rsidRPr="00A54361">
        <w:rPr>
          <w:rFonts w:eastAsia="Times New Roman" w:cstheme="minorHAnsi"/>
          <w:spacing w:val="1"/>
        </w:rPr>
        <w:t xml:space="preserve"> </w:t>
      </w:r>
      <w:r w:rsidRPr="00A54361">
        <w:rPr>
          <w:rFonts w:eastAsia="Times New Roman" w:cstheme="minorHAnsi"/>
        </w:rPr>
        <w:t>su</w:t>
      </w:r>
      <w:r w:rsidRPr="00A54361">
        <w:rPr>
          <w:rFonts w:eastAsia="Times New Roman" w:cstheme="minorHAnsi"/>
          <w:spacing w:val="-1"/>
        </w:rPr>
        <w:t>c</w:t>
      </w:r>
      <w:r w:rsidRPr="00A54361">
        <w:rPr>
          <w:rFonts w:eastAsia="Times New Roman" w:cstheme="minorHAnsi"/>
        </w:rPr>
        <w:t>h</w:t>
      </w:r>
      <w:r w:rsidRPr="00A54361">
        <w:rPr>
          <w:rFonts w:eastAsia="Times New Roman" w:cstheme="minorHAnsi"/>
          <w:spacing w:val="1"/>
        </w:rPr>
        <w:t xml:space="preserve"> </w:t>
      </w:r>
      <w:r w:rsidRPr="00A54361">
        <w:rPr>
          <w:rFonts w:eastAsia="Times New Roman" w:cstheme="minorHAnsi"/>
        </w:rPr>
        <w:t>r</w:t>
      </w:r>
      <w:r w:rsidRPr="00A54361">
        <w:rPr>
          <w:rFonts w:eastAsia="Times New Roman" w:cstheme="minorHAnsi"/>
          <w:spacing w:val="-2"/>
        </w:rPr>
        <w:t>e</w:t>
      </w:r>
      <w:r w:rsidRPr="00A54361">
        <w:rPr>
          <w:rFonts w:eastAsia="Times New Roman" w:cstheme="minorHAnsi"/>
        </w:rPr>
        <w:t>vie</w:t>
      </w:r>
      <w:r w:rsidRPr="00A54361">
        <w:rPr>
          <w:rFonts w:eastAsia="Times New Roman" w:cstheme="minorHAnsi"/>
          <w:spacing w:val="-1"/>
        </w:rPr>
        <w:t>w</w:t>
      </w:r>
      <w:r w:rsidRPr="00A54361">
        <w:rPr>
          <w:rFonts w:eastAsia="Times New Roman" w:cstheme="minorHAnsi"/>
        </w:rPr>
        <w:t>.</w:t>
      </w:r>
      <w:r w:rsidRPr="00A54361">
        <w:rPr>
          <w:rFonts w:eastAsia="Times New Roman" w:cstheme="minorHAnsi"/>
          <w:spacing w:val="1"/>
        </w:rPr>
        <w:t xml:space="preserve"> </w:t>
      </w:r>
      <w:r w:rsidRPr="00A54361">
        <w:rPr>
          <w:rFonts w:eastAsia="Times New Roman" w:cstheme="minorHAnsi"/>
        </w:rPr>
        <w:t>The Compet</w:t>
      </w:r>
      <w:r w:rsidRPr="00A54361">
        <w:rPr>
          <w:rFonts w:eastAsia="Times New Roman" w:cstheme="minorHAnsi"/>
          <w:spacing w:val="-1"/>
        </w:rPr>
        <w:t>e</w:t>
      </w:r>
      <w:r w:rsidRPr="00A54361">
        <w:rPr>
          <w:rFonts w:eastAsia="Times New Roman" w:cstheme="minorHAnsi"/>
        </w:rPr>
        <w:t>nt</w:t>
      </w:r>
      <w:r w:rsidRPr="00A54361">
        <w:rPr>
          <w:rFonts w:eastAsia="Times New Roman" w:cstheme="minorHAnsi"/>
          <w:spacing w:val="3"/>
        </w:rPr>
        <w:t xml:space="preserve"> </w:t>
      </w:r>
      <w:r w:rsidRPr="00A54361">
        <w:rPr>
          <w:rFonts w:eastAsia="Times New Roman" w:cstheme="minorHAnsi"/>
        </w:rPr>
        <w:t>Autho</w:t>
      </w:r>
      <w:r w:rsidRPr="00A54361">
        <w:rPr>
          <w:rFonts w:eastAsia="Times New Roman" w:cstheme="minorHAnsi"/>
          <w:spacing w:val="-1"/>
        </w:rPr>
        <w:t>r</w:t>
      </w:r>
      <w:r w:rsidRPr="00A54361">
        <w:rPr>
          <w:rFonts w:eastAsia="Times New Roman" w:cstheme="minorHAnsi"/>
        </w:rPr>
        <w:t>i</w:t>
      </w:r>
      <w:r w:rsidRPr="00A54361">
        <w:rPr>
          <w:rFonts w:eastAsia="Times New Roman" w:cstheme="minorHAnsi"/>
          <w:spacing w:val="3"/>
        </w:rPr>
        <w:t>t</w:t>
      </w:r>
      <w:r w:rsidRPr="00A54361">
        <w:rPr>
          <w:rFonts w:eastAsia="Times New Roman" w:cstheme="minorHAnsi"/>
        </w:rPr>
        <w:t>y</w:t>
      </w:r>
      <w:r w:rsidRPr="00A54361">
        <w:rPr>
          <w:rFonts w:eastAsia="Times New Roman" w:cstheme="minorHAnsi"/>
          <w:spacing w:val="-5"/>
        </w:rPr>
        <w:t xml:space="preserve"> </w:t>
      </w:r>
      <w:r w:rsidRPr="00A54361">
        <w:rPr>
          <w:rFonts w:eastAsia="Times New Roman" w:cstheme="minorHAnsi"/>
        </w:rPr>
        <w:t>m</w:t>
      </w:r>
      <w:r w:rsidRPr="00A54361">
        <w:rPr>
          <w:rFonts w:eastAsia="Times New Roman" w:cstheme="minorHAnsi"/>
          <w:spacing w:val="2"/>
        </w:rPr>
        <w:t>a</w:t>
      </w:r>
      <w:r w:rsidRPr="00A54361">
        <w:rPr>
          <w:rFonts w:eastAsia="Times New Roman" w:cstheme="minorHAnsi"/>
        </w:rPr>
        <w:t xml:space="preserve">y </w:t>
      </w:r>
      <w:r w:rsidRPr="00A54361">
        <w:rPr>
          <w:rFonts w:eastAsia="Times New Roman" w:cstheme="minorHAnsi"/>
          <w:spacing w:val="1"/>
        </w:rPr>
        <w:t>re</w:t>
      </w:r>
      <w:r w:rsidRPr="00A54361">
        <w:rPr>
          <w:rFonts w:eastAsia="Times New Roman" w:cstheme="minorHAnsi"/>
        </w:rPr>
        <w:t>f</w:t>
      </w:r>
      <w:r w:rsidRPr="00A54361">
        <w:rPr>
          <w:rFonts w:eastAsia="Times New Roman" w:cstheme="minorHAnsi"/>
          <w:spacing w:val="-2"/>
        </w:rPr>
        <w:t>e</w:t>
      </w:r>
      <w:r w:rsidRPr="00A54361">
        <w:rPr>
          <w:rFonts w:eastAsia="Times New Roman" w:cstheme="minorHAnsi"/>
        </w:rPr>
        <w:t>r</w:t>
      </w:r>
      <w:r w:rsidRPr="00A54361">
        <w:rPr>
          <w:rFonts w:eastAsia="Times New Roman" w:cstheme="minorHAnsi"/>
          <w:spacing w:val="1"/>
        </w:rPr>
        <w:t xml:space="preserve"> </w:t>
      </w:r>
      <w:r w:rsidRPr="00A54361">
        <w:rPr>
          <w:rFonts w:eastAsia="Times New Roman" w:cstheme="minorHAnsi"/>
        </w:rPr>
        <w:t>the</w:t>
      </w:r>
      <w:r w:rsidRPr="00A54361">
        <w:rPr>
          <w:rFonts w:eastAsia="Times New Roman" w:cstheme="minorHAnsi"/>
          <w:spacing w:val="2"/>
        </w:rPr>
        <w:t xml:space="preserve"> </w:t>
      </w:r>
      <w:r w:rsidRPr="00A54361">
        <w:rPr>
          <w:rFonts w:eastAsia="Times New Roman" w:cstheme="minorHAnsi"/>
        </w:rPr>
        <w:t>s</w:t>
      </w:r>
      <w:r w:rsidRPr="00A54361">
        <w:rPr>
          <w:rFonts w:eastAsia="Times New Roman" w:cstheme="minorHAnsi"/>
          <w:spacing w:val="-1"/>
        </w:rPr>
        <w:t>a</w:t>
      </w:r>
      <w:r w:rsidRPr="00A54361">
        <w:rPr>
          <w:rFonts w:eastAsia="Times New Roman" w:cstheme="minorHAnsi"/>
          <w:spacing w:val="3"/>
        </w:rPr>
        <w:t>m</w:t>
      </w:r>
      <w:r w:rsidRPr="00A54361">
        <w:rPr>
          <w:rFonts w:eastAsia="Times New Roman" w:cstheme="minorHAnsi"/>
        </w:rPr>
        <w:t>e</w:t>
      </w:r>
      <w:r w:rsidRPr="00A54361">
        <w:rPr>
          <w:rFonts w:eastAsia="Times New Roman" w:cstheme="minorHAnsi"/>
          <w:spacing w:val="1"/>
        </w:rPr>
        <w:t xml:space="preserve"> </w:t>
      </w:r>
      <w:r w:rsidRPr="00A54361">
        <w:rPr>
          <w:rFonts w:eastAsia="Times New Roman" w:cstheme="minorHAnsi"/>
        </w:rPr>
        <w:t>p</w:t>
      </w:r>
      <w:r w:rsidRPr="00A54361">
        <w:rPr>
          <w:rFonts w:eastAsia="Times New Roman" w:cstheme="minorHAnsi"/>
          <w:spacing w:val="-1"/>
        </w:rPr>
        <w:t>e</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on to</w:t>
      </w:r>
      <w:r w:rsidRPr="00A54361">
        <w:rPr>
          <w:rFonts w:eastAsia="Times New Roman" w:cstheme="minorHAnsi"/>
          <w:spacing w:val="3"/>
        </w:rPr>
        <w:t xml:space="preserve"> </w:t>
      </w:r>
      <w:r w:rsidRPr="00A54361">
        <w:rPr>
          <w:rFonts w:eastAsia="Times New Roman" w:cstheme="minorHAnsi"/>
        </w:rPr>
        <w:t>the</w:t>
      </w:r>
      <w:r w:rsidRPr="00A54361">
        <w:rPr>
          <w:rFonts w:eastAsia="Times New Roman" w:cstheme="minorHAnsi"/>
          <w:spacing w:val="2"/>
        </w:rPr>
        <w:t xml:space="preserve"> </w:t>
      </w:r>
      <w:r w:rsidRPr="00A54361">
        <w:rPr>
          <w:rFonts w:eastAsia="Times New Roman" w:cstheme="minorHAnsi"/>
          <w:spacing w:val="1"/>
        </w:rPr>
        <w:t>S</w:t>
      </w:r>
      <w:r w:rsidRPr="00A54361">
        <w:rPr>
          <w:rFonts w:eastAsia="Times New Roman" w:cstheme="minorHAnsi"/>
        </w:rPr>
        <w:t>tanding Com</w:t>
      </w:r>
      <w:r w:rsidRPr="00A54361">
        <w:rPr>
          <w:rFonts w:eastAsia="Times New Roman" w:cstheme="minorHAnsi"/>
          <w:spacing w:val="1"/>
        </w:rPr>
        <w:t>m</w:t>
      </w:r>
      <w:r w:rsidRPr="00A54361">
        <w:rPr>
          <w:rFonts w:eastAsia="Times New Roman" w:cstheme="minorHAnsi"/>
        </w:rPr>
        <w:t>i</w:t>
      </w:r>
      <w:r w:rsidRPr="00A54361">
        <w:rPr>
          <w:rFonts w:eastAsia="Times New Roman" w:cstheme="minorHAnsi"/>
          <w:spacing w:val="-1"/>
        </w:rPr>
        <w:t>t</w:t>
      </w:r>
      <w:r w:rsidRPr="00A54361">
        <w:rPr>
          <w:rFonts w:eastAsia="Times New Roman" w:cstheme="minorHAnsi"/>
          <w:spacing w:val="-2"/>
        </w:rPr>
        <w:t>t</w:t>
      </w:r>
      <w:r w:rsidRPr="00A54361">
        <w:rPr>
          <w:rFonts w:eastAsia="Times New Roman" w:cstheme="minorHAnsi"/>
          <w:spacing w:val="-1"/>
        </w:rPr>
        <w:t>ee</w:t>
      </w:r>
      <w:r w:rsidRPr="00A54361">
        <w:rPr>
          <w:rFonts w:eastAsia="Times New Roman" w:cstheme="minorHAnsi"/>
        </w:rPr>
        <w:t>/EDC</w:t>
      </w:r>
      <w:r w:rsidRPr="00A54361">
        <w:rPr>
          <w:rFonts w:eastAsia="Times New Roman" w:cstheme="minorHAnsi"/>
          <w:spacing w:val="3"/>
        </w:rPr>
        <w:t xml:space="preserve"> </w:t>
      </w:r>
      <w:r w:rsidRPr="00A54361">
        <w:rPr>
          <w:rFonts w:eastAsia="Times New Roman" w:cstheme="minorHAnsi"/>
          <w:spacing w:val="-1"/>
        </w:rPr>
        <w:t>a</w:t>
      </w:r>
      <w:r w:rsidRPr="00A54361">
        <w:rPr>
          <w:rFonts w:eastAsia="Times New Roman" w:cstheme="minorHAnsi"/>
        </w:rPr>
        <w:t>s</w:t>
      </w:r>
      <w:r w:rsidRPr="00A54361">
        <w:rPr>
          <w:rFonts w:eastAsia="Times New Roman" w:cstheme="minorHAnsi"/>
          <w:spacing w:val="2"/>
        </w:rPr>
        <w:t xml:space="preserve"> </w:t>
      </w:r>
      <w:r w:rsidRPr="00A54361">
        <w:rPr>
          <w:rFonts w:eastAsia="Times New Roman" w:cstheme="minorHAnsi"/>
        </w:rPr>
        <w:t>the</w:t>
      </w:r>
      <w:r w:rsidRPr="00A54361">
        <w:rPr>
          <w:rFonts w:eastAsia="Times New Roman" w:cstheme="minorHAnsi"/>
          <w:spacing w:val="2"/>
        </w:rPr>
        <w:t xml:space="preserve"> </w:t>
      </w:r>
      <w:r w:rsidRPr="00A54361">
        <w:rPr>
          <w:rFonts w:eastAsia="Times New Roman" w:cstheme="minorHAnsi"/>
          <w:spacing w:val="-1"/>
        </w:rPr>
        <w:t>ca</w:t>
      </w:r>
      <w:r w:rsidRPr="00A54361">
        <w:rPr>
          <w:rFonts w:eastAsia="Times New Roman" w:cstheme="minorHAnsi"/>
          <w:spacing w:val="2"/>
        </w:rPr>
        <w:t>s</w:t>
      </w:r>
      <w:r w:rsidRPr="00A54361">
        <w:rPr>
          <w:rFonts w:eastAsia="Times New Roman" w:cstheme="minorHAnsi"/>
        </w:rPr>
        <w:t>e m</w:t>
      </w:r>
      <w:r w:rsidRPr="00A54361">
        <w:rPr>
          <w:rFonts w:eastAsia="Times New Roman" w:cstheme="minorHAnsi"/>
          <w:spacing w:val="2"/>
        </w:rPr>
        <w:t>a</w:t>
      </w:r>
      <w:r w:rsidRPr="00A54361">
        <w:rPr>
          <w:rFonts w:eastAsia="Times New Roman" w:cstheme="minorHAnsi"/>
        </w:rPr>
        <w:t>y</w:t>
      </w:r>
      <w:r w:rsidRPr="00A54361">
        <w:rPr>
          <w:rFonts w:eastAsia="Times New Roman" w:cstheme="minorHAnsi"/>
          <w:spacing w:val="-5"/>
        </w:rPr>
        <w:t xml:space="preserve"> </w:t>
      </w:r>
      <w:r w:rsidRPr="00A54361">
        <w:rPr>
          <w:rFonts w:eastAsia="Times New Roman" w:cstheme="minorHAnsi"/>
          <w:spacing w:val="2"/>
        </w:rPr>
        <w:t>b</w:t>
      </w:r>
      <w:r w:rsidRPr="00A54361">
        <w:rPr>
          <w:rFonts w:eastAsia="Times New Roman" w:cstheme="minorHAnsi"/>
        </w:rPr>
        <w:t>e</w:t>
      </w:r>
      <w:r w:rsidRPr="00A54361">
        <w:rPr>
          <w:rFonts w:eastAsia="Times New Roman" w:cstheme="minorHAnsi"/>
          <w:spacing w:val="-1"/>
        </w:rPr>
        <w:t xml:space="preserve"> </w:t>
      </w:r>
      <w:r w:rsidRPr="00A54361">
        <w:rPr>
          <w:rFonts w:eastAsia="Times New Roman" w:cstheme="minorHAnsi"/>
        </w:rPr>
        <w:t>for</w:t>
      </w:r>
      <w:r w:rsidRPr="00A54361">
        <w:rPr>
          <w:rFonts w:eastAsia="Times New Roman" w:cstheme="minorHAnsi"/>
          <w:spacing w:val="1"/>
        </w:rPr>
        <w:t xml:space="preserve"> </w:t>
      </w:r>
      <w:r w:rsidRPr="00A54361">
        <w:rPr>
          <w:rFonts w:eastAsia="Times New Roman" w:cstheme="minorHAnsi"/>
          <w:spacing w:val="-1"/>
        </w:rPr>
        <w:t>e</w:t>
      </w:r>
      <w:r w:rsidRPr="00A54361">
        <w:rPr>
          <w:rFonts w:eastAsia="Times New Roman" w:cstheme="minorHAnsi"/>
          <w:spacing w:val="2"/>
        </w:rPr>
        <w:t>x</w:t>
      </w:r>
      <w:r w:rsidRPr="00A54361">
        <w:rPr>
          <w:rFonts w:eastAsia="Times New Roman" w:cstheme="minorHAnsi"/>
          <w:spacing w:val="-1"/>
        </w:rPr>
        <w:t>a</w:t>
      </w:r>
      <w:r w:rsidRPr="00A54361">
        <w:rPr>
          <w:rFonts w:eastAsia="Times New Roman" w:cstheme="minorHAnsi"/>
        </w:rPr>
        <w:t>m</w:t>
      </w:r>
      <w:r w:rsidRPr="00A54361">
        <w:rPr>
          <w:rFonts w:eastAsia="Times New Roman" w:cstheme="minorHAnsi"/>
          <w:spacing w:val="1"/>
        </w:rPr>
        <w:t>i</w:t>
      </w:r>
      <w:r w:rsidRPr="00A54361">
        <w:rPr>
          <w:rFonts w:eastAsia="Times New Roman" w:cstheme="minorHAnsi"/>
        </w:rPr>
        <w:t>n</w:t>
      </w:r>
      <w:r w:rsidRPr="00A54361">
        <w:rPr>
          <w:rFonts w:eastAsia="Times New Roman" w:cstheme="minorHAnsi"/>
          <w:spacing w:val="-1"/>
        </w:rPr>
        <w:t>a</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 xml:space="preserve">on </w:t>
      </w:r>
      <w:r w:rsidRPr="00A54361">
        <w:rPr>
          <w:rFonts w:eastAsia="Times New Roman" w:cstheme="minorHAnsi"/>
          <w:spacing w:val="-1"/>
        </w:rPr>
        <w:t>a</w:t>
      </w:r>
      <w:r w:rsidRPr="00A54361">
        <w:rPr>
          <w:rFonts w:eastAsia="Times New Roman" w:cstheme="minorHAnsi"/>
        </w:rPr>
        <w:t>nd r</w:t>
      </w:r>
      <w:r w:rsidRPr="00A54361">
        <w:rPr>
          <w:rFonts w:eastAsia="Times New Roman" w:cstheme="minorHAnsi"/>
          <w:spacing w:val="-2"/>
        </w:rPr>
        <w:t>e</w:t>
      </w:r>
      <w:r w:rsidRPr="00A54361">
        <w:rPr>
          <w:rFonts w:eastAsia="Times New Roman" w:cstheme="minorHAnsi"/>
          <w:spacing w:val="-1"/>
        </w:rPr>
        <w:t>c</w:t>
      </w:r>
      <w:r w:rsidRPr="00A54361">
        <w:rPr>
          <w:rFonts w:eastAsia="Times New Roman" w:cstheme="minorHAnsi"/>
        </w:rPr>
        <w:t>om</w:t>
      </w:r>
      <w:r w:rsidRPr="00A54361">
        <w:rPr>
          <w:rFonts w:eastAsia="Times New Roman" w:cstheme="minorHAnsi"/>
          <w:spacing w:val="1"/>
        </w:rPr>
        <w:t>m</w:t>
      </w:r>
      <w:r w:rsidRPr="00A54361">
        <w:rPr>
          <w:rFonts w:eastAsia="Times New Roman" w:cstheme="minorHAnsi"/>
          <w:spacing w:val="-1"/>
        </w:rPr>
        <w:t>e</w:t>
      </w:r>
      <w:r w:rsidRPr="00A54361">
        <w:rPr>
          <w:rFonts w:eastAsia="Times New Roman" w:cstheme="minorHAnsi"/>
        </w:rPr>
        <w:t>nd</w:t>
      </w:r>
      <w:r w:rsidRPr="00A54361">
        <w:rPr>
          <w:rFonts w:eastAsia="Times New Roman" w:cstheme="minorHAnsi"/>
          <w:spacing w:val="-1"/>
        </w:rPr>
        <w:t>a</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on.</w:t>
      </w:r>
    </w:p>
    <w:p w14:paraId="5AE3D9DD" w14:textId="77777777" w:rsidR="0054549F" w:rsidRPr="00A54361" w:rsidRDefault="0054549F" w:rsidP="00A54361">
      <w:pPr>
        <w:ind w:left="100" w:right="87"/>
        <w:jc w:val="both"/>
        <w:rPr>
          <w:rFonts w:cstheme="minorHAnsi"/>
        </w:rPr>
      </w:pPr>
      <w:r w:rsidRPr="00A54361">
        <w:rPr>
          <w:rFonts w:eastAsia="Times New Roman" w:cstheme="minorHAnsi"/>
          <w:b/>
        </w:rPr>
        <w:t>12 Ci</w:t>
      </w:r>
      <w:r w:rsidRPr="00A54361">
        <w:rPr>
          <w:rFonts w:eastAsia="Times New Roman" w:cstheme="minorHAnsi"/>
          <w:b/>
          <w:spacing w:val="-1"/>
        </w:rPr>
        <w:t>rc</w:t>
      </w:r>
      <w:r w:rsidRPr="00A54361">
        <w:rPr>
          <w:rFonts w:eastAsia="Times New Roman" w:cstheme="minorHAnsi"/>
          <w:b/>
          <w:spacing w:val="1"/>
        </w:rPr>
        <w:t>u</w:t>
      </w:r>
      <w:r w:rsidRPr="00A54361">
        <w:rPr>
          <w:rFonts w:eastAsia="Times New Roman" w:cstheme="minorHAnsi"/>
          <w:b/>
        </w:rPr>
        <w:t>lation</w:t>
      </w:r>
      <w:r w:rsidRPr="00A54361">
        <w:rPr>
          <w:rFonts w:eastAsia="Times New Roman" w:cstheme="minorHAnsi"/>
          <w:b/>
          <w:spacing w:val="1"/>
        </w:rPr>
        <w:t xml:space="preserve"> </w:t>
      </w:r>
      <w:r w:rsidRPr="00A54361">
        <w:rPr>
          <w:rFonts w:eastAsia="Times New Roman" w:cstheme="minorHAnsi"/>
          <w:b/>
        </w:rPr>
        <w:t>of</w:t>
      </w:r>
      <w:r w:rsidRPr="00A54361">
        <w:rPr>
          <w:rFonts w:eastAsia="Times New Roman" w:cstheme="minorHAnsi"/>
          <w:b/>
          <w:spacing w:val="1"/>
        </w:rPr>
        <w:t xml:space="preserve"> </w:t>
      </w:r>
      <w:r w:rsidRPr="00A54361">
        <w:rPr>
          <w:rFonts w:eastAsia="Times New Roman" w:cstheme="minorHAnsi"/>
          <w:b/>
          <w:spacing w:val="-3"/>
        </w:rPr>
        <w:t>t</w:t>
      </w:r>
      <w:r w:rsidRPr="00A54361">
        <w:rPr>
          <w:rFonts w:eastAsia="Times New Roman" w:cstheme="minorHAnsi"/>
          <w:b/>
          <w:spacing w:val="1"/>
        </w:rPr>
        <w:t>h</w:t>
      </w:r>
      <w:r w:rsidRPr="00A54361">
        <w:rPr>
          <w:rFonts w:eastAsia="Times New Roman" w:cstheme="minorHAnsi"/>
          <w:b/>
        </w:rPr>
        <w:t>e</w:t>
      </w:r>
      <w:r w:rsidRPr="00A54361">
        <w:rPr>
          <w:rFonts w:eastAsia="Times New Roman" w:cstheme="minorHAnsi"/>
          <w:b/>
          <w:spacing w:val="-1"/>
        </w:rPr>
        <w:t xml:space="preserve"> </w:t>
      </w:r>
      <w:r w:rsidRPr="00A54361">
        <w:rPr>
          <w:rFonts w:eastAsia="Times New Roman" w:cstheme="minorHAnsi"/>
          <w:b/>
          <w:spacing w:val="1"/>
        </w:rPr>
        <w:t>n</w:t>
      </w:r>
      <w:r w:rsidRPr="00A54361">
        <w:rPr>
          <w:rFonts w:eastAsia="Times New Roman" w:cstheme="minorHAnsi"/>
          <w:b/>
          <w:spacing w:val="-2"/>
        </w:rPr>
        <w:t>a</w:t>
      </w:r>
      <w:r w:rsidRPr="00A54361">
        <w:rPr>
          <w:rFonts w:eastAsia="Times New Roman" w:cstheme="minorHAnsi"/>
          <w:b/>
          <w:spacing w:val="-1"/>
        </w:rPr>
        <w:t>me</w:t>
      </w:r>
      <w:r w:rsidRPr="00A54361">
        <w:rPr>
          <w:rFonts w:eastAsia="Times New Roman" w:cstheme="minorHAnsi"/>
          <w:b/>
        </w:rPr>
        <w:t>s of</w:t>
      </w:r>
      <w:r w:rsidRPr="00A54361">
        <w:rPr>
          <w:rFonts w:eastAsia="Times New Roman" w:cstheme="minorHAnsi"/>
          <w:b/>
          <w:spacing w:val="2"/>
        </w:rPr>
        <w:t xml:space="preserve"> </w:t>
      </w:r>
      <w:r w:rsidRPr="00A54361">
        <w:rPr>
          <w:rFonts w:eastAsia="Times New Roman" w:cstheme="minorHAnsi"/>
          <w:b/>
        </w:rPr>
        <w:t>Ag</w:t>
      </w:r>
      <w:r w:rsidRPr="00A54361">
        <w:rPr>
          <w:rFonts w:eastAsia="Times New Roman" w:cstheme="minorHAnsi"/>
          <w:b/>
          <w:spacing w:val="-1"/>
        </w:rPr>
        <w:t>e</w:t>
      </w:r>
      <w:r w:rsidRPr="00A54361">
        <w:rPr>
          <w:rFonts w:eastAsia="Times New Roman" w:cstheme="minorHAnsi"/>
          <w:b/>
          <w:spacing w:val="1"/>
        </w:rPr>
        <w:t>n</w:t>
      </w:r>
      <w:r w:rsidRPr="00A54361">
        <w:rPr>
          <w:rFonts w:eastAsia="Times New Roman" w:cstheme="minorHAnsi"/>
          <w:b/>
          <w:spacing w:val="-1"/>
        </w:rPr>
        <w:t>c</w:t>
      </w:r>
      <w:r w:rsidRPr="00A54361">
        <w:rPr>
          <w:rFonts w:eastAsia="Times New Roman" w:cstheme="minorHAnsi"/>
          <w:b/>
        </w:rPr>
        <w:t xml:space="preserve">ies </w:t>
      </w:r>
      <w:r w:rsidRPr="00A54361">
        <w:rPr>
          <w:rFonts w:eastAsia="Times New Roman" w:cstheme="minorHAnsi"/>
          <w:b/>
          <w:spacing w:val="1"/>
        </w:rPr>
        <w:t>w</w:t>
      </w:r>
      <w:r w:rsidRPr="00A54361">
        <w:rPr>
          <w:rFonts w:eastAsia="Times New Roman" w:cstheme="minorHAnsi"/>
          <w:b/>
        </w:rPr>
        <w:t>ith</w:t>
      </w:r>
      <w:r w:rsidRPr="00A54361">
        <w:rPr>
          <w:rFonts w:eastAsia="Times New Roman" w:cstheme="minorHAnsi"/>
          <w:b/>
          <w:spacing w:val="-2"/>
        </w:rPr>
        <w:t xml:space="preserve"> </w:t>
      </w:r>
      <w:r w:rsidRPr="00A54361">
        <w:rPr>
          <w:rFonts w:eastAsia="Times New Roman" w:cstheme="minorHAnsi"/>
          <w:b/>
        </w:rPr>
        <w:t>whom</w:t>
      </w:r>
      <w:r w:rsidRPr="00A54361">
        <w:rPr>
          <w:rFonts w:eastAsia="Times New Roman" w:cstheme="minorHAnsi"/>
          <w:b/>
          <w:spacing w:val="-3"/>
        </w:rPr>
        <w:t xml:space="preserve"> </w:t>
      </w:r>
      <w:r w:rsidRPr="00A54361">
        <w:rPr>
          <w:rFonts w:eastAsia="Times New Roman" w:cstheme="minorHAnsi"/>
          <w:b/>
        </w:rPr>
        <w:t>B</w:t>
      </w:r>
      <w:r w:rsidRPr="00A54361">
        <w:rPr>
          <w:rFonts w:eastAsia="Times New Roman" w:cstheme="minorHAnsi"/>
          <w:b/>
          <w:spacing w:val="1"/>
        </w:rPr>
        <w:t>u</w:t>
      </w:r>
      <w:r w:rsidRPr="00A54361">
        <w:rPr>
          <w:rFonts w:eastAsia="Times New Roman" w:cstheme="minorHAnsi"/>
          <w:b/>
        </w:rPr>
        <w:t>si</w:t>
      </w:r>
      <w:r w:rsidRPr="00A54361">
        <w:rPr>
          <w:rFonts w:eastAsia="Times New Roman" w:cstheme="minorHAnsi"/>
          <w:b/>
          <w:spacing w:val="1"/>
        </w:rPr>
        <w:t>n</w:t>
      </w:r>
      <w:r w:rsidRPr="00A54361">
        <w:rPr>
          <w:rFonts w:eastAsia="Times New Roman" w:cstheme="minorHAnsi"/>
          <w:b/>
          <w:spacing w:val="-1"/>
        </w:rPr>
        <w:t>e</w:t>
      </w:r>
      <w:r w:rsidRPr="00A54361">
        <w:rPr>
          <w:rFonts w:eastAsia="Times New Roman" w:cstheme="minorHAnsi"/>
          <w:b/>
        </w:rPr>
        <w:t>ss D</w:t>
      </w:r>
      <w:r w:rsidRPr="00A54361">
        <w:rPr>
          <w:rFonts w:eastAsia="Times New Roman" w:cstheme="minorHAnsi"/>
          <w:b/>
          <w:spacing w:val="-1"/>
        </w:rPr>
        <w:t>e</w:t>
      </w:r>
      <w:r w:rsidRPr="00A54361">
        <w:rPr>
          <w:rFonts w:eastAsia="Times New Roman" w:cstheme="minorHAnsi"/>
          <w:b/>
        </w:rPr>
        <w:t>al</w:t>
      </w:r>
      <w:r w:rsidRPr="00A54361">
        <w:rPr>
          <w:rFonts w:eastAsia="Times New Roman" w:cstheme="minorHAnsi"/>
          <w:b/>
          <w:spacing w:val="1"/>
        </w:rPr>
        <w:t>in</w:t>
      </w:r>
      <w:r w:rsidRPr="00A54361">
        <w:rPr>
          <w:rFonts w:eastAsia="Times New Roman" w:cstheme="minorHAnsi"/>
          <w:b/>
        </w:rPr>
        <w:t>gs</w:t>
      </w:r>
      <w:r w:rsidRPr="00A54361">
        <w:rPr>
          <w:rFonts w:eastAsia="Times New Roman" w:cstheme="minorHAnsi"/>
          <w:b/>
          <w:spacing w:val="-2"/>
        </w:rPr>
        <w:t xml:space="preserve"> </w:t>
      </w:r>
      <w:r w:rsidRPr="00A54361">
        <w:rPr>
          <w:rFonts w:eastAsia="Times New Roman" w:cstheme="minorHAnsi"/>
          <w:b/>
          <w:spacing w:val="1"/>
        </w:rPr>
        <w:t>h</w:t>
      </w:r>
      <w:r w:rsidRPr="00A54361">
        <w:rPr>
          <w:rFonts w:eastAsia="Times New Roman" w:cstheme="minorHAnsi"/>
          <w:b/>
        </w:rPr>
        <w:t>ave</w:t>
      </w:r>
      <w:r w:rsidRPr="00A54361">
        <w:rPr>
          <w:rFonts w:eastAsia="Times New Roman" w:cstheme="minorHAnsi"/>
          <w:b/>
          <w:spacing w:val="-1"/>
        </w:rPr>
        <w:t xml:space="preserve"> </w:t>
      </w:r>
      <w:r w:rsidRPr="00A54361">
        <w:rPr>
          <w:rFonts w:eastAsia="Times New Roman" w:cstheme="minorHAnsi"/>
          <w:b/>
          <w:spacing w:val="1"/>
        </w:rPr>
        <w:t>b</w:t>
      </w:r>
      <w:r w:rsidRPr="00A54361">
        <w:rPr>
          <w:rFonts w:eastAsia="Times New Roman" w:cstheme="minorHAnsi"/>
          <w:b/>
          <w:spacing w:val="-1"/>
        </w:rPr>
        <w:t>ee</w:t>
      </w:r>
      <w:r w:rsidRPr="00A54361">
        <w:rPr>
          <w:rFonts w:eastAsia="Times New Roman" w:cstheme="minorHAnsi"/>
          <w:b/>
        </w:rPr>
        <w:t>n</w:t>
      </w:r>
      <w:r w:rsidRPr="00A54361">
        <w:rPr>
          <w:rFonts w:eastAsia="Times New Roman" w:cstheme="minorHAnsi"/>
          <w:b/>
          <w:spacing w:val="1"/>
        </w:rPr>
        <w:t xml:space="preserve"> b</w:t>
      </w:r>
      <w:r w:rsidRPr="00A54361">
        <w:rPr>
          <w:rFonts w:eastAsia="Times New Roman" w:cstheme="minorHAnsi"/>
          <w:b/>
        </w:rPr>
        <w:t>a</w:t>
      </w:r>
      <w:r w:rsidRPr="00A54361">
        <w:rPr>
          <w:rFonts w:eastAsia="Times New Roman" w:cstheme="minorHAnsi"/>
          <w:b/>
          <w:spacing w:val="-1"/>
        </w:rPr>
        <w:t>n</w:t>
      </w:r>
      <w:r w:rsidRPr="00A54361">
        <w:rPr>
          <w:rFonts w:eastAsia="Times New Roman" w:cstheme="minorHAnsi"/>
          <w:b/>
          <w:spacing w:val="1"/>
        </w:rPr>
        <w:t>n</w:t>
      </w:r>
      <w:r w:rsidRPr="00A54361">
        <w:rPr>
          <w:rFonts w:eastAsia="Times New Roman" w:cstheme="minorHAnsi"/>
          <w:b/>
          <w:spacing w:val="-1"/>
        </w:rPr>
        <w:t>e</w:t>
      </w:r>
      <w:r w:rsidRPr="00A54361">
        <w:rPr>
          <w:rFonts w:eastAsia="Times New Roman" w:cstheme="minorHAnsi"/>
          <w:b/>
        </w:rPr>
        <w:t>d</w:t>
      </w:r>
    </w:p>
    <w:p w14:paraId="7229DE6E" w14:textId="77777777" w:rsidR="0054549F" w:rsidRPr="00A54361" w:rsidRDefault="0054549F" w:rsidP="00A54361">
      <w:pPr>
        <w:spacing w:line="260" w:lineRule="exact"/>
        <w:ind w:left="100" w:right="81"/>
        <w:jc w:val="both"/>
        <w:rPr>
          <w:rFonts w:cstheme="minorHAnsi"/>
        </w:rPr>
      </w:pPr>
      <w:r w:rsidRPr="00A54361">
        <w:rPr>
          <w:rFonts w:eastAsia="Times New Roman" w:cstheme="minorHAnsi"/>
        </w:rPr>
        <w:t>12.1</w:t>
      </w:r>
      <w:r w:rsidRPr="00A54361">
        <w:rPr>
          <w:rFonts w:eastAsia="Times New Roman" w:cstheme="minorHAnsi"/>
          <w:spacing w:val="14"/>
        </w:rPr>
        <w:t xml:space="preserve"> </w:t>
      </w:r>
      <w:r w:rsidRPr="00A54361">
        <w:rPr>
          <w:rFonts w:eastAsia="Times New Roman" w:cstheme="minorHAnsi"/>
        </w:rPr>
        <w:t>D</w:t>
      </w:r>
      <w:r w:rsidRPr="00A54361">
        <w:rPr>
          <w:rFonts w:eastAsia="Times New Roman" w:cstheme="minorHAnsi"/>
          <w:spacing w:val="-1"/>
        </w:rPr>
        <w:t>e</w:t>
      </w:r>
      <w:r w:rsidRPr="00A54361">
        <w:rPr>
          <w:rFonts w:eastAsia="Times New Roman" w:cstheme="minorHAnsi"/>
        </w:rPr>
        <w:t>p</w:t>
      </w:r>
      <w:r w:rsidRPr="00A54361">
        <w:rPr>
          <w:rFonts w:eastAsia="Times New Roman" w:cstheme="minorHAnsi"/>
          <w:spacing w:val="-1"/>
        </w:rPr>
        <w:t>e</w:t>
      </w:r>
      <w:r w:rsidRPr="00A54361">
        <w:rPr>
          <w:rFonts w:eastAsia="Times New Roman" w:cstheme="minorHAnsi"/>
        </w:rPr>
        <w:t>ndi</w:t>
      </w:r>
      <w:r w:rsidRPr="00A54361">
        <w:rPr>
          <w:rFonts w:eastAsia="Times New Roman" w:cstheme="minorHAnsi"/>
          <w:spacing w:val="3"/>
        </w:rPr>
        <w:t>n</w:t>
      </w:r>
      <w:r w:rsidRPr="00A54361">
        <w:rPr>
          <w:rFonts w:eastAsia="Times New Roman" w:cstheme="minorHAnsi"/>
        </w:rPr>
        <w:t>g</w:t>
      </w:r>
      <w:r w:rsidRPr="00A54361">
        <w:rPr>
          <w:rFonts w:eastAsia="Times New Roman" w:cstheme="minorHAnsi"/>
          <w:spacing w:val="12"/>
        </w:rPr>
        <w:t xml:space="preserve"> </w:t>
      </w:r>
      <w:r w:rsidRPr="00A54361">
        <w:rPr>
          <w:rFonts w:eastAsia="Times New Roman" w:cstheme="minorHAnsi"/>
        </w:rPr>
        <w:t>upon</w:t>
      </w:r>
      <w:r w:rsidRPr="00A54361">
        <w:rPr>
          <w:rFonts w:eastAsia="Times New Roman" w:cstheme="minorHAnsi"/>
          <w:spacing w:val="14"/>
        </w:rPr>
        <w:t xml:space="preserve"> </w:t>
      </w:r>
      <w:r w:rsidRPr="00A54361">
        <w:rPr>
          <w:rFonts w:eastAsia="Times New Roman" w:cstheme="minorHAnsi"/>
        </w:rPr>
        <w:t>t</w:t>
      </w:r>
      <w:r w:rsidRPr="00A54361">
        <w:rPr>
          <w:rFonts w:eastAsia="Times New Roman" w:cstheme="minorHAnsi"/>
          <w:spacing w:val="3"/>
        </w:rPr>
        <w:t>h</w:t>
      </w:r>
      <w:r w:rsidRPr="00A54361">
        <w:rPr>
          <w:rFonts w:eastAsia="Times New Roman" w:cstheme="minorHAnsi"/>
        </w:rPr>
        <w:t>e</w:t>
      </w:r>
      <w:r w:rsidRPr="00A54361">
        <w:rPr>
          <w:rFonts w:eastAsia="Times New Roman" w:cstheme="minorHAnsi"/>
          <w:spacing w:val="13"/>
        </w:rPr>
        <w:t xml:space="preserve"> </w:t>
      </w:r>
      <w:r w:rsidRPr="00A54361">
        <w:rPr>
          <w:rFonts w:eastAsia="Times New Roman" w:cstheme="minorHAnsi"/>
        </w:rPr>
        <w:t>gr</w:t>
      </w:r>
      <w:r w:rsidRPr="00A54361">
        <w:rPr>
          <w:rFonts w:eastAsia="Times New Roman" w:cstheme="minorHAnsi"/>
          <w:spacing w:val="-2"/>
        </w:rPr>
        <w:t>a</w:t>
      </w:r>
      <w:r w:rsidRPr="00A54361">
        <w:rPr>
          <w:rFonts w:eastAsia="Times New Roman" w:cstheme="minorHAnsi"/>
        </w:rPr>
        <w:t>vi</w:t>
      </w:r>
      <w:r w:rsidRPr="00A54361">
        <w:rPr>
          <w:rFonts w:eastAsia="Times New Roman" w:cstheme="minorHAnsi"/>
          <w:spacing w:val="6"/>
        </w:rPr>
        <w:t>t</w:t>
      </w:r>
      <w:r w:rsidRPr="00A54361">
        <w:rPr>
          <w:rFonts w:eastAsia="Times New Roman" w:cstheme="minorHAnsi"/>
        </w:rPr>
        <w:t>y</w:t>
      </w:r>
      <w:r w:rsidRPr="00A54361">
        <w:rPr>
          <w:rFonts w:eastAsia="Times New Roman" w:cstheme="minorHAnsi"/>
          <w:spacing w:val="9"/>
        </w:rPr>
        <w:t xml:space="preserve"> </w:t>
      </w:r>
      <w:r w:rsidRPr="00A54361">
        <w:rPr>
          <w:rFonts w:eastAsia="Times New Roman" w:cstheme="minorHAnsi"/>
        </w:rPr>
        <w:t>of</w:t>
      </w:r>
      <w:r w:rsidRPr="00A54361">
        <w:rPr>
          <w:rFonts w:eastAsia="Times New Roman" w:cstheme="minorHAnsi"/>
          <w:spacing w:val="13"/>
        </w:rPr>
        <w:t xml:space="preserve"> </w:t>
      </w:r>
      <w:r w:rsidRPr="00A54361">
        <w:rPr>
          <w:rFonts w:eastAsia="Times New Roman" w:cstheme="minorHAnsi"/>
        </w:rPr>
        <w:t>m</w:t>
      </w:r>
      <w:r w:rsidRPr="00A54361">
        <w:rPr>
          <w:rFonts w:eastAsia="Times New Roman" w:cstheme="minorHAnsi"/>
          <w:spacing w:val="1"/>
        </w:rPr>
        <w:t>i</w:t>
      </w:r>
      <w:r w:rsidRPr="00A54361">
        <w:rPr>
          <w:rFonts w:eastAsia="Times New Roman" w:cstheme="minorHAnsi"/>
        </w:rPr>
        <w:t>s</w:t>
      </w:r>
      <w:r w:rsidRPr="00A54361">
        <w:rPr>
          <w:rFonts w:eastAsia="Times New Roman" w:cstheme="minorHAnsi"/>
          <w:spacing w:val="-1"/>
        </w:rPr>
        <w:t>c</w:t>
      </w:r>
      <w:r w:rsidRPr="00A54361">
        <w:rPr>
          <w:rFonts w:eastAsia="Times New Roman" w:cstheme="minorHAnsi"/>
        </w:rPr>
        <w:t>ond</w:t>
      </w:r>
      <w:r w:rsidRPr="00A54361">
        <w:rPr>
          <w:rFonts w:eastAsia="Times New Roman" w:cstheme="minorHAnsi"/>
          <w:spacing w:val="2"/>
        </w:rPr>
        <w:t>u</w:t>
      </w:r>
      <w:r w:rsidRPr="00A54361">
        <w:rPr>
          <w:rFonts w:eastAsia="Times New Roman" w:cstheme="minorHAnsi"/>
          <w:spacing w:val="-1"/>
        </w:rPr>
        <w:t>c</w:t>
      </w:r>
      <w:r w:rsidRPr="00A54361">
        <w:rPr>
          <w:rFonts w:eastAsia="Times New Roman" w:cstheme="minorHAnsi"/>
        </w:rPr>
        <w:t>t</w:t>
      </w:r>
      <w:r w:rsidRPr="00A54361">
        <w:rPr>
          <w:rFonts w:eastAsia="Times New Roman" w:cstheme="minorHAnsi"/>
          <w:spacing w:val="15"/>
        </w:rPr>
        <w:t xml:space="preserve"> </w:t>
      </w:r>
      <w:r w:rsidRPr="00A54361">
        <w:rPr>
          <w:rFonts w:eastAsia="Times New Roman" w:cstheme="minorHAnsi"/>
          <w:spacing w:val="-1"/>
        </w:rPr>
        <w:t>e</w:t>
      </w:r>
      <w:r w:rsidRPr="00A54361">
        <w:rPr>
          <w:rFonts w:eastAsia="Times New Roman" w:cstheme="minorHAnsi"/>
        </w:rPr>
        <w:t>stabli</w:t>
      </w:r>
      <w:r w:rsidRPr="00A54361">
        <w:rPr>
          <w:rFonts w:eastAsia="Times New Roman" w:cstheme="minorHAnsi"/>
          <w:spacing w:val="1"/>
        </w:rPr>
        <w:t>s</w:t>
      </w:r>
      <w:r w:rsidRPr="00A54361">
        <w:rPr>
          <w:rFonts w:eastAsia="Times New Roman" w:cstheme="minorHAnsi"/>
        </w:rPr>
        <w:t>h</w:t>
      </w:r>
      <w:r w:rsidRPr="00A54361">
        <w:rPr>
          <w:rFonts w:eastAsia="Times New Roman" w:cstheme="minorHAnsi"/>
          <w:spacing w:val="-1"/>
        </w:rPr>
        <w:t>e</w:t>
      </w:r>
      <w:r w:rsidRPr="00A54361">
        <w:rPr>
          <w:rFonts w:eastAsia="Times New Roman" w:cstheme="minorHAnsi"/>
        </w:rPr>
        <w:t>d,</w:t>
      </w:r>
      <w:r w:rsidRPr="00A54361">
        <w:rPr>
          <w:rFonts w:eastAsia="Times New Roman" w:cstheme="minorHAnsi"/>
          <w:spacing w:val="14"/>
        </w:rPr>
        <w:t xml:space="preserve"> </w:t>
      </w:r>
      <w:r w:rsidRPr="00A54361">
        <w:rPr>
          <w:rFonts w:eastAsia="Times New Roman" w:cstheme="minorHAnsi"/>
          <w:spacing w:val="5"/>
        </w:rPr>
        <w:t>t</w:t>
      </w:r>
      <w:r w:rsidRPr="00A54361">
        <w:rPr>
          <w:rFonts w:eastAsia="Times New Roman" w:cstheme="minorHAnsi"/>
        </w:rPr>
        <w:t>he</w:t>
      </w:r>
      <w:r w:rsidRPr="00A54361">
        <w:rPr>
          <w:rFonts w:eastAsia="Times New Roman" w:cstheme="minorHAnsi"/>
          <w:spacing w:val="13"/>
        </w:rPr>
        <w:t xml:space="preserve"> </w:t>
      </w:r>
      <w:r w:rsidRPr="00A54361">
        <w:rPr>
          <w:rFonts w:eastAsia="Times New Roman" w:cstheme="minorHAnsi"/>
        </w:rPr>
        <w:t>Compet</w:t>
      </w:r>
      <w:r w:rsidRPr="00A54361">
        <w:rPr>
          <w:rFonts w:eastAsia="Times New Roman" w:cstheme="minorHAnsi"/>
          <w:spacing w:val="1"/>
        </w:rPr>
        <w:t>e</w:t>
      </w:r>
      <w:r w:rsidRPr="00A54361">
        <w:rPr>
          <w:rFonts w:eastAsia="Times New Roman" w:cstheme="minorHAnsi"/>
        </w:rPr>
        <w:t>nt</w:t>
      </w:r>
      <w:r w:rsidRPr="00A54361">
        <w:rPr>
          <w:rFonts w:eastAsia="Times New Roman" w:cstheme="minorHAnsi"/>
          <w:spacing w:val="15"/>
        </w:rPr>
        <w:t xml:space="preserve"> </w:t>
      </w:r>
      <w:r w:rsidRPr="00A54361">
        <w:rPr>
          <w:rFonts w:eastAsia="Times New Roman" w:cstheme="minorHAnsi"/>
        </w:rPr>
        <w:t>Autho</w:t>
      </w:r>
      <w:r w:rsidRPr="00A54361">
        <w:rPr>
          <w:rFonts w:eastAsia="Times New Roman" w:cstheme="minorHAnsi"/>
          <w:spacing w:val="-1"/>
        </w:rPr>
        <w:t>r</w:t>
      </w:r>
      <w:r w:rsidRPr="00A54361">
        <w:rPr>
          <w:rFonts w:eastAsia="Times New Roman" w:cstheme="minorHAnsi"/>
        </w:rPr>
        <w:t>i</w:t>
      </w:r>
      <w:r w:rsidRPr="00A54361">
        <w:rPr>
          <w:rFonts w:eastAsia="Times New Roman" w:cstheme="minorHAnsi"/>
          <w:spacing w:val="3"/>
        </w:rPr>
        <w:t>t</w:t>
      </w:r>
      <w:r w:rsidRPr="00A54361">
        <w:rPr>
          <w:rFonts w:eastAsia="Times New Roman" w:cstheme="minorHAnsi"/>
        </w:rPr>
        <w:t>y</w:t>
      </w:r>
      <w:r w:rsidRPr="00A54361">
        <w:rPr>
          <w:rFonts w:eastAsia="Times New Roman" w:cstheme="minorHAnsi"/>
          <w:spacing w:val="9"/>
        </w:rPr>
        <w:t xml:space="preserve"> </w:t>
      </w:r>
      <w:r w:rsidRPr="00A54361">
        <w:rPr>
          <w:rFonts w:eastAsia="Times New Roman" w:cstheme="minorHAnsi"/>
        </w:rPr>
        <w:t>of</w:t>
      </w:r>
      <w:r w:rsidRPr="00A54361">
        <w:rPr>
          <w:rFonts w:eastAsia="Times New Roman" w:cstheme="minorHAnsi"/>
          <w:spacing w:val="13"/>
        </w:rPr>
        <w:t xml:space="preserve"> </w:t>
      </w:r>
      <w:r w:rsidRPr="00A54361">
        <w:rPr>
          <w:rFonts w:eastAsia="Times New Roman" w:cstheme="minorHAnsi"/>
        </w:rPr>
        <w:t>the</w:t>
      </w:r>
    </w:p>
    <w:p w14:paraId="4B47186C" w14:textId="77777777" w:rsidR="0054549F" w:rsidRPr="00A54361" w:rsidRDefault="0054549F" w:rsidP="00A54361">
      <w:pPr>
        <w:spacing w:before="1" w:line="260" w:lineRule="exact"/>
        <w:ind w:left="100" w:right="81"/>
        <w:jc w:val="both"/>
        <w:rPr>
          <w:rFonts w:cstheme="minorHAnsi"/>
        </w:rPr>
      </w:pPr>
      <w:r w:rsidRPr="00A54361">
        <w:rPr>
          <w:rFonts w:eastAsia="Times New Roman" w:cstheme="minorHAnsi"/>
        </w:rPr>
        <w:t>Corpo</w:t>
      </w:r>
      <w:r w:rsidRPr="00A54361">
        <w:rPr>
          <w:rFonts w:eastAsia="Times New Roman" w:cstheme="minorHAnsi"/>
          <w:spacing w:val="-1"/>
        </w:rPr>
        <w:t>ra</w:t>
      </w:r>
      <w:r w:rsidRPr="00A54361">
        <w:rPr>
          <w:rFonts w:eastAsia="Times New Roman" w:cstheme="minorHAnsi"/>
        </w:rPr>
        <w:t>te</w:t>
      </w:r>
      <w:r w:rsidRPr="00A54361">
        <w:rPr>
          <w:rFonts w:eastAsia="Times New Roman" w:cstheme="minorHAnsi"/>
          <w:spacing w:val="2"/>
        </w:rPr>
        <w:t xml:space="preserve"> O</w:t>
      </w:r>
      <w:r w:rsidRPr="00A54361">
        <w:rPr>
          <w:rFonts w:eastAsia="Times New Roman" w:cstheme="minorHAnsi"/>
        </w:rPr>
        <w:t>f</w:t>
      </w:r>
      <w:r w:rsidRPr="00A54361">
        <w:rPr>
          <w:rFonts w:eastAsia="Times New Roman" w:cstheme="minorHAnsi"/>
          <w:spacing w:val="-1"/>
        </w:rPr>
        <w:t>f</w:t>
      </w:r>
      <w:r w:rsidRPr="00A54361">
        <w:rPr>
          <w:rFonts w:eastAsia="Times New Roman" w:cstheme="minorHAnsi"/>
        </w:rPr>
        <w:t>ice</w:t>
      </w:r>
      <w:r w:rsidRPr="00A54361">
        <w:rPr>
          <w:rFonts w:eastAsia="Times New Roman" w:cstheme="minorHAnsi"/>
          <w:spacing w:val="3"/>
        </w:rPr>
        <w:t xml:space="preserve"> </w:t>
      </w:r>
      <w:r w:rsidRPr="00A54361">
        <w:rPr>
          <w:rFonts w:eastAsia="Times New Roman" w:cstheme="minorHAnsi"/>
        </w:rPr>
        <w:t>m</w:t>
      </w:r>
      <w:r w:rsidRPr="00A54361">
        <w:rPr>
          <w:rFonts w:eastAsia="Times New Roman" w:cstheme="minorHAnsi"/>
          <w:spacing w:val="4"/>
        </w:rPr>
        <w:t>a</w:t>
      </w:r>
      <w:r w:rsidRPr="00A54361">
        <w:rPr>
          <w:rFonts w:eastAsia="Times New Roman" w:cstheme="minorHAnsi"/>
        </w:rPr>
        <w:t>y</w:t>
      </w:r>
      <w:r w:rsidRPr="00A54361">
        <w:rPr>
          <w:rFonts w:eastAsia="Times New Roman" w:cstheme="minorHAnsi"/>
          <w:spacing w:val="-3"/>
        </w:rPr>
        <w:t xml:space="preserve"> </w:t>
      </w:r>
      <w:r w:rsidRPr="00A54361">
        <w:rPr>
          <w:rFonts w:eastAsia="Times New Roman" w:cstheme="minorHAnsi"/>
          <w:spacing w:val="-1"/>
        </w:rPr>
        <w:t>c</w:t>
      </w:r>
      <w:r w:rsidRPr="00A54361">
        <w:rPr>
          <w:rFonts w:eastAsia="Times New Roman" w:cstheme="minorHAnsi"/>
        </w:rPr>
        <w:t>i</w:t>
      </w:r>
      <w:r w:rsidRPr="00A54361">
        <w:rPr>
          <w:rFonts w:eastAsia="Times New Roman" w:cstheme="minorHAnsi"/>
          <w:spacing w:val="2"/>
        </w:rPr>
        <w:t>r</w:t>
      </w:r>
      <w:r w:rsidRPr="00A54361">
        <w:rPr>
          <w:rFonts w:eastAsia="Times New Roman" w:cstheme="minorHAnsi"/>
          <w:spacing w:val="-1"/>
        </w:rPr>
        <w:t>c</w:t>
      </w:r>
      <w:r w:rsidRPr="00A54361">
        <w:rPr>
          <w:rFonts w:eastAsia="Times New Roman" w:cstheme="minorHAnsi"/>
        </w:rPr>
        <w:t>ulate</w:t>
      </w:r>
      <w:r w:rsidRPr="00A54361">
        <w:rPr>
          <w:rFonts w:eastAsia="Times New Roman" w:cstheme="minorHAnsi"/>
          <w:spacing w:val="1"/>
        </w:rPr>
        <w:t xml:space="preserve"> </w:t>
      </w:r>
      <w:r w:rsidRPr="00A54361">
        <w:rPr>
          <w:rFonts w:eastAsia="Times New Roman" w:cstheme="minorHAnsi"/>
        </w:rPr>
        <w:t>the</w:t>
      </w:r>
      <w:r w:rsidRPr="00A54361">
        <w:rPr>
          <w:rFonts w:eastAsia="Times New Roman" w:cstheme="minorHAnsi"/>
          <w:spacing w:val="2"/>
        </w:rPr>
        <w:t xml:space="preserve"> n</w:t>
      </w:r>
      <w:r w:rsidRPr="00A54361">
        <w:rPr>
          <w:rFonts w:eastAsia="Times New Roman" w:cstheme="minorHAnsi"/>
          <w:spacing w:val="-1"/>
        </w:rPr>
        <w:t>a</w:t>
      </w:r>
      <w:r w:rsidRPr="00A54361">
        <w:rPr>
          <w:rFonts w:eastAsia="Times New Roman" w:cstheme="minorHAnsi"/>
        </w:rPr>
        <w:t>mes</w:t>
      </w:r>
      <w:r w:rsidRPr="00A54361">
        <w:rPr>
          <w:rFonts w:eastAsia="Times New Roman" w:cstheme="minorHAnsi"/>
          <w:spacing w:val="2"/>
        </w:rPr>
        <w:t xml:space="preserve"> </w:t>
      </w:r>
      <w:r w:rsidRPr="00A54361">
        <w:rPr>
          <w:rFonts w:eastAsia="Times New Roman" w:cstheme="minorHAnsi"/>
        </w:rPr>
        <w:t>of</w:t>
      </w:r>
      <w:r w:rsidRPr="00A54361">
        <w:rPr>
          <w:rFonts w:eastAsia="Times New Roman" w:cstheme="minorHAnsi"/>
          <w:spacing w:val="4"/>
        </w:rPr>
        <w:t xml:space="preserve"> </w:t>
      </w:r>
      <w:r w:rsidRPr="00A54361">
        <w:rPr>
          <w:rFonts w:eastAsia="Times New Roman" w:cstheme="minorHAnsi"/>
          <w:spacing w:val="2"/>
        </w:rPr>
        <w:t>A</w:t>
      </w:r>
      <w:r w:rsidRPr="00A54361">
        <w:rPr>
          <w:rFonts w:eastAsia="Times New Roman" w:cstheme="minorHAnsi"/>
          <w:spacing w:val="-2"/>
        </w:rPr>
        <w:t>g</w:t>
      </w:r>
      <w:r w:rsidRPr="00A54361">
        <w:rPr>
          <w:rFonts w:eastAsia="Times New Roman" w:cstheme="minorHAnsi"/>
          <w:spacing w:val="-1"/>
        </w:rPr>
        <w:t>e</w:t>
      </w:r>
      <w:r w:rsidRPr="00A54361">
        <w:rPr>
          <w:rFonts w:eastAsia="Times New Roman" w:cstheme="minorHAnsi"/>
          <w:spacing w:val="2"/>
        </w:rPr>
        <w:t>n</w:t>
      </w:r>
      <w:r w:rsidRPr="00A54361">
        <w:rPr>
          <w:rFonts w:eastAsia="Times New Roman" w:cstheme="minorHAnsi"/>
          <w:spacing w:val="1"/>
        </w:rPr>
        <w:t>c</w:t>
      </w:r>
      <w:r w:rsidRPr="00A54361">
        <w:rPr>
          <w:rFonts w:eastAsia="Times New Roman" w:cstheme="minorHAnsi"/>
        </w:rPr>
        <w:t>y with</w:t>
      </w:r>
      <w:r w:rsidRPr="00A54361">
        <w:rPr>
          <w:rFonts w:eastAsia="Times New Roman" w:cstheme="minorHAnsi"/>
          <w:spacing w:val="3"/>
        </w:rPr>
        <w:t xml:space="preserve"> </w:t>
      </w:r>
      <w:r w:rsidRPr="00A54361">
        <w:rPr>
          <w:rFonts w:eastAsia="Times New Roman" w:cstheme="minorHAnsi"/>
        </w:rPr>
        <w:t>whom</w:t>
      </w:r>
      <w:r w:rsidRPr="00A54361">
        <w:rPr>
          <w:rFonts w:eastAsia="Times New Roman" w:cstheme="minorHAnsi"/>
          <w:spacing w:val="2"/>
        </w:rPr>
        <w:t xml:space="preserve"> </w:t>
      </w:r>
      <w:r w:rsidRPr="00A54361">
        <w:rPr>
          <w:rFonts w:eastAsia="Times New Roman" w:cstheme="minorHAnsi"/>
        </w:rPr>
        <w:t>busin</w:t>
      </w:r>
      <w:r w:rsidRPr="00A54361">
        <w:rPr>
          <w:rFonts w:eastAsia="Times New Roman" w:cstheme="minorHAnsi"/>
          <w:spacing w:val="-1"/>
        </w:rPr>
        <w:t>e</w:t>
      </w:r>
      <w:r w:rsidRPr="00A54361">
        <w:rPr>
          <w:rFonts w:eastAsia="Times New Roman" w:cstheme="minorHAnsi"/>
        </w:rPr>
        <w:t>ss</w:t>
      </w:r>
      <w:r w:rsidRPr="00A54361">
        <w:rPr>
          <w:rFonts w:eastAsia="Times New Roman" w:cstheme="minorHAnsi"/>
          <w:spacing w:val="3"/>
        </w:rPr>
        <w:t xml:space="preserve"> </w:t>
      </w:r>
      <w:r w:rsidRPr="00A54361">
        <w:rPr>
          <w:rFonts w:eastAsia="Times New Roman" w:cstheme="minorHAnsi"/>
          <w:spacing w:val="2"/>
        </w:rPr>
        <w:t>d</w:t>
      </w:r>
      <w:r w:rsidRPr="00A54361">
        <w:rPr>
          <w:rFonts w:eastAsia="Times New Roman" w:cstheme="minorHAnsi"/>
          <w:spacing w:val="-1"/>
        </w:rPr>
        <w:t>ea</w:t>
      </w:r>
      <w:r w:rsidRPr="00A54361">
        <w:rPr>
          <w:rFonts w:eastAsia="Times New Roman" w:cstheme="minorHAnsi"/>
        </w:rPr>
        <w:t>l</w:t>
      </w:r>
      <w:r w:rsidRPr="00A54361">
        <w:rPr>
          <w:rFonts w:eastAsia="Times New Roman" w:cstheme="minorHAnsi"/>
          <w:spacing w:val="1"/>
        </w:rPr>
        <w:t>i</w:t>
      </w:r>
      <w:r w:rsidRPr="00A54361">
        <w:rPr>
          <w:rFonts w:eastAsia="Times New Roman" w:cstheme="minorHAnsi"/>
        </w:rPr>
        <w:t>n</w:t>
      </w:r>
      <w:r w:rsidRPr="00A54361">
        <w:rPr>
          <w:rFonts w:eastAsia="Times New Roman" w:cstheme="minorHAnsi"/>
          <w:spacing w:val="-2"/>
        </w:rPr>
        <w:t>g</w:t>
      </w:r>
      <w:r w:rsidRPr="00A54361">
        <w:rPr>
          <w:rFonts w:eastAsia="Times New Roman" w:cstheme="minorHAnsi"/>
        </w:rPr>
        <w:t>s</w:t>
      </w:r>
      <w:r w:rsidRPr="00A54361">
        <w:rPr>
          <w:rFonts w:eastAsia="Times New Roman" w:cstheme="minorHAnsi"/>
          <w:spacing w:val="2"/>
        </w:rPr>
        <w:t xml:space="preserve"> h</w:t>
      </w:r>
      <w:r w:rsidRPr="00A54361">
        <w:rPr>
          <w:rFonts w:eastAsia="Times New Roman" w:cstheme="minorHAnsi"/>
          <w:spacing w:val="-1"/>
        </w:rPr>
        <w:t>a</w:t>
      </w:r>
      <w:r w:rsidRPr="00A54361">
        <w:rPr>
          <w:rFonts w:eastAsia="Times New Roman" w:cstheme="minorHAnsi"/>
        </w:rPr>
        <w:t>ve</w:t>
      </w:r>
      <w:r w:rsidRPr="00A54361">
        <w:rPr>
          <w:rFonts w:eastAsia="Times New Roman" w:cstheme="minorHAnsi"/>
          <w:spacing w:val="1"/>
        </w:rPr>
        <w:t xml:space="preserve"> </w:t>
      </w:r>
      <w:r w:rsidRPr="00A54361">
        <w:rPr>
          <w:rFonts w:eastAsia="Times New Roman" w:cstheme="minorHAnsi"/>
          <w:spacing w:val="2"/>
        </w:rPr>
        <w:t>b</w:t>
      </w:r>
      <w:r w:rsidRPr="00A54361">
        <w:rPr>
          <w:rFonts w:eastAsia="Times New Roman" w:cstheme="minorHAnsi"/>
          <w:spacing w:val="-1"/>
        </w:rPr>
        <w:t>ee</w:t>
      </w:r>
      <w:r w:rsidRPr="00A54361">
        <w:rPr>
          <w:rFonts w:eastAsia="Times New Roman" w:cstheme="minorHAnsi"/>
        </w:rPr>
        <w:t>n b</w:t>
      </w:r>
      <w:r w:rsidRPr="00A54361">
        <w:rPr>
          <w:rFonts w:eastAsia="Times New Roman" w:cstheme="minorHAnsi"/>
          <w:spacing w:val="-1"/>
        </w:rPr>
        <w:t>a</w:t>
      </w:r>
      <w:r w:rsidRPr="00A54361">
        <w:rPr>
          <w:rFonts w:eastAsia="Times New Roman" w:cstheme="minorHAnsi"/>
        </w:rPr>
        <w:t>nn</w:t>
      </w:r>
      <w:r w:rsidRPr="00A54361">
        <w:rPr>
          <w:rFonts w:eastAsia="Times New Roman" w:cstheme="minorHAnsi"/>
          <w:spacing w:val="-1"/>
        </w:rPr>
        <w:t>e</w:t>
      </w:r>
      <w:r w:rsidRPr="00A54361">
        <w:rPr>
          <w:rFonts w:eastAsia="Times New Roman" w:cstheme="minorHAnsi"/>
        </w:rPr>
        <w:t>d,</w:t>
      </w:r>
      <w:r w:rsidRPr="00A54361">
        <w:rPr>
          <w:rFonts w:eastAsia="Times New Roman" w:cstheme="minorHAnsi"/>
          <w:spacing w:val="1"/>
        </w:rPr>
        <w:t xml:space="preserve"> </w:t>
      </w:r>
      <w:r w:rsidRPr="00A54361">
        <w:rPr>
          <w:rFonts w:eastAsia="Times New Roman" w:cstheme="minorHAnsi"/>
        </w:rPr>
        <w:t>to</w:t>
      </w:r>
      <w:r w:rsidRPr="00A54361">
        <w:rPr>
          <w:rFonts w:eastAsia="Times New Roman" w:cstheme="minorHAnsi"/>
          <w:spacing w:val="1"/>
        </w:rPr>
        <w:t xml:space="preserve"> </w:t>
      </w:r>
      <w:r w:rsidRPr="00A54361">
        <w:rPr>
          <w:rFonts w:eastAsia="Times New Roman" w:cstheme="minorHAnsi"/>
        </w:rPr>
        <w:t>the Gov</w:t>
      </w:r>
      <w:r w:rsidRPr="00A54361">
        <w:rPr>
          <w:rFonts w:eastAsia="Times New Roman" w:cstheme="minorHAnsi"/>
          <w:spacing w:val="-1"/>
        </w:rPr>
        <w:t>e</w:t>
      </w:r>
      <w:r w:rsidRPr="00A54361">
        <w:rPr>
          <w:rFonts w:eastAsia="Times New Roman" w:cstheme="minorHAnsi"/>
        </w:rPr>
        <w:t>rn</w:t>
      </w:r>
      <w:r w:rsidRPr="00A54361">
        <w:rPr>
          <w:rFonts w:eastAsia="Times New Roman" w:cstheme="minorHAnsi"/>
          <w:spacing w:val="2"/>
        </w:rPr>
        <w:t>m</w:t>
      </w:r>
      <w:r w:rsidRPr="00A54361">
        <w:rPr>
          <w:rFonts w:eastAsia="Times New Roman" w:cstheme="minorHAnsi"/>
          <w:spacing w:val="1"/>
        </w:rPr>
        <w:t>e</w:t>
      </w:r>
      <w:r w:rsidRPr="00A54361">
        <w:rPr>
          <w:rFonts w:eastAsia="Times New Roman" w:cstheme="minorHAnsi"/>
        </w:rPr>
        <w:t>nt</w:t>
      </w:r>
      <w:r w:rsidRPr="00A54361">
        <w:rPr>
          <w:rFonts w:eastAsia="Times New Roman" w:cstheme="minorHAnsi"/>
          <w:spacing w:val="1"/>
        </w:rPr>
        <w:t xml:space="preserve"> </w:t>
      </w:r>
      <w:r w:rsidRPr="00A54361">
        <w:rPr>
          <w:rFonts w:eastAsia="Times New Roman" w:cstheme="minorHAnsi"/>
        </w:rPr>
        <w:t>D</w:t>
      </w:r>
      <w:r w:rsidRPr="00A54361">
        <w:rPr>
          <w:rFonts w:eastAsia="Times New Roman" w:cstheme="minorHAnsi"/>
          <w:spacing w:val="-1"/>
        </w:rPr>
        <w:t>e</w:t>
      </w:r>
      <w:r w:rsidRPr="00A54361">
        <w:rPr>
          <w:rFonts w:eastAsia="Times New Roman" w:cstheme="minorHAnsi"/>
        </w:rPr>
        <w:t>p</w:t>
      </w:r>
      <w:r w:rsidRPr="00A54361">
        <w:rPr>
          <w:rFonts w:eastAsia="Times New Roman" w:cstheme="minorHAnsi"/>
          <w:spacing w:val="-1"/>
        </w:rPr>
        <w:t>a</w:t>
      </w:r>
      <w:r w:rsidRPr="00A54361">
        <w:rPr>
          <w:rFonts w:eastAsia="Times New Roman" w:cstheme="minorHAnsi"/>
        </w:rPr>
        <w:t>rtm</w:t>
      </w:r>
      <w:r w:rsidRPr="00A54361">
        <w:rPr>
          <w:rFonts w:eastAsia="Times New Roman" w:cstheme="minorHAnsi"/>
          <w:spacing w:val="-1"/>
        </w:rPr>
        <w:t>e</w:t>
      </w:r>
      <w:r w:rsidRPr="00A54361">
        <w:rPr>
          <w:rFonts w:eastAsia="Times New Roman" w:cstheme="minorHAnsi"/>
        </w:rPr>
        <w:t>nts,</w:t>
      </w:r>
      <w:r w:rsidRPr="00A54361">
        <w:rPr>
          <w:rFonts w:eastAsia="Times New Roman" w:cstheme="minorHAnsi"/>
          <w:spacing w:val="2"/>
        </w:rPr>
        <w:t xml:space="preserve"> </w:t>
      </w:r>
      <w:r w:rsidRPr="00A54361">
        <w:rPr>
          <w:rFonts w:eastAsia="Times New Roman" w:cstheme="minorHAnsi"/>
        </w:rPr>
        <w:t xml:space="preserve">other </w:t>
      </w:r>
      <w:r w:rsidRPr="00A54361">
        <w:rPr>
          <w:rFonts w:eastAsia="Times New Roman" w:cstheme="minorHAnsi"/>
          <w:spacing w:val="1"/>
        </w:rPr>
        <w:t>P</w:t>
      </w:r>
      <w:r w:rsidRPr="00A54361">
        <w:rPr>
          <w:rFonts w:eastAsia="Times New Roman" w:cstheme="minorHAnsi"/>
          <w:spacing w:val="2"/>
        </w:rPr>
        <w:t>u</w:t>
      </w:r>
      <w:r w:rsidRPr="00A54361">
        <w:rPr>
          <w:rFonts w:eastAsia="Times New Roman" w:cstheme="minorHAnsi"/>
        </w:rPr>
        <w:t>bl</w:t>
      </w:r>
      <w:r w:rsidRPr="00A54361">
        <w:rPr>
          <w:rFonts w:eastAsia="Times New Roman" w:cstheme="minorHAnsi"/>
          <w:spacing w:val="1"/>
        </w:rPr>
        <w:t>i</w:t>
      </w:r>
      <w:r w:rsidRPr="00A54361">
        <w:rPr>
          <w:rFonts w:eastAsia="Times New Roman" w:cstheme="minorHAnsi"/>
        </w:rPr>
        <w:t xml:space="preserve">c </w:t>
      </w:r>
      <w:r w:rsidRPr="00A54361">
        <w:rPr>
          <w:rFonts w:eastAsia="Times New Roman" w:cstheme="minorHAnsi"/>
          <w:spacing w:val="1"/>
        </w:rPr>
        <w:t>S</w:t>
      </w:r>
      <w:r w:rsidRPr="00A54361">
        <w:rPr>
          <w:rFonts w:eastAsia="Times New Roman" w:cstheme="minorHAnsi"/>
          <w:spacing w:val="-1"/>
        </w:rPr>
        <w:t>ec</w:t>
      </w:r>
      <w:r w:rsidRPr="00A54361">
        <w:rPr>
          <w:rFonts w:eastAsia="Times New Roman" w:cstheme="minorHAnsi"/>
        </w:rPr>
        <w:t>tor</w:t>
      </w:r>
      <w:r w:rsidRPr="00A54361">
        <w:rPr>
          <w:rFonts w:eastAsia="Times New Roman" w:cstheme="minorHAnsi"/>
          <w:spacing w:val="1"/>
        </w:rPr>
        <w:t xml:space="preserve"> </w:t>
      </w:r>
      <w:r w:rsidRPr="00A54361">
        <w:rPr>
          <w:rFonts w:eastAsia="Times New Roman" w:cstheme="minorHAnsi"/>
        </w:rPr>
        <w:t>Ent</w:t>
      </w:r>
      <w:r w:rsidRPr="00A54361">
        <w:rPr>
          <w:rFonts w:eastAsia="Times New Roman" w:cstheme="minorHAnsi"/>
          <w:spacing w:val="-1"/>
        </w:rPr>
        <w:t>e</w:t>
      </w:r>
      <w:r w:rsidRPr="00A54361">
        <w:rPr>
          <w:rFonts w:eastAsia="Times New Roman" w:cstheme="minorHAnsi"/>
        </w:rPr>
        <w:t>rp</w:t>
      </w:r>
      <w:r w:rsidRPr="00A54361">
        <w:rPr>
          <w:rFonts w:eastAsia="Times New Roman" w:cstheme="minorHAnsi"/>
          <w:spacing w:val="-1"/>
        </w:rPr>
        <w:t>r</w:t>
      </w:r>
      <w:r w:rsidRPr="00A54361">
        <w:rPr>
          <w:rFonts w:eastAsia="Times New Roman" w:cstheme="minorHAnsi"/>
        </w:rPr>
        <w:t>ises,</w:t>
      </w:r>
      <w:r w:rsidRPr="00A54361">
        <w:rPr>
          <w:rFonts w:eastAsia="Times New Roman" w:cstheme="minorHAnsi"/>
          <w:spacing w:val="1"/>
        </w:rPr>
        <w:t xml:space="preserve"> e</w:t>
      </w:r>
      <w:r w:rsidRPr="00A54361">
        <w:rPr>
          <w:rFonts w:eastAsia="Times New Roman" w:cstheme="minorHAnsi"/>
        </w:rPr>
        <w:t>tc. for su</w:t>
      </w:r>
      <w:r w:rsidRPr="00A54361">
        <w:rPr>
          <w:rFonts w:eastAsia="Times New Roman" w:cstheme="minorHAnsi"/>
          <w:spacing w:val="-1"/>
        </w:rPr>
        <w:t>c</w:t>
      </w:r>
      <w:r w:rsidRPr="00A54361">
        <w:rPr>
          <w:rFonts w:eastAsia="Times New Roman" w:cstheme="minorHAnsi"/>
        </w:rPr>
        <w:t>h</w:t>
      </w:r>
      <w:r w:rsidRPr="00A54361">
        <w:rPr>
          <w:rFonts w:eastAsia="Times New Roman" w:cstheme="minorHAnsi"/>
          <w:spacing w:val="1"/>
        </w:rPr>
        <w:t xml:space="preserve"> a</w:t>
      </w:r>
      <w:r w:rsidRPr="00A54361">
        <w:rPr>
          <w:rFonts w:eastAsia="Times New Roman" w:cstheme="minorHAnsi"/>
          <w:spacing w:val="-1"/>
        </w:rPr>
        <w:t>c</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 xml:space="preserve">on </w:t>
      </w:r>
      <w:r w:rsidRPr="00A54361">
        <w:rPr>
          <w:rFonts w:eastAsia="Times New Roman" w:cstheme="minorHAnsi"/>
          <w:spacing w:val="-1"/>
        </w:rPr>
        <w:t>a</w:t>
      </w:r>
      <w:r w:rsidRPr="00A54361">
        <w:rPr>
          <w:rFonts w:eastAsia="Times New Roman" w:cstheme="minorHAnsi"/>
        </w:rPr>
        <w:t>s th</w:t>
      </w:r>
      <w:r w:rsidRPr="00A54361">
        <w:rPr>
          <w:rFonts w:eastAsia="Times New Roman" w:cstheme="minorHAnsi"/>
          <w:spacing w:val="2"/>
        </w:rPr>
        <w:t>e</w:t>
      </w:r>
      <w:r w:rsidRPr="00A54361">
        <w:rPr>
          <w:rFonts w:eastAsia="Times New Roman" w:cstheme="minorHAnsi"/>
        </w:rPr>
        <w:t>y</w:t>
      </w:r>
      <w:r w:rsidRPr="00A54361">
        <w:rPr>
          <w:rFonts w:eastAsia="Times New Roman" w:cstheme="minorHAnsi"/>
          <w:spacing w:val="-5"/>
        </w:rPr>
        <w:t xml:space="preserve"> </w:t>
      </w:r>
      <w:r w:rsidRPr="00A54361">
        <w:rPr>
          <w:rFonts w:eastAsia="Times New Roman" w:cstheme="minorHAnsi"/>
          <w:spacing w:val="2"/>
        </w:rPr>
        <w:t>d</w:t>
      </w:r>
      <w:r w:rsidRPr="00A54361">
        <w:rPr>
          <w:rFonts w:eastAsia="Times New Roman" w:cstheme="minorHAnsi"/>
          <w:spacing w:val="-1"/>
        </w:rPr>
        <w:t>ee</w:t>
      </w:r>
      <w:r w:rsidRPr="00A54361">
        <w:rPr>
          <w:rFonts w:eastAsia="Times New Roman" w:cstheme="minorHAnsi"/>
        </w:rPr>
        <w:t>m ap</w:t>
      </w:r>
      <w:r w:rsidRPr="00A54361">
        <w:rPr>
          <w:rFonts w:eastAsia="Times New Roman" w:cstheme="minorHAnsi"/>
          <w:spacing w:val="2"/>
        </w:rPr>
        <w:t>p</w:t>
      </w:r>
      <w:r w:rsidRPr="00A54361">
        <w:rPr>
          <w:rFonts w:eastAsia="Times New Roman" w:cstheme="minorHAnsi"/>
        </w:rPr>
        <w:t>rop</w:t>
      </w:r>
      <w:r w:rsidRPr="00A54361">
        <w:rPr>
          <w:rFonts w:eastAsia="Times New Roman" w:cstheme="minorHAnsi"/>
          <w:spacing w:val="-1"/>
        </w:rPr>
        <w:t>r</w:t>
      </w:r>
      <w:r w:rsidRPr="00A54361">
        <w:rPr>
          <w:rFonts w:eastAsia="Times New Roman" w:cstheme="minorHAnsi"/>
        </w:rPr>
        <w:t>iat</w:t>
      </w:r>
      <w:r w:rsidRPr="00A54361">
        <w:rPr>
          <w:rFonts w:eastAsia="Times New Roman" w:cstheme="minorHAnsi"/>
          <w:spacing w:val="1"/>
        </w:rPr>
        <w:t>e</w:t>
      </w:r>
      <w:r w:rsidRPr="00A54361">
        <w:rPr>
          <w:rFonts w:eastAsia="Times New Roman" w:cstheme="minorHAnsi"/>
        </w:rPr>
        <w:t>.</w:t>
      </w:r>
    </w:p>
    <w:p w14:paraId="0180C7D2" w14:textId="77777777" w:rsidR="0054549F" w:rsidRPr="00A54361" w:rsidRDefault="0054549F" w:rsidP="00A54361">
      <w:pPr>
        <w:spacing w:line="260" w:lineRule="exact"/>
        <w:ind w:left="100" w:right="83"/>
        <w:jc w:val="both"/>
        <w:rPr>
          <w:rFonts w:cstheme="minorHAnsi"/>
        </w:rPr>
      </w:pPr>
      <w:r w:rsidRPr="00A54361">
        <w:rPr>
          <w:rFonts w:eastAsia="Times New Roman" w:cstheme="minorHAnsi"/>
        </w:rPr>
        <w:t>12.2</w:t>
      </w:r>
      <w:r w:rsidRPr="00A54361">
        <w:rPr>
          <w:rFonts w:eastAsia="Times New Roman" w:cstheme="minorHAnsi"/>
          <w:spacing w:val="4"/>
        </w:rPr>
        <w:t xml:space="preserve"> </w:t>
      </w:r>
      <w:r w:rsidRPr="00A54361">
        <w:rPr>
          <w:rFonts w:eastAsia="Times New Roman" w:cstheme="minorHAnsi"/>
          <w:spacing w:val="-3"/>
        </w:rPr>
        <w:t>I</w:t>
      </w:r>
      <w:r w:rsidRPr="00A54361">
        <w:rPr>
          <w:rFonts w:eastAsia="Times New Roman" w:cstheme="minorHAnsi"/>
        </w:rPr>
        <w:t>f</w:t>
      </w:r>
      <w:r w:rsidRPr="00A54361">
        <w:rPr>
          <w:rFonts w:eastAsia="Times New Roman" w:cstheme="minorHAnsi"/>
          <w:spacing w:val="3"/>
        </w:rPr>
        <w:t xml:space="preserve"> </w:t>
      </w:r>
      <w:r w:rsidRPr="00A54361">
        <w:rPr>
          <w:rFonts w:eastAsia="Times New Roman" w:cstheme="minorHAnsi"/>
        </w:rPr>
        <w:t>Gov</w:t>
      </w:r>
      <w:r w:rsidRPr="00A54361">
        <w:rPr>
          <w:rFonts w:eastAsia="Times New Roman" w:cstheme="minorHAnsi"/>
          <w:spacing w:val="-1"/>
        </w:rPr>
        <w:t>e</w:t>
      </w:r>
      <w:r w:rsidRPr="00A54361">
        <w:rPr>
          <w:rFonts w:eastAsia="Times New Roman" w:cstheme="minorHAnsi"/>
        </w:rPr>
        <w:t>rnm</w:t>
      </w:r>
      <w:r w:rsidRPr="00A54361">
        <w:rPr>
          <w:rFonts w:eastAsia="Times New Roman" w:cstheme="minorHAnsi"/>
          <w:spacing w:val="-1"/>
        </w:rPr>
        <w:t>e</w:t>
      </w:r>
      <w:r w:rsidRPr="00A54361">
        <w:rPr>
          <w:rFonts w:eastAsia="Times New Roman" w:cstheme="minorHAnsi"/>
        </w:rPr>
        <w:t>nt</w:t>
      </w:r>
      <w:r w:rsidRPr="00A54361">
        <w:rPr>
          <w:rFonts w:eastAsia="Times New Roman" w:cstheme="minorHAnsi"/>
          <w:spacing w:val="4"/>
        </w:rPr>
        <w:t xml:space="preserve"> </w:t>
      </w:r>
      <w:r w:rsidRPr="00A54361">
        <w:rPr>
          <w:rFonts w:eastAsia="Times New Roman" w:cstheme="minorHAnsi"/>
        </w:rPr>
        <w:t>D</w:t>
      </w:r>
      <w:r w:rsidRPr="00A54361">
        <w:rPr>
          <w:rFonts w:eastAsia="Times New Roman" w:cstheme="minorHAnsi"/>
          <w:spacing w:val="-1"/>
        </w:rPr>
        <w:t>e</w:t>
      </w:r>
      <w:r w:rsidRPr="00A54361">
        <w:rPr>
          <w:rFonts w:eastAsia="Times New Roman" w:cstheme="minorHAnsi"/>
          <w:spacing w:val="2"/>
        </w:rPr>
        <w:t>p</w:t>
      </w:r>
      <w:r w:rsidRPr="00A54361">
        <w:rPr>
          <w:rFonts w:eastAsia="Times New Roman" w:cstheme="minorHAnsi"/>
          <w:spacing w:val="-1"/>
        </w:rPr>
        <w:t>a</w:t>
      </w:r>
      <w:r w:rsidRPr="00A54361">
        <w:rPr>
          <w:rFonts w:eastAsia="Times New Roman" w:cstheme="minorHAnsi"/>
        </w:rPr>
        <w:t>rtm</w:t>
      </w:r>
      <w:r w:rsidRPr="00A54361">
        <w:rPr>
          <w:rFonts w:eastAsia="Times New Roman" w:cstheme="minorHAnsi"/>
          <w:spacing w:val="-1"/>
        </w:rPr>
        <w:t>e</w:t>
      </w:r>
      <w:r w:rsidRPr="00A54361">
        <w:rPr>
          <w:rFonts w:eastAsia="Times New Roman" w:cstheme="minorHAnsi"/>
        </w:rPr>
        <w:t>nts</w:t>
      </w:r>
      <w:r w:rsidRPr="00A54361">
        <w:rPr>
          <w:rFonts w:eastAsia="Times New Roman" w:cstheme="minorHAnsi"/>
          <w:spacing w:val="2"/>
        </w:rPr>
        <w:t xml:space="preserve"> </w:t>
      </w:r>
      <w:r w:rsidRPr="00A54361">
        <w:rPr>
          <w:rFonts w:eastAsia="Times New Roman" w:cstheme="minorHAnsi"/>
        </w:rPr>
        <w:t>or</w:t>
      </w:r>
      <w:r w:rsidRPr="00A54361">
        <w:rPr>
          <w:rFonts w:eastAsia="Times New Roman" w:cstheme="minorHAnsi"/>
          <w:spacing w:val="3"/>
        </w:rPr>
        <w:t xml:space="preserve"> </w:t>
      </w:r>
      <w:r w:rsidRPr="00A54361">
        <w:rPr>
          <w:rFonts w:eastAsia="Times New Roman" w:cstheme="minorHAnsi"/>
        </w:rPr>
        <w:t xml:space="preserve">a </w:t>
      </w:r>
      <w:r w:rsidRPr="00A54361">
        <w:rPr>
          <w:rFonts w:eastAsia="Times New Roman" w:cstheme="minorHAnsi"/>
          <w:spacing w:val="1"/>
        </w:rPr>
        <w:t>P</w:t>
      </w:r>
      <w:r w:rsidRPr="00A54361">
        <w:rPr>
          <w:rFonts w:eastAsia="Times New Roman" w:cstheme="minorHAnsi"/>
        </w:rPr>
        <w:t>ubl</w:t>
      </w:r>
      <w:r w:rsidRPr="00A54361">
        <w:rPr>
          <w:rFonts w:eastAsia="Times New Roman" w:cstheme="minorHAnsi"/>
          <w:spacing w:val="1"/>
        </w:rPr>
        <w:t>i</w:t>
      </w:r>
      <w:r w:rsidRPr="00A54361">
        <w:rPr>
          <w:rFonts w:eastAsia="Times New Roman" w:cstheme="minorHAnsi"/>
        </w:rPr>
        <w:t xml:space="preserve">c </w:t>
      </w:r>
      <w:r w:rsidRPr="00A54361">
        <w:rPr>
          <w:rFonts w:eastAsia="Times New Roman" w:cstheme="minorHAnsi"/>
          <w:spacing w:val="1"/>
        </w:rPr>
        <w:t>S</w:t>
      </w:r>
      <w:r w:rsidRPr="00A54361">
        <w:rPr>
          <w:rFonts w:eastAsia="Times New Roman" w:cstheme="minorHAnsi"/>
          <w:spacing w:val="-1"/>
        </w:rPr>
        <w:t>e</w:t>
      </w:r>
      <w:r w:rsidRPr="00A54361">
        <w:rPr>
          <w:rFonts w:eastAsia="Times New Roman" w:cstheme="minorHAnsi"/>
          <w:spacing w:val="1"/>
        </w:rPr>
        <w:t>c</w:t>
      </w:r>
      <w:r w:rsidRPr="00A54361">
        <w:rPr>
          <w:rFonts w:eastAsia="Times New Roman" w:cstheme="minorHAnsi"/>
        </w:rPr>
        <w:t>tor</w:t>
      </w:r>
      <w:r w:rsidRPr="00A54361">
        <w:rPr>
          <w:rFonts w:eastAsia="Times New Roman" w:cstheme="minorHAnsi"/>
          <w:spacing w:val="1"/>
        </w:rPr>
        <w:t xml:space="preserve"> </w:t>
      </w:r>
      <w:r w:rsidRPr="00A54361">
        <w:rPr>
          <w:rFonts w:eastAsia="Times New Roman" w:cstheme="minorHAnsi"/>
        </w:rPr>
        <w:t>Ent</w:t>
      </w:r>
      <w:r w:rsidRPr="00A54361">
        <w:rPr>
          <w:rFonts w:eastAsia="Times New Roman" w:cstheme="minorHAnsi"/>
          <w:spacing w:val="-1"/>
        </w:rPr>
        <w:t>e</w:t>
      </w:r>
      <w:r w:rsidRPr="00A54361">
        <w:rPr>
          <w:rFonts w:eastAsia="Times New Roman" w:cstheme="minorHAnsi"/>
        </w:rPr>
        <w:t>rp</w:t>
      </w:r>
      <w:r w:rsidRPr="00A54361">
        <w:rPr>
          <w:rFonts w:eastAsia="Times New Roman" w:cstheme="minorHAnsi"/>
          <w:spacing w:val="-1"/>
        </w:rPr>
        <w:t>r</w:t>
      </w:r>
      <w:r w:rsidRPr="00A54361">
        <w:rPr>
          <w:rFonts w:eastAsia="Times New Roman" w:cstheme="minorHAnsi"/>
        </w:rPr>
        <w:t>ise</w:t>
      </w:r>
      <w:r w:rsidRPr="00A54361">
        <w:rPr>
          <w:rFonts w:eastAsia="Times New Roman" w:cstheme="minorHAnsi"/>
          <w:spacing w:val="3"/>
        </w:rPr>
        <w:t xml:space="preserve"> </w:t>
      </w:r>
      <w:r w:rsidRPr="00A54361">
        <w:rPr>
          <w:rFonts w:eastAsia="Times New Roman" w:cstheme="minorHAnsi"/>
        </w:rPr>
        <w:t>r</w:t>
      </w:r>
      <w:r w:rsidRPr="00A54361">
        <w:rPr>
          <w:rFonts w:eastAsia="Times New Roman" w:cstheme="minorHAnsi"/>
          <w:spacing w:val="-2"/>
        </w:rPr>
        <w:t>e</w:t>
      </w:r>
      <w:r w:rsidRPr="00A54361">
        <w:rPr>
          <w:rFonts w:eastAsia="Times New Roman" w:cstheme="minorHAnsi"/>
        </w:rPr>
        <w:t>q</w:t>
      </w:r>
      <w:r w:rsidRPr="00A54361">
        <w:rPr>
          <w:rFonts w:eastAsia="Times New Roman" w:cstheme="minorHAnsi"/>
          <w:spacing w:val="2"/>
        </w:rPr>
        <w:t>u</w:t>
      </w:r>
      <w:r w:rsidRPr="00A54361">
        <w:rPr>
          <w:rFonts w:eastAsia="Times New Roman" w:cstheme="minorHAnsi"/>
          <w:spacing w:val="-1"/>
        </w:rPr>
        <w:t>e</w:t>
      </w:r>
      <w:r w:rsidRPr="00A54361">
        <w:rPr>
          <w:rFonts w:eastAsia="Times New Roman" w:cstheme="minorHAnsi"/>
        </w:rPr>
        <w:t>st</w:t>
      </w:r>
      <w:r w:rsidRPr="00A54361">
        <w:rPr>
          <w:rFonts w:eastAsia="Times New Roman" w:cstheme="minorHAnsi"/>
          <w:spacing w:val="2"/>
        </w:rPr>
        <w:t xml:space="preserve"> </w:t>
      </w:r>
      <w:r w:rsidRPr="00A54361">
        <w:rPr>
          <w:rFonts w:eastAsia="Times New Roman" w:cstheme="minorHAnsi"/>
        </w:rPr>
        <w:t>f</w:t>
      </w:r>
      <w:r w:rsidRPr="00A54361">
        <w:rPr>
          <w:rFonts w:eastAsia="Times New Roman" w:cstheme="minorHAnsi"/>
          <w:spacing w:val="1"/>
        </w:rPr>
        <w:t>o</w:t>
      </w:r>
      <w:r w:rsidRPr="00A54361">
        <w:rPr>
          <w:rFonts w:eastAsia="Times New Roman" w:cstheme="minorHAnsi"/>
        </w:rPr>
        <w:t>r</w:t>
      </w:r>
      <w:r w:rsidRPr="00A54361">
        <w:rPr>
          <w:rFonts w:eastAsia="Times New Roman" w:cstheme="minorHAnsi"/>
          <w:spacing w:val="3"/>
        </w:rPr>
        <w:t xml:space="preserve"> </w:t>
      </w:r>
      <w:r w:rsidRPr="00A54361">
        <w:rPr>
          <w:rFonts w:eastAsia="Times New Roman" w:cstheme="minorHAnsi"/>
        </w:rPr>
        <w:t>more inf</w:t>
      </w:r>
      <w:r w:rsidRPr="00A54361">
        <w:rPr>
          <w:rFonts w:eastAsia="Times New Roman" w:cstheme="minorHAnsi"/>
          <w:spacing w:val="2"/>
        </w:rPr>
        <w:t>o</w:t>
      </w:r>
      <w:r w:rsidRPr="00A54361">
        <w:rPr>
          <w:rFonts w:eastAsia="Times New Roman" w:cstheme="minorHAnsi"/>
        </w:rPr>
        <w:t>rm</w:t>
      </w:r>
      <w:r w:rsidRPr="00A54361">
        <w:rPr>
          <w:rFonts w:eastAsia="Times New Roman" w:cstheme="minorHAnsi"/>
          <w:spacing w:val="-1"/>
        </w:rPr>
        <w:t>a</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 xml:space="preserve">on </w:t>
      </w:r>
      <w:r w:rsidRPr="00A54361">
        <w:rPr>
          <w:rFonts w:eastAsia="Times New Roman" w:cstheme="minorHAnsi"/>
          <w:spacing w:val="-1"/>
        </w:rPr>
        <w:t>a</w:t>
      </w:r>
      <w:r w:rsidRPr="00A54361">
        <w:rPr>
          <w:rFonts w:eastAsia="Times New Roman" w:cstheme="minorHAnsi"/>
        </w:rPr>
        <w:t>bout</w:t>
      </w:r>
      <w:r w:rsidRPr="00A54361">
        <w:rPr>
          <w:rFonts w:eastAsia="Times New Roman" w:cstheme="minorHAnsi"/>
          <w:spacing w:val="5"/>
        </w:rPr>
        <w:t xml:space="preserve"> </w:t>
      </w:r>
      <w:r w:rsidRPr="00A54361">
        <w:rPr>
          <w:rFonts w:eastAsia="Times New Roman" w:cstheme="minorHAnsi"/>
        </w:rPr>
        <w:t>the</w:t>
      </w:r>
      <w:r w:rsidRPr="00A54361">
        <w:rPr>
          <w:rFonts w:eastAsia="Times New Roman" w:cstheme="minorHAnsi"/>
          <w:spacing w:val="4"/>
        </w:rPr>
        <w:t xml:space="preserve"> </w:t>
      </w:r>
      <w:r w:rsidRPr="00A54361">
        <w:rPr>
          <w:rFonts w:eastAsia="Times New Roman" w:cstheme="minorHAnsi"/>
        </w:rPr>
        <w:t>A</w:t>
      </w:r>
      <w:r w:rsidRPr="00A54361">
        <w:rPr>
          <w:rFonts w:eastAsia="Times New Roman" w:cstheme="minorHAnsi"/>
          <w:spacing w:val="-3"/>
        </w:rPr>
        <w:t>g</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4"/>
        </w:rPr>
        <w:t>c</w:t>
      </w:r>
      <w:r w:rsidRPr="00A54361">
        <w:rPr>
          <w:rFonts w:eastAsia="Times New Roman" w:cstheme="minorHAnsi"/>
        </w:rPr>
        <w:t>y with</w:t>
      </w:r>
      <w:r w:rsidRPr="00A54361">
        <w:rPr>
          <w:rFonts w:eastAsia="Times New Roman" w:cstheme="minorHAnsi"/>
          <w:spacing w:val="5"/>
        </w:rPr>
        <w:t xml:space="preserve"> </w:t>
      </w:r>
      <w:r w:rsidRPr="00A54361">
        <w:rPr>
          <w:rFonts w:eastAsia="Times New Roman" w:cstheme="minorHAnsi"/>
        </w:rPr>
        <w:t>whom</w:t>
      </w:r>
      <w:r w:rsidRPr="00A54361">
        <w:rPr>
          <w:rFonts w:eastAsia="Times New Roman" w:cstheme="minorHAnsi"/>
          <w:spacing w:val="5"/>
        </w:rPr>
        <w:t xml:space="preserve"> </w:t>
      </w:r>
      <w:r w:rsidRPr="00A54361">
        <w:rPr>
          <w:rFonts w:eastAsia="Times New Roman" w:cstheme="minorHAnsi"/>
        </w:rPr>
        <w:t>busin</w:t>
      </w:r>
      <w:r w:rsidRPr="00A54361">
        <w:rPr>
          <w:rFonts w:eastAsia="Times New Roman" w:cstheme="minorHAnsi"/>
          <w:spacing w:val="-1"/>
        </w:rPr>
        <w:t>e</w:t>
      </w:r>
      <w:r w:rsidRPr="00A54361">
        <w:rPr>
          <w:rFonts w:eastAsia="Times New Roman" w:cstheme="minorHAnsi"/>
        </w:rPr>
        <w:t>ss</w:t>
      </w:r>
      <w:r w:rsidRPr="00A54361">
        <w:rPr>
          <w:rFonts w:eastAsia="Times New Roman" w:cstheme="minorHAnsi"/>
          <w:spacing w:val="5"/>
        </w:rPr>
        <w:t xml:space="preserve"> </w:t>
      </w:r>
      <w:r w:rsidRPr="00A54361">
        <w:rPr>
          <w:rFonts w:eastAsia="Times New Roman" w:cstheme="minorHAnsi"/>
        </w:rPr>
        <w:t>d</w:t>
      </w:r>
      <w:r w:rsidRPr="00A54361">
        <w:rPr>
          <w:rFonts w:eastAsia="Times New Roman" w:cstheme="minorHAnsi"/>
          <w:spacing w:val="-1"/>
        </w:rPr>
        <w:t>ea</w:t>
      </w:r>
      <w:r w:rsidRPr="00A54361">
        <w:rPr>
          <w:rFonts w:eastAsia="Times New Roman" w:cstheme="minorHAnsi"/>
        </w:rPr>
        <w:t>l</w:t>
      </w:r>
      <w:r w:rsidRPr="00A54361">
        <w:rPr>
          <w:rFonts w:eastAsia="Times New Roman" w:cstheme="minorHAnsi"/>
          <w:spacing w:val="1"/>
        </w:rPr>
        <w:t>i</w:t>
      </w:r>
      <w:r w:rsidRPr="00A54361">
        <w:rPr>
          <w:rFonts w:eastAsia="Times New Roman" w:cstheme="minorHAnsi"/>
        </w:rPr>
        <w:t>n</w:t>
      </w:r>
      <w:r w:rsidRPr="00A54361">
        <w:rPr>
          <w:rFonts w:eastAsia="Times New Roman" w:cstheme="minorHAnsi"/>
          <w:spacing w:val="-2"/>
        </w:rPr>
        <w:t>g</w:t>
      </w:r>
      <w:r w:rsidRPr="00A54361">
        <w:rPr>
          <w:rFonts w:eastAsia="Times New Roman" w:cstheme="minorHAnsi"/>
        </w:rPr>
        <w:t>s</w:t>
      </w:r>
      <w:r w:rsidRPr="00A54361">
        <w:rPr>
          <w:rFonts w:eastAsia="Times New Roman" w:cstheme="minorHAnsi"/>
          <w:spacing w:val="5"/>
        </w:rPr>
        <w:t xml:space="preserve"> </w:t>
      </w:r>
      <w:r w:rsidRPr="00A54361">
        <w:rPr>
          <w:rFonts w:eastAsia="Times New Roman" w:cstheme="minorHAnsi"/>
        </w:rPr>
        <w:t>h</w:t>
      </w:r>
      <w:r w:rsidRPr="00A54361">
        <w:rPr>
          <w:rFonts w:eastAsia="Times New Roman" w:cstheme="minorHAnsi"/>
          <w:spacing w:val="-1"/>
        </w:rPr>
        <w:t>a</w:t>
      </w:r>
      <w:r w:rsidRPr="00A54361">
        <w:rPr>
          <w:rFonts w:eastAsia="Times New Roman" w:cstheme="minorHAnsi"/>
        </w:rPr>
        <w:t>ve</w:t>
      </w:r>
      <w:r w:rsidRPr="00A54361">
        <w:rPr>
          <w:rFonts w:eastAsia="Times New Roman" w:cstheme="minorHAnsi"/>
          <w:spacing w:val="4"/>
        </w:rPr>
        <w:t xml:space="preserve"> </w:t>
      </w:r>
      <w:r w:rsidRPr="00A54361">
        <w:rPr>
          <w:rFonts w:eastAsia="Times New Roman" w:cstheme="minorHAnsi"/>
        </w:rPr>
        <w:t>b</w:t>
      </w:r>
      <w:r w:rsidRPr="00A54361">
        <w:rPr>
          <w:rFonts w:eastAsia="Times New Roman" w:cstheme="minorHAnsi"/>
          <w:spacing w:val="-1"/>
        </w:rPr>
        <w:t>ee</w:t>
      </w:r>
      <w:r w:rsidRPr="00A54361">
        <w:rPr>
          <w:rFonts w:eastAsia="Times New Roman" w:cstheme="minorHAnsi"/>
        </w:rPr>
        <w:t>n</w:t>
      </w:r>
      <w:r w:rsidRPr="00A54361">
        <w:rPr>
          <w:rFonts w:eastAsia="Times New Roman" w:cstheme="minorHAnsi"/>
          <w:spacing w:val="5"/>
        </w:rPr>
        <w:t xml:space="preserve"> </w:t>
      </w:r>
      <w:r w:rsidRPr="00A54361">
        <w:rPr>
          <w:rFonts w:eastAsia="Times New Roman" w:cstheme="minorHAnsi"/>
        </w:rPr>
        <w:t>b</w:t>
      </w:r>
      <w:r w:rsidRPr="00A54361">
        <w:rPr>
          <w:rFonts w:eastAsia="Times New Roman" w:cstheme="minorHAnsi"/>
          <w:spacing w:val="-1"/>
        </w:rPr>
        <w:t>a</w:t>
      </w:r>
      <w:r w:rsidRPr="00A54361">
        <w:rPr>
          <w:rFonts w:eastAsia="Times New Roman" w:cstheme="minorHAnsi"/>
        </w:rPr>
        <w:t>nn</w:t>
      </w:r>
      <w:r w:rsidRPr="00A54361">
        <w:rPr>
          <w:rFonts w:eastAsia="Times New Roman" w:cstheme="minorHAnsi"/>
          <w:spacing w:val="-1"/>
        </w:rPr>
        <w:t>e</w:t>
      </w:r>
      <w:r w:rsidRPr="00A54361">
        <w:rPr>
          <w:rFonts w:eastAsia="Times New Roman" w:cstheme="minorHAnsi"/>
        </w:rPr>
        <w:t>d,</w:t>
      </w:r>
      <w:r w:rsidRPr="00A54361">
        <w:rPr>
          <w:rFonts w:eastAsia="Times New Roman" w:cstheme="minorHAnsi"/>
          <w:spacing w:val="5"/>
        </w:rPr>
        <w:t xml:space="preserve"> </w:t>
      </w:r>
      <w:r w:rsidRPr="00A54361">
        <w:rPr>
          <w:rFonts w:eastAsia="Times New Roman" w:cstheme="minorHAnsi"/>
        </w:rPr>
        <w:t>a</w:t>
      </w:r>
      <w:r w:rsidRPr="00A54361">
        <w:rPr>
          <w:rFonts w:eastAsia="Times New Roman" w:cstheme="minorHAnsi"/>
          <w:spacing w:val="4"/>
        </w:rPr>
        <w:t xml:space="preserve"> </w:t>
      </w:r>
      <w:r w:rsidRPr="00A54361">
        <w:rPr>
          <w:rFonts w:eastAsia="Times New Roman" w:cstheme="minorHAnsi"/>
          <w:spacing w:val="-1"/>
        </w:rPr>
        <w:t>c</w:t>
      </w:r>
      <w:r w:rsidRPr="00A54361">
        <w:rPr>
          <w:rFonts w:eastAsia="Times New Roman" w:cstheme="minorHAnsi"/>
          <w:spacing w:val="2"/>
        </w:rPr>
        <w:t>op</w:t>
      </w:r>
      <w:r w:rsidRPr="00A54361">
        <w:rPr>
          <w:rFonts w:eastAsia="Times New Roman" w:cstheme="minorHAnsi"/>
        </w:rPr>
        <w:t>y of</w:t>
      </w:r>
      <w:r w:rsidRPr="00A54361">
        <w:rPr>
          <w:rFonts w:eastAsia="Times New Roman" w:cstheme="minorHAnsi"/>
          <w:spacing w:val="4"/>
        </w:rPr>
        <w:t xml:space="preserve"> </w:t>
      </w:r>
      <w:r w:rsidRPr="00A54361">
        <w:rPr>
          <w:rFonts w:eastAsia="Times New Roman" w:cstheme="minorHAnsi"/>
        </w:rPr>
        <w:t>the</w:t>
      </w:r>
      <w:r w:rsidRPr="00A54361">
        <w:rPr>
          <w:rFonts w:eastAsia="Times New Roman" w:cstheme="minorHAnsi"/>
          <w:spacing w:val="4"/>
        </w:rPr>
        <w:t xml:space="preserve"> </w:t>
      </w:r>
      <w:r w:rsidRPr="00A54361">
        <w:rPr>
          <w:rFonts w:eastAsia="Times New Roman" w:cstheme="minorHAnsi"/>
        </w:rPr>
        <w:t>r</w:t>
      </w:r>
      <w:r w:rsidRPr="00A54361">
        <w:rPr>
          <w:rFonts w:eastAsia="Times New Roman" w:cstheme="minorHAnsi"/>
          <w:spacing w:val="-2"/>
        </w:rPr>
        <w:t>e</w:t>
      </w:r>
      <w:r w:rsidRPr="00A54361">
        <w:rPr>
          <w:rFonts w:eastAsia="Times New Roman" w:cstheme="minorHAnsi"/>
        </w:rPr>
        <w:t>port</w:t>
      </w:r>
      <w:r w:rsidRPr="00A54361">
        <w:rPr>
          <w:rFonts w:eastAsia="Times New Roman" w:cstheme="minorHAnsi"/>
          <w:spacing w:val="4"/>
        </w:rPr>
        <w:t xml:space="preserve"> </w:t>
      </w:r>
      <w:r w:rsidRPr="00A54361">
        <w:rPr>
          <w:rFonts w:eastAsia="Times New Roman" w:cstheme="minorHAnsi"/>
        </w:rPr>
        <w:t xml:space="preserve">of </w:t>
      </w:r>
      <w:r w:rsidRPr="00A54361">
        <w:rPr>
          <w:rFonts w:eastAsia="Times New Roman" w:cstheme="minorHAnsi"/>
          <w:spacing w:val="-3"/>
        </w:rPr>
        <w:t>I</w:t>
      </w:r>
      <w:r w:rsidRPr="00A54361">
        <w:rPr>
          <w:rFonts w:eastAsia="Times New Roman" w:cstheme="minorHAnsi"/>
        </w:rPr>
        <w:t>nquiri</w:t>
      </w:r>
      <w:r w:rsidRPr="00A54361">
        <w:rPr>
          <w:rFonts w:eastAsia="Times New Roman" w:cstheme="minorHAnsi"/>
          <w:spacing w:val="2"/>
        </w:rPr>
        <w:t>n</w:t>
      </w:r>
      <w:r w:rsidRPr="00A54361">
        <w:rPr>
          <w:rFonts w:eastAsia="Times New Roman" w:cstheme="minorHAnsi"/>
        </w:rPr>
        <w:t>g</w:t>
      </w:r>
      <w:r w:rsidRPr="00A54361">
        <w:rPr>
          <w:rFonts w:eastAsia="Times New Roman" w:cstheme="minorHAnsi"/>
          <w:spacing w:val="3"/>
        </w:rPr>
        <w:t xml:space="preserve"> </w:t>
      </w:r>
      <w:r w:rsidRPr="00A54361">
        <w:rPr>
          <w:rFonts w:eastAsia="Times New Roman" w:cstheme="minorHAnsi"/>
        </w:rPr>
        <w:t>Autho</w:t>
      </w:r>
      <w:r w:rsidRPr="00A54361">
        <w:rPr>
          <w:rFonts w:eastAsia="Times New Roman" w:cstheme="minorHAnsi"/>
          <w:spacing w:val="-1"/>
        </w:rPr>
        <w:t>r</w:t>
      </w:r>
      <w:r w:rsidRPr="00A54361">
        <w:rPr>
          <w:rFonts w:eastAsia="Times New Roman" w:cstheme="minorHAnsi"/>
        </w:rPr>
        <w:t>i</w:t>
      </w:r>
      <w:r w:rsidRPr="00A54361">
        <w:rPr>
          <w:rFonts w:eastAsia="Times New Roman" w:cstheme="minorHAnsi"/>
          <w:spacing w:val="6"/>
        </w:rPr>
        <w:t>t</w:t>
      </w:r>
      <w:r w:rsidRPr="00A54361">
        <w:rPr>
          <w:rFonts w:eastAsia="Times New Roman" w:cstheme="minorHAnsi"/>
        </w:rPr>
        <w:t>y t</w:t>
      </w:r>
      <w:r w:rsidRPr="00A54361">
        <w:rPr>
          <w:rFonts w:eastAsia="Times New Roman" w:cstheme="minorHAnsi"/>
          <w:spacing w:val="3"/>
        </w:rPr>
        <w:t>o</w:t>
      </w:r>
      <w:r w:rsidRPr="00A54361">
        <w:rPr>
          <w:rFonts w:eastAsia="Times New Roman" w:cstheme="minorHAnsi"/>
          <w:spacing w:val="-2"/>
        </w:rPr>
        <w:t>g</w:t>
      </w:r>
      <w:r w:rsidRPr="00A54361">
        <w:rPr>
          <w:rFonts w:eastAsia="Times New Roman" w:cstheme="minorHAnsi"/>
          <w:spacing w:val="-1"/>
        </w:rPr>
        <w:t>e</w:t>
      </w:r>
      <w:r w:rsidRPr="00A54361">
        <w:rPr>
          <w:rFonts w:eastAsia="Times New Roman" w:cstheme="minorHAnsi"/>
          <w:spacing w:val="3"/>
        </w:rPr>
        <w:t>t</w:t>
      </w:r>
      <w:r w:rsidRPr="00A54361">
        <w:rPr>
          <w:rFonts w:eastAsia="Times New Roman" w:cstheme="minorHAnsi"/>
        </w:rPr>
        <w:t>h</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4"/>
        </w:rPr>
        <w:t xml:space="preserve"> </w:t>
      </w:r>
      <w:r w:rsidRPr="00A54361">
        <w:rPr>
          <w:rFonts w:eastAsia="Times New Roman" w:cstheme="minorHAnsi"/>
        </w:rPr>
        <w:t>with</w:t>
      </w:r>
      <w:r w:rsidRPr="00A54361">
        <w:rPr>
          <w:rFonts w:eastAsia="Times New Roman" w:cstheme="minorHAnsi"/>
          <w:spacing w:val="5"/>
        </w:rPr>
        <w:t xml:space="preserve"> </w:t>
      </w:r>
      <w:r w:rsidRPr="00A54361">
        <w:rPr>
          <w:rFonts w:eastAsia="Times New Roman" w:cstheme="minorHAnsi"/>
        </w:rPr>
        <w:t>a</w:t>
      </w:r>
      <w:r w:rsidRPr="00A54361">
        <w:rPr>
          <w:rFonts w:eastAsia="Times New Roman" w:cstheme="minorHAnsi"/>
          <w:spacing w:val="4"/>
        </w:rPr>
        <w:t xml:space="preserve"> </w:t>
      </w:r>
      <w:r w:rsidRPr="00A54361">
        <w:rPr>
          <w:rFonts w:eastAsia="Times New Roman" w:cstheme="minorHAnsi"/>
          <w:spacing w:val="-1"/>
        </w:rPr>
        <w:t>c</w:t>
      </w:r>
      <w:r w:rsidRPr="00A54361">
        <w:rPr>
          <w:rFonts w:eastAsia="Times New Roman" w:cstheme="minorHAnsi"/>
        </w:rPr>
        <w:t>o</w:t>
      </w:r>
      <w:r w:rsidRPr="00A54361">
        <w:rPr>
          <w:rFonts w:eastAsia="Times New Roman" w:cstheme="minorHAnsi"/>
          <w:spacing w:val="5"/>
        </w:rPr>
        <w:t>p</w:t>
      </w:r>
      <w:r w:rsidRPr="00A54361">
        <w:rPr>
          <w:rFonts w:eastAsia="Times New Roman" w:cstheme="minorHAnsi"/>
        </w:rPr>
        <w:t>y of</w:t>
      </w:r>
      <w:r w:rsidRPr="00A54361">
        <w:rPr>
          <w:rFonts w:eastAsia="Times New Roman" w:cstheme="minorHAnsi"/>
          <w:spacing w:val="4"/>
        </w:rPr>
        <w:t xml:space="preserve"> </w:t>
      </w:r>
      <w:r w:rsidRPr="00A54361">
        <w:rPr>
          <w:rFonts w:eastAsia="Times New Roman" w:cstheme="minorHAnsi"/>
        </w:rPr>
        <w:t>the</w:t>
      </w:r>
      <w:r w:rsidRPr="00A54361">
        <w:rPr>
          <w:rFonts w:eastAsia="Times New Roman" w:cstheme="minorHAnsi"/>
          <w:spacing w:val="4"/>
        </w:rPr>
        <w:t xml:space="preserve"> </w:t>
      </w:r>
      <w:r w:rsidRPr="00A54361">
        <w:rPr>
          <w:rFonts w:eastAsia="Times New Roman" w:cstheme="minorHAnsi"/>
        </w:rPr>
        <w:t>o</w:t>
      </w:r>
      <w:r w:rsidRPr="00A54361">
        <w:rPr>
          <w:rFonts w:eastAsia="Times New Roman" w:cstheme="minorHAnsi"/>
          <w:spacing w:val="1"/>
        </w:rPr>
        <w:t>r</w:t>
      </w:r>
      <w:r w:rsidRPr="00A54361">
        <w:rPr>
          <w:rFonts w:eastAsia="Times New Roman" w:cstheme="minorHAnsi"/>
        </w:rPr>
        <w:t>d</w:t>
      </w:r>
      <w:r w:rsidRPr="00A54361">
        <w:rPr>
          <w:rFonts w:eastAsia="Times New Roman" w:cstheme="minorHAnsi"/>
          <w:spacing w:val="-1"/>
        </w:rPr>
        <w:t>e</w:t>
      </w:r>
      <w:r w:rsidRPr="00A54361">
        <w:rPr>
          <w:rFonts w:eastAsia="Times New Roman" w:cstheme="minorHAnsi"/>
        </w:rPr>
        <w:t>r</w:t>
      </w:r>
      <w:r w:rsidRPr="00A54361">
        <w:rPr>
          <w:rFonts w:eastAsia="Times New Roman" w:cstheme="minorHAnsi"/>
          <w:spacing w:val="4"/>
        </w:rPr>
        <w:t xml:space="preserve"> </w:t>
      </w:r>
      <w:r w:rsidRPr="00A54361">
        <w:rPr>
          <w:rFonts w:eastAsia="Times New Roman" w:cstheme="minorHAnsi"/>
        </w:rPr>
        <w:t>of</w:t>
      </w:r>
      <w:r w:rsidRPr="00A54361">
        <w:rPr>
          <w:rFonts w:eastAsia="Times New Roman" w:cstheme="minorHAnsi"/>
          <w:spacing w:val="4"/>
        </w:rPr>
        <w:t xml:space="preserve"> </w:t>
      </w:r>
      <w:r w:rsidRPr="00A54361">
        <w:rPr>
          <w:rFonts w:eastAsia="Times New Roman" w:cstheme="minorHAnsi"/>
        </w:rPr>
        <w:t>the</w:t>
      </w:r>
      <w:r w:rsidRPr="00A54361">
        <w:rPr>
          <w:rFonts w:eastAsia="Times New Roman" w:cstheme="minorHAnsi"/>
          <w:spacing w:val="4"/>
        </w:rPr>
        <w:t xml:space="preserve"> </w:t>
      </w:r>
      <w:r w:rsidRPr="00A54361">
        <w:rPr>
          <w:rFonts w:eastAsia="Times New Roman" w:cstheme="minorHAnsi"/>
        </w:rPr>
        <w:t>Compet</w:t>
      </w:r>
      <w:r w:rsidRPr="00A54361">
        <w:rPr>
          <w:rFonts w:eastAsia="Times New Roman" w:cstheme="minorHAnsi"/>
          <w:spacing w:val="-1"/>
        </w:rPr>
        <w:t>e</w:t>
      </w:r>
      <w:r w:rsidRPr="00A54361">
        <w:rPr>
          <w:rFonts w:eastAsia="Times New Roman" w:cstheme="minorHAnsi"/>
        </w:rPr>
        <w:t>nt</w:t>
      </w:r>
      <w:r w:rsidRPr="00A54361">
        <w:rPr>
          <w:rFonts w:eastAsia="Times New Roman" w:cstheme="minorHAnsi"/>
          <w:spacing w:val="5"/>
        </w:rPr>
        <w:t xml:space="preserve"> </w:t>
      </w:r>
      <w:r w:rsidRPr="00A54361">
        <w:rPr>
          <w:rFonts w:eastAsia="Times New Roman" w:cstheme="minorHAnsi"/>
        </w:rPr>
        <w:t>A</w:t>
      </w:r>
      <w:r w:rsidRPr="00A54361">
        <w:rPr>
          <w:rFonts w:eastAsia="Times New Roman" w:cstheme="minorHAnsi"/>
          <w:spacing w:val="2"/>
        </w:rPr>
        <w:t>u</w:t>
      </w:r>
      <w:r w:rsidRPr="00A54361">
        <w:rPr>
          <w:rFonts w:eastAsia="Times New Roman" w:cstheme="minorHAnsi"/>
        </w:rPr>
        <w:t>thori</w:t>
      </w:r>
      <w:r w:rsidRPr="00A54361">
        <w:rPr>
          <w:rFonts w:eastAsia="Times New Roman" w:cstheme="minorHAnsi"/>
          <w:spacing w:val="3"/>
        </w:rPr>
        <w:t>t</w:t>
      </w:r>
      <w:r w:rsidRPr="00A54361">
        <w:rPr>
          <w:rFonts w:eastAsia="Times New Roman" w:cstheme="minorHAnsi"/>
        </w:rPr>
        <w:t>y /</w:t>
      </w:r>
      <w:r w:rsidRPr="00A54361">
        <w:rPr>
          <w:rFonts w:eastAsia="Times New Roman" w:cstheme="minorHAnsi"/>
          <w:spacing w:val="5"/>
        </w:rPr>
        <w:t xml:space="preserve"> </w:t>
      </w:r>
      <w:r w:rsidRPr="00A54361">
        <w:rPr>
          <w:rFonts w:eastAsia="Times New Roman" w:cstheme="minorHAnsi"/>
        </w:rPr>
        <w:t>App</w:t>
      </w:r>
      <w:r w:rsidRPr="00A54361">
        <w:rPr>
          <w:rFonts w:eastAsia="Times New Roman" w:cstheme="minorHAnsi"/>
          <w:spacing w:val="-1"/>
        </w:rPr>
        <w:t>e</w:t>
      </w:r>
      <w:r w:rsidRPr="00A54361">
        <w:rPr>
          <w:rFonts w:eastAsia="Times New Roman" w:cstheme="minorHAnsi"/>
        </w:rPr>
        <w:t>l</w:t>
      </w:r>
      <w:r w:rsidRPr="00A54361">
        <w:rPr>
          <w:rFonts w:eastAsia="Times New Roman" w:cstheme="minorHAnsi"/>
          <w:spacing w:val="1"/>
        </w:rPr>
        <w:t>l</w:t>
      </w:r>
      <w:r w:rsidRPr="00A54361">
        <w:rPr>
          <w:rFonts w:eastAsia="Times New Roman" w:cstheme="minorHAnsi"/>
          <w:spacing w:val="-1"/>
        </w:rPr>
        <w:t>a</w:t>
      </w:r>
      <w:r w:rsidRPr="00A54361">
        <w:rPr>
          <w:rFonts w:eastAsia="Times New Roman" w:cstheme="minorHAnsi"/>
        </w:rPr>
        <w:t>te Authori</w:t>
      </w:r>
      <w:r w:rsidRPr="00A54361">
        <w:rPr>
          <w:rFonts w:eastAsia="Times New Roman" w:cstheme="minorHAnsi"/>
          <w:spacing w:val="2"/>
        </w:rPr>
        <w:t>t</w:t>
      </w:r>
      <w:r w:rsidRPr="00A54361">
        <w:rPr>
          <w:rFonts w:eastAsia="Times New Roman" w:cstheme="minorHAnsi"/>
        </w:rPr>
        <w:t>y</w:t>
      </w:r>
      <w:r w:rsidRPr="00A54361">
        <w:rPr>
          <w:rFonts w:eastAsia="Times New Roman" w:cstheme="minorHAnsi"/>
          <w:spacing w:val="-5"/>
        </w:rPr>
        <w:t xml:space="preserve"> </w:t>
      </w:r>
      <w:r w:rsidRPr="00A54361">
        <w:rPr>
          <w:rFonts w:eastAsia="Times New Roman" w:cstheme="minorHAnsi"/>
        </w:rPr>
        <w:t>m</w:t>
      </w:r>
      <w:r w:rsidRPr="00A54361">
        <w:rPr>
          <w:rFonts w:eastAsia="Times New Roman" w:cstheme="minorHAnsi"/>
          <w:spacing w:val="4"/>
        </w:rPr>
        <w:t>a</w:t>
      </w:r>
      <w:r w:rsidRPr="00A54361">
        <w:rPr>
          <w:rFonts w:eastAsia="Times New Roman" w:cstheme="minorHAnsi"/>
        </w:rPr>
        <w:t>y</w:t>
      </w:r>
      <w:r w:rsidRPr="00A54361">
        <w:rPr>
          <w:rFonts w:eastAsia="Times New Roman" w:cstheme="minorHAnsi"/>
          <w:spacing w:val="-5"/>
        </w:rPr>
        <w:t xml:space="preserve"> </w:t>
      </w:r>
      <w:r w:rsidRPr="00A54361">
        <w:rPr>
          <w:rFonts w:eastAsia="Times New Roman" w:cstheme="minorHAnsi"/>
        </w:rPr>
        <w:t>be</w:t>
      </w:r>
      <w:r w:rsidRPr="00A54361">
        <w:rPr>
          <w:rFonts w:eastAsia="Times New Roman" w:cstheme="minorHAnsi"/>
          <w:spacing w:val="-1"/>
        </w:rPr>
        <w:t xml:space="preserve"> </w:t>
      </w:r>
      <w:r w:rsidRPr="00A54361">
        <w:rPr>
          <w:rFonts w:eastAsia="Times New Roman" w:cstheme="minorHAnsi"/>
        </w:rPr>
        <w:t>suppli</w:t>
      </w:r>
      <w:r w:rsidRPr="00A54361">
        <w:rPr>
          <w:rFonts w:eastAsia="Times New Roman" w:cstheme="minorHAnsi"/>
          <w:spacing w:val="2"/>
        </w:rPr>
        <w:t>e</w:t>
      </w:r>
      <w:r w:rsidRPr="00A54361">
        <w:rPr>
          <w:rFonts w:eastAsia="Times New Roman" w:cstheme="minorHAnsi"/>
        </w:rPr>
        <w:t>d.</w:t>
      </w:r>
    </w:p>
    <w:p w14:paraId="436565F4" w14:textId="62FBAB06" w:rsidR="0054549F" w:rsidRPr="00A54361" w:rsidRDefault="0054549F" w:rsidP="00A54361">
      <w:pPr>
        <w:spacing w:line="260" w:lineRule="exact"/>
        <w:ind w:left="100" w:right="76"/>
        <w:jc w:val="both"/>
        <w:rPr>
          <w:rFonts w:cstheme="minorHAnsi"/>
        </w:rPr>
      </w:pPr>
      <w:r w:rsidRPr="00A54361">
        <w:rPr>
          <w:rFonts w:eastAsia="Times New Roman" w:cstheme="minorHAnsi"/>
        </w:rPr>
        <w:t>12.3</w:t>
      </w:r>
      <w:r w:rsidRPr="00A54361">
        <w:rPr>
          <w:rFonts w:eastAsia="Times New Roman" w:cstheme="minorHAnsi"/>
          <w:spacing w:val="-10"/>
        </w:rPr>
        <w:t xml:space="preserve"> </w:t>
      </w:r>
      <w:r w:rsidRPr="00A54361">
        <w:rPr>
          <w:rFonts w:eastAsia="Times New Roman" w:cstheme="minorHAnsi"/>
          <w:spacing w:val="-3"/>
        </w:rPr>
        <w:t>I</w:t>
      </w:r>
      <w:r w:rsidRPr="00A54361">
        <w:rPr>
          <w:rFonts w:eastAsia="Times New Roman" w:cstheme="minorHAnsi"/>
        </w:rPr>
        <w:t>f</w:t>
      </w:r>
      <w:r w:rsidRPr="00A54361">
        <w:rPr>
          <w:rFonts w:eastAsia="Times New Roman" w:cstheme="minorHAnsi"/>
          <w:spacing w:val="-13"/>
        </w:rPr>
        <w:t xml:space="preserve"> </w:t>
      </w:r>
      <w:r w:rsidRPr="00A54361">
        <w:rPr>
          <w:rFonts w:eastAsia="Times New Roman" w:cstheme="minorHAnsi"/>
        </w:rPr>
        <w:t>busin</w:t>
      </w:r>
      <w:r w:rsidRPr="00A54361">
        <w:rPr>
          <w:rFonts w:eastAsia="Times New Roman" w:cstheme="minorHAnsi"/>
          <w:spacing w:val="-1"/>
        </w:rPr>
        <w:t>e</w:t>
      </w:r>
      <w:r w:rsidRPr="00A54361">
        <w:rPr>
          <w:rFonts w:eastAsia="Times New Roman" w:cstheme="minorHAnsi"/>
        </w:rPr>
        <w:t>ss</w:t>
      </w:r>
      <w:r w:rsidRPr="00A54361">
        <w:rPr>
          <w:rFonts w:eastAsia="Times New Roman" w:cstheme="minorHAnsi"/>
          <w:spacing w:val="-12"/>
        </w:rPr>
        <w:t xml:space="preserve"> </w:t>
      </w:r>
      <w:r w:rsidRPr="00A54361">
        <w:rPr>
          <w:rFonts w:eastAsia="Times New Roman" w:cstheme="minorHAnsi"/>
          <w:spacing w:val="2"/>
        </w:rPr>
        <w:t>d</w:t>
      </w:r>
      <w:r w:rsidRPr="00A54361">
        <w:rPr>
          <w:rFonts w:eastAsia="Times New Roman" w:cstheme="minorHAnsi"/>
          <w:spacing w:val="-1"/>
        </w:rPr>
        <w:t>ea</w:t>
      </w:r>
      <w:r w:rsidRPr="00A54361">
        <w:rPr>
          <w:rFonts w:eastAsia="Times New Roman" w:cstheme="minorHAnsi"/>
        </w:rPr>
        <w:t>l</w:t>
      </w:r>
      <w:r w:rsidRPr="00A54361">
        <w:rPr>
          <w:rFonts w:eastAsia="Times New Roman" w:cstheme="minorHAnsi"/>
          <w:spacing w:val="1"/>
        </w:rPr>
        <w:t>i</w:t>
      </w:r>
      <w:r w:rsidRPr="00A54361">
        <w:rPr>
          <w:rFonts w:eastAsia="Times New Roman" w:cstheme="minorHAnsi"/>
          <w:spacing w:val="2"/>
        </w:rPr>
        <w:t>n</w:t>
      </w:r>
      <w:r w:rsidRPr="00A54361">
        <w:rPr>
          <w:rFonts w:eastAsia="Times New Roman" w:cstheme="minorHAnsi"/>
          <w:spacing w:val="-2"/>
        </w:rPr>
        <w:t>g</w:t>
      </w:r>
      <w:r w:rsidRPr="00A54361">
        <w:rPr>
          <w:rFonts w:eastAsia="Times New Roman" w:cstheme="minorHAnsi"/>
        </w:rPr>
        <w:t>s</w:t>
      </w:r>
      <w:r w:rsidRPr="00A54361">
        <w:rPr>
          <w:rFonts w:eastAsia="Times New Roman" w:cstheme="minorHAnsi"/>
          <w:spacing w:val="-9"/>
        </w:rPr>
        <w:t xml:space="preserve"> </w:t>
      </w:r>
      <w:r w:rsidRPr="00A54361">
        <w:rPr>
          <w:rFonts w:eastAsia="Times New Roman" w:cstheme="minorHAnsi"/>
        </w:rPr>
        <w:t>with</w:t>
      </w:r>
      <w:r w:rsidRPr="00A54361">
        <w:rPr>
          <w:rFonts w:eastAsia="Times New Roman" w:cstheme="minorHAnsi"/>
          <w:spacing w:val="-12"/>
        </w:rPr>
        <w:t xml:space="preserve"> </w:t>
      </w:r>
      <w:r w:rsidRPr="00A54361">
        <w:rPr>
          <w:rFonts w:eastAsia="Times New Roman" w:cstheme="minorHAnsi"/>
          <w:spacing w:val="-1"/>
        </w:rPr>
        <w:t>a</w:t>
      </w:r>
      <w:r w:rsidRPr="00A54361">
        <w:rPr>
          <w:rFonts w:eastAsia="Times New Roman" w:cstheme="minorHAnsi"/>
          <w:spacing w:val="2"/>
        </w:rPr>
        <w:t>n</w:t>
      </w:r>
      <w:r w:rsidRPr="00A54361">
        <w:rPr>
          <w:rFonts w:eastAsia="Times New Roman" w:cstheme="minorHAnsi"/>
        </w:rPr>
        <w:t>y</w:t>
      </w:r>
      <w:r w:rsidRPr="00A54361">
        <w:rPr>
          <w:rFonts w:eastAsia="Times New Roman" w:cstheme="minorHAnsi"/>
          <w:spacing w:val="-14"/>
        </w:rPr>
        <w:t xml:space="preserve"> </w:t>
      </w:r>
      <w:r w:rsidRPr="00A54361">
        <w:rPr>
          <w:rFonts w:eastAsia="Times New Roman" w:cstheme="minorHAnsi"/>
          <w:spacing w:val="2"/>
        </w:rPr>
        <w:t>A</w:t>
      </w:r>
      <w:r w:rsidRPr="00A54361">
        <w:rPr>
          <w:rFonts w:eastAsia="Times New Roman" w:cstheme="minorHAnsi"/>
          <w:spacing w:val="-2"/>
        </w:rPr>
        <w:t>g</w:t>
      </w:r>
      <w:r w:rsidRPr="00A54361">
        <w:rPr>
          <w:rFonts w:eastAsia="Times New Roman" w:cstheme="minorHAnsi"/>
          <w:spacing w:val="-1"/>
        </w:rPr>
        <w:t>e</w:t>
      </w:r>
      <w:r w:rsidRPr="00A54361">
        <w:rPr>
          <w:rFonts w:eastAsia="Times New Roman" w:cstheme="minorHAnsi"/>
          <w:spacing w:val="2"/>
        </w:rPr>
        <w:t>n</w:t>
      </w:r>
      <w:r w:rsidRPr="00A54361">
        <w:rPr>
          <w:rFonts w:eastAsia="Times New Roman" w:cstheme="minorHAnsi"/>
          <w:spacing w:val="4"/>
        </w:rPr>
        <w:t>c</w:t>
      </w:r>
      <w:r w:rsidRPr="00A54361">
        <w:rPr>
          <w:rFonts w:eastAsia="Times New Roman" w:cstheme="minorHAnsi"/>
        </w:rPr>
        <w:t>y</w:t>
      </w:r>
      <w:r w:rsidRPr="00A54361">
        <w:rPr>
          <w:rFonts w:eastAsia="Times New Roman" w:cstheme="minorHAnsi"/>
          <w:spacing w:val="-17"/>
        </w:rPr>
        <w:t xml:space="preserve"> </w:t>
      </w:r>
      <w:r w:rsidRPr="00A54361">
        <w:rPr>
          <w:rFonts w:eastAsia="Times New Roman" w:cstheme="minorHAnsi"/>
        </w:rPr>
        <w:t>h</w:t>
      </w:r>
      <w:r w:rsidRPr="00A54361">
        <w:rPr>
          <w:rFonts w:eastAsia="Times New Roman" w:cstheme="minorHAnsi"/>
          <w:spacing w:val="-1"/>
        </w:rPr>
        <w:t>a</w:t>
      </w:r>
      <w:r w:rsidRPr="00A54361">
        <w:rPr>
          <w:rFonts w:eastAsia="Times New Roman" w:cstheme="minorHAnsi"/>
        </w:rPr>
        <w:t>s</w:t>
      </w:r>
      <w:r w:rsidRPr="00A54361">
        <w:rPr>
          <w:rFonts w:eastAsia="Times New Roman" w:cstheme="minorHAnsi"/>
          <w:spacing w:val="-10"/>
        </w:rPr>
        <w:t xml:space="preserve"> </w:t>
      </w:r>
      <w:r w:rsidRPr="00A54361">
        <w:rPr>
          <w:rFonts w:eastAsia="Times New Roman" w:cstheme="minorHAnsi"/>
        </w:rPr>
        <w:t>b</w:t>
      </w:r>
      <w:r w:rsidRPr="00A54361">
        <w:rPr>
          <w:rFonts w:eastAsia="Times New Roman" w:cstheme="minorHAnsi"/>
          <w:spacing w:val="-1"/>
        </w:rPr>
        <w:t>e</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12"/>
        </w:rPr>
        <w:t xml:space="preserve"> </w:t>
      </w:r>
      <w:r w:rsidRPr="00A54361">
        <w:rPr>
          <w:rFonts w:eastAsia="Times New Roman" w:cstheme="minorHAnsi"/>
        </w:rPr>
        <w:t>b</w:t>
      </w:r>
      <w:r w:rsidRPr="00A54361">
        <w:rPr>
          <w:rFonts w:eastAsia="Times New Roman" w:cstheme="minorHAnsi"/>
          <w:spacing w:val="-1"/>
        </w:rPr>
        <w:t>a</w:t>
      </w:r>
      <w:r w:rsidRPr="00A54361">
        <w:rPr>
          <w:rFonts w:eastAsia="Times New Roman" w:cstheme="minorHAnsi"/>
        </w:rPr>
        <w:t>nn</w:t>
      </w:r>
      <w:r w:rsidRPr="00A54361">
        <w:rPr>
          <w:rFonts w:eastAsia="Times New Roman" w:cstheme="minorHAnsi"/>
          <w:spacing w:val="-1"/>
        </w:rPr>
        <w:t>e</w:t>
      </w:r>
      <w:r w:rsidRPr="00A54361">
        <w:rPr>
          <w:rFonts w:eastAsia="Times New Roman" w:cstheme="minorHAnsi"/>
        </w:rPr>
        <w:t>d</w:t>
      </w:r>
      <w:r w:rsidRPr="00A54361">
        <w:rPr>
          <w:rFonts w:eastAsia="Times New Roman" w:cstheme="minorHAnsi"/>
          <w:spacing w:val="-12"/>
        </w:rPr>
        <w:t xml:space="preserve"> </w:t>
      </w:r>
      <w:r w:rsidRPr="00A54361">
        <w:rPr>
          <w:rFonts w:eastAsia="Times New Roman" w:cstheme="minorHAnsi"/>
          <w:spacing w:val="5"/>
        </w:rPr>
        <w:t>b</w:t>
      </w:r>
      <w:r w:rsidRPr="00A54361">
        <w:rPr>
          <w:rFonts w:eastAsia="Times New Roman" w:cstheme="minorHAnsi"/>
        </w:rPr>
        <w:t>y</w:t>
      </w:r>
      <w:r w:rsidRPr="00A54361">
        <w:rPr>
          <w:rFonts w:eastAsia="Times New Roman" w:cstheme="minorHAnsi"/>
          <w:spacing w:val="-17"/>
        </w:rPr>
        <w:t xml:space="preserve"> </w:t>
      </w:r>
      <w:r w:rsidRPr="00A54361">
        <w:rPr>
          <w:rFonts w:eastAsia="Times New Roman" w:cstheme="minorHAnsi"/>
        </w:rPr>
        <w:t>t</w:t>
      </w:r>
      <w:r w:rsidRPr="00A54361">
        <w:rPr>
          <w:rFonts w:eastAsia="Times New Roman" w:cstheme="minorHAnsi"/>
          <w:spacing w:val="3"/>
        </w:rPr>
        <w:t>h</w:t>
      </w:r>
      <w:r w:rsidRPr="00A54361">
        <w:rPr>
          <w:rFonts w:eastAsia="Times New Roman" w:cstheme="minorHAnsi"/>
        </w:rPr>
        <w:t>e</w:t>
      </w:r>
      <w:r w:rsidRPr="00A54361">
        <w:rPr>
          <w:rFonts w:eastAsia="Times New Roman" w:cstheme="minorHAnsi"/>
          <w:spacing w:val="-13"/>
        </w:rPr>
        <w:t xml:space="preserve"> </w:t>
      </w:r>
      <w:r w:rsidRPr="00A54361">
        <w:rPr>
          <w:rFonts w:eastAsia="Times New Roman" w:cstheme="minorHAnsi"/>
        </w:rPr>
        <w:t>C</w:t>
      </w:r>
      <w:r w:rsidRPr="00A54361">
        <w:rPr>
          <w:rFonts w:eastAsia="Times New Roman" w:cstheme="minorHAnsi"/>
          <w:spacing w:val="-1"/>
        </w:rPr>
        <w:t>e</w:t>
      </w:r>
      <w:r w:rsidRPr="00A54361">
        <w:rPr>
          <w:rFonts w:eastAsia="Times New Roman" w:cstheme="minorHAnsi"/>
        </w:rPr>
        <w:t>nt</w:t>
      </w:r>
      <w:r w:rsidRPr="00A54361">
        <w:rPr>
          <w:rFonts w:eastAsia="Times New Roman" w:cstheme="minorHAnsi"/>
          <w:spacing w:val="2"/>
        </w:rPr>
        <w:t>r</w:t>
      </w:r>
      <w:r w:rsidRPr="00A54361">
        <w:rPr>
          <w:rFonts w:eastAsia="Times New Roman" w:cstheme="minorHAnsi"/>
          <w:spacing w:val="-1"/>
        </w:rPr>
        <w:t>a</w:t>
      </w:r>
      <w:r w:rsidRPr="00A54361">
        <w:rPr>
          <w:rFonts w:eastAsia="Times New Roman" w:cstheme="minorHAnsi"/>
        </w:rPr>
        <w:t>l</w:t>
      </w:r>
      <w:r w:rsidRPr="00A54361">
        <w:rPr>
          <w:rFonts w:eastAsia="Times New Roman" w:cstheme="minorHAnsi"/>
          <w:spacing w:val="-12"/>
        </w:rPr>
        <w:t xml:space="preserve"> </w:t>
      </w:r>
      <w:r w:rsidRPr="00A54361">
        <w:rPr>
          <w:rFonts w:eastAsia="Times New Roman" w:cstheme="minorHAnsi"/>
          <w:spacing w:val="2"/>
        </w:rPr>
        <w:t>o</w:t>
      </w:r>
      <w:r w:rsidRPr="00A54361">
        <w:rPr>
          <w:rFonts w:eastAsia="Times New Roman" w:cstheme="minorHAnsi"/>
        </w:rPr>
        <w:t>r</w:t>
      </w:r>
      <w:r w:rsidRPr="00A54361">
        <w:rPr>
          <w:rFonts w:eastAsia="Times New Roman" w:cstheme="minorHAnsi"/>
          <w:spacing w:val="-13"/>
        </w:rPr>
        <w:t xml:space="preserve"> </w:t>
      </w:r>
      <w:r w:rsidRPr="00A54361">
        <w:rPr>
          <w:rFonts w:eastAsia="Times New Roman" w:cstheme="minorHAnsi"/>
          <w:spacing w:val="1"/>
        </w:rPr>
        <w:t>S</w:t>
      </w:r>
      <w:r w:rsidRPr="00A54361">
        <w:rPr>
          <w:rFonts w:eastAsia="Times New Roman" w:cstheme="minorHAnsi"/>
        </w:rPr>
        <w:t>tate</w:t>
      </w:r>
      <w:r w:rsidRPr="00A54361">
        <w:rPr>
          <w:rFonts w:eastAsia="Times New Roman" w:cstheme="minorHAnsi"/>
          <w:spacing w:val="-13"/>
        </w:rPr>
        <w:t xml:space="preserve"> </w:t>
      </w:r>
      <w:r w:rsidRPr="00A54361">
        <w:rPr>
          <w:rFonts w:eastAsia="Times New Roman" w:cstheme="minorHAnsi"/>
        </w:rPr>
        <w:t>Gov</w:t>
      </w:r>
      <w:r w:rsidRPr="00A54361">
        <w:rPr>
          <w:rFonts w:eastAsia="Times New Roman" w:cstheme="minorHAnsi"/>
          <w:spacing w:val="1"/>
        </w:rPr>
        <w:t>e</w:t>
      </w:r>
      <w:r w:rsidRPr="00A54361">
        <w:rPr>
          <w:rFonts w:eastAsia="Times New Roman" w:cstheme="minorHAnsi"/>
        </w:rPr>
        <w:t>rnm</w:t>
      </w:r>
      <w:r w:rsidRPr="00A54361">
        <w:rPr>
          <w:rFonts w:eastAsia="Times New Roman" w:cstheme="minorHAnsi"/>
          <w:spacing w:val="-1"/>
        </w:rPr>
        <w:t>e</w:t>
      </w:r>
      <w:r w:rsidRPr="00A54361">
        <w:rPr>
          <w:rFonts w:eastAsia="Times New Roman" w:cstheme="minorHAnsi"/>
        </w:rPr>
        <w:t>nt or</w:t>
      </w:r>
      <w:r w:rsidRPr="00A54361">
        <w:rPr>
          <w:rFonts w:eastAsia="Times New Roman" w:cstheme="minorHAnsi"/>
          <w:spacing w:val="-3"/>
        </w:rPr>
        <w:t xml:space="preserve"> </w:t>
      </w:r>
      <w:r w:rsidRPr="00A54361">
        <w:rPr>
          <w:rFonts w:eastAsia="Times New Roman" w:cstheme="minorHAnsi"/>
          <w:spacing w:val="-1"/>
        </w:rPr>
        <w:t>a</w:t>
      </w:r>
      <w:r w:rsidRPr="00A54361">
        <w:rPr>
          <w:rFonts w:eastAsia="Times New Roman" w:cstheme="minorHAnsi"/>
          <w:spacing w:val="2"/>
        </w:rPr>
        <w:t>n</w:t>
      </w:r>
      <w:r w:rsidRPr="00A54361">
        <w:rPr>
          <w:rFonts w:eastAsia="Times New Roman" w:cstheme="minorHAnsi"/>
        </w:rPr>
        <w:t>y</w:t>
      </w:r>
      <w:r w:rsidRPr="00A54361">
        <w:rPr>
          <w:rFonts w:eastAsia="Times New Roman" w:cstheme="minorHAnsi"/>
          <w:spacing w:val="-7"/>
        </w:rPr>
        <w:t xml:space="preserve"> </w:t>
      </w:r>
      <w:r w:rsidRPr="00A54361">
        <w:rPr>
          <w:rFonts w:eastAsia="Times New Roman" w:cstheme="minorHAnsi"/>
        </w:rPr>
        <w:t>other</w:t>
      </w:r>
      <w:r w:rsidRPr="00A54361">
        <w:rPr>
          <w:rFonts w:eastAsia="Times New Roman" w:cstheme="minorHAnsi"/>
          <w:spacing w:val="-4"/>
        </w:rPr>
        <w:t xml:space="preserve"> </w:t>
      </w:r>
      <w:r w:rsidRPr="00A54361">
        <w:rPr>
          <w:rFonts w:eastAsia="Times New Roman" w:cstheme="minorHAnsi"/>
          <w:spacing w:val="1"/>
        </w:rPr>
        <w:t>P</w:t>
      </w:r>
      <w:r w:rsidRPr="00A54361">
        <w:rPr>
          <w:rFonts w:eastAsia="Times New Roman" w:cstheme="minorHAnsi"/>
        </w:rPr>
        <w:t>ubl</w:t>
      </w:r>
      <w:r w:rsidRPr="00A54361">
        <w:rPr>
          <w:rFonts w:eastAsia="Times New Roman" w:cstheme="minorHAnsi"/>
          <w:spacing w:val="1"/>
        </w:rPr>
        <w:t>i</w:t>
      </w:r>
      <w:r w:rsidRPr="00A54361">
        <w:rPr>
          <w:rFonts w:eastAsia="Times New Roman" w:cstheme="minorHAnsi"/>
        </w:rPr>
        <w:t>c</w:t>
      </w:r>
      <w:r w:rsidRPr="00A54361">
        <w:rPr>
          <w:rFonts w:eastAsia="Times New Roman" w:cstheme="minorHAnsi"/>
          <w:spacing w:val="-3"/>
        </w:rPr>
        <w:t xml:space="preserve"> </w:t>
      </w:r>
      <w:r w:rsidRPr="00A54361">
        <w:rPr>
          <w:rFonts w:eastAsia="Times New Roman" w:cstheme="minorHAnsi"/>
          <w:spacing w:val="1"/>
        </w:rPr>
        <w:t>S</w:t>
      </w:r>
      <w:r w:rsidRPr="00A54361">
        <w:rPr>
          <w:rFonts w:eastAsia="Times New Roman" w:cstheme="minorHAnsi"/>
          <w:spacing w:val="-1"/>
        </w:rPr>
        <w:t>ec</w:t>
      </w:r>
      <w:r w:rsidRPr="00A54361">
        <w:rPr>
          <w:rFonts w:eastAsia="Times New Roman" w:cstheme="minorHAnsi"/>
        </w:rPr>
        <w:t>tor</w:t>
      </w:r>
      <w:r w:rsidRPr="00A54361">
        <w:rPr>
          <w:rFonts w:eastAsia="Times New Roman" w:cstheme="minorHAnsi"/>
          <w:spacing w:val="-3"/>
        </w:rPr>
        <w:t xml:space="preserve"> </w:t>
      </w:r>
      <w:r w:rsidRPr="00A54361">
        <w:rPr>
          <w:rFonts w:eastAsia="Times New Roman" w:cstheme="minorHAnsi"/>
        </w:rPr>
        <w:t>Ent</w:t>
      </w:r>
      <w:r w:rsidRPr="00A54361">
        <w:rPr>
          <w:rFonts w:eastAsia="Times New Roman" w:cstheme="minorHAnsi"/>
          <w:spacing w:val="-1"/>
        </w:rPr>
        <w:t>e</w:t>
      </w:r>
      <w:r w:rsidRPr="00A54361">
        <w:rPr>
          <w:rFonts w:eastAsia="Times New Roman" w:cstheme="minorHAnsi"/>
        </w:rPr>
        <w:t>rp</w:t>
      </w:r>
      <w:r w:rsidRPr="00A54361">
        <w:rPr>
          <w:rFonts w:eastAsia="Times New Roman" w:cstheme="minorHAnsi"/>
          <w:spacing w:val="-1"/>
        </w:rPr>
        <w:t>r</w:t>
      </w:r>
      <w:r w:rsidRPr="00A54361">
        <w:rPr>
          <w:rFonts w:eastAsia="Times New Roman" w:cstheme="minorHAnsi"/>
        </w:rPr>
        <w:t>ise,</w:t>
      </w:r>
      <w:r w:rsidRPr="00A54361">
        <w:rPr>
          <w:rFonts w:eastAsia="Times New Roman" w:cstheme="minorHAnsi"/>
          <w:spacing w:val="-3"/>
        </w:rPr>
        <w:t xml:space="preserve"> </w:t>
      </w:r>
      <w:r w:rsidRPr="00A54361">
        <w:rPr>
          <w:rFonts w:eastAsia="Times New Roman" w:cstheme="minorHAnsi"/>
        </w:rPr>
        <w:t>CE</w:t>
      </w:r>
      <w:r w:rsidRPr="00A54361">
        <w:rPr>
          <w:rFonts w:eastAsia="Times New Roman" w:cstheme="minorHAnsi"/>
          <w:spacing w:val="-1"/>
        </w:rPr>
        <w:t>N</w:t>
      </w:r>
      <w:r w:rsidRPr="00A54361">
        <w:rPr>
          <w:rFonts w:eastAsia="Times New Roman" w:cstheme="minorHAnsi"/>
        </w:rPr>
        <w:t>TR</w:t>
      </w:r>
      <w:r w:rsidRPr="00A54361">
        <w:rPr>
          <w:rFonts w:eastAsia="Times New Roman" w:cstheme="minorHAnsi"/>
          <w:spacing w:val="2"/>
        </w:rPr>
        <w:t>A</w:t>
      </w:r>
      <w:r w:rsidRPr="00A54361">
        <w:rPr>
          <w:rFonts w:eastAsia="Times New Roman" w:cstheme="minorHAnsi"/>
        </w:rPr>
        <w:t>L</w:t>
      </w:r>
      <w:r w:rsidRPr="00A54361">
        <w:rPr>
          <w:rFonts w:eastAsia="Times New Roman" w:cstheme="minorHAnsi"/>
          <w:spacing w:val="-5"/>
        </w:rPr>
        <w:t xml:space="preserve"> </w:t>
      </w:r>
      <w:r w:rsidRPr="00A54361">
        <w:rPr>
          <w:rFonts w:eastAsia="Times New Roman" w:cstheme="minorHAnsi"/>
          <w:spacing w:val="-2"/>
        </w:rPr>
        <w:t>B</w:t>
      </w:r>
      <w:r w:rsidRPr="00A54361">
        <w:rPr>
          <w:rFonts w:eastAsia="Times New Roman" w:cstheme="minorHAnsi"/>
        </w:rPr>
        <w:t>A</w:t>
      </w:r>
      <w:r w:rsidRPr="00A54361">
        <w:rPr>
          <w:rFonts w:eastAsia="Times New Roman" w:cstheme="minorHAnsi"/>
          <w:spacing w:val="-1"/>
        </w:rPr>
        <w:t>N</w:t>
      </w:r>
      <w:r w:rsidRPr="00A54361">
        <w:rPr>
          <w:rFonts w:eastAsia="Times New Roman" w:cstheme="minorHAnsi"/>
        </w:rPr>
        <w:t>K</w:t>
      </w:r>
      <w:r w:rsidRPr="00A54361">
        <w:rPr>
          <w:rFonts w:eastAsia="Times New Roman" w:cstheme="minorHAnsi"/>
          <w:spacing w:val="-3"/>
        </w:rPr>
        <w:t xml:space="preserve"> </w:t>
      </w:r>
      <w:r w:rsidRPr="00A54361">
        <w:rPr>
          <w:rFonts w:eastAsia="Times New Roman" w:cstheme="minorHAnsi"/>
          <w:spacing w:val="2"/>
        </w:rPr>
        <w:t>O</w:t>
      </w:r>
      <w:r w:rsidRPr="00A54361">
        <w:rPr>
          <w:rFonts w:eastAsia="Times New Roman" w:cstheme="minorHAnsi"/>
        </w:rPr>
        <w:t>F</w:t>
      </w:r>
      <w:r w:rsidRPr="00A54361">
        <w:rPr>
          <w:rFonts w:eastAsia="Times New Roman" w:cstheme="minorHAnsi"/>
          <w:spacing w:val="-1"/>
        </w:rPr>
        <w:t xml:space="preserve"> </w:t>
      </w:r>
      <w:r w:rsidRPr="00A54361">
        <w:rPr>
          <w:rFonts w:eastAsia="Times New Roman" w:cstheme="minorHAnsi"/>
          <w:spacing w:val="-3"/>
        </w:rPr>
        <w:t>I</w:t>
      </w:r>
      <w:r w:rsidRPr="00A54361">
        <w:rPr>
          <w:rFonts w:eastAsia="Times New Roman" w:cstheme="minorHAnsi"/>
        </w:rPr>
        <w:t>N</w:t>
      </w:r>
      <w:r w:rsidRPr="00A54361">
        <w:rPr>
          <w:rFonts w:eastAsia="Times New Roman" w:cstheme="minorHAnsi"/>
          <w:spacing w:val="1"/>
        </w:rPr>
        <w:t>D</w:t>
      </w:r>
      <w:r w:rsidRPr="00A54361">
        <w:rPr>
          <w:rFonts w:eastAsia="Times New Roman" w:cstheme="minorHAnsi"/>
          <w:spacing w:val="-3"/>
        </w:rPr>
        <w:t>I</w:t>
      </w:r>
      <w:r w:rsidRPr="00A54361">
        <w:rPr>
          <w:rFonts w:eastAsia="Times New Roman" w:cstheme="minorHAnsi"/>
        </w:rPr>
        <w:t>A</w:t>
      </w:r>
      <w:r w:rsidRPr="00A54361">
        <w:rPr>
          <w:rFonts w:eastAsia="Times New Roman" w:cstheme="minorHAnsi"/>
          <w:spacing w:val="-3"/>
        </w:rPr>
        <w:t xml:space="preserve"> </w:t>
      </w:r>
      <w:r w:rsidRPr="00A54361">
        <w:rPr>
          <w:rFonts w:eastAsia="Times New Roman" w:cstheme="minorHAnsi"/>
        </w:rPr>
        <w:t>m</w:t>
      </w:r>
      <w:r w:rsidRPr="00A54361">
        <w:rPr>
          <w:rFonts w:eastAsia="Times New Roman" w:cstheme="minorHAnsi"/>
          <w:spacing w:val="4"/>
        </w:rPr>
        <w:t>a</w:t>
      </w:r>
      <w:r w:rsidRPr="00A54361">
        <w:rPr>
          <w:rFonts w:eastAsia="Times New Roman" w:cstheme="minorHAnsi"/>
          <w:spacing w:val="-5"/>
        </w:rPr>
        <w:t>y</w:t>
      </w:r>
      <w:r w:rsidRPr="00A54361">
        <w:rPr>
          <w:rFonts w:eastAsia="Times New Roman" w:cstheme="minorHAnsi"/>
        </w:rPr>
        <w:t>, without</w:t>
      </w:r>
      <w:r w:rsidRPr="00A54361">
        <w:rPr>
          <w:rFonts w:eastAsia="Times New Roman" w:cstheme="minorHAnsi"/>
          <w:spacing w:val="-2"/>
        </w:rPr>
        <w:t xml:space="preserve"> </w:t>
      </w:r>
      <w:r w:rsidRPr="00A54361">
        <w:rPr>
          <w:rFonts w:eastAsia="Times New Roman" w:cstheme="minorHAnsi"/>
          <w:spacing w:val="-1"/>
        </w:rPr>
        <w:t>a</w:t>
      </w:r>
      <w:r w:rsidRPr="00A54361">
        <w:rPr>
          <w:rFonts w:eastAsia="Times New Roman" w:cstheme="minorHAnsi"/>
          <w:spacing w:val="2"/>
        </w:rPr>
        <w:t>n</w:t>
      </w:r>
      <w:r w:rsidRPr="00A54361">
        <w:rPr>
          <w:rFonts w:eastAsia="Times New Roman" w:cstheme="minorHAnsi"/>
        </w:rPr>
        <w:t>y</w:t>
      </w:r>
      <w:r w:rsidRPr="00A54361">
        <w:rPr>
          <w:rFonts w:eastAsia="Times New Roman" w:cstheme="minorHAnsi"/>
          <w:spacing w:val="-10"/>
        </w:rPr>
        <w:t xml:space="preserve"> </w:t>
      </w:r>
      <w:r w:rsidRPr="00A54361">
        <w:rPr>
          <w:rFonts w:eastAsia="Times New Roman" w:cstheme="minorHAnsi"/>
        </w:rPr>
        <w:t>f</w:t>
      </w:r>
      <w:r w:rsidRPr="00A54361">
        <w:rPr>
          <w:rFonts w:eastAsia="Times New Roman" w:cstheme="minorHAnsi"/>
          <w:spacing w:val="1"/>
        </w:rPr>
        <w:t>u</w:t>
      </w:r>
      <w:r w:rsidRPr="00A54361">
        <w:rPr>
          <w:rFonts w:eastAsia="Times New Roman" w:cstheme="minorHAnsi"/>
        </w:rPr>
        <w:t>rth</w:t>
      </w:r>
      <w:r w:rsidRPr="00A54361">
        <w:rPr>
          <w:rFonts w:eastAsia="Times New Roman" w:cstheme="minorHAnsi"/>
          <w:spacing w:val="-1"/>
        </w:rPr>
        <w:t>e</w:t>
      </w:r>
      <w:r w:rsidRPr="00A54361">
        <w:rPr>
          <w:rFonts w:eastAsia="Times New Roman" w:cstheme="minorHAnsi"/>
        </w:rPr>
        <w:t xml:space="preserve">r </w:t>
      </w:r>
      <w:r w:rsidRPr="00A54361">
        <w:rPr>
          <w:rFonts w:eastAsia="Times New Roman" w:cstheme="minorHAnsi"/>
          <w:spacing w:val="-1"/>
        </w:rPr>
        <w:t>e</w:t>
      </w:r>
      <w:r w:rsidRPr="00A54361">
        <w:rPr>
          <w:rFonts w:eastAsia="Times New Roman" w:cstheme="minorHAnsi"/>
        </w:rPr>
        <w:t>nqui</w:t>
      </w:r>
      <w:r w:rsidRPr="00A54361">
        <w:rPr>
          <w:rFonts w:eastAsia="Times New Roman" w:cstheme="minorHAnsi"/>
          <w:spacing w:val="2"/>
        </w:rPr>
        <w:t>r</w:t>
      </w:r>
      <w:r w:rsidRPr="00A54361">
        <w:rPr>
          <w:rFonts w:eastAsia="Times New Roman" w:cstheme="minorHAnsi"/>
        </w:rPr>
        <w:t>y</w:t>
      </w:r>
      <w:r w:rsidRPr="00A54361">
        <w:rPr>
          <w:rFonts w:eastAsia="Times New Roman" w:cstheme="minorHAnsi"/>
          <w:spacing w:val="-12"/>
        </w:rPr>
        <w:t xml:space="preserve"> </w:t>
      </w:r>
      <w:r w:rsidRPr="00A54361">
        <w:rPr>
          <w:rFonts w:eastAsia="Times New Roman" w:cstheme="minorHAnsi"/>
        </w:rPr>
        <w:t>or</w:t>
      </w:r>
      <w:r w:rsidRPr="00A54361">
        <w:rPr>
          <w:rFonts w:eastAsia="Times New Roman" w:cstheme="minorHAnsi"/>
          <w:spacing w:val="-8"/>
        </w:rPr>
        <w:t xml:space="preserve"> </w:t>
      </w:r>
      <w:r w:rsidRPr="00A54361">
        <w:rPr>
          <w:rFonts w:eastAsia="Times New Roman" w:cstheme="minorHAnsi"/>
        </w:rPr>
        <w:t>invest</w:t>
      </w:r>
      <w:r w:rsidRPr="00A54361">
        <w:rPr>
          <w:rFonts w:eastAsia="Times New Roman" w:cstheme="minorHAnsi"/>
          <w:spacing w:val="3"/>
        </w:rPr>
        <w:t>i</w:t>
      </w:r>
      <w:r w:rsidRPr="00A54361">
        <w:rPr>
          <w:rFonts w:eastAsia="Times New Roman" w:cstheme="minorHAnsi"/>
          <w:spacing w:val="-2"/>
        </w:rPr>
        <w:t>g</w:t>
      </w:r>
      <w:r w:rsidRPr="00A54361">
        <w:rPr>
          <w:rFonts w:eastAsia="Times New Roman" w:cstheme="minorHAnsi"/>
          <w:spacing w:val="-1"/>
        </w:rPr>
        <w:t>a</w:t>
      </w:r>
      <w:r w:rsidRPr="00A54361">
        <w:rPr>
          <w:rFonts w:eastAsia="Times New Roman" w:cstheme="minorHAnsi"/>
        </w:rPr>
        <w:t>t</w:t>
      </w:r>
      <w:r w:rsidRPr="00A54361">
        <w:rPr>
          <w:rFonts w:eastAsia="Times New Roman" w:cstheme="minorHAnsi"/>
          <w:spacing w:val="1"/>
        </w:rPr>
        <w:t>i</w:t>
      </w:r>
      <w:r w:rsidRPr="00A54361">
        <w:rPr>
          <w:rFonts w:eastAsia="Times New Roman" w:cstheme="minorHAnsi"/>
        </w:rPr>
        <w:t>on,</w:t>
      </w:r>
      <w:r w:rsidRPr="00A54361">
        <w:rPr>
          <w:rFonts w:eastAsia="Times New Roman" w:cstheme="minorHAnsi"/>
          <w:spacing w:val="-7"/>
        </w:rPr>
        <w:t xml:space="preserve"> </w:t>
      </w:r>
      <w:r w:rsidRPr="00A54361">
        <w:rPr>
          <w:rFonts w:eastAsia="Times New Roman" w:cstheme="minorHAnsi"/>
        </w:rPr>
        <w:t>is</w:t>
      </w:r>
      <w:r w:rsidRPr="00A54361">
        <w:rPr>
          <w:rFonts w:eastAsia="Times New Roman" w:cstheme="minorHAnsi"/>
          <w:spacing w:val="1"/>
        </w:rPr>
        <w:t>s</w:t>
      </w:r>
      <w:r w:rsidRPr="00A54361">
        <w:rPr>
          <w:rFonts w:eastAsia="Times New Roman" w:cstheme="minorHAnsi"/>
        </w:rPr>
        <w:t>ue</w:t>
      </w:r>
      <w:r w:rsidRPr="00A54361">
        <w:rPr>
          <w:rFonts w:eastAsia="Times New Roman" w:cstheme="minorHAnsi"/>
          <w:spacing w:val="-8"/>
        </w:rPr>
        <w:t xml:space="preserve"> </w:t>
      </w:r>
      <w:r w:rsidRPr="00A54361">
        <w:rPr>
          <w:rFonts w:eastAsia="Times New Roman" w:cstheme="minorHAnsi"/>
          <w:spacing w:val="-1"/>
        </w:rPr>
        <w:t>a</w:t>
      </w:r>
      <w:r w:rsidRPr="00A54361">
        <w:rPr>
          <w:rFonts w:eastAsia="Times New Roman" w:cstheme="minorHAnsi"/>
        </w:rPr>
        <w:t>n</w:t>
      </w:r>
      <w:r w:rsidRPr="00A54361">
        <w:rPr>
          <w:rFonts w:eastAsia="Times New Roman" w:cstheme="minorHAnsi"/>
          <w:spacing w:val="-7"/>
        </w:rPr>
        <w:t xml:space="preserve"> </w:t>
      </w:r>
      <w:r w:rsidRPr="00A54361">
        <w:rPr>
          <w:rFonts w:eastAsia="Times New Roman" w:cstheme="minorHAnsi"/>
        </w:rPr>
        <w:t>ord</w:t>
      </w:r>
      <w:r w:rsidRPr="00A54361">
        <w:rPr>
          <w:rFonts w:eastAsia="Times New Roman" w:cstheme="minorHAnsi"/>
          <w:spacing w:val="-2"/>
        </w:rPr>
        <w:t>e</w:t>
      </w:r>
      <w:r w:rsidRPr="00A54361">
        <w:rPr>
          <w:rFonts w:eastAsia="Times New Roman" w:cstheme="minorHAnsi"/>
        </w:rPr>
        <w:t>r</w:t>
      </w:r>
      <w:r w:rsidRPr="00A54361">
        <w:rPr>
          <w:rFonts w:eastAsia="Times New Roman" w:cstheme="minorHAnsi"/>
          <w:spacing w:val="-8"/>
        </w:rPr>
        <w:t xml:space="preserve"> </w:t>
      </w:r>
      <w:r w:rsidRPr="00A54361">
        <w:rPr>
          <w:rFonts w:eastAsia="Times New Roman" w:cstheme="minorHAnsi"/>
        </w:rPr>
        <w:t>b</w:t>
      </w:r>
      <w:r w:rsidRPr="00A54361">
        <w:rPr>
          <w:rFonts w:eastAsia="Times New Roman" w:cstheme="minorHAnsi"/>
          <w:spacing w:val="-1"/>
        </w:rPr>
        <w:t>a</w:t>
      </w:r>
      <w:r w:rsidRPr="00A54361">
        <w:rPr>
          <w:rFonts w:eastAsia="Times New Roman" w:cstheme="minorHAnsi"/>
        </w:rPr>
        <w:t>nni</w:t>
      </w:r>
      <w:r w:rsidRPr="00A54361">
        <w:rPr>
          <w:rFonts w:eastAsia="Times New Roman" w:cstheme="minorHAnsi"/>
          <w:spacing w:val="3"/>
        </w:rPr>
        <w:t>n</w:t>
      </w:r>
      <w:r w:rsidRPr="00A54361">
        <w:rPr>
          <w:rFonts w:eastAsia="Times New Roman" w:cstheme="minorHAnsi"/>
        </w:rPr>
        <w:t>g</w:t>
      </w:r>
      <w:r w:rsidRPr="00A54361">
        <w:rPr>
          <w:rFonts w:eastAsia="Times New Roman" w:cstheme="minorHAnsi"/>
          <w:spacing w:val="-10"/>
        </w:rPr>
        <w:t xml:space="preserve"> </w:t>
      </w:r>
      <w:r w:rsidRPr="00A54361">
        <w:rPr>
          <w:rFonts w:eastAsia="Times New Roman" w:cstheme="minorHAnsi"/>
        </w:rPr>
        <w:t>b</w:t>
      </w:r>
      <w:r w:rsidRPr="00A54361">
        <w:rPr>
          <w:rFonts w:eastAsia="Times New Roman" w:cstheme="minorHAnsi"/>
          <w:spacing w:val="2"/>
        </w:rPr>
        <w:t>u</w:t>
      </w:r>
      <w:r w:rsidRPr="00A54361">
        <w:rPr>
          <w:rFonts w:eastAsia="Times New Roman" w:cstheme="minorHAnsi"/>
          <w:spacing w:val="3"/>
        </w:rPr>
        <w:t>s</w:t>
      </w:r>
      <w:r w:rsidRPr="00A54361">
        <w:rPr>
          <w:rFonts w:eastAsia="Times New Roman" w:cstheme="minorHAnsi"/>
        </w:rPr>
        <w:t>iness</w:t>
      </w:r>
      <w:r w:rsidRPr="00A54361">
        <w:rPr>
          <w:rFonts w:eastAsia="Times New Roman" w:cstheme="minorHAnsi"/>
          <w:spacing w:val="-7"/>
        </w:rPr>
        <w:t xml:space="preserve"> </w:t>
      </w:r>
      <w:r w:rsidRPr="00A54361">
        <w:rPr>
          <w:rFonts w:eastAsia="Times New Roman" w:cstheme="minorHAnsi"/>
        </w:rPr>
        <w:t>d</w:t>
      </w:r>
      <w:r w:rsidRPr="00A54361">
        <w:rPr>
          <w:rFonts w:eastAsia="Times New Roman" w:cstheme="minorHAnsi"/>
          <w:spacing w:val="-1"/>
        </w:rPr>
        <w:t>ea</w:t>
      </w:r>
      <w:r w:rsidRPr="00A54361">
        <w:rPr>
          <w:rFonts w:eastAsia="Times New Roman" w:cstheme="minorHAnsi"/>
        </w:rPr>
        <w:t>l</w:t>
      </w:r>
      <w:r w:rsidRPr="00A54361">
        <w:rPr>
          <w:rFonts w:eastAsia="Times New Roman" w:cstheme="minorHAnsi"/>
          <w:spacing w:val="1"/>
        </w:rPr>
        <w:t>i</w:t>
      </w:r>
      <w:r w:rsidRPr="00A54361">
        <w:rPr>
          <w:rFonts w:eastAsia="Times New Roman" w:cstheme="minorHAnsi"/>
        </w:rPr>
        <w:t>ng</w:t>
      </w:r>
      <w:r w:rsidRPr="00A54361">
        <w:rPr>
          <w:rFonts w:eastAsia="Times New Roman" w:cstheme="minorHAnsi"/>
          <w:spacing w:val="-10"/>
        </w:rPr>
        <w:t xml:space="preserve"> </w:t>
      </w:r>
      <w:r w:rsidRPr="00A54361">
        <w:rPr>
          <w:rFonts w:eastAsia="Times New Roman" w:cstheme="minorHAnsi"/>
        </w:rPr>
        <w:t>with</w:t>
      </w:r>
      <w:r w:rsidRPr="00A54361">
        <w:rPr>
          <w:rFonts w:eastAsia="Times New Roman" w:cstheme="minorHAnsi"/>
          <w:spacing w:val="-7"/>
        </w:rPr>
        <w:t xml:space="preserve"> </w:t>
      </w:r>
      <w:r w:rsidRPr="00A54361">
        <w:rPr>
          <w:rFonts w:eastAsia="Times New Roman" w:cstheme="minorHAnsi"/>
        </w:rPr>
        <w:t>the</w:t>
      </w:r>
      <w:r w:rsidRPr="00A54361">
        <w:rPr>
          <w:rFonts w:eastAsia="Times New Roman" w:cstheme="minorHAnsi"/>
          <w:spacing w:val="-8"/>
        </w:rPr>
        <w:t xml:space="preserve"> </w:t>
      </w:r>
      <w:r w:rsidRPr="00A54361">
        <w:rPr>
          <w:rFonts w:eastAsia="Times New Roman" w:cstheme="minorHAnsi"/>
        </w:rPr>
        <w:t>A</w:t>
      </w:r>
      <w:r w:rsidRPr="00A54361">
        <w:rPr>
          <w:rFonts w:eastAsia="Times New Roman" w:cstheme="minorHAnsi"/>
          <w:spacing w:val="-3"/>
        </w:rPr>
        <w:t>g</w:t>
      </w:r>
      <w:r w:rsidRPr="00A54361">
        <w:rPr>
          <w:rFonts w:eastAsia="Times New Roman" w:cstheme="minorHAnsi"/>
          <w:spacing w:val="-1"/>
        </w:rPr>
        <w:t>e</w:t>
      </w:r>
      <w:r w:rsidRPr="00A54361">
        <w:rPr>
          <w:rFonts w:eastAsia="Times New Roman" w:cstheme="minorHAnsi"/>
          <w:spacing w:val="2"/>
        </w:rPr>
        <w:t>n</w:t>
      </w:r>
      <w:r w:rsidRPr="00A54361">
        <w:rPr>
          <w:rFonts w:eastAsia="Times New Roman" w:cstheme="minorHAnsi"/>
          <w:spacing w:val="4"/>
        </w:rPr>
        <w:t>c</w:t>
      </w:r>
      <w:r w:rsidRPr="00A54361">
        <w:rPr>
          <w:rFonts w:eastAsia="Times New Roman" w:cstheme="minorHAnsi"/>
        </w:rPr>
        <w:t>y</w:t>
      </w:r>
      <w:r w:rsidRPr="00A54361">
        <w:rPr>
          <w:rFonts w:eastAsia="Times New Roman" w:cstheme="minorHAnsi"/>
          <w:spacing w:val="-12"/>
        </w:rPr>
        <w:t xml:space="preserve"> </w:t>
      </w:r>
      <w:r w:rsidRPr="00A54361">
        <w:rPr>
          <w:rFonts w:eastAsia="Times New Roman" w:cstheme="minorHAnsi"/>
          <w:spacing w:val="-1"/>
        </w:rPr>
        <w:t>a</w:t>
      </w:r>
      <w:r w:rsidRPr="00A54361">
        <w:rPr>
          <w:rFonts w:eastAsia="Times New Roman" w:cstheme="minorHAnsi"/>
        </w:rPr>
        <w:t>nd</w:t>
      </w:r>
      <w:r w:rsidRPr="00A54361">
        <w:rPr>
          <w:rFonts w:eastAsia="Times New Roman" w:cstheme="minorHAnsi"/>
          <w:spacing w:val="-7"/>
        </w:rPr>
        <w:t xml:space="preserve"> </w:t>
      </w:r>
      <w:r w:rsidRPr="00A54361">
        <w:rPr>
          <w:rFonts w:eastAsia="Times New Roman" w:cstheme="minorHAnsi"/>
        </w:rPr>
        <w:t>i</w:t>
      </w:r>
      <w:r w:rsidRPr="00A54361">
        <w:rPr>
          <w:rFonts w:eastAsia="Times New Roman" w:cstheme="minorHAnsi"/>
          <w:spacing w:val="1"/>
        </w:rPr>
        <w:t>t</w:t>
      </w:r>
      <w:r w:rsidRPr="00A54361">
        <w:rPr>
          <w:rFonts w:eastAsia="Times New Roman" w:cstheme="minorHAnsi"/>
        </w:rPr>
        <w:t>s</w:t>
      </w:r>
      <w:r w:rsidRPr="00A54361">
        <w:rPr>
          <w:rFonts w:eastAsia="Times New Roman" w:cstheme="minorHAnsi"/>
          <w:spacing w:val="-7"/>
        </w:rPr>
        <w:t xml:space="preserve"> </w:t>
      </w:r>
      <w:r w:rsidRPr="00A54361">
        <w:rPr>
          <w:rFonts w:eastAsia="Times New Roman" w:cstheme="minorHAnsi"/>
        </w:rPr>
        <w:t>in</w:t>
      </w:r>
      <w:r w:rsidRPr="00A54361">
        <w:rPr>
          <w:rFonts w:eastAsia="Times New Roman" w:cstheme="minorHAnsi"/>
          <w:spacing w:val="1"/>
        </w:rPr>
        <w:t>t</w:t>
      </w:r>
      <w:r w:rsidRPr="00A54361">
        <w:rPr>
          <w:rFonts w:eastAsia="Times New Roman" w:cstheme="minorHAnsi"/>
          <w:spacing w:val="-1"/>
        </w:rPr>
        <w:t>e</w:t>
      </w:r>
      <w:r w:rsidRPr="00A54361">
        <w:rPr>
          <w:rFonts w:eastAsia="Times New Roman" w:cstheme="minorHAnsi"/>
          <w:spacing w:val="1"/>
        </w:rPr>
        <w:t>r</w:t>
      </w:r>
      <w:r w:rsidRPr="00A54361">
        <w:rPr>
          <w:rFonts w:eastAsia="Times New Roman" w:cstheme="minorHAnsi"/>
        </w:rPr>
        <w:t>-</w:t>
      </w:r>
      <w:r w:rsidRPr="00A54361">
        <w:rPr>
          <w:rFonts w:eastAsia="Times New Roman" w:cstheme="minorHAnsi"/>
          <w:spacing w:val="-1"/>
        </w:rPr>
        <w:t>c</w:t>
      </w:r>
      <w:r w:rsidRPr="00A54361">
        <w:rPr>
          <w:rFonts w:eastAsia="Times New Roman" w:cstheme="minorHAnsi"/>
        </w:rPr>
        <w:t>onn</w:t>
      </w:r>
      <w:r w:rsidRPr="00A54361">
        <w:rPr>
          <w:rFonts w:eastAsia="Times New Roman" w:cstheme="minorHAnsi"/>
          <w:spacing w:val="-1"/>
        </w:rPr>
        <w:t>ec</w:t>
      </w:r>
      <w:r w:rsidRPr="00A54361">
        <w:rPr>
          <w:rFonts w:eastAsia="Times New Roman" w:cstheme="minorHAnsi"/>
        </w:rPr>
        <w:t>ted</w:t>
      </w:r>
      <w:r w:rsidRPr="00A54361">
        <w:rPr>
          <w:rFonts w:eastAsia="Times New Roman" w:cstheme="minorHAnsi"/>
          <w:spacing w:val="2"/>
        </w:rPr>
        <w:t xml:space="preserve"> A</w:t>
      </w:r>
      <w:r w:rsidRPr="00A54361">
        <w:rPr>
          <w:rFonts w:eastAsia="Times New Roman" w:cstheme="minorHAnsi"/>
          <w:spacing w:val="-2"/>
        </w:rPr>
        <w:t>g</w:t>
      </w:r>
      <w:r w:rsidRPr="00A54361">
        <w:rPr>
          <w:rFonts w:eastAsia="Times New Roman" w:cstheme="minorHAnsi"/>
          <w:spacing w:val="-1"/>
        </w:rPr>
        <w:t>e</w:t>
      </w:r>
      <w:r w:rsidRPr="00A54361">
        <w:rPr>
          <w:rFonts w:eastAsia="Times New Roman" w:cstheme="minorHAnsi"/>
        </w:rPr>
        <w:t>n</w:t>
      </w:r>
      <w:r w:rsidRPr="00A54361">
        <w:rPr>
          <w:rFonts w:eastAsia="Times New Roman" w:cstheme="minorHAnsi"/>
          <w:spacing w:val="-1"/>
        </w:rPr>
        <w:t>cies</w:t>
      </w:r>
      <w:r w:rsidRPr="00A54361">
        <w:rPr>
          <w:rFonts w:eastAsia="Times New Roman" w:cstheme="minorHAnsi"/>
        </w:rPr>
        <w:t>.</w:t>
      </w:r>
    </w:p>
    <w:p w14:paraId="240516B0" w14:textId="77777777" w:rsidR="0054549F" w:rsidRPr="00A54361" w:rsidRDefault="0054549F" w:rsidP="00A54361">
      <w:pPr>
        <w:pStyle w:val="ListParagraph"/>
        <w:numPr>
          <w:ilvl w:val="1"/>
          <w:numId w:val="42"/>
        </w:numPr>
        <w:spacing w:before="120" w:after="120"/>
        <w:jc w:val="both"/>
        <w:rPr>
          <w:rFonts w:eastAsia="Times New Roman" w:cstheme="minorHAnsi"/>
        </w:rPr>
      </w:pPr>
      <w:r w:rsidRPr="00A54361">
        <w:rPr>
          <w:rFonts w:eastAsia="Times New Roman" w:cstheme="minorHAnsi"/>
          <w:spacing w:val="-2"/>
        </w:rPr>
        <w:t>B</w:t>
      </w:r>
      <w:r w:rsidRPr="00A54361">
        <w:rPr>
          <w:rFonts w:eastAsia="Times New Roman" w:cstheme="minorHAnsi"/>
          <w:spacing w:val="-1"/>
        </w:rPr>
        <w:t>a</w:t>
      </w:r>
      <w:r w:rsidRPr="00A54361">
        <w:rPr>
          <w:rFonts w:eastAsia="Times New Roman" w:cstheme="minorHAnsi"/>
        </w:rPr>
        <w:t>s</w:t>
      </w:r>
      <w:r w:rsidRPr="00A54361">
        <w:rPr>
          <w:rFonts w:eastAsia="Times New Roman" w:cstheme="minorHAnsi"/>
          <w:spacing w:val="-1"/>
        </w:rPr>
        <w:t>e</w:t>
      </w:r>
      <w:r w:rsidRPr="00A54361">
        <w:rPr>
          <w:rFonts w:eastAsia="Times New Roman" w:cstheme="minorHAnsi"/>
        </w:rPr>
        <w:t>d</w:t>
      </w:r>
      <w:r w:rsidRPr="00A54361">
        <w:rPr>
          <w:rFonts w:eastAsia="Times New Roman" w:cstheme="minorHAnsi"/>
          <w:spacing w:val="-10"/>
        </w:rPr>
        <w:t xml:space="preserve"> </w:t>
      </w:r>
      <w:r w:rsidRPr="00A54361">
        <w:rPr>
          <w:rFonts w:eastAsia="Times New Roman" w:cstheme="minorHAnsi"/>
        </w:rPr>
        <w:t>on</w:t>
      </w:r>
      <w:r w:rsidRPr="00A54361">
        <w:rPr>
          <w:rFonts w:eastAsia="Times New Roman" w:cstheme="minorHAnsi"/>
          <w:spacing w:val="-10"/>
        </w:rPr>
        <w:t xml:space="preserve"> </w:t>
      </w:r>
      <w:r w:rsidRPr="00A54361">
        <w:rPr>
          <w:rFonts w:eastAsia="Times New Roman" w:cstheme="minorHAnsi"/>
        </w:rPr>
        <w:t>the</w:t>
      </w:r>
      <w:r w:rsidRPr="00A54361">
        <w:rPr>
          <w:rFonts w:eastAsia="Times New Roman" w:cstheme="minorHAnsi"/>
          <w:spacing w:val="-10"/>
        </w:rPr>
        <w:t xml:space="preserve"> </w:t>
      </w:r>
      <w:r w:rsidRPr="00A54361">
        <w:rPr>
          <w:rFonts w:eastAsia="Times New Roman" w:cstheme="minorHAnsi"/>
          <w:spacing w:val="-1"/>
        </w:rPr>
        <w:t>a</w:t>
      </w:r>
      <w:r w:rsidRPr="00A54361">
        <w:rPr>
          <w:rFonts w:eastAsia="Times New Roman" w:cstheme="minorHAnsi"/>
        </w:rPr>
        <w:t>bov</w:t>
      </w:r>
      <w:r w:rsidRPr="00A54361">
        <w:rPr>
          <w:rFonts w:eastAsia="Times New Roman" w:cstheme="minorHAnsi"/>
          <w:spacing w:val="-1"/>
        </w:rPr>
        <w:t>e</w:t>
      </w:r>
      <w:r w:rsidRPr="00A54361">
        <w:rPr>
          <w:rFonts w:eastAsia="Times New Roman" w:cstheme="minorHAnsi"/>
        </w:rPr>
        <w:t>,</w:t>
      </w:r>
      <w:r w:rsidRPr="00A54361">
        <w:rPr>
          <w:rFonts w:eastAsia="Times New Roman" w:cstheme="minorHAnsi"/>
          <w:spacing w:val="-10"/>
        </w:rPr>
        <w:t xml:space="preserve"> </w:t>
      </w:r>
      <w:r w:rsidRPr="00A54361">
        <w:rPr>
          <w:rFonts w:eastAsia="Times New Roman" w:cstheme="minorHAnsi"/>
          <w:spacing w:val="-3"/>
        </w:rPr>
        <w:t>Z</w:t>
      </w:r>
      <w:r w:rsidRPr="00A54361">
        <w:rPr>
          <w:rFonts w:eastAsia="Times New Roman" w:cstheme="minorHAnsi"/>
        </w:rPr>
        <w:t>on</w:t>
      </w:r>
      <w:r w:rsidRPr="00A54361">
        <w:rPr>
          <w:rFonts w:eastAsia="Times New Roman" w:cstheme="minorHAnsi"/>
          <w:spacing w:val="-1"/>
        </w:rPr>
        <w:t>a</w:t>
      </w:r>
      <w:r w:rsidRPr="00A54361">
        <w:rPr>
          <w:rFonts w:eastAsia="Times New Roman" w:cstheme="minorHAnsi"/>
        </w:rPr>
        <w:t>l</w:t>
      </w:r>
      <w:r w:rsidRPr="00A54361">
        <w:rPr>
          <w:rFonts w:eastAsia="Times New Roman" w:cstheme="minorHAnsi"/>
          <w:spacing w:val="-9"/>
        </w:rPr>
        <w:t xml:space="preserve"> </w:t>
      </w:r>
      <w:r w:rsidRPr="00A54361">
        <w:rPr>
          <w:rFonts w:eastAsia="Times New Roman" w:cstheme="minorHAnsi"/>
        </w:rPr>
        <w:t>O</w:t>
      </w:r>
      <w:r w:rsidRPr="00A54361">
        <w:rPr>
          <w:rFonts w:eastAsia="Times New Roman" w:cstheme="minorHAnsi"/>
          <w:spacing w:val="1"/>
        </w:rPr>
        <w:t>f</w:t>
      </w:r>
      <w:r w:rsidRPr="00A54361">
        <w:rPr>
          <w:rFonts w:eastAsia="Times New Roman" w:cstheme="minorHAnsi"/>
        </w:rPr>
        <w:t>fi</w:t>
      </w:r>
      <w:r w:rsidRPr="00A54361">
        <w:rPr>
          <w:rFonts w:eastAsia="Times New Roman" w:cstheme="minorHAnsi"/>
          <w:spacing w:val="-1"/>
        </w:rPr>
        <w:t>ce</w:t>
      </w:r>
      <w:r w:rsidRPr="00A54361">
        <w:rPr>
          <w:rFonts w:eastAsia="Times New Roman" w:cstheme="minorHAnsi"/>
        </w:rPr>
        <w:t>s</w:t>
      </w:r>
      <w:r w:rsidRPr="00A54361">
        <w:rPr>
          <w:rFonts w:eastAsia="Times New Roman" w:cstheme="minorHAnsi"/>
          <w:spacing w:val="-9"/>
        </w:rPr>
        <w:t xml:space="preserve"> </w:t>
      </w:r>
      <w:r w:rsidRPr="00A54361">
        <w:rPr>
          <w:rFonts w:eastAsia="Times New Roman" w:cstheme="minorHAnsi"/>
        </w:rPr>
        <w:t>m</w:t>
      </w:r>
      <w:r w:rsidRPr="00A54361">
        <w:rPr>
          <w:rFonts w:eastAsia="Times New Roman" w:cstheme="minorHAnsi"/>
          <w:spacing w:val="4"/>
        </w:rPr>
        <w:t>a</w:t>
      </w:r>
      <w:r w:rsidRPr="00A54361">
        <w:rPr>
          <w:rFonts w:eastAsia="Times New Roman" w:cstheme="minorHAnsi"/>
        </w:rPr>
        <w:t>y</w:t>
      </w:r>
      <w:r w:rsidRPr="00A54361">
        <w:rPr>
          <w:rFonts w:eastAsia="Times New Roman" w:cstheme="minorHAnsi"/>
          <w:spacing w:val="-14"/>
        </w:rPr>
        <w:t xml:space="preserve"> </w:t>
      </w:r>
      <w:r w:rsidRPr="00A54361">
        <w:rPr>
          <w:rFonts w:eastAsia="Times New Roman" w:cstheme="minorHAnsi"/>
        </w:rPr>
        <w:t>fo</w:t>
      </w:r>
      <w:r w:rsidRPr="00A54361">
        <w:rPr>
          <w:rFonts w:eastAsia="Times New Roman" w:cstheme="minorHAnsi"/>
          <w:spacing w:val="-1"/>
        </w:rPr>
        <w:t>r</w:t>
      </w:r>
      <w:r w:rsidRPr="00A54361">
        <w:rPr>
          <w:rFonts w:eastAsia="Times New Roman" w:cstheme="minorHAnsi"/>
        </w:rPr>
        <w:t>m</w:t>
      </w:r>
      <w:r w:rsidRPr="00A54361">
        <w:rPr>
          <w:rFonts w:eastAsia="Times New Roman" w:cstheme="minorHAnsi"/>
          <w:spacing w:val="3"/>
        </w:rPr>
        <w:t>u</w:t>
      </w:r>
      <w:r w:rsidRPr="00A54361">
        <w:rPr>
          <w:rFonts w:eastAsia="Times New Roman" w:cstheme="minorHAnsi"/>
        </w:rPr>
        <w:t>late</w:t>
      </w:r>
      <w:r w:rsidRPr="00A54361">
        <w:rPr>
          <w:rFonts w:eastAsia="Times New Roman" w:cstheme="minorHAnsi"/>
          <w:spacing w:val="-11"/>
        </w:rPr>
        <w:t xml:space="preserve"> </w:t>
      </w:r>
      <w:r w:rsidRPr="00A54361">
        <w:rPr>
          <w:rFonts w:eastAsia="Times New Roman" w:cstheme="minorHAnsi"/>
        </w:rPr>
        <w:t>their</w:t>
      </w:r>
      <w:r w:rsidRPr="00A54361">
        <w:rPr>
          <w:rFonts w:eastAsia="Times New Roman" w:cstheme="minorHAnsi"/>
          <w:spacing w:val="-10"/>
        </w:rPr>
        <w:t xml:space="preserve"> </w:t>
      </w:r>
      <w:r w:rsidRPr="00A54361">
        <w:rPr>
          <w:rFonts w:eastAsia="Times New Roman" w:cstheme="minorHAnsi"/>
        </w:rPr>
        <w:t>own</w:t>
      </w:r>
      <w:r w:rsidRPr="00A54361">
        <w:rPr>
          <w:rFonts w:eastAsia="Times New Roman" w:cstheme="minorHAnsi"/>
          <w:spacing w:val="-10"/>
        </w:rPr>
        <w:t xml:space="preserve"> </w:t>
      </w:r>
      <w:r w:rsidRPr="00A54361">
        <w:rPr>
          <w:rFonts w:eastAsia="Times New Roman" w:cstheme="minorHAnsi"/>
        </w:rPr>
        <w:t>pro</w:t>
      </w:r>
      <w:r w:rsidRPr="00A54361">
        <w:rPr>
          <w:rFonts w:eastAsia="Times New Roman" w:cstheme="minorHAnsi"/>
          <w:spacing w:val="-2"/>
        </w:rPr>
        <w:t>c</w:t>
      </w:r>
      <w:r w:rsidRPr="00A54361">
        <w:rPr>
          <w:rFonts w:eastAsia="Times New Roman" w:cstheme="minorHAnsi"/>
          <w:spacing w:val="-1"/>
        </w:rPr>
        <w:t>e</w:t>
      </w:r>
      <w:r w:rsidRPr="00A54361">
        <w:rPr>
          <w:rFonts w:eastAsia="Times New Roman" w:cstheme="minorHAnsi"/>
        </w:rPr>
        <w:t>dure</w:t>
      </w:r>
      <w:r w:rsidRPr="00A54361">
        <w:rPr>
          <w:rFonts w:eastAsia="Times New Roman" w:cstheme="minorHAnsi"/>
          <w:spacing w:val="-11"/>
        </w:rPr>
        <w:t xml:space="preserve"> </w:t>
      </w:r>
      <w:r w:rsidRPr="00A54361">
        <w:rPr>
          <w:rFonts w:eastAsia="Times New Roman" w:cstheme="minorHAnsi"/>
          <w:spacing w:val="1"/>
        </w:rPr>
        <w:t>f</w:t>
      </w:r>
      <w:r w:rsidRPr="00A54361">
        <w:rPr>
          <w:rFonts w:eastAsia="Times New Roman" w:cstheme="minorHAnsi"/>
        </w:rPr>
        <w:t>or</w:t>
      </w:r>
      <w:r w:rsidRPr="00A54361">
        <w:rPr>
          <w:rFonts w:eastAsia="Times New Roman" w:cstheme="minorHAnsi"/>
          <w:spacing w:val="-10"/>
        </w:rPr>
        <w:t xml:space="preserve"> </w:t>
      </w:r>
      <w:r w:rsidRPr="00A54361">
        <w:rPr>
          <w:rFonts w:eastAsia="Times New Roman" w:cstheme="minorHAnsi"/>
        </w:rPr>
        <w:t>i</w:t>
      </w:r>
      <w:r w:rsidRPr="00A54361">
        <w:rPr>
          <w:rFonts w:eastAsia="Times New Roman" w:cstheme="minorHAnsi"/>
          <w:spacing w:val="1"/>
        </w:rPr>
        <w:t>m</w:t>
      </w:r>
      <w:r w:rsidRPr="00A54361">
        <w:rPr>
          <w:rFonts w:eastAsia="Times New Roman" w:cstheme="minorHAnsi"/>
        </w:rPr>
        <w:t>plem</w:t>
      </w:r>
      <w:r w:rsidRPr="00A54361">
        <w:rPr>
          <w:rFonts w:eastAsia="Times New Roman" w:cstheme="minorHAnsi"/>
          <w:spacing w:val="-1"/>
        </w:rPr>
        <w:t>e</w:t>
      </w:r>
      <w:r w:rsidRPr="00A54361">
        <w:rPr>
          <w:rFonts w:eastAsia="Times New Roman" w:cstheme="minorHAnsi"/>
        </w:rPr>
        <w:t>ntation of the</w:t>
      </w:r>
      <w:r w:rsidRPr="00A54361">
        <w:rPr>
          <w:rFonts w:eastAsia="Times New Roman" w:cstheme="minorHAnsi"/>
          <w:spacing w:val="-1"/>
        </w:rPr>
        <w:t xml:space="preserve"> </w:t>
      </w:r>
      <w:r w:rsidRPr="00A54361">
        <w:rPr>
          <w:rFonts w:eastAsia="Times New Roman" w:cstheme="minorHAnsi"/>
        </w:rPr>
        <w:t>Guid</w:t>
      </w:r>
      <w:r w:rsidRPr="00A54361">
        <w:rPr>
          <w:rFonts w:eastAsia="Times New Roman" w:cstheme="minorHAnsi"/>
          <w:spacing w:val="-1"/>
        </w:rPr>
        <w:t>e</w:t>
      </w:r>
      <w:r w:rsidRPr="00A54361">
        <w:rPr>
          <w:rFonts w:eastAsia="Times New Roman" w:cstheme="minorHAnsi"/>
        </w:rPr>
        <w:t>l</w:t>
      </w:r>
      <w:r w:rsidRPr="00A54361">
        <w:rPr>
          <w:rFonts w:eastAsia="Times New Roman" w:cstheme="minorHAnsi"/>
          <w:spacing w:val="1"/>
        </w:rPr>
        <w:t>i</w:t>
      </w:r>
      <w:r w:rsidRPr="00A54361">
        <w:rPr>
          <w:rFonts w:eastAsia="Times New Roman" w:cstheme="minorHAnsi"/>
        </w:rPr>
        <w:t>n</w:t>
      </w:r>
      <w:r w:rsidRPr="00A54361">
        <w:rPr>
          <w:rFonts w:eastAsia="Times New Roman" w:cstheme="minorHAnsi"/>
          <w:spacing w:val="-1"/>
        </w:rPr>
        <w:t>e</w:t>
      </w:r>
      <w:r w:rsidRPr="00A54361">
        <w:rPr>
          <w:rFonts w:eastAsia="Times New Roman" w:cstheme="minorHAnsi"/>
        </w:rPr>
        <w:t xml:space="preserve">s </w:t>
      </w:r>
      <w:r w:rsidRPr="00A54361">
        <w:rPr>
          <w:rFonts w:eastAsia="Times New Roman" w:cstheme="minorHAnsi"/>
          <w:spacing w:val="-1"/>
        </w:rPr>
        <w:t>a</w:t>
      </w:r>
      <w:r w:rsidRPr="00A54361">
        <w:rPr>
          <w:rFonts w:eastAsia="Times New Roman" w:cstheme="minorHAnsi"/>
        </w:rPr>
        <w:t>nd s</w:t>
      </w:r>
      <w:r w:rsidRPr="00A54361">
        <w:rPr>
          <w:rFonts w:eastAsia="Times New Roman" w:cstheme="minorHAnsi"/>
          <w:spacing w:val="1"/>
        </w:rPr>
        <w:t>a</w:t>
      </w:r>
      <w:r w:rsidRPr="00A54361">
        <w:rPr>
          <w:rFonts w:eastAsia="Times New Roman" w:cstheme="minorHAnsi"/>
        </w:rPr>
        <w:t>me be</w:t>
      </w:r>
      <w:r w:rsidRPr="00A54361">
        <w:rPr>
          <w:rFonts w:eastAsia="Times New Roman" w:cstheme="minorHAnsi"/>
          <w:spacing w:val="-1"/>
        </w:rPr>
        <w:t xml:space="preserve"> </w:t>
      </w:r>
      <w:r w:rsidRPr="00A54361">
        <w:rPr>
          <w:rFonts w:eastAsia="Times New Roman" w:cstheme="minorHAnsi"/>
        </w:rPr>
        <w:t>made</w:t>
      </w:r>
      <w:r w:rsidRPr="00A54361">
        <w:rPr>
          <w:rFonts w:eastAsia="Times New Roman" w:cstheme="minorHAnsi"/>
          <w:spacing w:val="1"/>
        </w:rPr>
        <w:t xml:space="preserve"> </w:t>
      </w:r>
      <w:r w:rsidRPr="00A54361">
        <w:rPr>
          <w:rFonts w:eastAsia="Times New Roman" w:cstheme="minorHAnsi"/>
        </w:rPr>
        <w:t>a</w:t>
      </w:r>
      <w:r w:rsidRPr="00A54361">
        <w:rPr>
          <w:rFonts w:eastAsia="Times New Roman" w:cstheme="minorHAnsi"/>
          <w:spacing w:val="-1"/>
        </w:rPr>
        <w:t xml:space="preserve"> </w:t>
      </w:r>
      <w:r w:rsidRPr="00A54361">
        <w:rPr>
          <w:rFonts w:eastAsia="Times New Roman" w:cstheme="minorHAnsi"/>
        </w:rPr>
        <w:t>p</w:t>
      </w:r>
      <w:r w:rsidRPr="00A54361">
        <w:rPr>
          <w:rFonts w:eastAsia="Times New Roman" w:cstheme="minorHAnsi"/>
          <w:spacing w:val="-1"/>
        </w:rPr>
        <w:t>a</w:t>
      </w:r>
      <w:r w:rsidRPr="00A54361">
        <w:rPr>
          <w:rFonts w:eastAsia="Times New Roman" w:cstheme="minorHAnsi"/>
        </w:rPr>
        <w:t>rt of</w:t>
      </w:r>
      <w:r w:rsidRPr="00A54361">
        <w:rPr>
          <w:rFonts w:eastAsia="Times New Roman" w:cstheme="minorHAnsi"/>
          <w:spacing w:val="-1"/>
        </w:rPr>
        <w:t xml:space="preserve"> </w:t>
      </w:r>
      <w:r w:rsidRPr="00A54361">
        <w:rPr>
          <w:rFonts w:eastAsia="Times New Roman" w:cstheme="minorHAnsi"/>
        </w:rPr>
        <w:t>t</w:t>
      </w:r>
      <w:r w:rsidRPr="00A54361">
        <w:rPr>
          <w:rFonts w:eastAsia="Times New Roman" w:cstheme="minorHAnsi"/>
          <w:spacing w:val="3"/>
        </w:rPr>
        <w:t>h</w:t>
      </w:r>
      <w:r w:rsidRPr="00A54361">
        <w:rPr>
          <w:rFonts w:eastAsia="Times New Roman" w:cstheme="minorHAnsi"/>
        </w:rPr>
        <w:t>e</w:t>
      </w:r>
      <w:r w:rsidRPr="00A54361">
        <w:rPr>
          <w:rFonts w:eastAsia="Times New Roman" w:cstheme="minorHAnsi"/>
          <w:spacing w:val="1"/>
        </w:rPr>
        <w:t xml:space="preserve"> </w:t>
      </w:r>
      <w:r w:rsidRPr="00A54361">
        <w:rPr>
          <w:rFonts w:eastAsia="Times New Roman" w:cstheme="minorHAnsi"/>
        </w:rPr>
        <w:t>tend</w:t>
      </w:r>
      <w:r w:rsidRPr="00A54361">
        <w:rPr>
          <w:rFonts w:eastAsia="Times New Roman" w:cstheme="minorHAnsi"/>
          <w:spacing w:val="-1"/>
        </w:rPr>
        <w:t>e</w:t>
      </w:r>
      <w:r w:rsidRPr="00A54361">
        <w:rPr>
          <w:rFonts w:eastAsia="Times New Roman" w:cstheme="minorHAnsi"/>
        </w:rPr>
        <w:t>r do</w:t>
      </w:r>
      <w:r w:rsidRPr="00A54361">
        <w:rPr>
          <w:rFonts w:eastAsia="Times New Roman" w:cstheme="minorHAnsi"/>
          <w:spacing w:val="-2"/>
        </w:rPr>
        <w:t>c</w:t>
      </w:r>
      <w:r w:rsidRPr="00A54361">
        <w:rPr>
          <w:rFonts w:eastAsia="Times New Roman" w:cstheme="minorHAnsi"/>
        </w:rPr>
        <w:t>uments</w:t>
      </w:r>
    </w:p>
    <w:p w14:paraId="724417A1" w14:textId="77777777" w:rsidR="0054549F" w:rsidRPr="00A54361" w:rsidRDefault="0054549F" w:rsidP="00A54361">
      <w:pPr>
        <w:pBdr>
          <w:bottom w:val="dotted" w:sz="24" w:space="1" w:color="auto"/>
        </w:pBdr>
        <w:jc w:val="both"/>
        <w:rPr>
          <w:rFonts w:cstheme="minorHAnsi"/>
        </w:rPr>
      </w:pPr>
    </w:p>
    <w:p w14:paraId="26F843AB" w14:textId="77777777" w:rsidR="00CF42E0" w:rsidRPr="00A54361" w:rsidRDefault="00CF42E0" w:rsidP="00A54361">
      <w:pPr>
        <w:jc w:val="both"/>
        <w:rPr>
          <w:rFonts w:cstheme="minorHAnsi"/>
        </w:rPr>
      </w:pPr>
      <w:r w:rsidRPr="00A54361">
        <w:rPr>
          <w:rFonts w:cstheme="minorHAnsi"/>
        </w:rPr>
        <w:br w:type="page"/>
      </w:r>
    </w:p>
    <w:p w14:paraId="1D48C32D" w14:textId="0CC02319" w:rsidR="00CF42E0" w:rsidRPr="00A54361" w:rsidRDefault="00463CED" w:rsidP="00A54361">
      <w:pPr>
        <w:pStyle w:val="Heading1"/>
        <w:numPr>
          <w:ilvl w:val="0"/>
          <w:numId w:val="48"/>
        </w:numPr>
        <w:spacing w:before="120" w:after="120"/>
        <w:jc w:val="both"/>
        <w:rPr>
          <w:b/>
          <w:bCs/>
          <w:color w:val="auto"/>
          <w:sz w:val="28"/>
          <w:szCs w:val="28"/>
        </w:rPr>
      </w:pPr>
      <w:bookmarkStart w:id="297" w:name="_Toc181281754"/>
      <w:bookmarkStart w:id="298" w:name="_Toc182233426"/>
      <w:r>
        <w:rPr>
          <w:b/>
          <w:bCs/>
          <w:color w:val="auto"/>
          <w:sz w:val="28"/>
          <w:szCs w:val="28"/>
        </w:rPr>
        <w:t>Annexure 20</w:t>
      </w:r>
      <w:r w:rsidR="00CF42E0" w:rsidRPr="00A54361">
        <w:rPr>
          <w:b/>
          <w:bCs/>
          <w:color w:val="auto"/>
          <w:sz w:val="28"/>
          <w:szCs w:val="28"/>
        </w:rPr>
        <w:t>: Compliance Certificate with respect to RBI’s “Master Direction on Outsourcing of Information Technology Services”</w:t>
      </w:r>
      <w:bookmarkEnd w:id="297"/>
      <w:bookmarkEnd w:id="298"/>
    </w:p>
    <w:p w14:paraId="0B7456D7" w14:textId="77777777" w:rsidR="00CF42E0" w:rsidRPr="00A54361" w:rsidRDefault="00CF42E0" w:rsidP="00A54361">
      <w:pPr>
        <w:pStyle w:val="BodyText"/>
        <w:rPr>
          <w:rFonts w:ascii="Arial"/>
          <w:b/>
          <w:sz w:val="26"/>
        </w:rPr>
      </w:pPr>
    </w:p>
    <w:p w14:paraId="09342025" w14:textId="77777777" w:rsidR="00CF42E0" w:rsidRPr="00A54361" w:rsidRDefault="00CF42E0" w:rsidP="00A54361">
      <w:pPr>
        <w:pStyle w:val="BodyText"/>
        <w:spacing w:before="4"/>
        <w:rPr>
          <w:rFonts w:ascii="Arial"/>
          <w:b/>
          <w:sz w:val="22"/>
        </w:rPr>
      </w:pPr>
    </w:p>
    <w:p w14:paraId="2FC1DB19" w14:textId="77777777" w:rsidR="00CF42E0" w:rsidRPr="00A54361" w:rsidRDefault="00CF42E0" w:rsidP="00A54361">
      <w:pPr>
        <w:pStyle w:val="BodyText"/>
        <w:spacing w:line="244" w:lineRule="auto"/>
        <w:ind w:left="388" w:right="434"/>
        <w:rPr>
          <w:rFonts w:asciiTheme="minorHAnsi" w:hAnsiTheme="minorHAnsi" w:cstheme="minorHAnsi"/>
          <w:sz w:val="22"/>
          <w:szCs w:val="22"/>
        </w:rPr>
      </w:pPr>
      <w:r w:rsidRPr="00A54361">
        <w:rPr>
          <w:rFonts w:asciiTheme="minorHAnsi" w:hAnsiTheme="minorHAnsi" w:cstheme="minorHAnsi"/>
          <w:spacing w:val="-1"/>
          <w:sz w:val="22"/>
          <w:szCs w:val="22"/>
        </w:rPr>
        <w:t>(This</w:t>
      </w:r>
      <w:r w:rsidRPr="00A54361">
        <w:rPr>
          <w:rFonts w:asciiTheme="minorHAnsi" w:hAnsiTheme="minorHAnsi" w:cstheme="minorHAnsi"/>
          <w:spacing w:val="-15"/>
          <w:sz w:val="22"/>
          <w:szCs w:val="22"/>
        </w:rPr>
        <w:t xml:space="preserve"> </w:t>
      </w:r>
      <w:r w:rsidRPr="00A54361">
        <w:rPr>
          <w:rFonts w:asciiTheme="minorHAnsi" w:hAnsiTheme="minorHAnsi" w:cstheme="minorHAnsi"/>
          <w:spacing w:val="-1"/>
          <w:sz w:val="22"/>
          <w:szCs w:val="22"/>
        </w:rPr>
        <w:t>letter</w:t>
      </w:r>
      <w:r w:rsidRPr="00A54361">
        <w:rPr>
          <w:rFonts w:asciiTheme="minorHAnsi" w:hAnsiTheme="minorHAnsi" w:cstheme="minorHAnsi"/>
          <w:spacing w:val="-14"/>
          <w:sz w:val="22"/>
          <w:szCs w:val="22"/>
        </w:rPr>
        <w:t xml:space="preserve"> </w:t>
      </w:r>
      <w:r w:rsidRPr="00A54361">
        <w:rPr>
          <w:rFonts w:asciiTheme="minorHAnsi" w:hAnsiTheme="minorHAnsi" w:cstheme="minorHAnsi"/>
          <w:spacing w:val="-1"/>
          <w:sz w:val="22"/>
          <w:szCs w:val="22"/>
        </w:rPr>
        <w:t>should</w:t>
      </w:r>
      <w:r w:rsidRPr="00A54361">
        <w:rPr>
          <w:rFonts w:asciiTheme="minorHAnsi" w:hAnsiTheme="minorHAnsi" w:cstheme="minorHAnsi"/>
          <w:spacing w:val="-14"/>
          <w:sz w:val="22"/>
          <w:szCs w:val="22"/>
        </w:rPr>
        <w:t xml:space="preserve"> </w:t>
      </w:r>
      <w:r w:rsidRPr="00A54361">
        <w:rPr>
          <w:rFonts w:asciiTheme="minorHAnsi" w:hAnsiTheme="minorHAnsi" w:cstheme="minorHAnsi"/>
          <w:spacing w:val="-1"/>
          <w:sz w:val="22"/>
          <w:szCs w:val="22"/>
        </w:rPr>
        <w:t>be</w:t>
      </w:r>
      <w:r w:rsidRPr="00A54361">
        <w:rPr>
          <w:rFonts w:asciiTheme="minorHAnsi" w:hAnsiTheme="minorHAnsi" w:cstheme="minorHAnsi"/>
          <w:spacing w:val="-14"/>
          <w:sz w:val="22"/>
          <w:szCs w:val="22"/>
        </w:rPr>
        <w:t xml:space="preserve"> </w:t>
      </w:r>
      <w:r w:rsidRPr="00A54361">
        <w:rPr>
          <w:rFonts w:asciiTheme="minorHAnsi" w:hAnsiTheme="minorHAnsi" w:cstheme="minorHAnsi"/>
          <w:spacing w:val="-1"/>
          <w:sz w:val="22"/>
          <w:szCs w:val="22"/>
        </w:rPr>
        <w:t>on</w:t>
      </w:r>
      <w:r w:rsidRPr="00A54361">
        <w:rPr>
          <w:rFonts w:asciiTheme="minorHAnsi" w:hAnsiTheme="minorHAnsi" w:cstheme="minorHAnsi"/>
          <w:spacing w:val="-14"/>
          <w:sz w:val="22"/>
          <w:szCs w:val="22"/>
        </w:rPr>
        <w:t xml:space="preserve"> </w:t>
      </w:r>
      <w:r w:rsidRPr="00A54361">
        <w:rPr>
          <w:rFonts w:asciiTheme="minorHAnsi" w:hAnsiTheme="minorHAnsi" w:cstheme="minorHAnsi"/>
          <w:spacing w:val="-1"/>
          <w:sz w:val="22"/>
          <w:szCs w:val="22"/>
        </w:rPr>
        <w:t>the</w:t>
      </w:r>
      <w:r w:rsidRPr="00A54361">
        <w:rPr>
          <w:rFonts w:asciiTheme="minorHAnsi" w:hAnsiTheme="minorHAnsi" w:cstheme="minorHAnsi"/>
          <w:spacing w:val="-12"/>
          <w:sz w:val="22"/>
          <w:szCs w:val="22"/>
        </w:rPr>
        <w:t xml:space="preserve"> </w:t>
      </w:r>
      <w:r w:rsidRPr="00A54361">
        <w:rPr>
          <w:rFonts w:asciiTheme="minorHAnsi" w:hAnsiTheme="minorHAnsi" w:cstheme="minorHAnsi"/>
          <w:spacing w:val="-1"/>
          <w:sz w:val="22"/>
          <w:szCs w:val="22"/>
        </w:rPr>
        <w:t>letterhead</w:t>
      </w:r>
      <w:r w:rsidRPr="00A54361">
        <w:rPr>
          <w:rFonts w:asciiTheme="minorHAnsi" w:hAnsiTheme="minorHAnsi" w:cstheme="minorHAnsi"/>
          <w:spacing w:val="-14"/>
          <w:sz w:val="22"/>
          <w:szCs w:val="22"/>
        </w:rPr>
        <w:t xml:space="preserve"> </w:t>
      </w:r>
      <w:r w:rsidRPr="00A54361">
        <w:rPr>
          <w:rFonts w:asciiTheme="minorHAnsi" w:hAnsiTheme="minorHAnsi" w:cstheme="minorHAnsi"/>
          <w:sz w:val="22"/>
          <w:szCs w:val="22"/>
        </w:rPr>
        <w:t>of</w:t>
      </w:r>
      <w:r w:rsidRPr="00A54361">
        <w:rPr>
          <w:rFonts w:asciiTheme="minorHAnsi" w:hAnsiTheme="minorHAnsi" w:cstheme="minorHAnsi"/>
          <w:spacing w:val="-12"/>
          <w:sz w:val="22"/>
          <w:szCs w:val="22"/>
        </w:rPr>
        <w:t xml:space="preserve"> </w:t>
      </w:r>
      <w:r w:rsidRPr="00A54361">
        <w:rPr>
          <w:rFonts w:asciiTheme="minorHAnsi" w:hAnsiTheme="minorHAnsi" w:cstheme="minorHAnsi"/>
          <w:sz w:val="22"/>
          <w:szCs w:val="22"/>
        </w:rPr>
        <w:t>the</w:t>
      </w:r>
      <w:r w:rsidRPr="00A54361">
        <w:rPr>
          <w:rFonts w:asciiTheme="minorHAnsi" w:hAnsiTheme="minorHAnsi" w:cstheme="minorHAnsi"/>
          <w:spacing w:val="-14"/>
          <w:sz w:val="22"/>
          <w:szCs w:val="22"/>
        </w:rPr>
        <w:t xml:space="preserve"> </w:t>
      </w:r>
      <w:r w:rsidRPr="00A54361">
        <w:rPr>
          <w:rFonts w:asciiTheme="minorHAnsi" w:hAnsiTheme="minorHAnsi" w:cstheme="minorHAnsi"/>
          <w:sz w:val="22"/>
          <w:szCs w:val="22"/>
        </w:rPr>
        <w:t>bidder</w:t>
      </w:r>
      <w:r w:rsidRPr="00A54361">
        <w:rPr>
          <w:rFonts w:asciiTheme="minorHAnsi" w:hAnsiTheme="minorHAnsi" w:cstheme="minorHAnsi"/>
          <w:spacing w:val="-1"/>
          <w:sz w:val="22"/>
          <w:szCs w:val="22"/>
        </w:rPr>
        <w:t>)</w:t>
      </w:r>
    </w:p>
    <w:p w14:paraId="3AFF15A4" w14:textId="77777777" w:rsidR="00CF42E0" w:rsidRPr="00A54361" w:rsidRDefault="00CF42E0" w:rsidP="00A54361">
      <w:pPr>
        <w:pStyle w:val="BodyText"/>
        <w:spacing w:before="2"/>
        <w:rPr>
          <w:rFonts w:asciiTheme="minorHAnsi" w:hAnsiTheme="minorHAnsi" w:cstheme="minorHAnsi"/>
          <w:sz w:val="22"/>
          <w:szCs w:val="22"/>
        </w:rPr>
      </w:pPr>
    </w:p>
    <w:p w14:paraId="66EDF9F6" w14:textId="77777777" w:rsidR="00CF42E0" w:rsidRPr="00A54361" w:rsidRDefault="00CF42E0" w:rsidP="00A54361">
      <w:pPr>
        <w:pStyle w:val="BodyText"/>
        <w:spacing w:before="1"/>
        <w:ind w:right="229"/>
        <w:rPr>
          <w:rFonts w:asciiTheme="minorHAnsi" w:hAnsiTheme="minorHAnsi" w:cstheme="minorHAnsi"/>
          <w:spacing w:val="56"/>
          <w:sz w:val="22"/>
          <w:szCs w:val="22"/>
        </w:rPr>
      </w:pPr>
      <w:r w:rsidRPr="00A54361">
        <w:rPr>
          <w:rFonts w:asciiTheme="minorHAnsi" w:hAnsiTheme="minorHAnsi" w:cstheme="minorHAnsi"/>
          <w:sz w:val="22"/>
          <w:szCs w:val="22"/>
        </w:rPr>
        <w:t>Date:</w:t>
      </w:r>
      <w:r w:rsidRPr="00A54361">
        <w:rPr>
          <w:rFonts w:asciiTheme="minorHAnsi" w:hAnsiTheme="minorHAnsi" w:cstheme="minorHAnsi"/>
          <w:sz w:val="22"/>
          <w:szCs w:val="22"/>
        </w:rPr>
        <w:softHyphen/>
      </w:r>
      <w:r w:rsidRPr="00A54361">
        <w:rPr>
          <w:rFonts w:asciiTheme="minorHAnsi" w:hAnsiTheme="minorHAnsi" w:cstheme="minorHAnsi"/>
          <w:sz w:val="22"/>
          <w:szCs w:val="22"/>
        </w:rPr>
        <w:softHyphen/>
      </w:r>
      <w:r w:rsidRPr="00A54361">
        <w:rPr>
          <w:rFonts w:asciiTheme="minorHAnsi" w:hAnsiTheme="minorHAnsi" w:cstheme="minorHAnsi"/>
          <w:sz w:val="22"/>
          <w:szCs w:val="22"/>
        </w:rPr>
        <w:softHyphen/>
      </w:r>
      <w:r w:rsidRPr="00A54361">
        <w:rPr>
          <w:rFonts w:asciiTheme="minorHAnsi" w:hAnsiTheme="minorHAnsi" w:cstheme="minorHAnsi"/>
          <w:sz w:val="22"/>
          <w:szCs w:val="22"/>
        </w:rPr>
        <w:softHyphen/>
      </w:r>
      <w:r w:rsidRPr="00A54361">
        <w:rPr>
          <w:rFonts w:asciiTheme="minorHAnsi" w:hAnsiTheme="minorHAnsi" w:cstheme="minorHAnsi"/>
          <w:sz w:val="22"/>
          <w:szCs w:val="22"/>
        </w:rPr>
        <w:softHyphen/>
      </w:r>
      <w:r w:rsidRPr="00A54361">
        <w:rPr>
          <w:rFonts w:asciiTheme="minorHAnsi" w:hAnsiTheme="minorHAnsi" w:cstheme="minorHAnsi"/>
          <w:sz w:val="22"/>
          <w:szCs w:val="22"/>
        </w:rPr>
        <w:softHyphen/>
      </w:r>
      <w:r w:rsidRPr="00A54361">
        <w:rPr>
          <w:rFonts w:asciiTheme="minorHAnsi" w:hAnsiTheme="minorHAnsi" w:cstheme="minorHAnsi"/>
          <w:sz w:val="22"/>
          <w:szCs w:val="22"/>
        </w:rPr>
        <w:softHyphen/>
        <w:t>_____</w:t>
      </w:r>
    </w:p>
    <w:p w14:paraId="529B33D9" w14:textId="77777777" w:rsidR="00CF42E0" w:rsidRPr="00A54361" w:rsidRDefault="00CF42E0" w:rsidP="00A54361">
      <w:pPr>
        <w:pStyle w:val="BodyText"/>
        <w:spacing w:before="8"/>
        <w:rPr>
          <w:rFonts w:asciiTheme="minorHAnsi" w:hAnsiTheme="minorHAnsi" w:cstheme="minorHAnsi"/>
          <w:sz w:val="22"/>
          <w:szCs w:val="22"/>
        </w:rPr>
      </w:pPr>
    </w:p>
    <w:p w14:paraId="2720F1BD" w14:textId="77777777" w:rsidR="00CF42E0" w:rsidRPr="00A54361" w:rsidRDefault="00CF42E0" w:rsidP="00A54361">
      <w:pPr>
        <w:pStyle w:val="BodyText"/>
        <w:ind w:left="388"/>
        <w:rPr>
          <w:rFonts w:asciiTheme="minorHAnsi" w:hAnsiTheme="minorHAnsi" w:cstheme="minorHAnsi"/>
          <w:sz w:val="22"/>
          <w:szCs w:val="22"/>
        </w:rPr>
      </w:pPr>
      <w:r w:rsidRPr="00A54361">
        <w:rPr>
          <w:rFonts w:asciiTheme="minorHAnsi" w:hAnsiTheme="minorHAnsi" w:cstheme="minorHAnsi"/>
          <w:sz w:val="22"/>
          <w:szCs w:val="22"/>
        </w:rPr>
        <w:t>To,</w:t>
      </w:r>
    </w:p>
    <w:p w14:paraId="35E69456" w14:textId="77777777" w:rsidR="00CF42E0" w:rsidRPr="00A54361" w:rsidRDefault="00CF42E0" w:rsidP="00A54361">
      <w:pPr>
        <w:pStyle w:val="BodyText"/>
        <w:ind w:left="388"/>
        <w:rPr>
          <w:rFonts w:asciiTheme="minorHAnsi" w:hAnsiTheme="minorHAnsi" w:cstheme="minorHAnsi"/>
          <w:sz w:val="22"/>
          <w:szCs w:val="22"/>
        </w:rPr>
      </w:pPr>
      <w:r w:rsidRPr="00A54361">
        <w:rPr>
          <w:rFonts w:asciiTheme="minorHAnsi" w:hAnsiTheme="minorHAnsi" w:cstheme="minorHAnsi"/>
          <w:sz w:val="22"/>
          <w:szCs w:val="22"/>
        </w:rPr>
        <w:t>General Manager-IT</w:t>
      </w:r>
    </w:p>
    <w:p w14:paraId="69D57551" w14:textId="77777777" w:rsidR="00CF42E0" w:rsidRPr="00A54361" w:rsidRDefault="00CF42E0" w:rsidP="00A54361">
      <w:pPr>
        <w:pStyle w:val="BodyText"/>
        <w:ind w:left="388"/>
        <w:rPr>
          <w:rFonts w:asciiTheme="minorHAnsi" w:hAnsiTheme="minorHAnsi" w:cstheme="minorHAnsi"/>
          <w:sz w:val="22"/>
          <w:szCs w:val="22"/>
        </w:rPr>
      </w:pPr>
      <w:r w:rsidRPr="00A54361">
        <w:rPr>
          <w:rFonts w:asciiTheme="minorHAnsi" w:hAnsiTheme="minorHAnsi" w:cstheme="minorHAnsi"/>
          <w:sz w:val="22"/>
          <w:szCs w:val="22"/>
        </w:rPr>
        <w:t>DIT, Central Bank of India, Central Office,</w:t>
      </w:r>
    </w:p>
    <w:p w14:paraId="3D02889B" w14:textId="77777777" w:rsidR="00CF42E0" w:rsidRPr="00A54361" w:rsidRDefault="00CF42E0" w:rsidP="00A54361">
      <w:pPr>
        <w:pStyle w:val="BodyText"/>
        <w:ind w:left="388"/>
        <w:rPr>
          <w:rFonts w:asciiTheme="minorHAnsi" w:hAnsiTheme="minorHAnsi" w:cstheme="minorHAnsi"/>
          <w:sz w:val="22"/>
          <w:szCs w:val="22"/>
        </w:rPr>
      </w:pPr>
      <w:r w:rsidRPr="00A54361">
        <w:rPr>
          <w:rFonts w:asciiTheme="minorHAnsi" w:hAnsiTheme="minorHAnsi" w:cstheme="minorHAnsi"/>
          <w:sz w:val="22"/>
          <w:szCs w:val="22"/>
        </w:rPr>
        <w:t>Sector 11, CBD Belapur,</w:t>
      </w:r>
    </w:p>
    <w:p w14:paraId="253F7688" w14:textId="77777777" w:rsidR="00CF42E0" w:rsidRPr="00A54361" w:rsidRDefault="00CF42E0" w:rsidP="00A54361">
      <w:pPr>
        <w:pStyle w:val="BodyText"/>
        <w:ind w:left="388"/>
        <w:rPr>
          <w:rFonts w:asciiTheme="minorHAnsi" w:hAnsiTheme="minorHAnsi" w:cstheme="minorHAnsi"/>
          <w:sz w:val="22"/>
          <w:szCs w:val="22"/>
        </w:rPr>
      </w:pPr>
      <w:r w:rsidRPr="00A54361">
        <w:rPr>
          <w:rFonts w:asciiTheme="minorHAnsi" w:hAnsiTheme="minorHAnsi" w:cstheme="minorHAnsi"/>
          <w:sz w:val="22"/>
          <w:szCs w:val="22"/>
        </w:rPr>
        <w:t>Mumbai – 400614</w:t>
      </w:r>
    </w:p>
    <w:p w14:paraId="0EB2F92E" w14:textId="77777777" w:rsidR="00CF42E0" w:rsidRPr="00A54361" w:rsidRDefault="00CF42E0" w:rsidP="00A54361">
      <w:pPr>
        <w:pStyle w:val="BodyText"/>
        <w:ind w:left="388"/>
        <w:rPr>
          <w:rFonts w:asciiTheme="minorHAnsi" w:hAnsiTheme="minorHAnsi" w:cstheme="minorHAnsi"/>
          <w:sz w:val="22"/>
          <w:szCs w:val="22"/>
        </w:rPr>
      </w:pPr>
    </w:p>
    <w:p w14:paraId="030E0EEA" w14:textId="77777777" w:rsidR="00CF42E0" w:rsidRPr="00A54361" w:rsidRDefault="00CF42E0" w:rsidP="00A54361">
      <w:pPr>
        <w:pStyle w:val="BodyText"/>
        <w:spacing w:before="8"/>
        <w:rPr>
          <w:rFonts w:asciiTheme="minorHAnsi" w:hAnsiTheme="minorHAnsi" w:cstheme="minorHAnsi"/>
          <w:sz w:val="22"/>
          <w:szCs w:val="22"/>
        </w:rPr>
      </w:pPr>
    </w:p>
    <w:p w14:paraId="4D5ED922" w14:textId="1BCB2081" w:rsidR="00CF42E0" w:rsidRPr="00A54361" w:rsidRDefault="00CF42E0" w:rsidP="00A54361">
      <w:pPr>
        <w:spacing w:line="242" w:lineRule="auto"/>
        <w:ind w:left="388"/>
        <w:jc w:val="both"/>
        <w:rPr>
          <w:rFonts w:cstheme="minorHAnsi"/>
          <w:b/>
          <w:spacing w:val="-2"/>
        </w:rPr>
      </w:pPr>
      <w:r w:rsidRPr="00A54361">
        <w:rPr>
          <w:rFonts w:cstheme="minorHAnsi"/>
          <w:b/>
          <w:spacing w:val="-3"/>
        </w:rPr>
        <w:t>Subject</w:t>
      </w:r>
      <w:r w:rsidRPr="00A54361">
        <w:rPr>
          <w:rFonts w:cstheme="minorHAnsi"/>
          <w:b/>
          <w:spacing w:val="-12"/>
        </w:rPr>
        <w:t>:</w:t>
      </w:r>
      <w:r w:rsidRPr="00A54361">
        <w:rPr>
          <w:rFonts w:cstheme="minorHAnsi"/>
          <w:b/>
          <w:spacing w:val="-6"/>
        </w:rPr>
        <w:t xml:space="preserve"> </w:t>
      </w:r>
      <w:r w:rsidRPr="00A54361">
        <w:rPr>
          <w:rFonts w:cstheme="minorHAnsi"/>
          <w:b/>
          <w:spacing w:val="-3"/>
        </w:rPr>
        <w:t>RFP</w:t>
      </w:r>
      <w:r w:rsidRPr="00A54361">
        <w:rPr>
          <w:rFonts w:cstheme="minorHAnsi"/>
          <w:b/>
          <w:spacing w:val="-11"/>
        </w:rPr>
        <w:t xml:space="preserve"> </w:t>
      </w:r>
      <w:r w:rsidRPr="00A54361">
        <w:rPr>
          <w:rFonts w:cstheme="minorHAnsi"/>
          <w:b/>
        </w:rPr>
        <w:t xml:space="preserve">-______________________ - </w:t>
      </w:r>
      <w:r w:rsidRPr="00A54361">
        <w:rPr>
          <w:rFonts w:cstheme="minorHAnsi"/>
          <w:b/>
          <w:spacing w:val="-2"/>
        </w:rPr>
        <w:t>Compliance Certificate with respect to Chapter II para 4c of RBI’s “Master Direction on Outsourcing of Information Technology Services”</w:t>
      </w:r>
    </w:p>
    <w:p w14:paraId="4ABCDB0C" w14:textId="77777777" w:rsidR="00CF42E0" w:rsidRPr="00A54361" w:rsidRDefault="00CF42E0" w:rsidP="00A54361">
      <w:pPr>
        <w:spacing w:line="242" w:lineRule="auto"/>
        <w:ind w:left="388"/>
        <w:jc w:val="both"/>
        <w:rPr>
          <w:rFonts w:cstheme="minorHAnsi"/>
          <w:b/>
        </w:rPr>
      </w:pPr>
    </w:p>
    <w:p w14:paraId="4A2C4934" w14:textId="77777777" w:rsidR="00CF42E0" w:rsidRPr="00A54361" w:rsidRDefault="00CF42E0" w:rsidP="00A54361">
      <w:pPr>
        <w:pStyle w:val="BodyText"/>
        <w:ind w:left="388"/>
        <w:rPr>
          <w:rFonts w:asciiTheme="minorHAnsi" w:hAnsiTheme="minorHAnsi" w:cstheme="minorHAnsi"/>
          <w:sz w:val="22"/>
          <w:szCs w:val="22"/>
        </w:rPr>
      </w:pPr>
      <w:r w:rsidRPr="00A54361">
        <w:rPr>
          <w:rFonts w:asciiTheme="minorHAnsi" w:hAnsiTheme="minorHAnsi" w:cstheme="minorHAnsi"/>
          <w:sz w:val="22"/>
          <w:szCs w:val="22"/>
        </w:rPr>
        <w:t>Sir,</w:t>
      </w:r>
    </w:p>
    <w:p w14:paraId="200134AC" w14:textId="77777777" w:rsidR="00CF42E0" w:rsidRPr="00A54361" w:rsidRDefault="00CF42E0" w:rsidP="00A54361">
      <w:pPr>
        <w:pStyle w:val="BodyText"/>
        <w:spacing w:before="6"/>
        <w:rPr>
          <w:rFonts w:asciiTheme="minorHAnsi" w:hAnsiTheme="minorHAnsi" w:cstheme="minorHAnsi"/>
          <w:sz w:val="22"/>
          <w:szCs w:val="22"/>
        </w:rPr>
      </w:pPr>
    </w:p>
    <w:p w14:paraId="694E69B9" w14:textId="77777777" w:rsidR="00CF42E0" w:rsidRPr="00A54361" w:rsidRDefault="00CF42E0" w:rsidP="00A54361">
      <w:pPr>
        <w:pStyle w:val="BodyText"/>
        <w:spacing w:before="1" w:line="244" w:lineRule="auto"/>
        <w:ind w:left="388" w:right="246"/>
        <w:rPr>
          <w:rFonts w:asciiTheme="minorHAnsi" w:hAnsiTheme="minorHAnsi" w:cstheme="minorHAnsi"/>
          <w:sz w:val="22"/>
          <w:szCs w:val="22"/>
        </w:rPr>
      </w:pPr>
      <w:r w:rsidRPr="00A54361">
        <w:rPr>
          <w:rFonts w:asciiTheme="minorHAnsi" w:hAnsiTheme="minorHAnsi" w:cstheme="minorHAnsi"/>
          <w:sz w:val="22"/>
          <w:szCs w:val="22"/>
        </w:rPr>
        <w:t xml:space="preserve">With reference to above, we </w:t>
      </w:r>
      <w:r w:rsidRPr="00A54361">
        <w:rPr>
          <w:rFonts w:asciiTheme="minorHAnsi" w:hAnsiTheme="minorHAnsi" w:cstheme="minorHAnsi"/>
          <w:b/>
          <w:bCs/>
          <w:sz w:val="22"/>
          <w:szCs w:val="22"/>
        </w:rPr>
        <w:t>&lt;&lt;&lt;&lt;Name of the Company&gt;&gt;&gt;&gt;</w:t>
      </w:r>
      <w:r w:rsidRPr="00A54361">
        <w:rPr>
          <w:rFonts w:asciiTheme="minorHAnsi" w:hAnsiTheme="minorHAnsi" w:cstheme="minorHAnsi"/>
          <w:sz w:val="22"/>
          <w:szCs w:val="22"/>
        </w:rPr>
        <w:t xml:space="preserve"> hereby furnish and confirm the details as given below: -</w:t>
      </w:r>
    </w:p>
    <w:p w14:paraId="003AC3BD" w14:textId="77777777" w:rsidR="00CF42E0" w:rsidRPr="00A54361" w:rsidRDefault="00CF42E0" w:rsidP="00A54361">
      <w:pPr>
        <w:pStyle w:val="BodyText"/>
        <w:spacing w:before="1" w:line="244" w:lineRule="auto"/>
        <w:ind w:left="388" w:right="246"/>
        <w:rPr>
          <w:rFonts w:asciiTheme="minorHAnsi" w:hAnsiTheme="minorHAnsi" w:cstheme="minorHAnsi"/>
          <w:sz w:val="22"/>
          <w:szCs w:val="22"/>
        </w:rPr>
      </w:pPr>
    </w:p>
    <w:p w14:paraId="6973E1DB" w14:textId="77777777" w:rsidR="00CF42E0" w:rsidRPr="00A54361" w:rsidRDefault="00CF42E0" w:rsidP="00A54361">
      <w:pPr>
        <w:pStyle w:val="BodyText"/>
        <w:numPr>
          <w:ilvl w:val="6"/>
          <w:numId w:val="96"/>
        </w:numPr>
        <w:spacing w:before="1" w:line="244" w:lineRule="auto"/>
        <w:ind w:left="1080" w:right="246"/>
        <w:rPr>
          <w:rFonts w:asciiTheme="minorHAnsi" w:hAnsiTheme="minorHAnsi" w:cstheme="minorHAnsi"/>
          <w:sz w:val="22"/>
          <w:szCs w:val="22"/>
        </w:rPr>
      </w:pPr>
      <w:r w:rsidRPr="00A54361">
        <w:rPr>
          <w:rFonts w:asciiTheme="minorHAnsi" w:hAnsiTheme="minorHAnsi" w:cstheme="minorHAnsi"/>
          <w:sz w:val="22"/>
          <w:szCs w:val="22"/>
        </w:rPr>
        <w:t>Date of Agreement-</w:t>
      </w:r>
    </w:p>
    <w:p w14:paraId="1DAC713E" w14:textId="77777777" w:rsidR="00CF42E0" w:rsidRPr="00A54361" w:rsidRDefault="00CF42E0" w:rsidP="00A54361">
      <w:pPr>
        <w:pStyle w:val="BodyText"/>
        <w:numPr>
          <w:ilvl w:val="6"/>
          <w:numId w:val="96"/>
        </w:numPr>
        <w:spacing w:before="1" w:line="244" w:lineRule="auto"/>
        <w:ind w:left="1080" w:right="246"/>
        <w:rPr>
          <w:rFonts w:asciiTheme="minorHAnsi" w:hAnsiTheme="minorHAnsi" w:cstheme="minorHAnsi"/>
          <w:sz w:val="22"/>
          <w:szCs w:val="22"/>
        </w:rPr>
      </w:pPr>
      <w:r w:rsidRPr="00A54361">
        <w:rPr>
          <w:rFonts w:asciiTheme="minorHAnsi" w:hAnsiTheme="minorHAnsi" w:cstheme="minorHAnsi"/>
          <w:sz w:val="22"/>
          <w:szCs w:val="22"/>
        </w:rPr>
        <w:t>Expiry Date of Agreement</w:t>
      </w:r>
    </w:p>
    <w:p w14:paraId="7B8121D9" w14:textId="77777777" w:rsidR="00CF42E0" w:rsidRPr="00A54361" w:rsidRDefault="00CF42E0" w:rsidP="00A54361">
      <w:pPr>
        <w:pStyle w:val="BodyText"/>
        <w:numPr>
          <w:ilvl w:val="6"/>
          <w:numId w:val="96"/>
        </w:numPr>
        <w:spacing w:before="1" w:line="244" w:lineRule="auto"/>
        <w:ind w:left="1080" w:right="246"/>
        <w:rPr>
          <w:rFonts w:asciiTheme="minorHAnsi" w:hAnsiTheme="minorHAnsi" w:cstheme="minorHAnsi"/>
          <w:sz w:val="22"/>
          <w:szCs w:val="22"/>
        </w:rPr>
      </w:pPr>
      <w:r w:rsidRPr="00A54361">
        <w:rPr>
          <w:rFonts w:asciiTheme="minorHAnsi" w:hAnsiTheme="minorHAnsi" w:cstheme="minorHAnsi"/>
          <w:sz w:val="22"/>
          <w:szCs w:val="22"/>
        </w:rPr>
        <w:t>Type of Entity: Group Company/Not a group Company</w:t>
      </w:r>
    </w:p>
    <w:p w14:paraId="23FC893B" w14:textId="77777777" w:rsidR="00CF42E0" w:rsidRPr="00A54361" w:rsidRDefault="00CF42E0" w:rsidP="00A54361">
      <w:pPr>
        <w:pStyle w:val="BodyText"/>
        <w:numPr>
          <w:ilvl w:val="6"/>
          <w:numId w:val="96"/>
        </w:numPr>
        <w:spacing w:before="1" w:line="244" w:lineRule="auto"/>
        <w:ind w:left="1080" w:right="246"/>
        <w:rPr>
          <w:rFonts w:asciiTheme="minorHAnsi" w:hAnsiTheme="minorHAnsi" w:cstheme="minorHAnsi"/>
          <w:sz w:val="22"/>
          <w:szCs w:val="22"/>
        </w:rPr>
      </w:pPr>
      <w:r w:rsidRPr="00A54361">
        <w:rPr>
          <w:rFonts w:asciiTheme="minorHAnsi" w:hAnsiTheme="minorHAnsi" w:cstheme="minorHAnsi"/>
          <w:sz w:val="22"/>
          <w:szCs w:val="22"/>
        </w:rPr>
        <w:t>Name of Directors of Company</w:t>
      </w:r>
    </w:p>
    <w:p w14:paraId="2A29589A" w14:textId="77777777" w:rsidR="00CF42E0" w:rsidRPr="00A54361" w:rsidRDefault="00CF42E0" w:rsidP="00A54361">
      <w:pPr>
        <w:pStyle w:val="BodyText"/>
        <w:numPr>
          <w:ilvl w:val="6"/>
          <w:numId w:val="96"/>
        </w:numPr>
        <w:spacing w:before="1" w:line="244" w:lineRule="auto"/>
        <w:ind w:left="1080" w:right="246"/>
        <w:rPr>
          <w:rFonts w:asciiTheme="minorHAnsi" w:hAnsiTheme="minorHAnsi" w:cstheme="minorHAnsi"/>
          <w:sz w:val="22"/>
          <w:szCs w:val="22"/>
        </w:rPr>
      </w:pPr>
      <w:r w:rsidRPr="00A54361">
        <w:rPr>
          <w:rFonts w:asciiTheme="minorHAnsi" w:hAnsiTheme="minorHAnsi" w:cstheme="minorHAnsi"/>
          <w:sz w:val="22"/>
          <w:szCs w:val="22"/>
        </w:rPr>
        <w:t>Is any of the Director(s), Key Managerial Personnel and their relatives are stated above related to Central Bank of India: YES/NO</w:t>
      </w:r>
    </w:p>
    <w:p w14:paraId="0F38E051" w14:textId="77777777" w:rsidR="00CF42E0" w:rsidRPr="00A54361" w:rsidRDefault="00CF42E0" w:rsidP="00A54361">
      <w:pPr>
        <w:pStyle w:val="BodyText"/>
        <w:spacing w:before="1" w:line="244" w:lineRule="auto"/>
        <w:ind w:right="246"/>
        <w:rPr>
          <w:rFonts w:asciiTheme="minorHAnsi" w:hAnsiTheme="minorHAnsi" w:cstheme="minorHAnsi"/>
          <w:sz w:val="22"/>
          <w:szCs w:val="22"/>
        </w:rPr>
      </w:pPr>
    </w:p>
    <w:p w14:paraId="14024B23" w14:textId="77777777" w:rsidR="00CF42E0" w:rsidRPr="00A54361" w:rsidRDefault="00CF42E0" w:rsidP="00A54361">
      <w:pPr>
        <w:pStyle w:val="BodyText"/>
        <w:spacing w:before="1" w:line="244" w:lineRule="auto"/>
        <w:ind w:right="246"/>
        <w:rPr>
          <w:rFonts w:asciiTheme="minorHAnsi" w:hAnsiTheme="minorHAnsi" w:cstheme="minorHAnsi"/>
          <w:sz w:val="22"/>
          <w:szCs w:val="22"/>
        </w:rPr>
      </w:pPr>
    </w:p>
    <w:p w14:paraId="37092AAC" w14:textId="77777777" w:rsidR="00CF42E0" w:rsidRPr="00A54361" w:rsidRDefault="00CF42E0" w:rsidP="00A54361">
      <w:pPr>
        <w:pStyle w:val="BodyText"/>
        <w:spacing w:before="1" w:line="244" w:lineRule="auto"/>
        <w:ind w:left="388" w:right="246" w:firstLine="17"/>
        <w:rPr>
          <w:rFonts w:asciiTheme="minorHAnsi" w:hAnsiTheme="minorHAnsi" w:cstheme="minorHAnsi"/>
          <w:b/>
          <w:bCs/>
          <w:sz w:val="22"/>
          <w:szCs w:val="22"/>
        </w:rPr>
      </w:pPr>
      <w:r w:rsidRPr="00A54361">
        <w:rPr>
          <w:rFonts w:asciiTheme="minorHAnsi" w:hAnsiTheme="minorHAnsi" w:cstheme="minorHAnsi"/>
          <w:b/>
          <w:bCs/>
          <w:sz w:val="22"/>
          <w:szCs w:val="22"/>
        </w:rPr>
        <w:t>Note: - The terms ‘control’, ‘director’, ‘key managerial personnel’, and ‘relative’ have the same meaning as assigned under the Companies Act, 2013 and the Rules framed thereunder from time to time.</w:t>
      </w:r>
    </w:p>
    <w:p w14:paraId="75B6E1B9" w14:textId="77777777" w:rsidR="00CF42E0" w:rsidRPr="00A54361" w:rsidRDefault="00CF42E0" w:rsidP="00A54361">
      <w:pPr>
        <w:pStyle w:val="BodyText"/>
        <w:spacing w:before="1" w:line="244" w:lineRule="auto"/>
        <w:ind w:left="388" w:right="246"/>
        <w:rPr>
          <w:rFonts w:asciiTheme="minorHAnsi" w:hAnsiTheme="minorHAnsi" w:cstheme="minorHAnsi"/>
          <w:sz w:val="22"/>
          <w:szCs w:val="22"/>
        </w:rPr>
      </w:pPr>
    </w:p>
    <w:p w14:paraId="03FE5CDD" w14:textId="77777777" w:rsidR="00CF42E0" w:rsidRPr="00A54361" w:rsidRDefault="00CF42E0" w:rsidP="00A54361">
      <w:pPr>
        <w:pStyle w:val="BodyText"/>
        <w:spacing w:before="1" w:line="244" w:lineRule="auto"/>
        <w:ind w:left="388" w:right="246"/>
        <w:rPr>
          <w:rFonts w:asciiTheme="minorHAnsi" w:hAnsiTheme="minorHAnsi" w:cstheme="minorHAnsi"/>
          <w:sz w:val="22"/>
          <w:szCs w:val="22"/>
        </w:rPr>
      </w:pPr>
    </w:p>
    <w:p w14:paraId="503D3811" w14:textId="77777777" w:rsidR="00CF42E0" w:rsidRPr="00A54361" w:rsidRDefault="00CF42E0" w:rsidP="00A54361">
      <w:pPr>
        <w:pStyle w:val="BodyText"/>
        <w:rPr>
          <w:rFonts w:asciiTheme="minorHAnsi" w:hAnsiTheme="minorHAnsi" w:cstheme="minorHAnsi"/>
          <w:sz w:val="22"/>
          <w:szCs w:val="22"/>
        </w:rPr>
      </w:pPr>
    </w:p>
    <w:p w14:paraId="579CBD57" w14:textId="77777777" w:rsidR="00CF42E0" w:rsidRPr="00A54361" w:rsidRDefault="00CF42E0" w:rsidP="00A54361">
      <w:pPr>
        <w:pStyle w:val="BodyText"/>
        <w:spacing w:before="1" w:line="244" w:lineRule="auto"/>
        <w:ind w:left="388" w:right="246"/>
        <w:rPr>
          <w:rFonts w:asciiTheme="minorHAnsi" w:hAnsiTheme="minorHAnsi" w:cstheme="minorHAnsi"/>
          <w:sz w:val="22"/>
          <w:szCs w:val="22"/>
        </w:rPr>
      </w:pPr>
      <w:r w:rsidRPr="00A54361">
        <w:rPr>
          <w:rFonts w:asciiTheme="minorHAnsi" w:hAnsiTheme="minorHAnsi" w:cstheme="minorHAnsi"/>
          <w:sz w:val="22"/>
          <w:szCs w:val="22"/>
        </w:rPr>
        <w:t>Authorized Signatory Name:</w:t>
      </w:r>
    </w:p>
    <w:p w14:paraId="3318924A" w14:textId="77777777" w:rsidR="00CF42E0" w:rsidRPr="00A54361" w:rsidRDefault="00CF42E0" w:rsidP="00A54361">
      <w:pPr>
        <w:pStyle w:val="BodyText"/>
        <w:spacing w:before="1" w:line="244" w:lineRule="auto"/>
        <w:ind w:left="388" w:right="246"/>
        <w:rPr>
          <w:rFonts w:asciiTheme="minorHAnsi" w:hAnsiTheme="minorHAnsi" w:cstheme="minorHAnsi"/>
          <w:sz w:val="22"/>
          <w:szCs w:val="22"/>
        </w:rPr>
      </w:pPr>
      <w:r w:rsidRPr="00A54361">
        <w:rPr>
          <w:rFonts w:asciiTheme="minorHAnsi" w:hAnsiTheme="minorHAnsi" w:cstheme="minorHAnsi"/>
          <w:sz w:val="22"/>
          <w:szCs w:val="22"/>
        </w:rPr>
        <w:t>Designation:</w:t>
      </w:r>
    </w:p>
    <w:p w14:paraId="50B0F8FF" w14:textId="77777777" w:rsidR="00CF42E0" w:rsidRPr="000D3DC1" w:rsidRDefault="00CF42E0" w:rsidP="00A54361">
      <w:pPr>
        <w:pStyle w:val="BodyText"/>
        <w:spacing w:before="1" w:line="244" w:lineRule="auto"/>
        <w:ind w:left="388" w:right="246"/>
        <w:rPr>
          <w:rFonts w:asciiTheme="minorHAnsi" w:hAnsiTheme="minorHAnsi" w:cstheme="minorHAnsi"/>
          <w:sz w:val="22"/>
          <w:szCs w:val="22"/>
        </w:rPr>
      </w:pPr>
      <w:r w:rsidRPr="00A54361">
        <w:rPr>
          <w:rFonts w:asciiTheme="minorHAnsi" w:hAnsiTheme="minorHAnsi" w:cstheme="minorHAnsi"/>
          <w:sz w:val="22"/>
          <w:szCs w:val="22"/>
        </w:rPr>
        <w:t>Email and Phone</w:t>
      </w:r>
    </w:p>
    <w:p w14:paraId="304D3FDB" w14:textId="77777777" w:rsidR="00CF42E0" w:rsidRPr="000D3DC1" w:rsidRDefault="00CF42E0" w:rsidP="00A54361">
      <w:pPr>
        <w:pStyle w:val="BodyText"/>
        <w:ind w:left="388"/>
        <w:rPr>
          <w:rFonts w:asciiTheme="minorHAnsi" w:hAnsiTheme="minorHAnsi" w:cstheme="minorHAnsi"/>
          <w:sz w:val="22"/>
          <w:szCs w:val="22"/>
        </w:rPr>
      </w:pPr>
    </w:p>
    <w:p w14:paraId="1A482306" w14:textId="48D227F2" w:rsidR="00CF42E0" w:rsidRPr="000D3DC1" w:rsidRDefault="00CF42E0" w:rsidP="00A54361">
      <w:pPr>
        <w:spacing w:before="120" w:after="120"/>
        <w:jc w:val="both"/>
        <w:rPr>
          <w:rFonts w:cstheme="minorHAnsi"/>
        </w:rPr>
      </w:pPr>
    </w:p>
    <w:sectPr w:rsidR="00CF42E0" w:rsidRPr="000D3DC1" w:rsidSect="002F0054">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D84FFC" w14:textId="77777777" w:rsidR="0049096B" w:rsidRDefault="0049096B" w:rsidP="005B4750">
      <w:pPr>
        <w:spacing w:after="0" w:line="240" w:lineRule="auto"/>
      </w:pPr>
      <w:r>
        <w:separator/>
      </w:r>
    </w:p>
  </w:endnote>
  <w:endnote w:type="continuationSeparator" w:id="0">
    <w:p w14:paraId="578545A9" w14:textId="77777777" w:rsidR="0049096B" w:rsidRDefault="0049096B" w:rsidP="005B4750">
      <w:pPr>
        <w:spacing w:after="0" w:line="240" w:lineRule="auto"/>
      </w:pPr>
      <w:r>
        <w:continuationSeparator/>
      </w:r>
    </w:p>
  </w:endnote>
  <w:endnote w:type="continuationNotice" w:id="1">
    <w:p w14:paraId="3989B1B8" w14:textId="77777777" w:rsidR="0049096B" w:rsidRDefault="004909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2111870"/>
      <w:docPartObj>
        <w:docPartGallery w:val="Page Numbers (Bottom of Page)"/>
        <w:docPartUnique/>
      </w:docPartObj>
    </w:sdtPr>
    <w:sdtEndPr>
      <w:rPr>
        <w:color w:val="7F7F7F" w:themeColor="background1" w:themeShade="7F"/>
        <w:spacing w:val="60"/>
      </w:rPr>
    </w:sdtEndPr>
    <w:sdtContent>
      <w:p w14:paraId="1F3805E7" w14:textId="1AD4304E" w:rsidR="00426FCC" w:rsidRDefault="00426FCC">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8354F" w:rsidRPr="0078354F">
          <w:rPr>
            <w:b/>
            <w:bCs/>
            <w:noProof/>
          </w:rPr>
          <w:t>219</w:t>
        </w:r>
        <w:r>
          <w:rPr>
            <w:b/>
            <w:bCs/>
            <w:noProof/>
          </w:rPr>
          <w:fldChar w:fldCharType="end"/>
        </w:r>
        <w:r>
          <w:rPr>
            <w:b/>
            <w:bCs/>
          </w:rPr>
          <w:t xml:space="preserve"> | </w:t>
        </w:r>
        <w:r>
          <w:rPr>
            <w:color w:val="7F7F7F" w:themeColor="background1" w:themeShade="7F"/>
            <w:spacing w:val="60"/>
          </w:rPr>
          <w:t>Page</w:t>
        </w:r>
      </w:p>
    </w:sdtContent>
  </w:sdt>
  <w:p w14:paraId="0DE03BB2" w14:textId="16D2AE9E" w:rsidR="00426FCC" w:rsidRDefault="00426F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706DDB" w14:textId="77777777" w:rsidR="0049096B" w:rsidRDefault="0049096B" w:rsidP="005B4750">
      <w:pPr>
        <w:spacing w:after="0" w:line="240" w:lineRule="auto"/>
      </w:pPr>
      <w:r>
        <w:separator/>
      </w:r>
    </w:p>
  </w:footnote>
  <w:footnote w:type="continuationSeparator" w:id="0">
    <w:p w14:paraId="503D5077" w14:textId="77777777" w:rsidR="0049096B" w:rsidRDefault="0049096B" w:rsidP="005B4750">
      <w:pPr>
        <w:spacing w:after="0" w:line="240" w:lineRule="auto"/>
      </w:pPr>
      <w:r>
        <w:continuationSeparator/>
      </w:r>
    </w:p>
  </w:footnote>
  <w:footnote w:type="continuationNotice" w:id="1">
    <w:p w14:paraId="79A78D15" w14:textId="77777777" w:rsidR="0049096B" w:rsidRDefault="004909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1D60C" w14:textId="1DC9B6D9" w:rsidR="00426FCC" w:rsidRDefault="00426FCC" w:rsidP="004A3BF2">
    <w:r>
      <w:rPr>
        <w:noProof/>
        <w:lang w:val="en-GB" w:eastAsia="en-GB"/>
      </w:rPr>
      <mc:AlternateContent>
        <mc:Choice Requires="wps">
          <w:drawing>
            <wp:anchor distT="45720" distB="45720" distL="114300" distR="114300" simplePos="0" relativeHeight="251657216" behindDoc="0" locked="0" layoutInCell="1" allowOverlap="1" wp14:anchorId="0C2F43D7" wp14:editId="7E5E6E67">
              <wp:simplePos x="0" y="0"/>
              <wp:positionH relativeFrom="column">
                <wp:posOffset>3463290</wp:posOffset>
              </wp:positionH>
              <wp:positionV relativeFrom="paragraph">
                <wp:posOffset>-102870</wp:posOffset>
              </wp:positionV>
              <wp:extent cx="2908935" cy="596265"/>
              <wp:effectExtent l="0" t="0" r="24765"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935" cy="596265"/>
                      </a:xfrm>
                      <a:prstGeom prst="rect">
                        <a:avLst/>
                      </a:prstGeom>
                      <a:solidFill>
                        <a:srgbClr val="FFFFFF"/>
                      </a:solidFill>
                      <a:ln w="9525">
                        <a:solidFill>
                          <a:srgbClr val="000000"/>
                        </a:solidFill>
                        <a:miter lim="800000"/>
                        <a:headEnd/>
                        <a:tailEnd/>
                      </a:ln>
                    </wps:spPr>
                    <wps:txbx>
                      <w:txbxContent>
                        <w:p w14:paraId="7A9CF435" w14:textId="272AED1A" w:rsidR="00426FCC" w:rsidRDefault="00426FCC" w:rsidP="009466FF">
                          <w:pPr>
                            <w:ind w:left="284"/>
                            <w:jc w:val="right"/>
                            <w:rPr>
                              <w:sz w:val="20"/>
                              <w:szCs w:val="20"/>
                            </w:rPr>
                          </w:pPr>
                          <w:r w:rsidRPr="003369B8">
                            <w:rPr>
                              <w:sz w:val="20"/>
                              <w:szCs w:val="20"/>
                            </w:rPr>
                            <w:t>RFP for Supply, Installation and Maintenance of</w:t>
                          </w:r>
                          <w:r>
                            <w:rPr>
                              <w:sz w:val="20"/>
                              <w:szCs w:val="20"/>
                            </w:rPr>
                            <w:t xml:space="preserve"> </w:t>
                          </w:r>
                          <w:r w:rsidRPr="003369B8">
                            <w:rPr>
                              <w:sz w:val="20"/>
                              <w:szCs w:val="20"/>
                            </w:rPr>
                            <w:t>Cyber</w:t>
                          </w:r>
                          <w:r>
                            <w:rPr>
                              <w:sz w:val="20"/>
                              <w:szCs w:val="20"/>
                            </w:rPr>
                            <w:t>s</w:t>
                          </w:r>
                          <w:r w:rsidRPr="003369B8">
                            <w:rPr>
                              <w:sz w:val="20"/>
                              <w:szCs w:val="20"/>
                            </w:rPr>
                            <w:t>ecurity Solutions</w:t>
                          </w:r>
                          <w:r w:rsidRPr="003369B8">
                            <w:rPr>
                              <w:rFonts w:cstheme="minorHAnsi"/>
                              <w:sz w:val="20"/>
                              <w:szCs w:val="20"/>
                            </w:rPr>
                            <w:t xml:space="preserve"> and </w:t>
                          </w:r>
                          <w:r>
                            <w:rPr>
                              <w:rFonts w:cstheme="minorHAnsi"/>
                              <w:sz w:val="20"/>
                              <w:szCs w:val="20"/>
                            </w:rPr>
                            <w:t>A</w:t>
                          </w:r>
                          <w:r w:rsidRPr="003369B8">
                            <w:rPr>
                              <w:rFonts w:cstheme="minorHAnsi"/>
                              <w:sz w:val="20"/>
                              <w:szCs w:val="20"/>
                            </w:rPr>
                            <w:t xml:space="preserve">ssociated </w:t>
                          </w:r>
                          <w:r>
                            <w:rPr>
                              <w:rFonts w:cstheme="minorHAnsi"/>
                              <w:sz w:val="20"/>
                              <w:szCs w:val="20"/>
                            </w:rPr>
                            <w:t>H</w:t>
                          </w:r>
                          <w:r w:rsidRPr="003369B8">
                            <w:rPr>
                              <w:rFonts w:cstheme="minorHAnsi"/>
                              <w:sz w:val="20"/>
                              <w:szCs w:val="20"/>
                            </w:rPr>
                            <w:t>ardware</w:t>
                          </w:r>
                          <w:r w:rsidRPr="003369B8">
                            <w:rPr>
                              <w:sz w:val="20"/>
                              <w:szCs w:val="20"/>
                            </w:rPr>
                            <w:t xml:space="preserve"> at the Bank</w:t>
                          </w:r>
                        </w:p>
                        <w:p w14:paraId="196ABF53" w14:textId="77777777" w:rsidR="00426FCC" w:rsidRPr="003369B8" w:rsidRDefault="00426FCC" w:rsidP="009466FF">
                          <w:pPr>
                            <w:ind w:left="284"/>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2F43D7" id="_x0000_t202" coordsize="21600,21600" o:spt="202" path="m,l,21600r21600,l21600,xe">
              <v:stroke joinstyle="miter"/>
              <v:path gradientshapeok="t" o:connecttype="rect"/>
            </v:shapetype>
            <v:shape id="Text Box 2" o:spid="_x0000_s1026" type="#_x0000_t202" style="position:absolute;margin-left:272.7pt;margin-top:-8.1pt;width:229.05pt;height:46.9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">
              <v:textbox>
                <w:txbxContent>
                  <w:p w14:paraId="7A9CF435" w14:textId="272AED1A" w:rsidR="00426FCC" w:rsidRDefault="00426FCC" w:rsidP="009466FF">
                    <w:pPr>
                      <w:ind w:left="284"/>
                      <w:jc w:val="right"/>
                      <w:rPr>
                        <w:sz w:val="20"/>
                        <w:szCs w:val="20"/>
                      </w:rPr>
                    </w:pPr>
                    <w:r w:rsidRPr="003369B8">
                      <w:rPr>
                        <w:sz w:val="20"/>
                        <w:szCs w:val="20"/>
                      </w:rPr>
                      <w:t>RFP for Supply, Installation and Maintenance of</w:t>
                    </w:r>
                    <w:r>
                      <w:rPr>
                        <w:sz w:val="20"/>
                        <w:szCs w:val="20"/>
                      </w:rPr>
                      <w:t xml:space="preserve"> </w:t>
                    </w:r>
                    <w:r w:rsidRPr="003369B8">
                      <w:rPr>
                        <w:sz w:val="20"/>
                        <w:szCs w:val="20"/>
                      </w:rPr>
                      <w:t>Cyber</w:t>
                    </w:r>
                    <w:r>
                      <w:rPr>
                        <w:sz w:val="20"/>
                        <w:szCs w:val="20"/>
                      </w:rPr>
                      <w:t>s</w:t>
                    </w:r>
                    <w:r w:rsidRPr="003369B8">
                      <w:rPr>
                        <w:sz w:val="20"/>
                        <w:szCs w:val="20"/>
                      </w:rPr>
                      <w:t>ecurity Solutions</w:t>
                    </w:r>
                    <w:r w:rsidRPr="003369B8">
                      <w:rPr>
                        <w:rFonts w:cstheme="minorHAnsi"/>
                        <w:sz w:val="20"/>
                        <w:szCs w:val="20"/>
                      </w:rPr>
                      <w:t xml:space="preserve"> and </w:t>
                    </w:r>
                    <w:r>
                      <w:rPr>
                        <w:rFonts w:cstheme="minorHAnsi"/>
                        <w:sz w:val="20"/>
                        <w:szCs w:val="20"/>
                      </w:rPr>
                      <w:t>A</w:t>
                    </w:r>
                    <w:r w:rsidRPr="003369B8">
                      <w:rPr>
                        <w:rFonts w:cstheme="minorHAnsi"/>
                        <w:sz w:val="20"/>
                        <w:szCs w:val="20"/>
                      </w:rPr>
                      <w:t xml:space="preserve">ssociated </w:t>
                    </w:r>
                    <w:r>
                      <w:rPr>
                        <w:rFonts w:cstheme="minorHAnsi"/>
                        <w:sz w:val="20"/>
                        <w:szCs w:val="20"/>
                      </w:rPr>
                      <w:t>H</w:t>
                    </w:r>
                    <w:r w:rsidRPr="003369B8">
                      <w:rPr>
                        <w:rFonts w:cstheme="minorHAnsi"/>
                        <w:sz w:val="20"/>
                        <w:szCs w:val="20"/>
                      </w:rPr>
                      <w:t>ardware</w:t>
                    </w:r>
                    <w:r w:rsidRPr="003369B8">
                      <w:rPr>
                        <w:sz w:val="20"/>
                        <w:szCs w:val="20"/>
                      </w:rPr>
                      <w:t xml:space="preserve"> at the Bank</w:t>
                    </w:r>
                  </w:p>
                  <w:p w14:paraId="196ABF53" w14:textId="77777777" w:rsidR="00426FCC" w:rsidRPr="003369B8" w:rsidRDefault="00426FCC" w:rsidP="009466FF">
                    <w:pPr>
                      <w:ind w:left="284"/>
                      <w:jc w:val="right"/>
                      <w:rPr>
                        <w:sz w:val="20"/>
                        <w:szCs w:val="20"/>
                      </w:rPr>
                    </w:pPr>
                  </w:p>
                </w:txbxContent>
              </v:textbox>
              <w10:wrap type="square"/>
            </v:shape>
          </w:pict>
        </mc:Fallback>
      </mc:AlternateContent>
    </w:r>
    <w:r>
      <w:rPr>
        <w:noProof/>
        <w:lang w:val="en-GB" w:eastAsia="en-GB"/>
      </w:rPr>
      <w:drawing>
        <wp:inline distT="0" distB="0" distL="0" distR="0" wp14:anchorId="66805464" wp14:editId="240933C2">
          <wp:extent cx="1548138" cy="501650"/>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48138" cy="501650"/>
                  </a:xfrm>
                  <a:prstGeom prst="rect">
                    <a:avLst/>
                  </a:prstGeom>
                </pic:spPr>
              </pic:pic>
            </a:graphicData>
          </a:graphic>
        </wp:inline>
      </w:drawing>
    </w:r>
  </w:p>
  <w:p w14:paraId="3DF7E3EB" w14:textId="086B09BE" w:rsidR="00426FCC" w:rsidRDefault="00426F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24CAA"/>
    <w:multiLevelType w:val="hybridMultilevel"/>
    <w:tmpl w:val="A6EAF83C"/>
    <w:lvl w:ilvl="0" w:tplc="04090007">
      <w:start w:val="1"/>
      <w:numFmt w:val="bullet"/>
      <w:lvlText w:val=""/>
      <w:lvlJc w:val="left"/>
      <w:pPr>
        <w:tabs>
          <w:tab w:val="num" w:pos="1004"/>
        </w:tabs>
        <w:ind w:left="1004" w:hanging="360"/>
      </w:pPr>
      <w:rPr>
        <w:rFonts w:ascii="Wingdings" w:hAnsi="Wingdings" w:hint="default"/>
        <w:sz w:val="16"/>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01C21CFD"/>
    <w:multiLevelType w:val="hybridMultilevel"/>
    <w:tmpl w:val="7638B648"/>
    <w:lvl w:ilvl="0" w:tplc="40090001">
      <w:start w:val="1"/>
      <w:numFmt w:val="bullet"/>
      <w:lvlText w:val=""/>
      <w:lvlJc w:val="left"/>
      <w:pPr>
        <w:ind w:left="720" w:hanging="360"/>
      </w:pPr>
      <w:rPr>
        <w:rFonts w:ascii="Symbol" w:hAnsi="Symbol" w:hint="default"/>
      </w:rPr>
    </w:lvl>
    <w:lvl w:ilvl="1" w:tplc="4009000F">
      <w:start w:val="1"/>
      <w:numFmt w:val="decimal"/>
      <w:lvlText w:val="%2."/>
      <w:lvlJc w:val="left"/>
      <w:pPr>
        <w:ind w:left="1440" w:hanging="360"/>
      </w:p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4B42D3C"/>
    <w:multiLevelType w:val="hybridMultilevel"/>
    <w:tmpl w:val="4422355A"/>
    <w:lvl w:ilvl="0" w:tplc="4009001B">
      <w:start w:val="1"/>
      <w:numFmt w:val="lowerRoman"/>
      <w:lvlText w:val="%1."/>
      <w:lvlJc w:val="righ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05483A89"/>
    <w:multiLevelType w:val="hybridMultilevel"/>
    <w:tmpl w:val="BE428DE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05CD3AA2"/>
    <w:multiLevelType w:val="hybridMultilevel"/>
    <w:tmpl w:val="55227D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6603DC1"/>
    <w:multiLevelType w:val="hybridMultilevel"/>
    <w:tmpl w:val="B2C00AD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08474CDA"/>
    <w:multiLevelType w:val="multilevel"/>
    <w:tmpl w:val="10EEF5E6"/>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2C031B"/>
    <w:multiLevelType w:val="singleLevel"/>
    <w:tmpl w:val="3BB28322"/>
    <w:lvl w:ilvl="0">
      <w:start w:val="1"/>
      <w:numFmt w:val="bullet"/>
      <w:lvlText w:val=""/>
      <w:lvlJc w:val="left"/>
      <w:pPr>
        <w:tabs>
          <w:tab w:val="num" w:pos="340"/>
        </w:tabs>
        <w:ind w:left="340" w:hanging="340"/>
      </w:pPr>
      <w:rPr>
        <w:rFonts w:ascii="Symbol" w:hAnsi="Symbol" w:hint="default"/>
        <w:color w:val="auto"/>
        <w:sz w:val="22"/>
      </w:rPr>
    </w:lvl>
  </w:abstractNum>
  <w:abstractNum w:abstractNumId="8" w15:restartNumberingAfterBreak="0">
    <w:nsid w:val="0B2C414A"/>
    <w:multiLevelType w:val="multilevel"/>
    <w:tmpl w:val="10EEF5E6"/>
    <w:lvl w:ilvl="0">
      <w:start w:val="1"/>
      <w:numFmt w:val="decimal"/>
      <w:lvlText w:val="%1."/>
      <w:lvlJc w:val="left"/>
      <w:pPr>
        <w:tabs>
          <w:tab w:val="num" w:pos="1080"/>
        </w:tabs>
        <w:ind w:left="1080" w:hanging="360"/>
      </w:pPr>
      <w:rPr>
        <w:rFonts w:hint="default"/>
        <w:sz w:val="20"/>
      </w:rPr>
    </w:lvl>
    <w:lvl w:ilvl="1">
      <w:start w:val="1"/>
      <w:numFmt w:val="decimal"/>
      <w:lvlText w:val="%2."/>
      <w:lvlJc w:val="left"/>
      <w:pPr>
        <w:ind w:left="1800" w:hanging="360"/>
      </w:pPr>
      <w:rPr>
        <w:rFont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0D077B58"/>
    <w:multiLevelType w:val="hybridMultilevel"/>
    <w:tmpl w:val="4BD475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0DCE5769"/>
    <w:multiLevelType w:val="hybridMultilevel"/>
    <w:tmpl w:val="650C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FC1F93"/>
    <w:multiLevelType w:val="hybridMultilevel"/>
    <w:tmpl w:val="E9BED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537A49"/>
    <w:multiLevelType w:val="hybridMultilevel"/>
    <w:tmpl w:val="13585AC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12C3731E"/>
    <w:multiLevelType w:val="hybridMultilevel"/>
    <w:tmpl w:val="0F00B80C"/>
    <w:lvl w:ilvl="0" w:tplc="40090019">
      <w:start w:val="1"/>
      <w:numFmt w:val="lowerLetter"/>
      <w:lvlText w:val="%1."/>
      <w:lvlJc w:val="left"/>
      <w:pPr>
        <w:ind w:left="1800" w:hanging="360"/>
      </w:pPr>
    </w:lvl>
    <w:lvl w:ilvl="1" w:tplc="40090019">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4" w15:restartNumberingAfterBreak="0">
    <w:nsid w:val="14A65F05"/>
    <w:multiLevelType w:val="hybridMultilevel"/>
    <w:tmpl w:val="2A5C648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15C3004F"/>
    <w:multiLevelType w:val="hybridMultilevel"/>
    <w:tmpl w:val="6422CDB0"/>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15:restartNumberingAfterBreak="0">
    <w:nsid w:val="17943BC8"/>
    <w:multiLevelType w:val="hybridMultilevel"/>
    <w:tmpl w:val="4594BCD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 w15:restartNumberingAfterBreak="0">
    <w:nsid w:val="17FF3D94"/>
    <w:multiLevelType w:val="hybridMultilevel"/>
    <w:tmpl w:val="A8262516"/>
    <w:lvl w:ilvl="0" w:tplc="40090019">
      <w:start w:val="1"/>
      <w:numFmt w:val="lowerLetter"/>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15:restartNumberingAfterBreak="0">
    <w:nsid w:val="194F1474"/>
    <w:multiLevelType w:val="multilevel"/>
    <w:tmpl w:val="E9864F6C"/>
    <w:lvl w:ilvl="0">
      <w:start w:val="7"/>
      <w:numFmt w:val="decimal"/>
      <w:lvlText w:val="%1."/>
      <w:lvlJc w:val="left"/>
      <w:pPr>
        <w:ind w:left="1211" w:hanging="360"/>
      </w:pPr>
      <w:rPr>
        <w:rFonts w:hint="default"/>
        <w:b w:val="0"/>
        <w:bCs w:val="0"/>
        <w:sz w:val="32"/>
        <w:szCs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9E05F69"/>
    <w:multiLevelType w:val="hybridMultilevel"/>
    <w:tmpl w:val="0CF8C62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0" w15:restartNumberingAfterBreak="0">
    <w:nsid w:val="1D767DA4"/>
    <w:multiLevelType w:val="hybridMultilevel"/>
    <w:tmpl w:val="9A24BCF2"/>
    <w:lvl w:ilvl="0" w:tplc="0EA4058E">
      <w:start w:val="1"/>
      <w:numFmt w:val="decimal"/>
      <w:lvlText w:val="%1."/>
      <w:lvlJc w:val="left"/>
      <w:pPr>
        <w:tabs>
          <w:tab w:val="num" w:pos="720"/>
        </w:tabs>
        <w:ind w:left="720" w:hanging="360"/>
      </w:pPr>
    </w:lvl>
    <w:lvl w:ilvl="1" w:tplc="8AC88186">
      <w:start w:val="1"/>
      <w:numFmt w:val="decimal"/>
      <w:lvlText w:val="%2."/>
      <w:lvlJc w:val="left"/>
      <w:pPr>
        <w:tabs>
          <w:tab w:val="num" w:pos="1440"/>
        </w:tabs>
        <w:ind w:left="1440" w:hanging="360"/>
      </w:pPr>
    </w:lvl>
    <w:lvl w:ilvl="2" w:tplc="63FE5EC8" w:tentative="1">
      <w:start w:val="1"/>
      <w:numFmt w:val="decimal"/>
      <w:lvlText w:val="%3."/>
      <w:lvlJc w:val="left"/>
      <w:pPr>
        <w:tabs>
          <w:tab w:val="num" w:pos="2160"/>
        </w:tabs>
        <w:ind w:left="2160" w:hanging="360"/>
      </w:pPr>
    </w:lvl>
    <w:lvl w:ilvl="3" w:tplc="83F83616" w:tentative="1">
      <w:start w:val="1"/>
      <w:numFmt w:val="decimal"/>
      <w:lvlText w:val="%4."/>
      <w:lvlJc w:val="left"/>
      <w:pPr>
        <w:tabs>
          <w:tab w:val="num" w:pos="2880"/>
        </w:tabs>
        <w:ind w:left="2880" w:hanging="360"/>
      </w:pPr>
    </w:lvl>
    <w:lvl w:ilvl="4" w:tplc="5A468580" w:tentative="1">
      <w:start w:val="1"/>
      <w:numFmt w:val="decimal"/>
      <w:lvlText w:val="%5."/>
      <w:lvlJc w:val="left"/>
      <w:pPr>
        <w:tabs>
          <w:tab w:val="num" w:pos="3600"/>
        </w:tabs>
        <w:ind w:left="3600" w:hanging="360"/>
      </w:pPr>
    </w:lvl>
    <w:lvl w:ilvl="5" w:tplc="FB2435A2" w:tentative="1">
      <w:start w:val="1"/>
      <w:numFmt w:val="decimal"/>
      <w:lvlText w:val="%6."/>
      <w:lvlJc w:val="left"/>
      <w:pPr>
        <w:tabs>
          <w:tab w:val="num" w:pos="4320"/>
        </w:tabs>
        <w:ind w:left="4320" w:hanging="360"/>
      </w:pPr>
    </w:lvl>
    <w:lvl w:ilvl="6" w:tplc="D9AAF9D4" w:tentative="1">
      <w:start w:val="1"/>
      <w:numFmt w:val="decimal"/>
      <w:lvlText w:val="%7."/>
      <w:lvlJc w:val="left"/>
      <w:pPr>
        <w:tabs>
          <w:tab w:val="num" w:pos="5040"/>
        </w:tabs>
        <w:ind w:left="5040" w:hanging="360"/>
      </w:pPr>
    </w:lvl>
    <w:lvl w:ilvl="7" w:tplc="000C210E" w:tentative="1">
      <w:start w:val="1"/>
      <w:numFmt w:val="decimal"/>
      <w:lvlText w:val="%8."/>
      <w:lvlJc w:val="left"/>
      <w:pPr>
        <w:tabs>
          <w:tab w:val="num" w:pos="5760"/>
        </w:tabs>
        <w:ind w:left="5760" w:hanging="360"/>
      </w:pPr>
    </w:lvl>
    <w:lvl w:ilvl="8" w:tplc="6BE2386A" w:tentative="1">
      <w:start w:val="1"/>
      <w:numFmt w:val="decimal"/>
      <w:lvlText w:val="%9."/>
      <w:lvlJc w:val="left"/>
      <w:pPr>
        <w:tabs>
          <w:tab w:val="num" w:pos="6480"/>
        </w:tabs>
        <w:ind w:left="6480" w:hanging="360"/>
      </w:pPr>
    </w:lvl>
  </w:abstractNum>
  <w:abstractNum w:abstractNumId="21" w15:restartNumberingAfterBreak="0">
    <w:nsid w:val="1F6D541B"/>
    <w:multiLevelType w:val="multilevel"/>
    <w:tmpl w:val="EE561494"/>
    <w:lvl w:ilvl="0">
      <w:start w:val="1"/>
      <w:numFmt w:val="decimal"/>
      <w:lvlText w:val="%1."/>
      <w:lvlJc w:val="left"/>
      <w:pPr>
        <w:ind w:left="1080" w:hanging="360"/>
      </w:pPr>
    </w:lvl>
    <w:lvl w:ilvl="1">
      <w:start w:val="1"/>
      <w:numFmt w:val="decimal"/>
      <w:isLgl/>
      <w:lvlText w:val="%1.%2"/>
      <w:lvlJc w:val="left"/>
      <w:pPr>
        <w:ind w:left="1383" w:hanging="390"/>
      </w:pPr>
      <w:rPr>
        <w:rFonts w:hint="default"/>
      </w:rPr>
    </w:lvl>
    <w:lvl w:ilvl="2">
      <w:start w:val="1"/>
      <w:numFmt w:val="decimal"/>
      <w:isLgl/>
      <w:lvlText w:val="%1.%2.%3"/>
      <w:lvlJc w:val="left"/>
      <w:pPr>
        <w:ind w:left="1986" w:hanging="720"/>
      </w:pPr>
      <w:rPr>
        <w:rFonts w:hint="default"/>
      </w:rPr>
    </w:lvl>
    <w:lvl w:ilvl="3">
      <w:start w:val="1"/>
      <w:numFmt w:val="decimal"/>
      <w:isLgl/>
      <w:lvlText w:val="%1.%2.%3.%4"/>
      <w:lvlJc w:val="left"/>
      <w:pPr>
        <w:ind w:left="2259" w:hanging="720"/>
      </w:pPr>
      <w:rPr>
        <w:rFonts w:hint="default"/>
      </w:rPr>
    </w:lvl>
    <w:lvl w:ilvl="4">
      <w:start w:val="1"/>
      <w:numFmt w:val="decimal"/>
      <w:isLgl/>
      <w:lvlText w:val="%1.%2.%3.%4.%5"/>
      <w:lvlJc w:val="left"/>
      <w:pPr>
        <w:ind w:left="2892"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798" w:hanging="1440"/>
      </w:pPr>
      <w:rPr>
        <w:rFonts w:hint="default"/>
      </w:rPr>
    </w:lvl>
    <w:lvl w:ilvl="7">
      <w:start w:val="1"/>
      <w:numFmt w:val="decimal"/>
      <w:isLgl/>
      <w:lvlText w:val="%1.%2.%3.%4.%5.%6.%7.%8"/>
      <w:lvlJc w:val="left"/>
      <w:pPr>
        <w:ind w:left="4071" w:hanging="1440"/>
      </w:pPr>
      <w:rPr>
        <w:rFonts w:hint="default"/>
      </w:rPr>
    </w:lvl>
    <w:lvl w:ilvl="8">
      <w:start w:val="1"/>
      <w:numFmt w:val="decimal"/>
      <w:isLgl/>
      <w:lvlText w:val="%1.%2.%3.%4.%5.%6.%7.%8.%9"/>
      <w:lvlJc w:val="left"/>
      <w:pPr>
        <w:ind w:left="4704" w:hanging="1800"/>
      </w:pPr>
      <w:rPr>
        <w:rFonts w:hint="default"/>
      </w:rPr>
    </w:lvl>
  </w:abstractNum>
  <w:abstractNum w:abstractNumId="22" w15:restartNumberingAfterBreak="0">
    <w:nsid w:val="20E05883"/>
    <w:multiLevelType w:val="hybridMultilevel"/>
    <w:tmpl w:val="BF663D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21445D60"/>
    <w:multiLevelType w:val="hybridMultilevel"/>
    <w:tmpl w:val="ECDE9282"/>
    <w:lvl w:ilvl="0" w:tplc="0409000F">
      <w:start w:val="1"/>
      <w:numFmt w:val="decimal"/>
      <w:lvlText w:val="%1."/>
      <w:lvlJc w:val="left"/>
      <w:pPr>
        <w:ind w:left="360" w:hanging="360"/>
      </w:pPr>
      <w:rPr>
        <w:i w:val="0"/>
      </w:rPr>
    </w:lvl>
    <w:lvl w:ilvl="1" w:tplc="04090019">
      <w:start w:val="1"/>
      <w:numFmt w:val="lowerLetter"/>
      <w:lvlText w:val="%2."/>
      <w:lvlJc w:val="left"/>
      <w:pPr>
        <w:ind w:left="1080" w:hanging="360"/>
      </w:pPr>
    </w:lvl>
    <w:lvl w:ilvl="2" w:tplc="F8A0BAEA">
      <w:start w:val="1"/>
      <w:numFmt w:val="decimal"/>
      <w:lvlText w:val="%3"/>
      <w:lvlJc w:val="left"/>
      <w:pPr>
        <w:ind w:left="2340" w:hanging="72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24396480"/>
    <w:multiLevelType w:val="hybridMultilevel"/>
    <w:tmpl w:val="64EC30C4"/>
    <w:lvl w:ilvl="0" w:tplc="FFFFFFFF">
      <w:start w:val="1"/>
      <w:numFmt w:val="decimal"/>
      <w:lvlText w:val="%1."/>
      <w:lvlJc w:val="left"/>
      <w:pPr>
        <w:tabs>
          <w:tab w:val="num" w:pos="720"/>
        </w:tabs>
        <w:ind w:left="720" w:hanging="360"/>
      </w:pPr>
      <w:rPr>
        <w:rFonts w:cs="Times New Roman"/>
      </w:rPr>
    </w:lvl>
    <w:lvl w:ilvl="1" w:tplc="FFFFFFFF">
      <w:numFmt w:val="bullet"/>
      <w:lvlText w:val="-"/>
      <w:lvlJc w:val="left"/>
      <w:pPr>
        <w:tabs>
          <w:tab w:val="num" w:pos="1440"/>
        </w:tabs>
        <w:ind w:left="1440" w:hanging="360"/>
      </w:pPr>
      <w:rPr>
        <w:rFonts w:ascii="Times New Roman" w:eastAsia="Arial Unicode MS" w:hAnsi="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15:restartNumberingAfterBreak="0">
    <w:nsid w:val="24522335"/>
    <w:multiLevelType w:val="hybridMultilevel"/>
    <w:tmpl w:val="A6AEFD46"/>
    <w:lvl w:ilvl="0" w:tplc="40090001">
      <w:start w:val="1"/>
      <w:numFmt w:val="bullet"/>
      <w:lvlText w:val=""/>
      <w:lvlJc w:val="left"/>
      <w:pPr>
        <w:ind w:left="360" w:hanging="360"/>
      </w:pPr>
      <w:rPr>
        <w:rFonts w:ascii="Symbol" w:hAnsi="Symbol" w:hint="default"/>
      </w:rPr>
    </w:lvl>
    <w:lvl w:ilvl="1" w:tplc="EFD41CB0">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25CD6E92"/>
    <w:multiLevelType w:val="hybridMultilevel"/>
    <w:tmpl w:val="3968DD7A"/>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7" w15:restartNumberingAfterBreak="0">
    <w:nsid w:val="27CF6670"/>
    <w:multiLevelType w:val="hybridMultilevel"/>
    <w:tmpl w:val="2DACA38E"/>
    <w:lvl w:ilvl="0" w:tplc="40090019">
      <w:start w:val="1"/>
      <w:numFmt w:val="low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27D70ACC"/>
    <w:multiLevelType w:val="multilevel"/>
    <w:tmpl w:val="10EEF5E6"/>
    <w:lvl w:ilvl="0">
      <w:start w:val="1"/>
      <w:numFmt w:val="decimal"/>
      <w:lvlText w:val="%1."/>
      <w:lvlJc w:val="left"/>
      <w:pPr>
        <w:tabs>
          <w:tab w:val="num" w:pos="1080"/>
        </w:tabs>
        <w:ind w:left="1080" w:hanging="360"/>
      </w:pPr>
      <w:rPr>
        <w:rFonts w:hint="default"/>
        <w:sz w:val="20"/>
      </w:rPr>
    </w:lvl>
    <w:lvl w:ilvl="1">
      <w:start w:val="1"/>
      <w:numFmt w:val="decimal"/>
      <w:lvlText w:val="%2."/>
      <w:lvlJc w:val="left"/>
      <w:pPr>
        <w:ind w:left="1800" w:hanging="360"/>
      </w:pPr>
      <w:rPr>
        <w:rFont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9" w15:restartNumberingAfterBreak="0">
    <w:nsid w:val="297828A3"/>
    <w:multiLevelType w:val="hybridMultilevel"/>
    <w:tmpl w:val="9A24BCF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0" w15:restartNumberingAfterBreak="0">
    <w:nsid w:val="299560DC"/>
    <w:multiLevelType w:val="hybridMultilevel"/>
    <w:tmpl w:val="4C9A3570"/>
    <w:lvl w:ilvl="0" w:tplc="4009000F">
      <w:start w:val="1"/>
      <w:numFmt w:val="decimal"/>
      <w:lvlText w:val="%1."/>
      <w:lvlJc w:val="left"/>
      <w:pPr>
        <w:ind w:left="360" w:hanging="360"/>
      </w:pPr>
    </w:lvl>
    <w:lvl w:ilvl="1" w:tplc="94483912">
      <w:start w:val="1"/>
      <w:numFmt w:val="lowerLetter"/>
      <w:lvlText w:val="%2)"/>
      <w:lvlJc w:val="left"/>
      <w:pPr>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1" w15:restartNumberingAfterBreak="0">
    <w:nsid w:val="29D04C72"/>
    <w:multiLevelType w:val="multilevel"/>
    <w:tmpl w:val="EC807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A6F1AD4"/>
    <w:multiLevelType w:val="hybridMultilevel"/>
    <w:tmpl w:val="03D459C8"/>
    <w:lvl w:ilvl="0" w:tplc="40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BEB1B9A"/>
    <w:multiLevelType w:val="hybridMultilevel"/>
    <w:tmpl w:val="5302F53A"/>
    <w:lvl w:ilvl="0" w:tplc="40090001">
      <w:start w:val="1"/>
      <w:numFmt w:val="bullet"/>
      <w:lvlText w:val=""/>
      <w:lvlJc w:val="left"/>
      <w:pPr>
        <w:ind w:left="777" w:hanging="360"/>
      </w:pPr>
      <w:rPr>
        <w:rFonts w:ascii="Symbol" w:hAnsi="Symbol" w:hint="default"/>
      </w:rPr>
    </w:lvl>
    <w:lvl w:ilvl="1" w:tplc="40090003" w:tentative="1">
      <w:start w:val="1"/>
      <w:numFmt w:val="bullet"/>
      <w:lvlText w:val="o"/>
      <w:lvlJc w:val="left"/>
      <w:pPr>
        <w:ind w:left="1497" w:hanging="360"/>
      </w:pPr>
      <w:rPr>
        <w:rFonts w:ascii="Courier New" w:hAnsi="Courier New" w:cs="Courier New" w:hint="default"/>
      </w:rPr>
    </w:lvl>
    <w:lvl w:ilvl="2" w:tplc="40090005" w:tentative="1">
      <w:start w:val="1"/>
      <w:numFmt w:val="bullet"/>
      <w:lvlText w:val=""/>
      <w:lvlJc w:val="left"/>
      <w:pPr>
        <w:ind w:left="2217" w:hanging="360"/>
      </w:pPr>
      <w:rPr>
        <w:rFonts w:ascii="Wingdings" w:hAnsi="Wingdings" w:hint="default"/>
      </w:rPr>
    </w:lvl>
    <w:lvl w:ilvl="3" w:tplc="40090001" w:tentative="1">
      <w:start w:val="1"/>
      <w:numFmt w:val="bullet"/>
      <w:lvlText w:val=""/>
      <w:lvlJc w:val="left"/>
      <w:pPr>
        <w:ind w:left="2937" w:hanging="360"/>
      </w:pPr>
      <w:rPr>
        <w:rFonts w:ascii="Symbol" w:hAnsi="Symbol" w:hint="default"/>
      </w:rPr>
    </w:lvl>
    <w:lvl w:ilvl="4" w:tplc="40090003" w:tentative="1">
      <w:start w:val="1"/>
      <w:numFmt w:val="bullet"/>
      <w:lvlText w:val="o"/>
      <w:lvlJc w:val="left"/>
      <w:pPr>
        <w:ind w:left="3657" w:hanging="360"/>
      </w:pPr>
      <w:rPr>
        <w:rFonts w:ascii="Courier New" w:hAnsi="Courier New" w:cs="Courier New" w:hint="default"/>
      </w:rPr>
    </w:lvl>
    <w:lvl w:ilvl="5" w:tplc="40090005" w:tentative="1">
      <w:start w:val="1"/>
      <w:numFmt w:val="bullet"/>
      <w:lvlText w:val=""/>
      <w:lvlJc w:val="left"/>
      <w:pPr>
        <w:ind w:left="4377" w:hanging="360"/>
      </w:pPr>
      <w:rPr>
        <w:rFonts w:ascii="Wingdings" w:hAnsi="Wingdings" w:hint="default"/>
      </w:rPr>
    </w:lvl>
    <w:lvl w:ilvl="6" w:tplc="40090001" w:tentative="1">
      <w:start w:val="1"/>
      <w:numFmt w:val="bullet"/>
      <w:lvlText w:val=""/>
      <w:lvlJc w:val="left"/>
      <w:pPr>
        <w:ind w:left="5097" w:hanging="360"/>
      </w:pPr>
      <w:rPr>
        <w:rFonts w:ascii="Symbol" w:hAnsi="Symbol" w:hint="default"/>
      </w:rPr>
    </w:lvl>
    <w:lvl w:ilvl="7" w:tplc="40090003" w:tentative="1">
      <w:start w:val="1"/>
      <w:numFmt w:val="bullet"/>
      <w:lvlText w:val="o"/>
      <w:lvlJc w:val="left"/>
      <w:pPr>
        <w:ind w:left="5817" w:hanging="360"/>
      </w:pPr>
      <w:rPr>
        <w:rFonts w:ascii="Courier New" w:hAnsi="Courier New" w:cs="Courier New" w:hint="default"/>
      </w:rPr>
    </w:lvl>
    <w:lvl w:ilvl="8" w:tplc="40090005" w:tentative="1">
      <w:start w:val="1"/>
      <w:numFmt w:val="bullet"/>
      <w:lvlText w:val=""/>
      <w:lvlJc w:val="left"/>
      <w:pPr>
        <w:ind w:left="6537" w:hanging="360"/>
      </w:pPr>
      <w:rPr>
        <w:rFonts w:ascii="Wingdings" w:hAnsi="Wingdings" w:hint="default"/>
      </w:rPr>
    </w:lvl>
  </w:abstractNum>
  <w:abstractNum w:abstractNumId="34" w15:restartNumberingAfterBreak="0">
    <w:nsid w:val="2C2A0A31"/>
    <w:multiLevelType w:val="multilevel"/>
    <w:tmpl w:val="C750E3F4"/>
    <w:lvl w:ilvl="0">
      <w:start w:val="1"/>
      <w:numFmt w:val="decimal"/>
      <w:lvlText w:val="%1."/>
      <w:lvlJc w:val="left"/>
      <w:pPr>
        <w:tabs>
          <w:tab w:val="num" w:pos="360"/>
        </w:tabs>
        <w:ind w:left="360" w:hanging="360"/>
      </w:pPr>
      <w:rPr>
        <w:rFonts w:asciiTheme="minorHAnsi" w:eastAsia="Batang" w:hAnsiTheme="minorHAnsi" w:cstheme="minorHAnsi" w:hint="default"/>
        <w:b/>
      </w:rPr>
    </w:lvl>
    <w:lvl w:ilvl="1">
      <w:start w:val="4"/>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2C9C217F"/>
    <w:multiLevelType w:val="singleLevel"/>
    <w:tmpl w:val="DF1A99F8"/>
    <w:lvl w:ilvl="0">
      <w:start w:val="1"/>
      <w:numFmt w:val="bullet"/>
      <w:pStyle w:val="ListBullet"/>
      <w:lvlText w:val=""/>
      <w:lvlJc w:val="left"/>
      <w:pPr>
        <w:tabs>
          <w:tab w:val="num" w:pos="340"/>
        </w:tabs>
        <w:ind w:left="340" w:hanging="340"/>
      </w:pPr>
      <w:rPr>
        <w:rFonts w:ascii="Symbol" w:hAnsi="Symbol" w:hint="default"/>
        <w:color w:val="auto"/>
        <w:sz w:val="22"/>
      </w:rPr>
    </w:lvl>
  </w:abstractNum>
  <w:abstractNum w:abstractNumId="36" w15:restartNumberingAfterBreak="0">
    <w:nsid w:val="2DAA7C3D"/>
    <w:multiLevelType w:val="multilevel"/>
    <w:tmpl w:val="ECAAF9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00E411A"/>
    <w:multiLevelType w:val="hybridMultilevel"/>
    <w:tmpl w:val="A482B72A"/>
    <w:lvl w:ilvl="0" w:tplc="FB709EDE">
      <w:start w:val="5"/>
      <w:numFmt w:val="bullet"/>
      <w:lvlText w:val="•"/>
      <w:lvlJc w:val="left"/>
      <w:pPr>
        <w:ind w:left="870" w:hanging="51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327458F4"/>
    <w:multiLevelType w:val="multilevel"/>
    <w:tmpl w:val="92B6F68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2B57DF4"/>
    <w:multiLevelType w:val="hybridMultilevel"/>
    <w:tmpl w:val="98BAC2A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33021B12"/>
    <w:multiLevelType w:val="hybridMultilevel"/>
    <w:tmpl w:val="6988F3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33B56A07"/>
    <w:multiLevelType w:val="hybridMultilevel"/>
    <w:tmpl w:val="98C8CB1C"/>
    <w:lvl w:ilvl="0" w:tplc="CF66F4EC">
      <w:start w:val="1"/>
      <w:numFmt w:val="decimal"/>
      <w:pStyle w:val="Heading3"/>
      <w:lvlText w:val="7.1.%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34BA7655"/>
    <w:multiLevelType w:val="hybridMultilevel"/>
    <w:tmpl w:val="B882E712"/>
    <w:lvl w:ilvl="0" w:tplc="FB709EDE">
      <w:start w:val="5"/>
      <w:numFmt w:val="bullet"/>
      <w:lvlText w:val="•"/>
      <w:lvlJc w:val="left"/>
      <w:pPr>
        <w:ind w:left="870" w:hanging="51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35C61B0F"/>
    <w:multiLevelType w:val="multilevel"/>
    <w:tmpl w:val="69AC723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5D72D41"/>
    <w:multiLevelType w:val="hybridMultilevel"/>
    <w:tmpl w:val="2544128A"/>
    <w:lvl w:ilvl="0" w:tplc="FB709EDE">
      <w:start w:val="5"/>
      <w:numFmt w:val="bullet"/>
      <w:lvlText w:val="•"/>
      <w:lvlJc w:val="left"/>
      <w:pPr>
        <w:ind w:left="870" w:hanging="51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3923314C"/>
    <w:multiLevelType w:val="hybridMultilevel"/>
    <w:tmpl w:val="548297D4"/>
    <w:lvl w:ilvl="0" w:tplc="2C3AF2A6">
      <w:start w:val="1"/>
      <w:numFmt w:val="decimal"/>
      <w:lvlText w:val="%1."/>
      <w:lvlJc w:val="left"/>
      <w:pPr>
        <w:ind w:left="360" w:hanging="360"/>
      </w:pPr>
      <w:rPr>
        <w:strike w:val="0"/>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6" w15:restartNumberingAfterBreak="0">
    <w:nsid w:val="39C33C7B"/>
    <w:multiLevelType w:val="hybridMultilevel"/>
    <w:tmpl w:val="DBA609D0"/>
    <w:lvl w:ilvl="0" w:tplc="FB709EDE">
      <w:start w:val="5"/>
      <w:numFmt w:val="bullet"/>
      <w:lvlText w:val="•"/>
      <w:lvlJc w:val="left"/>
      <w:pPr>
        <w:ind w:left="870" w:hanging="51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3A8074FB"/>
    <w:multiLevelType w:val="hybridMultilevel"/>
    <w:tmpl w:val="66BE1890"/>
    <w:lvl w:ilvl="0" w:tplc="40090001">
      <w:start w:val="1"/>
      <w:numFmt w:val="bullet"/>
      <w:lvlText w:val=""/>
      <w:lvlJc w:val="left"/>
      <w:pPr>
        <w:ind w:left="720" w:hanging="360"/>
      </w:pPr>
      <w:rPr>
        <w:rFonts w:ascii="Symbol" w:hAnsi="Symbol" w:hint="default"/>
      </w:rPr>
    </w:lvl>
    <w:lvl w:ilvl="1" w:tplc="94ECB28A">
      <w:start w:val="1"/>
      <w:numFmt w:val="decimal"/>
      <w:lvlText w:val="%2)"/>
      <w:lvlJc w:val="left"/>
      <w:pPr>
        <w:ind w:left="1440" w:hanging="360"/>
      </w:p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3D0F1D36"/>
    <w:multiLevelType w:val="multilevel"/>
    <w:tmpl w:val="9DD22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D4C3D28"/>
    <w:multiLevelType w:val="hybridMultilevel"/>
    <w:tmpl w:val="D1F42F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15:restartNumberingAfterBreak="0">
    <w:nsid w:val="40AD7F8D"/>
    <w:multiLevelType w:val="hybridMultilevel"/>
    <w:tmpl w:val="37A4FEDC"/>
    <w:lvl w:ilvl="0" w:tplc="FB709EDE">
      <w:start w:val="5"/>
      <w:numFmt w:val="bullet"/>
      <w:lvlText w:val="•"/>
      <w:lvlJc w:val="left"/>
      <w:pPr>
        <w:ind w:left="870" w:hanging="51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15:restartNumberingAfterBreak="0">
    <w:nsid w:val="42C84115"/>
    <w:multiLevelType w:val="hybridMultilevel"/>
    <w:tmpl w:val="84A636D6"/>
    <w:lvl w:ilvl="0" w:tplc="0409001B">
      <w:start w:val="1"/>
      <w:numFmt w:val="lowerRoman"/>
      <w:lvlText w:val="%1."/>
      <w:lvlJc w:val="right"/>
      <w:pPr>
        <w:ind w:left="360" w:hanging="360"/>
      </w:pPr>
      <w:rPr>
        <w:i w:val="0"/>
      </w:rPr>
    </w:lvl>
    <w:lvl w:ilvl="1" w:tplc="04090019">
      <w:start w:val="1"/>
      <w:numFmt w:val="lowerLetter"/>
      <w:lvlText w:val="%2."/>
      <w:lvlJc w:val="left"/>
      <w:pPr>
        <w:ind w:left="1080" w:hanging="360"/>
      </w:pPr>
    </w:lvl>
    <w:lvl w:ilvl="2" w:tplc="F8A0BAEA">
      <w:start w:val="1"/>
      <w:numFmt w:val="decimal"/>
      <w:lvlText w:val="%3"/>
      <w:lvlJc w:val="left"/>
      <w:pPr>
        <w:ind w:left="2340" w:hanging="720"/>
      </w:pPr>
    </w:lvl>
    <w:lvl w:ilvl="3" w:tplc="94ECB28A">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2" w15:restartNumberingAfterBreak="0">
    <w:nsid w:val="433B6377"/>
    <w:multiLevelType w:val="hybridMultilevel"/>
    <w:tmpl w:val="55C016A2"/>
    <w:lvl w:ilvl="0" w:tplc="EAF44AC2">
      <w:start w:val="9"/>
      <w:numFmt w:val="lowerLetter"/>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53" w15:restartNumberingAfterBreak="0">
    <w:nsid w:val="452F711A"/>
    <w:multiLevelType w:val="multilevel"/>
    <w:tmpl w:val="664AA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6086FFC"/>
    <w:multiLevelType w:val="hybridMultilevel"/>
    <w:tmpl w:val="EFEA86B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5" w15:restartNumberingAfterBreak="0">
    <w:nsid w:val="488265D9"/>
    <w:multiLevelType w:val="hybridMultilevel"/>
    <w:tmpl w:val="3AD43C02"/>
    <w:lvl w:ilvl="0" w:tplc="4009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8AE0EA3"/>
    <w:multiLevelType w:val="hybridMultilevel"/>
    <w:tmpl w:val="AC247BEA"/>
    <w:lvl w:ilvl="0" w:tplc="8B500262">
      <w:start w:val="9"/>
      <w:numFmt w:val="lowerLetter"/>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57" w15:restartNumberingAfterBreak="0">
    <w:nsid w:val="4B7A47CC"/>
    <w:multiLevelType w:val="hybridMultilevel"/>
    <w:tmpl w:val="D12AF3F4"/>
    <w:lvl w:ilvl="0" w:tplc="40090001">
      <w:start w:val="1"/>
      <w:numFmt w:val="bullet"/>
      <w:lvlText w:val=""/>
      <w:lvlJc w:val="left"/>
      <w:pPr>
        <w:ind w:left="720" w:hanging="360"/>
      </w:pPr>
      <w:rPr>
        <w:rFonts w:ascii="Symbol" w:hAnsi="Symbol" w:hint="default"/>
      </w:rPr>
    </w:lvl>
    <w:lvl w:ilvl="1" w:tplc="4009001B">
      <w:start w:val="1"/>
      <w:numFmt w:val="lowerRoman"/>
      <w:lvlText w:val="%2."/>
      <w:lvlJc w:val="right"/>
      <w:pPr>
        <w:ind w:left="1440" w:hanging="360"/>
      </w:pPr>
    </w:lvl>
    <w:lvl w:ilvl="2" w:tplc="B074DE60">
      <w:start w:val="1"/>
      <w:numFmt w:val="bullet"/>
      <w:lvlText w:val=""/>
      <w:lvlJc w:val="left"/>
      <w:pPr>
        <w:ind w:left="2160" w:hanging="360"/>
      </w:pPr>
      <w:rPr>
        <w:rFonts w:ascii="Symbol" w:hAnsi="Symbol"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8" w15:restartNumberingAfterBreak="0">
    <w:nsid w:val="4D4A493C"/>
    <w:multiLevelType w:val="hybridMultilevel"/>
    <w:tmpl w:val="ACE2DBEA"/>
    <w:lvl w:ilvl="0" w:tplc="40090017">
      <w:start w:val="1"/>
      <w:numFmt w:val="lowerLetter"/>
      <w:lvlText w:val="%1)"/>
      <w:lvlJc w:val="left"/>
      <w:pPr>
        <w:ind w:left="720" w:hanging="360"/>
      </w:pPr>
    </w:lvl>
    <w:lvl w:ilvl="1" w:tplc="4009001B">
      <w:start w:val="1"/>
      <w:numFmt w:val="lowerRoman"/>
      <w:lvlText w:val="%2."/>
      <w:lvlJc w:val="righ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9" w15:restartNumberingAfterBreak="0">
    <w:nsid w:val="4E944973"/>
    <w:multiLevelType w:val="hybridMultilevel"/>
    <w:tmpl w:val="04102D28"/>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0" w15:restartNumberingAfterBreak="0">
    <w:nsid w:val="50785AAB"/>
    <w:multiLevelType w:val="hybridMultilevel"/>
    <w:tmpl w:val="16260956"/>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1" w15:restartNumberingAfterBreak="0">
    <w:nsid w:val="529F5707"/>
    <w:multiLevelType w:val="hybridMultilevel"/>
    <w:tmpl w:val="D474DFD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2" w15:restartNumberingAfterBreak="0">
    <w:nsid w:val="52B5423E"/>
    <w:multiLevelType w:val="hybridMultilevel"/>
    <w:tmpl w:val="FDFC2EFA"/>
    <w:lvl w:ilvl="0" w:tplc="4009001B">
      <w:start w:val="1"/>
      <w:numFmt w:val="lowerRoman"/>
      <w:lvlText w:val="%1."/>
      <w:lvlJc w:val="righ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3" w15:restartNumberingAfterBreak="0">
    <w:nsid w:val="53BC2358"/>
    <w:multiLevelType w:val="hybridMultilevel"/>
    <w:tmpl w:val="4DBC7848"/>
    <w:lvl w:ilvl="0" w:tplc="FB709EDE">
      <w:start w:val="5"/>
      <w:numFmt w:val="bullet"/>
      <w:lvlText w:val="•"/>
      <w:lvlJc w:val="left"/>
      <w:pPr>
        <w:ind w:left="870" w:hanging="51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4" w15:restartNumberingAfterBreak="0">
    <w:nsid w:val="58BC5A34"/>
    <w:multiLevelType w:val="hybridMultilevel"/>
    <w:tmpl w:val="9EB4010E"/>
    <w:lvl w:ilvl="0" w:tplc="FFFFFFFF">
      <w:start w:val="1"/>
      <w:numFmt w:val="lowerRoman"/>
      <w:lvlText w:val="%1."/>
      <w:lvlJc w:val="right"/>
      <w:pPr>
        <w:ind w:left="720" w:hanging="360"/>
      </w:pPr>
      <w:rPr>
        <w:rFonts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15:restartNumberingAfterBreak="0">
    <w:nsid w:val="5C2662E5"/>
    <w:multiLevelType w:val="hybridMultilevel"/>
    <w:tmpl w:val="75FA5A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6" w15:restartNumberingAfterBreak="0">
    <w:nsid w:val="5CCC5551"/>
    <w:multiLevelType w:val="hybridMultilevel"/>
    <w:tmpl w:val="90CAF722"/>
    <w:lvl w:ilvl="0" w:tplc="40090019">
      <w:start w:val="1"/>
      <w:numFmt w:val="lowerLetter"/>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7" w15:restartNumberingAfterBreak="0">
    <w:nsid w:val="5CCE0CC7"/>
    <w:multiLevelType w:val="hybridMultilevel"/>
    <w:tmpl w:val="A440DAD0"/>
    <w:lvl w:ilvl="0" w:tplc="40090019">
      <w:start w:val="1"/>
      <w:numFmt w:val="lowerLetter"/>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8" w15:restartNumberingAfterBreak="0">
    <w:nsid w:val="5D572B8E"/>
    <w:multiLevelType w:val="multilevel"/>
    <w:tmpl w:val="10EEF5E6"/>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D7E6F52"/>
    <w:multiLevelType w:val="hybridMultilevel"/>
    <w:tmpl w:val="91829542"/>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0" w15:restartNumberingAfterBreak="0">
    <w:nsid w:val="5E7917B8"/>
    <w:multiLevelType w:val="multilevel"/>
    <w:tmpl w:val="F180739A"/>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EBC1AF4"/>
    <w:multiLevelType w:val="hybridMultilevel"/>
    <w:tmpl w:val="8E4C862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2" w15:restartNumberingAfterBreak="0">
    <w:nsid w:val="60B850A0"/>
    <w:multiLevelType w:val="hybridMultilevel"/>
    <w:tmpl w:val="0C9AB7B8"/>
    <w:lvl w:ilvl="0" w:tplc="968C1B9E">
      <w:start w:val="1"/>
      <w:numFmt w:val="lowerRoman"/>
      <w:lvlText w:val="%1."/>
      <w:lvlJc w:val="left"/>
      <w:pPr>
        <w:ind w:left="720" w:hanging="720"/>
      </w:pPr>
      <w:rPr>
        <w:rFonts w:hint="default"/>
      </w:rPr>
    </w:lvl>
    <w:lvl w:ilvl="1" w:tplc="E904DB2E">
      <w:start w:val="1"/>
      <w:numFmt w:val="lowerRoman"/>
      <w:lvlText w:val="(%2)"/>
      <w:lvlJc w:val="left"/>
      <w:pPr>
        <w:ind w:left="1440" w:hanging="72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3" w15:restartNumberingAfterBreak="0">
    <w:nsid w:val="63797659"/>
    <w:multiLevelType w:val="hybridMultilevel"/>
    <w:tmpl w:val="3EF6B856"/>
    <w:lvl w:ilvl="0" w:tplc="33386D5A">
      <w:start w:val="1"/>
      <w:numFmt w:val="lowerRoman"/>
      <w:lvlText w:val="%1."/>
      <w:lvlJc w:val="left"/>
      <w:pPr>
        <w:ind w:left="1080" w:hanging="720"/>
      </w:pPr>
      <w:rPr>
        <w:rFonts w:hint="default"/>
      </w:rPr>
    </w:lvl>
    <w:lvl w:ilvl="1" w:tplc="281AC948">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4" w15:restartNumberingAfterBreak="0">
    <w:nsid w:val="691758EA"/>
    <w:multiLevelType w:val="multilevel"/>
    <w:tmpl w:val="88F4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B0C7D00"/>
    <w:multiLevelType w:val="hybridMultilevel"/>
    <w:tmpl w:val="7540B7B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6" w15:restartNumberingAfterBreak="0">
    <w:nsid w:val="6C041134"/>
    <w:multiLevelType w:val="hybridMultilevel"/>
    <w:tmpl w:val="6E0E96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7" w15:restartNumberingAfterBreak="0">
    <w:nsid w:val="6C77584E"/>
    <w:multiLevelType w:val="hybridMultilevel"/>
    <w:tmpl w:val="C354DF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8" w15:restartNumberingAfterBreak="0">
    <w:nsid w:val="6CAD7F1A"/>
    <w:multiLevelType w:val="hybridMultilevel"/>
    <w:tmpl w:val="ECDE9282"/>
    <w:lvl w:ilvl="0" w:tplc="FFFFFFFF">
      <w:start w:val="1"/>
      <w:numFmt w:val="decimal"/>
      <w:lvlText w:val="%1."/>
      <w:lvlJc w:val="left"/>
      <w:pPr>
        <w:ind w:left="360" w:hanging="360"/>
      </w:pPr>
      <w:rPr>
        <w:i w:val="0"/>
      </w:rPr>
    </w:lvl>
    <w:lvl w:ilvl="1" w:tplc="FFFFFFFF">
      <w:start w:val="1"/>
      <w:numFmt w:val="lowerLetter"/>
      <w:lvlText w:val="%2."/>
      <w:lvlJc w:val="left"/>
      <w:pPr>
        <w:ind w:left="1080" w:hanging="360"/>
      </w:pPr>
    </w:lvl>
    <w:lvl w:ilvl="2" w:tplc="FFFFFFFF">
      <w:start w:val="1"/>
      <w:numFmt w:val="decimal"/>
      <w:lvlText w:val="%3"/>
      <w:lvlJc w:val="left"/>
      <w:pPr>
        <w:ind w:left="2340" w:hanging="72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9" w15:restartNumberingAfterBreak="0">
    <w:nsid w:val="6CEC6AB7"/>
    <w:multiLevelType w:val="hybridMultilevel"/>
    <w:tmpl w:val="4586BC46"/>
    <w:lvl w:ilvl="0" w:tplc="4D38E79A">
      <w:start w:val="1"/>
      <w:numFmt w:val="decimal"/>
      <w:lvlText w:val="%1."/>
      <w:lvlJc w:val="left"/>
      <w:pPr>
        <w:ind w:left="360" w:hanging="360"/>
      </w:pPr>
      <w:rPr>
        <w:b/>
        <w:bCs/>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0" w15:restartNumberingAfterBreak="0">
    <w:nsid w:val="6E1C702C"/>
    <w:multiLevelType w:val="hybridMultilevel"/>
    <w:tmpl w:val="4E7A226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1" w15:restartNumberingAfterBreak="0">
    <w:nsid w:val="6E5463B7"/>
    <w:multiLevelType w:val="hybridMultilevel"/>
    <w:tmpl w:val="9A24BCF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82" w15:restartNumberingAfterBreak="0">
    <w:nsid w:val="70327713"/>
    <w:multiLevelType w:val="hybridMultilevel"/>
    <w:tmpl w:val="EF00926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3" w15:restartNumberingAfterBreak="0">
    <w:nsid w:val="70A111E4"/>
    <w:multiLevelType w:val="hybridMultilevel"/>
    <w:tmpl w:val="9182954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4" w15:restartNumberingAfterBreak="0">
    <w:nsid w:val="712E4AB8"/>
    <w:multiLevelType w:val="hybridMultilevel"/>
    <w:tmpl w:val="802805DE"/>
    <w:lvl w:ilvl="0" w:tplc="40090019">
      <w:start w:val="1"/>
      <w:numFmt w:val="lowerLetter"/>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5" w15:restartNumberingAfterBreak="0">
    <w:nsid w:val="72087249"/>
    <w:multiLevelType w:val="hybridMultilevel"/>
    <w:tmpl w:val="8E08497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6" w15:restartNumberingAfterBreak="0">
    <w:nsid w:val="72B27024"/>
    <w:multiLevelType w:val="hybridMultilevel"/>
    <w:tmpl w:val="70E6B944"/>
    <w:lvl w:ilvl="0" w:tplc="F8B6053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7" w15:restartNumberingAfterBreak="0">
    <w:nsid w:val="73130320"/>
    <w:multiLevelType w:val="hybridMultilevel"/>
    <w:tmpl w:val="EE70FBA0"/>
    <w:lvl w:ilvl="0" w:tplc="4009000F">
      <w:start w:val="1"/>
      <w:numFmt w:val="decimal"/>
      <w:lvlText w:val="%1."/>
      <w:lvlJc w:val="left"/>
      <w:pPr>
        <w:ind w:left="360" w:hanging="360"/>
      </w:pPr>
    </w:lvl>
    <w:lvl w:ilvl="1" w:tplc="332ECB10">
      <w:start w:val="1"/>
      <w:numFmt w:val="lowerLetter"/>
      <w:lvlText w:val="(%2)"/>
      <w:lvlJc w:val="left"/>
      <w:pPr>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8" w15:restartNumberingAfterBreak="0">
    <w:nsid w:val="754C365A"/>
    <w:multiLevelType w:val="hybridMultilevel"/>
    <w:tmpl w:val="9132A2D2"/>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9" w15:restartNumberingAfterBreak="0">
    <w:nsid w:val="75B624CE"/>
    <w:multiLevelType w:val="hybridMultilevel"/>
    <w:tmpl w:val="54E8B4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0" w15:restartNumberingAfterBreak="0">
    <w:nsid w:val="76C702E2"/>
    <w:multiLevelType w:val="multilevel"/>
    <w:tmpl w:val="0D4098FA"/>
    <w:lvl w:ilvl="0">
      <w:start w:val="20"/>
      <w:numFmt w:val="decimal"/>
      <w:lvlText w:val="%1."/>
      <w:lvlJc w:val="left"/>
      <w:pPr>
        <w:ind w:left="1211" w:hanging="360"/>
      </w:pPr>
      <w:rPr>
        <w:rFonts w:hint="default"/>
        <w:b w:val="0"/>
        <w:bCs w:val="0"/>
        <w:sz w:val="32"/>
        <w:szCs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782B5C2E"/>
    <w:multiLevelType w:val="multilevel"/>
    <w:tmpl w:val="465E1B88"/>
    <w:lvl w:ilvl="0">
      <w:start w:val="1"/>
      <w:numFmt w:val="decimal"/>
      <w:lvlText w:val="%1."/>
      <w:lvlJc w:val="left"/>
      <w:pPr>
        <w:ind w:left="720" w:hanging="360"/>
      </w:pPr>
      <w:rPr>
        <w:rFonts w:hint="default"/>
      </w:rPr>
    </w:lvl>
    <w:lvl w:ilvl="1">
      <w:start w:val="1"/>
      <w:numFmt w:val="decimal"/>
      <w:isLgl/>
      <w:lvlText w:val="%1.%2"/>
      <w:lvlJc w:val="left"/>
      <w:pPr>
        <w:ind w:left="768" w:hanging="408"/>
      </w:pPr>
      <w:rPr>
        <w:rFonts w:hint="default"/>
      </w:rPr>
    </w:lvl>
    <w:lvl w:ilvl="2">
      <w:start w:val="1"/>
      <w:numFmt w:val="decimal"/>
      <w:isLgl/>
      <w:lvlText w:val="%1.%2"/>
      <w:lvlJc w:val="left"/>
      <w:pPr>
        <w:ind w:left="108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2" w15:restartNumberingAfterBreak="0">
    <w:nsid w:val="7B1101F6"/>
    <w:multiLevelType w:val="hybridMultilevel"/>
    <w:tmpl w:val="F6420B98"/>
    <w:lvl w:ilvl="0" w:tplc="40090017">
      <w:start w:val="1"/>
      <w:numFmt w:val="lowerLetter"/>
      <w:lvlText w:val="%1)"/>
      <w:lvlJc w:val="left"/>
      <w:pPr>
        <w:ind w:left="1080" w:hanging="360"/>
      </w:p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3" w15:restartNumberingAfterBreak="0">
    <w:nsid w:val="7DE17131"/>
    <w:multiLevelType w:val="hybridMultilevel"/>
    <w:tmpl w:val="A30A389E"/>
    <w:lvl w:ilvl="0" w:tplc="FFFFFFFF">
      <w:start w:val="1"/>
      <w:numFmt w:val="decimal"/>
      <w:lvlText w:val="%1."/>
      <w:lvlJc w:val="left"/>
      <w:pPr>
        <w:ind w:left="1440" w:hanging="360"/>
      </w:pPr>
    </w:lvl>
    <w:lvl w:ilvl="1" w:tplc="40090011">
      <w:start w:val="1"/>
      <w:numFmt w:val="decimal"/>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4" w15:restartNumberingAfterBreak="0">
    <w:nsid w:val="7EAE2568"/>
    <w:multiLevelType w:val="hybridMultilevel"/>
    <w:tmpl w:val="9A24BCF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num w:numId="1" w16cid:durableId="451171333">
    <w:abstractNumId w:val="69"/>
  </w:num>
  <w:num w:numId="2" w16cid:durableId="1539664542">
    <w:abstractNumId w:val="25"/>
  </w:num>
  <w:num w:numId="3" w16cid:durableId="226573643">
    <w:abstractNumId w:val="72"/>
  </w:num>
  <w:num w:numId="4" w16cid:durableId="1877816555">
    <w:abstractNumId w:val="73"/>
  </w:num>
  <w:num w:numId="5" w16cid:durableId="2079207270">
    <w:abstractNumId w:val="13"/>
  </w:num>
  <w:num w:numId="6" w16cid:durableId="1619339560">
    <w:abstractNumId w:val="30"/>
  </w:num>
  <w:num w:numId="7" w16cid:durableId="1796829691">
    <w:abstractNumId w:val="39"/>
  </w:num>
  <w:num w:numId="8" w16cid:durableId="1636376311">
    <w:abstractNumId w:val="16"/>
  </w:num>
  <w:num w:numId="9" w16cid:durableId="1167481615">
    <w:abstractNumId w:val="67"/>
  </w:num>
  <w:num w:numId="10" w16cid:durableId="436292747">
    <w:abstractNumId w:val="82"/>
  </w:num>
  <w:num w:numId="11" w16cid:durableId="495612068">
    <w:abstractNumId w:val="60"/>
  </w:num>
  <w:num w:numId="12" w16cid:durableId="1364011784">
    <w:abstractNumId w:val="66"/>
  </w:num>
  <w:num w:numId="13" w16cid:durableId="1953239407">
    <w:abstractNumId w:val="61"/>
  </w:num>
  <w:num w:numId="14" w16cid:durableId="8799031">
    <w:abstractNumId w:val="17"/>
  </w:num>
  <w:num w:numId="15" w16cid:durableId="1130712583">
    <w:abstractNumId w:val="15"/>
  </w:num>
  <w:num w:numId="16" w16cid:durableId="2033995892">
    <w:abstractNumId w:val="71"/>
  </w:num>
  <w:num w:numId="17" w16cid:durableId="102698685">
    <w:abstractNumId w:val="80"/>
  </w:num>
  <w:num w:numId="18" w16cid:durableId="1168599410">
    <w:abstractNumId w:val="87"/>
  </w:num>
  <w:num w:numId="19" w16cid:durableId="294990100">
    <w:abstractNumId w:val="84"/>
  </w:num>
  <w:num w:numId="20" w16cid:durableId="1546065537">
    <w:abstractNumId w:val="62"/>
  </w:num>
  <w:num w:numId="21" w16cid:durableId="301161469">
    <w:abstractNumId w:val="2"/>
  </w:num>
  <w:num w:numId="22" w16cid:durableId="1440832096">
    <w:abstractNumId w:val="45"/>
  </w:num>
  <w:num w:numId="23" w16cid:durableId="1276332582">
    <w:abstractNumId w:val="26"/>
  </w:num>
  <w:num w:numId="24" w16cid:durableId="1163737994">
    <w:abstractNumId w:val="85"/>
  </w:num>
  <w:num w:numId="25" w16cid:durableId="1727100646">
    <w:abstractNumId w:val="79"/>
  </w:num>
  <w:num w:numId="26" w16cid:durableId="138574225">
    <w:abstractNumId w:val="54"/>
  </w:num>
  <w:num w:numId="27" w16cid:durableId="2103335062">
    <w:abstractNumId w:val="75"/>
  </w:num>
  <w:num w:numId="28" w16cid:durableId="1380517770">
    <w:abstractNumId w:val="59"/>
  </w:num>
  <w:num w:numId="29" w16cid:durableId="1512450195">
    <w:abstractNumId w:val="24"/>
  </w:num>
  <w:num w:numId="30" w16cid:durableId="1539272532">
    <w:abstractNumId w:val="34"/>
  </w:num>
  <w:num w:numId="31" w16cid:durableId="1159035341">
    <w:abstractNumId w:val="0"/>
  </w:num>
  <w:num w:numId="32" w16cid:durableId="706569803">
    <w:abstractNumId w:val="19"/>
  </w:num>
  <w:num w:numId="33" w16cid:durableId="2039117714">
    <w:abstractNumId w:val="64"/>
  </w:num>
  <w:num w:numId="34" w16cid:durableId="529878576">
    <w:abstractNumId w:val="27"/>
  </w:num>
  <w:num w:numId="35" w16cid:durableId="453132965">
    <w:abstractNumId w:val="86"/>
  </w:num>
  <w:num w:numId="36" w16cid:durableId="11033663">
    <w:abstractNumId w:val="88"/>
  </w:num>
  <w:num w:numId="37" w16cid:durableId="992371175">
    <w:abstractNumId w:val="12"/>
  </w:num>
  <w:num w:numId="38" w16cid:durableId="1729644348">
    <w:abstractNumId w:val="5"/>
  </w:num>
  <w:num w:numId="39" w16cid:durableId="50010465">
    <w:abstractNumId w:val="65"/>
  </w:num>
  <w:num w:numId="40" w16cid:durableId="1341542354">
    <w:abstractNumId w:val="56"/>
  </w:num>
  <w:num w:numId="41" w16cid:durableId="1378092281">
    <w:abstractNumId w:val="52"/>
  </w:num>
  <w:num w:numId="42" w16cid:durableId="875388452">
    <w:abstractNumId w:val="38"/>
  </w:num>
  <w:num w:numId="43" w16cid:durableId="1145466827">
    <w:abstractNumId w:val="22"/>
  </w:num>
  <w:num w:numId="44" w16cid:durableId="7576006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08164343">
    <w:abstractNumId w:val="51"/>
  </w:num>
  <w:num w:numId="46" w16cid:durableId="373819778">
    <w:abstractNumId w:val="10"/>
  </w:num>
  <w:num w:numId="47" w16cid:durableId="851265184">
    <w:abstractNumId w:val="11"/>
  </w:num>
  <w:num w:numId="48" w16cid:durableId="1402871281">
    <w:abstractNumId w:val="21"/>
  </w:num>
  <w:num w:numId="49" w16cid:durableId="1491630766">
    <w:abstractNumId w:val="70"/>
  </w:num>
  <w:num w:numId="50" w16cid:durableId="940531853">
    <w:abstractNumId w:val="90"/>
  </w:num>
  <w:num w:numId="51" w16cid:durableId="1378044194">
    <w:abstractNumId w:val="14"/>
  </w:num>
  <w:num w:numId="52" w16cid:durableId="585263311">
    <w:abstractNumId w:val="18"/>
  </w:num>
  <w:num w:numId="53" w16cid:durableId="85928381">
    <w:abstractNumId w:val="89"/>
  </w:num>
  <w:num w:numId="54" w16cid:durableId="1314674670">
    <w:abstractNumId w:val="47"/>
  </w:num>
  <w:num w:numId="55" w16cid:durableId="2142649620">
    <w:abstractNumId w:val="93"/>
  </w:num>
  <w:num w:numId="56" w16cid:durableId="1909536599">
    <w:abstractNumId w:val="20"/>
  </w:num>
  <w:num w:numId="57" w16cid:durableId="39324925">
    <w:abstractNumId w:val="68"/>
  </w:num>
  <w:num w:numId="58" w16cid:durableId="1591693033">
    <w:abstractNumId w:val="57"/>
  </w:num>
  <w:num w:numId="59" w16cid:durableId="1948076825">
    <w:abstractNumId w:val="41"/>
  </w:num>
  <w:num w:numId="60" w16cid:durableId="1790319381">
    <w:abstractNumId w:val="1"/>
  </w:num>
  <w:num w:numId="61" w16cid:durableId="108671438">
    <w:abstractNumId w:val="9"/>
  </w:num>
  <w:num w:numId="62" w16cid:durableId="2126266837">
    <w:abstractNumId w:val="49"/>
  </w:num>
  <w:num w:numId="63" w16cid:durableId="1366370673">
    <w:abstractNumId w:val="81"/>
  </w:num>
  <w:num w:numId="64" w16cid:durableId="49503584">
    <w:abstractNumId w:val="77"/>
  </w:num>
  <w:num w:numId="65" w16cid:durableId="343097427">
    <w:abstractNumId w:val="76"/>
  </w:num>
  <w:num w:numId="66" w16cid:durableId="964429215">
    <w:abstractNumId w:val="40"/>
  </w:num>
  <w:num w:numId="67" w16cid:durableId="1626812560">
    <w:abstractNumId w:val="44"/>
  </w:num>
  <w:num w:numId="68" w16cid:durableId="1674838350">
    <w:abstractNumId w:val="46"/>
  </w:num>
  <w:num w:numId="69" w16cid:durableId="1310213195">
    <w:abstractNumId w:val="50"/>
  </w:num>
  <w:num w:numId="70" w16cid:durableId="1946450799">
    <w:abstractNumId w:val="42"/>
  </w:num>
  <w:num w:numId="71" w16cid:durableId="1274170976">
    <w:abstractNumId w:val="37"/>
  </w:num>
  <w:num w:numId="72" w16cid:durableId="352271574">
    <w:abstractNumId w:val="63"/>
  </w:num>
  <w:num w:numId="73" w16cid:durableId="1133669786">
    <w:abstractNumId w:val="35"/>
  </w:num>
  <w:num w:numId="74" w16cid:durableId="1980724285">
    <w:abstractNumId w:val="7"/>
  </w:num>
  <w:num w:numId="75" w16cid:durableId="863444722">
    <w:abstractNumId w:val="4"/>
  </w:num>
  <w:num w:numId="76" w16cid:durableId="994068533">
    <w:abstractNumId w:val="3"/>
  </w:num>
  <w:num w:numId="77" w16cid:durableId="1606576623">
    <w:abstractNumId w:val="33"/>
  </w:num>
  <w:num w:numId="78" w16cid:durableId="304166753">
    <w:abstractNumId w:val="83"/>
  </w:num>
  <w:num w:numId="79" w16cid:durableId="1535266404">
    <w:abstractNumId w:val="29"/>
  </w:num>
  <w:num w:numId="80" w16cid:durableId="1678071907">
    <w:abstractNumId w:val="94"/>
  </w:num>
  <w:num w:numId="81" w16cid:durableId="427583556">
    <w:abstractNumId w:val="43"/>
  </w:num>
  <w:num w:numId="82" w16cid:durableId="1168986053">
    <w:abstractNumId w:val="8"/>
  </w:num>
  <w:num w:numId="83" w16cid:durableId="589391553">
    <w:abstractNumId w:val="74"/>
  </w:num>
  <w:num w:numId="84" w16cid:durableId="1294946635">
    <w:abstractNumId w:val="28"/>
  </w:num>
  <w:num w:numId="85" w16cid:durableId="1314262477">
    <w:abstractNumId w:val="6"/>
  </w:num>
  <w:num w:numId="86" w16cid:durableId="818963674">
    <w:abstractNumId w:val="41"/>
  </w:num>
  <w:num w:numId="87" w16cid:durableId="1600796925">
    <w:abstractNumId w:val="48"/>
  </w:num>
  <w:num w:numId="88" w16cid:durableId="1351294624">
    <w:abstractNumId w:val="31"/>
  </w:num>
  <w:num w:numId="89" w16cid:durableId="893733644">
    <w:abstractNumId w:val="53"/>
  </w:num>
  <w:num w:numId="90" w16cid:durableId="340819896">
    <w:abstractNumId w:val="36"/>
  </w:num>
  <w:num w:numId="91" w16cid:durableId="660741142">
    <w:abstractNumId w:val="32"/>
  </w:num>
  <w:num w:numId="92" w16cid:durableId="1844779420">
    <w:abstractNumId w:val="58"/>
  </w:num>
  <w:num w:numId="93" w16cid:durableId="827595560">
    <w:abstractNumId w:val="55"/>
  </w:num>
  <w:num w:numId="94" w16cid:durableId="1270623873">
    <w:abstractNumId w:val="92"/>
  </w:num>
  <w:num w:numId="95" w16cid:durableId="1300962219">
    <w:abstractNumId w:val="91"/>
  </w:num>
  <w:num w:numId="96" w16cid:durableId="1460299706">
    <w:abstractNumId w:val="78"/>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67D"/>
    <w:rsid w:val="00000504"/>
    <w:rsid w:val="00000979"/>
    <w:rsid w:val="00000F38"/>
    <w:rsid w:val="00001237"/>
    <w:rsid w:val="000016DD"/>
    <w:rsid w:val="00001800"/>
    <w:rsid w:val="00002AB6"/>
    <w:rsid w:val="00002E0E"/>
    <w:rsid w:val="000032C0"/>
    <w:rsid w:val="0000341A"/>
    <w:rsid w:val="00003464"/>
    <w:rsid w:val="0000434B"/>
    <w:rsid w:val="00005522"/>
    <w:rsid w:val="00005524"/>
    <w:rsid w:val="00010EF6"/>
    <w:rsid w:val="000113F3"/>
    <w:rsid w:val="00011A80"/>
    <w:rsid w:val="00011B37"/>
    <w:rsid w:val="000130BD"/>
    <w:rsid w:val="00013D58"/>
    <w:rsid w:val="0001407C"/>
    <w:rsid w:val="000143A9"/>
    <w:rsid w:val="00017023"/>
    <w:rsid w:val="00017663"/>
    <w:rsid w:val="00020495"/>
    <w:rsid w:val="00021428"/>
    <w:rsid w:val="00021B18"/>
    <w:rsid w:val="000220BD"/>
    <w:rsid w:val="00022A06"/>
    <w:rsid w:val="00023615"/>
    <w:rsid w:val="0002442E"/>
    <w:rsid w:val="00024A77"/>
    <w:rsid w:val="00024C43"/>
    <w:rsid w:val="00026D11"/>
    <w:rsid w:val="0002741C"/>
    <w:rsid w:val="000278D9"/>
    <w:rsid w:val="00027B34"/>
    <w:rsid w:val="00027C0B"/>
    <w:rsid w:val="00027E84"/>
    <w:rsid w:val="000309A4"/>
    <w:rsid w:val="0003148F"/>
    <w:rsid w:val="000319A8"/>
    <w:rsid w:val="00031AF2"/>
    <w:rsid w:val="00031AFB"/>
    <w:rsid w:val="00032778"/>
    <w:rsid w:val="00032EB0"/>
    <w:rsid w:val="00033870"/>
    <w:rsid w:val="000345E4"/>
    <w:rsid w:val="0003532F"/>
    <w:rsid w:val="000353F1"/>
    <w:rsid w:val="00035E2F"/>
    <w:rsid w:val="00035E80"/>
    <w:rsid w:val="00036960"/>
    <w:rsid w:val="00036F53"/>
    <w:rsid w:val="00040A80"/>
    <w:rsid w:val="0004113C"/>
    <w:rsid w:val="00041294"/>
    <w:rsid w:val="00041590"/>
    <w:rsid w:val="00042E33"/>
    <w:rsid w:val="00043006"/>
    <w:rsid w:val="00043BB3"/>
    <w:rsid w:val="00045006"/>
    <w:rsid w:val="00045032"/>
    <w:rsid w:val="00045302"/>
    <w:rsid w:val="000459A9"/>
    <w:rsid w:val="00046277"/>
    <w:rsid w:val="000465FB"/>
    <w:rsid w:val="000478C3"/>
    <w:rsid w:val="000509F2"/>
    <w:rsid w:val="00051279"/>
    <w:rsid w:val="000515E9"/>
    <w:rsid w:val="00052101"/>
    <w:rsid w:val="00052C45"/>
    <w:rsid w:val="000545F8"/>
    <w:rsid w:val="00055460"/>
    <w:rsid w:val="000565B5"/>
    <w:rsid w:val="00057A6E"/>
    <w:rsid w:val="00057C61"/>
    <w:rsid w:val="000603E5"/>
    <w:rsid w:val="00060DCF"/>
    <w:rsid w:val="00061BDD"/>
    <w:rsid w:val="00061F24"/>
    <w:rsid w:val="000622D5"/>
    <w:rsid w:val="0006267D"/>
    <w:rsid w:val="00062AC6"/>
    <w:rsid w:val="00064187"/>
    <w:rsid w:val="00064922"/>
    <w:rsid w:val="00064F74"/>
    <w:rsid w:val="00065E8C"/>
    <w:rsid w:val="0006749A"/>
    <w:rsid w:val="00067C2B"/>
    <w:rsid w:val="00067EE1"/>
    <w:rsid w:val="000717B3"/>
    <w:rsid w:val="00071B20"/>
    <w:rsid w:val="0007212C"/>
    <w:rsid w:val="0007238D"/>
    <w:rsid w:val="00072D7D"/>
    <w:rsid w:val="00073664"/>
    <w:rsid w:val="00074557"/>
    <w:rsid w:val="00074569"/>
    <w:rsid w:val="00074DC2"/>
    <w:rsid w:val="000751A0"/>
    <w:rsid w:val="000759FB"/>
    <w:rsid w:val="00077711"/>
    <w:rsid w:val="0008003E"/>
    <w:rsid w:val="00081465"/>
    <w:rsid w:val="00081ACD"/>
    <w:rsid w:val="00082547"/>
    <w:rsid w:val="00082A6A"/>
    <w:rsid w:val="00083249"/>
    <w:rsid w:val="00083B63"/>
    <w:rsid w:val="00083D4B"/>
    <w:rsid w:val="00085ACA"/>
    <w:rsid w:val="000866A8"/>
    <w:rsid w:val="000874BC"/>
    <w:rsid w:val="00087A07"/>
    <w:rsid w:val="00091175"/>
    <w:rsid w:val="00091583"/>
    <w:rsid w:val="0009203F"/>
    <w:rsid w:val="00092357"/>
    <w:rsid w:val="00092888"/>
    <w:rsid w:val="000937CE"/>
    <w:rsid w:val="000945DC"/>
    <w:rsid w:val="000952F1"/>
    <w:rsid w:val="00095E1E"/>
    <w:rsid w:val="00096BD2"/>
    <w:rsid w:val="0009797D"/>
    <w:rsid w:val="00097CA9"/>
    <w:rsid w:val="000A0EC1"/>
    <w:rsid w:val="000A1381"/>
    <w:rsid w:val="000A1AD9"/>
    <w:rsid w:val="000A20B0"/>
    <w:rsid w:val="000A23BA"/>
    <w:rsid w:val="000A2F69"/>
    <w:rsid w:val="000A4598"/>
    <w:rsid w:val="000A4DA4"/>
    <w:rsid w:val="000A5C5C"/>
    <w:rsid w:val="000A66F4"/>
    <w:rsid w:val="000A7156"/>
    <w:rsid w:val="000B02E8"/>
    <w:rsid w:val="000B1627"/>
    <w:rsid w:val="000B1CC7"/>
    <w:rsid w:val="000B2132"/>
    <w:rsid w:val="000B2168"/>
    <w:rsid w:val="000B23EE"/>
    <w:rsid w:val="000B24D1"/>
    <w:rsid w:val="000B2568"/>
    <w:rsid w:val="000B2EFC"/>
    <w:rsid w:val="000B30E2"/>
    <w:rsid w:val="000B3C47"/>
    <w:rsid w:val="000B4460"/>
    <w:rsid w:val="000B5A57"/>
    <w:rsid w:val="000B680D"/>
    <w:rsid w:val="000B7C40"/>
    <w:rsid w:val="000C0534"/>
    <w:rsid w:val="000C1B8A"/>
    <w:rsid w:val="000C1E0F"/>
    <w:rsid w:val="000C2A9E"/>
    <w:rsid w:val="000C33B2"/>
    <w:rsid w:val="000C546B"/>
    <w:rsid w:val="000C60C0"/>
    <w:rsid w:val="000C62EB"/>
    <w:rsid w:val="000C72D5"/>
    <w:rsid w:val="000C7371"/>
    <w:rsid w:val="000C759A"/>
    <w:rsid w:val="000C7778"/>
    <w:rsid w:val="000D007D"/>
    <w:rsid w:val="000D01CD"/>
    <w:rsid w:val="000D0AB7"/>
    <w:rsid w:val="000D18F6"/>
    <w:rsid w:val="000D22E0"/>
    <w:rsid w:val="000D275A"/>
    <w:rsid w:val="000D3DC1"/>
    <w:rsid w:val="000D406C"/>
    <w:rsid w:val="000D52EB"/>
    <w:rsid w:val="000D5400"/>
    <w:rsid w:val="000D56B8"/>
    <w:rsid w:val="000D5769"/>
    <w:rsid w:val="000D6238"/>
    <w:rsid w:val="000D6515"/>
    <w:rsid w:val="000D76A4"/>
    <w:rsid w:val="000D7EF9"/>
    <w:rsid w:val="000E08E8"/>
    <w:rsid w:val="000E0A4A"/>
    <w:rsid w:val="000E0CFD"/>
    <w:rsid w:val="000E0F1E"/>
    <w:rsid w:val="000E17B0"/>
    <w:rsid w:val="000E1DE5"/>
    <w:rsid w:val="000E2307"/>
    <w:rsid w:val="000E2A3C"/>
    <w:rsid w:val="000E3B5F"/>
    <w:rsid w:val="000E4670"/>
    <w:rsid w:val="000E482A"/>
    <w:rsid w:val="000E5507"/>
    <w:rsid w:val="000E5982"/>
    <w:rsid w:val="000F000B"/>
    <w:rsid w:val="000F0E96"/>
    <w:rsid w:val="000F22FA"/>
    <w:rsid w:val="000F2BBA"/>
    <w:rsid w:val="000F2BDF"/>
    <w:rsid w:val="000F2F51"/>
    <w:rsid w:val="000F3C52"/>
    <w:rsid w:val="000F4832"/>
    <w:rsid w:val="000F5526"/>
    <w:rsid w:val="000F59D7"/>
    <w:rsid w:val="000F5A20"/>
    <w:rsid w:val="000F699F"/>
    <w:rsid w:val="000F76CA"/>
    <w:rsid w:val="000F7D35"/>
    <w:rsid w:val="0010047F"/>
    <w:rsid w:val="001009B4"/>
    <w:rsid w:val="00100C10"/>
    <w:rsid w:val="00101369"/>
    <w:rsid w:val="001019F7"/>
    <w:rsid w:val="00101AB6"/>
    <w:rsid w:val="00102353"/>
    <w:rsid w:val="00103348"/>
    <w:rsid w:val="0010435C"/>
    <w:rsid w:val="00104666"/>
    <w:rsid w:val="0010582F"/>
    <w:rsid w:val="001064D8"/>
    <w:rsid w:val="001067F5"/>
    <w:rsid w:val="00106805"/>
    <w:rsid w:val="00106EC3"/>
    <w:rsid w:val="001079EC"/>
    <w:rsid w:val="00107E17"/>
    <w:rsid w:val="00107E86"/>
    <w:rsid w:val="00110EBD"/>
    <w:rsid w:val="0011122E"/>
    <w:rsid w:val="001130BF"/>
    <w:rsid w:val="001149B2"/>
    <w:rsid w:val="001157EF"/>
    <w:rsid w:val="00116AA8"/>
    <w:rsid w:val="00116F62"/>
    <w:rsid w:val="001172A5"/>
    <w:rsid w:val="00117427"/>
    <w:rsid w:val="00120AEE"/>
    <w:rsid w:val="00120C01"/>
    <w:rsid w:val="00120E3E"/>
    <w:rsid w:val="00120E96"/>
    <w:rsid w:val="001217D8"/>
    <w:rsid w:val="00122B2D"/>
    <w:rsid w:val="00123A06"/>
    <w:rsid w:val="00123D12"/>
    <w:rsid w:val="00123E24"/>
    <w:rsid w:val="00124188"/>
    <w:rsid w:val="00124C3B"/>
    <w:rsid w:val="00124FE0"/>
    <w:rsid w:val="001262A0"/>
    <w:rsid w:val="00126DBD"/>
    <w:rsid w:val="0012777F"/>
    <w:rsid w:val="00127C29"/>
    <w:rsid w:val="00130C9C"/>
    <w:rsid w:val="001316FB"/>
    <w:rsid w:val="0013186B"/>
    <w:rsid w:val="001325BB"/>
    <w:rsid w:val="00135658"/>
    <w:rsid w:val="0013628E"/>
    <w:rsid w:val="00136632"/>
    <w:rsid w:val="00137EC6"/>
    <w:rsid w:val="00141496"/>
    <w:rsid w:val="00142458"/>
    <w:rsid w:val="00142794"/>
    <w:rsid w:val="0014299C"/>
    <w:rsid w:val="0014449E"/>
    <w:rsid w:val="00144949"/>
    <w:rsid w:val="00144F8C"/>
    <w:rsid w:val="001457E5"/>
    <w:rsid w:val="00145FB3"/>
    <w:rsid w:val="0014643C"/>
    <w:rsid w:val="00147081"/>
    <w:rsid w:val="001472AC"/>
    <w:rsid w:val="0014792C"/>
    <w:rsid w:val="00151DE2"/>
    <w:rsid w:val="0015366E"/>
    <w:rsid w:val="00154A57"/>
    <w:rsid w:val="00155027"/>
    <w:rsid w:val="00156BDF"/>
    <w:rsid w:val="00156E1C"/>
    <w:rsid w:val="00157A11"/>
    <w:rsid w:val="00157A2A"/>
    <w:rsid w:val="001600A1"/>
    <w:rsid w:val="00160830"/>
    <w:rsid w:val="0016261E"/>
    <w:rsid w:val="00162B58"/>
    <w:rsid w:val="001635D9"/>
    <w:rsid w:val="00163F0E"/>
    <w:rsid w:val="00164745"/>
    <w:rsid w:val="001647C8"/>
    <w:rsid w:val="00164E20"/>
    <w:rsid w:val="00164F99"/>
    <w:rsid w:val="00165636"/>
    <w:rsid w:val="00165DAB"/>
    <w:rsid w:val="00166010"/>
    <w:rsid w:val="00166361"/>
    <w:rsid w:val="00166376"/>
    <w:rsid w:val="0016685D"/>
    <w:rsid w:val="001671CF"/>
    <w:rsid w:val="001709C0"/>
    <w:rsid w:val="0017233F"/>
    <w:rsid w:val="001735A4"/>
    <w:rsid w:val="0017393E"/>
    <w:rsid w:val="00174D21"/>
    <w:rsid w:val="00174F34"/>
    <w:rsid w:val="00174F41"/>
    <w:rsid w:val="001750A2"/>
    <w:rsid w:val="00175FB3"/>
    <w:rsid w:val="00176229"/>
    <w:rsid w:val="00176863"/>
    <w:rsid w:val="0017783A"/>
    <w:rsid w:val="00177AC1"/>
    <w:rsid w:val="00177C2E"/>
    <w:rsid w:val="00177D90"/>
    <w:rsid w:val="00177DB3"/>
    <w:rsid w:val="00180A09"/>
    <w:rsid w:val="00180AEB"/>
    <w:rsid w:val="00180D23"/>
    <w:rsid w:val="001817A1"/>
    <w:rsid w:val="00181E08"/>
    <w:rsid w:val="00182129"/>
    <w:rsid w:val="00183A04"/>
    <w:rsid w:val="00183E67"/>
    <w:rsid w:val="00184140"/>
    <w:rsid w:val="00185140"/>
    <w:rsid w:val="0018538E"/>
    <w:rsid w:val="0018614B"/>
    <w:rsid w:val="00186AE3"/>
    <w:rsid w:val="001870AA"/>
    <w:rsid w:val="0019033D"/>
    <w:rsid w:val="001909CA"/>
    <w:rsid w:val="00190FB9"/>
    <w:rsid w:val="00192EC5"/>
    <w:rsid w:val="00193533"/>
    <w:rsid w:val="00194154"/>
    <w:rsid w:val="00194ACC"/>
    <w:rsid w:val="00194C1A"/>
    <w:rsid w:val="0019594F"/>
    <w:rsid w:val="00196250"/>
    <w:rsid w:val="001973E5"/>
    <w:rsid w:val="001978DB"/>
    <w:rsid w:val="001A0587"/>
    <w:rsid w:val="001A05AC"/>
    <w:rsid w:val="001A109C"/>
    <w:rsid w:val="001A12C0"/>
    <w:rsid w:val="001A16A6"/>
    <w:rsid w:val="001A1A2E"/>
    <w:rsid w:val="001A1A7D"/>
    <w:rsid w:val="001A2115"/>
    <w:rsid w:val="001A2300"/>
    <w:rsid w:val="001A285D"/>
    <w:rsid w:val="001A29D6"/>
    <w:rsid w:val="001A34F4"/>
    <w:rsid w:val="001A36A2"/>
    <w:rsid w:val="001A5097"/>
    <w:rsid w:val="001B03E5"/>
    <w:rsid w:val="001B0A49"/>
    <w:rsid w:val="001B0B36"/>
    <w:rsid w:val="001B0F83"/>
    <w:rsid w:val="001B0FE0"/>
    <w:rsid w:val="001B1DC7"/>
    <w:rsid w:val="001B2C72"/>
    <w:rsid w:val="001B3811"/>
    <w:rsid w:val="001B4203"/>
    <w:rsid w:val="001B45E0"/>
    <w:rsid w:val="001B48E9"/>
    <w:rsid w:val="001B69A3"/>
    <w:rsid w:val="001B72C8"/>
    <w:rsid w:val="001B779D"/>
    <w:rsid w:val="001B7EEF"/>
    <w:rsid w:val="001C0C60"/>
    <w:rsid w:val="001C0E12"/>
    <w:rsid w:val="001C0E17"/>
    <w:rsid w:val="001C0E1A"/>
    <w:rsid w:val="001C0EE0"/>
    <w:rsid w:val="001C11D9"/>
    <w:rsid w:val="001C188B"/>
    <w:rsid w:val="001C1B73"/>
    <w:rsid w:val="001C3240"/>
    <w:rsid w:val="001C3F99"/>
    <w:rsid w:val="001C4AC0"/>
    <w:rsid w:val="001C4B91"/>
    <w:rsid w:val="001C4BDD"/>
    <w:rsid w:val="001C4CC7"/>
    <w:rsid w:val="001C5DB7"/>
    <w:rsid w:val="001C7313"/>
    <w:rsid w:val="001C7636"/>
    <w:rsid w:val="001D0359"/>
    <w:rsid w:val="001D0F6B"/>
    <w:rsid w:val="001D12DE"/>
    <w:rsid w:val="001D13A6"/>
    <w:rsid w:val="001D2ADE"/>
    <w:rsid w:val="001D2F56"/>
    <w:rsid w:val="001D3916"/>
    <w:rsid w:val="001D3BA1"/>
    <w:rsid w:val="001D3BBF"/>
    <w:rsid w:val="001D54A6"/>
    <w:rsid w:val="001D5844"/>
    <w:rsid w:val="001D5E8B"/>
    <w:rsid w:val="001D5FE7"/>
    <w:rsid w:val="001D6091"/>
    <w:rsid w:val="001D6335"/>
    <w:rsid w:val="001D6903"/>
    <w:rsid w:val="001D6F3F"/>
    <w:rsid w:val="001D74FD"/>
    <w:rsid w:val="001D7957"/>
    <w:rsid w:val="001D7A0A"/>
    <w:rsid w:val="001D7A9E"/>
    <w:rsid w:val="001D7CB1"/>
    <w:rsid w:val="001E025D"/>
    <w:rsid w:val="001E0C8F"/>
    <w:rsid w:val="001E1755"/>
    <w:rsid w:val="001E2560"/>
    <w:rsid w:val="001E43A9"/>
    <w:rsid w:val="001E4423"/>
    <w:rsid w:val="001E4FB4"/>
    <w:rsid w:val="001E5549"/>
    <w:rsid w:val="001E60D0"/>
    <w:rsid w:val="001E62B7"/>
    <w:rsid w:val="001E673C"/>
    <w:rsid w:val="001E6BFF"/>
    <w:rsid w:val="001E7CBB"/>
    <w:rsid w:val="001F3760"/>
    <w:rsid w:val="001F3A1C"/>
    <w:rsid w:val="001F3A23"/>
    <w:rsid w:val="001F4BF5"/>
    <w:rsid w:val="001F4CD2"/>
    <w:rsid w:val="001F6B5D"/>
    <w:rsid w:val="001F7CBC"/>
    <w:rsid w:val="001F7D29"/>
    <w:rsid w:val="002013E2"/>
    <w:rsid w:val="0020163D"/>
    <w:rsid w:val="00201882"/>
    <w:rsid w:val="0020231F"/>
    <w:rsid w:val="002029BC"/>
    <w:rsid w:val="00202F5F"/>
    <w:rsid w:val="002032D9"/>
    <w:rsid w:val="0020341E"/>
    <w:rsid w:val="00203439"/>
    <w:rsid w:val="0020343E"/>
    <w:rsid w:val="002041A4"/>
    <w:rsid w:val="002045D9"/>
    <w:rsid w:val="00204C05"/>
    <w:rsid w:val="00205589"/>
    <w:rsid w:val="002062D0"/>
    <w:rsid w:val="00210632"/>
    <w:rsid w:val="00210C49"/>
    <w:rsid w:val="00213198"/>
    <w:rsid w:val="002133B8"/>
    <w:rsid w:val="0021345F"/>
    <w:rsid w:val="002136DD"/>
    <w:rsid w:val="00213BF1"/>
    <w:rsid w:val="00213D67"/>
    <w:rsid w:val="00214204"/>
    <w:rsid w:val="002142D6"/>
    <w:rsid w:val="0021453E"/>
    <w:rsid w:val="002146B4"/>
    <w:rsid w:val="00214CC2"/>
    <w:rsid w:val="002156A1"/>
    <w:rsid w:val="00215810"/>
    <w:rsid w:val="00216DC6"/>
    <w:rsid w:val="00217664"/>
    <w:rsid w:val="00217976"/>
    <w:rsid w:val="00221ABF"/>
    <w:rsid w:val="002227BF"/>
    <w:rsid w:val="0022317B"/>
    <w:rsid w:val="00223764"/>
    <w:rsid w:val="00224139"/>
    <w:rsid w:val="002259FD"/>
    <w:rsid w:val="00226ABA"/>
    <w:rsid w:val="00226F38"/>
    <w:rsid w:val="00230B51"/>
    <w:rsid w:val="00230EFD"/>
    <w:rsid w:val="00230FFE"/>
    <w:rsid w:val="00231DF1"/>
    <w:rsid w:val="00231E44"/>
    <w:rsid w:val="00232E7D"/>
    <w:rsid w:val="00233208"/>
    <w:rsid w:val="00234CD1"/>
    <w:rsid w:val="0023588E"/>
    <w:rsid w:val="002359E3"/>
    <w:rsid w:val="00235AAE"/>
    <w:rsid w:val="00235F21"/>
    <w:rsid w:val="00236B30"/>
    <w:rsid w:val="002377D5"/>
    <w:rsid w:val="00240FEC"/>
    <w:rsid w:val="00241717"/>
    <w:rsid w:val="00241875"/>
    <w:rsid w:val="00242380"/>
    <w:rsid w:val="00243252"/>
    <w:rsid w:val="00243D17"/>
    <w:rsid w:val="00244153"/>
    <w:rsid w:val="00244F69"/>
    <w:rsid w:val="00246920"/>
    <w:rsid w:val="00246EAB"/>
    <w:rsid w:val="00247586"/>
    <w:rsid w:val="002478BE"/>
    <w:rsid w:val="002479C7"/>
    <w:rsid w:val="00250574"/>
    <w:rsid w:val="00251144"/>
    <w:rsid w:val="00253648"/>
    <w:rsid w:val="00255E65"/>
    <w:rsid w:val="002565C1"/>
    <w:rsid w:val="00257E30"/>
    <w:rsid w:val="00260930"/>
    <w:rsid w:val="00260CE4"/>
    <w:rsid w:val="00261280"/>
    <w:rsid w:val="0026152B"/>
    <w:rsid w:val="00261537"/>
    <w:rsid w:val="00261CEC"/>
    <w:rsid w:val="00261EC0"/>
    <w:rsid w:val="002627C6"/>
    <w:rsid w:val="0026378A"/>
    <w:rsid w:val="00267864"/>
    <w:rsid w:val="00267A30"/>
    <w:rsid w:val="00267A82"/>
    <w:rsid w:val="00267FA7"/>
    <w:rsid w:val="0027193E"/>
    <w:rsid w:val="0027376A"/>
    <w:rsid w:val="00274499"/>
    <w:rsid w:val="002747A1"/>
    <w:rsid w:val="00274C02"/>
    <w:rsid w:val="00275290"/>
    <w:rsid w:val="00275363"/>
    <w:rsid w:val="0027575E"/>
    <w:rsid w:val="00276197"/>
    <w:rsid w:val="00276640"/>
    <w:rsid w:val="00276648"/>
    <w:rsid w:val="0027777A"/>
    <w:rsid w:val="002807DB"/>
    <w:rsid w:val="002809E7"/>
    <w:rsid w:val="00280C7C"/>
    <w:rsid w:val="00280E2E"/>
    <w:rsid w:val="0028119F"/>
    <w:rsid w:val="00281AFE"/>
    <w:rsid w:val="002826A7"/>
    <w:rsid w:val="00283297"/>
    <w:rsid w:val="00284065"/>
    <w:rsid w:val="0028493A"/>
    <w:rsid w:val="00285296"/>
    <w:rsid w:val="002855E9"/>
    <w:rsid w:val="002856AB"/>
    <w:rsid w:val="00286631"/>
    <w:rsid w:val="00287C8B"/>
    <w:rsid w:val="00291F46"/>
    <w:rsid w:val="002920EC"/>
    <w:rsid w:val="00292718"/>
    <w:rsid w:val="00292F2C"/>
    <w:rsid w:val="0029344B"/>
    <w:rsid w:val="00293E76"/>
    <w:rsid w:val="00294AF7"/>
    <w:rsid w:val="0029639B"/>
    <w:rsid w:val="00296D4B"/>
    <w:rsid w:val="0029707F"/>
    <w:rsid w:val="0029735C"/>
    <w:rsid w:val="00297BB5"/>
    <w:rsid w:val="002A1413"/>
    <w:rsid w:val="002A1E63"/>
    <w:rsid w:val="002A2025"/>
    <w:rsid w:val="002A2A6B"/>
    <w:rsid w:val="002A4F72"/>
    <w:rsid w:val="002A57D1"/>
    <w:rsid w:val="002A621E"/>
    <w:rsid w:val="002A6B65"/>
    <w:rsid w:val="002A7D6E"/>
    <w:rsid w:val="002A7EEA"/>
    <w:rsid w:val="002B0369"/>
    <w:rsid w:val="002B0FCB"/>
    <w:rsid w:val="002B1198"/>
    <w:rsid w:val="002B151D"/>
    <w:rsid w:val="002B17D0"/>
    <w:rsid w:val="002B1A0B"/>
    <w:rsid w:val="002B1C69"/>
    <w:rsid w:val="002B2DE6"/>
    <w:rsid w:val="002B3A9E"/>
    <w:rsid w:val="002B4467"/>
    <w:rsid w:val="002B4B0F"/>
    <w:rsid w:val="002B5B4B"/>
    <w:rsid w:val="002B5BE6"/>
    <w:rsid w:val="002B5FFB"/>
    <w:rsid w:val="002B6DD4"/>
    <w:rsid w:val="002C09A4"/>
    <w:rsid w:val="002C1640"/>
    <w:rsid w:val="002C4133"/>
    <w:rsid w:val="002C4B5F"/>
    <w:rsid w:val="002C56C7"/>
    <w:rsid w:val="002C64AB"/>
    <w:rsid w:val="002C69FC"/>
    <w:rsid w:val="002D02A2"/>
    <w:rsid w:val="002D05E3"/>
    <w:rsid w:val="002D0807"/>
    <w:rsid w:val="002D0F6E"/>
    <w:rsid w:val="002D1796"/>
    <w:rsid w:val="002D2258"/>
    <w:rsid w:val="002D35AD"/>
    <w:rsid w:val="002D42C6"/>
    <w:rsid w:val="002D45FD"/>
    <w:rsid w:val="002D4B39"/>
    <w:rsid w:val="002D4C72"/>
    <w:rsid w:val="002D4F7B"/>
    <w:rsid w:val="002D58F3"/>
    <w:rsid w:val="002D65C7"/>
    <w:rsid w:val="002D68B2"/>
    <w:rsid w:val="002D701F"/>
    <w:rsid w:val="002D7C1D"/>
    <w:rsid w:val="002E055F"/>
    <w:rsid w:val="002E07D7"/>
    <w:rsid w:val="002E0D11"/>
    <w:rsid w:val="002E0F84"/>
    <w:rsid w:val="002E1369"/>
    <w:rsid w:val="002E1F0E"/>
    <w:rsid w:val="002E277F"/>
    <w:rsid w:val="002E46DB"/>
    <w:rsid w:val="002E4729"/>
    <w:rsid w:val="002E4967"/>
    <w:rsid w:val="002E49AC"/>
    <w:rsid w:val="002E4C1A"/>
    <w:rsid w:val="002E7672"/>
    <w:rsid w:val="002E770B"/>
    <w:rsid w:val="002F0054"/>
    <w:rsid w:val="002F086F"/>
    <w:rsid w:val="002F0ECE"/>
    <w:rsid w:val="002F1515"/>
    <w:rsid w:val="002F1A52"/>
    <w:rsid w:val="002F1B9E"/>
    <w:rsid w:val="002F419E"/>
    <w:rsid w:val="002F45E1"/>
    <w:rsid w:val="002F55FF"/>
    <w:rsid w:val="002F66EB"/>
    <w:rsid w:val="002F6DC7"/>
    <w:rsid w:val="002F79CC"/>
    <w:rsid w:val="002F7ACC"/>
    <w:rsid w:val="00300477"/>
    <w:rsid w:val="00300564"/>
    <w:rsid w:val="00300FBD"/>
    <w:rsid w:val="00301C3E"/>
    <w:rsid w:val="00301D1E"/>
    <w:rsid w:val="003031E2"/>
    <w:rsid w:val="00304F02"/>
    <w:rsid w:val="0030576E"/>
    <w:rsid w:val="00305B77"/>
    <w:rsid w:val="00306C12"/>
    <w:rsid w:val="00310086"/>
    <w:rsid w:val="00310B20"/>
    <w:rsid w:val="00310C8F"/>
    <w:rsid w:val="00310DDC"/>
    <w:rsid w:val="0031127B"/>
    <w:rsid w:val="003114AC"/>
    <w:rsid w:val="00311B08"/>
    <w:rsid w:val="003122CB"/>
    <w:rsid w:val="00312696"/>
    <w:rsid w:val="00312CD1"/>
    <w:rsid w:val="00312E2F"/>
    <w:rsid w:val="0031346F"/>
    <w:rsid w:val="00313925"/>
    <w:rsid w:val="003147EA"/>
    <w:rsid w:val="00316973"/>
    <w:rsid w:val="00316D09"/>
    <w:rsid w:val="003218F7"/>
    <w:rsid w:val="00322270"/>
    <w:rsid w:val="0032345B"/>
    <w:rsid w:val="00325796"/>
    <w:rsid w:val="00326150"/>
    <w:rsid w:val="00326CA0"/>
    <w:rsid w:val="00327DA8"/>
    <w:rsid w:val="00330EA4"/>
    <w:rsid w:val="00331668"/>
    <w:rsid w:val="00331913"/>
    <w:rsid w:val="00331DF7"/>
    <w:rsid w:val="00332501"/>
    <w:rsid w:val="00333F0A"/>
    <w:rsid w:val="00334E14"/>
    <w:rsid w:val="0033566A"/>
    <w:rsid w:val="00335FC3"/>
    <w:rsid w:val="003369B8"/>
    <w:rsid w:val="00336D99"/>
    <w:rsid w:val="00337F91"/>
    <w:rsid w:val="0034097B"/>
    <w:rsid w:val="003409BD"/>
    <w:rsid w:val="00342BF4"/>
    <w:rsid w:val="00342ED2"/>
    <w:rsid w:val="00343296"/>
    <w:rsid w:val="00344265"/>
    <w:rsid w:val="00345B39"/>
    <w:rsid w:val="00346DB1"/>
    <w:rsid w:val="00347E0A"/>
    <w:rsid w:val="0035002E"/>
    <w:rsid w:val="00350815"/>
    <w:rsid w:val="00351959"/>
    <w:rsid w:val="003522DF"/>
    <w:rsid w:val="0035247A"/>
    <w:rsid w:val="00353E0B"/>
    <w:rsid w:val="00353EFA"/>
    <w:rsid w:val="0035420E"/>
    <w:rsid w:val="00354BDA"/>
    <w:rsid w:val="00354F7F"/>
    <w:rsid w:val="00356328"/>
    <w:rsid w:val="00357013"/>
    <w:rsid w:val="00357FC6"/>
    <w:rsid w:val="0036025E"/>
    <w:rsid w:val="003604C4"/>
    <w:rsid w:val="00361A6B"/>
    <w:rsid w:val="00361DAE"/>
    <w:rsid w:val="00361E4A"/>
    <w:rsid w:val="00363A3E"/>
    <w:rsid w:val="00363C7B"/>
    <w:rsid w:val="00363DDC"/>
    <w:rsid w:val="00364068"/>
    <w:rsid w:val="00367038"/>
    <w:rsid w:val="00367204"/>
    <w:rsid w:val="00367F08"/>
    <w:rsid w:val="0037024B"/>
    <w:rsid w:val="00370893"/>
    <w:rsid w:val="00370C1F"/>
    <w:rsid w:val="00371160"/>
    <w:rsid w:val="00372A57"/>
    <w:rsid w:val="00372DA6"/>
    <w:rsid w:val="00373514"/>
    <w:rsid w:val="003742A1"/>
    <w:rsid w:val="00374581"/>
    <w:rsid w:val="0037548E"/>
    <w:rsid w:val="00375678"/>
    <w:rsid w:val="00376A57"/>
    <w:rsid w:val="003774CA"/>
    <w:rsid w:val="00377D7A"/>
    <w:rsid w:val="003808AA"/>
    <w:rsid w:val="00380C7D"/>
    <w:rsid w:val="00381195"/>
    <w:rsid w:val="00381592"/>
    <w:rsid w:val="00381AD5"/>
    <w:rsid w:val="00381D81"/>
    <w:rsid w:val="003823E3"/>
    <w:rsid w:val="0038288E"/>
    <w:rsid w:val="00383751"/>
    <w:rsid w:val="00383B19"/>
    <w:rsid w:val="00383BDE"/>
    <w:rsid w:val="00385696"/>
    <w:rsid w:val="003863E0"/>
    <w:rsid w:val="00386589"/>
    <w:rsid w:val="0038735B"/>
    <w:rsid w:val="00387C7C"/>
    <w:rsid w:val="00387CD4"/>
    <w:rsid w:val="00387E28"/>
    <w:rsid w:val="003915EA"/>
    <w:rsid w:val="00392E94"/>
    <w:rsid w:val="00394D7F"/>
    <w:rsid w:val="00395423"/>
    <w:rsid w:val="00395581"/>
    <w:rsid w:val="00395CD1"/>
    <w:rsid w:val="00395EA5"/>
    <w:rsid w:val="003961D8"/>
    <w:rsid w:val="003970B0"/>
    <w:rsid w:val="00397982"/>
    <w:rsid w:val="003979AC"/>
    <w:rsid w:val="00397E79"/>
    <w:rsid w:val="003A042B"/>
    <w:rsid w:val="003A08FE"/>
    <w:rsid w:val="003A1080"/>
    <w:rsid w:val="003A23E9"/>
    <w:rsid w:val="003A3F73"/>
    <w:rsid w:val="003A4B09"/>
    <w:rsid w:val="003A4C3E"/>
    <w:rsid w:val="003A52FB"/>
    <w:rsid w:val="003A68A6"/>
    <w:rsid w:val="003A69D8"/>
    <w:rsid w:val="003A6FAE"/>
    <w:rsid w:val="003A7440"/>
    <w:rsid w:val="003A7DC8"/>
    <w:rsid w:val="003A7E2A"/>
    <w:rsid w:val="003B22CD"/>
    <w:rsid w:val="003B29E7"/>
    <w:rsid w:val="003B2DED"/>
    <w:rsid w:val="003B3644"/>
    <w:rsid w:val="003B43DD"/>
    <w:rsid w:val="003B53BD"/>
    <w:rsid w:val="003B612C"/>
    <w:rsid w:val="003B638C"/>
    <w:rsid w:val="003B6DE1"/>
    <w:rsid w:val="003B7B30"/>
    <w:rsid w:val="003C0044"/>
    <w:rsid w:val="003C1E53"/>
    <w:rsid w:val="003C20E8"/>
    <w:rsid w:val="003C2979"/>
    <w:rsid w:val="003C29FA"/>
    <w:rsid w:val="003C2F63"/>
    <w:rsid w:val="003C380C"/>
    <w:rsid w:val="003C3BE9"/>
    <w:rsid w:val="003C40BD"/>
    <w:rsid w:val="003C49B2"/>
    <w:rsid w:val="003C52A1"/>
    <w:rsid w:val="003C549E"/>
    <w:rsid w:val="003C556D"/>
    <w:rsid w:val="003C58EE"/>
    <w:rsid w:val="003C591A"/>
    <w:rsid w:val="003C59AD"/>
    <w:rsid w:val="003C5B92"/>
    <w:rsid w:val="003C65D8"/>
    <w:rsid w:val="003C6662"/>
    <w:rsid w:val="003D01DB"/>
    <w:rsid w:val="003D0BF7"/>
    <w:rsid w:val="003D0F09"/>
    <w:rsid w:val="003D1221"/>
    <w:rsid w:val="003D149A"/>
    <w:rsid w:val="003D365E"/>
    <w:rsid w:val="003D3C15"/>
    <w:rsid w:val="003D5710"/>
    <w:rsid w:val="003D62D7"/>
    <w:rsid w:val="003D7003"/>
    <w:rsid w:val="003D7AAA"/>
    <w:rsid w:val="003D7AE7"/>
    <w:rsid w:val="003D7C26"/>
    <w:rsid w:val="003E0512"/>
    <w:rsid w:val="003E0CB1"/>
    <w:rsid w:val="003E12DB"/>
    <w:rsid w:val="003E1FB6"/>
    <w:rsid w:val="003E35B3"/>
    <w:rsid w:val="003E362B"/>
    <w:rsid w:val="003E41C2"/>
    <w:rsid w:val="003E4441"/>
    <w:rsid w:val="003E4B09"/>
    <w:rsid w:val="003E5105"/>
    <w:rsid w:val="003E528E"/>
    <w:rsid w:val="003E6424"/>
    <w:rsid w:val="003E65A1"/>
    <w:rsid w:val="003E66AB"/>
    <w:rsid w:val="003E716C"/>
    <w:rsid w:val="003E7542"/>
    <w:rsid w:val="003F04AE"/>
    <w:rsid w:val="003F114E"/>
    <w:rsid w:val="003F1B67"/>
    <w:rsid w:val="003F2454"/>
    <w:rsid w:val="003F329D"/>
    <w:rsid w:val="003F3820"/>
    <w:rsid w:val="003F401A"/>
    <w:rsid w:val="003F526B"/>
    <w:rsid w:val="003F5AC2"/>
    <w:rsid w:val="003F5F8E"/>
    <w:rsid w:val="003F60E8"/>
    <w:rsid w:val="003F701F"/>
    <w:rsid w:val="003F75E5"/>
    <w:rsid w:val="004014D1"/>
    <w:rsid w:val="0040339F"/>
    <w:rsid w:val="00403D40"/>
    <w:rsid w:val="004066EC"/>
    <w:rsid w:val="004067A8"/>
    <w:rsid w:val="00406F13"/>
    <w:rsid w:val="004105AD"/>
    <w:rsid w:val="00410892"/>
    <w:rsid w:val="0041100C"/>
    <w:rsid w:val="00414F69"/>
    <w:rsid w:val="0041560D"/>
    <w:rsid w:val="0041596E"/>
    <w:rsid w:val="00415D56"/>
    <w:rsid w:val="00416B50"/>
    <w:rsid w:val="00416BB9"/>
    <w:rsid w:val="00420CF4"/>
    <w:rsid w:val="00421435"/>
    <w:rsid w:val="00421629"/>
    <w:rsid w:val="004222B9"/>
    <w:rsid w:val="004222E7"/>
    <w:rsid w:val="0042352F"/>
    <w:rsid w:val="00423631"/>
    <w:rsid w:val="00423B38"/>
    <w:rsid w:val="00423E62"/>
    <w:rsid w:val="00425018"/>
    <w:rsid w:val="004251F1"/>
    <w:rsid w:val="00426961"/>
    <w:rsid w:val="00426FCC"/>
    <w:rsid w:val="00427213"/>
    <w:rsid w:val="00427508"/>
    <w:rsid w:val="00427C2B"/>
    <w:rsid w:val="00430725"/>
    <w:rsid w:val="004318DD"/>
    <w:rsid w:val="00431A5B"/>
    <w:rsid w:val="00431C81"/>
    <w:rsid w:val="00431E85"/>
    <w:rsid w:val="004333B2"/>
    <w:rsid w:val="0043493C"/>
    <w:rsid w:val="00434DAE"/>
    <w:rsid w:val="00437113"/>
    <w:rsid w:val="0044098E"/>
    <w:rsid w:val="004409A2"/>
    <w:rsid w:val="00440AAC"/>
    <w:rsid w:val="00441FDF"/>
    <w:rsid w:val="0044319B"/>
    <w:rsid w:val="0044390E"/>
    <w:rsid w:val="00443C19"/>
    <w:rsid w:val="0044404A"/>
    <w:rsid w:val="0044444F"/>
    <w:rsid w:val="00446E57"/>
    <w:rsid w:val="00446EC9"/>
    <w:rsid w:val="00446FA7"/>
    <w:rsid w:val="00450282"/>
    <w:rsid w:val="004508E9"/>
    <w:rsid w:val="00450C47"/>
    <w:rsid w:val="00451768"/>
    <w:rsid w:val="00452094"/>
    <w:rsid w:val="0045332F"/>
    <w:rsid w:val="0045338F"/>
    <w:rsid w:val="004540F3"/>
    <w:rsid w:val="0045489F"/>
    <w:rsid w:val="00454957"/>
    <w:rsid w:val="0045581B"/>
    <w:rsid w:val="00455F1A"/>
    <w:rsid w:val="00457249"/>
    <w:rsid w:val="00460BF6"/>
    <w:rsid w:val="0046165D"/>
    <w:rsid w:val="00461D85"/>
    <w:rsid w:val="00462D12"/>
    <w:rsid w:val="00463526"/>
    <w:rsid w:val="0046358C"/>
    <w:rsid w:val="004636D4"/>
    <w:rsid w:val="00463CED"/>
    <w:rsid w:val="0046425C"/>
    <w:rsid w:val="0046523B"/>
    <w:rsid w:val="004652FD"/>
    <w:rsid w:val="00465C93"/>
    <w:rsid w:val="00470314"/>
    <w:rsid w:val="00470D6A"/>
    <w:rsid w:val="004715AC"/>
    <w:rsid w:val="00471B5F"/>
    <w:rsid w:val="00472013"/>
    <w:rsid w:val="004723C9"/>
    <w:rsid w:val="00472877"/>
    <w:rsid w:val="0047297B"/>
    <w:rsid w:val="00472AF8"/>
    <w:rsid w:val="00472D3F"/>
    <w:rsid w:val="00473077"/>
    <w:rsid w:val="004742D6"/>
    <w:rsid w:val="004747CA"/>
    <w:rsid w:val="00474AA0"/>
    <w:rsid w:val="004753D5"/>
    <w:rsid w:val="00475989"/>
    <w:rsid w:val="004763D8"/>
    <w:rsid w:val="00477206"/>
    <w:rsid w:val="004776C1"/>
    <w:rsid w:val="004776DB"/>
    <w:rsid w:val="0047775B"/>
    <w:rsid w:val="00480F89"/>
    <w:rsid w:val="004815FB"/>
    <w:rsid w:val="00482942"/>
    <w:rsid w:val="00482FDD"/>
    <w:rsid w:val="00483702"/>
    <w:rsid w:val="00485529"/>
    <w:rsid w:val="00486380"/>
    <w:rsid w:val="004877E4"/>
    <w:rsid w:val="0048790B"/>
    <w:rsid w:val="00487D55"/>
    <w:rsid w:val="00490714"/>
    <w:rsid w:val="0049096B"/>
    <w:rsid w:val="00490C0C"/>
    <w:rsid w:val="00490DB2"/>
    <w:rsid w:val="00490F00"/>
    <w:rsid w:val="004915F1"/>
    <w:rsid w:val="0049164A"/>
    <w:rsid w:val="00491C9E"/>
    <w:rsid w:val="00491D67"/>
    <w:rsid w:val="00492C92"/>
    <w:rsid w:val="00493618"/>
    <w:rsid w:val="00494A79"/>
    <w:rsid w:val="0049518A"/>
    <w:rsid w:val="00496DF5"/>
    <w:rsid w:val="00497A0A"/>
    <w:rsid w:val="00497D28"/>
    <w:rsid w:val="004A091D"/>
    <w:rsid w:val="004A11AD"/>
    <w:rsid w:val="004A17FC"/>
    <w:rsid w:val="004A1F2D"/>
    <w:rsid w:val="004A2C14"/>
    <w:rsid w:val="004A375E"/>
    <w:rsid w:val="004A3881"/>
    <w:rsid w:val="004A3BF2"/>
    <w:rsid w:val="004A3F7F"/>
    <w:rsid w:val="004A436E"/>
    <w:rsid w:val="004A47EC"/>
    <w:rsid w:val="004A4B79"/>
    <w:rsid w:val="004A58D1"/>
    <w:rsid w:val="004A70BA"/>
    <w:rsid w:val="004B0ACC"/>
    <w:rsid w:val="004B0E05"/>
    <w:rsid w:val="004B21E7"/>
    <w:rsid w:val="004B23D3"/>
    <w:rsid w:val="004B3E87"/>
    <w:rsid w:val="004B3FAC"/>
    <w:rsid w:val="004B487B"/>
    <w:rsid w:val="004B4D51"/>
    <w:rsid w:val="004B522C"/>
    <w:rsid w:val="004B53C7"/>
    <w:rsid w:val="004B629A"/>
    <w:rsid w:val="004B6565"/>
    <w:rsid w:val="004B71B0"/>
    <w:rsid w:val="004B798E"/>
    <w:rsid w:val="004C00C1"/>
    <w:rsid w:val="004C0299"/>
    <w:rsid w:val="004C04FD"/>
    <w:rsid w:val="004C0B60"/>
    <w:rsid w:val="004C0F59"/>
    <w:rsid w:val="004C1AC2"/>
    <w:rsid w:val="004C1CEC"/>
    <w:rsid w:val="004C27C4"/>
    <w:rsid w:val="004C4642"/>
    <w:rsid w:val="004C7678"/>
    <w:rsid w:val="004C77EA"/>
    <w:rsid w:val="004D0F21"/>
    <w:rsid w:val="004D1267"/>
    <w:rsid w:val="004D197B"/>
    <w:rsid w:val="004D1D42"/>
    <w:rsid w:val="004D2420"/>
    <w:rsid w:val="004D29C4"/>
    <w:rsid w:val="004D39FA"/>
    <w:rsid w:val="004D3C72"/>
    <w:rsid w:val="004D4198"/>
    <w:rsid w:val="004D45F5"/>
    <w:rsid w:val="004D466E"/>
    <w:rsid w:val="004D4B49"/>
    <w:rsid w:val="004D5AFF"/>
    <w:rsid w:val="004D7C80"/>
    <w:rsid w:val="004E0198"/>
    <w:rsid w:val="004E0B81"/>
    <w:rsid w:val="004E1D89"/>
    <w:rsid w:val="004E1F9E"/>
    <w:rsid w:val="004E2DE1"/>
    <w:rsid w:val="004E30FE"/>
    <w:rsid w:val="004E3598"/>
    <w:rsid w:val="004E3BDE"/>
    <w:rsid w:val="004E5C19"/>
    <w:rsid w:val="004E5DE5"/>
    <w:rsid w:val="004E5E2B"/>
    <w:rsid w:val="004E6051"/>
    <w:rsid w:val="004E6D10"/>
    <w:rsid w:val="004E75FA"/>
    <w:rsid w:val="004E78B6"/>
    <w:rsid w:val="004E7CBE"/>
    <w:rsid w:val="004F0A95"/>
    <w:rsid w:val="004F0DB6"/>
    <w:rsid w:val="004F0F51"/>
    <w:rsid w:val="004F1EDC"/>
    <w:rsid w:val="004F3582"/>
    <w:rsid w:val="004F4052"/>
    <w:rsid w:val="004F4997"/>
    <w:rsid w:val="004F4C8B"/>
    <w:rsid w:val="004F4D97"/>
    <w:rsid w:val="004F4FCE"/>
    <w:rsid w:val="004F5941"/>
    <w:rsid w:val="004F5CC5"/>
    <w:rsid w:val="004F607D"/>
    <w:rsid w:val="004F6659"/>
    <w:rsid w:val="004F6A33"/>
    <w:rsid w:val="004F6EFA"/>
    <w:rsid w:val="004F74AE"/>
    <w:rsid w:val="004F7B28"/>
    <w:rsid w:val="004F7D0A"/>
    <w:rsid w:val="004F7E4A"/>
    <w:rsid w:val="0050200C"/>
    <w:rsid w:val="0050274E"/>
    <w:rsid w:val="00502F09"/>
    <w:rsid w:val="00503406"/>
    <w:rsid w:val="00503712"/>
    <w:rsid w:val="00503825"/>
    <w:rsid w:val="00505444"/>
    <w:rsid w:val="00505AAB"/>
    <w:rsid w:val="00506283"/>
    <w:rsid w:val="00506AE2"/>
    <w:rsid w:val="00506BBD"/>
    <w:rsid w:val="00506C88"/>
    <w:rsid w:val="00506FA9"/>
    <w:rsid w:val="0050788B"/>
    <w:rsid w:val="00510C18"/>
    <w:rsid w:val="0051129D"/>
    <w:rsid w:val="00512C65"/>
    <w:rsid w:val="00514DE6"/>
    <w:rsid w:val="0051688F"/>
    <w:rsid w:val="005203D1"/>
    <w:rsid w:val="00521519"/>
    <w:rsid w:val="00521BB4"/>
    <w:rsid w:val="005242BB"/>
    <w:rsid w:val="00524791"/>
    <w:rsid w:val="00524EE2"/>
    <w:rsid w:val="00525475"/>
    <w:rsid w:val="005265FF"/>
    <w:rsid w:val="00526F15"/>
    <w:rsid w:val="00527253"/>
    <w:rsid w:val="005304A3"/>
    <w:rsid w:val="0053052F"/>
    <w:rsid w:val="00531AE4"/>
    <w:rsid w:val="00531AEA"/>
    <w:rsid w:val="00531B9A"/>
    <w:rsid w:val="00531EAF"/>
    <w:rsid w:val="00532E8D"/>
    <w:rsid w:val="0053361E"/>
    <w:rsid w:val="00533BBB"/>
    <w:rsid w:val="00533E38"/>
    <w:rsid w:val="00534482"/>
    <w:rsid w:val="005347F1"/>
    <w:rsid w:val="00534FEF"/>
    <w:rsid w:val="005357A8"/>
    <w:rsid w:val="00535F49"/>
    <w:rsid w:val="00536948"/>
    <w:rsid w:val="00536DE2"/>
    <w:rsid w:val="005374F0"/>
    <w:rsid w:val="00537D31"/>
    <w:rsid w:val="00542400"/>
    <w:rsid w:val="00542AB0"/>
    <w:rsid w:val="005437CF"/>
    <w:rsid w:val="00543B32"/>
    <w:rsid w:val="00543F7A"/>
    <w:rsid w:val="0054452E"/>
    <w:rsid w:val="005446A2"/>
    <w:rsid w:val="00544962"/>
    <w:rsid w:val="005450EB"/>
    <w:rsid w:val="0054549F"/>
    <w:rsid w:val="00545B98"/>
    <w:rsid w:val="005468B5"/>
    <w:rsid w:val="00547869"/>
    <w:rsid w:val="00547A29"/>
    <w:rsid w:val="00547A8E"/>
    <w:rsid w:val="005511E5"/>
    <w:rsid w:val="00552116"/>
    <w:rsid w:val="00552416"/>
    <w:rsid w:val="005525C3"/>
    <w:rsid w:val="005526FB"/>
    <w:rsid w:val="00552C5B"/>
    <w:rsid w:val="005539C1"/>
    <w:rsid w:val="00554AFA"/>
    <w:rsid w:val="00555265"/>
    <w:rsid w:val="005557D8"/>
    <w:rsid w:val="005557EE"/>
    <w:rsid w:val="00556590"/>
    <w:rsid w:val="00556F87"/>
    <w:rsid w:val="0055732C"/>
    <w:rsid w:val="0056086A"/>
    <w:rsid w:val="00560BD8"/>
    <w:rsid w:val="00561387"/>
    <w:rsid w:val="00561568"/>
    <w:rsid w:val="00561822"/>
    <w:rsid w:val="00561AFF"/>
    <w:rsid w:val="0056211A"/>
    <w:rsid w:val="0056263A"/>
    <w:rsid w:val="00562E6D"/>
    <w:rsid w:val="005631C9"/>
    <w:rsid w:val="00563DEB"/>
    <w:rsid w:val="00563F7B"/>
    <w:rsid w:val="00563F7D"/>
    <w:rsid w:val="00564412"/>
    <w:rsid w:val="005648A9"/>
    <w:rsid w:val="00566537"/>
    <w:rsid w:val="00566C8D"/>
    <w:rsid w:val="00566E6B"/>
    <w:rsid w:val="0056770F"/>
    <w:rsid w:val="00567EAE"/>
    <w:rsid w:val="005703E3"/>
    <w:rsid w:val="0057053E"/>
    <w:rsid w:val="00570AE5"/>
    <w:rsid w:val="00571877"/>
    <w:rsid w:val="00571DD3"/>
    <w:rsid w:val="005725AE"/>
    <w:rsid w:val="00572A82"/>
    <w:rsid w:val="00575374"/>
    <w:rsid w:val="00576E09"/>
    <w:rsid w:val="0057703C"/>
    <w:rsid w:val="00577DB4"/>
    <w:rsid w:val="00577DE3"/>
    <w:rsid w:val="00577E2E"/>
    <w:rsid w:val="00577F66"/>
    <w:rsid w:val="005811A3"/>
    <w:rsid w:val="005818BE"/>
    <w:rsid w:val="00581CE9"/>
    <w:rsid w:val="005820F6"/>
    <w:rsid w:val="00583479"/>
    <w:rsid w:val="00583DAE"/>
    <w:rsid w:val="005846EF"/>
    <w:rsid w:val="00584E1A"/>
    <w:rsid w:val="00585AEB"/>
    <w:rsid w:val="00585F4F"/>
    <w:rsid w:val="00586BDC"/>
    <w:rsid w:val="00587C40"/>
    <w:rsid w:val="00587FB5"/>
    <w:rsid w:val="00590BDA"/>
    <w:rsid w:val="00591318"/>
    <w:rsid w:val="005917FD"/>
    <w:rsid w:val="0059241A"/>
    <w:rsid w:val="0059286E"/>
    <w:rsid w:val="005939BA"/>
    <w:rsid w:val="00593F3A"/>
    <w:rsid w:val="00594B27"/>
    <w:rsid w:val="00595102"/>
    <w:rsid w:val="005954F1"/>
    <w:rsid w:val="00595668"/>
    <w:rsid w:val="00595ED3"/>
    <w:rsid w:val="005963DB"/>
    <w:rsid w:val="005966F8"/>
    <w:rsid w:val="00596B7E"/>
    <w:rsid w:val="00596C7F"/>
    <w:rsid w:val="00597B94"/>
    <w:rsid w:val="00597EEB"/>
    <w:rsid w:val="005A0D9B"/>
    <w:rsid w:val="005A18B2"/>
    <w:rsid w:val="005A1F54"/>
    <w:rsid w:val="005A342D"/>
    <w:rsid w:val="005A3A45"/>
    <w:rsid w:val="005A3C14"/>
    <w:rsid w:val="005A5105"/>
    <w:rsid w:val="005A513D"/>
    <w:rsid w:val="005A574F"/>
    <w:rsid w:val="005A5823"/>
    <w:rsid w:val="005A67EA"/>
    <w:rsid w:val="005A6DA7"/>
    <w:rsid w:val="005A704B"/>
    <w:rsid w:val="005A7A8F"/>
    <w:rsid w:val="005A7C76"/>
    <w:rsid w:val="005B0B73"/>
    <w:rsid w:val="005B102C"/>
    <w:rsid w:val="005B1741"/>
    <w:rsid w:val="005B18BA"/>
    <w:rsid w:val="005B2B4D"/>
    <w:rsid w:val="005B3CD2"/>
    <w:rsid w:val="005B3FBC"/>
    <w:rsid w:val="005B4260"/>
    <w:rsid w:val="005B4750"/>
    <w:rsid w:val="005B497E"/>
    <w:rsid w:val="005B5497"/>
    <w:rsid w:val="005B6670"/>
    <w:rsid w:val="005B672B"/>
    <w:rsid w:val="005B675E"/>
    <w:rsid w:val="005B7587"/>
    <w:rsid w:val="005B7BDA"/>
    <w:rsid w:val="005B7C56"/>
    <w:rsid w:val="005C0C50"/>
    <w:rsid w:val="005C0F78"/>
    <w:rsid w:val="005C1015"/>
    <w:rsid w:val="005C10ED"/>
    <w:rsid w:val="005C22DE"/>
    <w:rsid w:val="005C2EE8"/>
    <w:rsid w:val="005C3AB8"/>
    <w:rsid w:val="005C41E6"/>
    <w:rsid w:val="005C6C9A"/>
    <w:rsid w:val="005C7ABE"/>
    <w:rsid w:val="005C7ED4"/>
    <w:rsid w:val="005D0792"/>
    <w:rsid w:val="005D10DE"/>
    <w:rsid w:val="005D16B3"/>
    <w:rsid w:val="005D1A7A"/>
    <w:rsid w:val="005D39BC"/>
    <w:rsid w:val="005D4078"/>
    <w:rsid w:val="005D48EB"/>
    <w:rsid w:val="005D4A90"/>
    <w:rsid w:val="005D5012"/>
    <w:rsid w:val="005D5FA4"/>
    <w:rsid w:val="005D6E56"/>
    <w:rsid w:val="005D6F08"/>
    <w:rsid w:val="005D7110"/>
    <w:rsid w:val="005E05A9"/>
    <w:rsid w:val="005E1072"/>
    <w:rsid w:val="005E1184"/>
    <w:rsid w:val="005E1537"/>
    <w:rsid w:val="005E1C7F"/>
    <w:rsid w:val="005E2083"/>
    <w:rsid w:val="005E20A8"/>
    <w:rsid w:val="005E2B7E"/>
    <w:rsid w:val="005E4337"/>
    <w:rsid w:val="005E4534"/>
    <w:rsid w:val="005E4675"/>
    <w:rsid w:val="005E4E75"/>
    <w:rsid w:val="005E4F67"/>
    <w:rsid w:val="005E50D4"/>
    <w:rsid w:val="005E56A8"/>
    <w:rsid w:val="005E573B"/>
    <w:rsid w:val="005E6186"/>
    <w:rsid w:val="005E6498"/>
    <w:rsid w:val="005E6FA1"/>
    <w:rsid w:val="005F07E9"/>
    <w:rsid w:val="005F0C4C"/>
    <w:rsid w:val="005F0D7E"/>
    <w:rsid w:val="005F12B7"/>
    <w:rsid w:val="005F3CE5"/>
    <w:rsid w:val="005F3FE3"/>
    <w:rsid w:val="005F4FC3"/>
    <w:rsid w:val="005F6E95"/>
    <w:rsid w:val="005F73F1"/>
    <w:rsid w:val="005F7A94"/>
    <w:rsid w:val="006014AC"/>
    <w:rsid w:val="00602511"/>
    <w:rsid w:val="00604B8B"/>
    <w:rsid w:val="00605D3F"/>
    <w:rsid w:val="00606847"/>
    <w:rsid w:val="00606AD8"/>
    <w:rsid w:val="00606C32"/>
    <w:rsid w:val="0061038C"/>
    <w:rsid w:val="00611609"/>
    <w:rsid w:val="006116D1"/>
    <w:rsid w:val="00612052"/>
    <w:rsid w:val="006132D1"/>
    <w:rsid w:val="00613C9B"/>
    <w:rsid w:val="00613C9E"/>
    <w:rsid w:val="00613FBC"/>
    <w:rsid w:val="006149E8"/>
    <w:rsid w:val="00614F8D"/>
    <w:rsid w:val="006156BF"/>
    <w:rsid w:val="00615AD1"/>
    <w:rsid w:val="00615B35"/>
    <w:rsid w:val="0061649E"/>
    <w:rsid w:val="00616B52"/>
    <w:rsid w:val="0061768E"/>
    <w:rsid w:val="006178B9"/>
    <w:rsid w:val="00617961"/>
    <w:rsid w:val="00620D45"/>
    <w:rsid w:val="00621715"/>
    <w:rsid w:val="00621DD8"/>
    <w:rsid w:val="006222B0"/>
    <w:rsid w:val="00622A6E"/>
    <w:rsid w:val="00622DAF"/>
    <w:rsid w:val="006245CD"/>
    <w:rsid w:val="0062626F"/>
    <w:rsid w:val="006265F2"/>
    <w:rsid w:val="00627A40"/>
    <w:rsid w:val="00627CCA"/>
    <w:rsid w:val="00630F19"/>
    <w:rsid w:val="00630FA0"/>
    <w:rsid w:val="0063106C"/>
    <w:rsid w:val="00631784"/>
    <w:rsid w:val="00631AC1"/>
    <w:rsid w:val="0063244E"/>
    <w:rsid w:val="006325B4"/>
    <w:rsid w:val="006325F2"/>
    <w:rsid w:val="0063298B"/>
    <w:rsid w:val="00632E9C"/>
    <w:rsid w:val="00633197"/>
    <w:rsid w:val="006332CA"/>
    <w:rsid w:val="00633EA0"/>
    <w:rsid w:val="00634412"/>
    <w:rsid w:val="00634613"/>
    <w:rsid w:val="00634892"/>
    <w:rsid w:val="00635901"/>
    <w:rsid w:val="00635CC6"/>
    <w:rsid w:val="00636475"/>
    <w:rsid w:val="006377CB"/>
    <w:rsid w:val="006407E6"/>
    <w:rsid w:val="00640F3F"/>
    <w:rsid w:val="006410AE"/>
    <w:rsid w:val="006424EB"/>
    <w:rsid w:val="0064290D"/>
    <w:rsid w:val="00644F8D"/>
    <w:rsid w:val="00645FD4"/>
    <w:rsid w:val="006461E0"/>
    <w:rsid w:val="00646874"/>
    <w:rsid w:val="00646A9E"/>
    <w:rsid w:val="00647DC6"/>
    <w:rsid w:val="0065022A"/>
    <w:rsid w:val="00650AB5"/>
    <w:rsid w:val="0065127A"/>
    <w:rsid w:val="006513F4"/>
    <w:rsid w:val="00651452"/>
    <w:rsid w:val="00652179"/>
    <w:rsid w:val="006530CD"/>
    <w:rsid w:val="006534B9"/>
    <w:rsid w:val="00653521"/>
    <w:rsid w:val="0065361D"/>
    <w:rsid w:val="00653B5F"/>
    <w:rsid w:val="00653B99"/>
    <w:rsid w:val="00653CC7"/>
    <w:rsid w:val="006541E4"/>
    <w:rsid w:val="006542DA"/>
    <w:rsid w:val="006544E2"/>
    <w:rsid w:val="0065467B"/>
    <w:rsid w:val="006546CC"/>
    <w:rsid w:val="00654DBC"/>
    <w:rsid w:val="00654F0F"/>
    <w:rsid w:val="00655602"/>
    <w:rsid w:val="00655D1A"/>
    <w:rsid w:val="0065724A"/>
    <w:rsid w:val="00660366"/>
    <w:rsid w:val="0066074E"/>
    <w:rsid w:val="00660BB2"/>
    <w:rsid w:val="00661136"/>
    <w:rsid w:val="0066153D"/>
    <w:rsid w:val="0066172A"/>
    <w:rsid w:val="00661D30"/>
    <w:rsid w:val="006620B6"/>
    <w:rsid w:val="00662A8A"/>
    <w:rsid w:val="00662B22"/>
    <w:rsid w:val="00662FF8"/>
    <w:rsid w:val="0066329B"/>
    <w:rsid w:val="00663827"/>
    <w:rsid w:val="00663AE0"/>
    <w:rsid w:val="00664872"/>
    <w:rsid w:val="0066511D"/>
    <w:rsid w:val="006655EA"/>
    <w:rsid w:val="00666381"/>
    <w:rsid w:val="00666EC4"/>
    <w:rsid w:val="00667103"/>
    <w:rsid w:val="006671FC"/>
    <w:rsid w:val="0067049F"/>
    <w:rsid w:val="00671C1D"/>
    <w:rsid w:val="006720C6"/>
    <w:rsid w:val="00672795"/>
    <w:rsid w:val="0067294D"/>
    <w:rsid w:val="00673141"/>
    <w:rsid w:val="0067346F"/>
    <w:rsid w:val="006734CD"/>
    <w:rsid w:val="00674CD2"/>
    <w:rsid w:val="00675750"/>
    <w:rsid w:val="006759EF"/>
    <w:rsid w:val="00676158"/>
    <w:rsid w:val="00677102"/>
    <w:rsid w:val="00677119"/>
    <w:rsid w:val="00680664"/>
    <w:rsid w:val="00680CA6"/>
    <w:rsid w:val="00681288"/>
    <w:rsid w:val="006817C6"/>
    <w:rsid w:val="006839F8"/>
    <w:rsid w:val="00684926"/>
    <w:rsid w:val="00684AD1"/>
    <w:rsid w:val="0068599D"/>
    <w:rsid w:val="00685A3E"/>
    <w:rsid w:val="00685EE1"/>
    <w:rsid w:val="006872AB"/>
    <w:rsid w:val="006908EE"/>
    <w:rsid w:val="0069111D"/>
    <w:rsid w:val="00691A24"/>
    <w:rsid w:val="00691F53"/>
    <w:rsid w:val="00691FE3"/>
    <w:rsid w:val="0069235B"/>
    <w:rsid w:val="006934CC"/>
    <w:rsid w:val="00693CE7"/>
    <w:rsid w:val="00694410"/>
    <w:rsid w:val="006949F5"/>
    <w:rsid w:val="00695181"/>
    <w:rsid w:val="00695595"/>
    <w:rsid w:val="00695F52"/>
    <w:rsid w:val="00696013"/>
    <w:rsid w:val="006960A6"/>
    <w:rsid w:val="006965F2"/>
    <w:rsid w:val="00696B1B"/>
    <w:rsid w:val="006978FF"/>
    <w:rsid w:val="00697AE0"/>
    <w:rsid w:val="006A0B5D"/>
    <w:rsid w:val="006A0D8A"/>
    <w:rsid w:val="006A0F83"/>
    <w:rsid w:val="006A13F9"/>
    <w:rsid w:val="006A1CEF"/>
    <w:rsid w:val="006A243A"/>
    <w:rsid w:val="006A303F"/>
    <w:rsid w:val="006A4C25"/>
    <w:rsid w:val="006A66D4"/>
    <w:rsid w:val="006A69FE"/>
    <w:rsid w:val="006A72C1"/>
    <w:rsid w:val="006A733A"/>
    <w:rsid w:val="006A79C9"/>
    <w:rsid w:val="006B002E"/>
    <w:rsid w:val="006B05FC"/>
    <w:rsid w:val="006B079B"/>
    <w:rsid w:val="006B0F77"/>
    <w:rsid w:val="006B1446"/>
    <w:rsid w:val="006B20C3"/>
    <w:rsid w:val="006B2C94"/>
    <w:rsid w:val="006B33D1"/>
    <w:rsid w:val="006B58CC"/>
    <w:rsid w:val="006B5C5F"/>
    <w:rsid w:val="006B5D27"/>
    <w:rsid w:val="006B6751"/>
    <w:rsid w:val="006B6F52"/>
    <w:rsid w:val="006B758C"/>
    <w:rsid w:val="006C0329"/>
    <w:rsid w:val="006C073D"/>
    <w:rsid w:val="006C0884"/>
    <w:rsid w:val="006C1247"/>
    <w:rsid w:val="006C12DC"/>
    <w:rsid w:val="006C20FE"/>
    <w:rsid w:val="006C2716"/>
    <w:rsid w:val="006C2BEC"/>
    <w:rsid w:val="006C2E27"/>
    <w:rsid w:val="006C3DD2"/>
    <w:rsid w:val="006C44EA"/>
    <w:rsid w:val="006C4841"/>
    <w:rsid w:val="006C4EA9"/>
    <w:rsid w:val="006C6699"/>
    <w:rsid w:val="006C7A23"/>
    <w:rsid w:val="006C7E4A"/>
    <w:rsid w:val="006D00F2"/>
    <w:rsid w:val="006D01FA"/>
    <w:rsid w:val="006D0D06"/>
    <w:rsid w:val="006D2D1D"/>
    <w:rsid w:val="006D3284"/>
    <w:rsid w:val="006D341F"/>
    <w:rsid w:val="006D3C76"/>
    <w:rsid w:val="006D4054"/>
    <w:rsid w:val="006D4C22"/>
    <w:rsid w:val="006D5617"/>
    <w:rsid w:val="006D69F2"/>
    <w:rsid w:val="006D7140"/>
    <w:rsid w:val="006E010C"/>
    <w:rsid w:val="006E09E8"/>
    <w:rsid w:val="006E12BC"/>
    <w:rsid w:val="006E1434"/>
    <w:rsid w:val="006E15C6"/>
    <w:rsid w:val="006E251B"/>
    <w:rsid w:val="006E3F4D"/>
    <w:rsid w:val="006E5566"/>
    <w:rsid w:val="006E5658"/>
    <w:rsid w:val="006E6B72"/>
    <w:rsid w:val="006E6D33"/>
    <w:rsid w:val="006E6F69"/>
    <w:rsid w:val="006E76D2"/>
    <w:rsid w:val="006F1EA8"/>
    <w:rsid w:val="006F2D57"/>
    <w:rsid w:val="006F31A1"/>
    <w:rsid w:val="006F3800"/>
    <w:rsid w:val="006F3E3F"/>
    <w:rsid w:val="006F45B6"/>
    <w:rsid w:val="006F502C"/>
    <w:rsid w:val="006F53DE"/>
    <w:rsid w:val="006F6011"/>
    <w:rsid w:val="006F7552"/>
    <w:rsid w:val="006F7A83"/>
    <w:rsid w:val="006F7C17"/>
    <w:rsid w:val="006F7F28"/>
    <w:rsid w:val="00700791"/>
    <w:rsid w:val="00700801"/>
    <w:rsid w:val="0070158A"/>
    <w:rsid w:val="007027F2"/>
    <w:rsid w:val="00702CA4"/>
    <w:rsid w:val="00702FDB"/>
    <w:rsid w:val="00703343"/>
    <w:rsid w:val="00705167"/>
    <w:rsid w:val="0070545C"/>
    <w:rsid w:val="007059BF"/>
    <w:rsid w:val="00707D4F"/>
    <w:rsid w:val="0071068F"/>
    <w:rsid w:val="00710C4D"/>
    <w:rsid w:val="00710FF2"/>
    <w:rsid w:val="007113CB"/>
    <w:rsid w:val="00711608"/>
    <w:rsid w:val="00711D2C"/>
    <w:rsid w:val="00711F01"/>
    <w:rsid w:val="007123F0"/>
    <w:rsid w:val="00713572"/>
    <w:rsid w:val="00713C63"/>
    <w:rsid w:val="00713E5F"/>
    <w:rsid w:val="00714120"/>
    <w:rsid w:val="00714587"/>
    <w:rsid w:val="007148E5"/>
    <w:rsid w:val="00714A3B"/>
    <w:rsid w:val="00714FA8"/>
    <w:rsid w:val="00715128"/>
    <w:rsid w:val="00715187"/>
    <w:rsid w:val="0071521E"/>
    <w:rsid w:val="00715BB8"/>
    <w:rsid w:val="00716E83"/>
    <w:rsid w:val="007174F7"/>
    <w:rsid w:val="007176BE"/>
    <w:rsid w:val="007179D7"/>
    <w:rsid w:val="00717D1C"/>
    <w:rsid w:val="00717FC8"/>
    <w:rsid w:val="007205A0"/>
    <w:rsid w:val="00720C90"/>
    <w:rsid w:val="00721C99"/>
    <w:rsid w:val="00721CB7"/>
    <w:rsid w:val="00722A8F"/>
    <w:rsid w:val="007234F2"/>
    <w:rsid w:val="0072356F"/>
    <w:rsid w:val="007248D2"/>
    <w:rsid w:val="00724E71"/>
    <w:rsid w:val="007258E9"/>
    <w:rsid w:val="00725929"/>
    <w:rsid w:val="00726A97"/>
    <w:rsid w:val="00726E1B"/>
    <w:rsid w:val="00727C75"/>
    <w:rsid w:val="00727E24"/>
    <w:rsid w:val="0073028C"/>
    <w:rsid w:val="00730667"/>
    <w:rsid w:val="007314C3"/>
    <w:rsid w:val="00731850"/>
    <w:rsid w:val="007321CA"/>
    <w:rsid w:val="00733561"/>
    <w:rsid w:val="00733DCA"/>
    <w:rsid w:val="00734495"/>
    <w:rsid w:val="0073466D"/>
    <w:rsid w:val="0073543D"/>
    <w:rsid w:val="007368A3"/>
    <w:rsid w:val="00737142"/>
    <w:rsid w:val="0073768F"/>
    <w:rsid w:val="007377E0"/>
    <w:rsid w:val="007401C6"/>
    <w:rsid w:val="00741399"/>
    <w:rsid w:val="0074175E"/>
    <w:rsid w:val="00741B11"/>
    <w:rsid w:val="00742BFE"/>
    <w:rsid w:val="007435FA"/>
    <w:rsid w:val="00744679"/>
    <w:rsid w:val="007450AE"/>
    <w:rsid w:val="007459D8"/>
    <w:rsid w:val="00745E5E"/>
    <w:rsid w:val="00745FCA"/>
    <w:rsid w:val="00746902"/>
    <w:rsid w:val="007478CA"/>
    <w:rsid w:val="00750384"/>
    <w:rsid w:val="0075061B"/>
    <w:rsid w:val="0075094B"/>
    <w:rsid w:val="00750E90"/>
    <w:rsid w:val="0075101A"/>
    <w:rsid w:val="00751523"/>
    <w:rsid w:val="0075157B"/>
    <w:rsid w:val="00751667"/>
    <w:rsid w:val="00751715"/>
    <w:rsid w:val="00751AAE"/>
    <w:rsid w:val="00751CEC"/>
    <w:rsid w:val="00751FC1"/>
    <w:rsid w:val="00752857"/>
    <w:rsid w:val="00753BEE"/>
    <w:rsid w:val="00754CA8"/>
    <w:rsid w:val="00754E55"/>
    <w:rsid w:val="00754ED4"/>
    <w:rsid w:val="007555C9"/>
    <w:rsid w:val="00755687"/>
    <w:rsid w:val="00755735"/>
    <w:rsid w:val="00756777"/>
    <w:rsid w:val="00756885"/>
    <w:rsid w:val="0075793C"/>
    <w:rsid w:val="007622AA"/>
    <w:rsid w:val="00762332"/>
    <w:rsid w:val="007627DE"/>
    <w:rsid w:val="007629CF"/>
    <w:rsid w:val="00763929"/>
    <w:rsid w:val="007639E1"/>
    <w:rsid w:val="00763C84"/>
    <w:rsid w:val="00763F31"/>
    <w:rsid w:val="007640EB"/>
    <w:rsid w:val="00765155"/>
    <w:rsid w:val="0076556A"/>
    <w:rsid w:val="00765C60"/>
    <w:rsid w:val="00767FA2"/>
    <w:rsid w:val="007700A4"/>
    <w:rsid w:val="00770184"/>
    <w:rsid w:val="00770479"/>
    <w:rsid w:val="007711E3"/>
    <w:rsid w:val="007718A8"/>
    <w:rsid w:val="007727B6"/>
    <w:rsid w:val="007729C9"/>
    <w:rsid w:val="00772D0E"/>
    <w:rsid w:val="007730D1"/>
    <w:rsid w:val="00773AB2"/>
    <w:rsid w:val="00773D44"/>
    <w:rsid w:val="00773E06"/>
    <w:rsid w:val="00774884"/>
    <w:rsid w:val="007750EB"/>
    <w:rsid w:val="00775D25"/>
    <w:rsid w:val="00776ABE"/>
    <w:rsid w:val="00776C89"/>
    <w:rsid w:val="00777715"/>
    <w:rsid w:val="00777C0C"/>
    <w:rsid w:val="00777F5E"/>
    <w:rsid w:val="00780A8B"/>
    <w:rsid w:val="00780C93"/>
    <w:rsid w:val="00781024"/>
    <w:rsid w:val="00781FC3"/>
    <w:rsid w:val="0078347D"/>
    <w:rsid w:val="0078354F"/>
    <w:rsid w:val="00783CD8"/>
    <w:rsid w:val="007844FC"/>
    <w:rsid w:val="00784812"/>
    <w:rsid w:val="00784876"/>
    <w:rsid w:val="00784987"/>
    <w:rsid w:val="0078643E"/>
    <w:rsid w:val="007865B5"/>
    <w:rsid w:val="00787781"/>
    <w:rsid w:val="00787D36"/>
    <w:rsid w:val="007900AA"/>
    <w:rsid w:val="007917B6"/>
    <w:rsid w:val="00791B05"/>
    <w:rsid w:val="00792352"/>
    <w:rsid w:val="007924E7"/>
    <w:rsid w:val="00792977"/>
    <w:rsid w:val="00792CA4"/>
    <w:rsid w:val="00793EAC"/>
    <w:rsid w:val="00795013"/>
    <w:rsid w:val="00795569"/>
    <w:rsid w:val="0079618B"/>
    <w:rsid w:val="007966B2"/>
    <w:rsid w:val="007974AD"/>
    <w:rsid w:val="007A098C"/>
    <w:rsid w:val="007A0C3C"/>
    <w:rsid w:val="007A0FA8"/>
    <w:rsid w:val="007A11D6"/>
    <w:rsid w:val="007A190E"/>
    <w:rsid w:val="007A1FC7"/>
    <w:rsid w:val="007A3508"/>
    <w:rsid w:val="007A39E8"/>
    <w:rsid w:val="007A3AFC"/>
    <w:rsid w:val="007A44E6"/>
    <w:rsid w:val="007A44FB"/>
    <w:rsid w:val="007A4ADB"/>
    <w:rsid w:val="007A4BF6"/>
    <w:rsid w:val="007A56D4"/>
    <w:rsid w:val="007A5BF9"/>
    <w:rsid w:val="007A6162"/>
    <w:rsid w:val="007A6D03"/>
    <w:rsid w:val="007A7C23"/>
    <w:rsid w:val="007B0D46"/>
    <w:rsid w:val="007B0DF3"/>
    <w:rsid w:val="007B2C63"/>
    <w:rsid w:val="007B327F"/>
    <w:rsid w:val="007B32B3"/>
    <w:rsid w:val="007B565B"/>
    <w:rsid w:val="007B56BE"/>
    <w:rsid w:val="007B5A18"/>
    <w:rsid w:val="007B693A"/>
    <w:rsid w:val="007B69ED"/>
    <w:rsid w:val="007B6DEB"/>
    <w:rsid w:val="007B715C"/>
    <w:rsid w:val="007B72D4"/>
    <w:rsid w:val="007B766C"/>
    <w:rsid w:val="007B7E66"/>
    <w:rsid w:val="007B7EC5"/>
    <w:rsid w:val="007B7FC8"/>
    <w:rsid w:val="007C0977"/>
    <w:rsid w:val="007C0FAC"/>
    <w:rsid w:val="007C1309"/>
    <w:rsid w:val="007C1B1D"/>
    <w:rsid w:val="007C1DF0"/>
    <w:rsid w:val="007C24B7"/>
    <w:rsid w:val="007C25A2"/>
    <w:rsid w:val="007C3AD0"/>
    <w:rsid w:val="007C4213"/>
    <w:rsid w:val="007C45FB"/>
    <w:rsid w:val="007C499F"/>
    <w:rsid w:val="007C5651"/>
    <w:rsid w:val="007C71A6"/>
    <w:rsid w:val="007C73F1"/>
    <w:rsid w:val="007D067C"/>
    <w:rsid w:val="007D0B50"/>
    <w:rsid w:val="007D133B"/>
    <w:rsid w:val="007D1716"/>
    <w:rsid w:val="007D2295"/>
    <w:rsid w:val="007D3927"/>
    <w:rsid w:val="007D3F6F"/>
    <w:rsid w:val="007D482C"/>
    <w:rsid w:val="007D49E0"/>
    <w:rsid w:val="007D52AB"/>
    <w:rsid w:val="007D79C1"/>
    <w:rsid w:val="007D7C99"/>
    <w:rsid w:val="007E0A0F"/>
    <w:rsid w:val="007E1222"/>
    <w:rsid w:val="007E1BC8"/>
    <w:rsid w:val="007E2A33"/>
    <w:rsid w:val="007E4289"/>
    <w:rsid w:val="007E6611"/>
    <w:rsid w:val="007E6F7D"/>
    <w:rsid w:val="007E758A"/>
    <w:rsid w:val="007F09FD"/>
    <w:rsid w:val="007F0CAB"/>
    <w:rsid w:val="007F1AB1"/>
    <w:rsid w:val="007F1F24"/>
    <w:rsid w:val="007F263D"/>
    <w:rsid w:val="007F2C24"/>
    <w:rsid w:val="007F327B"/>
    <w:rsid w:val="007F3467"/>
    <w:rsid w:val="007F4F3E"/>
    <w:rsid w:val="007F511A"/>
    <w:rsid w:val="007F62A9"/>
    <w:rsid w:val="007F67D5"/>
    <w:rsid w:val="007F7C68"/>
    <w:rsid w:val="0080003C"/>
    <w:rsid w:val="00800849"/>
    <w:rsid w:val="00801146"/>
    <w:rsid w:val="0080164A"/>
    <w:rsid w:val="00801D38"/>
    <w:rsid w:val="008021E8"/>
    <w:rsid w:val="00802E76"/>
    <w:rsid w:val="00802EC9"/>
    <w:rsid w:val="00803ECA"/>
    <w:rsid w:val="008054C5"/>
    <w:rsid w:val="008055C4"/>
    <w:rsid w:val="00806DE7"/>
    <w:rsid w:val="008070B8"/>
    <w:rsid w:val="008072DA"/>
    <w:rsid w:val="00807375"/>
    <w:rsid w:val="00807C9A"/>
    <w:rsid w:val="0081061F"/>
    <w:rsid w:val="00810E05"/>
    <w:rsid w:val="0081187D"/>
    <w:rsid w:val="00812475"/>
    <w:rsid w:val="00812791"/>
    <w:rsid w:val="008127C5"/>
    <w:rsid w:val="00814C82"/>
    <w:rsid w:val="008157B9"/>
    <w:rsid w:val="00815858"/>
    <w:rsid w:val="0081645B"/>
    <w:rsid w:val="00821467"/>
    <w:rsid w:val="00822682"/>
    <w:rsid w:val="00823619"/>
    <w:rsid w:val="00823E7B"/>
    <w:rsid w:val="0082458C"/>
    <w:rsid w:val="0082730F"/>
    <w:rsid w:val="00827C1B"/>
    <w:rsid w:val="00827F14"/>
    <w:rsid w:val="00827F41"/>
    <w:rsid w:val="0083068A"/>
    <w:rsid w:val="00830FF2"/>
    <w:rsid w:val="0083198D"/>
    <w:rsid w:val="00831A06"/>
    <w:rsid w:val="0083214A"/>
    <w:rsid w:val="00832C67"/>
    <w:rsid w:val="008330BD"/>
    <w:rsid w:val="008338B7"/>
    <w:rsid w:val="00833D6E"/>
    <w:rsid w:val="00835AFE"/>
    <w:rsid w:val="00835C09"/>
    <w:rsid w:val="0083659D"/>
    <w:rsid w:val="008371BB"/>
    <w:rsid w:val="00840A05"/>
    <w:rsid w:val="00840CFE"/>
    <w:rsid w:val="00840DD0"/>
    <w:rsid w:val="00841A82"/>
    <w:rsid w:val="00841A8C"/>
    <w:rsid w:val="00842987"/>
    <w:rsid w:val="0084308E"/>
    <w:rsid w:val="008432FC"/>
    <w:rsid w:val="0084368F"/>
    <w:rsid w:val="0084414C"/>
    <w:rsid w:val="00844524"/>
    <w:rsid w:val="00844775"/>
    <w:rsid w:val="00845BB8"/>
    <w:rsid w:val="00845DDE"/>
    <w:rsid w:val="00845F35"/>
    <w:rsid w:val="00845FD0"/>
    <w:rsid w:val="00846554"/>
    <w:rsid w:val="00846858"/>
    <w:rsid w:val="00846F02"/>
    <w:rsid w:val="008470F9"/>
    <w:rsid w:val="008474D2"/>
    <w:rsid w:val="0084786E"/>
    <w:rsid w:val="00850D06"/>
    <w:rsid w:val="00851080"/>
    <w:rsid w:val="00851887"/>
    <w:rsid w:val="00852DAD"/>
    <w:rsid w:val="00852F6D"/>
    <w:rsid w:val="00853662"/>
    <w:rsid w:val="00853EDB"/>
    <w:rsid w:val="00854128"/>
    <w:rsid w:val="00854933"/>
    <w:rsid w:val="00855C99"/>
    <w:rsid w:val="0085611C"/>
    <w:rsid w:val="00857679"/>
    <w:rsid w:val="00857AFA"/>
    <w:rsid w:val="00860ABE"/>
    <w:rsid w:val="00860FBF"/>
    <w:rsid w:val="00861FBD"/>
    <w:rsid w:val="0086206D"/>
    <w:rsid w:val="0086270A"/>
    <w:rsid w:val="00862CDC"/>
    <w:rsid w:val="008633D5"/>
    <w:rsid w:val="00864A41"/>
    <w:rsid w:val="00864BC4"/>
    <w:rsid w:val="008655B9"/>
    <w:rsid w:val="00865616"/>
    <w:rsid w:val="00866536"/>
    <w:rsid w:val="0086755D"/>
    <w:rsid w:val="008677E3"/>
    <w:rsid w:val="008679BB"/>
    <w:rsid w:val="00871035"/>
    <w:rsid w:val="0087199E"/>
    <w:rsid w:val="00871BF3"/>
    <w:rsid w:val="00873631"/>
    <w:rsid w:val="00873C89"/>
    <w:rsid w:val="008746DC"/>
    <w:rsid w:val="00874EFA"/>
    <w:rsid w:val="008765B0"/>
    <w:rsid w:val="00876967"/>
    <w:rsid w:val="00876C73"/>
    <w:rsid w:val="008772BF"/>
    <w:rsid w:val="0087746D"/>
    <w:rsid w:val="00877DE5"/>
    <w:rsid w:val="00880282"/>
    <w:rsid w:val="0088115F"/>
    <w:rsid w:val="008820F1"/>
    <w:rsid w:val="0088333A"/>
    <w:rsid w:val="0088352B"/>
    <w:rsid w:val="00883D93"/>
    <w:rsid w:val="00883EED"/>
    <w:rsid w:val="008843DD"/>
    <w:rsid w:val="008848FD"/>
    <w:rsid w:val="00884A09"/>
    <w:rsid w:val="00884E54"/>
    <w:rsid w:val="00884F01"/>
    <w:rsid w:val="008856EF"/>
    <w:rsid w:val="00886F8C"/>
    <w:rsid w:val="00887660"/>
    <w:rsid w:val="008910FB"/>
    <w:rsid w:val="00891613"/>
    <w:rsid w:val="00893661"/>
    <w:rsid w:val="00893DDC"/>
    <w:rsid w:val="00894628"/>
    <w:rsid w:val="00894751"/>
    <w:rsid w:val="00894C6D"/>
    <w:rsid w:val="008952CC"/>
    <w:rsid w:val="00896927"/>
    <w:rsid w:val="008A144D"/>
    <w:rsid w:val="008A1600"/>
    <w:rsid w:val="008A1F6C"/>
    <w:rsid w:val="008A245B"/>
    <w:rsid w:val="008A24A0"/>
    <w:rsid w:val="008A4276"/>
    <w:rsid w:val="008A436D"/>
    <w:rsid w:val="008A466D"/>
    <w:rsid w:val="008A5059"/>
    <w:rsid w:val="008A6208"/>
    <w:rsid w:val="008A6A21"/>
    <w:rsid w:val="008A6AF6"/>
    <w:rsid w:val="008B0F22"/>
    <w:rsid w:val="008B1176"/>
    <w:rsid w:val="008B193E"/>
    <w:rsid w:val="008B1FE8"/>
    <w:rsid w:val="008B21DB"/>
    <w:rsid w:val="008B38CF"/>
    <w:rsid w:val="008B3FA2"/>
    <w:rsid w:val="008B4925"/>
    <w:rsid w:val="008B4A52"/>
    <w:rsid w:val="008B55F6"/>
    <w:rsid w:val="008B5D4D"/>
    <w:rsid w:val="008B6945"/>
    <w:rsid w:val="008B7537"/>
    <w:rsid w:val="008C12A7"/>
    <w:rsid w:val="008C1A76"/>
    <w:rsid w:val="008C259E"/>
    <w:rsid w:val="008C3011"/>
    <w:rsid w:val="008C32BC"/>
    <w:rsid w:val="008C3487"/>
    <w:rsid w:val="008C429A"/>
    <w:rsid w:val="008C44B2"/>
    <w:rsid w:val="008C50F2"/>
    <w:rsid w:val="008C568F"/>
    <w:rsid w:val="008C5990"/>
    <w:rsid w:val="008C5C69"/>
    <w:rsid w:val="008C7272"/>
    <w:rsid w:val="008C7CD9"/>
    <w:rsid w:val="008D0FC3"/>
    <w:rsid w:val="008D34B3"/>
    <w:rsid w:val="008D5165"/>
    <w:rsid w:val="008D68CD"/>
    <w:rsid w:val="008E0319"/>
    <w:rsid w:val="008E1029"/>
    <w:rsid w:val="008E15DF"/>
    <w:rsid w:val="008E170E"/>
    <w:rsid w:val="008E2106"/>
    <w:rsid w:val="008E25B1"/>
    <w:rsid w:val="008E302F"/>
    <w:rsid w:val="008E37FF"/>
    <w:rsid w:val="008E3A9A"/>
    <w:rsid w:val="008E57C4"/>
    <w:rsid w:val="008E5D88"/>
    <w:rsid w:val="008E68E5"/>
    <w:rsid w:val="008E6C09"/>
    <w:rsid w:val="008E7872"/>
    <w:rsid w:val="008F0032"/>
    <w:rsid w:val="008F090A"/>
    <w:rsid w:val="008F12E7"/>
    <w:rsid w:val="008F1DDA"/>
    <w:rsid w:val="008F22E0"/>
    <w:rsid w:val="008F2948"/>
    <w:rsid w:val="008F3AAC"/>
    <w:rsid w:val="008F41F3"/>
    <w:rsid w:val="008F4392"/>
    <w:rsid w:val="008F6A07"/>
    <w:rsid w:val="008F7948"/>
    <w:rsid w:val="00900031"/>
    <w:rsid w:val="009009D8"/>
    <w:rsid w:val="00900B3E"/>
    <w:rsid w:val="00900C11"/>
    <w:rsid w:val="00900CD7"/>
    <w:rsid w:val="00900F55"/>
    <w:rsid w:val="00901025"/>
    <w:rsid w:val="009015A3"/>
    <w:rsid w:val="00901C16"/>
    <w:rsid w:val="00902B28"/>
    <w:rsid w:val="00903453"/>
    <w:rsid w:val="00903830"/>
    <w:rsid w:val="009042D0"/>
    <w:rsid w:val="0090475E"/>
    <w:rsid w:val="00904D8B"/>
    <w:rsid w:val="009053DF"/>
    <w:rsid w:val="00905B9B"/>
    <w:rsid w:val="00906432"/>
    <w:rsid w:val="009103B5"/>
    <w:rsid w:val="00910FC2"/>
    <w:rsid w:val="0091279C"/>
    <w:rsid w:val="00914334"/>
    <w:rsid w:val="00915697"/>
    <w:rsid w:val="00915AC6"/>
    <w:rsid w:val="00915C71"/>
    <w:rsid w:val="0091636D"/>
    <w:rsid w:val="009171C9"/>
    <w:rsid w:val="00917699"/>
    <w:rsid w:val="00917777"/>
    <w:rsid w:val="00917969"/>
    <w:rsid w:val="00920614"/>
    <w:rsid w:val="0092110B"/>
    <w:rsid w:val="009213F8"/>
    <w:rsid w:val="00921F0C"/>
    <w:rsid w:val="009220B9"/>
    <w:rsid w:val="00923400"/>
    <w:rsid w:val="009238BF"/>
    <w:rsid w:val="009240C3"/>
    <w:rsid w:val="009241E9"/>
    <w:rsid w:val="009256A5"/>
    <w:rsid w:val="009277E9"/>
    <w:rsid w:val="00927907"/>
    <w:rsid w:val="00927CB2"/>
    <w:rsid w:val="00930012"/>
    <w:rsid w:val="009301F2"/>
    <w:rsid w:val="00930F46"/>
    <w:rsid w:val="0093151F"/>
    <w:rsid w:val="009321D7"/>
    <w:rsid w:val="00932BA4"/>
    <w:rsid w:val="00933F40"/>
    <w:rsid w:val="00934512"/>
    <w:rsid w:val="00937129"/>
    <w:rsid w:val="009417AB"/>
    <w:rsid w:val="009425D1"/>
    <w:rsid w:val="00942A83"/>
    <w:rsid w:val="00942EE7"/>
    <w:rsid w:val="009435B3"/>
    <w:rsid w:val="009445E2"/>
    <w:rsid w:val="009466FF"/>
    <w:rsid w:val="009469F0"/>
    <w:rsid w:val="00951008"/>
    <w:rsid w:val="009514D2"/>
    <w:rsid w:val="009532D9"/>
    <w:rsid w:val="00953C05"/>
    <w:rsid w:val="009553F4"/>
    <w:rsid w:val="00956338"/>
    <w:rsid w:val="009569E5"/>
    <w:rsid w:val="00957CAA"/>
    <w:rsid w:val="009605E7"/>
    <w:rsid w:val="00962892"/>
    <w:rsid w:val="009630D1"/>
    <w:rsid w:val="00963709"/>
    <w:rsid w:val="00963F8D"/>
    <w:rsid w:val="00964DA0"/>
    <w:rsid w:val="009662BA"/>
    <w:rsid w:val="00966402"/>
    <w:rsid w:val="009664F2"/>
    <w:rsid w:val="00967231"/>
    <w:rsid w:val="0096730C"/>
    <w:rsid w:val="009675BE"/>
    <w:rsid w:val="0096788E"/>
    <w:rsid w:val="00971BA7"/>
    <w:rsid w:val="00971EBD"/>
    <w:rsid w:val="00972917"/>
    <w:rsid w:val="009743A4"/>
    <w:rsid w:val="00974653"/>
    <w:rsid w:val="00975CB9"/>
    <w:rsid w:val="009764BA"/>
    <w:rsid w:val="00976503"/>
    <w:rsid w:val="00976929"/>
    <w:rsid w:val="009808B4"/>
    <w:rsid w:val="00980C74"/>
    <w:rsid w:val="00981F3E"/>
    <w:rsid w:val="0098260F"/>
    <w:rsid w:val="00983135"/>
    <w:rsid w:val="009831BF"/>
    <w:rsid w:val="00983757"/>
    <w:rsid w:val="00984176"/>
    <w:rsid w:val="00984B40"/>
    <w:rsid w:val="00984F0A"/>
    <w:rsid w:val="00985D46"/>
    <w:rsid w:val="009866C0"/>
    <w:rsid w:val="009878E3"/>
    <w:rsid w:val="0099010E"/>
    <w:rsid w:val="0099035A"/>
    <w:rsid w:val="00990E7A"/>
    <w:rsid w:val="009912CE"/>
    <w:rsid w:val="00992416"/>
    <w:rsid w:val="009928B6"/>
    <w:rsid w:val="00992D32"/>
    <w:rsid w:val="00993179"/>
    <w:rsid w:val="009932CE"/>
    <w:rsid w:val="00993664"/>
    <w:rsid w:val="009945C9"/>
    <w:rsid w:val="00994824"/>
    <w:rsid w:val="00995F09"/>
    <w:rsid w:val="00996371"/>
    <w:rsid w:val="009968A0"/>
    <w:rsid w:val="00996D88"/>
    <w:rsid w:val="00996DAC"/>
    <w:rsid w:val="00996EFD"/>
    <w:rsid w:val="00996FFD"/>
    <w:rsid w:val="00997B53"/>
    <w:rsid w:val="00997E06"/>
    <w:rsid w:val="00997E33"/>
    <w:rsid w:val="00997FA8"/>
    <w:rsid w:val="009A0C2F"/>
    <w:rsid w:val="009A1F71"/>
    <w:rsid w:val="009A21A7"/>
    <w:rsid w:val="009A2404"/>
    <w:rsid w:val="009A4C7B"/>
    <w:rsid w:val="009A507A"/>
    <w:rsid w:val="009A5312"/>
    <w:rsid w:val="009A5AFF"/>
    <w:rsid w:val="009A5E66"/>
    <w:rsid w:val="009A66ED"/>
    <w:rsid w:val="009A73AD"/>
    <w:rsid w:val="009A7512"/>
    <w:rsid w:val="009A7775"/>
    <w:rsid w:val="009A7AC5"/>
    <w:rsid w:val="009A7FF3"/>
    <w:rsid w:val="009B03D0"/>
    <w:rsid w:val="009B0E1F"/>
    <w:rsid w:val="009B10F0"/>
    <w:rsid w:val="009B1FF9"/>
    <w:rsid w:val="009B2B04"/>
    <w:rsid w:val="009B35DD"/>
    <w:rsid w:val="009B3E85"/>
    <w:rsid w:val="009B3F51"/>
    <w:rsid w:val="009B4288"/>
    <w:rsid w:val="009B4E25"/>
    <w:rsid w:val="009B560B"/>
    <w:rsid w:val="009B6255"/>
    <w:rsid w:val="009B62B3"/>
    <w:rsid w:val="009B64F3"/>
    <w:rsid w:val="009B672C"/>
    <w:rsid w:val="009B68F5"/>
    <w:rsid w:val="009B7473"/>
    <w:rsid w:val="009B74E8"/>
    <w:rsid w:val="009B7C7B"/>
    <w:rsid w:val="009C065C"/>
    <w:rsid w:val="009C0E56"/>
    <w:rsid w:val="009C1081"/>
    <w:rsid w:val="009C19C1"/>
    <w:rsid w:val="009C1A13"/>
    <w:rsid w:val="009C242F"/>
    <w:rsid w:val="009C2BAF"/>
    <w:rsid w:val="009C4971"/>
    <w:rsid w:val="009C4B52"/>
    <w:rsid w:val="009C5598"/>
    <w:rsid w:val="009C56AD"/>
    <w:rsid w:val="009C59CC"/>
    <w:rsid w:val="009C5BCB"/>
    <w:rsid w:val="009C6169"/>
    <w:rsid w:val="009C682A"/>
    <w:rsid w:val="009C683C"/>
    <w:rsid w:val="009C6A63"/>
    <w:rsid w:val="009C70F2"/>
    <w:rsid w:val="009C7164"/>
    <w:rsid w:val="009C72EF"/>
    <w:rsid w:val="009C75B2"/>
    <w:rsid w:val="009C7AE5"/>
    <w:rsid w:val="009D00E2"/>
    <w:rsid w:val="009D1191"/>
    <w:rsid w:val="009D1650"/>
    <w:rsid w:val="009D169D"/>
    <w:rsid w:val="009D1805"/>
    <w:rsid w:val="009D1850"/>
    <w:rsid w:val="009D1F91"/>
    <w:rsid w:val="009D2BB3"/>
    <w:rsid w:val="009D340B"/>
    <w:rsid w:val="009D45D6"/>
    <w:rsid w:val="009D476A"/>
    <w:rsid w:val="009D4936"/>
    <w:rsid w:val="009D4C57"/>
    <w:rsid w:val="009D614B"/>
    <w:rsid w:val="009D61B6"/>
    <w:rsid w:val="009D7380"/>
    <w:rsid w:val="009E3773"/>
    <w:rsid w:val="009E39D4"/>
    <w:rsid w:val="009E3B2B"/>
    <w:rsid w:val="009E5766"/>
    <w:rsid w:val="009E6197"/>
    <w:rsid w:val="009E6DDC"/>
    <w:rsid w:val="009E79D9"/>
    <w:rsid w:val="009F13E8"/>
    <w:rsid w:val="009F4C10"/>
    <w:rsid w:val="009F56D2"/>
    <w:rsid w:val="009F5AF0"/>
    <w:rsid w:val="009F6900"/>
    <w:rsid w:val="009F6D6C"/>
    <w:rsid w:val="009F709D"/>
    <w:rsid w:val="00A00C89"/>
    <w:rsid w:val="00A0182A"/>
    <w:rsid w:val="00A01D60"/>
    <w:rsid w:val="00A034AE"/>
    <w:rsid w:val="00A035DA"/>
    <w:rsid w:val="00A0370A"/>
    <w:rsid w:val="00A03FA2"/>
    <w:rsid w:val="00A04F1A"/>
    <w:rsid w:val="00A05278"/>
    <w:rsid w:val="00A061A7"/>
    <w:rsid w:val="00A1015B"/>
    <w:rsid w:val="00A1034F"/>
    <w:rsid w:val="00A107AF"/>
    <w:rsid w:val="00A1092C"/>
    <w:rsid w:val="00A10F8B"/>
    <w:rsid w:val="00A1105E"/>
    <w:rsid w:val="00A11D8F"/>
    <w:rsid w:val="00A12449"/>
    <w:rsid w:val="00A12D8D"/>
    <w:rsid w:val="00A134F4"/>
    <w:rsid w:val="00A135E2"/>
    <w:rsid w:val="00A143A7"/>
    <w:rsid w:val="00A1443A"/>
    <w:rsid w:val="00A15101"/>
    <w:rsid w:val="00A1671A"/>
    <w:rsid w:val="00A17E5E"/>
    <w:rsid w:val="00A20181"/>
    <w:rsid w:val="00A21F77"/>
    <w:rsid w:val="00A23E12"/>
    <w:rsid w:val="00A24995"/>
    <w:rsid w:val="00A25915"/>
    <w:rsid w:val="00A25E56"/>
    <w:rsid w:val="00A268EC"/>
    <w:rsid w:val="00A26F14"/>
    <w:rsid w:val="00A2704C"/>
    <w:rsid w:val="00A272EB"/>
    <w:rsid w:val="00A30061"/>
    <w:rsid w:val="00A3023E"/>
    <w:rsid w:val="00A3091D"/>
    <w:rsid w:val="00A31951"/>
    <w:rsid w:val="00A33B85"/>
    <w:rsid w:val="00A33F10"/>
    <w:rsid w:val="00A35256"/>
    <w:rsid w:val="00A357A3"/>
    <w:rsid w:val="00A35ECE"/>
    <w:rsid w:val="00A36338"/>
    <w:rsid w:val="00A363C9"/>
    <w:rsid w:val="00A370DD"/>
    <w:rsid w:val="00A402CA"/>
    <w:rsid w:val="00A406CD"/>
    <w:rsid w:val="00A409FC"/>
    <w:rsid w:val="00A41026"/>
    <w:rsid w:val="00A4133E"/>
    <w:rsid w:val="00A41566"/>
    <w:rsid w:val="00A41E4E"/>
    <w:rsid w:val="00A41E67"/>
    <w:rsid w:val="00A42059"/>
    <w:rsid w:val="00A42B67"/>
    <w:rsid w:val="00A430FE"/>
    <w:rsid w:val="00A43C50"/>
    <w:rsid w:val="00A43D0F"/>
    <w:rsid w:val="00A4481D"/>
    <w:rsid w:val="00A45123"/>
    <w:rsid w:val="00A45223"/>
    <w:rsid w:val="00A454EB"/>
    <w:rsid w:val="00A45A5F"/>
    <w:rsid w:val="00A46096"/>
    <w:rsid w:val="00A46F5C"/>
    <w:rsid w:val="00A471B5"/>
    <w:rsid w:val="00A47DAF"/>
    <w:rsid w:val="00A509E4"/>
    <w:rsid w:val="00A5235C"/>
    <w:rsid w:val="00A52435"/>
    <w:rsid w:val="00A535C4"/>
    <w:rsid w:val="00A54361"/>
    <w:rsid w:val="00A548E9"/>
    <w:rsid w:val="00A555A2"/>
    <w:rsid w:val="00A55CFB"/>
    <w:rsid w:val="00A55D6A"/>
    <w:rsid w:val="00A5653E"/>
    <w:rsid w:val="00A566A2"/>
    <w:rsid w:val="00A5691D"/>
    <w:rsid w:val="00A56A6B"/>
    <w:rsid w:val="00A57530"/>
    <w:rsid w:val="00A602A0"/>
    <w:rsid w:val="00A6159D"/>
    <w:rsid w:val="00A6164B"/>
    <w:rsid w:val="00A6166D"/>
    <w:rsid w:val="00A61736"/>
    <w:rsid w:val="00A63CA2"/>
    <w:rsid w:val="00A63F5C"/>
    <w:rsid w:val="00A64EEB"/>
    <w:rsid w:val="00A656C4"/>
    <w:rsid w:val="00A65B5D"/>
    <w:rsid w:val="00A66664"/>
    <w:rsid w:val="00A6705F"/>
    <w:rsid w:val="00A702C0"/>
    <w:rsid w:val="00A7039A"/>
    <w:rsid w:val="00A70517"/>
    <w:rsid w:val="00A705FF"/>
    <w:rsid w:val="00A70BC1"/>
    <w:rsid w:val="00A71DB9"/>
    <w:rsid w:val="00A725FB"/>
    <w:rsid w:val="00A72759"/>
    <w:rsid w:val="00A72D54"/>
    <w:rsid w:val="00A73219"/>
    <w:rsid w:val="00A73352"/>
    <w:rsid w:val="00A73771"/>
    <w:rsid w:val="00A73FF7"/>
    <w:rsid w:val="00A74284"/>
    <w:rsid w:val="00A748BC"/>
    <w:rsid w:val="00A750E5"/>
    <w:rsid w:val="00A75523"/>
    <w:rsid w:val="00A77AD6"/>
    <w:rsid w:val="00A81A41"/>
    <w:rsid w:val="00A822F1"/>
    <w:rsid w:val="00A836BA"/>
    <w:rsid w:val="00A83DAA"/>
    <w:rsid w:val="00A83DD3"/>
    <w:rsid w:val="00A842D6"/>
    <w:rsid w:val="00A842F2"/>
    <w:rsid w:val="00A8480C"/>
    <w:rsid w:val="00A85116"/>
    <w:rsid w:val="00A853AD"/>
    <w:rsid w:val="00A85691"/>
    <w:rsid w:val="00A8615B"/>
    <w:rsid w:val="00A86823"/>
    <w:rsid w:val="00A87CDF"/>
    <w:rsid w:val="00A87FB7"/>
    <w:rsid w:val="00A90623"/>
    <w:rsid w:val="00A90C13"/>
    <w:rsid w:val="00A90CE5"/>
    <w:rsid w:val="00A90CF0"/>
    <w:rsid w:val="00A911C9"/>
    <w:rsid w:val="00A9255E"/>
    <w:rsid w:val="00A92A99"/>
    <w:rsid w:val="00A9320D"/>
    <w:rsid w:val="00A93231"/>
    <w:rsid w:val="00A9327B"/>
    <w:rsid w:val="00A94B34"/>
    <w:rsid w:val="00A95FC0"/>
    <w:rsid w:val="00A96421"/>
    <w:rsid w:val="00A96582"/>
    <w:rsid w:val="00A96BF5"/>
    <w:rsid w:val="00A9788A"/>
    <w:rsid w:val="00A97B7B"/>
    <w:rsid w:val="00A97F8B"/>
    <w:rsid w:val="00AA0936"/>
    <w:rsid w:val="00AA1803"/>
    <w:rsid w:val="00AA3ECC"/>
    <w:rsid w:val="00AA4EBE"/>
    <w:rsid w:val="00AA5C92"/>
    <w:rsid w:val="00AA75FE"/>
    <w:rsid w:val="00AA7DE6"/>
    <w:rsid w:val="00AA7F2F"/>
    <w:rsid w:val="00AB0ECC"/>
    <w:rsid w:val="00AB13F5"/>
    <w:rsid w:val="00AB1A84"/>
    <w:rsid w:val="00AB29F4"/>
    <w:rsid w:val="00AB2A83"/>
    <w:rsid w:val="00AB2F2F"/>
    <w:rsid w:val="00AB3EF2"/>
    <w:rsid w:val="00AB4DF7"/>
    <w:rsid w:val="00AB5544"/>
    <w:rsid w:val="00AB57F2"/>
    <w:rsid w:val="00AB5822"/>
    <w:rsid w:val="00AB6EEE"/>
    <w:rsid w:val="00AB7443"/>
    <w:rsid w:val="00AC0079"/>
    <w:rsid w:val="00AC00A2"/>
    <w:rsid w:val="00AC09F1"/>
    <w:rsid w:val="00AC1004"/>
    <w:rsid w:val="00AC1A5F"/>
    <w:rsid w:val="00AC1C7C"/>
    <w:rsid w:val="00AC20CB"/>
    <w:rsid w:val="00AC22C1"/>
    <w:rsid w:val="00AC2963"/>
    <w:rsid w:val="00AC2A8C"/>
    <w:rsid w:val="00AC322C"/>
    <w:rsid w:val="00AC3A0B"/>
    <w:rsid w:val="00AC3B6B"/>
    <w:rsid w:val="00AC3D0F"/>
    <w:rsid w:val="00AC4A44"/>
    <w:rsid w:val="00AC4D6D"/>
    <w:rsid w:val="00AC4E62"/>
    <w:rsid w:val="00AC4EA6"/>
    <w:rsid w:val="00AC5954"/>
    <w:rsid w:val="00AD0234"/>
    <w:rsid w:val="00AD092F"/>
    <w:rsid w:val="00AD2339"/>
    <w:rsid w:val="00AD25E3"/>
    <w:rsid w:val="00AD28CB"/>
    <w:rsid w:val="00AD2C4C"/>
    <w:rsid w:val="00AD354E"/>
    <w:rsid w:val="00AD3F29"/>
    <w:rsid w:val="00AD4967"/>
    <w:rsid w:val="00AD4A56"/>
    <w:rsid w:val="00AD4A9B"/>
    <w:rsid w:val="00AD53F1"/>
    <w:rsid w:val="00AD59E2"/>
    <w:rsid w:val="00AD6D76"/>
    <w:rsid w:val="00AD738D"/>
    <w:rsid w:val="00AD754E"/>
    <w:rsid w:val="00AD7D19"/>
    <w:rsid w:val="00AD7DC0"/>
    <w:rsid w:val="00AD7F72"/>
    <w:rsid w:val="00AE0F77"/>
    <w:rsid w:val="00AE1193"/>
    <w:rsid w:val="00AE1664"/>
    <w:rsid w:val="00AE1C76"/>
    <w:rsid w:val="00AE20C4"/>
    <w:rsid w:val="00AE23DE"/>
    <w:rsid w:val="00AE2F3F"/>
    <w:rsid w:val="00AE3D2E"/>
    <w:rsid w:val="00AE45AF"/>
    <w:rsid w:val="00AE4ED2"/>
    <w:rsid w:val="00AE5757"/>
    <w:rsid w:val="00AE64F4"/>
    <w:rsid w:val="00AE6712"/>
    <w:rsid w:val="00AE7E83"/>
    <w:rsid w:val="00AE7F90"/>
    <w:rsid w:val="00AE7FB4"/>
    <w:rsid w:val="00AF0611"/>
    <w:rsid w:val="00AF220D"/>
    <w:rsid w:val="00AF2CD8"/>
    <w:rsid w:val="00AF3174"/>
    <w:rsid w:val="00AF395C"/>
    <w:rsid w:val="00AF42CD"/>
    <w:rsid w:val="00AF4496"/>
    <w:rsid w:val="00AF4B24"/>
    <w:rsid w:val="00AF517B"/>
    <w:rsid w:val="00AF51C1"/>
    <w:rsid w:val="00AF52F8"/>
    <w:rsid w:val="00AF5919"/>
    <w:rsid w:val="00AF64A9"/>
    <w:rsid w:val="00AF6977"/>
    <w:rsid w:val="00AF703F"/>
    <w:rsid w:val="00AF7095"/>
    <w:rsid w:val="00B0063B"/>
    <w:rsid w:val="00B0183D"/>
    <w:rsid w:val="00B01DA2"/>
    <w:rsid w:val="00B021EA"/>
    <w:rsid w:val="00B0243C"/>
    <w:rsid w:val="00B02DD5"/>
    <w:rsid w:val="00B031D2"/>
    <w:rsid w:val="00B04B63"/>
    <w:rsid w:val="00B04DA6"/>
    <w:rsid w:val="00B0564A"/>
    <w:rsid w:val="00B05907"/>
    <w:rsid w:val="00B05BE4"/>
    <w:rsid w:val="00B06F9B"/>
    <w:rsid w:val="00B07AC7"/>
    <w:rsid w:val="00B1012B"/>
    <w:rsid w:val="00B1082A"/>
    <w:rsid w:val="00B1108B"/>
    <w:rsid w:val="00B139A8"/>
    <w:rsid w:val="00B13BFE"/>
    <w:rsid w:val="00B13C23"/>
    <w:rsid w:val="00B14A2E"/>
    <w:rsid w:val="00B168EF"/>
    <w:rsid w:val="00B203B5"/>
    <w:rsid w:val="00B20870"/>
    <w:rsid w:val="00B21127"/>
    <w:rsid w:val="00B21335"/>
    <w:rsid w:val="00B23292"/>
    <w:rsid w:val="00B23685"/>
    <w:rsid w:val="00B23DB0"/>
    <w:rsid w:val="00B244CF"/>
    <w:rsid w:val="00B248AC"/>
    <w:rsid w:val="00B25498"/>
    <w:rsid w:val="00B25A3F"/>
    <w:rsid w:val="00B25E2B"/>
    <w:rsid w:val="00B26038"/>
    <w:rsid w:val="00B26284"/>
    <w:rsid w:val="00B26467"/>
    <w:rsid w:val="00B267F9"/>
    <w:rsid w:val="00B26A2E"/>
    <w:rsid w:val="00B274BD"/>
    <w:rsid w:val="00B27E9A"/>
    <w:rsid w:val="00B30484"/>
    <w:rsid w:val="00B306E0"/>
    <w:rsid w:val="00B307B2"/>
    <w:rsid w:val="00B30D5A"/>
    <w:rsid w:val="00B310E4"/>
    <w:rsid w:val="00B31EF6"/>
    <w:rsid w:val="00B32D63"/>
    <w:rsid w:val="00B32DA1"/>
    <w:rsid w:val="00B337A6"/>
    <w:rsid w:val="00B33970"/>
    <w:rsid w:val="00B33E97"/>
    <w:rsid w:val="00B34DCE"/>
    <w:rsid w:val="00B3512C"/>
    <w:rsid w:val="00B36BAE"/>
    <w:rsid w:val="00B37501"/>
    <w:rsid w:val="00B40654"/>
    <w:rsid w:val="00B40874"/>
    <w:rsid w:val="00B40C00"/>
    <w:rsid w:val="00B40F6B"/>
    <w:rsid w:val="00B416BE"/>
    <w:rsid w:val="00B41ACA"/>
    <w:rsid w:val="00B41BA6"/>
    <w:rsid w:val="00B422CC"/>
    <w:rsid w:val="00B425B5"/>
    <w:rsid w:val="00B4261F"/>
    <w:rsid w:val="00B43C47"/>
    <w:rsid w:val="00B44E42"/>
    <w:rsid w:val="00B466BA"/>
    <w:rsid w:val="00B4673F"/>
    <w:rsid w:val="00B467B3"/>
    <w:rsid w:val="00B4685D"/>
    <w:rsid w:val="00B46D62"/>
    <w:rsid w:val="00B47DFC"/>
    <w:rsid w:val="00B50981"/>
    <w:rsid w:val="00B51877"/>
    <w:rsid w:val="00B51F77"/>
    <w:rsid w:val="00B523F2"/>
    <w:rsid w:val="00B528C6"/>
    <w:rsid w:val="00B5341A"/>
    <w:rsid w:val="00B537AD"/>
    <w:rsid w:val="00B54BE9"/>
    <w:rsid w:val="00B57AF6"/>
    <w:rsid w:val="00B60DE9"/>
    <w:rsid w:val="00B610B8"/>
    <w:rsid w:val="00B61B45"/>
    <w:rsid w:val="00B62086"/>
    <w:rsid w:val="00B6250E"/>
    <w:rsid w:val="00B630D3"/>
    <w:rsid w:val="00B63399"/>
    <w:rsid w:val="00B63902"/>
    <w:rsid w:val="00B645B1"/>
    <w:rsid w:val="00B6526D"/>
    <w:rsid w:val="00B6595F"/>
    <w:rsid w:val="00B66274"/>
    <w:rsid w:val="00B6670D"/>
    <w:rsid w:val="00B66D79"/>
    <w:rsid w:val="00B67209"/>
    <w:rsid w:val="00B6736E"/>
    <w:rsid w:val="00B70364"/>
    <w:rsid w:val="00B70A22"/>
    <w:rsid w:val="00B70E22"/>
    <w:rsid w:val="00B71A7A"/>
    <w:rsid w:val="00B71DF3"/>
    <w:rsid w:val="00B72FDA"/>
    <w:rsid w:val="00B733AD"/>
    <w:rsid w:val="00B73450"/>
    <w:rsid w:val="00B73D67"/>
    <w:rsid w:val="00B740F2"/>
    <w:rsid w:val="00B743D2"/>
    <w:rsid w:val="00B745C1"/>
    <w:rsid w:val="00B7489A"/>
    <w:rsid w:val="00B7495A"/>
    <w:rsid w:val="00B75AFC"/>
    <w:rsid w:val="00B76B72"/>
    <w:rsid w:val="00B800C0"/>
    <w:rsid w:val="00B80DAD"/>
    <w:rsid w:val="00B8171D"/>
    <w:rsid w:val="00B81F95"/>
    <w:rsid w:val="00B8204B"/>
    <w:rsid w:val="00B827EC"/>
    <w:rsid w:val="00B82B14"/>
    <w:rsid w:val="00B830BC"/>
    <w:rsid w:val="00B84BA7"/>
    <w:rsid w:val="00B84FE0"/>
    <w:rsid w:val="00B8536B"/>
    <w:rsid w:val="00B86862"/>
    <w:rsid w:val="00B870A4"/>
    <w:rsid w:val="00B8741C"/>
    <w:rsid w:val="00B87A3A"/>
    <w:rsid w:val="00B87BB2"/>
    <w:rsid w:val="00B90E1E"/>
    <w:rsid w:val="00B92109"/>
    <w:rsid w:val="00B925B9"/>
    <w:rsid w:val="00B93824"/>
    <w:rsid w:val="00B93AEA"/>
    <w:rsid w:val="00B95081"/>
    <w:rsid w:val="00B95820"/>
    <w:rsid w:val="00B95B6E"/>
    <w:rsid w:val="00B960B7"/>
    <w:rsid w:val="00B96D1C"/>
    <w:rsid w:val="00B971F1"/>
    <w:rsid w:val="00BA031C"/>
    <w:rsid w:val="00BA0611"/>
    <w:rsid w:val="00BA1C4B"/>
    <w:rsid w:val="00BA1D0D"/>
    <w:rsid w:val="00BA578E"/>
    <w:rsid w:val="00BA5C6E"/>
    <w:rsid w:val="00BA6F44"/>
    <w:rsid w:val="00BA763F"/>
    <w:rsid w:val="00BB048B"/>
    <w:rsid w:val="00BB074A"/>
    <w:rsid w:val="00BB0C99"/>
    <w:rsid w:val="00BB26E1"/>
    <w:rsid w:val="00BB3CB7"/>
    <w:rsid w:val="00BB47A2"/>
    <w:rsid w:val="00BB4848"/>
    <w:rsid w:val="00BB498F"/>
    <w:rsid w:val="00BB5054"/>
    <w:rsid w:val="00BB53F7"/>
    <w:rsid w:val="00BB697F"/>
    <w:rsid w:val="00BC069C"/>
    <w:rsid w:val="00BC0DAC"/>
    <w:rsid w:val="00BC1F49"/>
    <w:rsid w:val="00BC2FEA"/>
    <w:rsid w:val="00BC4258"/>
    <w:rsid w:val="00BC437E"/>
    <w:rsid w:val="00BC5E09"/>
    <w:rsid w:val="00BC5F2A"/>
    <w:rsid w:val="00BC6312"/>
    <w:rsid w:val="00BC70C3"/>
    <w:rsid w:val="00BC7930"/>
    <w:rsid w:val="00BC7A3B"/>
    <w:rsid w:val="00BC7A98"/>
    <w:rsid w:val="00BC7EA3"/>
    <w:rsid w:val="00BD0761"/>
    <w:rsid w:val="00BD1AB7"/>
    <w:rsid w:val="00BD3D1C"/>
    <w:rsid w:val="00BD4CBA"/>
    <w:rsid w:val="00BD5D08"/>
    <w:rsid w:val="00BD61AC"/>
    <w:rsid w:val="00BD72B0"/>
    <w:rsid w:val="00BD79EA"/>
    <w:rsid w:val="00BD7D1D"/>
    <w:rsid w:val="00BD7FF2"/>
    <w:rsid w:val="00BE008B"/>
    <w:rsid w:val="00BE02D0"/>
    <w:rsid w:val="00BE0AED"/>
    <w:rsid w:val="00BE0ED1"/>
    <w:rsid w:val="00BE12A7"/>
    <w:rsid w:val="00BE1374"/>
    <w:rsid w:val="00BE20EE"/>
    <w:rsid w:val="00BE2505"/>
    <w:rsid w:val="00BE2D59"/>
    <w:rsid w:val="00BE2F0A"/>
    <w:rsid w:val="00BE46C5"/>
    <w:rsid w:val="00BE519F"/>
    <w:rsid w:val="00BE5902"/>
    <w:rsid w:val="00BE7D51"/>
    <w:rsid w:val="00BF0C76"/>
    <w:rsid w:val="00BF0CF0"/>
    <w:rsid w:val="00BF1307"/>
    <w:rsid w:val="00BF1498"/>
    <w:rsid w:val="00BF2106"/>
    <w:rsid w:val="00BF4933"/>
    <w:rsid w:val="00BF5B69"/>
    <w:rsid w:val="00C004F8"/>
    <w:rsid w:val="00C0062B"/>
    <w:rsid w:val="00C00A50"/>
    <w:rsid w:val="00C028E5"/>
    <w:rsid w:val="00C02D0E"/>
    <w:rsid w:val="00C02D71"/>
    <w:rsid w:val="00C03070"/>
    <w:rsid w:val="00C0405F"/>
    <w:rsid w:val="00C04926"/>
    <w:rsid w:val="00C04B2E"/>
    <w:rsid w:val="00C04DC9"/>
    <w:rsid w:val="00C05050"/>
    <w:rsid w:val="00C06D8F"/>
    <w:rsid w:val="00C06FE4"/>
    <w:rsid w:val="00C070AF"/>
    <w:rsid w:val="00C10133"/>
    <w:rsid w:val="00C106F4"/>
    <w:rsid w:val="00C110B6"/>
    <w:rsid w:val="00C111B4"/>
    <w:rsid w:val="00C11A74"/>
    <w:rsid w:val="00C11D4A"/>
    <w:rsid w:val="00C11DF4"/>
    <w:rsid w:val="00C132DF"/>
    <w:rsid w:val="00C13AB9"/>
    <w:rsid w:val="00C1628D"/>
    <w:rsid w:val="00C16303"/>
    <w:rsid w:val="00C165FE"/>
    <w:rsid w:val="00C17276"/>
    <w:rsid w:val="00C200D0"/>
    <w:rsid w:val="00C20329"/>
    <w:rsid w:val="00C20446"/>
    <w:rsid w:val="00C20B90"/>
    <w:rsid w:val="00C215BA"/>
    <w:rsid w:val="00C22240"/>
    <w:rsid w:val="00C2283C"/>
    <w:rsid w:val="00C22A0E"/>
    <w:rsid w:val="00C2366C"/>
    <w:rsid w:val="00C239EB"/>
    <w:rsid w:val="00C23B18"/>
    <w:rsid w:val="00C248D9"/>
    <w:rsid w:val="00C24BFA"/>
    <w:rsid w:val="00C2555D"/>
    <w:rsid w:val="00C25E75"/>
    <w:rsid w:val="00C25FD7"/>
    <w:rsid w:val="00C26958"/>
    <w:rsid w:val="00C26D99"/>
    <w:rsid w:val="00C27256"/>
    <w:rsid w:val="00C279C5"/>
    <w:rsid w:val="00C30A55"/>
    <w:rsid w:val="00C312AC"/>
    <w:rsid w:val="00C320AE"/>
    <w:rsid w:val="00C326EA"/>
    <w:rsid w:val="00C331D4"/>
    <w:rsid w:val="00C33353"/>
    <w:rsid w:val="00C335A5"/>
    <w:rsid w:val="00C341A5"/>
    <w:rsid w:val="00C34CD9"/>
    <w:rsid w:val="00C3503B"/>
    <w:rsid w:val="00C354D5"/>
    <w:rsid w:val="00C35857"/>
    <w:rsid w:val="00C358D9"/>
    <w:rsid w:val="00C35DA7"/>
    <w:rsid w:val="00C35F98"/>
    <w:rsid w:val="00C36DE9"/>
    <w:rsid w:val="00C402C4"/>
    <w:rsid w:val="00C40519"/>
    <w:rsid w:val="00C4063D"/>
    <w:rsid w:val="00C4066E"/>
    <w:rsid w:val="00C4074B"/>
    <w:rsid w:val="00C40848"/>
    <w:rsid w:val="00C413E1"/>
    <w:rsid w:val="00C4178F"/>
    <w:rsid w:val="00C41CEB"/>
    <w:rsid w:val="00C4236A"/>
    <w:rsid w:val="00C42A3F"/>
    <w:rsid w:val="00C42CD9"/>
    <w:rsid w:val="00C42FDD"/>
    <w:rsid w:val="00C43253"/>
    <w:rsid w:val="00C439F0"/>
    <w:rsid w:val="00C441FA"/>
    <w:rsid w:val="00C4421F"/>
    <w:rsid w:val="00C444DF"/>
    <w:rsid w:val="00C44F3D"/>
    <w:rsid w:val="00C455F3"/>
    <w:rsid w:val="00C4597F"/>
    <w:rsid w:val="00C45FAA"/>
    <w:rsid w:val="00C45FD8"/>
    <w:rsid w:val="00C46054"/>
    <w:rsid w:val="00C46208"/>
    <w:rsid w:val="00C46376"/>
    <w:rsid w:val="00C46785"/>
    <w:rsid w:val="00C46E4D"/>
    <w:rsid w:val="00C46F44"/>
    <w:rsid w:val="00C50471"/>
    <w:rsid w:val="00C50E01"/>
    <w:rsid w:val="00C5210E"/>
    <w:rsid w:val="00C53E0B"/>
    <w:rsid w:val="00C53FF8"/>
    <w:rsid w:val="00C5484C"/>
    <w:rsid w:val="00C54C39"/>
    <w:rsid w:val="00C55293"/>
    <w:rsid w:val="00C55D49"/>
    <w:rsid w:val="00C56BCE"/>
    <w:rsid w:val="00C56E28"/>
    <w:rsid w:val="00C574F1"/>
    <w:rsid w:val="00C57D8C"/>
    <w:rsid w:val="00C60087"/>
    <w:rsid w:val="00C61AA7"/>
    <w:rsid w:val="00C62067"/>
    <w:rsid w:val="00C62DD7"/>
    <w:rsid w:val="00C64630"/>
    <w:rsid w:val="00C6491E"/>
    <w:rsid w:val="00C655E2"/>
    <w:rsid w:val="00C659A3"/>
    <w:rsid w:val="00C6655E"/>
    <w:rsid w:val="00C66997"/>
    <w:rsid w:val="00C66ECD"/>
    <w:rsid w:val="00C701B8"/>
    <w:rsid w:val="00C717FB"/>
    <w:rsid w:val="00C71D0D"/>
    <w:rsid w:val="00C72669"/>
    <w:rsid w:val="00C72E48"/>
    <w:rsid w:val="00C735C0"/>
    <w:rsid w:val="00C75323"/>
    <w:rsid w:val="00C75518"/>
    <w:rsid w:val="00C77302"/>
    <w:rsid w:val="00C77753"/>
    <w:rsid w:val="00C77B09"/>
    <w:rsid w:val="00C8075F"/>
    <w:rsid w:val="00C80D21"/>
    <w:rsid w:val="00C810E5"/>
    <w:rsid w:val="00C8116F"/>
    <w:rsid w:val="00C83238"/>
    <w:rsid w:val="00C83705"/>
    <w:rsid w:val="00C8384C"/>
    <w:rsid w:val="00C8461A"/>
    <w:rsid w:val="00C8575A"/>
    <w:rsid w:val="00C8581B"/>
    <w:rsid w:val="00C86E8F"/>
    <w:rsid w:val="00C86FD6"/>
    <w:rsid w:val="00C877B3"/>
    <w:rsid w:val="00C87A3C"/>
    <w:rsid w:val="00C90976"/>
    <w:rsid w:val="00C90FDB"/>
    <w:rsid w:val="00C91AEE"/>
    <w:rsid w:val="00C922ED"/>
    <w:rsid w:val="00C9256B"/>
    <w:rsid w:val="00C93457"/>
    <w:rsid w:val="00C9357F"/>
    <w:rsid w:val="00C9382F"/>
    <w:rsid w:val="00C94415"/>
    <w:rsid w:val="00C94953"/>
    <w:rsid w:val="00C95CC6"/>
    <w:rsid w:val="00C95FB2"/>
    <w:rsid w:val="00C965D8"/>
    <w:rsid w:val="00C96FBA"/>
    <w:rsid w:val="00C972B7"/>
    <w:rsid w:val="00C976F0"/>
    <w:rsid w:val="00C97D30"/>
    <w:rsid w:val="00CA086D"/>
    <w:rsid w:val="00CA2454"/>
    <w:rsid w:val="00CA3166"/>
    <w:rsid w:val="00CA365B"/>
    <w:rsid w:val="00CA592C"/>
    <w:rsid w:val="00CA5FC9"/>
    <w:rsid w:val="00CA60A4"/>
    <w:rsid w:val="00CA6232"/>
    <w:rsid w:val="00CA6438"/>
    <w:rsid w:val="00CA6874"/>
    <w:rsid w:val="00CA7091"/>
    <w:rsid w:val="00CA7F81"/>
    <w:rsid w:val="00CB044F"/>
    <w:rsid w:val="00CB0600"/>
    <w:rsid w:val="00CB0F88"/>
    <w:rsid w:val="00CB1A2D"/>
    <w:rsid w:val="00CB1D73"/>
    <w:rsid w:val="00CB1E1E"/>
    <w:rsid w:val="00CB245C"/>
    <w:rsid w:val="00CB2A7C"/>
    <w:rsid w:val="00CB2C77"/>
    <w:rsid w:val="00CB46F2"/>
    <w:rsid w:val="00CC0A2B"/>
    <w:rsid w:val="00CC10AB"/>
    <w:rsid w:val="00CC12DD"/>
    <w:rsid w:val="00CC1E57"/>
    <w:rsid w:val="00CC26E2"/>
    <w:rsid w:val="00CC370B"/>
    <w:rsid w:val="00CC3E50"/>
    <w:rsid w:val="00CC4165"/>
    <w:rsid w:val="00CC4CCB"/>
    <w:rsid w:val="00CD0055"/>
    <w:rsid w:val="00CD0D8B"/>
    <w:rsid w:val="00CD1162"/>
    <w:rsid w:val="00CD12C3"/>
    <w:rsid w:val="00CD15EB"/>
    <w:rsid w:val="00CD1C47"/>
    <w:rsid w:val="00CD427A"/>
    <w:rsid w:val="00CD50CA"/>
    <w:rsid w:val="00CD5FBC"/>
    <w:rsid w:val="00CD7119"/>
    <w:rsid w:val="00CD7173"/>
    <w:rsid w:val="00CD71BA"/>
    <w:rsid w:val="00CD748B"/>
    <w:rsid w:val="00CD7870"/>
    <w:rsid w:val="00CE192E"/>
    <w:rsid w:val="00CE1AF4"/>
    <w:rsid w:val="00CE1DCF"/>
    <w:rsid w:val="00CE1F90"/>
    <w:rsid w:val="00CE371C"/>
    <w:rsid w:val="00CE46B6"/>
    <w:rsid w:val="00CE49BE"/>
    <w:rsid w:val="00CE4BAA"/>
    <w:rsid w:val="00CE50FA"/>
    <w:rsid w:val="00CE518A"/>
    <w:rsid w:val="00CE5408"/>
    <w:rsid w:val="00CE7594"/>
    <w:rsid w:val="00CF078F"/>
    <w:rsid w:val="00CF123A"/>
    <w:rsid w:val="00CF1BDE"/>
    <w:rsid w:val="00CF2153"/>
    <w:rsid w:val="00CF2DB8"/>
    <w:rsid w:val="00CF2FC7"/>
    <w:rsid w:val="00CF2FD2"/>
    <w:rsid w:val="00CF406B"/>
    <w:rsid w:val="00CF42E0"/>
    <w:rsid w:val="00CF4627"/>
    <w:rsid w:val="00CF5194"/>
    <w:rsid w:val="00CF5E7A"/>
    <w:rsid w:val="00CF7C82"/>
    <w:rsid w:val="00CF7E47"/>
    <w:rsid w:val="00CF7FF2"/>
    <w:rsid w:val="00D00AE8"/>
    <w:rsid w:val="00D0192D"/>
    <w:rsid w:val="00D01E64"/>
    <w:rsid w:val="00D046DC"/>
    <w:rsid w:val="00D04907"/>
    <w:rsid w:val="00D05470"/>
    <w:rsid w:val="00D05F19"/>
    <w:rsid w:val="00D066B9"/>
    <w:rsid w:val="00D07D3D"/>
    <w:rsid w:val="00D10254"/>
    <w:rsid w:val="00D11C92"/>
    <w:rsid w:val="00D12E9F"/>
    <w:rsid w:val="00D1376B"/>
    <w:rsid w:val="00D13B11"/>
    <w:rsid w:val="00D1467F"/>
    <w:rsid w:val="00D1699F"/>
    <w:rsid w:val="00D16C73"/>
    <w:rsid w:val="00D16CA6"/>
    <w:rsid w:val="00D16CE7"/>
    <w:rsid w:val="00D170C4"/>
    <w:rsid w:val="00D211FE"/>
    <w:rsid w:val="00D22259"/>
    <w:rsid w:val="00D22F45"/>
    <w:rsid w:val="00D23770"/>
    <w:rsid w:val="00D2459D"/>
    <w:rsid w:val="00D2480A"/>
    <w:rsid w:val="00D25614"/>
    <w:rsid w:val="00D26824"/>
    <w:rsid w:val="00D26961"/>
    <w:rsid w:val="00D26999"/>
    <w:rsid w:val="00D30159"/>
    <w:rsid w:val="00D30F5C"/>
    <w:rsid w:val="00D31164"/>
    <w:rsid w:val="00D31FB4"/>
    <w:rsid w:val="00D3230B"/>
    <w:rsid w:val="00D338E8"/>
    <w:rsid w:val="00D34EC3"/>
    <w:rsid w:val="00D35A70"/>
    <w:rsid w:val="00D35B20"/>
    <w:rsid w:val="00D371FE"/>
    <w:rsid w:val="00D372A3"/>
    <w:rsid w:val="00D37C20"/>
    <w:rsid w:val="00D40981"/>
    <w:rsid w:val="00D40BA7"/>
    <w:rsid w:val="00D40DC6"/>
    <w:rsid w:val="00D41DAD"/>
    <w:rsid w:val="00D4252D"/>
    <w:rsid w:val="00D4263D"/>
    <w:rsid w:val="00D42AD1"/>
    <w:rsid w:val="00D43611"/>
    <w:rsid w:val="00D43D8D"/>
    <w:rsid w:val="00D44166"/>
    <w:rsid w:val="00D442CF"/>
    <w:rsid w:val="00D44E67"/>
    <w:rsid w:val="00D4742A"/>
    <w:rsid w:val="00D47978"/>
    <w:rsid w:val="00D50BE4"/>
    <w:rsid w:val="00D5235F"/>
    <w:rsid w:val="00D52BCA"/>
    <w:rsid w:val="00D52E85"/>
    <w:rsid w:val="00D53121"/>
    <w:rsid w:val="00D53A2C"/>
    <w:rsid w:val="00D54DF0"/>
    <w:rsid w:val="00D552AF"/>
    <w:rsid w:val="00D55816"/>
    <w:rsid w:val="00D56330"/>
    <w:rsid w:val="00D56413"/>
    <w:rsid w:val="00D56E7F"/>
    <w:rsid w:val="00D57653"/>
    <w:rsid w:val="00D578BD"/>
    <w:rsid w:val="00D60438"/>
    <w:rsid w:val="00D607BB"/>
    <w:rsid w:val="00D60957"/>
    <w:rsid w:val="00D63446"/>
    <w:rsid w:val="00D63F5F"/>
    <w:rsid w:val="00D64808"/>
    <w:rsid w:val="00D6480C"/>
    <w:rsid w:val="00D64DEE"/>
    <w:rsid w:val="00D65DE1"/>
    <w:rsid w:val="00D660C0"/>
    <w:rsid w:val="00D66DD3"/>
    <w:rsid w:val="00D70A4F"/>
    <w:rsid w:val="00D71052"/>
    <w:rsid w:val="00D71A21"/>
    <w:rsid w:val="00D71AFE"/>
    <w:rsid w:val="00D71BA0"/>
    <w:rsid w:val="00D71E94"/>
    <w:rsid w:val="00D720AC"/>
    <w:rsid w:val="00D723BF"/>
    <w:rsid w:val="00D72515"/>
    <w:rsid w:val="00D72DB5"/>
    <w:rsid w:val="00D74070"/>
    <w:rsid w:val="00D74504"/>
    <w:rsid w:val="00D75C28"/>
    <w:rsid w:val="00D75C95"/>
    <w:rsid w:val="00D76090"/>
    <w:rsid w:val="00D76F1F"/>
    <w:rsid w:val="00D7712E"/>
    <w:rsid w:val="00D77521"/>
    <w:rsid w:val="00D77CC8"/>
    <w:rsid w:val="00D81FC7"/>
    <w:rsid w:val="00D839DA"/>
    <w:rsid w:val="00D8406D"/>
    <w:rsid w:val="00D84576"/>
    <w:rsid w:val="00D84BCA"/>
    <w:rsid w:val="00D85333"/>
    <w:rsid w:val="00D861D4"/>
    <w:rsid w:val="00D86461"/>
    <w:rsid w:val="00D90F1A"/>
    <w:rsid w:val="00D9106B"/>
    <w:rsid w:val="00D91798"/>
    <w:rsid w:val="00D92702"/>
    <w:rsid w:val="00D9279F"/>
    <w:rsid w:val="00D93575"/>
    <w:rsid w:val="00D946CA"/>
    <w:rsid w:val="00D948AB"/>
    <w:rsid w:val="00D94D41"/>
    <w:rsid w:val="00D94E2C"/>
    <w:rsid w:val="00D959F9"/>
    <w:rsid w:val="00D95A7C"/>
    <w:rsid w:val="00D95BBE"/>
    <w:rsid w:val="00D969A2"/>
    <w:rsid w:val="00D978C5"/>
    <w:rsid w:val="00D97921"/>
    <w:rsid w:val="00D97B2E"/>
    <w:rsid w:val="00DA0125"/>
    <w:rsid w:val="00DA0DE9"/>
    <w:rsid w:val="00DA1D4D"/>
    <w:rsid w:val="00DA1F67"/>
    <w:rsid w:val="00DA26E7"/>
    <w:rsid w:val="00DA29CF"/>
    <w:rsid w:val="00DA2A8A"/>
    <w:rsid w:val="00DA42ED"/>
    <w:rsid w:val="00DA49EA"/>
    <w:rsid w:val="00DA4A43"/>
    <w:rsid w:val="00DA5E0A"/>
    <w:rsid w:val="00DA710D"/>
    <w:rsid w:val="00DA79FC"/>
    <w:rsid w:val="00DA7CCC"/>
    <w:rsid w:val="00DB059C"/>
    <w:rsid w:val="00DB08E0"/>
    <w:rsid w:val="00DB0A52"/>
    <w:rsid w:val="00DB1349"/>
    <w:rsid w:val="00DB16AD"/>
    <w:rsid w:val="00DB1F7D"/>
    <w:rsid w:val="00DB2398"/>
    <w:rsid w:val="00DB24CC"/>
    <w:rsid w:val="00DB27BF"/>
    <w:rsid w:val="00DB2F10"/>
    <w:rsid w:val="00DB408B"/>
    <w:rsid w:val="00DB523E"/>
    <w:rsid w:val="00DB54AF"/>
    <w:rsid w:val="00DB54BC"/>
    <w:rsid w:val="00DB566D"/>
    <w:rsid w:val="00DB5B03"/>
    <w:rsid w:val="00DB5D40"/>
    <w:rsid w:val="00DB6B96"/>
    <w:rsid w:val="00DB6CEC"/>
    <w:rsid w:val="00DB7DDB"/>
    <w:rsid w:val="00DB7E6C"/>
    <w:rsid w:val="00DC0F85"/>
    <w:rsid w:val="00DC1E52"/>
    <w:rsid w:val="00DC3B38"/>
    <w:rsid w:val="00DC4609"/>
    <w:rsid w:val="00DC5F98"/>
    <w:rsid w:val="00DC6309"/>
    <w:rsid w:val="00DC69E6"/>
    <w:rsid w:val="00DC7158"/>
    <w:rsid w:val="00DC7226"/>
    <w:rsid w:val="00DD00B7"/>
    <w:rsid w:val="00DD0927"/>
    <w:rsid w:val="00DD0B28"/>
    <w:rsid w:val="00DD1012"/>
    <w:rsid w:val="00DD1390"/>
    <w:rsid w:val="00DD17FF"/>
    <w:rsid w:val="00DD20EC"/>
    <w:rsid w:val="00DD2471"/>
    <w:rsid w:val="00DD2770"/>
    <w:rsid w:val="00DD33A9"/>
    <w:rsid w:val="00DD346E"/>
    <w:rsid w:val="00DD3569"/>
    <w:rsid w:val="00DD3F35"/>
    <w:rsid w:val="00DD4893"/>
    <w:rsid w:val="00DD5A18"/>
    <w:rsid w:val="00DD5A68"/>
    <w:rsid w:val="00DD65B7"/>
    <w:rsid w:val="00DD6DCA"/>
    <w:rsid w:val="00DD72B6"/>
    <w:rsid w:val="00DE04B2"/>
    <w:rsid w:val="00DE0658"/>
    <w:rsid w:val="00DE1E39"/>
    <w:rsid w:val="00DE2979"/>
    <w:rsid w:val="00DE502D"/>
    <w:rsid w:val="00DE663D"/>
    <w:rsid w:val="00DE66AB"/>
    <w:rsid w:val="00DE6802"/>
    <w:rsid w:val="00DE73D1"/>
    <w:rsid w:val="00DE7AEE"/>
    <w:rsid w:val="00DF1F0B"/>
    <w:rsid w:val="00DF2A2E"/>
    <w:rsid w:val="00DF2CDF"/>
    <w:rsid w:val="00DF4B6F"/>
    <w:rsid w:val="00DF4DE0"/>
    <w:rsid w:val="00DF595A"/>
    <w:rsid w:val="00DF5DDF"/>
    <w:rsid w:val="00E00754"/>
    <w:rsid w:val="00E00E98"/>
    <w:rsid w:val="00E018C5"/>
    <w:rsid w:val="00E0240A"/>
    <w:rsid w:val="00E02D72"/>
    <w:rsid w:val="00E02ED6"/>
    <w:rsid w:val="00E0301A"/>
    <w:rsid w:val="00E03476"/>
    <w:rsid w:val="00E03998"/>
    <w:rsid w:val="00E039D6"/>
    <w:rsid w:val="00E04043"/>
    <w:rsid w:val="00E0482C"/>
    <w:rsid w:val="00E049EB"/>
    <w:rsid w:val="00E04B22"/>
    <w:rsid w:val="00E066D6"/>
    <w:rsid w:val="00E068BF"/>
    <w:rsid w:val="00E06D3D"/>
    <w:rsid w:val="00E07A20"/>
    <w:rsid w:val="00E07C83"/>
    <w:rsid w:val="00E1013F"/>
    <w:rsid w:val="00E10188"/>
    <w:rsid w:val="00E109AF"/>
    <w:rsid w:val="00E11129"/>
    <w:rsid w:val="00E1129D"/>
    <w:rsid w:val="00E1169F"/>
    <w:rsid w:val="00E11A7B"/>
    <w:rsid w:val="00E12AB7"/>
    <w:rsid w:val="00E12F02"/>
    <w:rsid w:val="00E1317C"/>
    <w:rsid w:val="00E14BA6"/>
    <w:rsid w:val="00E14F49"/>
    <w:rsid w:val="00E157C8"/>
    <w:rsid w:val="00E16363"/>
    <w:rsid w:val="00E16A63"/>
    <w:rsid w:val="00E16F30"/>
    <w:rsid w:val="00E17914"/>
    <w:rsid w:val="00E17FD6"/>
    <w:rsid w:val="00E2045C"/>
    <w:rsid w:val="00E20DFF"/>
    <w:rsid w:val="00E22AE8"/>
    <w:rsid w:val="00E22DCD"/>
    <w:rsid w:val="00E23A6F"/>
    <w:rsid w:val="00E24B4C"/>
    <w:rsid w:val="00E25400"/>
    <w:rsid w:val="00E26444"/>
    <w:rsid w:val="00E26C7D"/>
    <w:rsid w:val="00E27A7B"/>
    <w:rsid w:val="00E307BF"/>
    <w:rsid w:val="00E31688"/>
    <w:rsid w:val="00E316D4"/>
    <w:rsid w:val="00E31C87"/>
    <w:rsid w:val="00E334EB"/>
    <w:rsid w:val="00E33954"/>
    <w:rsid w:val="00E34B0E"/>
    <w:rsid w:val="00E34F32"/>
    <w:rsid w:val="00E35DEC"/>
    <w:rsid w:val="00E36576"/>
    <w:rsid w:val="00E36A8A"/>
    <w:rsid w:val="00E36DDF"/>
    <w:rsid w:val="00E36FEC"/>
    <w:rsid w:val="00E373F9"/>
    <w:rsid w:val="00E41785"/>
    <w:rsid w:val="00E42010"/>
    <w:rsid w:val="00E4284C"/>
    <w:rsid w:val="00E46336"/>
    <w:rsid w:val="00E466A9"/>
    <w:rsid w:val="00E46ADD"/>
    <w:rsid w:val="00E476CF"/>
    <w:rsid w:val="00E50A2F"/>
    <w:rsid w:val="00E50B6B"/>
    <w:rsid w:val="00E51A68"/>
    <w:rsid w:val="00E5217E"/>
    <w:rsid w:val="00E5227E"/>
    <w:rsid w:val="00E523EB"/>
    <w:rsid w:val="00E5265A"/>
    <w:rsid w:val="00E53FF3"/>
    <w:rsid w:val="00E54CCB"/>
    <w:rsid w:val="00E54F3F"/>
    <w:rsid w:val="00E560BF"/>
    <w:rsid w:val="00E562DE"/>
    <w:rsid w:val="00E60B84"/>
    <w:rsid w:val="00E616BB"/>
    <w:rsid w:val="00E621E3"/>
    <w:rsid w:val="00E62350"/>
    <w:rsid w:val="00E626AD"/>
    <w:rsid w:val="00E626B4"/>
    <w:rsid w:val="00E6279C"/>
    <w:rsid w:val="00E62F4E"/>
    <w:rsid w:val="00E63255"/>
    <w:rsid w:val="00E642C2"/>
    <w:rsid w:val="00E6521F"/>
    <w:rsid w:val="00E65C71"/>
    <w:rsid w:val="00E66A12"/>
    <w:rsid w:val="00E66D66"/>
    <w:rsid w:val="00E704CD"/>
    <w:rsid w:val="00E70889"/>
    <w:rsid w:val="00E711EB"/>
    <w:rsid w:val="00E71327"/>
    <w:rsid w:val="00E7177D"/>
    <w:rsid w:val="00E71852"/>
    <w:rsid w:val="00E719BD"/>
    <w:rsid w:val="00E71B8F"/>
    <w:rsid w:val="00E71C3B"/>
    <w:rsid w:val="00E73210"/>
    <w:rsid w:val="00E73613"/>
    <w:rsid w:val="00E73724"/>
    <w:rsid w:val="00E756C3"/>
    <w:rsid w:val="00E75E5A"/>
    <w:rsid w:val="00E75EBD"/>
    <w:rsid w:val="00E7624C"/>
    <w:rsid w:val="00E80140"/>
    <w:rsid w:val="00E8047B"/>
    <w:rsid w:val="00E81307"/>
    <w:rsid w:val="00E815B9"/>
    <w:rsid w:val="00E816CE"/>
    <w:rsid w:val="00E81D1A"/>
    <w:rsid w:val="00E81F5D"/>
    <w:rsid w:val="00E8226D"/>
    <w:rsid w:val="00E82610"/>
    <w:rsid w:val="00E82C3A"/>
    <w:rsid w:val="00E83367"/>
    <w:rsid w:val="00E84224"/>
    <w:rsid w:val="00E84D2E"/>
    <w:rsid w:val="00E85047"/>
    <w:rsid w:val="00E85EC1"/>
    <w:rsid w:val="00E86235"/>
    <w:rsid w:val="00E86463"/>
    <w:rsid w:val="00E8658C"/>
    <w:rsid w:val="00E86DED"/>
    <w:rsid w:val="00E87046"/>
    <w:rsid w:val="00E8792C"/>
    <w:rsid w:val="00E87F48"/>
    <w:rsid w:val="00E91095"/>
    <w:rsid w:val="00E9147D"/>
    <w:rsid w:val="00E91D8D"/>
    <w:rsid w:val="00E92A8E"/>
    <w:rsid w:val="00E93228"/>
    <w:rsid w:val="00E93A6A"/>
    <w:rsid w:val="00E946DD"/>
    <w:rsid w:val="00E94A45"/>
    <w:rsid w:val="00E94AF5"/>
    <w:rsid w:val="00E94BA1"/>
    <w:rsid w:val="00E9573D"/>
    <w:rsid w:val="00E957A0"/>
    <w:rsid w:val="00E95AEF"/>
    <w:rsid w:val="00E963C9"/>
    <w:rsid w:val="00E978AA"/>
    <w:rsid w:val="00E97983"/>
    <w:rsid w:val="00EA1605"/>
    <w:rsid w:val="00EA1C8B"/>
    <w:rsid w:val="00EA220A"/>
    <w:rsid w:val="00EA226C"/>
    <w:rsid w:val="00EA2A41"/>
    <w:rsid w:val="00EA396A"/>
    <w:rsid w:val="00EA39F7"/>
    <w:rsid w:val="00EA47BE"/>
    <w:rsid w:val="00EA4E48"/>
    <w:rsid w:val="00EA55C2"/>
    <w:rsid w:val="00EA5D45"/>
    <w:rsid w:val="00EA6980"/>
    <w:rsid w:val="00EA76AE"/>
    <w:rsid w:val="00EA76D4"/>
    <w:rsid w:val="00EA78D7"/>
    <w:rsid w:val="00EB07A8"/>
    <w:rsid w:val="00EB295A"/>
    <w:rsid w:val="00EB2EEA"/>
    <w:rsid w:val="00EB36B7"/>
    <w:rsid w:val="00EB417E"/>
    <w:rsid w:val="00EB44D6"/>
    <w:rsid w:val="00EB7B62"/>
    <w:rsid w:val="00EC10FE"/>
    <w:rsid w:val="00EC3620"/>
    <w:rsid w:val="00EC39D9"/>
    <w:rsid w:val="00EC411F"/>
    <w:rsid w:val="00EC5CB5"/>
    <w:rsid w:val="00EC7399"/>
    <w:rsid w:val="00EC790D"/>
    <w:rsid w:val="00ED034A"/>
    <w:rsid w:val="00ED0887"/>
    <w:rsid w:val="00ED0EE3"/>
    <w:rsid w:val="00ED3679"/>
    <w:rsid w:val="00ED3810"/>
    <w:rsid w:val="00ED3A8A"/>
    <w:rsid w:val="00ED3DF4"/>
    <w:rsid w:val="00ED475B"/>
    <w:rsid w:val="00ED562A"/>
    <w:rsid w:val="00ED61EB"/>
    <w:rsid w:val="00ED6650"/>
    <w:rsid w:val="00EE1046"/>
    <w:rsid w:val="00EE189B"/>
    <w:rsid w:val="00EE1B08"/>
    <w:rsid w:val="00EE277F"/>
    <w:rsid w:val="00EE36D9"/>
    <w:rsid w:val="00EE4B8E"/>
    <w:rsid w:val="00EE5030"/>
    <w:rsid w:val="00EE55D6"/>
    <w:rsid w:val="00EE5EC9"/>
    <w:rsid w:val="00EE613A"/>
    <w:rsid w:val="00EE66FF"/>
    <w:rsid w:val="00EE7804"/>
    <w:rsid w:val="00EF1048"/>
    <w:rsid w:val="00EF177D"/>
    <w:rsid w:val="00EF1DC8"/>
    <w:rsid w:val="00EF24A5"/>
    <w:rsid w:val="00EF386C"/>
    <w:rsid w:val="00EF4B04"/>
    <w:rsid w:val="00EF51F3"/>
    <w:rsid w:val="00EF5EFD"/>
    <w:rsid w:val="00EF623E"/>
    <w:rsid w:val="00EF6471"/>
    <w:rsid w:val="00EF6B9F"/>
    <w:rsid w:val="00EF7040"/>
    <w:rsid w:val="00F00486"/>
    <w:rsid w:val="00F006EB"/>
    <w:rsid w:val="00F015B3"/>
    <w:rsid w:val="00F016D2"/>
    <w:rsid w:val="00F016E4"/>
    <w:rsid w:val="00F02444"/>
    <w:rsid w:val="00F024F4"/>
    <w:rsid w:val="00F027C0"/>
    <w:rsid w:val="00F02CEC"/>
    <w:rsid w:val="00F03CD1"/>
    <w:rsid w:val="00F05177"/>
    <w:rsid w:val="00F0542F"/>
    <w:rsid w:val="00F05631"/>
    <w:rsid w:val="00F05BF1"/>
    <w:rsid w:val="00F06F0F"/>
    <w:rsid w:val="00F06F88"/>
    <w:rsid w:val="00F06FB4"/>
    <w:rsid w:val="00F070A4"/>
    <w:rsid w:val="00F07518"/>
    <w:rsid w:val="00F07878"/>
    <w:rsid w:val="00F07B61"/>
    <w:rsid w:val="00F108B8"/>
    <w:rsid w:val="00F10AAF"/>
    <w:rsid w:val="00F11529"/>
    <w:rsid w:val="00F11A17"/>
    <w:rsid w:val="00F12FD6"/>
    <w:rsid w:val="00F1334E"/>
    <w:rsid w:val="00F137B3"/>
    <w:rsid w:val="00F13DF0"/>
    <w:rsid w:val="00F145B9"/>
    <w:rsid w:val="00F1461B"/>
    <w:rsid w:val="00F15EC9"/>
    <w:rsid w:val="00F16730"/>
    <w:rsid w:val="00F16BEC"/>
    <w:rsid w:val="00F16D3E"/>
    <w:rsid w:val="00F20AE3"/>
    <w:rsid w:val="00F225C3"/>
    <w:rsid w:val="00F23041"/>
    <w:rsid w:val="00F2348C"/>
    <w:rsid w:val="00F23606"/>
    <w:rsid w:val="00F2390A"/>
    <w:rsid w:val="00F24130"/>
    <w:rsid w:val="00F24682"/>
    <w:rsid w:val="00F24808"/>
    <w:rsid w:val="00F25082"/>
    <w:rsid w:val="00F25A78"/>
    <w:rsid w:val="00F25D77"/>
    <w:rsid w:val="00F25D90"/>
    <w:rsid w:val="00F2642E"/>
    <w:rsid w:val="00F26816"/>
    <w:rsid w:val="00F26AA2"/>
    <w:rsid w:val="00F2777F"/>
    <w:rsid w:val="00F30A01"/>
    <w:rsid w:val="00F3109F"/>
    <w:rsid w:val="00F31C3A"/>
    <w:rsid w:val="00F32C88"/>
    <w:rsid w:val="00F33B97"/>
    <w:rsid w:val="00F344E3"/>
    <w:rsid w:val="00F35860"/>
    <w:rsid w:val="00F36A83"/>
    <w:rsid w:val="00F37958"/>
    <w:rsid w:val="00F37D2E"/>
    <w:rsid w:val="00F405E3"/>
    <w:rsid w:val="00F41BE9"/>
    <w:rsid w:val="00F44068"/>
    <w:rsid w:val="00F444D4"/>
    <w:rsid w:val="00F44D0C"/>
    <w:rsid w:val="00F45C74"/>
    <w:rsid w:val="00F46BA5"/>
    <w:rsid w:val="00F50877"/>
    <w:rsid w:val="00F51B33"/>
    <w:rsid w:val="00F522BB"/>
    <w:rsid w:val="00F52DAB"/>
    <w:rsid w:val="00F5311F"/>
    <w:rsid w:val="00F53524"/>
    <w:rsid w:val="00F53E24"/>
    <w:rsid w:val="00F54065"/>
    <w:rsid w:val="00F55A23"/>
    <w:rsid w:val="00F55C10"/>
    <w:rsid w:val="00F55D81"/>
    <w:rsid w:val="00F56418"/>
    <w:rsid w:val="00F56BD1"/>
    <w:rsid w:val="00F57264"/>
    <w:rsid w:val="00F5764D"/>
    <w:rsid w:val="00F60B1E"/>
    <w:rsid w:val="00F615D8"/>
    <w:rsid w:val="00F615ED"/>
    <w:rsid w:val="00F61935"/>
    <w:rsid w:val="00F62BB5"/>
    <w:rsid w:val="00F63B85"/>
    <w:rsid w:val="00F64126"/>
    <w:rsid w:val="00F64213"/>
    <w:rsid w:val="00F646D2"/>
    <w:rsid w:val="00F66414"/>
    <w:rsid w:val="00F66F53"/>
    <w:rsid w:val="00F674D6"/>
    <w:rsid w:val="00F70E63"/>
    <w:rsid w:val="00F70FAA"/>
    <w:rsid w:val="00F71267"/>
    <w:rsid w:val="00F71A06"/>
    <w:rsid w:val="00F71A3A"/>
    <w:rsid w:val="00F74F9B"/>
    <w:rsid w:val="00F76B31"/>
    <w:rsid w:val="00F772D2"/>
    <w:rsid w:val="00F778E3"/>
    <w:rsid w:val="00F77F06"/>
    <w:rsid w:val="00F77FE0"/>
    <w:rsid w:val="00F804B7"/>
    <w:rsid w:val="00F80B82"/>
    <w:rsid w:val="00F80ECC"/>
    <w:rsid w:val="00F81CAA"/>
    <w:rsid w:val="00F835C5"/>
    <w:rsid w:val="00F83C6D"/>
    <w:rsid w:val="00F84676"/>
    <w:rsid w:val="00F84A17"/>
    <w:rsid w:val="00F8537F"/>
    <w:rsid w:val="00F85807"/>
    <w:rsid w:val="00F86907"/>
    <w:rsid w:val="00F92385"/>
    <w:rsid w:val="00F92A43"/>
    <w:rsid w:val="00F93465"/>
    <w:rsid w:val="00F936A3"/>
    <w:rsid w:val="00F93B33"/>
    <w:rsid w:val="00F93E84"/>
    <w:rsid w:val="00F94D9E"/>
    <w:rsid w:val="00F9542B"/>
    <w:rsid w:val="00F968E1"/>
    <w:rsid w:val="00F97BDC"/>
    <w:rsid w:val="00FA1C27"/>
    <w:rsid w:val="00FA22DE"/>
    <w:rsid w:val="00FA2A11"/>
    <w:rsid w:val="00FA2CFE"/>
    <w:rsid w:val="00FA3AC4"/>
    <w:rsid w:val="00FA4232"/>
    <w:rsid w:val="00FA4979"/>
    <w:rsid w:val="00FA4B83"/>
    <w:rsid w:val="00FA4BFF"/>
    <w:rsid w:val="00FA4DBC"/>
    <w:rsid w:val="00FA5057"/>
    <w:rsid w:val="00FA5BCB"/>
    <w:rsid w:val="00FA6175"/>
    <w:rsid w:val="00FA6E67"/>
    <w:rsid w:val="00FA6FD5"/>
    <w:rsid w:val="00FA7894"/>
    <w:rsid w:val="00FB036E"/>
    <w:rsid w:val="00FB258C"/>
    <w:rsid w:val="00FB2718"/>
    <w:rsid w:val="00FB2B01"/>
    <w:rsid w:val="00FB31FF"/>
    <w:rsid w:val="00FB349F"/>
    <w:rsid w:val="00FB42E7"/>
    <w:rsid w:val="00FB5B27"/>
    <w:rsid w:val="00FB67A3"/>
    <w:rsid w:val="00FB6984"/>
    <w:rsid w:val="00FB73B1"/>
    <w:rsid w:val="00FB7958"/>
    <w:rsid w:val="00FC0453"/>
    <w:rsid w:val="00FC04C8"/>
    <w:rsid w:val="00FC1D80"/>
    <w:rsid w:val="00FC1F96"/>
    <w:rsid w:val="00FC2B07"/>
    <w:rsid w:val="00FC3D7F"/>
    <w:rsid w:val="00FC4208"/>
    <w:rsid w:val="00FC55D3"/>
    <w:rsid w:val="00FC5B80"/>
    <w:rsid w:val="00FC6D69"/>
    <w:rsid w:val="00FC757E"/>
    <w:rsid w:val="00FC7B95"/>
    <w:rsid w:val="00FD0213"/>
    <w:rsid w:val="00FD0D94"/>
    <w:rsid w:val="00FD1776"/>
    <w:rsid w:val="00FD177E"/>
    <w:rsid w:val="00FD1C9B"/>
    <w:rsid w:val="00FD1E70"/>
    <w:rsid w:val="00FD2E89"/>
    <w:rsid w:val="00FD3390"/>
    <w:rsid w:val="00FD3709"/>
    <w:rsid w:val="00FD3951"/>
    <w:rsid w:val="00FD47AB"/>
    <w:rsid w:val="00FD661F"/>
    <w:rsid w:val="00FD6EA6"/>
    <w:rsid w:val="00FD723C"/>
    <w:rsid w:val="00FE019B"/>
    <w:rsid w:val="00FE0902"/>
    <w:rsid w:val="00FE0C86"/>
    <w:rsid w:val="00FE290C"/>
    <w:rsid w:val="00FE38D6"/>
    <w:rsid w:val="00FE4E5D"/>
    <w:rsid w:val="00FE4F3D"/>
    <w:rsid w:val="00FE623F"/>
    <w:rsid w:val="00FE63CF"/>
    <w:rsid w:val="00FE6A50"/>
    <w:rsid w:val="00FE7AF8"/>
    <w:rsid w:val="00FF06BD"/>
    <w:rsid w:val="00FF0BD6"/>
    <w:rsid w:val="00FF1A02"/>
    <w:rsid w:val="00FF20C0"/>
    <w:rsid w:val="00FF22BC"/>
    <w:rsid w:val="00FF3150"/>
    <w:rsid w:val="00FF407E"/>
    <w:rsid w:val="00FF4B09"/>
    <w:rsid w:val="00FF4BFD"/>
    <w:rsid w:val="00FF4D24"/>
    <w:rsid w:val="00FF5116"/>
    <w:rsid w:val="00FF5DD3"/>
    <w:rsid w:val="00FF5FB0"/>
    <w:rsid w:val="00FF7761"/>
  </w:rsids>
  <m:mathPr>
    <m:mathFont m:val="Cambria Math"/>
    <m:brkBin m:val="before"/>
    <m:brkBinSub m:val="--"/>
    <m:smallFrac m:val="0"/>
    <m:dispDef/>
    <m:lMargin m:val="0"/>
    <m:rMargin m:val="0"/>
    <m:defJc m:val="centerGroup"/>
    <m:wrapIndent m:val="1440"/>
    <m:intLim m:val="subSup"/>
    <m:naryLim m:val="undOvr"/>
  </m:mathPr>
  <w:themeFontLang w:val="en-IN"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61AC6"/>
  <w15:docId w15:val="{AEEE18D5-4BD9-45EF-AEA3-E6D16A30C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D62"/>
  </w:style>
  <w:style w:type="paragraph" w:styleId="Heading1">
    <w:name w:val="heading 1"/>
    <w:basedOn w:val="Normal"/>
    <w:next w:val="Normal"/>
    <w:link w:val="Heading1Char"/>
    <w:uiPriority w:val="9"/>
    <w:qFormat/>
    <w:rsid w:val="00F25A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742A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F2CDF"/>
    <w:pPr>
      <w:keepNext/>
      <w:keepLines/>
      <w:numPr>
        <w:numId w:val="59"/>
      </w:numPr>
      <w:spacing w:before="40" w:after="0"/>
      <w:outlineLvl w:val="2"/>
    </w:pPr>
    <w:rPr>
      <w:rFonts w:asciiTheme="majorHAnsi" w:eastAsiaTheme="majorEastAsia" w:hAnsiTheme="majorHAnsi" w:cstheme="majorBidi"/>
      <w:b/>
      <w:color w:val="1F3763" w:themeColor="accent1" w:themeShade="7F"/>
      <w:sz w:val="24"/>
      <w:szCs w:val="24"/>
    </w:rPr>
  </w:style>
  <w:style w:type="paragraph" w:styleId="Heading4">
    <w:name w:val="heading 4"/>
    <w:basedOn w:val="Normal"/>
    <w:next w:val="Normal"/>
    <w:link w:val="Heading4Char"/>
    <w:uiPriority w:val="9"/>
    <w:semiHidden/>
    <w:unhideWhenUsed/>
    <w:qFormat/>
    <w:rsid w:val="00696013"/>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696013"/>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696013"/>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696013"/>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696013"/>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696013"/>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A7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742A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F2CDF"/>
    <w:rPr>
      <w:rFonts w:asciiTheme="majorHAnsi" w:eastAsiaTheme="majorEastAsia" w:hAnsiTheme="majorHAnsi" w:cstheme="majorBidi"/>
      <w:b/>
      <w:color w:val="1F3763" w:themeColor="accent1" w:themeShade="7F"/>
      <w:sz w:val="24"/>
      <w:szCs w:val="24"/>
    </w:rPr>
  </w:style>
  <w:style w:type="character" w:customStyle="1" w:styleId="Heading4Char">
    <w:name w:val="Heading 4 Char"/>
    <w:basedOn w:val="DefaultParagraphFont"/>
    <w:link w:val="Heading4"/>
    <w:uiPriority w:val="9"/>
    <w:semiHidden/>
    <w:rsid w:val="00696013"/>
    <w:rPr>
      <w:rFonts w:eastAsiaTheme="minorEastAsia"/>
      <w:b/>
      <w:bCs/>
      <w:sz w:val="28"/>
      <w:szCs w:val="28"/>
      <w:lang w:val="en-US"/>
    </w:rPr>
  </w:style>
  <w:style w:type="character" w:customStyle="1" w:styleId="Heading5Char">
    <w:name w:val="Heading 5 Char"/>
    <w:basedOn w:val="DefaultParagraphFont"/>
    <w:link w:val="Heading5"/>
    <w:uiPriority w:val="9"/>
    <w:semiHidden/>
    <w:rsid w:val="00696013"/>
    <w:rPr>
      <w:rFonts w:eastAsiaTheme="minorEastAsia"/>
      <w:b/>
      <w:bCs/>
      <w:i/>
      <w:iCs/>
      <w:sz w:val="26"/>
      <w:szCs w:val="26"/>
      <w:lang w:val="en-US"/>
    </w:rPr>
  </w:style>
  <w:style w:type="character" w:customStyle="1" w:styleId="Heading6Char">
    <w:name w:val="Heading 6 Char"/>
    <w:basedOn w:val="DefaultParagraphFont"/>
    <w:link w:val="Heading6"/>
    <w:rsid w:val="00696013"/>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696013"/>
    <w:rPr>
      <w:rFonts w:eastAsiaTheme="minorEastAsia"/>
      <w:sz w:val="24"/>
      <w:szCs w:val="24"/>
      <w:lang w:val="en-US"/>
    </w:rPr>
  </w:style>
  <w:style w:type="character" w:customStyle="1" w:styleId="Heading8Char">
    <w:name w:val="Heading 8 Char"/>
    <w:basedOn w:val="DefaultParagraphFont"/>
    <w:link w:val="Heading8"/>
    <w:uiPriority w:val="9"/>
    <w:semiHidden/>
    <w:rsid w:val="00696013"/>
    <w:rPr>
      <w:rFonts w:eastAsiaTheme="minorEastAsia"/>
      <w:i/>
      <w:iCs/>
      <w:sz w:val="24"/>
      <w:szCs w:val="24"/>
      <w:lang w:val="en-US"/>
    </w:rPr>
  </w:style>
  <w:style w:type="character" w:customStyle="1" w:styleId="Heading9Char">
    <w:name w:val="Heading 9 Char"/>
    <w:basedOn w:val="DefaultParagraphFont"/>
    <w:link w:val="Heading9"/>
    <w:uiPriority w:val="9"/>
    <w:semiHidden/>
    <w:rsid w:val="00696013"/>
    <w:rPr>
      <w:rFonts w:asciiTheme="majorHAnsi" w:eastAsiaTheme="majorEastAsia" w:hAnsiTheme="majorHAnsi" w:cstheme="majorBidi"/>
      <w:lang w:val="en-US"/>
    </w:rPr>
  </w:style>
  <w:style w:type="table" w:styleId="TableGrid">
    <w:name w:val="Table Grid"/>
    <w:aliases w:val="Equifax table,Header Table"/>
    <w:basedOn w:val="TableNormal"/>
    <w:uiPriority w:val="59"/>
    <w:rsid w:val="00F25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26AD"/>
    <w:rPr>
      <w:color w:val="0563C1" w:themeColor="hyperlink"/>
      <w:u w:val="single"/>
    </w:rPr>
  </w:style>
  <w:style w:type="character" w:customStyle="1" w:styleId="UnresolvedMention1">
    <w:name w:val="Unresolved Mention1"/>
    <w:basedOn w:val="DefaultParagraphFont"/>
    <w:uiPriority w:val="99"/>
    <w:semiHidden/>
    <w:unhideWhenUsed/>
    <w:rsid w:val="00E626AD"/>
    <w:rPr>
      <w:color w:val="605E5C"/>
      <w:shd w:val="clear" w:color="auto" w:fill="E1DFDD"/>
    </w:rPr>
  </w:style>
  <w:style w:type="character" w:styleId="CommentReference">
    <w:name w:val="annotation reference"/>
    <w:basedOn w:val="DefaultParagraphFont"/>
    <w:uiPriority w:val="99"/>
    <w:semiHidden/>
    <w:unhideWhenUsed/>
    <w:rsid w:val="00A90623"/>
    <w:rPr>
      <w:sz w:val="16"/>
      <w:szCs w:val="16"/>
    </w:rPr>
  </w:style>
  <w:style w:type="paragraph" w:styleId="CommentText">
    <w:name w:val="annotation text"/>
    <w:basedOn w:val="Normal"/>
    <w:link w:val="CommentTextChar"/>
    <w:uiPriority w:val="99"/>
    <w:unhideWhenUsed/>
    <w:rsid w:val="00A90623"/>
    <w:pPr>
      <w:spacing w:line="240" w:lineRule="auto"/>
    </w:pPr>
    <w:rPr>
      <w:sz w:val="20"/>
      <w:szCs w:val="20"/>
    </w:rPr>
  </w:style>
  <w:style w:type="character" w:customStyle="1" w:styleId="CommentTextChar">
    <w:name w:val="Comment Text Char"/>
    <w:basedOn w:val="DefaultParagraphFont"/>
    <w:link w:val="CommentText"/>
    <w:uiPriority w:val="99"/>
    <w:rsid w:val="00A90623"/>
    <w:rPr>
      <w:sz w:val="20"/>
      <w:szCs w:val="20"/>
    </w:rPr>
  </w:style>
  <w:style w:type="paragraph" w:styleId="CommentSubject">
    <w:name w:val="annotation subject"/>
    <w:basedOn w:val="CommentText"/>
    <w:next w:val="CommentText"/>
    <w:link w:val="CommentSubjectChar"/>
    <w:uiPriority w:val="99"/>
    <w:semiHidden/>
    <w:unhideWhenUsed/>
    <w:rsid w:val="00A90623"/>
    <w:rPr>
      <w:b/>
      <w:bCs/>
    </w:rPr>
  </w:style>
  <w:style w:type="character" w:customStyle="1" w:styleId="CommentSubjectChar">
    <w:name w:val="Comment Subject Char"/>
    <w:basedOn w:val="CommentTextChar"/>
    <w:link w:val="CommentSubject"/>
    <w:uiPriority w:val="99"/>
    <w:semiHidden/>
    <w:rsid w:val="00A90623"/>
    <w:rPr>
      <w:b/>
      <w:bCs/>
      <w:sz w:val="20"/>
      <w:szCs w:val="20"/>
    </w:rPr>
  </w:style>
  <w:style w:type="paragraph" w:styleId="ListParagraph">
    <w:name w:val="List Paragraph"/>
    <w:aliases w:val="Citation List,TOC style,lp1,Equipment,Numbered Indented Text,Figure_name,List Paragraph1,List Paragraph Char Char,b1,Number_1,new,SGLText List Paragraph,List Paragraph11,List Paragraph2,Colorful List - Accent 11,Normal Sentence,ListPar1"/>
    <w:basedOn w:val="Normal"/>
    <w:link w:val="ListParagraphChar"/>
    <w:uiPriority w:val="34"/>
    <w:qFormat/>
    <w:rsid w:val="00A90623"/>
    <w:pPr>
      <w:ind w:left="720"/>
      <w:contextualSpacing/>
    </w:pPr>
  </w:style>
  <w:style w:type="character" w:customStyle="1" w:styleId="ListParagraphChar">
    <w:name w:val="List Paragraph Char"/>
    <w:aliases w:val="Citation List Char,TOC style Char,lp1 Char,Equipment Char,Numbered Indented Text Char,Figure_name Char,List Paragraph1 Char,List Paragraph Char Char Char,b1 Char,Number_1 Char,new Char,SGLText List Paragraph Char,List Paragraph2 Char"/>
    <w:link w:val="ListParagraph"/>
    <w:uiPriority w:val="34"/>
    <w:qFormat/>
    <w:rsid w:val="00D23770"/>
  </w:style>
  <w:style w:type="paragraph" w:styleId="Header">
    <w:name w:val="header"/>
    <w:basedOn w:val="Normal"/>
    <w:link w:val="HeaderChar"/>
    <w:unhideWhenUsed/>
    <w:rsid w:val="005B4750"/>
    <w:pPr>
      <w:tabs>
        <w:tab w:val="center" w:pos="4513"/>
        <w:tab w:val="right" w:pos="9026"/>
      </w:tabs>
      <w:spacing w:after="0" w:line="240" w:lineRule="auto"/>
    </w:pPr>
  </w:style>
  <w:style w:type="character" w:customStyle="1" w:styleId="HeaderChar">
    <w:name w:val="Header Char"/>
    <w:basedOn w:val="DefaultParagraphFont"/>
    <w:link w:val="Header"/>
    <w:rsid w:val="005B4750"/>
  </w:style>
  <w:style w:type="paragraph" w:styleId="Footer">
    <w:name w:val="footer"/>
    <w:aliases w:val="rf,RF,off footer"/>
    <w:basedOn w:val="Normal"/>
    <w:link w:val="FooterChar"/>
    <w:uiPriority w:val="99"/>
    <w:unhideWhenUsed/>
    <w:rsid w:val="005B4750"/>
    <w:pPr>
      <w:tabs>
        <w:tab w:val="center" w:pos="4513"/>
        <w:tab w:val="right" w:pos="9026"/>
      </w:tabs>
      <w:spacing w:after="0" w:line="240" w:lineRule="auto"/>
    </w:pPr>
  </w:style>
  <w:style w:type="character" w:customStyle="1" w:styleId="FooterChar">
    <w:name w:val="Footer Char"/>
    <w:aliases w:val="rf Char,RF Char,off footer Char"/>
    <w:basedOn w:val="DefaultParagraphFont"/>
    <w:link w:val="Footer"/>
    <w:uiPriority w:val="99"/>
    <w:rsid w:val="005B4750"/>
  </w:style>
  <w:style w:type="paragraph" w:styleId="TOCHeading">
    <w:name w:val="TOC Heading"/>
    <w:basedOn w:val="Heading1"/>
    <w:next w:val="Normal"/>
    <w:uiPriority w:val="39"/>
    <w:unhideWhenUsed/>
    <w:qFormat/>
    <w:rsid w:val="005B4750"/>
    <w:pPr>
      <w:outlineLvl w:val="9"/>
    </w:pPr>
    <w:rPr>
      <w:lang w:val="en-US"/>
    </w:rPr>
  </w:style>
  <w:style w:type="paragraph" w:styleId="TOC1">
    <w:name w:val="toc 1"/>
    <w:basedOn w:val="Normal"/>
    <w:next w:val="Normal"/>
    <w:autoRedefine/>
    <w:uiPriority w:val="39"/>
    <w:unhideWhenUsed/>
    <w:rsid w:val="00D93575"/>
    <w:pPr>
      <w:tabs>
        <w:tab w:val="left" w:pos="660"/>
        <w:tab w:val="right" w:leader="dot" w:pos="9016"/>
      </w:tabs>
      <w:spacing w:after="100"/>
      <w:ind w:firstLine="142"/>
    </w:pPr>
    <w:rPr>
      <w:b/>
      <w:bCs/>
      <w:noProof/>
    </w:rPr>
  </w:style>
  <w:style w:type="paragraph" w:styleId="TOC2">
    <w:name w:val="toc 2"/>
    <w:basedOn w:val="Normal"/>
    <w:next w:val="Normal"/>
    <w:autoRedefine/>
    <w:uiPriority w:val="39"/>
    <w:unhideWhenUsed/>
    <w:rsid w:val="00AD0234"/>
    <w:pPr>
      <w:spacing w:after="100"/>
      <w:ind w:left="220"/>
    </w:pPr>
  </w:style>
  <w:style w:type="paragraph" w:customStyle="1" w:styleId="Default">
    <w:name w:val="Default"/>
    <w:rsid w:val="00C53E0B"/>
    <w:pPr>
      <w:autoSpaceDE w:val="0"/>
      <w:autoSpaceDN w:val="0"/>
      <w:adjustRightInd w:val="0"/>
      <w:spacing w:after="0" w:line="240" w:lineRule="auto"/>
    </w:pPr>
    <w:rPr>
      <w:rFonts w:ascii="Calibri" w:hAnsi="Calibri" w:cs="Calibri"/>
      <w:color w:val="000000"/>
      <w:sz w:val="24"/>
      <w:szCs w:val="24"/>
      <w:lang w:val="en-US"/>
    </w:rPr>
  </w:style>
  <w:style w:type="paragraph" w:styleId="BalloonText">
    <w:name w:val="Balloon Text"/>
    <w:basedOn w:val="Normal"/>
    <w:link w:val="BalloonTextChar"/>
    <w:uiPriority w:val="99"/>
    <w:semiHidden/>
    <w:unhideWhenUsed/>
    <w:rsid w:val="006222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2B0"/>
    <w:rPr>
      <w:rFonts w:ascii="Segoe UI" w:hAnsi="Segoe UI" w:cs="Segoe UI"/>
      <w:sz w:val="18"/>
      <w:szCs w:val="18"/>
    </w:rPr>
  </w:style>
  <w:style w:type="paragraph" w:styleId="NoSpacing">
    <w:name w:val="No Spacing"/>
    <w:uiPriority w:val="1"/>
    <w:qFormat/>
    <w:rsid w:val="00D23770"/>
    <w:pPr>
      <w:spacing w:after="0" w:line="240" w:lineRule="auto"/>
    </w:pPr>
    <w:rPr>
      <w:rFonts w:ascii="Calibri" w:eastAsia="Times New Roman" w:hAnsi="Calibri" w:cs="Times New Roman"/>
      <w:lang w:eastAsia="en-IN"/>
    </w:rPr>
  </w:style>
  <w:style w:type="paragraph" w:styleId="BodyText">
    <w:name w:val="Body Text"/>
    <w:basedOn w:val="Normal"/>
    <w:link w:val="BodyTextChar"/>
    <w:uiPriority w:val="1"/>
    <w:qFormat/>
    <w:rsid w:val="00D23770"/>
    <w:pPr>
      <w:suppressAutoHyphens/>
      <w:spacing w:after="0" w:line="240" w:lineRule="auto"/>
      <w:jc w:val="both"/>
    </w:pPr>
    <w:rPr>
      <w:rFonts w:ascii="Verdana" w:eastAsia="Times New Roman" w:hAnsi="Verdana" w:cs="Times New Roman"/>
      <w:sz w:val="18"/>
      <w:szCs w:val="20"/>
      <w:lang w:eastAsia="ar-SA"/>
    </w:rPr>
  </w:style>
  <w:style w:type="character" w:customStyle="1" w:styleId="BodyTextChar">
    <w:name w:val="Body Text Char"/>
    <w:basedOn w:val="DefaultParagraphFont"/>
    <w:link w:val="BodyText"/>
    <w:uiPriority w:val="1"/>
    <w:rsid w:val="00D23770"/>
    <w:rPr>
      <w:rFonts w:ascii="Verdana" w:eastAsia="Times New Roman" w:hAnsi="Verdana" w:cs="Times New Roman"/>
      <w:sz w:val="18"/>
      <w:szCs w:val="20"/>
      <w:lang w:eastAsia="ar-SA"/>
    </w:rPr>
  </w:style>
  <w:style w:type="paragraph" w:styleId="BodyText2">
    <w:name w:val="Body Text 2"/>
    <w:basedOn w:val="Normal"/>
    <w:link w:val="BodyText2Char"/>
    <w:uiPriority w:val="99"/>
    <w:unhideWhenUsed/>
    <w:rsid w:val="00D23770"/>
    <w:pPr>
      <w:spacing w:after="120" w:line="480" w:lineRule="auto"/>
    </w:pPr>
    <w:rPr>
      <w:rFonts w:ascii="Calibri" w:eastAsia="Times New Roman" w:hAnsi="Calibri" w:cs="Times New Roman"/>
    </w:rPr>
  </w:style>
  <w:style w:type="character" w:customStyle="1" w:styleId="BodyText2Char">
    <w:name w:val="Body Text 2 Char"/>
    <w:basedOn w:val="DefaultParagraphFont"/>
    <w:link w:val="BodyText2"/>
    <w:uiPriority w:val="99"/>
    <w:rsid w:val="00D23770"/>
    <w:rPr>
      <w:rFonts w:ascii="Calibri" w:eastAsia="Times New Roman" w:hAnsi="Calibri" w:cs="Times New Roman"/>
    </w:rPr>
  </w:style>
  <w:style w:type="paragraph" w:styleId="BodyTextIndent2">
    <w:name w:val="Body Text Indent 2"/>
    <w:basedOn w:val="Normal"/>
    <w:link w:val="BodyTextIndent2Char"/>
    <w:uiPriority w:val="99"/>
    <w:semiHidden/>
    <w:unhideWhenUsed/>
    <w:rsid w:val="00D23770"/>
    <w:pPr>
      <w:spacing w:after="120" w:line="480" w:lineRule="auto"/>
      <w:ind w:left="360"/>
    </w:pPr>
    <w:rPr>
      <w:rFonts w:ascii="Calibri" w:eastAsia="Times New Roman" w:hAnsi="Calibri" w:cs="Times New Roman"/>
    </w:rPr>
  </w:style>
  <w:style w:type="character" w:customStyle="1" w:styleId="BodyTextIndent2Char">
    <w:name w:val="Body Text Indent 2 Char"/>
    <w:basedOn w:val="DefaultParagraphFont"/>
    <w:link w:val="BodyTextIndent2"/>
    <w:uiPriority w:val="99"/>
    <w:semiHidden/>
    <w:rsid w:val="00D23770"/>
    <w:rPr>
      <w:rFonts w:ascii="Calibri" w:eastAsia="Times New Roman" w:hAnsi="Calibri" w:cs="Times New Roman"/>
    </w:rPr>
  </w:style>
  <w:style w:type="paragraph" w:styleId="BodyText3">
    <w:name w:val="Body Text 3"/>
    <w:basedOn w:val="Normal"/>
    <w:link w:val="BodyText3Char"/>
    <w:uiPriority w:val="99"/>
    <w:semiHidden/>
    <w:unhideWhenUsed/>
    <w:rsid w:val="00D23770"/>
    <w:pPr>
      <w:spacing w:after="120" w:line="276" w:lineRule="auto"/>
    </w:pPr>
    <w:rPr>
      <w:rFonts w:ascii="Calibri" w:eastAsia="Times New Roman" w:hAnsi="Calibri" w:cs="Times New Roman"/>
      <w:sz w:val="16"/>
      <w:szCs w:val="16"/>
    </w:rPr>
  </w:style>
  <w:style w:type="character" w:customStyle="1" w:styleId="BodyText3Char">
    <w:name w:val="Body Text 3 Char"/>
    <w:basedOn w:val="DefaultParagraphFont"/>
    <w:link w:val="BodyText3"/>
    <w:uiPriority w:val="99"/>
    <w:semiHidden/>
    <w:rsid w:val="00D23770"/>
    <w:rPr>
      <w:rFonts w:ascii="Calibri" w:eastAsia="Times New Roman" w:hAnsi="Calibri" w:cs="Times New Roman"/>
      <w:sz w:val="16"/>
      <w:szCs w:val="16"/>
    </w:rPr>
  </w:style>
  <w:style w:type="paragraph" w:customStyle="1" w:styleId="Paragraph">
    <w:name w:val="Paragraph"/>
    <w:basedOn w:val="Normal"/>
    <w:next w:val="Heading3"/>
    <w:rsid w:val="00D23770"/>
    <w:pPr>
      <w:widowControl w:val="0"/>
      <w:tabs>
        <w:tab w:val="left" w:pos="360"/>
      </w:tabs>
      <w:overflowPunct w:val="0"/>
      <w:autoSpaceDE w:val="0"/>
      <w:autoSpaceDN w:val="0"/>
      <w:adjustRightInd w:val="0"/>
      <w:spacing w:before="40" w:after="40" w:line="240" w:lineRule="auto"/>
      <w:jc w:val="both"/>
      <w:textAlignment w:val="baseline"/>
    </w:pPr>
    <w:rPr>
      <w:rFonts w:ascii="Book Antiqua" w:eastAsia="Times New Roman" w:hAnsi="Book Antiqua" w:cs="Times New Roman"/>
      <w:szCs w:val="20"/>
      <w:lang w:val="en-GB"/>
    </w:rPr>
  </w:style>
  <w:style w:type="paragraph" w:styleId="Revision">
    <w:name w:val="Revision"/>
    <w:hidden/>
    <w:uiPriority w:val="99"/>
    <w:semiHidden/>
    <w:rsid w:val="00B07AC7"/>
    <w:pPr>
      <w:spacing w:after="0" w:line="240" w:lineRule="auto"/>
    </w:pPr>
  </w:style>
  <w:style w:type="table" w:customStyle="1" w:styleId="TableGrid1">
    <w:name w:val="Table Grid1"/>
    <w:basedOn w:val="TableNormal"/>
    <w:next w:val="TableGrid"/>
    <w:uiPriority w:val="59"/>
    <w:rsid w:val="00057C61"/>
    <w:pPr>
      <w:widowControl w:val="0"/>
      <w:autoSpaceDE w:val="0"/>
      <w:autoSpaceDN w:val="0"/>
      <w:adjustRightInd w:val="0"/>
      <w:spacing w:after="0" w:line="240" w:lineRule="auto"/>
    </w:pPr>
    <w:rPr>
      <w:rFonts w:ascii="Times New Roman" w:eastAsia="Times New Roman" w:hAnsi="Times New Roman" w:cs="Times New Roman"/>
      <w:sz w:val="20"/>
      <w:szCs w:val="20"/>
      <w:lang w:eastAsia="en-I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57C61"/>
    <w:pPr>
      <w:widowControl w:val="0"/>
      <w:autoSpaceDE w:val="0"/>
      <w:autoSpaceDN w:val="0"/>
      <w:adjustRightInd w:val="0"/>
      <w:spacing w:after="0" w:line="240" w:lineRule="auto"/>
    </w:pPr>
    <w:rPr>
      <w:rFonts w:ascii="Times New Roman" w:eastAsia="Times New Roman" w:hAnsi="Times New Roman" w:cs="Times New Roman"/>
      <w:sz w:val="20"/>
      <w:szCs w:val="20"/>
      <w:lang w:eastAsia="en-I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386589"/>
    <w:rPr>
      <w:color w:val="605E5C"/>
      <w:shd w:val="clear" w:color="auto" w:fill="E1DFDD"/>
    </w:rPr>
  </w:style>
  <w:style w:type="character" w:styleId="IntenseReference">
    <w:name w:val="Intense Reference"/>
    <w:basedOn w:val="DefaultParagraphFont"/>
    <w:uiPriority w:val="32"/>
    <w:qFormat/>
    <w:rsid w:val="00586BDC"/>
    <w:rPr>
      <w:rFonts w:asciiTheme="majorHAnsi" w:hAnsiTheme="majorHAnsi"/>
      <w:b/>
      <w:bCs/>
      <w:smallCaps/>
      <w:color w:val="4472C4" w:themeColor="accent1"/>
      <w:spacing w:val="5"/>
      <w:sz w:val="24"/>
    </w:rPr>
  </w:style>
  <w:style w:type="paragraph" w:customStyle="1" w:styleId="TableText10Double">
    <w:name w:val="*Table Text 10 Double"/>
    <w:basedOn w:val="Normal"/>
    <w:link w:val="TableText10DoubleChar"/>
    <w:uiPriority w:val="99"/>
    <w:rsid w:val="00586BDC"/>
    <w:pPr>
      <w:spacing w:before="60" w:after="60" w:line="240" w:lineRule="auto"/>
    </w:pPr>
    <w:rPr>
      <w:rFonts w:ascii="Arial" w:eastAsia="PMingLiU" w:hAnsi="Arial" w:cs="Times New Roman"/>
      <w:color w:val="000000"/>
      <w:sz w:val="20"/>
      <w:szCs w:val="20"/>
      <w:lang w:val="en-US"/>
    </w:rPr>
  </w:style>
  <w:style w:type="character" w:customStyle="1" w:styleId="TableText10DoubleChar">
    <w:name w:val="*Table Text 10 Double Char"/>
    <w:basedOn w:val="DefaultParagraphFont"/>
    <w:link w:val="TableText10Double"/>
    <w:uiPriority w:val="99"/>
    <w:locked/>
    <w:rsid w:val="00586BDC"/>
    <w:rPr>
      <w:rFonts w:ascii="Arial" w:eastAsia="PMingLiU" w:hAnsi="Arial" w:cs="Times New Roman"/>
      <w:color w:val="000000"/>
      <w:sz w:val="20"/>
      <w:szCs w:val="20"/>
      <w:lang w:val="en-US"/>
    </w:rPr>
  </w:style>
  <w:style w:type="paragraph" w:styleId="PlainText">
    <w:name w:val="Plain Text"/>
    <w:basedOn w:val="Normal"/>
    <w:link w:val="PlainTextChar"/>
    <w:uiPriority w:val="99"/>
    <w:unhideWhenUsed/>
    <w:rsid w:val="007F327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F327B"/>
    <w:rPr>
      <w:rFonts w:ascii="Calibri" w:hAnsi="Calibri"/>
      <w:szCs w:val="21"/>
    </w:rPr>
  </w:style>
  <w:style w:type="paragraph" w:customStyle="1" w:styleId="StyleVerdana10ptJustifiedBefore48ptAfter48ptL">
    <w:name w:val="Style Verdana 10 pt Justified Before:  4.8 pt After:  4.8 pt L..."/>
    <w:basedOn w:val="Normal"/>
    <w:link w:val="StyleVerdana10ptJustifiedBefore48ptAfter48ptLChar"/>
    <w:rsid w:val="00D1467F"/>
    <w:pPr>
      <w:spacing w:before="96" w:after="96" w:line="288" w:lineRule="auto"/>
      <w:jc w:val="both"/>
    </w:pPr>
    <w:rPr>
      <w:rFonts w:ascii="Verdana" w:eastAsia="Times New Roman" w:hAnsi="Verdana" w:cs="Times New Roman"/>
      <w:sz w:val="20"/>
      <w:szCs w:val="20"/>
      <w:lang w:val="en-US"/>
    </w:rPr>
  </w:style>
  <w:style w:type="character" w:customStyle="1" w:styleId="StyleVerdana10ptJustifiedBefore48ptAfter48ptLChar">
    <w:name w:val="Style Verdana 10 pt Justified Before:  4.8 pt After:  4.8 pt L... Char"/>
    <w:link w:val="StyleVerdana10ptJustifiedBefore48ptAfter48ptL"/>
    <w:rsid w:val="00D1467F"/>
    <w:rPr>
      <w:rFonts w:ascii="Verdana" w:eastAsia="Times New Roman" w:hAnsi="Verdana" w:cs="Times New Roman"/>
      <w:sz w:val="20"/>
      <w:szCs w:val="20"/>
      <w:lang w:val="en-US"/>
    </w:rPr>
  </w:style>
  <w:style w:type="paragraph" w:styleId="TOC3">
    <w:name w:val="toc 3"/>
    <w:basedOn w:val="Normal"/>
    <w:next w:val="Normal"/>
    <w:autoRedefine/>
    <w:uiPriority w:val="39"/>
    <w:unhideWhenUsed/>
    <w:rsid w:val="006A0F83"/>
    <w:pPr>
      <w:spacing w:after="100"/>
      <w:ind w:left="440"/>
    </w:pPr>
  </w:style>
  <w:style w:type="paragraph" w:styleId="TOC4">
    <w:name w:val="toc 4"/>
    <w:basedOn w:val="Normal"/>
    <w:next w:val="Normal"/>
    <w:autoRedefine/>
    <w:uiPriority w:val="39"/>
    <w:unhideWhenUsed/>
    <w:rsid w:val="002C09A4"/>
    <w:pPr>
      <w:spacing w:after="100"/>
      <w:ind w:left="660"/>
    </w:pPr>
    <w:rPr>
      <w:rFonts w:eastAsiaTheme="minorEastAsia" w:cs="Mangal"/>
      <w:szCs w:val="20"/>
      <w:lang w:eastAsia="en-IN" w:bidi="hi-IN"/>
    </w:rPr>
  </w:style>
  <w:style w:type="paragraph" w:styleId="TOC5">
    <w:name w:val="toc 5"/>
    <w:basedOn w:val="Normal"/>
    <w:next w:val="Normal"/>
    <w:autoRedefine/>
    <w:uiPriority w:val="39"/>
    <w:unhideWhenUsed/>
    <w:rsid w:val="002C09A4"/>
    <w:pPr>
      <w:spacing w:after="100"/>
      <w:ind w:left="880"/>
    </w:pPr>
    <w:rPr>
      <w:rFonts w:eastAsiaTheme="minorEastAsia" w:cs="Mangal"/>
      <w:szCs w:val="20"/>
      <w:lang w:eastAsia="en-IN" w:bidi="hi-IN"/>
    </w:rPr>
  </w:style>
  <w:style w:type="paragraph" w:styleId="TOC6">
    <w:name w:val="toc 6"/>
    <w:basedOn w:val="Normal"/>
    <w:next w:val="Normal"/>
    <w:autoRedefine/>
    <w:uiPriority w:val="39"/>
    <w:unhideWhenUsed/>
    <w:rsid w:val="002C09A4"/>
    <w:pPr>
      <w:spacing w:after="100"/>
      <w:ind w:left="1100"/>
    </w:pPr>
    <w:rPr>
      <w:rFonts w:eastAsiaTheme="minorEastAsia" w:cs="Mangal"/>
      <w:szCs w:val="20"/>
      <w:lang w:eastAsia="en-IN" w:bidi="hi-IN"/>
    </w:rPr>
  </w:style>
  <w:style w:type="paragraph" w:styleId="TOC7">
    <w:name w:val="toc 7"/>
    <w:basedOn w:val="Normal"/>
    <w:next w:val="Normal"/>
    <w:autoRedefine/>
    <w:uiPriority w:val="39"/>
    <w:unhideWhenUsed/>
    <w:rsid w:val="002C09A4"/>
    <w:pPr>
      <w:spacing w:after="100"/>
      <w:ind w:left="1320"/>
    </w:pPr>
    <w:rPr>
      <w:rFonts w:eastAsiaTheme="minorEastAsia" w:cs="Mangal"/>
      <w:szCs w:val="20"/>
      <w:lang w:eastAsia="en-IN" w:bidi="hi-IN"/>
    </w:rPr>
  </w:style>
  <w:style w:type="paragraph" w:styleId="TOC8">
    <w:name w:val="toc 8"/>
    <w:basedOn w:val="Normal"/>
    <w:next w:val="Normal"/>
    <w:autoRedefine/>
    <w:uiPriority w:val="39"/>
    <w:unhideWhenUsed/>
    <w:rsid w:val="002C09A4"/>
    <w:pPr>
      <w:spacing w:after="100"/>
      <w:ind w:left="1540"/>
    </w:pPr>
    <w:rPr>
      <w:rFonts w:eastAsiaTheme="minorEastAsia" w:cs="Mangal"/>
      <w:szCs w:val="20"/>
      <w:lang w:eastAsia="en-IN" w:bidi="hi-IN"/>
    </w:rPr>
  </w:style>
  <w:style w:type="paragraph" w:styleId="TOC9">
    <w:name w:val="toc 9"/>
    <w:basedOn w:val="Normal"/>
    <w:next w:val="Normal"/>
    <w:autoRedefine/>
    <w:uiPriority w:val="39"/>
    <w:unhideWhenUsed/>
    <w:rsid w:val="002C09A4"/>
    <w:pPr>
      <w:spacing w:after="100"/>
      <w:ind w:left="1760"/>
    </w:pPr>
    <w:rPr>
      <w:rFonts w:eastAsiaTheme="minorEastAsia" w:cs="Mangal"/>
      <w:szCs w:val="20"/>
      <w:lang w:eastAsia="en-IN" w:bidi="hi-IN"/>
    </w:rPr>
  </w:style>
  <w:style w:type="paragraph" w:customStyle="1" w:styleId="TableParagraph">
    <w:name w:val="Table Paragraph"/>
    <w:basedOn w:val="Normal"/>
    <w:uiPriority w:val="1"/>
    <w:qFormat/>
    <w:rsid w:val="008F7948"/>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UnresolvedMention3">
    <w:name w:val="Unresolved Mention3"/>
    <w:basedOn w:val="DefaultParagraphFont"/>
    <w:uiPriority w:val="99"/>
    <w:semiHidden/>
    <w:unhideWhenUsed/>
    <w:rsid w:val="000509F2"/>
    <w:rPr>
      <w:color w:val="605E5C"/>
      <w:shd w:val="clear" w:color="auto" w:fill="E1DFDD"/>
    </w:rPr>
  </w:style>
  <w:style w:type="paragraph" w:styleId="NormalWeb">
    <w:name w:val="Normal (Web)"/>
    <w:basedOn w:val="Normal"/>
    <w:uiPriority w:val="99"/>
    <w:semiHidden/>
    <w:unhideWhenUsed/>
    <w:rsid w:val="002B5FFB"/>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Strong">
    <w:name w:val="Strong"/>
    <w:basedOn w:val="DefaultParagraphFont"/>
    <w:uiPriority w:val="22"/>
    <w:qFormat/>
    <w:rsid w:val="00312696"/>
    <w:rPr>
      <w:b/>
      <w:bCs/>
    </w:rPr>
  </w:style>
  <w:style w:type="paragraph" w:styleId="Subtitle">
    <w:name w:val="Subtitle"/>
    <w:basedOn w:val="Normal"/>
    <w:next w:val="Normal"/>
    <w:link w:val="SubtitleChar"/>
    <w:uiPriority w:val="11"/>
    <w:qFormat/>
    <w:rsid w:val="00D52E8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52E85"/>
    <w:rPr>
      <w:rFonts w:eastAsiaTheme="minorEastAsia"/>
      <w:color w:val="5A5A5A" w:themeColor="text1" w:themeTint="A5"/>
      <w:spacing w:val="15"/>
    </w:rPr>
  </w:style>
  <w:style w:type="character" w:customStyle="1" w:styleId="UnresolvedMention4">
    <w:name w:val="Unresolved Mention4"/>
    <w:basedOn w:val="DefaultParagraphFont"/>
    <w:uiPriority w:val="99"/>
    <w:semiHidden/>
    <w:unhideWhenUsed/>
    <w:rsid w:val="006A303F"/>
    <w:rPr>
      <w:color w:val="605E5C"/>
      <w:shd w:val="clear" w:color="auto" w:fill="E1DFDD"/>
    </w:rPr>
  </w:style>
  <w:style w:type="character" w:styleId="PlaceholderText">
    <w:name w:val="Placeholder Text"/>
    <w:basedOn w:val="DefaultParagraphFont"/>
    <w:uiPriority w:val="99"/>
    <w:semiHidden/>
    <w:rsid w:val="00D2459D"/>
    <w:rPr>
      <w:color w:val="666666"/>
    </w:rPr>
  </w:style>
  <w:style w:type="character" w:customStyle="1" w:styleId="ng-tns-c3328440849-52">
    <w:name w:val="ng-tns-c3328440849-52"/>
    <w:basedOn w:val="DefaultParagraphFont"/>
    <w:rsid w:val="00533BBB"/>
  </w:style>
  <w:style w:type="paragraph" w:customStyle="1" w:styleId="first-token">
    <w:name w:val="first-token"/>
    <w:basedOn w:val="Normal"/>
    <w:rsid w:val="00533BB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Bullet">
    <w:name w:val="List Bullet"/>
    <w:basedOn w:val="Normal"/>
    <w:uiPriority w:val="99"/>
    <w:semiHidden/>
    <w:unhideWhenUsed/>
    <w:rsid w:val="00653B99"/>
    <w:pPr>
      <w:numPr>
        <w:numId w:val="73"/>
      </w:numPr>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15710">
      <w:bodyDiv w:val="1"/>
      <w:marLeft w:val="0"/>
      <w:marRight w:val="0"/>
      <w:marTop w:val="0"/>
      <w:marBottom w:val="0"/>
      <w:divBdr>
        <w:top w:val="none" w:sz="0" w:space="0" w:color="auto"/>
        <w:left w:val="none" w:sz="0" w:space="0" w:color="auto"/>
        <w:bottom w:val="none" w:sz="0" w:space="0" w:color="auto"/>
        <w:right w:val="none" w:sz="0" w:space="0" w:color="auto"/>
      </w:divBdr>
    </w:div>
    <w:div w:id="50034556">
      <w:bodyDiv w:val="1"/>
      <w:marLeft w:val="0"/>
      <w:marRight w:val="0"/>
      <w:marTop w:val="0"/>
      <w:marBottom w:val="0"/>
      <w:divBdr>
        <w:top w:val="none" w:sz="0" w:space="0" w:color="auto"/>
        <w:left w:val="none" w:sz="0" w:space="0" w:color="auto"/>
        <w:bottom w:val="none" w:sz="0" w:space="0" w:color="auto"/>
        <w:right w:val="none" w:sz="0" w:space="0" w:color="auto"/>
      </w:divBdr>
      <w:divsChild>
        <w:div w:id="1568950611">
          <w:marLeft w:val="0"/>
          <w:marRight w:val="0"/>
          <w:marTop w:val="0"/>
          <w:marBottom w:val="0"/>
          <w:divBdr>
            <w:top w:val="none" w:sz="0" w:space="0" w:color="auto"/>
            <w:left w:val="none" w:sz="0" w:space="0" w:color="auto"/>
            <w:bottom w:val="none" w:sz="0" w:space="0" w:color="auto"/>
            <w:right w:val="none" w:sz="0" w:space="0" w:color="auto"/>
          </w:divBdr>
          <w:divsChild>
            <w:div w:id="412824031">
              <w:marLeft w:val="0"/>
              <w:marRight w:val="0"/>
              <w:marTop w:val="0"/>
              <w:marBottom w:val="0"/>
              <w:divBdr>
                <w:top w:val="none" w:sz="0" w:space="0" w:color="auto"/>
                <w:left w:val="none" w:sz="0" w:space="0" w:color="auto"/>
                <w:bottom w:val="none" w:sz="0" w:space="0" w:color="auto"/>
                <w:right w:val="none" w:sz="0" w:space="0" w:color="auto"/>
              </w:divBdr>
              <w:divsChild>
                <w:div w:id="1167477272">
                  <w:marLeft w:val="0"/>
                  <w:marRight w:val="0"/>
                  <w:marTop w:val="0"/>
                  <w:marBottom w:val="0"/>
                  <w:divBdr>
                    <w:top w:val="none" w:sz="0" w:space="0" w:color="auto"/>
                    <w:left w:val="none" w:sz="0" w:space="0" w:color="auto"/>
                    <w:bottom w:val="none" w:sz="0" w:space="0" w:color="auto"/>
                    <w:right w:val="none" w:sz="0" w:space="0" w:color="auto"/>
                  </w:divBdr>
                  <w:divsChild>
                    <w:div w:id="520778338">
                      <w:marLeft w:val="0"/>
                      <w:marRight w:val="0"/>
                      <w:marTop w:val="0"/>
                      <w:marBottom w:val="0"/>
                      <w:divBdr>
                        <w:top w:val="none" w:sz="0" w:space="0" w:color="auto"/>
                        <w:left w:val="none" w:sz="0" w:space="0" w:color="auto"/>
                        <w:bottom w:val="none" w:sz="0" w:space="0" w:color="auto"/>
                        <w:right w:val="none" w:sz="0" w:space="0" w:color="auto"/>
                      </w:divBdr>
                      <w:divsChild>
                        <w:div w:id="1853177534">
                          <w:marLeft w:val="0"/>
                          <w:marRight w:val="0"/>
                          <w:marTop w:val="0"/>
                          <w:marBottom w:val="0"/>
                          <w:divBdr>
                            <w:top w:val="none" w:sz="0" w:space="0" w:color="auto"/>
                            <w:left w:val="none" w:sz="0" w:space="0" w:color="auto"/>
                            <w:bottom w:val="none" w:sz="0" w:space="0" w:color="auto"/>
                            <w:right w:val="none" w:sz="0" w:space="0" w:color="auto"/>
                          </w:divBdr>
                          <w:divsChild>
                            <w:div w:id="435249018">
                              <w:marLeft w:val="0"/>
                              <w:marRight w:val="0"/>
                              <w:marTop w:val="0"/>
                              <w:marBottom w:val="0"/>
                              <w:divBdr>
                                <w:top w:val="none" w:sz="0" w:space="0" w:color="auto"/>
                                <w:left w:val="none" w:sz="0" w:space="0" w:color="auto"/>
                                <w:bottom w:val="none" w:sz="0" w:space="0" w:color="auto"/>
                                <w:right w:val="none" w:sz="0" w:space="0" w:color="auto"/>
                              </w:divBdr>
                              <w:divsChild>
                                <w:div w:id="99188202">
                                  <w:marLeft w:val="0"/>
                                  <w:marRight w:val="0"/>
                                  <w:marTop w:val="0"/>
                                  <w:marBottom w:val="0"/>
                                  <w:divBdr>
                                    <w:top w:val="none" w:sz="0" w:space="0" w:color="auto"/>
                                    <w:left w:val="none" w:sz="0" w:space="0" w:color="auto"/>
                                    <w:bottom w:val="none" w:sz="0" w:space="0" w:color="auto"/>
                                    <w:right w:val="none" w:sz="0" w:space="0" w:color="auto"/>
                                  </w:divBdr>
                                  <w:divsChild>
                                    <w:div w:id="959803920">
                                      <w:marLeft w:val="0"/>
                                      <w:marRight w:val="0"/>
                                      <w:marTop w:val="0"/>
                                      <w:marBottom w:val="0"/>
                                      <w:divBdr>
                                        <w:top w:val="none" w:sz="0" w:space="0" w:color="auto"/>
                                        <w:left w:val="none" w:sz="0" w:space="0" w:color="auto"/>
                                        <w:bottom w:val="none" w:sz="0" w:space="0" w:color="auto"/>
                                        <w:right w:val="none" w:sz="0" w:space="0" w:color="auto"/>
                                      </w:divBdr>
                                      <w:divsChild>
                                        <w:div w:id="117587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005911">
                                  <w:marLeft w:val="0"/>
                                  <w:marRight w:val="0"/>
                                  <w:marTop w:val="0"/>
                                  <w:marBottom w:val="0"/>
                                  <w:divBdr>
                                    <w:top w:val="none" w:sz="0" w:space="0" w:color="auto"/>
                                    <w:left w:val="none" w:sz="0" w:space="0" w:color="auto"/>
                                    <w:bottom w:val="none" w:sz="0" w:space="0" w:color="auto"/>
                                    <w:right w:val="none" w:sz="0" w:space="0" w:color="auto"/>
                                  </w:divBdr>
                                  <w:divsChild>
                                    <w:div w:id="190073046">
                                      <w:marLeft w:val="0"/>
                                      <w:marRight w:val="0"/>
                                      <w:marTop w:val="0"/>
                                      <w:marBottom w:val="0"/>
                                      <w:divBdr>
                                        <w:top w:val="none" w:sz="0" w:space="0" w:color="auto"/>
                                        <w:left w:val="none" w:sz="0" w:space="0" w:color="auto"/>
                                        <w:bottom w:val="none" w:sz="0" w:space="0" w:color="auto"/>
                                        <w:right w:val="none" w:sz="0" w:space="0" w:color="auto"/>
                                      </w:divBdr>
                                      <w:divsChild>
                                        <w:div w:id="113379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469244">
      <w:bodyDiv w:val="1"/>
      <w:marLeft w:val="0"/>
      <w:marRight w:val="0"/>
      <w:marTop w:val="0"/>
      <w:marBottom w:val="0"/>
      <w:divBdr>
        <w:top w:val="none" w:sz="0" w:space="0" w:color="auto"/>
        <w:left w:val="none" w:sz="0" w:space="0" w:color="auto"/>
        <w:bottom w:val="none" w:sz="0" w:space="0" w:color="auto"/>
        <w:right w:val="none" w:sz="0" w:space="0" w:color="auto"/>
      </w:divBdr>
    </w:div>
    <w:div w:id="54932750">
      <w:bodyDiv w:val="1"/>
      <w:marLeft w:val="0"/>
      <w:marRight w:val="0"/>
      <w:marTop w:val="0"/>
      <w:marBottom w:val="0"/>
      <w:divBdr>
        <w:top w:val="none" w:sz="0" w:space="0" w:color="auto"/>
        <w:left w:val="none" w:sz="0" w:space="0" w:color="auto"/>
        <w:bottom w:val="none" w:sz="0" w:space="0" w:color="auto"/>
        <w:right w:val="none" w:sz="0" w:space="0" w:color="auto"/>
      </w:divBdr>
    </w:div>
    <w:div w:id="66149238">
      <w:bodyDiv w:val="1"/>
      <w:marLeft w:val="0"/>
      <w:marRight w:val="0"/>
      <w:marTop w:val="0"/>
      <w:marBottom w:val="0"/>
      <w:divBdr>
        <w:top w:val="none" w:sz="0" w:space="0" w:color="auto"/>
        <w:left w:val="none" w:sz="0" w:space="0" w:color="auto"/>
        <w:bottom w:val="none" w:sz="0" w:space="0" w:color="auto"/>
        <w:right w:val="none" w:sz="0" w:space="0" w:color="auto"/>
      </w:divBdr>
    </w:div>
    <w:div w:id="72166350">
      <w:bodyDiv w:val="1"/>
      <w:marLeft w:val="0"/>
      <w:marRight w:val="0"/>
      <w:marTop w:val="0"/>
      <w:marBottom w:val="0"/>
      <w:divBdr>
        <w:top w:val="none" w:sz="0" w:space="0" w:color="auto"/>
        <w:left w:val="none" w:sz="0" w:space="0" w:color="auto"/>
        <w:bottom w:val="none" w:sz="0" w:space="0" w:color="auto"/>
        <w:right w:val="none" w:sz="0" w:space="0" w:color="auto"/>
      </w:divBdr>
    </w:div>
    <w:div w:id="108933705">
      <w:bodyDiv w:val="1"/>
      <w:marLeft w:val="0"/>
      <w:marRight w:val="0"/>
      <w:marTop w:val="0"/>
      <w:marBottom w:val="0"/>
      <w:divBdr>
        <w:top w:val="none" w:sz="0" w:space="0" w:color="auto"/>
        <w:left w:val="none" w:sz="0" w:space="0" w:color="auto"/>
        <w:bottom w:val="none" w:sz="0" w:space="0" w:color="auto"/>
        <w:right w:val="none" w:sz="0" w:space="0" w:color="auto"/>
      </w:divBdr>
    </w:div>
    <w:div w:id="131947463">
      <w:bodyDiv w:val="1"/>
      <w:marLeft w:val="0"/>
      <w:marRight w:val="0"/>
      <w:marTop w:val="0"/>
      <w:marBottom w:val="0"/>
      <w:divBdr>
        <w:top w:val="none" w:sz="0" w:space="0" w:color="auto"/>
        <w:left w:val="none" w:sz="0" w:space="0" w:color="auto"/>
        <w:bottom w:val="none" w:sz="0" w:space="0" w:color="auto"/>
        <w:right w:val="none" w:sz="0" w:space="0" w:color="auto"/>
      </w:divBdr>
    </w:div>
    <w:div w:id="135801612">
      <w:bodyDiv w:val="1"/>
      <w:marLeft w:val="0"/>
      <w:marRight w:val="0"/>
      <w:marTop w:val="0"/>
      <w:marBottom w:val="0"/>
      <w:divBdr>
        <w:top w:val="none" w:sz="0" w:space="0" w:color="auto"/>
        <w:left w:val="none" w:sz="0" w:space="0" w:color="auto"/>
        <w:bottom w:val="none" w:sz="0" w:space="0" w:color="auto"/>
        <w:right w:val="none" w:sz="0" w:space="0" w:color="auto"/>
      </w:divBdr>
      <w:divsChild>
        <w:div w:id="1802531568">
          <w:marLeft w:val="0"/>
          <w:marRight w:val="0"/>
          <w:marTop w:val="0"/>
          <w:marBottom w:val="0"/>
          <w:divBdr>
            <w:top w:val="none" w:sz="0" w:space="0" w:color="auto"/>
            <w:left w:val="none" w:sz="0" w:space="0" w:color="auto"/>
            <w:bottom w:val="none" w:sz="0" w:space="0" w:color="auto"/>
            <w:right w:val="none" w:sz="0" w:space="0" w:color="auto"/>
          </w:divBdr>
          <w:divsChild>
            <w:div w:id="108936696">
              <w:marLeft w:val="0"/>
              <w:marRight w:val="0"/>
              <w:marTop w:val="0"/>
              <w:marBottom w:val="0"/>
              <w:divBdr>
                <w:top w:val="none" w:sz="0" w:space="0" w:color="auto"/>
                <w:left w:val="none" w:sz="0" w:space="0" w:color="auto"/>
                <w:bottom w:val="none" w:sz="0" w:space="0" w:color="auto"/>
                <w:right w:val="none" w:sz="0" w:space="0" w:color="auto"/>
              </w:divBdr>
              <w:divsChild>
                <w:div w:id="406273001">
                  <w:marLeft w:val="0"/>
                  <w:marRight w:val="0"/>
                  <w:marTop w:val="0"/>
                  <w:marBottom w:val="0"/>
                  <w:divBdr>
                    <w:top w:val="none" w:sz="0" w:space="0" w:color="auto"/>
                    <w:left w:val="none" w:sz="0" w:space="0" w:color="auto"/>
                    <w:bottom w:val="none" w:sz="0" w:space="0" w:color="auto"/>
                    <w:right w:val="none" w:sz="0" w:space="0" w:color="auto"/>
                  </w:divBdr>
                  <w:divsChild>
                    <w:div w:id="22025918">
                      <w:marLeft w:val="0"/>
                      <w:marRight w:val="0"/>
                      <w:marTop w:val="0"/>
                      <w:marBottom w:val="0"/>
                      <w:divBdr>
                        <w:top w:val="none" w:sz="0" w:space="0" w:color="auto"/>
                        <w:left w:val="none" w:sz="0" w:space="0" w:color="auto"/>
                        <w:bottom w:val="none" w:sz="0" w:space="0" w:color="auto"/>
                        <w:right w:val="none" w:sz="0" w:space="0" w:color="auto"/>
                      </w:divBdr>
                      <w:divsChild>
                        <w:div w:id="2054417">
                          <w:marLeft w:val="0"/>
                          <w:marRight w:val="0"/>
                          <w:marTop w:val="0"/>
                          <w:marBottom w:val="0"/>
                          <w:divBdr>
                            <w:top w:val="none" w:sz="0" w:space="0" w:color="auto"/>
                            <w:left w:val="none" w:sz="0" w:space="0" w:color="auto"/>
                            <w:bottom w:val="none" w:sz="0" w:space="0" w:color="auto"/>
                            <w:right w:val="none" w:sz="0" w:space="0" w:color="auto"/>
                          </w:divBdr>
                          <w:divsChild>
                            <w:div w:id="1824463110">
                              <w:marLeft w:val="0"/>
                              <w:marRight w:val="0"/>
                              <w:marTop w:val="0"/>
                              <w:marBottom w:val="0"/>
                              <w:divBdr>
                                <w:top w:val="none" w:sz="0" w:space="0" w:color="auto"/>
                                <w:left w:val="none" w:sz="0" w:space="0" w:color="auto"/>
                                <w:bottom w:val="none" w:sz="0" w:space="0" w:color="auto"/>
                                <w:right w:val="none" w:sz="0" w:space="0" w:color="auto"/>
                              </w:divBdr>
                              <w:divsChild>
                                <w:div w:id="3926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7135">
                          <w:marLeft w:val="0"/>
                          <w:marRight w:val="0"/>
                          <w:marTop w:val="0"/>
                          <w:marBottom w:val="0"/>
                          <w:divBdr>
                            <w:top w:val="none" w:sz="0" w:space="0" w:color="auto"/>
                            <w:left w:val="none" w:sz="0" w:space="0" w:color="auto"/>
                            <w:bottom w:val="none" w:sz="0" w:space="0" w:color="auto"/>
                            <w:right w:val="none" w:sz="0" w:space="0" w:color="auto"/>
                          </w:divBdr>
                          <w:divsChild>
                            <w:div w:id="672612713">
                              <w:marLeft w:val="0"/>
                              <w:marRight w:val="0"/>
                              <w:marTop w:val="0"/>
                              <w:marBottom w:val="0"/>
                              <w:divBdr>
                                <w:top w:val="none" w:sz="0" w:space="0" w:color="auto"/>
                                <w:left w:val="none" w:sz="0" w:space="0" w:color="auto"/>
                                <w:bottom w:val="none" w:sz="0" w:space="0" w:color="auto"/>
                                <w:right w:val="none" w:sz="0" w:space="0" w:color="auto"/>
                              </w:divBdr>
                              <w:divsChild>
                                <w:div w:id="2050835815">
                                  <w:marLeft w:val="0"/>
                                  <w:marRight w:val="0"/>
                                  <w:marTop w:val="0"/>
                                  <w:marBottom w:val="0"/>
                                  <w:divBdr>
                                    <w:top w:val="none" w:sz="0" w:space="0" w:color="auto"/>
                                    <w:left w:val="none" w:sz="0" w:space="0" w:color="auto"/>
                                    <w:bottom w:val="none" w:sz="0" w:space="0" w:color="auto"/>
                                    <w:right w:val="none" w:sz="0" w:space="0" w:color="auto"/>
                                  </w:divBdr>
                                  <w:divsChild>
                                    <w:div w:id="1912421226">
                                      <w:marLeft w:val="0"/>
                                      <w:marRight w:val="0"/>
                                      <w:marTop w:val="0"/>
                                      <w:marBottom w:val="0"/>
                                      <w:divBdr>
                                        <w:top w:val="none" w:sz="0" w:space="0" w:color="auto"/>
                                        <w:left w:val="none" w:sz="0" w:space="0" w:color="auto"/>
                                        <w:bottom w:val="none" w:sz="0" w:space="0" w:color="auto"/>
                                        <w:right w:val="none" w:sz="0" w:space="0" w:color="auto"/>
                                      </w:divBdr>
                                      <w:divsChild>
                                        <w:div w:id="134882570">
                                          <w:marLeft w:val="0"/>
                                          <w:marRight w:val="0"/>
                                          <w:marTop w:val="0"/>
                                          <w:marBottom w:val="0"/>
                                          <w:divBdr>
                                            <w:top w:val="none" w:sz="0" w:space="0" w:color="auto"/>
                                            <w:left w:val="none" w:sz="0" w:space="0" w:color="auto"/>
                                            <w:bottom w:val="none" w:sz="0" w:space="0" w:color="auto"/>
                                            <w:right w:val="none" w:sz="0" w:space="0" w:color="auto"/>
                                          </w:divBdr>
                                        </w:div>
                                        <w:div w:id="20383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2497481">
                      <w:marLeft w:val="0"/>
                      <w:marRight w:val="0"/>
                      <w:marTop w:val="0"/>
                      <w:marBottom w:val="0"/>
                      <w:divBdr>
                        <w:top w:val="none" w:sz="0" w:space="0" w:color="auto"/>
                        <w:left w:val="none" w:sz="0" w:space="0" w:color="auto"/>
                        <w:bottom w:val="none" w:sz="0" w:space="0" w:color="auto"/>
                        <w:right w:val="none" w:sz="0" w:space="0" w:color="auto"/>
                      </w:divBdr>
                      <w:divsChild>
                        <w:div w:id="960186783">
                          <w:marLeft w:val="0"/>
                          <w:marRight w:val="0"/>
                          <w:marTop w:val="0"/>
                          <w:marBottom w:val="0"/>
                          <w:divBdr>
                            <w:top w:val="none" w:sz="0" w:space="0" w:color="auto"/>
                            <w:left w:val="none" w:sz="0" w:space="0" w:color="auto"/>
                            <w:bottom w:val="none" w:sz="0" w:space="0" w:color="auto"/>
                            <w:right w:val="none" w:sz="0" w:space="0" w:color="auto"/>
                          </w:divBdr>
                          <w:divsChild>
                            <w:div w:id="143010187">
                              <w:marLeft w:val="0"/>
                              <w:marRight w:val="0"/>
                              <w:marTop w:val="0"/>
                              <w:marBottom w:val="0"/>
                              <w:divBdr>
                                <w:top w:val="none" w:sz="0" w:space="0" w:color="auto"/>
                                <w:left w:val="none" w:sz="0" w:space="0" w:color="auto"/>
                                <w:bottom w:val="none" w:sz="0" w:space="0" w:color="auto"/>
                                <w:right w:val="none" w:sz="0" w:space="0" w:color="auto"/>
                              </w:divBdr>
                            </w:div>
                            <w:div w:id="564728601">
                              <w:marLeft w:val="0"/>
                              <w:marRight w:val="0"/>
                              <w:marTop w:val="0"/>
                              <w:marBottom w:val="0"/>
                              <w:divBdr>
                                <w:top w:val="none" w:sz="0" w:space="0" w:color="auto"/>
                                <w:left w:val="none" w:sz="0" w:space="0" w:color="auto"/>
                                <w:bottom w:val="none" w:sz="0" w:space="0" w:color="auto"/>
                                <w:right w:val="none" w:sz="0" w:space="0" w:color="auto"/>
                              </w:divBdr>
                              <w:divsChild>
                                <w:div w:id="98455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4554">
              <w:marLeft w:val="0"/>
              <w:marRight w:val="0"/>
              <w:marTop w:val="0"/>
              <w:marBottom w:val="0"/>
              <w:divBdr>
                <w:top w:val="none" w:sz="0" w:space="0" w:color="auto"/>
                <w:left w:val="none" w:sz="0" w:space="0" w:color="auto"/>
                <w:bottom w:val="none" w:sz="0" w:space="0" w:color="auto"/>
                <w:right w:val="none" w:sz="0" w:space="0" w:color="auto"/>
              </w:divBdr>
              <w:divsChild>
                <w:div w:id="427703061">
                  <w:marLeft w:val="0"/>
                  <w:marRight w:val="0"/>
                  <w:marTop w:val="0"/>
                  <w:marBottom w:val="0"/>
                  <w:divBdr>
                    <w:top w:val="none" w:sz="0" w:space="0" w:color="auto"/>
                    <w:left w:val="none" w:sz="0" w:space="0" w:color="auto"/>
                    <w:bottom w:val="none" w:sz="0" w:space="0" w:color="auto"/>
                    <w:right w:val="none" w:sz="0" w:space="0" w:color="auto"/>
                  </w:divBdr>
                </w:div>
                <w:div w:id="808867703">
                  <w:marLeft w:val="0"/>
                  <w:marRight w:val="0"/>
                  <w:marTop w:val="0"/>
                  <w:marBottom w:val="0"/>
                  <w:divBdr>
                    <w:top w:val="none" w:sz="0" w:space="0" w:color="auto"/>
                    <w:left w:val="none" w:sz="0" w:space="0" w:color="auto"/>
                    <w:bottom w:val="none" w:sz="0" w:space="0" w:color="auto"/>
                    <w:right w:val="none" w:sz="0" w:space="0" w:color="auto"/>
                  </w:divBdr>
                </w:div>
              </w:divsChild>
            </w:div>
            <w:div w:id="1154880641">
              <w:marLeft w:val="0"/>
              <w:marRight w:val="0"/>
              <w:marTop w:val="0"/>
              <w:marBottom w:val="0"/>
              <w:divBdr>
                <w:top w:val="none" w:sz="0" w:space="0" w:color="auto"/>
                <w:left w:val="none" w:sz="0" w:space="0" w:color="auto"/>
                <w:bottom w:val="none" w:sz="0" w:space="0" w:color="auto"/>
                <w:right w:val="none" w:sz="0" w:space="0" w:color="auto"/>
              </w:divBdr>
              <w:divsChild>
                <w:div w:id="12015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86480">
      <w:bodyDiv w:val="1"/>
      <w:marLeft w:val="0"/>
      <w:marRight w:val="0"/>
      <w:marTop w:val="0"/>
      <w:marBottom w:val="0"/>
      <w:divBdr>
        <w:top w:val="none" w:sz="0" w:space="0" w:color="auto"/>
        <w:left w:val="none" w:sz="0" w:space="0" w:color="auto"/>
        <w:bottom w:val="none" w:sz="0" w:space="0" w:color="auto"/>
        <w:right w:val="none" w:sz="0" w:space="0" w:color="auto"/>
      </w:divBdr>
    </w:div>
    <w:div w:id="151458491">
      <w:bodyDiv w:val="1"/>
      <w:marLeft w:val="0"/>
      <w:marRight w:val="0"/>
      <w:marTop w:val="0"/>
      <w:marBottom w:val="0"/>
      <w:divBdr>
        <w:top w:val="none" w:sz="0" w:space="0" w:color="auto"/>
        <w:left w:val="none" w:sz="0" w:space="0" w:color="auto"/>
        <w:bottom w:val="none" w:sz="0" w:space="0" w:color="auto"/>
        <w:right w:val="none" w:sz="0" w:space="0" w:color="auto"/>
      </w:divBdr>
    </w:div>
    <w:div w:id="164517289">
      <w:bodyDiv w:val="1"/>
      <w:marLeft w:val="0"/>
      <w:marRight w:val="0"/>
      <w:marTop w:val="0"/>
      <w:marBottom w:val="0"/>
      <w:divBdr>
        <w:top w:val="none" w:sz="0" w:space="0" w:color="auto"/>
        <w:left w:val="none" w:sz="0" w:space="0" w:color="auto"/>
        <w:bottom w:val="none" w:sz="0" w:space="0" w:color="auto"/>
        <w:right w:val="none" w:sz="0" w:space="0" w:color="auto"/>
      </w:divBdr>
    </w:div>
    <w:div w:id="166094437">
      <w:bodyDiv w:val="1"/>
      <w:marLeft w:val="0"/>
      <w:marRight w:val="0"/>
      <w:marTop w:val="0"/>
      <w:marBottom w:val="0"/>
      <w:divBdr>
        <w:top w:val="none" w:sz="0" w:space="0" w:color="auto"/>
        <w:left w:val="none" w:sz="0" w:space="0" w:color="auto"/>
        <w:bottom w:val="none" w:sz="0" w:space="0" w:color="auto"/>
        <w:right w:val="none" w:sz="0" w:space="0" w:color="auto"/>
      </w:divBdr>
    </w:div>
    <w:div w:id="169805974">
      <w:bodyDiv w:val="1"/>
      <w:marLeft w:val="0"/>
      <w:marRight w:val="0"/>
      <w:marTop w:val="0"/>
      <w:marBottom w:val="0"/>
      <w:divBdr>
        <w:top w:val="none" w:sz="0" w:space="0" w:color="auto"/>
        <w:left w:val="none" w:sz="0" w:space="0" w:color="auto"/>
        <w:bottom w:val="none" w:sz="0" w:space="0" w:color="auto"/>
        <w:right w:val="none" w:sz="0" w:space="0" w:color="auto"/>
      </w:divBdr>
    </w:div>
    <w:div w:id="243301155">
      <w:bodyDiv w:val="1"/>
      <w:marLeft w:val="0"/>
      <w:marRight w:val="0"/>
      <w:marTop w:val="0"/>
      <w:marBottom w:val="0"/>
      <w:divBdr>
        <w:top w:val="none" w:sz="0" w:space="0" w:color="auto"/>
        <w:left w:val="none" w:sz="0" w:space="0" w:color="auto"/>
        <w:bottom w:val="none" w:sz="0" w:space="0" w:color="auto"/>
        <w:right w:val="none" w:sz="0" w:space="0" w:color="auto"/>
      </w:divBdr>
    </w:div>
    <w:div w:id="247154242">
      <w:bodyDiv w:val="1"/>
      <w:marLeft w:val="0"/>
      <w:marRight w:val="0"/>
      <w:marTop w:val="0"/>
      <w:marBottom w:val="0"/>
      <w:divBdr>
        <w:top w:val="none" w:sz="0" w:space="0" w:color="auto"/>
        <w:left w:val="none" w:sz="0" w:space="0" w:color="auto"/>
        <w:bottom w:val="none" w:sz="0" w:space="0" w:color="auto"/>
        <w:right w:val="none" w:sz="0" w:space="0" w:color="auto"/>
      </w:divBdr>
    </w:div>
    <w:div w:id="256451708">
      <w:bodyDiv w:val="1"/>
      <w:marLeft w:val="0"/>
      <w:marRight w:val="0"/>
      <w:marTop w:val="0"/>
      <w:marBottom w:val="0"/>
      <w:divBdr>
        <w:top w:val="none" w:sz="0" w:space="0" w:color="auto"/>
        <w:left w:val="none" w:sz="0" w:space="0" w:color="auto"/>
        <w:bottom w:val="none" w:sz="0" w:space="0" w:color="auto"/>
        <w:right w:val="none" w:sz="0" w:space="0" w:color="auto"/>
      </w:divBdr>
    </w:div>
    <w:div w:id="269825923">
      <w:bodyDiv w:val="1"/>
      <w:marLeft w:val="0"/>
      <w:marRight w:val="0"/>
      <w:marTop w:val="0"/>
      <w:marBottom w:val="0"/>
      <w:divBdr>
        <w:top w:val="none" w:sz="0" w:space="0" w:color="auto"/>
        <w:left w:val="none" w:sz="0" w:space="0" w:color="auto"/>
        <w:bottom w:val="none" w:sz="0" w:space="0" w:color="auto"/>
        <w:right w:val="none" w:sz="0" w:space="0" w:color="auto"/>
      </w:divBdr>
    </w:div>
    <w:div w:id="278150803">
      <w:bodyDiv w:val="1"/>
      <w:marLeft w:val="0"/>
      <w:marRight w:val="0"/>
      <w:marTop w:val="0"/>
      <w:marBottom w:val="0"/>
      <w:divBdr>
        <w:top w:val="none" w:sz="0" w:space="0" w:color="auto"/>
        <w:left w:val="none" w:sz="0" w:space="0" w:color="auto"/>
        <w:bottom w:val="none" w:sz="0" w:space="0" w:color="auto"/>
        <w:right w:val="none" w:sz="0" w:space="0" w:color="auto"/>
      </w:divBdr>
    </w:div>
    <w:div w:id="282351165">
      <w:bodyDiv w:val="1"/>
      <w:marLeft w:val="0"/>
      <w:marRight w:val="0"/>
      <w:marTop w:val="0"/>
      <w:marBottom w:val="0"/>
      <w:divBdr>
        <w:top w:val="none" w:sz="0" w:space="0" w:color="auto"/>
        <w:left w:val="none" w:sz="0" w:space="0" w:color="auto"/>
        <w:bottom w:val="none" w:sz="0" w:space="0" w:color="auto"/>
        <w:right w:val="none" w:sz="0" w:space="0" w:color="auto"/>
      </w:divBdr>
    </w:div>
    <w:div w:id="292558561">
      <w:bodyDiv w:val="1"/>
      <w:marLeft w:val="0"/>
      <w:marRight w:val="0"/>
      <w:marTop w:val="0"/>
      <w:marBottom w:val="0"/>
      <w:divBdr>
        <w:top w:val="none" w:sz="0" w:space="0" w:color="auto"/>
        <w:left w:val="none" w:sz="0" w:space="0" w:color="auto"/>
        <w:bottom w:val="none" w:sz="0" w:space="0" w:color="auto"/>
        <w:right w:val="none" w:sz="0" w:space="0" w:color="auto"/>
      </w:divBdr>
    </w:div>
    <w:div w:id="326176260">
      <w:bodyDiv w:val="1"/>
      <w:marLeft w:val="0"/>
      <w:marRight w:val="0"/>
      <w:marTop w:val="0"/>
      <w:marBottom w:val="0"/>
      <w:divBdr>
        <w:top w:val="none" w:sz="0" w:space="0" w:color="auto"/>
        <w:left w:val="none" w:sz="0" w:space="0" w:color="auto"/>
        <w:bottom w:val="none" w:sz="0" w:space="0" w:color="auto"/>
        <w:right w:val="none" w:sz="0" w:space="0" w:color="auto"/>
      </w:divBdr>
      <w:divsChild>
        <w:div w:id="53160106">
          <w:marLeft w:val="547"/>
          <w:marRight w:val="0"/>
          <w:marTop w:val="0"/>
          <w:marBottom w:val="0"/>
          <w:divBdr>
            <w:top w:val="none" w:sz="0" w:space="0" w:color="auto"/>
            <w:left w:val="none" w:sz="0" w:space="0" w:color="auto"/>
            <w:bottom w:val="none" w:sz="0" w:space="0" w:color="auto"/>
            <w:right w:val="none" w:sz="0" w:space="0" w:color="auto"/>
          </w:divBdr>
        </w:div>
        <w:div w:id="127673537">
          <w:marLeft w:val="547"/>
          <w:marRight w:val="0"/>
          <w:marTop w:val="0"/>
          <w:marBottom w:val="0"/>
          <w:divBdr>
            <w:top w:val="none" w:sz="0" w:space="0" w:color="auto"/>
            <w:left w:val="none" w:sz="0" w:space="0" w:color="auto"/>
            <w:bottom w:val="none" w:sz="0" w:space="0" w:color="auto"/>
            <w:right w:val="none" w:sz="0" w:space="0" w:color="auto"/>
          </w:divBdr>
        </w:div>
        <w:div w:id="330911131">
          <w:marLeft w:val="547"/>
          <w:marRight w:val="0"/>
          <w:marTop w:val="0"/>
          <w:marBottom w:val="0"/>
          <w:divBdr>
            <w:top w:val="none" w:sz="0" w:space="0" w:color="auto"/>
            <w:left w:val="none" w:sz="0" w:space="0" w:color="auto"/>
            <w:bottom w:val="none" w:sz="0" w:space="0" w:color="auto"/>
            <w:right w:val="none" w:sz="0" w:space="0" w:color="auto"/>
          </w:divBdr>
        </w:div>
        <w:div w:id="421685643">
          <w:marLeft w:val="547"/>
          <w:marRight w:val="0"/>
          <w:marTop w:val="0"/>
          <w:marBottom w:val="0"/>
          <w:divBdr>
            <w:top w:val="none" w:sz="0" w:space="0" w:color="auto"/>
            <w:left w:val="none" w:sz="0" w:space="0" w:color="auto"/>
            <w:bottom w:val="none" w:sz="0" w:space="0" w:color="auto"/>
            <w:right w:val="none" w:sz="0" w:space="0" w:color="auto"/>
          </w:divBdr>
        </w:div>
        <w:div w:id="894121201">
          <w:marLeft w:val="547"/>
          <w:marRight w:val="0"/>
          <w:marTop w:val="0"/>
          <w:marBottom w:val="0"/>
          <w:divBdr>
            <w:top w:val="none" w:sz="0" w:space="0" w:color="auto"/>
            <w:left w:val="none" w:sz="0" w:space="0" w:color="auto"/>
            <w:bottom w:val="none" w:sz="0" w:space="0" w:color="auto"/>
            <w:right w:val="none" w:sz="0" w:space="0" w:color="auto"/>
          </w:divBdr>
        </w:div>
        <w:div w:id="1065451204">
          <w:marLeft w:val="547"/>
          <w:marRight w:val="0"/>
          <w:marTop w:val="0"/>
          <w:marBottom w:val="0"/>
          <w:divBdr>
            <w:top w:val="none" w:sz="0" w:space="0" w:color="auto"/>
            <w:left w:val="none" w:sz="0" w:space="0" w:color="auto"/>
            <w:bottom w:val="none" w:sz="0" w:space="0" w:color="auto"/>
            <w:right w:val="none" w:sz="0" w:space="0" w:color="auto"/>
          </w:divBdr>
        </w:div>
        <w:div w:id="1291327754">
          <w:marLeft w:val="547"/>
          <w:marRight w:val="0"/>
          <w:marTop w:val="0"/>
          <w:marBottom w:val="0"/>
          <w:divBdr>
            <w:top w:val="none" w:sz="0" w:space="0" w:color="auto"/>
            <w:left w:val="none" w:sz="0" w:space="0" w:color="auto"/>
            <w:bottom w:val="none" w:sz="0" w:space="0" w:color="auto"/>
            <w:right w:val="none" w:sz="0" w:space="0" w:color="auto"/>
          </w:divBdr>
        </w:div>
        <w:div w:id="1298803131">
          <w:marLeft w:val="547"/>
          <w:marRight w:val="0"/>
          <w:marTop w:val="0"/>
          <w:marBottom w:val="0"/>
          <w:divBdr>
            <w:top w:val="none" w:sz="0" w:space="0" w:color="auto"/>
            <w:left w:val="none" w:sz="0" w:space="0" w:color="auto"/>
            <w:bottom w:val="none" w:sz="0" w:space="0" w:color="auto"/>
            <w:right w:val="none" w:sz="0" w:space="0" w:color="auto"/>
          </w:divBdr>
        </w:div>
        <w:div w:id="1753309796">
          <w:marLeft w:val="547"/>
          <w:marRight w:val="0"/>
          <w:marTop w:val="0"/>
          <w:marBottom w:val="0"/>
          <w:divBdr>
            <w:top w:val="none" w:sz="0" w:space="0" w:color="auto"/>
            <w:left w:val="none" w:sz="0" w:space="0" w:color="auto"/>
            <w:bottom w:val="none" w:sz="0" w:space="0" w:color="auto"/>
            <w:right w:val="none" w:sz="0" w:space="0" w:color="auto"/>
          </w:divBdr>
        </w:div>
        <w:div w:id="1811092161">
          <w:marLeft w:val="547"/>
          <w:marRight w:val="0"/>
          <w:marTop w:val="0"/>
          <w:marBottom w:val="0"/>
          <w:divBdr>
            <w:top w:val="none" w:sz="0" w:space="0" w:color="auto"/>
            <w:left w:val="none" w:sz="0" w:space="0" w:color="auto"/>
            <w:bottom w:val="none" w:sz="0" w:space="0" w:color="auto"/>
            <w:right w:val="none" w:sz="0" w:space="0" w:color="auto"/>
          </w:divBdr>
        </w:div>
      </w:divsChild>
    </w:div>
    <w:div w:id="356738678">
      <w:bodyDiv w:val="1"/>
      <w:marLeft w:val="0"/>
      <w:marRight w:val="0"/>
      <w:marTop w:val="0"/>
      <w:marBottom w:val="0"/>
      <w:divBdr>
        <w:top w:val="none" w:sz="0" w:space="0" w:color="auto"/>
        <w:left w:val="none" w:sz="0" w:space="0" w:color="auto"/>
        <w:bottom w:val="none" w:sz="0" w:space="0" w:color="auto"/>
        <w:right w:val="none" w:sz="0" w:space="0" w:color="auto"/>
      </w:divBdr>
    </w:div>
    <w:div w:id="384069891">
      <w:bodyDiv w:val="1"/>
      <w:marLeft w:val="0"/>
      <w:marRight w:val="0"/>
      <w:marTop w:val="0"/>
      <w:marBottom w:val="0"/>
      <w:divBdr>
        <w:top w:val="none" w:sz="0" w:space="0" w:color="auto"/>
        <w:left w:val="none" w:sz="0" w:space="0" w:color="auto"/>
        <w:bottom w:val="none" w:sz="0" w:space="0" w:color="auto"/>
        <w:right w:val="none" w:sz="0" w:space="0" w:color="auto"/>
      </w:divBdr>
    </w:div>
    <w:div w:id="435446611">
      <w:bodyDiv w:val="1"/>
      <w:marLeft w:val="0"/>
      <w:marRight w:val="0"/>
      <w:marTop w:val="0"/>
      <w:marBottom w:val="0"/>
      <w:divBdr>
        <w:top w:val="none" w:sz="0" w:space="0" w:color="auto"/>
        <w:left w:val="none" w:sz="0" w:space="0" w:color="auto"/>
        <w:bottom w:val="none" w:sz="0" w:space="0" w:color="auto"/>
        <w:right w:val="none" w:sz="0" w:space="0" w:color="auto"/>
      </w:divBdr>
    </w:div>
    <w:div w:id="437943252">
      <w:bodyDiv w:val="1"/>
      <w:marLeft w:val="0"/>
      <w:marRight w:val="0"/>
      <w:marTop w:val="0"/>
      <w:marBottom w:val="0"/>
      <w:divBdr>
        <w:top w:val="none" w:sz="0" w:space="0" w:color="auto"/>
        <w:left w:val="none" w:sz="0" w:space="0" w:color="auto"/>
        <w:bottom w:val="none" w:sz="0" w:space="0" w:color="auto"/>
        <w:right w:val="none" w:sz="0" w:space="0" w:color="auto"/>
      </w:divBdr>
      <w:divsChild>
        <w:div w:id="1267539700">
          <w:marLeft w:val="0"/>
          <w:marRight w:val="0"/>
          <w:marTop w:val="0"/>
          <w:marBottom w:val="0"/>
          <w:divBdr>
            <w:top w:val="none" w:sz="0" w:space="0" w:color="auto"/>
            <w:left w:val="none" w:sz="0" w:space="0" w:color="auto"/>
            <w:bottom w:val="none" w:sz="0" w:space="0" w:color="auto"/>
            <w:right w:val="none" w:sz="0" w:space="0" w:color="auto"/>
          </w:divBdr>
          <w:divsChild>
            <w:div w:id="1254977492">
              <w:marLeft w:val="0"/>
              <w:marRight w:val="0"/>
              <w:marTop w:val="0"/>
              <w:marBottom w:val="0"/>
              <w:divBdr>
                <w:top w:val="none" w:sz="0" w:space="0" w:color="auto"/>
                <w:left w:val="none" w:sz="0" w:space="0" w:color="auto"/>
                <w:bottom w:val="none" w:sz="0" w:space="0" w:color="auto"/>
                <w:right w:val="none" w:sz="0" w:space="0" w:color="auto"/>
              </w:divBdr>
              <w:divsChild>
                <w:div w:id="1578829796">
                  <w:marLeft w:val="0"/>
                  <w:marRight w:val="0"/>
                  <w:marTop w:val="0"/>
                  <w:marBottom w:val="0"/>
                  <w:divBdr>
                    <w:top w:val="none" w:sz="0" w:space="0" w:color="auto"/>
                    <w:left w:val="none" w:sz="0" w:space="0" w:color="auto"/>
                    <w:bottom w:val="none" w:sz="0" w:space="0" w:color="auto"/>
                    <w:right w:val="none" w:sz="0" w:space="0" w:color="auto"/>
                  </w:divBdr>
                  <w:divsChild>
                    <w:div w:id="1783383357">
                      <w:marLeft w:val="0"/>
                      <w:marRight w:val="0"/>
                      <w:marTop w:val="0"/>
                      <w:marBottom w:val="0"/>
                      <w:divBdr>
                        <w:top w:val="none" w:sz="0" w:space="0" w:color="auto"/>
                        <w:left w:val="none" w:sz="0" w:space="0" w:color="auto"/>
                        <w:bottom w:val="none" w:sz="0" w:space="0" w:color="auto"/>
                        <w:right w:val="none" w:sz="0" w:space="0" w:color="auto"/>
                      </w:divBdr>
                      <w:divsChild>
                        <w:div w:id="1858693337">
                          <w:marLeft w:val="0"/>
                          <w:marRight w:val="0"/>
                          <w:marTop w:val="0"/>
                          <w:marBottom w:val="0"/>
                          <w:divBdr>
                            <w:top w:val="none" w:sz="0" w:space="0" w:color="auto"/>
                            <w:left w:val="none" w:sz="0" w:space="0" w:color="auto"/>
                            <w:bottom w:val="none" w:sz="0" w:space="0" w:color="auto"/>
                            <w:right w:val="none" w:sz="0" w:space="0" w:color="auto"/>
                          </w:divBdr>
                          <w:divsChild>
                            <w:div w:id="1785222049">
                              <w:marLeft w:val="0"/>
                              <w:marRight w:val="0"/>
                              <w:marTop w:val="0"/>
                              <w:marBottom w:val="0"/>
                              <w:divBdr>
                                <w:top w:val="none" w:sz="0" w:space="0" w:color="auto"/>
                                <w:left w:val="none" w:sz="0" w:space="0" w:color="auto"/>
                                <w:bottom w:val="none" w:sz="0" w:space="0" w:color="auto"/>
                                <w:right w:val="none" w:sz="0" w:space="0" w:color="auto"/>
                              </w:divBdr>
                              <w:divsChild>
                                <w:div w:id="1395930104">
                                  <w:marLeft w:val="0"/>
                                  <w:marRight w:val="0"/>
                                  <w:marTop w:val="0"/>
                                  <w:marBottom w:val="0"/>
                                  <w:divBdr>
                                    <w:top w:val="none" w:sz="0" w:space="0" w:color="auto"/>
                                    <w:left w:val="none" w:sz="0" w:space="0" w:color="auto"/>
                                    <w:bottom w:val="none" w:sz="0" w:space="0" w:color="auto"/>
                                    <w:right w:val="none" w:sz="0" w:space="0" w:color="auto"/>
                                  </w:divBdr>
                                  <w:divsChild>
                                    <w:div w:id="2127964312">
                                      <w:marLeft w:val="0"/>
                                      <w:marRight w:val="0"/>
                                      <w:marTop w:val="0"/>
                                      <w:marBottom w:val="0"/>
                                      <w:divBdr>
                                        <w:top w:val="none" w:sz="0" w:space="0" w:color="auto"/>
                                        <w:left w:val="none" w:sz="0" w:space="0" w:color="auto"/>
                                        <w:bottom w:val="none" w:sz="0" w:space="0" w:color="auto"/>
                                        <w:right w:val="none" w:sz="0" w:space="0" w:color="auto"/>
                                      </w:divBdr>
                                      <w:divsChild>
                                        <w:div w:id="4633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21755">
                                  <w:marLeft w:val="0"/>
                                  <w:marRight w:val="0"/>
                                  <w:marTop w:val="0"/>
                                  <w:marBottom w:val="0"/>
                                  <w:divBdr>
                                    <w:top w:val="none" w:sz="0" w:space="0" w:color="auto"/>
                                    <w:left w:val="none" w:sz="0" w:space="0" w:color="auto"/>
                                    <w:bottom w:val="none" w:sz="0" w:space="0" w:color="auto"/>
                                    <w:right w:val="none" w:sz="0" w:space="0" w:color="auto"/>
                                  </w:divBdr>
                                  <w:divsChild>
                                    <w:div w:id="456069539">
                                      <w:marLeft w:val="0"/>
                                      <w:marRight w:val="0"/>
                                      <w:marTop w:val="0"/>
                                      <w:marBottom w:val="0"/>
                                      <w:divBdr>
                                        <w:top w:val="none" w:sz="0" w:space="0" w:color="auto"/>
                                        <w:left w:val="none" w:sz="0" w:space="0" w:color="auto"/>
                                        <w:bottom w:val="none" w:sz="0" w:space="0" w:color="auto"/>
                                        <w:right w:val="none" w:sz="0" w:space="0" w:color="auto"/>
                                      </w:divBdr>
                                      <w:divsChild>
                                        <w:div w:id="1804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9640286">
      <w:bodyDiv w:val="1"/>
      <w:marLeft w:val="0"/>
      <w:marRight w:val="0"/>
      <w:marTop w:val="0"/>
      <w:marBottom w:val="0"/>
      <w:divBdr>
        <w:top w:val="none" w:sz="0" w:space="0" w:color="auto"/>
        <w:left w:val="none" w:sz="0" w:space="0" w:color="auto"/>
        <w:bottom w:val="none" w:sz="0" w:space="0" w:color="auto"/>
        <w:right w:val="none" w:sz="0" w:space="0" w:color="auto"/>
      </w:divBdr>
    </w:div>
    <w:div w:id="478496393">
      <w:bodyDiv w:val="1"/>
      <w:marLeft w:val="0"/>
      <w:marRight w:val="0"/>
      <w:marTop w:val="0"/>
      <w:marBottom w:val="0"/>
      <w:divBdr>
        <w:top w:val="none" w:sz="0" w:space="0" w:color="auto"/>
        <w:left w:val="none" w:sz="0" w:space="0" w:color="auto"/>
        <w:bottom w:val="none" w:sz="0" w:space="0" w:color="auto"/>
        <w:right w:val="none" w:sz="0" w:space="0" w:color="auto"/>
      </w:divBdr>
    </w:div>
    <w:div w:id="482309382">
      <w:bodyDiv w:val="1"/>
      <w:marLeft w:val="0"/>
      <w:marRight w:val="0"/>
      <w:marTop w:val="0"/>
      <w:marBottom w:val="0"/>
      <w:divBdr>
        <w:top w:val="none" w:sz="0" w:space="0" w:color="auto"/>
        <w:left w:val="none" w:sz="0" w:space="0" w:color="auto"/>
        <w:bottom w:val="none" w:sz="0" w:space="0" w:color="auto"/>
        <w:right w:val="none" w:sz="0" w:space="0" w:color="auto"/>
      </w:divBdr>
    </w:div>
    <w:div w:id="482311936">
      <w:bodyDiv w:val="1"/>
      <w:marLeft w:val="0"/>
      <w:marRight w:val="0"/>
      <w:marTop w:val="0"/>
      <w:marBottom w:val="0"/>
      <w:divBdr>
        <w:top w:val="none" w:sz="0" w:space="0" w:color="auto"/>
        <w:left w:val="none" w:sz="0" w:space="0" w:color="auto"/>
        <w:bottom w:val="none" w:sz="0" w:space="0" w:color="auto"/>
        <w:right w:val="none" w:sz="0" w:space="0" w:color="auto"/>
      </w:divBdr>
    </w:div>
    <w:div w:id="485047586">
      <w:bodyDiv w:val="1"/>
      <w:marLeft w:val="0"/>
      <w:marRight w:val="0"/>
      <w:marTop w:val="0"/>
      <w:marBottom w:val="0"/>
      <w:divBdr>
        <w:top w:val="none" w:sz="0" w:space="0" w:color="auto"/>
        <w:left w:val="none" w:sz="0" w:space="0" w:color="auto"/>
        <w:bottom w:val="none" w:sz="0" w:space="0" w:color="auto"/>
        <w:right w:val="none" w:sz="0" w:space="0" w:color="auto"/>
      </w:divBdr>
    </w:div>
    <w:div w:id="498229214">
      <w:bodyDiv w:val="1"/>
      <w:marLeft w:val="0"/>
      <w:marRight w:val="0"/>
      <w:marTop w:val="0"/>
      <w:marBottom w:val="0"/>
      <w:divBdr>
        <w:top w:val="none" w:sz="0" w:space="0" w:color="auto"/>
        <w:left w:val="none" w:sz="0" w:space="0" w:color="auto"/>
        <w:bottom w:val="none" w:sz="0" w:space="0" w:color="auto"/>
        <w:right w:val="none" w:sz="0" w:space="0" w:color="auto"/>
      </w:divBdr>
    </w:div>
    <w:div w:id="506138782">
      <w:bodyDiv w:val="1"/>
      <w:marLeft w:val="0"/>
      <w:marRight w:val="0"/>
      <w:marTop w:val="0"/>
      <w:marBottom w:val="0"/>
      <w:divBdr>
        <w:top w:val="none" w:sz="0" w:space="0" w:color="auto"/>
        <w:left w:val="none" w:sz="0" w:space="0" w:color="auto"/>
        <w:bottom w:val="none" w:sz="0" w:space="0" w:color="auto"/>
        <w:right w:val="none" w:sz="0" w:space="0" w:color="auto"/>
      </w:divBdr>
    </w:div>
    <w:div w:id="507058784">
      <w:bodyDiv w:val="1"/>
      <w:marLeft w:val="0"/>
      <w:marRight w:val="0"/>
      <w:marTop w:val="0"/>
      <w:marBottom w:val="0"/>
      <w:divBdr>
        <w:top w:val="none" w:sz="0" w:space="0" w:color="auto"/>
        <w:left w:val="none" w:sz="0" w:space="0" w:color="auto"/>
        <w:bottom w:val="none" w:sz="0" w:space="0" w:color="auto"/>
        <w:right w:val="none" w:sz="0" w:space="0" w:color="auto"/>
      </w:divBdr>
    </w:div>
    <w:div w:id="519781240">
      <w:bodyDiv w:val="1"/>
      <w:marLeft w:val="0"/>
      <w:marRight w:val="0"/>
      <w:marTop w:val="0"/>
      <w:marBottom w:val="0"/>
      <w:divBdr>
        <w:top w:val="none" w:sz="0" w:space="0" w:color="auto"/>
        <w:left w:val="none" w:sz="0" w:space="0" w:color="auto"/>
        <w:bottom w:val="none" w:sz="0" w:space="0" w:color="auto"/>
        <w:right w:val="none" w:sz="0" w:space="0" w:color="auto"/>
      </w:divBdr>
      <w:divsChild>
        <w:div w:id="653416835">
          <w:marLeft w:val="547"/>
          <w:marRight w:val="0"/>
          <w:marTop w:val="0"/>
          <w:marBottom w:val="0"/>
          <w:divBdr>
            <w:top w:val="none" w:sz="0" w:space="0" w:color="auto"/>
            <w:left w:val="none" w:sz="0" w:space="0" w:color="auto"/>
            <w:bottom w:val="none" w:sz="0" w:space="0" w:color="auto"/>
            <w:right w:val="none" w:sz="0" w:space="0" w:color="auto"/>
          </w:divBdr>
        </w:div>
        <w:div w:id="773206718">
          <w:marLeft w:val="547"/>
          <w:marRight w:val="0"/>
          <w:marTop w:val="0"/>
          <w:marBottom w:val="0"/>
          <w:divBdr>
            <w:top w:val="none" w:sz="0" w:space="0" w:color="auto"/>
            <w:left w:val="none" w:sz="0" w:space="0" w:color="auto"/>
            <w:bottom w:val="none" w:sz="0" w:space="0" w:color="auto"/>
            <w:right w:val="none" w:sz="0" w:space="0" w:color="auto"/>
          </w:divBdr>
        </w:div>
      </w:divsChild>
    </w:div>
    <w:div w:id="522089807">
      <w:bodyDiv w:val="1"/>
      <w:marLeft w:val="0"/>
      <w:marRight w:val="0"/>
      <w:marTop w:val="0"/>
      <w:marBottom w:val="0"/>
      <w:divBdr>
        <w:top w:val="none" w:sz="0" w:space="0" w:color="auto"/>
        <w:left w:val="none" w:sz="0" w:space="0" w:color="auto"/>
        <w:bottom w:val="none" w:sz="0" w:space="0" w:color="auto"/>
        <w:right w:val="none" w:sz="0" w:space="0" w:color="auto"/>
      </w:divBdr>
    </w:div>
    <w:div w:id="536940524">
      <w:bodyDiv w:val="1"/>
      <w:marLeft w:val="0"/>
      <w:marRight w:val="0"/>
      <w:marTop w:val="0"/>
      <w:marBottom w:val="0"/>
      <w:divBdr>
        <w:top w:val="none" w:sz="0" w:space="0" w:color="auto"/>
        <w:left w:val="none" w:sz="0" w:space="0" w:color="auto"/>
        <w:bottom w:val="none" w:sz="0" w:space="0" w:color="auto"/>
        <w:right w:val="none" w:sz="0" w:space="0" w:color="auto"/>
      </w:divBdr>
    </w:div>
    <w:div w:id="554585174">
      <w:bodyDiv w:val="1"/>
      <w:marLeft w:val="0"/>
      <w:marRight w:val="0"/>
      <w:marTop w:val="0"/>
      <w:marBottom w:val="0"/>
      <w:divBdr>
        <w:top w:val="none" w:sz="0" w:space="0" w:color="auto"/>
        <w:left w:val="none" w:sz="0" w:space="0" w:color="auto"/>
        <w:bottom w:val="none" w:sz="0" w:space="0" w:color="auto"/>
        <w:right w:val="none" w:sz="0" w:space="0" w:color="auto"/>
      </w:divBdr>
    </w:div>
    <w:div w:id="565380760">
      <w:bodyDiv w:val="1"/>
      <w:marLeft w:val="0"/>
      <w:marRight w:val="0"/>
      <w:marTop w:val="0"/>
      <w:marBottom w:val="0"/>
      <w:divBdr>
        <w:top w:val="none" w:sz="0" w:space="0" w:color="auto"/>
        <w:left w:val="none" w:sz="0" w:space="0" w:color="auto"/>
        <w:bottom w:val="none" w:sz="0" w:space="0" w:color="auto"/>
        <w:right w:val="none" w:sz="0" w:space="0" w:color="auto"/>
      </w:divBdr>
    </w:div>
    <w:div w:id="606887923">
      <w:bodyDiv w:val="1"/>
      <w:marLeft w:val="0"/>
      <w:marRight w:val="0"/>
      <w:marTop w:val="0"/>
      <w:marBottom w:val="0"/>
      <w:divBdr>
        <w:top w:val="none" w:sz="0" w:space="0" w:color="auto"/>
        <w:left w:val="none" w:sz="0" w:space="0" w:color="auto"/>
        <w:bottom w:val="none" w:sz="0" w:space="0" w:color="auto"/>
        <w:right w:val="none" w:sz="0" w:space="0" w:color="auto"/>
      </w:divBdr>
    </w:div>
    <w:div w:id="622464447">
      <w:bodyDiv w:val="1"/>
      <w:marLeft w:val="0"/>
      <w:marRight w:val="0"/>
      <w:marTop w:val="0"/>
      <w:marBottom w:val="0"/>
      <w:divBdr>
        <w:top w:val="none" w:sz="0" w:space="0" w:color="auto"/>
        <w:left w:val="none" w:sz="0" w:space="0" w:color="auto"/>
        <w:bottom w:val="none" w:sz="0" w:space="0" w:color="auto"/>
        <w:right w:val="none" w:sz="0" w:space="0" w:color="auto"/>
      </w:divBdr>
    </w:div>
    <w:div w:id="623316835">
      <w:bodyDiv w:val="1"/>
      <w:marLeft w:val="0"/>
      <w:marRight w:val="0"/>
      <w:marTop w:val="0"/>
      <w:marBottom w:val="0"/>
      <w:divBdr>
        <w:top w:val="none" w:sz="0" w:space="0" w:color="auto"/>
        <w:left w:val="none" w:sz="0" w:space="0" w:color="auto"/>
        <w:bottom w:val="none" w:sz="0" w:space="0" w:color="auto"/>
        <w:right w:val="none" w:sz="0" w:space="0" w:color="auto"/>
      </w:divBdr>
    </w:div>
    <w:div w:id="638848901">
      <w:bodyDiv w:val="1"/>
      <w:marLeft w:val="0"/>
      <w:marRight w:val="0"/>
      <w:marTop w:val="0"/>
      <w:marBottom w:val="0"/>
      <w:divBdr>
        <w:top w:val="none" w:sz="0" w:space="0" w:color="auto"/>
        <w:left w:val="none" w:sz="0" w:space="0" w:color="auto"/>
        <w:bottom w:val="none" w:sz="0" w:space="0" w:color="auto"/>
        <w:right w:val="none" w:sz="0" w:space="0" w:color="auto"/>
      </w:divBdr>
    </w:div>
    <w:div w:id="639656960">
      <w:bodyDiv w:val="1"/>
      <w:marLeft w:val="0"/>
      <w:marRight w:val="0"/>
      <w:marTop w:val="0"/>
      <w:marBottom w:val="0"/>
      <w:divBdr>
        <w:top w:val="none" w:sz="0" w:space="0" w:color="auto"/>
        <w:left w:val="none" w:sz="0" w:space="0" w:color="auto"/>
        <w:bottom w:val="none" w:sz="0" w:space="0" w:color="auto"/>
        <w:right w:val="none" w:sz="0" w:space="0" w:color="auto"/>
      </w:divBdr>
    </w:div>
    <w:div w:id="649753738">
      <w:bodyDiv w:val="1"/>
      <w:marLeft w:val="0"/>
      <w:marRight w:val="0"/>
      <w:marTop w:val="0"/>
      <w:marBottom w:val="0"/>
      <w:divBdr>
        <w:top w:val="none" w:sz="0" w:space="0" w:color="auto"/>
        <w:left w:val="none" w:sz="0" w:space="0" w:color="auto"/>
        <w:bottom w:val="none" w:sz="0" w:space="0" w:color="auto"/>
        <w:right w:val="none" w:sz="0" w:space="0" w:color="auto"/>
      </w:divBdr>
    </w:div>
    <w:div w:id="661665457">
      <w:bodyDiv w:val="1"/>
      <w:marLeft w:val="0"/>
      <w:marRight w:val="0"/>
      <w:marTop w:val="0"/>
      <w:marBottom w:val="0"/>
      <w:divBdr>
        <w:top w:val="none" w:sz="0" w:space="0" w:color="auto"/>
        <w:left w:val="none" w:sz="0" w:space="0" w:color="auto"/>
        <w:bottom w:val="none" w:sz="0" w:space="0" w:color="auto"/>
        <w:right w:val="none" w:sz="0" w:space="0" w:color="auto"/>
      </w:divBdr>
      <w:divsChild>
        <w:div w:id="343476805">
          <w:marLeft w:val="0"/>
          <w:marRight w:val="0"/>
          <w:marTop w:val="0"/>
          <w:marBottom w:val="0"/>
          <w:divBdr>
            <w:top w:val="none" w:sz="0" w:space="0" w:color="auto"/>
            <w:left w:val="none" w:sz="0" w:space="0" w:color="auto"/>
            <w:bottom w:val="none" w:sz="0" w:space="0" w:color="auto"/>
            <w:right w:val="none" w:sz="0" w:space="0" w:color="auto"/>
          </w:divBdr>
          <w:divsChild>
            <w:div w:id="1999264745">
              <w:marLeft w:val="0"/>
              <w:marRight w:val="0"/>
              <w:marTop w:val="0"/>
              <w:marBottom w:val="0"/>
              <w:divBdr>
                <w:top w:val="none" w:sz="0" w:space="0" w:color="auto"/>
                <w:left w:val="none" w:sz="0" w:space="0" w:color="auto"/>
                <w:bottom w:val="none" w:sz="0" w:space="0" w:color="auto"/>
                <w:right w:val="none" w:sz="0" w:space="0" w:color="auto"/>
              </w:divBdr>
              <w:divsChild>
                <w:div w:id="583879014">
                  <w:marLeft w:val="0"/>
                  <w:marRight w:val="0"/>
                  <w:marTop w:val="0"/>
                  <w:marBottom w:val="0"/>
                  <w:divBdr>
                    <w:top w:val="none" w:sz="0" w:space="0" w:color="auto"/>
                    <w:left w:val="none" w:sz="0" w:space="0" w:color="auto"/>
                    <w:bottom w:val="none" w:sz="0" w:space="0" w:color="auto"/>
                    <w:right w:val="none" w:sz="0" w:space="0" w:color="auto"/>
                  </w:divBdr>
                  <w:divsChild>
                    <w:div w:id="150560812">
                      <w:marLeft w:val="0"/>
                      <w:marRight w:val="0"/>
                      <w:marTop w:val="0"/>
                      <w:marBottom w:val="0"/>
                      <w:divBdr>
                        <w:top w:val="none" w:sz="0" w:space="0" w:color="auto"/>
                        <w:left w:val="none" w:sz="0" w:space="0" w:color="auto"/>
                        <w:bottom w:val="none" w:sz="0" w:space="0" w:color="auto"/>
                        <w:right w:val="none" w:sz="0" w:space="0" w:color="auto"/>
                      </w:divBdr>
                      <w:divsChild>
                        <w:div w:id="1498962580">
                          <w:marLeft w:val="0"/>
                          <w:marRight w:val="0"/>
                          <w:marTop w:val="0"/>
                          <w:marBottom w:val="0"/>
                          <w:divBdr>
                            <w:top w:val="none" w:sz="0" w:space="0" w:color="auto"/>
                            <w:left w:val="none" w:sz="0" w:space="0" w:color="auto"/>
                            <w:bottom w:val="none" w:sz="0" w:space="0" w:color="auto"/>
                            <w:right w:val="none" w:sz="0" w:space="0" w:color="auto"/>
                          </w:divBdr>
                          <w:divsChild>
                            <w:div w:id="1696689359">
                              <w:marLeft w:val="0"/>
                              <w:marRight w:val="0"/>
                              <w:marTop w:val="0"/>
                              <w:marBottom w:val="0"/>
                              <w:divBdr>
                                <w:top w:val="none" w:sz="0" w:space="0" w:color="auto"/>
                                <w:left w:val="none" w:sz="0" w:space="0" w:color="auto"/>
                                <w:bottom w:val="none" w:sz="0" w:space="0" w:color="auto"/>
                                <w:right w:val="none" w:sz="0" w:space="0" w:color="auto"/>
                              </w:divBdr>
                              <w:divsChild>
                                <w:div w:id="978002096">
                                  <w:marLeft w:val="0"/>
                                  <w:marRight w:val="0"/>
                                  <w:marTop w:val="0"/>
                                  <w:marBottom w:val="0"/>
                                  <w:divBdr>
                                    <w:top w:val="none" w:sz="0" w:space="0" w:color="auto"/>
                                    <w:left w:val="none" w:sz="0" w:space="0" w:color="auto"/>
                                    <w:bottom w:val="none" w:sz="0" w:space="0" w:color="auto"/>
                                    <w:right w:val="none" w:sz="0" w:space="0" w:color="auto"/>
                                  </w:divBdr>
                                  <w:divsChild>
                                    <w:div w:id="1946883028">
                                      <w:marLeft w:val="0"/>
                                      <w:marRight w:val="0"/>
                                      <w:marTop w:val="0"/>
                                      <w:marBottom w:val="0"/>
                                      <w:divBdr>
                                        <w:top w:val="none" w:sz="0" w:space="0" w:color="auto"/>
                                        <w:left w:val="none" w:sz="0" w:space="0" w:color="auto"/>
                                        <w:bottom w:val="none" w:sz="0" w:space="0" w:color="auto"/>
                                        <w:right w:val="none" w:sz="0" w:space="0" w:color="auto"/>
                                      </w:divBdr>
                                      <w:divsChild>
                                        <w:div w:id="173180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10137">
                                  <w:marLeft w:val="0"/>
                                  <w:marRight w:val="0"/>
                                  <w:marTop w:val="0"/>
                                  <w:marBottom w:val="0"/>
                                  <w:divBdr>
                                    <w:top w:val="none" w:sz="0" w:space="0" w:color="auto"/>
                                    <w:left w:val="none" w:sz="0" w:space="0" w:color="auto"/>
                                    <w:bottom w:val="none" w:sz="0" w:space="0" w:color="auto"/>
                                    <w:right w:val="none" w:sz="0" w:space="0" w:color="auto"/>
                                  </w:divBdr>
                                  <w:divsChild>
                                    <w:div w:id="884292761">
                                      <w:marLeft w:val="0"/>
                                      <w:marRight w:val="0"/>
                                      <w:marTop w:val="0"/>
                                      <w:marBottom w:val="0"/>
                                      <w:divBdr>
                                        <w:top w:val="none" w:sz="0" w:space="0" w:color="auto"/>
                                        <w:left w:val="none" w:sz="0" w:space="0" w:color="auto"/>
                                        <w:bottom w:val="none" w:sz="0" w:space="0" w:color="auto"/>
                                        <w:right w:val="none" w:sz="0" w:space="0" w:color="auto"/>
                                      </w:divBdr>
                                      <w:divsChild>
                                        <w:div w:id="19177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6861136">
          <w:marLeft w:val="0"/>
          <w:marRight w:val="0"/>
          <w:marTop w:val="0"/>
          <w:marBottom w:val="0"/>
          <w:divBdr>
            <w:top w:val="none" w:sz="0" w:space="0" w:color="auto"/>
            <w:left w:val="none" w:sz="0" w:space="0" w:color="auto"/>
            <w:bottom w:val="none" w:sz="0" w:space="0" w:color="auto"/>
            <w:right w:val="none" w:sz="0" w:space="0" w:color="auto"/>
          </w:divBdr>
          <w:divsChild>
            <w:div w:id="1910383656">
              <w:marLeft w:val="0"/>
              <w:marRight w:val="0"/>
              <w:marTop w:val="0"/>
              <w:marBottom w:val="0"/>
              <w:divBdr>
                <w:top w:val="none" w:sz="0" w:space="0" w:color="auto"/>
                <w:left w:val="none" w:sz="0" w:space="0" w:color="auto"/>
                <w:bottom w:val="none" w:sz="0" w:space="0" w:color="auto"/>
                <w:right w:val="none" w:sz="0" w:space="0" w:color="auto"/>
              </w:divBdr>
              <w:divsChild>
                <w:div w:id="1312060510">
                  <w:marLeft w:val="0"/>
                  <w:marRight w:val="0"/>
                  <w:marTop w:val="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00700877">
                          <w:marLeft w:val="0"/>
                          <w:marRight w:val="0"/>
                          <w:marTop w:val="0"/>
                          <w:marBottom w:val="0"/>
                          <w:divBdr>
                            <w:top w:val="none" w:sz="0" w:space="0" w:color="auto"/>
                            <w:left w:val="none" w:sz="0" w:space="0" w:color="auto"/>
                            <w:bottom w:val="none" w:sz="0" w:space="0" w:color="auto"/>
                            <w:right w:val="none" w:sz="0" w:space="0" w:color="auto"/>
                          </w:divBdr>
                          <w:divsChild>
                            <w:div w:id="1483234122">
                              <w:marLeft w:val="0"/>
                              <w:marRight w:val="0"/>
                              <w:marTop w:val="0"/>
                              <w:marBottom w:val="0"/>
                              <w:divBdr>
                                <w:top w:val="none" w:sz="0" w:space="0" w:color="auto"/>
                                <w:left w:val="none" w:sz="0" w:space="0" w:color="auto"/>
                                <w:bottom w:val="none" w:sz="0" w:space="0" w:color="auto"/>
                                <w:right w:val="none" w:sz="0" w:space="0" w:color="auto"/>
                              </w:divBdr>
                              <w:divsChild>
                                <w:div w:id="1020282218">
                                  <w:marLeft w:val="0"/>
                                  <w:marRight w:val="0"/>
                                  <w:marTop w:val="0"/>
                                  <w:marBottom w:val="0"/>
                                  <w:divBdr>
                                    <w:top w:val="none" w:sz="0" w:space="0" w:color="auto"/>
                                    <w:left w:val="none" w:sz="0" w:space="0" w:color="auto"/>
                                    <w:bottom w:val="none" w:sz="0" w:space="0" w:color="auto"/>
                                    <w:right w:val="none" w:sz="0" w:space="0" w:color="auto"/>
                                  </w:divBdr>
                                  <w:divsChild>
                                    <w:div w:id="159078958">
                                      <w:marLeft w:val="0"/>
                                      <w:marRight w:val="0"/>
                                      <w:marTop w:val="0"/>
                                      <w:marBottom w:val="0"/>
                                      <w:divBdr>
                                        <w:top w:val="none" w:sz="0" w:space="0" w:color="auto"/>
                                        <w:left w:val="none" w:sz="0" w:space="0" w:color="auto"/>
                                        <w:bottom w:val="none" w:sz="0" w:space="0" w:color="auto"/>
                                        <w:right w:val="none" w:sz="0" w:space="0" w:color="auto"/>
                                      </w:divBdr>
                                      <w:divsChild>
                                        <w:div w:id="4771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650736">
                                  <w:marLeft w:val="0"/>
                                  <w:marRight w:val="0"/>
                                  <w:marTop w:val="0"/>
                                  <w:marBottom w:val="0"/>
                                  <w:divBdr>
                                    <w:top w:val="none" w:sz="0" w:space="0" w:color="auto"/>
                                    <w:left w:val="none" w:sz="0" w:space="0" w:color="auto"/>
                                    <w:bottom w:val="none" w:sz="0" w:space="0" w:color="auto"/>
                                    <w:right w:val="none" w:sz="0" w:space="0" w:color="auto"/>
                                  </w:divBdr>
                                  <w:divsChild>
                                    <w:div w:id="1877960167">
                                      <w:marLeft w:val="0"/>
                                      <w:marRight w:val="0"/>
                                      <w:marTop w:val="0"/>
                                      <w:marBottom w:val="0"/>
                                      <w:divBdr>
                                        <w:top w:val="none" w:sz="0" w:space="0" w:color="auto"/>
                                        <w:left w:val="none" w:sz="0" w:space="0" w:color="auto"/>
                                        <w:bottom w:val="none" w:sz="0" w:space="0" w:color="auto"/>
                                        <w:right w:val="none" w:sz="0" w:space="0" w:color="auto"/>
                                      </w:divBdr>
                                      <w:divsChild>
                                        <w:div w:id="18652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688791">
      <w:bodyDiv w:val="1"/>
      <w:marLeft w:val="0"/>
      <w:marRight w:val="0"/>
      <w:marTop w:val="0"/>
      <w:marBottom w:val="0"/>
      <w:divBdr>
        <w:top w:val="none" w:sz="0" w:space="0" w:color="auto"/>
        <w:left w:val="none" w:sz="0" w:space="0" w:color="auto"/>
        <w:bottom w:val="none" w:sz="0" w:space="0" w:color="auto"/>
        <w:right w:val="none" w:sz="0" w:space="0" w:color="auto"/>
      </w:divBdr>
    </w:div>
    <w:div w:id="684524503">
      <w:bodyDiv w:val="1"/>
      <w:marLeft w:val="0"/>
      <w:marRight w:val="0"/>
      <w:marTop w:val="0"/>
      <w:marBottom w:val="0"/>
      <w:divBdr>
        <w:top w:val="none" w:sz="0" w:space="0" w:color="auto"/>
        <w:left w:val="none" w:sz="0" w:space="0" w:color="auto"/>
        <w:bottom w:val="none" w:sz="0" w:space="0" w:color="auto"/>
        <w:right w:val="none" w:sz="0" w:space="0" w:color="auto"/>
      </w:divBdr>
    </w:div>
    <w:div w:id="700084557">
      <w:bodyDiv w:val="1"/>
      <w:marLeft w:val="0"/>
      <w:marRight w:val="0"/>
      <w:marTop w:val="0"/>
      <w:marBottom w:val="0"/>
      <w:divBdr>
        <w:top w:val="none" w:sz="0" w:space="0" w:color="auto"/>
        <w:left w:val="none" w:sz="0" w:space="0" w:color="auto"/>
        <w:bottom w:val="none" w:sz="0" w:space="0" w:color="auto"/>
        <w:right w:val="none" w:sz="0" w:space="0" w:color="auto"/>
      </w:divBdr>
    </w:div>
    <w:div w:id="719549555">
      <w:bodyDiv w:val="1"/>
      <w:marLeft w:val="0"/>
      <w:marRight w:val="0"/>
      <w:marTop w:val="0"/>
      <w:marBottom w:val="0"/>
      <w:divBdr>
        <w:top w:val="none" w:sz="0" w:space="0" w:color="auto"/>
        <w:left w:val="none" w:sz="0" w:space="0" w:color="auto"/>
        <w:bottom w:val="none" w:sz="0" w:space="0" w:color="auto"/>
        <w:right w:val="none" w:sz="0" w:space="0" w:color="auto"/>
      </w:divBdr>
    </w:div>
    <w:div w:id="751009383">
      <w:bodyDiv w:val="1"/>
      <w:marLeft w:val="0"/>
      <w:marRight w:val="0"/>
      <w:marTop w:val="0"/>
      <w:marBottom w:val="0"/>
      <w:divBdr>
        <w:top w:val="none" w:sz="0" w:space="0" w:color="auto"/>
        <w:left w:val="none" w:sz="0" w:space="0" w:color="auto"/>
        <w:bottom w:val="none" w:sz="0" w:space="0" w:color="auto"/>
        <w:right w:val="none" w:sz="0" w:space="0" w:color="auto"/>
      </w:divBdr>
    </w:div>
    <w:div w:id="757991019">
      <w:bodyDiv w:val="1"/>
      <w:marLeft w:val="0"/>
      <w:marRight w:val="0"/>
      <w:marTop w:val="0"/>
      <w:marBottom w:val="0"/>
      <w:divBdr>
        <w:top w:val="none" w:sz="0" w:space="0" w:color="auto"/>
        <w:left w:val="none" w:sz="0" w:space="0" w:color="auto"/>
        <w:bottom w:val="none" w:sz="0" w:space="0" w:color="auto"/>
        <w:right w:val="none" w:sz="0" w:space="0" w:color="auto"/>
      </w:divBdr>
    </w:div>
    <w:div w:id="781074244">
      <w:bodyDiv w:val="1"/>
      <w:marLeft w:val="0"/>
      <w:marRight w:val="0"/>
      <w:marTop w:val="0"/>
      <w:marBottom w:val="0"/>
      <w:divBdr>
        <w:top w:val="none" w:sz="0" w:space="0" w:color="auto"/>
        <w:left w:val="none" w:sz="0" w:space="0" w:color="auto"/>
        <w:bottom w:val="none" w:sz="0" w:space="0" w:color="auto"/>
        <w:right w:val="none" w:sz="0" w:space="0" w:color="auto"/>
      </w:divBdr>
    </w:div>
    <w:div w:id="838807618">
      <w:bodyDiv w:val="1"/>
      <w:marLeft w:val="0"/>
      <w:marRight w:val="0"/>
      <w:marTop w:val="0"/>
      <w:marBottom w:val="0"/>
      <w:divBdr>
        <w:top w:val="none" w:sz="0" w:space="0" w:color="auto"/>
        <w:left w:val="none" w:sz="0" w:space="0" w:color="auto"/>
        <w:bottom w:val="none" w:sz="0" w:space="0" w:color="auto"/>
        <w:right w:val="none" w:sz="0" w:space="0" w:color="auto"/>
      </w:divBdr>
    </w:div>
    <w:div w:id="851263160">
      <w:bodyDiv w:val="1"/>
      <w:marLeft w:val="0"/>
      <w:marRight w:val="0"/>
      <w:marTop w:val="0"/>
      <w:marBottom w:val="0"/>
      <w:divBdr>
        <w:top w:val="none" w:sz="0" w:space="0" w:color="auto"/>
        <w:left w:val="none" w:sz="0" w:space="0" w:color="auto"/>
        <w:bottom w:val="none" w:sz="0" w:space="0" w:color="auto"/>
        <w:right w:val="none" w:sz="0" w:space="0" w:color="auto"/>
      </w:divBdr>
    </w:div>
    <w:div w:id="859123733">
      <w:bodyDiv w:val="1"/>
      <w:marLeft w:val="0"/>
      <w:marRight w:val="0"/>
      <w:marTop w:val="0"/>
      <w:marBottom w:val="0"/>
      <w:divBdr>
        <w:top w:val="none" w:sz="0" w:space="0" w:color="auto"/>
        <w:left w:val="none" w:sz="0" w:space="0" w:color="auto"/>
        <w:bottom w:val="none" w:sz="0" w:space="0" w:color="auto"/>
        <w:right w:val="none" w:sz="0" w:space="0" w:color="auto"/>
      </w:divBdr>
    </w:div>
    <w:div w:id="867525457">
      <w:bodyDiv w:val="1"/>
      <w:marLeft w:val="0"/>
      <w:marRight w:val="0"/>
      <w:marTop w:val="0"/>
      <w:marBottom w:val="0"/>
      <w:divBdr>
        <w:top w:val="none" w:sz="0" w:space="0" w:color="auto"/>
        <w:left w:val="none" w:sz="0" w:space="0" w:color="auto"/>
        <w:bottom w:val="none" w:sz="0" w:space="0" w:color="auto"/>
        <w:right w:val="none" w:sz="0" w:space="0" w:color="auto"/>
      </w:divBdr>
    </w:div>
    <w:div w:id="915671252">
      <w:bodyDiv w:val="1"/>
      <w:marLeft w:val="0"/>
      <w:marRight w:val="0"/>
      <w:marTop w:val="0"/>
      <w:marBottom w:val="0"/>
      <w:divBdr>
        <w:top w:val="none" w:sz="0" w:space="0" w:color="auto"/>
        <w:left w:val="none" w:sz="0" w:space="0" w:color="auto"/>
        <w:bottom w:val="none" w:sz="0" w:space="0" w:color="auto"/>
        <w:right w:val="none" w:sz="0" w:space="0" w:color="auto"/>
      </w:divBdr>
    </w:div>
    <w:div w:id="934942661">
      <w:bodyDiv w:val="1"/>
      <w:marLeft w:val="0"/>
      <w:marRight w:val="0"/>
      <w:marTop w:val="0"/>
      <w:marBottom w:val="0"/>
      <w:divBdr>
        <w:top w:val="none" w:sz="0" w:space="0" w:color="auto"/>
        <w:left w:val="none" w:sz="0" w:space="0" w:color="auto"/>
        <w:bottom w:val="none" w:sz="0" w:space="0" w:color="auto"/>
        <w:right w:val="none" w:sz="0" w:space="0" w:color="auto"/>
      </w:divBdr>
    </w:div>
    <w:div w:id="938490869">
      <w:bodyDiv w:val="1"/>
      <w:marLeft w:val="0"/>
      <w:marRight w:val="0"/>
      <w:marTop w:val="0"/>
      <w:marBottom w:val="0"/>
      <w:divBdr>
        <w:top w:val="none" w:sz="0" w:space="0" w:color="auto"/>
        <w:left w:val="none" w:sz="0" w:space="0" w:color="auto"/>
        <w:bottom w:val="none" w:sz="0" w:space="0" w:color="auto"/>
        <w:right w:val="none" w:sz="0" w:space="0" w:color="auto"/>
      </w:divBdr>
    </w:div>
    <w:div w:id="957415745">
      <w:bodyDiv w:val="1"/>
      <w:marLeft w:val="0"/>
      <w:marRight w:val="0"/>
      <w:marTop w:val="0"/>
      <w:marBottom w:val="0"/>
      <w:divBdr>
        <w:top w:val="none" w:sz="0" w:space="0" w:color="auto"/>
        <w:left w:val="none" w:sz="0" w:space="0" w:color="auto"/>
        <w:bottom w:val="none" w:sz="0" w:space="0" w:color="auto"/>
        <w:right w:val="none" w:sz="0" w:space="0" w:color="auto"/>
      </w:divBdr>
    </w:div>
    <w:div w:id="991640172">
      <w:bodyDiv w:val="1"/>
      <w:marLeft w:val="0"/>
      <w:marRight w:val="0"/>
      <w:marTop w:val="0"/>
      <w:marBottom w:val="0"/>
      <w:divBdr>
        <w:top w:val="none" w:sz="0" w:space="0" w:color="auto"/>
        <w:left w:val="none" w:sz="0" w:space="0" w:color="auto"/>
        <w:bottom w:val="none" w:sz="0" w:space="0" w:color="auto"/>
        <w:right w:val="none" w:sz="0" w:space="0" w:color="auto"/>
      </w:divBdr>
    </w:div>
    <w:div w:id="1002077399">
      <w:bodyDiv w:val="1"/>
      <w:marLeft w:val="0"/>
      <w:marRight w:val="0"/>
      <w:marTop w:val="0"/>
      <w:marBottom w:val="0"/>
      <w:divBdr>
        <w:top w:val="none" w:sz="0" w:space="0" w:color="auto"/>
        <w:left w:val="none" w:sz="0" w:space="0" w:color="auto"/>
        <w:bottom w:val="none" w:sz="0" w:space="0" w:color="auto"/>
        <w:right w:val="none" w:sz="0" w:space="0" w:color="auto"/>
      </w:divBdr>
    </w:div>
    <w:div w:id="1008674857">
      <w:bodyDiv w:val="1"/>
      <w:marLeft w:val="0"/>
      <w:marRight w:val="0"/>
      <w:marTop w:val="0"/>
      <w:marBottom w:val="0"/>
      <w:divBdr>
        <w:top w:val="none" w:sz="0" w:space="0" w:color="auto"/>
        <w:left w:val="none" w:sz="0" w:space="0" w:color="auto"/>
        <w:bottom w:val="none" w:sz="0" w:space="0" w:color="auto"/>
        <w:right w:val="none" w:sz="0" w:space="0" w:color="auto"/>
      </w:divBdr>
    </w:div>
    <w:div w:id="1056275030">
      <w:bodyDiv w:val="1"/>
      <w:marLeft w:val="0"/>
      <w:marRight w:val="0"/>
      <w:marTop w:val="0"/>
      <w:marBottom w:val="0"/>
      <w:divBdr>
        <w:top w:val="none" w:sz="0" w:space="0" w:color="auto"/>
        <w:left w:val="none" w:sz="0" w:space="0" w:color="auto"/>
        <w:bottom w:val="none" w:sz="0" w:space="0" w:color="auto"/>
        <w:right w:val="none" w:sz="0" w:space="0" w:color="auto"/>
      </w:divBdr>
    </w:div>
    <w:div w:id="1119371252">
      <w:bodyDiv w:val="1"/>
      <w:marLeft w:val="0"/>
      <w:marRight w:val="0"/>
      <w:marTop w:val="0"/>
      <w:marBottom w:val="0"/>
      <w:divBdr>
        <w:top w:val="none" w:sz="0" w:space="0" w:color="auto"/>
        <w:left w:val="none" w:sz="0" w:space="0" w:color="auto"/>
        <w:bottom w:val="none" w:sz="0" w:space="0" w:color="auto"/>
        <w:right w:val="none" w:sz="0" w:space="0" w:color="auto"/>
      </w:divBdr>
    </w:div>
    <w:div w:id="1122697846">
      <w:bodyDiv w:val="1"/>
      <w:marLeft w:val="0"/>
      <w:marRight w:val="0"/>
      <w:marTop w:val="0"/>
      <w:marBottom w:val="0"/>
      <w:divBdr>
        <w:top w:val="none" w:sz="0" w:space="0" w:color="auto"/>
        <w:left w:val="none" w:sz="0" w:space="0" w:color="auto"/>
        <w:bottom w:val="none" w:sz="0" w:space="0" w:color="auto"/>
        <w:right w:val="none" w:sz="0" w:space="0" w:color="auto"/>
      </w:divBdr>
    </w:div>
    <w:div w:id="1123425691">
      <w:bodyDiv w:val="1"/>
      <w:marLeft w:val="0"/>
      <w:marRight w:val="0"/>
      <w:marTop w:val="0"/>
      <w:marBottom w:val="0"/>
      <w:divBdr>
        <w:top w:val="none" w:sz="0" w:space="0" w:color="auto"/>
        <w:left w:val="none" w:sz="0" w:space="0" w:color="auto"/>
        <w:bottom w:val="none" w:sz="0" w:space="0" w:color="auto"/>
        <w:right w:val="none" w:sz="0" w:space="0" w:color="auto"/>
      </w:divBdr>
    </w:div>
    <w:div w:id="1146509930">
      <w:bodyDiv w:val="1"/>
      <w:marLeft w:val="0"/>
      <w:marRight w:val="0"/>
      <w:marTop w:val="0"/>
      <w:marBottom w:val="0"/>
      <w:divBdr>
        <w:top w:val="none" w:sz="0" w:space="0" w:color="auto"/>
        <w:left w:val="none" w:sz="0" w:space="0" w:color="auto"/>
        <w:bottom w:val="none" w:sz="0" w:space="0" w:color="auto"/>
        <w:right w:val="none" w:sz="0" w:space="0" w:color="auto"/>
      </w:divBdr>
    </w:div>
    <w:div w:id="1153253562">
      <w:bodyDiv w:val="1"/>
      <w:marLeft w:val="0"/>
      <w:marRight w:val="0"/>
      <w:marTop w:val="0"/>
      <w:marBottom w:val="0"/>
      <w:divBdr>
        <w:top w:val="none" w:sz="0" w:space="0" w:color="auto"/>
        <w:left w:val="none" w:sz="0" w:space="0" w:color="auto"/>
        <w:bottom w:val="none" w:sz="0" w:space="0" w:color="auto"/>
        <w:right w:val="none" w:sz="0" w:space="0" w:color="auto"/>
      </w:divBdr>
    </w:div>
    <w:div w:id="1163854464">
      <w:bodyDiv w:val="1"/>
      <w:marLeft w:val="0"/>
      <w:marRight w:val="0"/>
      <w:marTop w:val="0"/>
      <w:marBottom w:val="0"/>
      <w:divBdr>
        <w:top w:val="none" w:sz="0" w:space="0" w:color="auto"/>
        <w:left w:val="none" w:sz="0" w:space="0" w:color="auto"/>
        <w:bottom w:val="none" w:sz="0" w:space="0" w:color="auto"/>
        <w:right w:val="none" w:sz="0" w:space="0" w:color="auto"/>
      </w:divBdr>
    </w:div>
    <w:div w:id="1163854652">
      <w:bodyDiv w:val="1"/>
      <w:marLeft w:val="0"/>
      <w:marRight w:val="0"/>
      <w:marTop w:val="0"/>
      <w:marBottom w:val="0"/>
      <w:divBdr>
        <w:top w:val="none" w:sz="0" w:space="0" w:color="auto"/>
        <w:left w:val="none" w:sz="0" w:space="0" w:color="auto"/>
        <w:bottom w:val="none" w:sz="0" w:space="0" w:color="auto"/>
        <w:right w:val="none" w:sz="0" w:space="0" w:color="auto"/>
      </w:divBdr>
    </w:div>
    <w:div w:id="1171992457">
      <w:bodyDiv w:val="1"/>
      <w:marLeft w:val="0"/>
      <w:marRight w:val="0"/>
      <w:marTop w:val="0"/>
      <w:marBottom w:val="0"/>
      <w:divBdr>
        <w:top w:val="none" w:sz="0" w:space="0" w:color="auto"/>
        <w:left w:val="none" w:sz="0" w:space="0" w:color="auto"/>
        <w:bottom w:val="none" w:sz="0" w:space="0" w:color="auto"/>
        <w:right w:val="none" w:sz="0" w:space="0" w:color="auto"/>
      </w:divBdr>
    </w:div>
    <w:div w:id="1188762086">
      <w:bodyDiv w:val="1"/>
      <w:marLeft w:val="0"/>
      <w:marRight w:val="0"/>
      <w:marTop w:val="0"/>
      <w:marBottom w:val="0"/>
      <w:divBdr>
        <w:top w:val="none" w:sz="0" w:space="0" w:color="auto"/>
        <w:left w:val="none" w:sz="0" w:space="0" w:color="auto"/>
        <w:bottom w:val="none" w:sz="0" w:space="0" w:color="auto"/>
        <w:right w:val="none" w:sz="0" w:space="0" w:color="auto"/>
      </w:divBdr>
    </w:div>
    <w:div w:id="1207986607">
      <w:bodyDiv w:val="1"/>
      <w:marLeft w:val="0"/>
      <w:marRight w:val="0"/>
      <w:marTop w:val="0"/>
      <w:marBottom w:val="0"/>
      <w:divBdr>
        <w:top w:val="none" w:sz="0" w:space="0" w:color="auto"/>
        <w:left w:val="none" w:sz="0" w:space="0" w:color="auto"/>
        <w:bottom w:val="none" w:sz="0" w:space="0" w:color="auto"/>
        <w:right w:val="none" w:sz="0" w:space="0" w:color="auto"/>
      </w:divBdr>
    </w:div>
    <w:div w:id="1218278133">
      <w:bodyDiv w:val="1"/>
      <w:marLeft w:val="0"/>
      <w:marRight w:val="0"/>
      <w:marTop w:val="0"/>
      <w:marBottom w:val="0"/>
      <w:divBdr>
        <w:top w:val="none" w:sz="0" w:space="0" w:color="auto"/>
        <w:left w:val="none" w:sz="0" w:space="0" w:color="auto"/>
        <w:bottom w:val="none" w:sz="0" w:space="0" w:color="auto"/>
        <w:right w:val="none" w:sz="0" w:space="0" w:color="auto"/>
      </w:divBdr>
    </w:div>
    <w:div w:id="1242762265">
      <w:bodyDiv w:val="1"/>
      <w:marLeft w:val="0"/>
      <w:marRight w:val="0"/>
      <w:marTop w:val="0"/>
      <w:marBottom w:val="0"/>
      <w:divBdr>
        <w:top w:val="none" w:sz="0" w:space="0" w:color="auto"/>
        <w:left w:val="none" w:sz="0" w:space="0" w:color="auto"/>
        <w:bottom w:val="none" w:sz="0" w:space="0" w:color="auto"/>
        <w:right w:val="none" w:sz="0" w:space="0" w:color="auto"/>
      </w:divBdr>
    </w:div>
    <w:div w:id="1245647951">
      <w:bodyDiv w:val="1"/>
      <w:marLeft w:val="0"/>
      <w:marRight w:val="0"/>
      <w:marTop w:val="0"/>
      <w:marBottom w:val="0"/>
      <w:divBdr>
        <w:top w:val="none" w:sz="0" w:space="0" w:color="auto"/>
        <w:left w:val="none" w:sz="0" w:space="0" w:color="auto"/>
        <w:bottom w:val="none" w:sz="0" w:space="0" w:color="auto"/>
        <w:right w:val="none" w:sz="0" w:space="0" w:color="auto"/>
      </w:divBdr>
    </w:div>
    <w:div w:id="1252347259">
      <w:bodyDiv w:val="1"/>
      <w:marLeft w:val="0"/>
      <w:marRight w:val="0"/>
      <w:marTop w:val="0"/>
      <w:marBottom w:val="0"/>
      <w:divBdr>
        <w:top w:val="none" w:sz="0" w:space="0" w:color="auto"/>
        <w:left w:val="none" w:sz="0" w:space="0" w:color="auto"/>
        <w:bottom w:val="none" w:sz="0" w:space="0" w:color="auto"/>
        <w:right w:val="none" w:sz="0" w:space="0" w:color="auto"/>
      </w:divBdr>
    </w:div>
    <w:div w:id="1261599582">
      <w:bodyDiv w:val="1"/>
      <w:marLeft w:val="0"/>
      <w:marRight w:val="0"/>
      <w:marTop w:val="0"/>
      <w:marBottom w:val="0"/>
      <w:divBdr>
        <w:top w:val="none" w:sz="0" w:space="0" w:color="auto"/>
        <w:left w:val="none" w:sz="0" w:space="0" w:color="auto"/>
        <w:bottom w:val="none" w:sz="0" w:space="0" w:color="auto"/>
        <w:right w:val="none" w:sz="0" w:space="0" w:color="auto"/>
      </w:divBdr>
    </w:div>
    <w:div w:id="1348100646">
      <w:bodyDiv w:val="1"/>
      <w:marLeft w:val="0"/>
      <w:marRight w:val="0"/>
      <w:marTop w:val="0"/>
      <w:marBottom w:val="0"/>
      <w:divBdr>
        <w:top w:val="none" w:sz="0" w:space="0" w:color="auto"/>
        <w:left w:val="none" w:sz="0" w:space="0" w:color="auto"/>
        <w:bottom w:val="none" w:sz="0" w:space="0" w:color="auto"/>
        <w:right w:val="none" w:sz="0" w:space="0" w:color="auto"/>
      </w:divBdr>
    </w:div>
    <w:div w:id="1350642888">
      <w:bodyDiv w:val="1"/>
      <w:marLeft w:val="0"/>
      <w:marRight w:val="0"/>
      <w:marTop w:val="0"/>
      <w:marBottom w:val="0"/>
      <w:divBdr>
        <w:top w:val="none" w:sz="0" w:space="0" w:color="auto"/>
        <w:left w:val="none" w:sz="0" w:space="0" w:color="auto"/>
        <w:bottom w:val="none" w:sz="0" w:space="0" w:color="auto"/>
        <w:right w:val="none" w:sz="0" w:space="0" w:color="auto"/>
      </w:divBdr>
    </w:div>
    <w:div w:id="1378778593">
      <w:bodyDiv w:val="1"/>
      <w:marLeft w:val="0"/>
      <w:marRight w:val="0"/>
      <w:marTop w:val="0"/>
      <w:marBottom w:val="0"/>
      <w:divBdr>
        <w:top w:val="none" w:sz="0" w:space="0" w:color="auto"/>
        <w:left w:val="none" w:sz="0" w:space="0" w:color="auto"/>
        <w:bottom w:val="none" w:sz="0" w:space="0" w:color="auto"/>
        <w:right w:val="none" w:sz="0" w:space="0" w:color="auto"/>
      </w:divBdr>
    </w:div>
    <w:div w:id="1384133750">
      <w:bodyDiv w:val="1"/>
      <w:marLeft w:val="0"/>
      <w:marRight w:val="0"/>
      <w:marTop w:val="0"/>
      <w:marBottom w:val="0"/>
      <w:divBdr>
        <w:top w:val="none" w:sz="0" w:space="0" w:color="auto"/>
        <w:left w:val="none" w:sz="0" w:space="0" w:color="auto"/>
        <w:bottom w:val="none" w:sz="0" w:space="0" w:color="auto"/>
        <w:right w:val="none" w:sz="0" w:space="0" w:color="auto"/>
      </w:divBdr>
    </w:div>
    <w:div w:id="1389960044">
      <w:bodyDiv w:val="1"/>
      <w:marLeft w:val="0"/>
      <w:marRight w:val="0"/>
      <w:marTop w:val="0"/>
      <w:marBottom w:val="0"/>
      <w:divBdr>
        <w:top w:val="none" w:sz="0" w:space="0" w:color="auto"/>
        <w:left w:val="none" w:sz="0" w:space="0" w:color="auto"/>
        <w:bottom w:val="none" w:sz="0" w:space="0" w:color="auto"/>
        <w:right w:val="none" w:sz="0" w:space="0" w:color="auto"/>
      </w:divBdr>
    </w:div>
    <w:div w:id="1393887792">
      <w:bodyDiv w:val="1"/>
      <w:marLeft w:val="0"/>
      <w:marRight w:val="0"/>
      <w:marTop w:val="0"/>
      <w:marBottom w:val="0"/>
      <w:divBdr>
        <w:top w:val="none" w:sz="0" w:space="0" w:color="auto"/>
        <w:left w:val="none" w:sz="0" w:space="0" w:color="auto"/>
        <w:bottom w:val="none" w:sz="0" w:space="0" w:color="auto"/>
        <w:right w:val="none" w:sz="0" w:space="0" w:color="auto"/>
      </w:divBdr>
    </w:div>
    <w:div w:id="1397971138">
      <w:bodyDiv w:val="1"/>
      <w:marLeft w:val="0"/>
      <w:marRight w:val="0"/>
      <w:marTop w:val="0"/>
      <w:marBottom w:val="0"/>
      <w:divBdr>
        <w:top w:val="none" w:sz="0" w:space="0" w:color="auto"/>
        <w:left w:val="none" w:sz="0" w:space="0" w:color="auto"/>
        <w:bottom w:val="none" w:sz="0" w:space="0" w:color="auto"/>
        <w:right w:val="none" w:sz="0" w:space="0" w:color="auto"/>
      </w:divBdr>
    </w:div>
    <w:div w:id="1430463225">
      <w:bodyDiv w:val="1"/>
      <w:marLeft w:val="0"/>
      <w:marRight w:val="0"/>
      <w:marTop w:val="0"/>
      <w:marBottom w:val="0"/>
      <w:divBdr>
        <w:top w:val="none" w:sz="0" w:space="0" w:color="auto"/>
        <w:left w:val="none" w:sz="0" w:space="0" w:color="auto"/>
        <w:bottom w:val="none" w:sz="0" w:space="0" w:color="auto"/>
        <w:right w:val="none" w:sz="0" w:space="0" w:color="auto"/>
      </w:divBdr>
    </w:div>
    <w:div w:id="1442140679">
      <w:bodyDiv w:val="1"/>
      <w:marLeft w:val="0"/>
      <w:marRight w:val="0"/>
      <w:marTop w:val="0"/>
      <w:marBottom w:val="0"/>
      <w:divBdr>
        <w:top w:val="none" w:sz="0" w:space="0" w:color="auto"/>
        <w:left w:val="none" w:sz="0" w:space="0" w:color="auto"/>
        <w:bottom w:val="none" w:sz="0" w:space="0" w:color="auto"/>
        <w:right w:val="none" w:sz="0" w:space="0" w:color="auto"/>
      </w:divBdr>
    </w:div>
    <w:div w:id="1442217056">
      <w:bodyDiv w:val="1"/>
      <w:marLeft w:val="0"/>
      <w:marRight w:val="0"/>
      <w:marTop w:val="0"/>
      <w:marBottom w:val="0"/>
      <w:divBdr>
        <w:top w:val="none" w:sz="0" w:space="0" w:color="auto"/>
        <w:left w:val="none" w:sz="0" w:space="0" w:color="auto"/>
        <w:bottom w:val="none" w:sz="0" w:space="0" w:color="auto"/>
        <w:right w:val="none" w:sz="0" w:space="0" w:color="auto"/>
      </w:divBdr>
    </w:div>
    <w:div w:id="1446121249">
      <w:bodyDiv w:val="1"/>
      <w:marLeft w:val="0"/>
      <w:marRight w:val="0"/>
      <w:marTop w:val="0"/>
      <w:marBottom w:val="0"/>
      <w:divBdr>
        <w:top w:val="none" w:sz="0" w:space="0" w:color="auto"/>
        <w:left w:val="none" w:sz="0" w:space="0" w:color="auto"/>
        <w:bottom w:val="none" w:sz="0" w:space="0" w:color="auto"/>
        <w:right w:val="none" w:sz="0" w:space="0" w:color="auto"/>
      </w:divBdr>
    </w:div>
    <w:div w:id="1446847966">
      <w:bodyDiv w:val="1"/>
      <w:marLeft w:val="0"/>
      <w:marRight w:val="0"/>
      <w:marTop w:val="0"/>
      <w:marBottom w:val="0"/>
      <w:divBdr>
        <w:top w:val="none" w:sz="0" w:space="0" w:color="auto"/>
        <w:left w:val="none" w:sz="0" w:space="0" w:color="auto"/>
        <w:bottom w:val="none" w:sz="0" w:space="0" w:color="auto"/>
        <w:right w:val="none" w:sz="0" w:space="0" w:color="auto"/>
      </w:divBdr>
    </w:div>
    <w:div w:id="1448086071">
      <w:bodyDiv w:val="1"/>
      <w:marLeft w:val="0"/>
      <w:marRight w:val="0"/>
      <w:marTop w:val="0"/>
      <w:marBottom w:val="0"/>
      <w:divBdr>
        <w:top w:val="none" w:sz="0" w:space="0" w:color="auto"/>
        <w:left w:val="none" w:sz="0" w:space="0" w:color="auto"/>
        <w:bottom w:val="none" w:sz="0" w:space="0" w:color="auto"/>
        <w:right w:val="none" w:sz="0" w:space="0" w:color="auto"/>
      </w:divBdr>
    </w:div>
    <w:div w:id="1453674516">
      <w:bodyDiv w:val="1"/>
      <w:marLeft w:val="0"/>
      <w:marRight w:val="0"/>
      <w:marTop w:val="0"/>
      <w:marBottom w:val="0"/>
      <w:divBdr>
        <w:top w:val="none" w:sz="0" w:space="0" w:color="auto"/>
        <w:left w:val="none" w:sz="0" w:space="0" w:color="auto"/>
        <w:bottom w:val="none" w:sz="0" w:space="0" w:color="auto"/>
        <w:right w:val="none" w:sz="0" w:space="0" w:color="auto"/>
      </w:divBdr>
    </w:div>
    <w:div w:id="1468545235">
      <w:bodyDiv w:val="1"/>
      <w:marLeft w:val="0"/>
      <w:marRight w:val="0"/>
      <w:marTop w:val="0"/>
      <w:marBottom w:val="0"/>
      <w:divBdr>
        <w:top w:val="none" w:sz="0" w:space="0" w:color="auto"/>
        <w:left w:val="none" w:sz="0" w:space="0" w:color="auto"/>
        <w:bottom w:val="none" w:sz="0" w:space="0" w:color="auto"/>
        <w:right w:val="none" w:sz="0" w:space="0" w:color="auto"/>
      </w:divBdr>
    </w:div>
    <w:div w:id="1476216636">
      <w:bodyDiv w:val="1"/>
      <w:marLeft w:val="0"/>
      <w:marRight w:val="0"/>
      <w:marTop w:val="0"/>
      <w:marBottom w:val="0"/>
      <w:divBdr>
        <w:top w:val="none" w:sz="0" w:space="0" w:color="auto"/>
        <w:left w:val="none" w:sz="0" w:space="0" w:color="auto"/>
        <w:bottom w:val="none" w:sz="0" w:space="0" w:color="auto"/>
        <w:right w:val="none" w:sz="0" w:space="0" w:color="auto"/>
      </w:divBdr>
    </w:div>
    <w:div w:id="1514108118">
      <w:bodyDiv w:val="1"/>
      <w:marLeft w:val="0"/>
      <w:marRight w:val="0"/>
      <w:marTop w:val="0"/>
      <w:marBottom w:val="0"/>
      <w:divBdr>
        <w:top w:val="none" w:sz="0" w:space="0" w:color="auto"/>
        <w:left w:val="none" w:sz="0" w:space="0" w:color="auto"/>
        <w:bottom w:val="none" w:sz="0" w:space="0" w:color="auto"/>
        <w:right w:val="none" w:sz="0" w:space="0" w:color="auto"/>
      </w:divBdr>
    </w:div>
    <w:div w:id="1515879125">
      <w:bodyDiv w:val="1"/>
      <w:marLeft w:val="0"/>
      <w:marRight w:val="0"/>
      <w:marTop w:val="0"/>
      <w:marBottom w:val="0"/>
      <w:divBdr>
        <w:top w:val="none" w:sz="0" w:space="0" w:color="auto"/>
        <w:left w:val="none" w:sz="0" w:space="0" w:color="auto"/>
        <w:bottom w:val="none" w:sz="0" w:space="0" w:color="auto"/>
        <w:right w:val="none" w:sz="0" w:space="0" w:color="auto"/>
      </w:divBdr>
    </w:div>
    <w:div w:id="1553468697">
      <w:bodyDiv w:val="1"/>
      <w:marLeft w:val="0"/>
      <w:marRight w:val="0"/>
      <w:marTop w:val="0"/>
      <w:marBottom w:val="0"/>
      <w:divBdr>
        <w:top w:val="none" w:sz="0" w:space="0" w:color="auto"/>
        <w:left w:val="none" w:sz="0" w:space="0" w:color="auto"/>
        <w:bottom w:val="none" w:sz="0" w:space="0" w:color="auto"/>
        <w:right w:val="none" w:sz="0" w:space="0" w:color="auto"/>
      </w:divBdr>
    </w:div>
    <w:div w:id="1564676503">
      <w:bodyDiv w:val="1"/>
      <w:marLeft w:val="0"/>
      <w:marRight w:val="0"/>
      <w:marTop w:val="0"/>
      <w:marBottom w:val="0"/>
      <w:divBdr>
        <w:top w:val="none" w:sz="0" w:space="0" w:color="auto"/>
        <w:left w:val="none" w:sz="0" w:space="0" w:color="auto"/>
        <w:bottom w:val="none" w:sz="0" w:space="0" w:color="auto"/>
        <w:right w:val="none" w:sz="0" w:space="0" w:color="auto"/>
      </w:divBdr>
    </w:div>
    <w:div w:id="1565094196">
      <w:bodyDiv w:val="1"/>
      <w:marLeft w:val="0"/>
      <w:marRight w:val="0"/>
      <w:marTop w:val="0"/>
      <w:marBottom w:val="0"/>
      <w:divBdr>
        <w:top w:val="none" w:sz="0" w:space="0" w:color="auto"/>
        <w:left w:val="none" w:sz="0" w:space="0" w:color="auto"/>
        <w:bottom w:val="none" w:sz="0" w:space="0" w:color="auto"/>
        <w:right w:val="none" w:sz="0" w:space="0" w:color="auto"/>
      </w:divBdr>
    </w:div>
    <w:div w:id="1612397840">
      <w:bodyDiv w:val="1"/>
      <w:marLeft w:val="0"/>
      <w:marRight w:val="0"/>
      <w:marTop w:val="0"/>
      <w:marBottom w:val="0"/>
      <w:divBdr>
        <w:top w:val="none" w:sz="0" w:space="0" w:color="auto"/>
        <w:left w:val="none" w:sz="0" w:space="0" w:color="auto"/>
        <w:bottom w:val="none" w:sz="0" w:space="0" w:color="auto"/>
        <w:right w:val="none" w:sz="0" w:space="0" w:color="auto"/>
      </w:divBdr>
    </w:div>
    <w:div w:id="1615987620">
      <w:bodyDiv w:val="1"/>
      <w:marLeft w:val="0"/>
      <w:marRight w:val="0"/>
      <w:marTop w:val="0"/>
      <w:marBottom w:val="0"/>
      <w:divBdr>
        <w:top w:val="none" w:sz="0" w:space="0" w:color="auto"/>
        <w:left w:val="none" w:sz="0" w:space="0" w:color="auto"/>
        <w:bottom w:val="none" w:sz="0" w:space="0" w:color="auto"/>
        <w:right w:val="none" w:sz="0" w:space="0" w:color="auto"/>
      </w:divBdr>
    </w:div>
    <w:div w:id="1643999135">
      <w:bodyDiv w:val="1"/>
      <w:marLeft w:val="0"/>
      <w:marRight w:val="0"/>
      <w:marTop w:val="0"/>
      <w:marBottom w:val="0"/>
      <w:divBdr>
        <w:top w:val="none" w:sz="0" w:space="0" w:color="auto"/>
        <w:left w:val="none" w:sz="0" w:space="0" w:color="auto"/>
        <w:bottom w:val="none" w:sz="0" w:space="0" w:color="auto"/>
        <w:right w:val="none" w:sz="0" w:space="0" w:color="auto"/>
      </w:divBdr>
      <w:divsChild>
        <w:div w:id="324749567">
          <w:marLeft w:val="0"/>
          <w:marRight w:val="0"/>
          <w:marTop w:val="0"/>
          <w:marBottom w:val="0"/>
          <w:divBdr>
            <w:top w:val="none" w:sz="0" w:space="0" w:color="auto"/>
            <w:left w:val="none" w:sz="0" w:space="0" w:color="auto"/>
            <w:bottom w:val="none" w:sz="0" w:space="0" w:color="auto"/>
            <w:right w:val="none" w:sz="0" w:space="0" w:color="auto"/>
          </w:divBdr>
          <w:divsChild>
            <w:div w:id="1892618665">
              <w:marLeft w:val="0"/>
              <w:marRight w:val="0"/>
              <w:marTop w:val="0"/>
              <w:marBottom w:val="0"/>
              <w:divBdr>
                <w:top w:val="none" w:sz="0" w:space="0" w:color="auto"/>
                <w:left w:val="none" w:sz="0" w:space="0" w:color="auto"/>
                <w:bottom w:val="none" w:sz="0" w:space="0" w:color="auto"/>
                <w:right w:val="none" w:sz="0" w:space="0" w:color="auto"/>
              </w:divBdr>
              <w:divsChild>
                <w:div w:id="99423677">
                  <w:marLeft w:val="0"/>
                  <w:marRight w:val="0"/>
                  <w:marTop w:val="0"/>
                  <w:marBottom w:val="0"/>
                  <w:divBdr>
                    <w:top w:val="none" w:sz="0" w:space="0" w:color="auto"/>
                    <w:left w:val="none" w:sz="0" w:space="0" w:color="auto"/>
                    <w:bottom w:val="none" w:sz="0" w:space="0" w:color="auto"/>
                    <w:right w:val="none" w:sz="0" w:space="0" w:color="auto"/>
                  </w:divBdr>
                  <w:divsChild>
                    <w:div w:id="604001780">
                      <w:marLeft w:val="0"/>
                      <w:marRight w:val="0"/>
                      <w:marTop w:val="0"/>
                      <w:marBottom w:val="0"/>
                      <w:divBdr>
                        <w:top w:val="none" w:sz="0" w:space="0" w:color="auto"/>
                        <w:left w:val="none" w:sz="0" w:space="0" w:color="auto"/>
                        <w:bottom w:val="none" w:sz="0" w:space="0" w:color="auto"/>
                        <w:right w:val="none" w:sz="0" w:space="0" w:color="auto"/>
                      </w:divBdr>
                      <w:divsChild>
                        <w:div w:id="1721976027">
                          <w:marLeft w:val="0"/>
                          <w:marRight w:val="0"/>
                          <w:marTop w:val="0"/>
                          <w:marBottom w:val="0"/>
                          <w:divBdr>
                            <w:top w:val="none" w:sz="0" w:space="0" w:color="auto"/>
                            <w:left w:val="none" w:sz="0" w:space="0" w:color="auto"/>
                            <w:bottom w:val="none" w:sz="0" w:space="0" w:color="auto"/>
                            <w:right w:val="none" w:sz="0" w:space="0" w:color="auto"/>
                          </w:divBdr>
                          <w:divsChild>
                            <w:div w:id="1764260331">
                              <w:marLeft w:val="0"/>
                              <w:marRight w:val="0"/>
                              <w:marTop w:val="0"/>
                              <w:marBottom w:val="0"/>
                              <w:divBdr>
                                <w:top w:val="none" w:sz="0" w:space="0" w:color="auto"/>
                                <w:left w:val="none" w:sz="0" w:space="0" w:color="auto"/>
                                <w:bottom w:val="none" w:sz="0" w:space="0" w:color="auto"/>
                                <w:right w:val="none" w:sz="0" w:space="0" w:color="auto"/>
                              </w:divBdr>
                              <w:divsChild>
                                <w:div w:id="615139225">
                                  <w:marLeft w:val="0"/>
                                  <w:marRight w:val="0"/>
                                  <w:marTop w:val="0"/>
                                  <w:marBottom w:val="0"/>
                                  <w:divBdr>
                                    <w:top w:val="none" w:sz="0" w:space="0" w:color="auto"/>
                                    <w:left w:val="none" w:sz="0" w:space="0" w:color="auto"/>
                                    <w:bottom w:val="none" w:sz="0" w:space="0" w:color="auto"/>
                                    <w:right w:val="none" w:sz="0" w:space="0" w:color="auto"/>
                                  </w:divBdr>
                                  <w:divsChild>
                                    <w:div w:id="693457937">
                                      <w:marLeft w:val="0"/>
                                      <w:marRight w:val="0"/>
                                      <w:marTop w:val="0"/>
                                      <w:marBottom w:val="0"/>
                                      <w:divBdr>
                                        <w:top w:val="none" w:sz="0" w:space="0" w:color="auto"/>
                                        <w:left w:val="none" w:sz="0" w:space="0" w:color="auto"/>
                                        <w:bottom w:val="none" w:sz="0" w:space="0" w:color="auto"/>
                                        <w:right w:val="none" w:sz="0" w:space="0" w:color="auto"/>
                                      </w:divBdr>
                                      <w:divsChild>
                                        <w:div w:id="11318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2828">
                                  <w:marLeft w:val="0"/>
                                  <w:marRight w:val="0"/>
                                  <w:marTop w:val="0"/>
                                  <w:marBottom w:val="0"/>
                                  <w:divBdr>
                                    <w:top w:val="none" w:sz="0" w:space="0" w:color="auto"/>
                                    <w:left w:val="none" w:sz="0" w:space="0" w:color="auto"/>
                                    <w:bottom w:val="none" w:sz="0" w:space="0" w:color="auto"/>
                                    <w:right w:val="none" w:sz="0" w:space="0" w:color="auto"/>
                                  </w:divBdr>
                                  <w:divsChild>
                                    <w:div w:id="397095212">
                                      <w:marLeft w:val="0"/>
                                      <w:marRight w:val="0"/>
                                      <w:marTop w:val="0"/>
                                      <w:marBottom w:val="0"/>
                                      <w:divBdr>
                                        <w:top w:val="none" w:sz="0" w:space="0" w:color="auto"/>
                                        <w:left w:val="none" w:sz="0" w:space="0" w:color="auto"/>
                                        <w:bottom w:val="none" w:sz="0" w:space="0" w:color="auto"/>
                                        <w:right w:val="none" w:sz="0" w:space="0" w:color="auto"/>
                                      </w:divBdr>
                                      <w:divsChild>
                                        <w:div w:id="200173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523703">
          <w:marLeft w:val="0"/>
          <w:marRight w:val="0"/>
          <w:marTop w:val="0"/>
          <w:marBottom w:val="0"/>
          <w:divBdr>
            <w:top w:val="none" w:sz="0" w:space="0" w:color="auto"/>
            <w:left w:val="none" w:sz="0" w:space="0" w:color="auto"/>
            <w:bottom w:val="none" w:sz="0" w:space="0" w:color="auto"/>
            <w:right w:val="none" w:sz="0" w:space="0" w:color="auto"/>
          </w:divBdr>
          <w:divsChild>
            <w:div w:id="120537914">
              <w:marLeft w:val="0"/>
              <w:marRight w:val="0"/>
              <w:marTop w:val="0"/>
              <w:marBottom w:val="0"/>
              <w:divBdr>
                <w:top w:val="none" w:sz="0" w:space="0" w:color="auto"/>
                <w:left w:val="none" w:sz="0" w:space="0" w:color="auto"/>
                <w:bottom w:val="none" w:sz="0" w:space="0" w:color="auto"/>
                <w:right w:val="none" w:sz="0" w:space="0" w:color="auto"/>
              </w:divBdr>
              <w:divsChild>
                <w:div w:id="1200581476">
                  <w:marLeft w:val="0"/>
                  <w:marRight w:val="0"/>
                  <w:marTop w:val="0"/>
                  <w:marBottom w:val="0"/>
                  <w:divBdr>
                    <w:top w:val="none" w:sz="0" w:space="0" w:color="auto"/>
                    <w:left w:val="none" w:sz="0" w:space="0" w:color="auto"/>
                    <w:bottom w:val="none" w:sz="0" w:space="0" w:color="auto"/>
                    <w:right w:val="none" w:sz="0" w:space="0" w:color="auto"/>
                  </w:divBdr>
                  <w:divsChild>
                    <w:div w:id="1256478524">
                      <w:marLeft w:val="0"/>
                      <w:marRight w:val="0"/>
                      <w:marTop w:val="0"/>
                      <w:marBottom w:val="0"/>
                      <w:divBdr>
                        <w:top w:val="none" w:sz="0" w:space="0" w:color="auto"/>
                        <w:left w:val="none" w:sz="0" w:space="0" w:color="auto"/>
                        <w:bottom w:val="none" w:sz="0" w:space="0" w:color="auto"/>
                        <w:right w:val="none" w:sz="0" w:space="0" w:color="auto"/>
                      </w:divBdr>
                      <w:divsChild>
                        <w:div w:id="176820864">
                          <w:marLeft w:val="0"/>
                          <w:marRight w:val="0"/>
                          <w:marTop w:val="0"/>
                          <w:marBottom w:val="0"/>
                          <w:divBdr>
                            <w:top w:val="none" w:sz="0" w:space="0" w:color="auto"/>
                            <w:left w:val="none" w:sz="0" w:space="0" w:color="auto"/>
                            <w:bottom w:val="none" w:sz="0" w:space="0" w:color="auto"/>
                            <w:right w:val="none" w:sz="0" w:space="0" w:color="auto"/>
                          </w:divBdr>
                          <w:divsChild>
                            <w:div w:id="535898075">
                              <w:marLeft w:val="0"/>
                              <w:marRight w:val="0"/>
                              <w:marTop w:val="0"/>
                              <w:marBottom w:val="0"/>
                              <w:divBdr>
                                <w:top w:val="none" w:sz="0" w:space="0" w:color="auto"/>
                                <w:left w:val="none" w:sz="0" w:space="0" w:color="auto"/>
                                <w:bottom w:val="none" w:sz="0" w:space="0" w:color="auto"/>
                                <w:right w:val="none" w:sz="0" w:space="0" w:color="auto"/>
                              </w:divBdr>
                              <w:divsChild>
                                <w:div w:id="746876507">
                                  <w:marLeft w:val="0"/>
                                  <w:marRight w:val="0"/>
                                  <w:marTop w:val="0"/>
                                  <w:marBottom w:val="0"/>
                                  <w:divBdr>
                                    <w:top w:val="none" w:sz="0" w:space="0" w:color="auto"/>
                                    <w:left w:val="none" w:sz="0" w:space="0" w:color="auto"/>
                                    <w:bottom w:val="none" w:sz="0" w:space="0" w:color="auto"/>
                                    <w:right w:val="none" w:sz="0" w:space="0" w:color="auto"/>
                                  </w:divBdr>
                                  <w:divsChild>
                                    <w:div w:id="1891918682">
                                      <w:marLeft w:val="0"/>
                                      <w:marRight w:val="0"/>
                                      <w:marTop w:val="0"/>
                                      <w:marBottom w:val="0"/>
                                      <w:divBdr>
                                        <w:top w:val="none" w:sz="0" w:space="0" w:color="auto"/>
                                        <w:left w:val="none" w:sz="0" w:space="0" w:color="auto"/>
                                        <w:bottom w:val="none" w:sz="0" w:space="0" w:color="auto"/>
                                        <w:right w:val="none" w:sz="0" w:space="0" w:color="auto"/>
                                      </w:divBdr>
                                      <w:divsChild>
                                        <w:div w:id="138078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876541">
                                  <w:marLeft w:val="0"/>
                                  <w:marRight w:val="0"/>
                                  <w:marTop w:val="0"/>
                                  <w:marBottom w:val="0"/>
                                  <w:divBdr>
                                    <w:top w:val="none" w:sz="0" w:space="0" w:color="auto"/>
                                    <w:left w:val="none" w:sz="0" w:space="0" w:color="auto"/>
                                    <w:bottom w:val="none" w:sz="0" w:space="0" w:color="auto"/>
                                    <w:right w:val="none" w:sz="0" w:space="0" w:color="auto"/>
                                  </w:divBdr>
                                  <w:divsChild>
                                    <w:div w:id="1732801714">
                                      <w:marLeft w:val="0"/>
                                      <w:marRight w:val="0"/>
                                      <w:marTop w:val="0"/>
                                      <w:marBottom w:val="0"/>
                                      <w:divBdr>
                                        <w:top w:val="none" w:sz="0" w:space="0" w:color="auto"/>
                                        <w:left w:val="none" w:sz="0" w:space="0" w:color="auto"/>
                                        <w:bottom w:val="none" w:sz="0" w:space="0" w:color="auto"/>
                                        <w:right w:val="none" w:sz="0" w:space="0" w:color="auto"/>
                                      </w:divBdr>
                                      <w:divsChild>
                                        <w:div w:id="113155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734619">
      <w:bodyDiv w:val="1"/>
      <w:marLeft w:val="0"/>
      <w:marRight w:val="0"/>
      <w:marTop w:val="0"/>
      <w:marBottom w:val="0"/>
      <w:divBdr>
        <w:top w:val="none" w:sz="0" w:space="0" w:color="auto"/>
        <w:left w:val="none" w:sz="0" w:space="0" w:color="auto"/>
        <w:bottom w:val="none" w:sz="0" w:space="0" w:color="auto"/>
        <w:right w:val="none" w:sz="0" w:space="0" w:color="auto"/>
      </w:divBdr>
    </w:div>
    <w:div w:id="1704788740">
      <w:bodyDiv w:val="1"/>
      <w:marLeft w:val="0"/>
      <w:marRight w:val="0"/>
      <w:marTop w:val="0"/>
      <w:marBottom w:val="0"/>
      <w:divBdr>
        <w:top w:val="none" w:sz="0" w:space="0" w:color="auto"/>
        <w:left w:val="none" w:sz="0" w:space="0" w:color="auto"/>
        <w:bottom w:val="none" w:sz="0" w:space="0" w:color="auto"/>
        <w:right w:val="none" w:sz="0" w:space="0" w:color="auto"/>
      </w:divBdr>
    </w:div>
    <w:div w:id="1730373522">
      <w:bodyDiv w:val="1"/>
      <w:marLeft w:val="0"/>
      <w:marRight w:val="0"/>
      <w:marTop w:val="0"/>
      <w:marBottom w:val="0"/>
      <w:divBdr>
        <w:top w:val="none" w:sz="0" w:space="0" w:color="auto"/>
        <w:left w:val="none" w:sz="0" w:space="0" w:color="auto"/>
        <w:bottom w:val="none" w:sz="0" w:space="0" w:color="auto"/>
        <w:right w:val="none" w:sz="0" w:space="0" w:color="auto"/>
      </w:divBdr>
    </w:div>
    <w:div w:id="1740246694">
      <w:bodyDiv w:val="1"/>
      <w:marLeft w:val="0"/>
      <w:marRight w:val="0"/>
      <w:marTop w:val="0"/>
      <w:marBottom w:val="0"/>
      <w:divBdr>
        <w:top w:val="none" w:sz="0" w:space="0" w:color="auto"/>
        <w:left w:val="none" w:sz="0" w:space="0" w:color="auto"/>
        <w:bottom w:val="none" w:sz="0" w:space="0" w:color="auto"/>
        <w:right w:val="none" w:sz="0" w:space="0" w:color="auto"/>
      </w:divBdr>
    </w:div>
    <w:div w:id="1741633572">
      <w:bodyDiv w:val="1"/>
      <w:marLeft w:val="0"/>
      <w:marRight w:val="0"/>
      <w:marTop w:val="0"/>
      <w:marBottom w:val="0"/>
      <w:divBdr>
        <w:top w:val="none" w:sz="0" w:space="0" w:color="auto"/>
        <w:left w:val="none" w:sz="0" w:space="0" w:color="auto"/>
        <w:bottom w:val="none" w:sz="0" w:space="0" w:color="auto"/>
        <w:right w:val="none" w:sz="0" w:space="0" w:color="auto"/>
      </w:divBdr>
    </w:div>
    <w:div w:id="1749956680">
      <w:bodyDiv w:val="1"/>
      <w:marLeft w:val="0"/>
      <w:marRight w:val="0"/>
      <w:marTop w:val="0"/>
      <w:marBottom w:val="0"/>
      <w:divBdr>
        <w:top w:val="none" w:sz="0" w:space="0" w:color="auto"/>
        <w:left w:val="none" w:sz="0" w:space="0" w:color="auto"/>
        <w:bottom w:val="none" w:sz="0" w:space="0" w:color="auto"/>
        <w:right w:val="none" w:sz="0" w:space="0" w:color="auto"/>
      </w:divBdr>
    </w:div>
    <w:div w:id="1813207345">
      <w:bodyDiv w:val="1"/>
      <w:marLeft w:val="0"/>
      <w:marRight w:val="0"/>
      <w:marTop w:val="0"/>
      <w:marBottom w:val="0"/>
      <w:divBdr>
        <w:top w:val="none" w:sz="0" w:space="0" w:color="auto"/>
        <w:left w:val="none" w:sz="0" w:space="0" w:color="auto"/>
        <w:bottom w:val="none" w:sz="0" w:space="0" w:color="auto"/>
        <w:right w:val="none" w:sz="0" w:space="0" w:color="auto"/>
      </w:divBdr>
    </w:div>
    <w:div w:id="1823933507">
      <w:bodyDiv w:val="1"/>
      <w:marLeft w:val="0"/>
      <w:marRight w:val="0"/>
      <w:marTop w:val="0"/>
      <w:marBottom w:val="0"/>
      <w:divBdr>
        <w:top w:val="none" w:sz="0" w:space="0" w:color="auto"/>
        <w:left w:val="none" w:sz="0" w:space="0" w:color="auto"/>
        <w:bottom w:val="none" w:sz="0" w:space="0" w:color="auto"/>
        <w:right w:val="none" w:sz="0" w:space="0" w:color="auto"/>
      </w:divBdr>
    </w:div>
    <w:div w:id="1824203517">
      <w:bodyDiv w:val="1"/>
      <w:marLeft w:val="0"/>
      <w:marRight w:val="0"/>
      <w:marTop w:val="0"/>
      <w:marBottom w:val="0"/>
      <w:divBdr>
        <w:top w:val="none" w:sz="0" w:space="0" w:color="auto"/>
        <w:left w:val="none" w:sz="0" w:space="0" w:color="auto"/>
        <w:bottom w:val="none" w:sz="0" w:space="0" w:color="auto"/>
        <w:right w:val="none" w:sz="0" w:space="0" w:color="auto"/>
      </w:divBdr>
    </w:div>
    <w:div w:id="1882473267">
      <w:bodyDiv w:val="1"/>
      <w:marLeft w:val="0"/>
      <w:marRight w:val="0"/>
      <w:marTop w:val="0"/>
      <w:marBottom w:val="0"/>
      <w:divBdr>
        <w:top w:val="none" w:sz="0" w:space="0" w:color="auto"/>
        <w:left w:val="none" w:sz="0" w:space="0" w:color="auto"/>
        <w:bottom w:val="none" w:sz="0" w:space="0" w:color="auto"/>
        <w:right w:val="none" w:sz="0" w:space="0" w:color="auto"/>
      </w:divBdr>
    </w:div>
    <w:div w:id="1962346799">
      <w:bodyDiv w:val="1"/>
      <w:marLeft w:val="0"/>
      <w:marRight w:val="0"/>
      <w:marTop w:val="0"/>
      <w:marBottom w:val="0"/>
      <w:divBdr>
        <w:top w:val="none" w:sz="0" w:space="0" w:color="auto"/>
        <w:left w:val="none" w:sz="0" w:space="0" w:color="auto"/>
        <w:bottom w:val="none" w:sz="0" w:space="0" w:color="auto"/>
        <w:right w:val="none" w:sz="0" w:space="0" w:color="auto"/>
      </w:divBdr>
    </w:div>
    <w:div w:id="1963220776">
      <w:bodyDiv w:val="1"/>
      <w:marLeft w:val="0"/>
      <w:marRight w:val="0"/>
      <w:marTop w:val="0"/>
      <w:marBottom w:val="0"/>
      <w:divBdr>
        <w:top w:val="none" w:sz="0" w:space="0" w:color="auto"/>
        <w:left w:val="none" w:sz="0" w:space="0" w:color="auto"/>
        <w:bottom w:val="none" w:sz="0" w:space="0" w:color="auto"/>
        <w:right w:val="none" w:sz="0" w:space="0" w:color="auto"/>
      </w:divBdr>
    </w:div>
    <w:div w:id="1963656499">
      <w:bodyDiv w:val="1"/>
      <w:marLeft w:val="0"/>
      <w:marRight w:val="0"/>
      <w:marTop w:val="0"/>
      <w:marBottom w:val="0"/>
      <w:divBdr>
        <w:top w:val="none" w:sz="0" w:space="0" w:color="auto"/>
        <w:left w:val="none" w:sz="0" w:space="0" w:color="auto"/>
        <w:bottom w:val="none" w:sz="0" w:space="0" w:color="auto"/>
        <w:right w:val="none" w:sz="0" w:space="0" w:color="auto"/>
      </w:divBdr>
    </w:div>
    <w:div w:id="1984388701">
      <w:bodyDiv w:val="1"/>
      <w:marLeft w:val="0"/>
      <w:marRight w:val="0"/>
      <w:marTop w:val="0"/>
      <w:marBottom w:val="0"/>
      <w:divBdr>
        <w:top w:val="none" w:sz="0" w:space="0" w:color="auto"/>
        <w:left w:val="none" w:sz="0" w:space="0" w:color="auto"/>
        <w:bottom w:val="none" w:sz="0" w:space="0" w:color="auto"/>
        <w:right w:val="none" w:sz="0" w:space="0" w:color="auto"/>
      </w:divBdr>
    </w:div>
    <w:div w:id="2021883550">
      <w:bodyDiv w:val="1"/>
      <w:marLeft w:val="0"/>
      <w:marRight w:val="0"/>
      <w:marTop w:val="0"/>
      <w:marBottom w:val="0"/>
      <w:divBdr>
        <w:top w:val="none" w:sz="0" w:space="0" w:color="auto"/>
        <w:left w:val="none" w:sz="0" w:space="0" w:color="auto"/>
        <w:bottom w:val="none" w:sz="0" w:space="0" w:color="auto"/>
        <w:right w:val="none" w:sz="0" w:space="0" w:color="auto"/>
      </w:divBdr>
    </w:div>
    <w:div w:id="2038575686">
      <w:bodyDiv w:val="1"/>
      <w:marLeft w:val="0"/>
      <w:marRight w:val="0"/>
      <w:marTop w:val="0"/>
      <w:marBottom w:val="0"/>
      <w:divBdr>
        <w:top w:val="none" w:sz="0" w:space="0" w:color="auto"/>
        <w:left w:val="none" w:sz="0" w:space="0" w:color="auto"/>
        <w:bottom w:val="none" w:sz="0" w:space="0" w:color="auto"/>
        <w:right w:val="none" w:sz="0" w:space="0" w:color="auto"/>
      </w:divBdr>
    </w:div>
    <w:div w:id="2038702221">
      <w:bodyDiv w:val="1"/>
      <w:marLeft w:val="0"/>
      <w:marRight w:val="0"/>
      <w:marTop w:val="0"/>
      <w:marBottom w:val="0"/>
      <w:divBdr>
        <w:top w:val="none" w:sz="0" w:space="0" w:color="auto"/>
        <w:left w:val="none" w:sz="0" w:space="0" w:color="auto"/>
        <w:bottom w:val="none" w:sz="0" w:space="0" w:color="auto"/>
        <w:right w:val="none" w:sz="0" w:space="0" w:color="auto"/>
      </w:divBdr>
    </w:div>
    <w:div w:id="2085295900">
      <w:bodyDiv w:val="1"/>
      <w:marLeft w:val="0"/>
      <w:marRight w:val="0"/>
      <w:marTop w:val="0"/>
      <w:marBottom w:val="0"/>
      <w:divBdr>
        <w:top w:val="none" w:sz="0" w:space="0" w:color="auto"/>
        <w:left w:val="none" w:sz="0" w:space="0" w:color="auto"/>
        <w:bottom w:val="none" w:sz="0" w:space="0" w:color="auto"/>
        <w:right w:val="none" w:sz="0" w:space="0" w:color="auto"/>
      </w:divBdr>
    </w:div>
    <w:div w:id="2100128489">
      <w:bodyDiv w:val="1"/>
      <w:marLeft w:val="0"/>
      <w:marRight w:val="0"/>
      <w:marTop w:val="0"/>
      <w:marBottom w:val="0"/>
      <w:divBdr>
        <w:top w:val="none" w:sz="0" w:space="0" w:color="auto"/>
        <w:left w:val="none" w:sz="0" w:space="0" w:color="auto"/>
        <w:bottom w:val="none" w:sz="0" w:space="0" w:color="auto"/>
        <w:right w:val="none" w:sz="0" w:space="0" w:color="auto"/>
      </w:divBdr>
    </w:div>
    <w:div w:id="2124415727">
      <w:bodyDiv w:val="1"/>
      <w:marLeft w:val="0"/>
      <w:marRight w:val="0"/>
      <w:marTop w:val="0"/>
      <w:marBottom w:val="0"/>
      <w:divBdr>
        <w:top w:val="none" w:sz="0" w:space="0" w:color="auto"/>
        <w:left w:val="none" w:sz="0" w:space="0" w:color="auto"/>
        <w:bottom w:val="none" w:sz="0" w:space="0" w:color="auto"/>
        <w:right w:val="none" w:sz="0" w:space="0" w:color="auto"/>
      </w:divBdr>
    </w:div>
    <w:div w:id="2126195286">
      <w:bodyDiv w:val="1"/>
      <w:marLeft w:val="0"/>
      <w:marRight w:val="0"/>
      <w:marTop w:val="0"/>
      <w:marBottom w:val="0"/>
      <w:divBdr>
        <w:top w:val="none" w:sz="0" w:space="0" w:color="auto"/>
        <w:left w:val="none" w:sz="0" w:space="0" w:color="auto"/>
        <w:bottom w:val="none" w:sz="0" w:space="0" w:color="auto"/>
        <w:right w:val="none" w:sz="0" w:space="0" w:color="auto"/>
      </w:divBdr>
      <w:divsChild>
        <w:div w:id="1474562889">
          <w:marLeft w:val="0"/>
          <w:marRight w:val="0"/>
          <w:marTop w:val="0"/>
          <w:marBottom w:val="0"/>
          <w:divBdr>
            <w:top w:val="none" w:sz="0" w:space="0" w:color="auto"/>
            <w:left w:val="none" w:sz="0" w:space="0" w:color="auto"/>
            <w:bottom w:val="none" w:sz="0" w:space="0" w:color="auto"/>
            <w:right w:val="none" w:sz="0" w:space="0" w:color="auto"/>
          </w:divBdr>
          <w:divsChild>
            <w:div w:id="49809924">
              <w:marLeft w:val="0"/>
              <w:marRight w:val="0"/>
              <w:marTop w:val="0"/>
              <w:marBottom w:val="0"/>
              <w:divBdr>
                <w:top w:val="none" w:sz="0" w:space="0" w:color="auto"/>
                <w:left w:val="none" w:sz="0" w:space="0" w:color="auto"/>
                <w:bottom w:val="none" w:sz="0" w:space="0" w:color="auto"/>
                <w:right w:val="none" w:sz="0" w:space="0" w:color="auto"/>
              </w:divBdr>
              <w:divsChild>
                <w:div w:id="523400454">
                  <w:marLeft w:val="0"/>
                  <w:marRight w:val="0"/>
                  <w:marTop w:val="0"/>
                  <w:marBottom w:val="0"/>
                  <w:divBdr>
                    <w:top w:val="none" w:sz="0" w:space="0" w:color="auto"/>
                    <w:left w:val="none" w:sz="0" w:space="0" w:color="auto"/>
                    <w:bottom w:val="none" w:sz="0" w:space="0" w:color="auto"/>
                    <w:right w:val="none" w:sz="0" w:space="0" w:color="auto"/>
                  </w:divBdr>
                  <w:divsChild>
                    <w:div w:id="350299260">
                      <w:marLeft w:val="0"/>
                      <w:marRight w:val="0"/>
                      <w:marTop w:val="0"/>
                      <w:marBottom w:val="0"/>
                      <w:divBdr>
                        <w:top w:val="none" w:sz="0" w:space="0" w:color="auto"/>
                        <w:left w:val="none" w:sz="0" w:space="0" w:color="auto"/>
                        <w:bottom w:val="none" w:sz="0" w:space="0" w:color="auto"/>
                        <w:right w:val="none" w:sz="0" w:space="0" w:color="auto"/>
                      </w:divBdr>
                      <w:divsChild>
                        <w:div w:id="871770926">
                          <w:marLeft w:val="0"/>
                          <w:marRight w:val="0"/>
                          <w:marTop w:val="0"/>
                          <w:marBottom w:val="0"/>
                          <w:divBdr>
                            <w:top w:val="none" w:sz="0" w:space="0" w:color="auto"/>
                            <w:left w:val="none" w:sz="0" w:space="0" w:color="auto"/>
                            <w:bottom w:val="none" w:sz="0" w:space="0" w:color="auto"/>
                            <w:right w:val="none" w:sz="0" w:space="0" w:color="auto"/>
                          </w:divBdr>
                          <w:divsChild>
                            <w:div w:id="1078753343">
                              <w:marLeft w:val="0"/>
                              <w:marRight w:val="0"/>
                              <w:marTop w:val="0"/>
                              <w:marBottom w:val="0"/>
                              <w:divBdr>
                                <w:top w:val="none" w:sz="0" w:space="0" w:color="auto"/>
                                <w:left w:val="none" w:sz="0" w:space="0" w:color="auto"/>
                                <w:bottom w:val="none" w:sz="0" w:space="0" w:color="auto"/>
                                <w:right w:val="none" w:sz="0" w:space="0" w:color="auto"/>
                              </w:divBdr>
                            </w:div>
                            <w:div w:id="2092385389">
                              <w:marLeft w:val="0"/>
                              <w:marRight w:val="0"/>
                              <w:marTop w:val="0"/>
                              <w:marBottom w:val="0"/>
                              <w:divBdr>
                                <w:top w:val="none" w:sz="0" w:space="0" w:color="auto"/>
                                <w:left w:val="none" w:sz="0" w:space="0" w:color="auto"/>
                                <w:bottom w:val="none" w:sz="0" w:space="0" w:color="auto"/>
                                <w:right w:val="none" w:sz="0" w:space="0" w:color="auto"/>
                              </w:divBdr>
                              <w:divsChild>
                                <w:div w:id="63271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187818">
                      <w:marLeft w:val="0"/>
                      <w:marRight w:val="0"/>
                      <w:marTop w:val="0"/>
                      <w:marBottom w:val="0"/>
                      <w:divBdr>
                        <w:top w:val="none" w:sz="0" w:space="0" w:color="auto"/>
                        <w:left w:val="none" w:sz="0" w:space="0" w:color="auto"/>
                        <w:bottom w:val="none" w:sz="0" w:space="0" w:color="auto"/>
                        <w:right w:val="none" w:sz="0" w:space="0" w:color="auto"/>
                      </w:divBdr>
                      <w:divsChild>
                        <w:div w:id="1192962302">
                          <w:marLeft w:val="0"/>
                          <w:marRight w:val="0"/>
                          <w:marTop w:val="0"/>
                          <w:marBottom w:val="0"/>
                          <w:divBdr>
                            <w:top w:val="none" w:sz="0" w:space="0" w:color="auto"/>
                            <w:left w:val="none" w:sz="0" w:space="0" w:color="auto"/>
                            <w:bottom w:val="none" w:sz="0" w:space="0" w:color="auto"/>
                            <w:right w:val="none" w:sz="0" w:space="0" w:color="auto"/>
                          </w:divBdr>
                          <w:divsChild>
                            <w:div w:id="685862845">
                              <w:marLeft w:val="0"/>
                              <w:marRight w:val="0"/>
                              <w:marTop w:val="0"/>
                              <w:marBottom w:val="0"/>
                              <w:divBdr>
                                <w:top w:val="none" w:sz="0" w:space="0" w:color="auto"/>
                                <w:left w:val="none" w:sz="0" w:space="0" w:color="auto"/>
                                <w:bottom w:val="none" w:sz="0" w:space="0" w:color="auto"/>
                                <w:right w:val="none" w:sz="0" w:space="0" w:color="auto"/>
                              </w:divBdr>
                              <w:divsChild>
                                <w:div w:id="180060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81526">
                          <w:marLeft w:val="0"/>
                          <w:marRight w:val="0"/>
                          <w:marTop w:val="0"/>
                          <w:marBottom w:val="0"/>
                          <w:divBdr>
                            <w:top w:val="none" w:sz="0" w:space="0" w:color="auto"/>
                            <w:left w:val="none" w:sz="0" w:space="0" w:color="auto"/>
                            <w:bottom w:val="none" w:sz="0" w:space="0" w:color="auto"/>
                            <w:right w:val="none" w:sz="0" w:space="0" w:color="auto"/>
                          </w:divBdr>
                          <w:divsChild>
                            <w:div w:id="1229146406">
                              <w:marLeft w:val="0"/>
                              <w:marRight w:val="0"/>
                              <w:marTop w:val="0"/>
                              <w:marBottom w:val="0"/>
                              <w:divBdr>
                                <w:top w:val="none" w:sz="0" w:space="0" w:color="auto"/>
                                <w:left w:val="none" w:sz="0" w:space="0" w:color="auto"/>
                                <w:bottom w:val="none" w:sz="0" w:space="0" w:color="auto"/>
                                <w:right w:val="none" w:sz="0" w:space="0" w:color="auto"/>
                              </w:divBdr>
                              <w:divsChild>
                                <w:div w:id="792291671">
                                  <w:marLeft w:val="0"/>
                                  <w:marRight w:val="0"/>
                                  <w:marTop w:val="0"/>
                                  <w:marBottom w:val="0"/>
                                  <w:divBdr>
                                    <w:top w:val="none" w:sz="0" w:space="0" w:color="auto"/>
                                    <w:left w:val="none" w:sz="0" w:space="0" w:color="auto"/>
                                    <w:bottom w:val="none" w:sz="0" w:space="0" w:color="auto"/>
                                    <w:right w:val="none" w:sz="0" w:space="0" w:color="auto"/>
                                  </w:divBdr>
                                  <w:divsChild>
                                    <w:div w:id="1873686316">
                                      <w:marLeft w:val="0"/>
                                      <w:marRight w:val="0"/>
                                      <w:marTop w:val="0"/>
                                      <w:marBottom w:val="0"/>
                                      <w:divBdr>
                                        <w:top w:val="none" w:sz="0" w:space="0" w:color="auto"/>
                                        <w:left w:val="none" w:sz="0" w:space="0" w:color="auto"/>
                                        <w:bottom w:val="none" w:sz="0" w:space="0" w:color="auto"/>
                                        <w:right w:val="none" w:sz="0" w:space="0" w:color="auto"/>
                                      </w:divBdr>
                                      <w:divsChild>
                                        <w:div w:id="30958442">
                                          <w:marLeft w:val="0"/>
                                          <w:marRight w:val="0"/>
                                          <w:marTop w:val="0"/>
                                          <w:marBottom w:val="0"/>
                                          <w:divBdr>
                                            <w:top w:val="none" w:sz="0" w:space="0" w:color="auto"/>
                                            <w:left w:val="none" w:sz="0" w:space="0" w:color="auto"/>
                                            <w:bottom w:val="none" w:sz="0" w:space="0" w:color="auto"/>
                                            <w:right w:val="none" w:sz="0" w:space="0" w:color="auto"/>
                                          </w:divBdr>
                                        </w:div>
                                        <w:div w:id="83028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321272">
              <w:marLeft w:val="0"/>
              <w:marRight w:val="0"/>
              <w:marTop w:val="0"/>
              <w:marBottom w:val="0"/>
              <w:divBdr>
                <w:top w:val="none" w:sz="0" w:space="0" w:color="auto"/>
                <w:left w:val="none" w:sz="0" w:space="0" w:color="auto"/>
                <w:bottom w:val="none" w:sz="0" w:space="0" w:color="auto"/>
                <w:right w:val="none" w:sz="0" w:space="0" w:color="auto"/>
              </w:divBdr>
              <w:divsChild>
                <w:div w:id="1557280595">
                  <w:marLeft w:val="0"/>
                  <w:marRight w:val="0"/>
                  <w:marTop w:val="0"/>
                  <w:marBottom w:val="0"/>
                  <w:divBdr>
                    <w:top w:val="none" w:sz="0" w:space="0" w:color="auto"/>
                    <w:left w:val="none" w:sz="0" w:space="0" w:color="auto"/>
                    <w:bottom w:val="none" w:sz="0" w:space="0" w:color="auto"/>
                    <w:right w:val="none" w:sz="0" w:space="0" w:color="auto"/>
                  </w:divBdr>
                </w:div>
              </w:divsChild>
            </w:div>
            <w:div w:id="1657372112">
              <w:marLeft w:val="0"/>
              <w:marRight w:val="0"/>
              <w:marTop w:val="0"/>
              <w:marBottom w:val="0"/>
              <w:divBdr>
                <w:top w:val="none" w:sz="0" w:space="0" w:color="auto"/>
                <w:left w:val="none" w:sz="0" w:space="0" w:color="auto"/>
                <w:bottom w:val="none" w:sz="0" w:space="0" w:color="auto"/>
                <w:right w:val="none" w:sz="0" w:space="0" w:color="auto"/>
              </w:divBdr>
              <w:divsChild>
                <w:div w:id="601571335">
                  <w:marLeft w:val="0"/>
                  <w:marRight w:val="0"/>
                  <w:marTop w:val="0"/>
                  <w:marBottom w:val="0"/>
                  <w:divBdr>
                    <w:top w:val="none" w:sz="0" w:space="0" w:color="auto"/>
                    <w:left w:val="none" w:sz="0" w:space="0" w:color="auto"/>
                    <w:bottom w:val="none" w:sz="0" w:space="0" w:color="auto"/>
                    <w:right w:val="none" w:sz="0" w:space="0" w:color="auto"/>
                  </w:divBdr>
                </w:div>
                <w:div w:id="140629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10197">
      <w:bodyDiv w:val="1"/>
      <w:marLeft w:val="0"/>
      <w:marRight w:val="0"/>
      <w:marTop w:val="0"/>
      <w:marBottom w:val="0"/>
      <w:divBdr>
        <w:top w:val="none" w:sz="0" w:space="0" w:color="auto"/>
        <w:left w:val="none" w:sz="0" w:space="0" w:color="auto"/>
        <w:bottom w:val="none" w:sz="0" w:space="0" w:color="auto"/>
        <w:right w:val="none" w:sz="0" w:space="0" w:color="auto"/>
      </w:divBdr>
    </w:div>
    <w:div w:id="2137866086">
      <w:bodyDiv w:val="1"/>
      <w:marLeft w:val="0"/>
      <w:marRight w:val="0"/>
      <w:marTop w:val="0"/>
      <w:marBottom w:val="0"/>
      <w:divBdr>
        <w:top w:val="none" w:sz="0" w:space="0" w:color="auto"/>
        <w:left w:val="none" w:sz="0" w:space="0" w:color="auto"/>
        <w:bottom w:val="none" w:sz="0" w:space="0" w:color="auto"/>
        <w:right w:val="none" w:sz="0" w:space="0" w:color="auto"/>
      </w:divBdr>
    </w:div>
    <w:div w:id="213832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1.xml"/><Relationship Id="rId18" Type="http://schemas.openxmlformats.org/officeDocument/2006/relationships/hyperlink" Target="mailto:smitpurchase@centralbank.co.i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cminfosec@centralbank.co.in" TargetMode="External"/><Relationship Id="rId17" Type="http://schemas.openxmlformats.org/officeDocument/2006/relationships/hyperlink" Target="mailto:ciso@centralbank.co.in" TargetMode="External"/><Relationship Id="rId2" Type="http://schemas.openxmlformats.org/officeDocument/2006/relationships/customXml" Target="../customXml/item2.xml"/><Relationship Id="rId16" Type="http://schemas.openxmlformats.org/officeDocument/2006/relationships/hyperlink" Target="mailto:anant_in@yahoo.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centralbankofindia.co.in" TargetMode="Externa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customXml" Target="ink/ink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25T10:58:58.102"/>
    </inkml:context>
    <inkml:brush xml:id="br0">
      <inkml:brushProperty name="width" value="0.035" units="cm"/>
      <inkml:brushProperty name="height" value="0.035" units="cm"/>
      <inkml:brushProperty name="color" value="#E71224"/>
    </inkml:brush>
  </inkml:definitions>
  <inkml:trace contextRef="#ctx0" brushRef="#br0">1 1 24575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8-01T06:02:24.665"/>
    </inkml:context>
    <inkml:brush xml:id="br0">
      <inkml:brushProperty name="width" value="0.035" units="cm"/>
      <inkml:brushProperty name="height" value="0.035" units="cm"/>
      <inkml:brushProperty name="color" value="#E71224"/>
    </inkml:brush>
  </inkml:definitions>
  <inkml:trace contextRef="#ctx0" brushRef="#br0">1 1 24575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F5A62F3AFAE540AFC26DF419A42C38" ma:contentTypeVersion="14" ma:contentTypeDescription="Create a new document." ma:contentTypeScope="" ma:versionID="11bba04692a18c9ea35acf0ca3c048c9">
  <xsd:schema xmlns:xsd="http://www.w3.org/2001/XMLSchema" xmlns:xs="http://www.w3.org/2001/XMLSchema" xmlns:p="http://schemas.microsoft.com/office/2006/metadata/properties" xmlns:ns3="4500fa84-d8d5-4457-b9cf-ad16d5507a7f" xmlns:ns4="bc19a5d1-49d4-4173-b1d6-bba1ca06c401" targetNamespace="http://schemas.microsoft.com/office/2006/metadata/properties" ma:root="true" ma:fieldsID="82a6e9e20205a7f17cfe1aa309d81d6a" ns3:_="" ns4:_="">
    <xsd:import namespace="4500fa84-d8d5-4457-b9cf-ad16d5507a7f"/>
    <xsd:import namespace="bc19a5d1-49d4-4173-b1d6-bba1ca06c40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0fa84-d8d5-4457-b9cf-ad16d5507a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9a5d1-49d4-4173-b1d6-bba1ca06c40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500fa84-d8d5-4457-b9cf-ad16d5507a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8888C-A104-4075-AC3E-4A2C18EA2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0fa84-d8d5-4457-b9cf-ad16d5507a7f"/>
    <ds:schemaRef ds:uri="bc19a5d1-49d4-4173-b1d6-bba1ca06c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495BAA-5A2A-4538-945C-CBCA1524AC3C}">
  <ds:schemaRefs>
    <ds:schemaRef ds:uri="http://schemas.microsoft.com/office/2006/metadata/properties"/>
    <ds:schemaRef ds:uri="http://schemas.microsoft.com/office/infopath/2007/PartnerControls"/>
    <ds:schemaRef ds:uri="4500fa84-d8d5-4457-b9cf-ad16d5507a7f"/>
  </ds:schemaRefs>
</ds:datastoreItem>
</file>

<file path=customXml/itemProps3.xml><?xml version="1.0" encoding="utf-8"?>
<ds:datastoreItem xmlns:ds="http://schemas.openxmlformats.org/officeDocument/2006/customXml" ds:itemID="{6B8B8248-2E2E-43AB-A959-6F5BBE46700A}">
  <ds:schemaRefs>
    <ds:schemaRef ds:uri="http://schemas.microsoft.com/sharepoint/v3/contenttype/forms"/>
  </ds:schemaRefs>
</ds:datastoreItem>
</file>

<file path=customXml/itemProps4.xml><?xml version="1.0" encoding="utf-8"?>
<ds:datastoreItem xmlns:ds="http://schemas.openxmlformats.org/officeDocument/2006/customXml" ds:itemID="{8BC5291C-2450-4ED6-9F48-DEC9A603C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2787</TotalTime>
  <Pages>143</Pages>
  <Words>69008</Words>
  <Characters>393346</Characters>
  <Application>Microsoft Office Word</Application>
  <DocSecurity>0</DocSecurity>
  <Lines>3277</Lines>
  <Paragraphs>922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KHEMCHANDANI</dc:creator>
  <cp:keywords/>
  <dc:description/>
  <cp:lastModifiedBy>IT_ADMIN_05</cp:lastModifiedBy>
  <cp:revision>82</cp:revision>
  <cp:lastPrinted>2023-05-12T05:54:00Z</cp:lastPrinted>
  <dcterms:created xsi:type="dcterms:W3CDTF">2024-10-11T11:44:00Z</dcterms:created>
  <dcterms:modified xsi:type="dcterms:W3CDTF">2024-11-11T11:42:00Z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0x01010070F5A62F3AFAE540AFC26DF419A42C38</vt:lpwstr>
  </property>
</Properties>
</file>